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0F9" w14:paraId="098138D3" w14:textId="77777777" w:rsidTr="0010095E">
        <w:trPr>
          <w:trHeight w:hRule="exact" w:val="1418"/>
        </w:trPr>
        <w:tc>
          <w:tcPr>
            <w:tcW w:w="6804" w:type="dxa"/>
            <w:shd w:val="clear" w:color="auto" w:fill="auto"/>
            <w:vAlign w:val="center"/>
          </w:tcPr>
          <w:p w14:paraId="01892EFA" w14:textId="77777777" w:rsidR="00751A4A" w:rsidRPr="005400F9" w:rsidRDefault="00A7018E" w:rsidP="0010095E">
            <w:pPr>
              <w:pStyle w:val="EPName"/>
            </w:pPr>
            <w:r w:rsidRPr="005400F9">
              <w:t>Parlamento Europeo</w:t>
            </w:r>
          </w:p>
          <w:p w14:paraId="06DBD210" w14:textId="77777777" w:rsidR="00751A4A" w:rsidRPr="005400F9" w:rsidRDefault="00817416" w:rsidP="00756632">
            <w:pPr>
              <w:pStyle w:val="EPTerm"/>
              <w:rPr>
                <w:rStyle w:val="HideTWBExt"/>
                <w:noProof w:val="0"/>
                <w:vanish w:val="0"/>
                <w:color w:val="auto"/>
              </w:rPr>
            </w:pPr>
            <w:r w:rsidRPr="005400F9">
              <w:t>2019-2024</w:t>
            </w:r>
          </w:p>
        </w:tc>
        <w:tc>
          <w:tcPr>
            <w:tcW w:w="2268" w:type="dxa"/>
            <w:shd w:val="clear" w:color="auto" w:fill="auto"/>
          </w:tcPr>
          <w:p w14:paraId="3A166DDB" w14:textId="77777777" w:rsidR="00751A4A" w:rsidRPr="005400F9" w:rsidRDefault="00187494" w:rsidP="0010095E">
            <w:pPr>
              <w:pStyle w:val="EPLogo"/>
            </w:pPr>
            <w:r w:rsidRPr="005400F9">
              <w:rPr>
                <w:noProof/>
                <w:lang w:val="en-GB"/>
              </w:rPr>
              <w:drawing>
                <wp:inline distT="0" distB="0" distL="0" distR="0" wp14:anchorId="4CFFDCB5" wp14:editId="0EC2DE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6DB2BF" w14:textId="77777777" w:rsidR="00D058B8" w:rsidRPr="005400F9" w:rsidRDefault="00D058B8" w:rsidP="004C5D52">
      <w:pPr>
        <w:pStyle w:val="LineTop"/>
      </w:pPr>
    </w:p>
    <w:p w14:paraId="346F16CA" w14:textId="77777777" w:rsidR="00680577" w:rsidRPr="005400F9" w:rsidRDefault="00A7018E" w:rsidP="00680577">
      <w:pPr>
        <w:pStyle w:val="EPBodyTA1"/>
      </w:pPr>
      <w:r w:rsidRPr="005400F9">
        <w:t>TEXTOS APROBADOS</w:t>
      </w:r>
    </w:p>
    <w:p w14:paraId="24CA0F36" w14:textId="77777777" w:rsidR="00D058B8" w:rsidRPr="005400F9" w:rsidRDefault="00D058B8" w:rsidP="00D058B8">
      <w:pPr>
        <w:pStyle w:val="LineBottom"/>
      </w:pPr>
    </w:p>
    <w:p w14:paraId="76B65D8F" w14:textId="3A929EB5" w:rsidR="00A7018E" w:rsidRPr="005400F9" w:rsidRDefault="00A7018E" w:rsidP="00A7018E">
      <w:pPr>
        <w:pStyle w:val="ATHeading1"/>
      </w:pPr>
      <w:bookmarkStart w:id="0" w:name="TANumber"/>
      <w:r w:rsidRPr="005400F9">
        <w:t>P9_TA(2024)0</w:t>
      </w:r>
      <w:r w:rsidR="00704B92">
        <w:t>104</w:t>
      </w:r>
      <w:bookmarkEnd w:id="0"/>
    </w:p>
    <w:p w14:paraId="4D303A13" w14:textId="77777777" w:rsidR="00A7018E" w:rsidRPr="005400F9" w:rsidRDefault="00770A12" w:rsidP="00A7018E">
      <w:pPr>
        <w:pStyle w:val="ATHeading2"/>
      </w:pPr>
      <w:bookmarkStart w:id="1" w:name="title"/>
      <w:r>
        <w:t>A</w:t>
      </w:r>
      <w:r w:rsidRPr="005400F9">
        <w:t>plicación de la política exterior y de seguridad común: informe anual 2023</w:t>
      </w:r>
      <w:bookmarkEnd w:id="1"/>
    </w:p>
    <w:p w14:paraId="4E30BFF2" w14:textId="77777777" w:rsidR="00A7018E" w:rsidRPr="005400F9" w:rsidRDefault="00A7018E" w:rsidP="00A7018E">
      <w:pPr>
        <w:rPr>
          <w:i/>
          <w:vanish/>
        </w:rPr>
      </w:pPr>
      <w:r w:rsidRPr="005400F9">
        <w:rPr>
          <w:i/>
        </w:rPr>
        <w:fldChar w:fldCharType="begin"/>
      </w:r>
      <w:r w:rsidRPr="005400F9">
        <w:rPr>
          <w:i/>
        </w:rPr>
        <w:instrText xml:space="preserve"> TC"(</w:instrText>
      </w:r>
      <w:bookmarkStart w:id="2" w:name="DocNumber"/>
      <w:r w:rsidRPr="005400F9">
        <w:rPr>
          <w:i/>
        </w:rPr>
        <w:instrText>A9-0389/2023</w:instrText>
      </w:r>
      <w:bookmarkEnd w:id="2"/>
      <w:r w:rsidRPr="005400F9">
        <w:rPr>
          <w:i/>
        </w:rPr>
        <w:instrText xml:space="preserve"> - Ponente: David McAllister)"\l3 \n&gt; \* MERGEFORMAT </w:instrText>
      </w:r>
      <w:r w:rsidRPr="005400F9">
        <w:rPr>
          <w:i/>
        </w:rPr>
        <w:fldChar w:fldCharType="end"/>
      </w:r>
    </w:p>
    <w:p w14:paraId="3F4086F9" w14:textId="77777777" w:rsidR="00A7018E" w:rsidRPr="005400F9" w:rsidRDefault="00A7018E" w:rsidP="00A7018E">
      <w:pPr>
        <w:rPr>
          <w:vanish/>
        </w:rPr>
      </w:pPr>
      <w:bookmarkStart w:id="3" w:name="Commission"/>
      <w:r w:rsidRPr="005400F9">
        <w:rPr>
          <w:vanish/>
        </w:rPr>
        <w:t>Comisión de Asuntos Exteriores</w:t>
      </w:r>
      <w:bookmarkEnd w:id="3"/>
    </w:p>
    <w:p w14:paraId="2986D30E" w14:textId="77777777" w:rsidR="00A7018E" w:rsidRPr="005400F9" w:rsidRDefault="00A7018E" w:rsidP="00A7018E">
      <w:pPr>
        <w:rPr>
          <w:vanish/>
        </w:rPr>
      </w:pPr>
      <w:bookmarkStart w:id="4" w:name="PE"/>
      <w:r w:rsidRPr="005400F9">
        <w:rPr>
          <w:vanish/>
        </w:rPr>
        <w:t>PE752.694</w:t>
      </w:r>
      <w:bookmarkEnd w:id="4"/>
    </w:p>
    <w:p w14:paraId="345B7656" w14:textId="343F300A" w:rsidR="00A7018E" w:rsidRPr="005400F9" w:rsidRDefault="00A7018E" w:rsidP="00A7018E">
      <w:pPr>
        <w:pStyle w:val="ATHeading3"/>
      </w:pPr>
      <w:bookmarkStart w:id="5" w:name="Sujet"/>
      <w:r w:rsidRPr="005400F9">
        <w:t xml:space="preserve">Resolución del Parlamento Europeo, de </w:t>
      </w:r>
      <w:r w:rsidR="00704B92">
        <w:t>28</w:t>
      </w:r>
      <w:r w:rsidRPr="005400F9">
        <w:t xml:space="preserve"> de febrero de 2024, sobre la aplicación de la política exterior y de seguridad común: informe anual 2023</w:t>
      </w:r>
      <w:bookmarkEnd w:id="5"/>
      <w:r w:rsidRPr="005400F9">
        <w:t xml:space="preserve"> </w:t>
      </w:r>
      <w:bookmarkStart w:id="6" w:name="References"/>
      <w:r w:rsidRPr="005400F9">
        <w:t>(2023/2117(INI))</w:t>
      </w:r>
      <w:bookmarkEnd w:id="6"/>
    </w:p>
    <w:p w14:paraId="33D78833" w14:textId="77777777" w:rsidR="00A7018E" w:rsidRPr="005400F9" w:rsidRDefault="00A7018E" w:rsidP="00A7018E"/>
    <w:p w14:paraId="6E90E6E3" w14:textId="77777777" w:rsidR="00FA44B8" w:rsidRPr="005400F9" w:rsidRDefault="00FA44B8" w:rsidP="00770A12">
      <w:pPr>
        <w:pStyle w:val="EPComma"/>
        <w:spacing w:before="120"/>
      </w:pPr>
      <w:bookmarkStart w:id="7" w:name="TextBodyBegin"/>
      <w:bookmarkEnd w:id="7"/>
      <w:r w:rsidRPr="005400F9">
        <w:rPr>
          <w:i/>
        </w:rPr>
        <w:t>El Parlamento Europeo</w:t>
      </w:r>
      <w:r w:rsidRPr="005400F9">
        <w:t>,</w:t>
      </w:r>
    </w:p>
    <w:p w14:paraId="47F694EA" w14:textId="77777777" w:rsidR="00FA44B8" w:rsidRPr="005400F9" w:rsidRDefault="00FA44B8" w:rsidP="00FA44B8">
      <w:pPr>
        <w:pStyle w:val="NormalHanging12a"/>
      </w:pPr>
      <w:r w:rsidRPr="005400F9">
        <w:t>–</w:t>
      </w:r>
      <w:r w:rsidRPr="005400F9">
        <w:tab/>
        <w:t>Visto el Tratado de la Unión Europea (TUE), en particular sus artículos 21 y 36,</w:t>
      </w:r>
    </w:p>
    <w:p w14:paraId="59BBB7FD" w14:textId="77777777" w:rsidR="00FA44B8" w:rsidRPr="005400F9" w:rsidRDefault="00FA44B8" w:rsidP="00FA44B8">
      <w:pPr>
        <w:pStyle w:val="NormalHanging12a"/>
      </w:pPr>
      <w:r w:rsidRPr="005400F9">
        <w:t>–</w:t>
      </w:r>
      <w:r w:rsidRPr="005400F9">
        <w:tab/>
        <w:t>Visto el informe, de 15 de junio de 2023, del vicepresidente de la Comisión / alto representante de la Unión para Asuntos Exteriores y Política de Seguridad, titulado «CFSP Report - Our priorities in 2023» (Informe sobre la PESC - Nuestras prioridades para 2023),</w:t>
      </w:r>
    </w:p>
    <w:p w14:paraId="118E3CBB" w14:textId="77777777" w:rsidR="00FA44B8" w:rsidRPr="005400F9" w:rsidRDefault="00FA44B8" w:rsidP="00FA44B8">
      <w:pPr>
        <w:pStyle w:val="NormalHanging12a"/>
      </w:pPr>
      <w:r w:rsidRPr="005400F9">
        <w:t>–</w:t>
      </w:r>
      <w:r w:rsidRPr="005400F9">
        <w:tab/>
        <w:t>Visto el documento titulado «Una Brújula Estratégica para la Seguridad y la Defensa - Por una Unión Europea que proteja a sus ciudadanos, defienda sus valores e intereses y contribuya a la paz y la seguridad internacionales», refrendado por el Consejo Europeo el 24 de marzo de 2022,</w:t>
      </w:r>
    </w:p>
    <w:p w14:paraId="18BC80EB" w14:textId="71328ADA" w:rsidR="00FA44B8" w:rsidRDefault="00FA44B8" w:rsidP="00FA44B8">
      <w:pPr>
        <w:pStyle w:val="NormalHanging12a"/>
      </w:pPr>
      <w:r w:rsidRPr="005400F9">
        <w:rPr>
          <w:b/>
          <w:i/>
        </w:rPr>
        <w:t>–</w:t>
      </w:r>
      <w:r w:rsidRPr="005400F9">
        <w:rPr>
          <w:b/>
          <w:i/>
        </w:rPr>
        <w:tab/>
      </w:r>
      <w:r w:rsidRPr="005400F9">
        <w:t>Visto el nuevo Concepto Estratégico de la OTAN adoptado por los jefes de Estado y de Gobierno en la cumbre de la OTAN celebrada en Madrid el 29 de junio de 2022,</w:t>
      </w:r>
    </w:p>
    <w:p w14:paraId="680F4245" w14:textId="77777777" w:rsidR="00752DEE" w:rsidRDefault="00752DEE" w:rsidP="00FA44B8">
      <w:pPr>
        <w:pStyle w:val="NormalHanging12a"/>
      </w:pPr>
      <w:r w:rsidRPr="00643C65">
        <w:t>–</w:t>
      </w:r>
      <w:r w:rsidRPr="00752DEE">
        <w:tab/>
      </w:r>
      <w:r w:rsidRPr="00643C65">
        <w:t>Vistas las Conclusiones del Consejo Europeo del día 1 de febrero de 2024,</w:t>
      </w:r>
    </w:p>
    <w:p w14:paraId="3B05BE90" w14:textId="5343B8A4" w:rsidR="00752DEE" w:rsidRPr="00643C65" w:rsidRDefault="00752DEE" w:rsidP="00FA44B8">
      <w:pPr>
        <w:pStyle w:val="NormalHanging12a"/>
      </w:pPr>
      <w:r w:rsidRPr="00643C65">
        <w:t>–</w:t>
      </w:r>
      <w:r w:rsidRPr="00752DEE">
        <w:tab/>
      </w:r>
      <w:r w:rsidRPr="00643C65">
        <w:t>Vistas las Conclusiones del Consejo Europeo de los días 14 y 15 de diciembre de 2023,</w:t>
      </w:r>
    </w:p>
    <w:p w14:paraId="12AA6694" w14:textId="77777777" w:rsidR="00FA44B8" w:rsidRPr="005400F9" w:rsidRDefault="00FA44B8" w:rsidP="00FA44B8">
      <w:pPr>
        <w:pStyle w:val="NormalHanging12a"/>
      </w:pPr>
      <w:r w:rsidRPr="005400F9">
        <w:t>–</w:t>
      </w:r>
      <w:r w:rsidRPr="005400F9">
        <w:tab/>
        <w:t>Vistas las Conclusiones del Consejo Europeo de los días 29 y 30 de junio de 2023,</w:t>
      </w:r>
    </w:p>
    <w:p w14:paraId="2E2DFFE0" w14:textId="77777777" w:rsidR="00FA44B8" w:rsidRPr="005400F9" w:rsidRDefault="00FA44B8" w:rsidP="00FA44B8">
      <w:pPr>
        <w:pStyle w:val="NormalHanging12a"/>
      </w:pPr>
      <w:r w:rsidRPr="005400F9">
        <w:t>–</w:t>
      </w:r>
      <w:r w:rsidRPr="005400F9">
        <w:tab/>
        <w:t>Vistas las Conclusiones del Consejo Europeo de los días 23 y 24 de junio de 2022,</w:t>
      </w:r>
    </w:p>
    <w:p w14:paraId="35BE127C" w14:textId="77777777" w:rsidR="00FA44B8" w:rsidRPr="005400F9" w:rsidRDefault="00FA44B8" w:rsidP="00FA44B8">
      <w:pPr>
        <w:pStyle w:val="NormalHanging12a"/>
      </w:pPr>
      <w:r w:rsidRPr="005400F9">
        <w:t>–</w:t>
      </w:r>
      <w:r w:rsidRPr="005400F9">
        <w:tab/>
        <w:t>Vistas las Conclusiones del Consejo Europeo de los días 24 y 25 de marzo de 2022,</w:t>
      </w:r>
    </w:p>
    <w:p w14:paraId="57D7FE48" w14:textId="77777777" w:rsidR="00FA44B8" w:rsidRPr="005400F9" w:rsidRDefault="00FA44B8" w:rsidP="00FA44B8">
      <w:pPr>
        <w:pStyle w:val="NormalHanging12a"/>
      </w:pPr>
      <w:r w:rsidRPr="005400F9">
        <w:t>–</w:t>
      </w:r>
      <w:r w:rsidRPr="005400F9">
        <w:tab/>
        <w:t>Vista la Decisión (PESC) 2021/509 del Consejo, de 22 de marzo de 2021, por la que se crea un Fondo Europeo de Apoyo a la Paz y se deroga la Decisión (PESC) 2015/528</w:t>
      </w:r>
      <w:r w:rsidRPr="005400F9">
        <w:rPr>
          <w:rStyle w:val="FootnoteReference"/>
        </w:rPr>
        <w:footnoteReference w:id="1"/>
      </w:r>
      <w:r w:rsidRPr="005400F9">
        <w:t>,</w:t>
      </w:r>
    </w:p>
    <w:p w14:paraId="1442E4D4" w14:textId="77777777" w:rsidR="00FA44B8" w:rsidRPr="005400F9" w:rsidRDefault="00FA44B8" w:rsidP="00FA44B8">
      <w:pPr>
        <w:pStyle w:val="NormalHanging12a"/>
      </w:pPr>
      <w:r w:rsidRPr="005400F9">
        <w:t>–</w:t>
      </w:r>
      <w:r w:rsidRPr="005400F9">
        <w:tab/>
        <w:t xml:space="preserve">Vista la propuesta de la Comisión, de 20 de junio de 2023, de Reglamento del </w:t>
      </w:r>
      <w:r w:rsidRPr="005400F9">
        <w:lastRenderedPageBreak/>
        <w:t>Parlamento Europeo y del Consejo por el que se establece el Mecanismo para Ucrania (COM(2023)0338),</w:t>
      </w:r>
    </w:p>
    <w:p w14:paraId="6551563B" w14:textId="77777777" w:rsidR="00FA44B8" w:rsidRPr="005400F9" w:rsidRDefault="00FA44B8" w:rsidP="00FA44B8">
      <w:pPr>
        <w:pStyle w:val="NormalHanging12a"/>
      </w:pPr>
      <w:r w:rsidRPr="005400F9">
        <w:t>–</w:t>
      </w:r>
      <w:r w:rsidRPr="005400F9">
        <w:tab/>
        <w:t>Vista la Comunicación conjunta de la Comisión y el alto representante de la Unión para Asuntos Exteriores y Política de Seguridad al Parlamento Europeo, el Consejo, el Comité Económico y Social Europeo, el Comité de las Regiones y el Banco Europeo de Inversiones, de 1 de diciembre de 2021, titulada «La Pasarela Mundial» (JOIN(2021)0030),</w:t>
      </w:r>
    </w:p>
    <w:p w14:paraId="7C65FEA1" w14:textId="54DF95EC" w:rsidR="00FA44B8" w:rsidRPr="005400F9" w:rsidRDefault="00FA44B8" w:rsidP="00FA44B8">
      <w:pPr>
        <w:pStyle w:val="NormalHanging12a"/>
      </w:pPr>
      <w:r w:rsidRPr="005400F9">
        <w:t>–</w:t>
      </w:r>
      <w:r w:rsidRPr="005400F9">
        <w:tab/>
      </w:r>
      <w:r w:rsidR="00752DEE" w:rsidRPr="00752DEE">
        <w:t xml:space="preserve">Vista la Comunicación de la Comisión, de </w:t>
      </w:r>
      <w:r w:rsidR="00752DEE" w:rsidRPr="00643C65">
        <w:t>8</w:t>
      </w:r>
      <w:r w:rsidR="00752DEE" w:rsidRPr="00752DEE">
        <w:t xml:space="preserve"> de </w:t>
      </w:r>
      <w:r w:rsidR="00752DEE" w:rsidRPr="00643C65">
        <w:t>noviembre</w:t>
      </w:r>
      <w:r w:rsidR="00752DEE" w:rsidRPr="00752DEE">
        <w:t xml:space="preserve"> de </w:t>
      </w:r>
      <w:r w:rsidR="00752DEE" w:rsidRPr="00643C65">
        <w:t>2023</w:t>
      </w:r>
      <w:r w:rsidR="00752DEE" w:rsidRPr="00752DEE">
        <w:t xml:space="preserve">, titulada «Comunicación de </w:t>
      </w:r>
      <w:r w:rsidR="00752DEE" w:rsidRPr="00643C65">
        <w:t>2023</w:t>
      </w:r>
      <w:r w:rsidR="00752DEE" w:rsidRPr="00752DEE">
        <w:t xml:space="preserve"> sobre la política de ampliación de la UE» (COM(</w:t>
      </w:r>
      <w:r w:rsidR="00752DEE" w:rsidRPr="00643C65">
        <w:t>2023</w:t>
      </w:r>
      <w:r w:rsidR="00752DEE" w:rsidRPr="00752DEE">
        <w:t>)</w:t>
      </w:r>
      <w:r w:rsidR="00752DEE" w:rsidRPr="00643C65">
        <w:t>0690</w:t>
      </w:r>
      <w:r w:rsidR="00752DEE" w:rsidRPr="00752DEE">
        <w:t>)</w:t>
      </w:r>
      <w:r w:rsidRPr="005400F9">
        <w:t>,</w:t>
      </w:r>
    </w:p>
    <w:p w14:paraId="6FE66796" w14:textId="77777777" w:rsidR="00FA44B8" w:rsidRPr="005400F9" w:rsidRDefault="00FA44B8" w:rsidP="00FA44B8">
      <w:pPr>
        <w:pStyle w:val="NormalHanging12a"/>
        <w:rPr>
          <w:szCs w:val="22"/>
        </w:rPr>
      </w:pPr>
      <w:r w:rsidRPr="005400F9">
        <w:t>–</w:t>
      </w:r>
      <w:r w:rsidRPr="005400F9">
        <w:tab/>
        <w:t>Vistos los informes sobre la ampliación de 2023 y el Plan de crecimiento para los Balcanes Occidentales, presentad</w:t>
      </w:r>
      <w:bookmarkStart w:id="8" w:name="_GoBack"/>
      <w:bookmarkEnd w:id="8"/>
      <w:r w:rsidRPr="005400F9">
        <w:t>os por la Comisión el 8 de noviembre de 2023,</w:t>
      </w:r>
    </w:p>
    <w:p w14:paraId="7520E47E" w14:textId="571CBB70" w:rsidR="00FA44B8" w:rsidRDefault="00FA44B8" w:rsidP="00FA44B8">
      <w:pPr>
        <w:pStyle w:val="NormalHanging12a"/>
      </w:pPr>
      <w:r w:rsidRPr="005400F9">
        <w:t>–</w:t>
      </w:r>
      <w:r w:rsidRPr="005400F9">
        <w:tab/>
        <w:t>Vista su Recomendación, de 23 de noviembre de 2022, al Consejo, a la Comisión y al vicepresidente de la Comisión / alto representante de la Unión para Asuntos Exteriores y Política de Seguridad sobre la nueva estrategia de la Unión para la ampliación</w:t>
      </w:r>
      <w:r w:rsidRPr="005400F9">
        <w:rPr>
          <w:rStyle w:val="FootnoteReference"/>
          <w:szCs w:val="22"/>
        </w:rPr>
        <w:footnoteReference w:id="2"/>
      </w:r>
      <w:r w:rsidRPr="005400F9">
        <w:t>,</w:t>
      </w:r>
    </w:p>
    <w:p w14:paraId="044FA696" w14:textId="72E31863" w:rsidR="00752DEE" w:rsidRPr="00643C65" w:rsidRDefault="00752DEE" w:rsidP="00FA44B8">
      <w:pPr>
        <w:pStyle w:val="NormalHanging12a"/>
      </w:pPr>
      <w:r w:rsidRPr="00643C65">
        <w:t>–</w:t>
      </w:r>
      <w:r w:rsidRPr="00752DEE">
        <w:tab/>
      </w:r>
      <w:r w:rsidRPr="00643C65">
        <w:t>Vistas las Conclusiones del Consejo Europeo del día 15 de diciembre de 2023, relativas a la decisión de iniciar negociaciones de adhesión con Ucrania y la República de Moldavia, la apertura de negociaciones de adhesión con Bosnia y Herzegovina tan pronto como se cumplan suficientemente los criterios de adhesión, y la concesión del estatuto de país candidato a Georgia, siempre que se adopten las medidas necesarias establecidas en la Comunicación de 2023 sobre la política de ampliación de la UE de la Comisión (COM(2023)0690), de 8 de noviembre de 2023,</w:t>
      </w:r>
    </w:p>
    <w:p w14:paraId="0D2B95BD" w14:textId="5C1C2C3B" w:rsidR="00752DEE" w:rsidRPr="005400F9" w:rsidRDefault="00752DEE" w:rsidP="00FA44B8">
      <w:pPr>
        <w:pStyle w:val="NormalHanging12a"/>
        <w:rPr>
          <w:szCs w:val="22"/>
        </w:rPr>
      </w:pPr>
      <w:r w:rsidRPr="00643C65">
        <w:t>–</w:t>
      </w:r>
      <w:r w:rsidRPr="00752DEE">
        <w:tab/>
      </w:r>
      <w:r w:rsidRPr="00643C65">
        <w:t>Vista la declaración del alto representante de la Unión para Asuntos Exteriores y Política de Seguridad, de 16 de febrero de 2024, sobre una operación militar israelí prevista en Rafah,</w:t>
      </w:r>
    </w:p>
    <w:p w14:paraId="09EAB17C" w14:textId="77777777" w:rsidR="00FA44B8" w:rsidRPr="005400F9" w:rsidRDefault="00FA44B8" w:rsidP="00FA44B8">
      <w:pPr>
        <w:pStyle w:val="NormalHanging12a"/>
      </w:pPr>
      <w:r w:rsidRPr="005400F9">
        <w:t>–</w:t>
      </w:r>
      <w:r w:rsidRPr="005400F9">
        <w:tab/>
        <w:t>Vista la Comunicación conjunta de la Comisión y del alto representante de la Unión para Asuntos Exteriores y Política de Seguridad al Parlamento Europeo y al Consejo, de 7 de junio de 2023, titulada «Una nueva agenda para las relaciones entre la UE y América Latina y el Caribe» (JOIN(2023)0017),</w:t>
      </w:r>
    </w:p>
    <w:p w14:paraId="0BA79155" w14:textId="77777777" w:rsidR="00FA44B8" w:rsidRPr="005400F9" w:rsidRDefault="00FA44B8" w:rsidP="00FA44B8">
      <w:pPr>
        <w:pStyle w:val="NormalHanging12a"/>
      </w:pPr>
      <w:r w:rsidRPr="005400F9">
        <w:t>–</w:t>
      </w:r>
      <w:r w:rsidRPr="005400F9">
        <w:tab/>
        <w:t>Vistas la Resolución aprobada por la Asamblea General de las Naciones Unidas el 23 de febrero de 2023 titulada «Principios de la Carta de las Naciones Unidas en los que se basa una paz general, justa y duradera en Ucrania» (A/RES/ES-11/6), y las resoluciones anteriores de la Asamblea General de las Naciones Unidas sobre la agresión contra Ucrania,</w:t>
      </w:r>
    </w:p>
    <w:p w14:paraId="367F0E98" w14:textId="77777777" w:rsidR="00FA44B8" w:rsidRPr="005400F9" w:rsidRDefault="00FA44B8" w:rsidP="00FA44B8">
      <w:pPr>
        <w:pStyle w:val="NormalHanging12a"/>
      </w:pPr>
      <w:r w:rsidRPr="005400F9">
        <w:t>–</w:t>
      </w:r>
      <w:r w:rsidRPr="005400F9">
        <w:tab/>
        <w:t>Vista la Resolución aprobada por la Asamblea General de las Naciones Unidas el 7 de abril de 2022 titulada «Suspensión de los derechos de la Federación de Rusia a formar parte del Consejo de Derechos Humanos» (A/RES/ES-11/3),</w:t>
      </w:r>
    </w:p>
    <w:p w14:paraId="435FB735" w14:textId="77777777" w:rsidR="00FA44B8" w:rsidRPr="005400F9" w:rsidRDefault="00FA44B8" w:rsidP="00FA44B8">
      <w:pPr>
        <w:pStyle w:val="NormalHanging12a"/>
      </w:pPr>
      <w:r w:rsidRPr="005400F9">
        <w:t>–</w:t>
      </w:r>
      <w:r w:rsidRPr="005400F9">
        <w:tab/>
        <w:t xml:space="preserve">Vista la Resolución titulada «Transformar nuestro mundo: la Agenda 2030 para el Desarrollo Sostenible» (Agenda 2030) (A/RES/70/1), adoptada por la Asamblea </w:t>
      </w:r>
      <w:r w:rsidRPr="005400F9">
        <w:lastRenderedPageBreak/>
        <w:t>General de las Naciones Unidas el 25 de septiembre de 2015 en la Cumbre de las Naciones Unidas sobre el Desarrollo Sostenible celebrada en Nueva York y que estableció los Objetivos de Desarrollo Sostenible,</w:t>
      </w:r>
    </w:p>
    <w:p w14:paraId="4A044BDD" w14:textId="77777777" w:rsidR="00FA44B8" w:rsidRPr="005400F9" w:rsidRDefault="00FA44B8" w:rsidP="00FA44B8">
      <w:pPr>
        <w:pStyle w:val="NormalHanging12a"/>
      </w:pPr>
      <w:r w:rsidRPr="005400F9">
        <w:t>–</w:t>
      </w:r>
      <w:r w:rsidRPr="005400F9">
        <w:tab/>
        <w:t>Vista la Decisión (PESC) 2023/162 del Consejo, de 23 de enero de 2023, relativa a una Misión de la Unión Europea en Armenia (EUMA)</w:t>
      </w:r>
      <w:r w:rsidRPr="005400F9">
        <w:rPr>
          <w:rStyle w:val="FootnoteReference"/>
        </w:rPr>
        <w:footnoteReference w:id="3"/>
      </w:r>
      <w:r w:rsidRPr="005400F9">
        <w:t>,</w:t>
      </w:r>
    </w:p>
    <w:p w14:paraId="21DF2E6F" w14:textId="77777777" w:rsidR="00FA44B8" w:rsidRPr="005400F9" w:rsidRDefault="00FA44B8" w:rsidP="00FA44B8">
      <w:pPr>
        <w:pStyle w:val="NormalHanging12a"/>
      </w:pPr>
      <w:r w:rsidRPr="005400F9">
        <w:t>–</w:t>
      </w:r>
      <w:r w:rsidRPr="005400F9">
        <w:tab/>
        <w:t>Vista las Decisiones (PESC) 2022/1970 del Consejo, de 17 de octubre de 2022</w:t>
      </w:r>
      <w:r w:rsidRPr="005400F9">
        <w:rPr>
          <w:rStyle w:val="FootnoteReference"/>
        </w:rPr>
        <w:footnoteReference w:id="4"/>
      </w:r>
      <w:r w:rsidRPr="005400F9">
        <w:t>, y 2022/2507, de 19 de diciembre de 2022</w:t>
      </w:r>
      <w:r w:rsidRPr="005400F9">
        <w:rPr>
          <w:rStyle w:val="FootnoteReference"/>
        </w:rPr>
        <w:footnoteReference w:id="5"/>
      </w:r>
      <w:r w:rsidRPr="005400F9">
        <w:t>, del Consejo por las que se modifica la Decisión 2010/452/PESC sobre la Misión de Observación de la Unión Europea en Georgia (EUMM Georgia),</w:t>
      </w:r>
    </w:p>
    <w:p w14:paraId="0A05274D" w14:textId="77777777" w:rsidR="00FA44B8" w:rsidRPr="005400F9" w:rsidRDefault="00FA44B8" w:rsidP="00FA44B8">
      <w:pPr>
        <w:pStyle w:val="NormalHanging12a"/>
      </w:pPr>
      <w:r w:rsidRPr="005400F9">
        <w:t>–</w:t>
      </w:r>
      <w:r w:rsidRPr="005400F9">
        <w:tab/>
        <w:t>Vistas sus Resoluciones, de 15 de marzo de 2023, sobre las relaciones UE-Armenia</w:t>
      </w:r>
      <w:r w:rsidRPr="005400F9">
        <w:rPr>
          <w:rStyle w:val="FootnoteReference"/>
        </w:rPr>
        <w:footnoteReference w:id="6"/>
      </w:r>
      <w:r w:rsidRPr="005400F9">
        <w:t xml:space="preserve"> y UE-Azerbaiyán</w:t>
      </w:r>
      <w:r w:rsidRPr="005400F9">
        <w:rPr>
          <w:rStyle w:val="FootnoteReference"/>
        </w:rPr>
        <w:footnoteReference w:id="7"/>
      </w:r>
      <w:r w:rsidRPr="005400F9">
        <w:t>, su Resolución, de 19 de enero de 2023, sobre las consecuencias humanitarias del bloqueo en Nagorno Karabaj</w:t>
      </w:r>
      <w:r w:rsidRPr="005400F9">
        <w:rPr>
          <w:rStyle w:val="FootnoteReference"/>
        </w:rPr>
        <w:footnoteReference w:id="8"/>
      </w:r>
      <w:r w:rsidRPr="005400F9">
        <w:t xml:space="preserve"> y su Resolución, de 5 de octubre de 2023, sobre la situación en Nagorno Karabaj tras el ataque de Azerbaiyán y las amenazas continuas contra Armenia</w:t>
      </w:r>
      <w:r w:rsidRPr="005400F9">
        <w:rPr>
          <w:rStyle w:val="FootnoteReference"/>
        </w:rPr>
        <w:footnoteReference w:id="9"/>
      </w:r>
      <w:r w:rsidRPr="005400F9">
        <w:t>,</w:t>
      </w:r>
    </w:p>
    <w:p w14:paraId="02C179B0" w14:textId="77777777" w:rsidR="00FA44B8" w:rsidRPr="005400F9" w:rsidRDefault="00FA44B8" w:rsidP="00FA44B8">
      <w:pPr>
        <w:pStyle w:val="NormalHanging12a"/>
        <w:widowControl/>
      </w:pPr>
      <w:r w:rsidRPr="005400F9">
        <w:t>–</w:t>
      </w:r>
      <w:r w:rsidRPr="005400F9">
        <w:tab/>
        <w:t>Vista su Resolución, de 18 de abril de 2023, sobre la puesta en práctica de la vertiente civil de la PCSD y de otras formas de asistencia de la Unión en el ámbito de la seguridad civil</w:t>
      </w:r>
      <w:r w:rsidRPr="005400F9">
        <w:rPr>
          <w:rStyle w:val="FootnoteReference"/>
        </w:rPr>
        <w:footnoteReference w:id="10"/>
      </w:r>
      <w:r w:rsidRPr="005400F9">
        <w:t>,</w:t>
      </w:r>
    </w:p>
    <w:p w14:paraId="5365F7B4" w14:textId="77777777" w:rsidR="00FA44B8" w:rsidRPr="005400F9" w:rsidRDefault="00FA44B8" w:rsidP="00FA44B8">
      <w:pPr>
        <w:pStyle w:val="NormalHanging12a"/>
      </w:pPr>
      <w:r w:rsidRPr="005400F9">
        <w:t>–</w:t>
      </w:r>
      <w:r w:rsidRPr="005400F9">
        <w:tab/>
        <w:t>Vista su Recomendación, de 5 de octubre de 2022, al Consejo, a la Comisión y al vicepresidente de la Comisión / alto representante de la Unión para Asuntos Exteriores y Política de Seguridad sobre la relación estratégica y la asociación de la UE con el Cuerno de África</w:t>
      </w:r>
      <w:r w:rsidRPr="005400F9">
        <w:rPr>
          <w:rStyle w:val="FootnoteReference"/>
        </w:rPr>
        <w:footnoteReference w:id="11"/>
      </w:r>
      <w:r w:rsidRPr="005400F9">
        <w:t>,</w:t>
      </w:r>
    </w:p>
    <w:p w14:paraId="09DC9906" w14:textId="77777777" w:rsidR="00FA44B8" w:rsidRPr="005400F9" w:rsidRDefault="00FA44B8" w:rsidP="00FA44B8">
      <w:pPr>
        <w:pStyle w:val="NormalHanging12a"/>
        <w:rPr>
          <w:b/>
          <w:i/>
        </w:rPr>
      </w:pPr>
      <w:r w:rsidRPr="005400F9">
        <w:t>–</w:t>
      </w:r>
      <w:r w:rsidRPr="005400F9">
        <w:rPr>
          <w:b/>
          <w:i/>
        </w:rPr>
        <w:tab/>
      </w:r>
      <w:r w:rsidRPr="005400F9">
        <w:t>Vista su Resolución, de 15 de junio de 2023, sobre el deterioro de las libertades fundamentales en Hong Kong, en particular el caso de Jimmy Lai</w:t>
      </w:r>
      <w:r w:rsidRPr="005400F9">
        <w:rPr>
          <w:rStyle w:val="FootnoteReference"/>
        </w:rPr>
        <w:footnoteReference w:id="12"/>
      </w:r>
      <w:r w:rsidRPr="005400F9">
        <w:t>,</w:t>
      </w:r>
    </w:p>
    <w:p w14:paraId="6EE7437C" w14:textId="77777777" w:rsidR="00FA44B8" w:rsidRPr="005400F9" w:rsidRDefault="00FA44B8" w:rsidP="00FA44B8">
      <w:pPr>
        <w:pStyle w:val="NormalHanging12a"/>
      </w:pPr>
      <w:r w:rsidRPr="005400F9">
        <w:t>–</w:t>
      </w:r>
      <w:r w:rsidRPr="005400F9">
        <w:tab/>
        <w:t>Vista la revisión intermedia del Instrumento de Vecindad, Cooperación al Desarrollo y Cooperación Internacional - Europa Global,</w:t>
      </w:r>
    </w:p>
    <w:p w14:paraId="3914D0C0" w14:textId="77777777" w:rsidR="00FA44B8" w:rsidRPr="005400F9" w:rsidRDefault="00FA44B8" w:rsidP="00FA44B8">
      <w:pPr>
        <w:pStyle w:val="NormalHanging12a"/>
      </w:pPr>
      <w:r w:rsidRPr="005400F9">
        <w:t>–</w:t>
      </w:r>
      <w:r w:rsidRPr="005400F9">
        <w:tab/>
        <w:t>Vistas su Resolución, de 1 de junio de 2023, sobre las injerencias extranjeras en todos los procesos democráticos de la Unión Europea, en particular la desinformación</w:t>
      </w:r>
      <w:r w:rsidRPr="005400F9">
        <w:rPr>
          <w:rStyle w:val="FootnoteReference"/>
        </w:rPr>
        <w:footnoteReference w:id="13"/>
      </w:r>
      <w:r w:rsidRPr="005400F9">
        <w:t>, y su Resolución, de 9 de marzo de 2022, sobre las injerencias extranjeras en todos los procesos democráticos de la Unión Europea, incluida la desinformación</w:t>
      </w:r>
      <w:r w:rsidRPr="005400F9">
        <w:rPr>
          <w:rStyle w:val="FootnoteReference"/>
        </w:rPr>
        <w:footnoteReference w:id="14"/>
      </w:r>
      <w:r w:rsidRPr="005400F9">
        <w:t>,</w:t>
      </w:r>
    </w:p>
    <w:p w14:paraId="6E993462" w14:textId="77777777" w:rsidR="00FA44B8" w:rsidRPr="005400F9" w:rsidRDefault="00FA44B8" w:rsidP="00FA44B8">
      <w:pPr>
        <w:pStyle w:val="NormalHanging12a"/>
      </w:pPr>
      <w:r w:rsidRPr="005400F9">
        <w:t>–</w:t>
      </w:r>
      <w:r w:rsidRPr="005400F9">
        <w:tab/>
        <w:t>Vistas sus Resoluciones sobre casos de violaciones de los derechos humanos, de la democracia y del Estado de Derecho, de conformidad con el artículo 144 de su Reglamento interno,</w:t>
      </w:r>
    </w:p>
    <w:p w14:paraId="067B7D41" w14:textId="77777777" w:rsidR="00FA44B8" w:rsidRPr="005400F9" w:rsidRDefault="00FA44B8" w:rsidP="00FA44B8">
      <w:pPr>
        <w:pStyle w:val="NormalHanging12a"/>
      </w:pPr>
      <w:r w:rsidRPr="005400F9">
        <w:t>–</w:t>
      </w:r>
      <w:r w:rsidRPr="005400F9">
        <w:tab/>
        <w:t>Vistos el Plan de Acción en materia de Género III de la UE (GAP III) para la igualdad de género y el empoderamiento de la mujer en la acción exterior 2021-2025, y el Plan de Acción de la UE sobre las Mujeres, la Paz y la Seguridad 2019-2024,</w:t>
      </w:r>
    </w:p>
    <w:p w14:paraId="4A80DE96" w14:textId="77777777" w:rsidR="00FA44B8" w:rsidRPr="005400F9" w:rsidRDefault="00FA44B8" w:rsidP="00FA44B8">
      <w:pPr>
        <w:pStyle w:val="NormalHanging12a"/>
      </w:pPr>
      <w:r w:rsidRPr="005400F9">
        <w:t>–</w:t>
      </w:r>
      <w:r w:rsidRPr="005400F9">
        <w:tab/>
        <w:t>Vista la Decisión de Ejecución (UE) 2022/382 del Consejo, de 4 de marzo de 2022, por la que se constata la existencia de una afluencia masiva de personas desplazadas procedentes de Ucrania en el sentido del artículo 5 de la Directiva 2001/55/CE y con el efecto de que se inicie la protección temporal</w:t>
      </w:r>
      <w:r w:rsidRPr="005400F9">
        <w:rPr>
          <w:rStyle w:val="FootnoteReference"/>
        </w:rPr>
        <w:footnoteReference w:id="15"/>
      </w:r>
      <w:r w:rsidRPr="005400F9">
        <w:t>, que estableció la protección temporal para las personas que huyen de la guerra de agresión de Rusia contra Ucrania,</w:t>
      </w:r>
    </w:p>
    <w:p w14:paraId="4CE7EE44" w14:textId="77777777" w:rsidR="00FA44B8" w:rsidRPr="005400F9" w:rsidRDefault="00FA44B8" w:rsidP="00FA44B8">
      <w:pPr>
        <w:pStyle w:val="NormalHanging12a"/>
      </w:pPr>
      <w:r w:rsidRPr="005400F9">
        <w:t>–</w:t>
      </w:r>
      <w:r w:rsidRPr="005400F9">
        <w:tab/>
        <w:t>Vista la Declaración de Reikiavik del Consejo de Europa titulada «United around our values» (Unidos en torno a nuestros valores), de los días 16 y 17 de mayo de 2023,</w:t>
      </w:r>
    </w:p>
    <w:p w14:paraId="78AC955E" w14:textId="77777777" w:rsidR="00FA44B8" w:rsidRPr="005400F9" w:rsidRDefault="00FA44B8" w:rsidP="00FA44B8">
      <w:pPr>
        <w:pStyle w:val="NormalHanging12a"/>
      </w:pPr>
      <w:r w:rsidRPr="005400F9">
        <w:t>–</w:t>
      </w:r>
      <w:r w:rsidRPr="005400F9">
        <w:tab/>
        <w:t>Vistas la declaración sobre la futura adhesión de Bielorrusia a la Unión Europea, la declaración de las fuerzas democráticas de Bielorrusia sobre la solidaridad con el pueblo de Ucrania y la declaración política de las fuerzas democráticas de Bielorrusia, todas ellas adoptadas en la conferencia «New Belarus» (Nueva Bielorrusia) el 6 de agosto de 2023,</w:t>
      </w:r>
    </w:p>
    <w:p w14:paraId="0FEB4238" w14:textId="77777777" w:rsidR="00FA44B8" w:rsidRPr="005400F9" w:rsidRDefault="00FA44B8" w:rsidP="00FA44B8">
      <w:pPr>
        <w:pStyle w:val="NormalHanging12a"/>
        <w:widowControl/>
      </w:pPr>
      <w:r w:rsidRPr="005400F9">
        <w:t>–</w:t>
      </w:r>
      <w:r w:rsidRPr="005400F9">
        <w:tab/>
        <w:t>Vista su Resolución, de 13 de julio de 2023, sobre las recomendaciones de reforma de las normas del Parlamento Europeo en materia de transparencia, integridad, rendición de cuentas y lucha contra la corrupción</w:t>
      </w:r>
      <w:r w:rsidRPr="005400F9">
        <w:rPr>
          <w:rStyle w:val="FootnoteReference"/>
        </w:rPr>
        <w:footnoteReference w:id="16"/>
      </w:r>
      <w:r w:rsidRPr="005400F9">
        <w:t>,</w:t>
      </w:r>
    </w:p>
    <w:p w14:paraId="4F58169D" w14:textId="77777777" w:rsidR="00FA44B8" w:rsidRPr="005400F9" w:rsidRDefault="00FA44B8" w:rsidP="00FA44B8">
      <w:pPr>
        <w:pStyle w:val="NormalHanging12a"/>
      </w:pPr>
      <w:r w:rsidRPr="005400F9">
        <w:t>–</w:t>
      </w:r>
      <w:r w:rsidRPr="005400F9">
        <w:tab/>
        <w:t>Visto el informe, de 9 de mayo de 2022, sobre el resultado final de la Conferencia sobre el Futuro de Europa,</w:t>
      </w:r>
    </w:p>
    <w:p w14:paraId="01686EB0" w14:textId="639266EB" w:rsidR="00FA44B8" w:rsidRDefault="00FA44B8" w:rsidP="00FA44B8">
      <w:pPr>
        <w:pStyle w:val="NormalHanging12a"/>
      </w:pPr>
      <w:r w:rsidRPr="005400F9">
        <w:t>–</w:t>
      </w:r>
      <w:r w:rsidRPr="005400F9">
        <w:tab/>
        <w:t>Visto el estudio titulado «Qualified majority voting in common foreign and security policy – A cost of non-Europe report» (Votación por mayoría cualificada en la política exterior y de seguridad común – Informe sobre el «coste de la no Europa»), publicado por su Dirección General de Servicios de Estudios Parlamentarios el 28 de agosto de 2023</w:t>
      </w:r>
      <w:r w:rsidRPr="005400F9">
        <w:rPr>
          <w:rStyle w:val="FootnoteReference"/>
        </w:rPr>
        <w:footnoteReference w:id="17"/>
      </w:r>
      <w:r w:rsidRPr="005400F9">
        <w:t>,</w:t>
      </w:r>
    </w:p>
    <w:p w14:paraId="02833C70" w14:textId="79E73FAA" w:rsidR="00752DEE" w:rsidRPr="00752DEE" w:rsidRDefault="00752DEE" w:rsidP="00FA44B8">
      <w:pPr>
        <w:pStyle w:val="NormalHanging12a"/>
      </w:pPr>
      <w:r w:rsidRPr="00752DEE">
        <w:t>–</w:t>
      </w:r>
      <w:r w:rsidRPr="00752DEE">
        <w:tab/>
      </w:r>
      <w:r w:rsidRPr="00643C65">
        <w:t>Vista su Recomendación, de febrero de 1999, sobre la creación de un Cuerpo Civil Europeo de Pacificación</w:t>
      </w:r>
      <w:r>
        <w:rPr>
          <w:rStyle w:val="FootnoteReference"/>
        </w:rPr>
        <w:footnoteReference w:id="18"/>
      </w:r>
      <w:r w:rsidRPr="00643C65">
        <w:t>;</w:t>
      </w:r>
    </w:p>
    <w:p w14:paraId="1E6B0DC3" w14:textId="77777777" w:rsidR="00FA44B8" w:rsidRPr="005400F9" w:rsidRDefault="00FA44B8" w:rsidP="00FA44B8">
      <w:pPr>
        <w:pStyle w:val="NormalHanging12a"/>
      </w:pPr>
      <w:r w:rsidRPr="005400F9">
        <w:t>–</w:t>
      </w:r>
      <w:r w:rsidRPr="005400F9">
        <w:tab/>
        <w:t>Visto el artículo 54 de su Reglamento interno,</w:t>
      </w:r>
    </w:p>
    <w:p w14:paraId="0BFBB1AF" w14:textId="77777777" w:rsidR="00FA44B8" w:rsidRPr="005400F9" w:rsidRDefault="00FA44B8" w:rsidP="00FA44B8">
      <w:pPr>
        <w:pStyle w:val="NormalHanging12a"/>
      </w:pPr>
      <w:r w:rsidRPr="005400F9">
        <w:t>–</w:t>
      </w:r>
      <w:r w:rsidRPr="005400F9">
        <w:tab/>
        <w:t>Visto el informe de la Comisión de Asuntos Exteriores (A9‑0389/2023),</w:t>
      </w:r>
    </w:p>
    <w:p w14:paraId="51DC3C42" w14:textId="77777777" w:rsidR="00FA44B8" w:rsidRPr="005400F9" w:rsidRDefault="00FA44B8" w:rsidP="00FA44B8">
      <w:pPr>
        <w:pStyle w:val="NormalHanging12a"/>
      </w:pPr>
      <w:r w:rsidRPr="005400F9">
        <w:t>A.</w:t>
      </w:r>
      <w:r w:rsidRPr="005400F9">
        <w:tab/>
        <w:t>Considerando que el orden internacional basado en normas se ve cada vez más amenazado por agentes autocráticos que, en solitario o actuando de manera concertada, intentan socavar las organizaciones multilaterales o influir en ellas, crear organizaciones competidoras, causar desestabilización mediante una vuelta al pensamiento basado en las esferas de influencia, y amenazar el orden internacional basado en normas la seguridad mundial y regional;</w:t>
      </w:r>
    </w:p>
    <w:p w14:paraId="0900A295" w14:textId="77777777" w:rsidR="00FA44B8" w:rsidRPr="005400F9" w:rsidRDefault="00FA44B8" w:rsidP="00FA44B8">
      <w:pPr>
        <w:pStyle w:val="NormalHanging12a"/>
      </w:pPr>
      <w:r w:rsidRPr="005400F9">
        <w:t>B.</w:t>
      </w:r>
      <w:r w:rsidRPr="005400F9">
        <w:tab/>
        <w:t>Considerando que estos agentes cada vez más autocráticos también suponen una amenaza para la universalidad de los derechos humanos y menoscaban las normas democráticas en todo el mundo; que la Unión y sus socios afines deben defender con carácter prioritario el orden internacional basado en normas;</w:t>
      </w:r>
    </w:p>
    <w:p w14:paraId="7869EDD1" w14:textId="77777777" w:rsidR="00FA44B8" w:rsidRPr="005400F9" w:rsidRDefault="00FA44B8" w:rsidP="00FA44B8">
      <w:pPr>
        <w:pStyle w:val="NormalHanging12a"/>
      </w:pPr>
      <w:r w:rsidRPr="005400F9">
        <w:t>C.</w:t>
      </w:r>
      <w:r w:rsidRPr="005400F9">
        <w:tab/>
        <w:t>Considerando que la guerra de agresión de Rusia contra Ucrania y sus consecuencias, como la incertidumbre económica, la inseguridad alimentaria y los elevados precios de la energía, han aumentado la inestabilidad en la vecindad inmediata de la Unión, lo que ha llevado a la Unión a dar una prioridad renovada a su política de ampliación, que sigue siendo su instrumento de política exterior más eficaz;</w:t>
      </w:r>
    </w:p>
    <w:p w14:paraId="12D553E7" w14:textId="35443CE0" w:rsidR="00FA44B8" w:rsidRPr="005400F9" w:rsidRDefault="00FA44B8" w:rsidP="00FA44B8">
      <w:pPr>
        <w:pStyle w:val="NormalHanging12a"/>
      </w:pPr>
      <w:r w:rsidRPr="005400F9">
        <w:t>D.</w:t>
      </w:r>
      <w:r w:rsidRPr="005400F9">
        <w:tab/>
      </w:r>
      <w:r w:rsidR="00752DEE" w:rsidRPr="00752DEE">
        <w:t xml:space="preserve">Considerando que, </w:t>
      </w:r>
      <w:r w:rsidR="00752DEE" w:rsidRPr="00643C65">
        <w:t>el Consejo Europeo, de los días 14 y 15 de diciembre, refrendó</w:t>
      </w:r>
      <w:r w:rsidR="00752DEE" w:rsidRPr="00752DEE">
        <w:t xml:space="preserve"> el paquete de ampliación de 2023 presentado </w:t>
      </w:r>
      <w:r w:rsidR="00752DEE" w:rsidRPr="00643C65">
        <w:t xml:space="preserve">por la Comisión </w:t>
      </w:r>
      <w:r w:rsidR="00752DEE" w:rsidRPr="00752DEE">
        <w:t xml:space="preserve">el 8 de noviembre de 2023, </w:t>
      </w:r>
      <w:r w:rsidR="00752DEE" w:rsidRPr="00643C65">
        <w:t>recomendando así</w:t>
      </w:r>
      <w:r w:rsidR="00752DEE" w:rsidRPr="00752DEE">
        <w:t xml:space="preserve"> la apertura de las negociaciones de adhesión con Ucrania y la República de Moldavia, la apertura de las negociaciones de adhesión con Bosnia y Herzegovina una vez alcanzado el grado necesario de cumplimiento de los criterios de adhesión, y la concesión del estatuto de país candidato a Georgia, entendiéndose que aún deben adoptarse determinadas medidas; que </w:t>
      </w:r>
      <w:r w:rsidR="00752DEE" w:rsidRPr="00643C65">
        <w:t>el</w:t>
      </w:r>
      <w:r w:rsidR="00752DEE" w:rsidRPr="00752DEE">
        <w:t xml:space="preserve"> Plan de crecimiento para los Balcanes Occidentales</w:t>
      </w:r>
      <w:r w:rsidR="00752DEE" w:rsidRPr="00643C65">
        <w:t xml:space="preserve"> se ha</w:t>
      </w:r>
      <w:r w:rsidR="00752DEE" w:rsidRPr="00752DEE">
        <w:t xml:space="preserve"> diseñado para impulsar la integración económica en los Balcanes Occidentales y colmar la brecha socioeconómica entre la Unión y nuestros socios de aquí a finales de esta década; que se liberarán fondos tras la presentación de los distintos programas de reforma; que la política de ampliación debe regirse por los criterios de Copenhague y seguir siendo un proceso basado en los méritos; que la Unión debe acelerar su política de ampliación mientras los países en vías de adhesión continúan el proceso de reformas y alcanzan los criterios de referencia requeridos; que unos mensajes coherentes y un itinerario claro hacia la integración de los países candidatos son fundamentales para mantener viva la perspectiva proeuropea; que los países de los Balcanes Occidentales deben concentrar sus esfuerzos en la resolución de conflictos, la reconciliación, la armonización con la política exterior y de seguridad común (PESC), la cooperación mutua y las reformas para alcanzar la seguridad común y la estabilidad de la región</w:t>
      </w:r>
      <w:r w:rsidRPr="005400F9">
        <w:t>;</w:t>
      </w:r>
    </w:p>
    <w:p w14:paraId="1D008AD4" w14:textId="77777777" w:rsidR="00FA44B8" w:rsidRPr="005400F9" w:rsidRDefault="00FA44B8" w:rsidP="00FA44B8">
      <w:pPr>
        <w:pStyle w:val="NormalHanging12a"/>
      </w:pPr>
      <w:r w:rsidRPr="005400F9">
        <w:t>E.</w:t>
      </w:r>
      <w:r w:rsidRPr="005400F9">
        <w:tab/>
        <w:t>Considerando que la estabilidad en el mar Báltico y en el mar Negro es fundamental para la seguridad de Europa, en particular para su seguridad energética, tal como han señalado la Brújula Estratégica de la UE y la OTAN, y que, por tanto, son necesarias estrategias globales y medidas significativas; que la Unión no se puede entender como un actor mundial eficaz y creíble si no es capaz de proporcionar seguridad a sus vecinos inmediatos;</w:t>
      </w:r>
    </w:p>
    <w:p w14:paraId="38DAAC8D" w14:textId="7A922166" w:rsidR="00FA44B8" w:rsidRDefault="00FA44B8" w:rsidP="00FA44B8">
      <w:pPr>
        <w:pStyle w:val="NormalHanging12a"/>
      </w:pPr>
      <w:r w:rsidRPr="005400F9">
        <w:t>F.</w:t>
      </w:r>
      <w:r w:rsidRPr="005400F9">
        <w:tab/>
        <w:t>Considerando que el Consejo ha prorrogado la protección temporal para las personas que huyen de la guerra de agresión de Rusia contra Ucrania del 4 de marzo de 2024 al 4 de marzo de 2025;</w:t>
      </w:r>
    </w:p>
    <w:p w14:paraId="53184ECC" w14:textId="2AF8725B" w:rsidR="00752DEE" w:rsidRPr="00752DEE" w:rsidRDefault="00495DC9" w:rsidP="00FA44B8">
      <w:pPr>
        <w:pStyle w:val="NormalHanging12a"/>
      </w:pPr>
      <w:r>
        <w:t>G</w:t>
      </w:r>
      <w:r w:rsidR="00752DEE" w:rsidRPr="00643C65">
        <w:t>.</w:t>
      </w:r>
      <w:r w:rsidR="00752DEE" w:rsidRPr="00752DEE">
        <w:tab/>
      </w:r>
      <w:r w:rsidR="00752DEE" w:rsidRPr="00643C65">
        <w:t>Considerando que, el 1 de febrero de 2024, el Consejo alcanzó un acuerdo sobre la revisión del marco financiero plurianual (MFP) 2021-2027, incluida la provisión de un Mecanismo para Ucrania por valor de 50 000</w:t>
      </w:r>
      <w:r w:rsidR="00752DEE">
        <w:t> 000 000</w:t>
      </w:r>
      <w:r w:rsidR="00752DEE" w:rsidRPr="00643C65">
        <w:t> EUR, con el fin de proporcionar un apoyo coherente, predecible y flexible a la recuperación, la reconstrucción y la modernización de Ucrania en el período 2024-2027;</w:t>
      </w:r>
    </w:p>
    <w:p w14:paraId="381A6647" w14:textId="15E03365" w:rsidR="00FA44B8" w:rsidRPr="005400F9" w:rsidRDefault="00495DC9" w:rsidP="00FA44B8">
      <w:pPr>
        <w:pStyle w:val="NormalHanging12a"/>
      </w:pPr>
      <w:r>
        <w:t>H</w:t>
      </w:r>
      <w:r w:rsidR="00FA44B8" w:rsidRPr="005400F9">
        <w:t>.</w:t>
      </w:r>
      <w:r w:rsidR="00FA44B8" w:rsidRPr="005400F9">
        <w:tab/>
        <w:t>Considerando que la guerra de agresión rusa ha reafirmado el papel de la OTAN como piedra angular de la defensa colectiva de sus miembros y ha confirmado una vez más el carácter indispensable de un fuerte vínculo transatlántico; que la decisión de la OTAN de comprometer un mínimo del 2 % del producto interior bruto al gasto en defensa solo ha sido aplicada por unos pocos Estados miembros de la Unión que pertenecen a la OTAN; que la intención de Rusia de desmantelar la arquitectura de seguridad euroatlántica ha fracasado estrepitosamente gracias a la heroica defensa de Ucrania y a la rápida y decisiva respuesta de los aliados de la OTAN;</w:t>
      </w:r>
    </w:p>
    <w:p w14:paraId="67D28F74" w14:textId="5520713F" w:rsidR="00FA44B8" w:rsidRDefault="00495DC9" w:rsidP="00FA44B8">
      <w:pPr>
        <w:pStyle w:val="NormalHanging12a"/>
      </w:pPr>
      <w:r>
        <w:t>I</w:t>
      </w:r>
      <w:r w:rsidR="00FA44B8" w:rsidRPr="005400F9">
        <w:t>.</w:t>
      </w:r>
      <w:r w:rsidR="00FA44B8" w:rsidRPr="005400F9">
        <w:tab/>
        <w:t>Considerando que la guerra de agresión de Rusia contra Ucrania ha acentuado la necesidad de una acción de la Unión más ambiciosa, creíble, estratégica y unificada en la escena mundial y de que los Estados miembros demuestren la voluntad política necesaria para reforzar la PESC y transformarla en una verdadera política europea;</w:t>
      </w:r>
    </w:p>
    <w:p w14:paraId="6CFDC870" w14:textId="6023CFAC" w:rsidR="00752DEE" w:rsidRDefault="00495DC9" w:rsidP="00FA44B8">
      <w:pPr>
        <w:pStyle w:val="NormalHanging12a"/>
      </w:pPr>
      <w:r>
        <w:t>J</w:t>
      </w:r>
      <w:r w:rsidR="00752DEE" w:rsidRPr="00643C65">
        <w:t>.</w:t>
      </w:r>
      <w:r w:rsidR="00752DEE" w:rsidRPr="00752DEE">
        <w:tab/>
      </w:r>
      <w:r w:rsidR="00752DEE" w:rsidRPr="00643C65">
        <w:t>Considerando que el Premio Sájarov a la Libertad de Conciencia de 2021 fue concedido al político de la oposición rusa Alexéi Navalny; que este llevaba encarcelado desde febrero de 2021 en condiciones inhumanas, los últimos tiempos en Yamalo-Nenets, en Siberia Occidental, donde fue asesinado el 16 de febrero de 2024; que la responsabilidad última de este asesinato recae en el presidente Putin y las autoridades rusas; que esto es una muestra del carácter cruel e implacable del régimen totalitario de Putin; que el asesinato de Navalny debe ser una llamada de atención a la Unión, que la anime a reforzar su apoyo a Ucrania y a fortalecer sus instrumentos de defensa de la democracia y los derechos humanos tanto dentro como fuera de la Unión;</w:t>
      </w:r>
    </w:p>
    <w:p w14:paraId="51CC7BA8" w14:textId="200B70CB" w:rsidR="00752DEE" w:rsidRPr="00752DEE" w:rsidRDefault="003844E7" w:rsidP="00FA44B8">
      <w:pPr>
        <w:pStyle w:val="NormalHanging12a"/>
      </w:pPr>
      <w:r>
        <w:t>K</w:t>
      </w:r>
      <w:r w:rsidR="00752DEE" w:rsidRPr="00643C65">
        <w:t>.</w:t>
      </w:r>
      <w:r w:rsidR="00752DEE" w:rsidRPr="00752DEE">
        <w:tab/>
      </w:r>
      <w:r w:rsidR="00752DEE" w:rsidRPr="00643C65">
        <w:t>Considerando que los ataques terroristas perpetrados por Hamás contra Israel han puesto de relieve el carácter inestable y cambiante de la situación en materia de seguridad en Oriente Próximo y la necesidad de que la Unión y otros agentes internacionales asuman una mayor responsabilidad y ayuden a los gobiernos y a las organizaciones de la sociedad civil de la región a alcanzar una paz duradera y sostenible, en particular manteniendo su apoyo a una solución de dos Estados entre Israel y Palestina; que, el 7 de octubre de 2023, fueron asesinados 1 139 ciudadanos israelíes y de otras nacionalidades y 240 personas fueron tomadas como rehenes durante el despreciable atentado terrorista perpetrado por Hamás; que decenas de miles de palestinos inocentes y cientos de miembros del personal de las Naciones Unidas, de miembros del personal médico y de periodistas han sido asesinados en la Franja de Gaza como consecuencia de la respuesta del Gobierno israelí; que el bombardeo continuo y la evacuación forzosa de palestinos al sur de la Franja de Gaza han creado una situación humanitaria grave y en rápido deterioro; que los ataques de las fuerzas y los colonos israelíes han acabado con la vida de al menos 330 palestinos en Cisjordania desde el 7 de octubre de 2023; que la Corte Internacional de Justicia, en su resolución provisional, ordenó a Israel que aplicara medidas provisionales en el asunto «Aplicación de la Convención para la Prevención y la Sanción del Delito de Genocidio en la Franja de Gaza» (Sudáfrica/Israel);</w:t>
      </w:r>
    </w:p>
    <w:p w14:paraId="13D630EE" w14:textId="7A05D4BC" w:rsidR="00FA44B8" w:rsidRPr="005400F9" w:rsidRDefault="003844E7" w:rsidP="00FA44B8">
      <w:pPr>
        <w:pStyle w:val="NormalHanging12a"/>
      </w:pPr>
      <w:r>
        <w:t>L</w:t>
      </w:r>
      <w:r w:rsidR="00FA44B8" w:rsidRPr="005400F9">
        <w:t>.</w:t>
      </w:r>
      <w:r w:rsidR="00FA44B8" w:rsidRPr="00752DEE">
        <w:tab/>
      </w:r>
      <w:r w:rsidR="00752DEE" w:rsidRPr="00752DEE">
        <w:t xml:space="preserve">Considerando que existe una necesidad urgente de </w:t>
      </w:r>
      <w:r w:rsidR="00752DEE" w:rsidRPr="00643C65">
        <w:t>mejorar las capacidades</w:t>
      </w:r>
      <w:r w:rsidR="00752DEE" w:rsidRPr="00752DEE">
        <w:t xml:space="preserve"> de la Unión y sus Estados miembros, también en el ámbito de la política de defensa, lo que permitirá a la Unión defender </w:t>
      </w:r>
      <w:r w:rsidR="00752DEE" w:rsidRPr="00643C65">
        <w:t>mejor</w:t>
      </w:r>
      <w:r w:rsidR="00752DEE" w:rsidRPr="00752DEE">
        <w:t xml:space="preserve"> sus intereses sin dependencias indebidas de terceros países</w:t>
      </w:r>
      <w:r w:rsidR="00752DEE" w:rsidRPr="00643C65">
        <w:t xml:space="preserve">, pero en estrecha cooperación con sus aliados, </w:t>
      </w:r>
      <w:r w:rsidR="00752DEE" w:rsidRPr="00752DEE">
        <w:t>promover sus valores y reforzar su contribución al multilateralismo mundial, a la resolución pacífica de conflictos y al desarrollo de la democracia, el Estado de Derecho y los derechos fundamentales en todo el mundo</w:t>
      </w:r>
      <w:r w:rsidR="00FA44B8" w:rsidRPr="005400F9">
        <w:t>;</w:t>
      </w:r>
    </w:p>
    <w:p w14:paraId="1B1FE17F" w14:textId="4CBF3AD7" w:rsidR="00FA44B8" w:rsidRPr="005400F9" w:rsidRDefault="003844E7" w:rsidP="00FA44B8">
      <w:pPr>
        <w:pStyle w:val="NormalHanging12a"/>
      </w:pPr>
      <w:r>
        <w:t>M</w:t>
      </w:r>
      <w:r w:rsidR="00FA44B8" w:rsidRPr="005400F9">
        <w:t>.</w:t>
      </w:r>
      <w:r w:rsidR="00FA44B8" w:rsidRPr="005400F9">
        <w:tab/>
        <w:t>Considerando que el aumento de la inestabilidad y volatilidad del panorama internacional plantea amenazas multidimensionales para la seguridad y la estabilidad de la Unión; que la Unión debe fortalecer las relaciones transatlánticas en respuesta a esta situación y formar asociaciones estratégicas basadas en el respeto y la confianza mutua con socios afines en el Sur Global;</w:t>
      </w:r>
    </w:p>
    <w:p w14:paraId="311A801B" w14:textId="62B6D3F9" w:rsidR="00FA44B8" w:rsidRDefault="003844E7" w:rsidP="00FA44B8">
      <w:pPr>
        <w:pStyle w:val="NormalHanging12a"/>
      </w:pPr>
      <w:r>
        <w:t>N</w:t>
      </w:r>
      <w:r w:rsidR="00FA44B8" w:rsidRPr="005400F9">
        <w:t>.</w:t>
      </w:r>
      <w:r w:rsidR="00FA44B8" w:rsidRPr="005400F9">
        <w:tab/>
        <w:t xml:space="preserve">Considerando que, el 19 de septiembre de 2023, Azerbaiyán puso en marcha una ofensiva militar no provocada </w:t>
      </w:r>
      <w:r w:rsidR="00752DEE" w:rsidRPr="00643C65">
        <w:t xml:space="preserve">para recuperar, por la fuerza, el control sobre su territorio reconocido internacionalmente de </w:t>
      </w:r>
      <w:r w:rsidR="00752DEE" w:rsidRPr="00752DEE">
        <w:t xml:space="preserve">Nagorno Karabaj, que finalizó en </w:t>
      </w:r>
      <w:r w:rsidR="00752DEE" w:rsidRPr="00643C65">
        <w:t>el éxodo de la población armenia de este territorio</w:t>
      </w:r>
      <w:r w:rsidR="00FA44B8" w:rsidRPr="005400F9">
        <w:t>; que las nuevas hostilidades en el Cáucaso meridional son motivo de grave preocupación y requieren una participación más proactiva de la Unión en la región;</w:t>
      </w:r>
      <w:r w:rsidR="00752DEE" w:rsidRPr="00752DEE">
        <w:t xml:space="preserve"> </w:t>
      </w:r>
      <w:r w:rsidR="00752DEE" w:rsidRPr="00643C65">
        <w:t>que todas las instituciones estatales de la denominada República de Nagorno Karabaj han sido disueltas desde el 1 de enero de 2024;</w:t>
      </w:r>
      <w:r w:rsidR="00752DEE">
        <w:t xml:space="preserve"> </w:t>
      </w:r>
      <w:r w:rsidR="00752DEE" w:rsidRPr="00643C65">
        <w:t>que las perspectivas para normalizar las relaciones entre Armenia y Azerbaiyán siguen siendo frágiles, por lo que la Unión debe apoyar y alentar a ambas partes en su camino hacia la consecución de un acuerdo de paz histórico, en particular ofreciendo perspectivas de integración más estrecha con la Unión, si deciden seguir por esa vía;</w:t>
      </w:r>
    </w:p>
    <w:p w14:paraId="4D108E2C" w14:textId="41244274" w:rsidR="00FE1A5C" w:rsidRDefault="003844E7" w:rsidP="00FA44B8">
      <w:pPr>
        <w:pStyle w:val="NormalHanging12a"/>
      </w:pPr>
      <w:r>
        <w:t>O</w:t>
      </w:r>
      <w:r w:rsidR="00FE1A5C" w:rsidRPr="00643C65">
        <w:t>.</w:t>
      </w:r>
      <w:r w:rsidR="00FE1A5C" w:rsidRPr="00FE1A5C">
        <w:tab/>
      </w:r>
      <w:r w:rsidR="00FE1A5C" w:rsidRPr="00643C65">
        <w:t>Considerando que Israel tiene un derecho reconocido internacionalmente a defenderse de la amenaza terrorista que supone Hamás en la Franja de Gaza; que los atentados terroristas perpetrados por Hamás contra Israel el 7 de octubre de 2023 han puesto de relieve la volatilidad de la situación en materia de seguridad en Oriente Próximo; que el riesgo de escalada en la región es el más elevado desde hace décadas, lo que aumenta la necesidad de que la Unión y otros actores internacionales asuman una mayor responsabilidad con respecto a una paz duradera y sostenible, en particular mediante el apoyo a una solución de dos Estados para Israel y Palestina;</w:t>
      </w:r>
    </w:p>
    <w:p w14:paraId="15A87EA7" w14:textId="44EF6EDA" w:rsidR="00FE1A5C" w:rsidRPr="00FE1A5C" w:rsidRDefault="003844E7" w:rsidP="00643C65">
      <w:pPr>
        <w:widowControl/>
        <w:autoSpaceDE w:val="0"/>
        <w:autoSpaceDN w:val="0"/>
        <w:adjustRightInd w:val="0"/>
        <w:spacing w:after="240"/>
        <w:ind w:left="567" w:hanging="567"/>
      </w:pPr>
      <w:r>
        <w:t>P</w:t>
      </w:r>
      <w:r w:rsidR="00FE1A5C">
        <w:t>.</w:t>
      </w:r>
      <w:r w:rsidR="00FE1A5C">
        <w:tab/>
        <w:t>C</w:t>
      </w:r>
      <w:r w:rsidR="00FE1A5C" w:rsidRPr="00FE1A5C">
        <w:t>onsiderando que es necesario un enfoque global de consolidación de la paz en el que participen especialistas civiles a fin de aplicar medidas prácticas en pro de la paz; considerando que las organizaciones no gubernamentales locales e internacionales realizan actividades cruciales destinadas a prevenir los conflictos y resolverlos pacíficamente, y que es de suma importancia aprovechar al máximo su experiencia</w:t>
      </w:r>
      <w:r w:rsidR="00FE1A5C" w:rsidRPr="00643C65">
        <w:t>;</w:t>
      </w:r>
    </w:p>
    <w:p w14:paraId="60B163C6" w14:textId="1AEED053" w:rsidR="00FA44B8" w:rsidRPr="005400F9" w:rsidRDefault="003844E7" w:rsidP="00FA44B8">
      <w:pPr>
        <w:pStyle w:val="NormalHanging12a"/>
      </w:pPr>
      <w:r>
        <w:t>Q</w:t>
      </w:r>
      <w:r w:rsidR="00FA44B8" w:rsidRPr="005400F9">
        <w:t>.</w:t>
      </w:r>
      <w:r w:rsidR="00FA44B8" w:rsidRPr="005400F9">
        <w:tab/>
        <w:t>Considerando que el aumento de la inestabilidad en la vecindad meridional de la Unión y en el Mediterráneo en general, así como en el Sahel y en África subsahariana, plantea serios retos para la seguridad y la estabilidad de la Unión, y para su capacidad para convertirse en actor decisivo en la escena internacional;</w:t>
      </w:r>
    </w:p>
    <w:p w14:paraId="104D8637" w14:textId="56BAC3F6" w:rsidR="00FA44B8" w:rsidRPr="005400F9" w:rsidRDefault="003844E7" w:rsidP="00FA44B8">
      <w:pPr>
        <w:pStyle w:val="NormalHanging12a"/>
      </w:pPr>
      <w:r>
        <w:t>R</w:t>
      </w:r>
      <w:r w:rsidR="00FA44B8" w:rsidRPr="005400F9">
        <w:t>.</w:t>
      </w:r>
      <w:r w:rsidR="00FA44B8" w:rsidRPr="005400F9">
        <w:tab/>
        <w:t>Considerando que las tensiones en la región indopacífica están adquiriendo mayor importancia, en particular dada la postura cada vez más asertiva adoptada por la República Popular China frente a Taiwán;</w:t>
      </w:r>
    </w:p>
    <w:p w14:paraId="092292F2" w14:textId="55FC9CF7" w:rsidR="00FA44B8" w:rsidRPr="005400F9" w:rsidRDefault="003844E7" w:rsidP="00FA44B8">
      <w:pPr>
        <w:pStyle w:val="NormalHanging12a"/>
      </w:pPr>
      <w:r>
        <w:t>S</w:t>
      </w:r>
      <w:r w:rsidR="00FA44B8" w:rsidRPr="005400F9">
        <w:t>.</w:t>
      </w:r>
      <w:r w:rsidR="00FA44B8" w:rsidRPr="005400F9">
        <w:tab/>
        <w:t>Considerando que el deterioro de la libertad de los medios de comunicación, los ataques que sufren los periodistas, la difusión de desinformación y las injerencias extranjeras suponen una amenaza para las democracias y la seguridad de la Unión; que la Unión debe cooperar con socios afines para defender la libertad de los medios de comunicación y la libertad de expresión y contrarrestar la desinformación y las injerencias extranjeras en terceros países;</w:t>
      </w:r>
    </w:p>
    <w:p w14:paraId="0E6C12C7" w14:textId="571E9F73" w:rsidR="00FA44B8" w:rsidRPr="005400F9" w:rsidRDefault="003844E7" w:rsidP="00FA44B8">
      <w:pPr>
        <w:pStyle w:val="NormalHanging12a"/>
      </w:pPr>
      <w:r>
        <w:t>T</w:t>
      </w:r>
      <w:r w:rsidR="00FA44B8" w:rsidRPr="005400F9">
        <w:t>.</w:t>
      </w:r>
      <w:r w:rsidR="00FA44B8" w:rsidRPr="005400F9">
        <w:tab/>
        <w:t>Considerando que las consecuencias del cambio climático están teniendo un efecto cada vez más grave en diferentes aspectos de la vida humana, en particular el orden geopolítico y la seguridad y la estabilidad mundiales; que es de vital importancia que la lucha contra el cambio climático, que requiere una acción por el clima, ayude a quienes se enfrentan a las repercusiones más graves;</w:t>
      </w:r>
    </w:p>
    <w:p w14:paraId="63190CFF" w14:textId="4CD7D1F3" w:rsidR="00FA44B8" w:rsidRPr="005400F9" w:rsidRDefault="003844E7" w:rsidP="00FA44B8">
      <w:pPr>
        <w:pStyle w:val="NormalHanging12a"/>
      </w:pPr>
      <w:r>
        <w:t>U</w:t>
      </w:r>
      <w:r w:rsidR="00FA44B8" w:rsidRPr="005400F9">
        <w:t>.</w:t>
      </w:r>
      <w:r w:rsidR="00FA44B8" w:rsidRPr="005400F9">
        <w:tab/>
        <w:t>Considerando que, en vista del colapso de importantes acuerdos de control de armamento y de desarme, así como de las tecnologías emergentes, el control de armamento y la no proliferación deben convertirse en un asunto primordial de la política exterior y de seguridad de la Unión;</w:t>
      </w:r>
    </w:p>
    <w:p w14:paraId="53146F06" w14:textId="77777777" w:rsidR="00FA44B8" w:rsidRPr="005400F9" w:rsidRDefault="00FA44B8" w:rsidP="00FA44B8">
      <w:pPr>
        <w:pStyle w:val="NormalHanging12a"/>
      </w:pPr>
      <w:r w:rsidRPr="005400F9">
        <w:t>1.</w:t>
      </w:r>
      <w:r w:rsidRPr="005400F9">
        <w:tab/>
        <w:t>Subraya que sus Resoluciones sobre la aplicación de la PESC son un componente clave de su contribución a la elaboración de la política exterior de la Unión; subraya que estas Resoluciones ponen de manifiesto la repercusión práctica del refuerzo del derecho de control en el ámbito de la política exterior conferido al Parlamento por el Tratado de Lisboa; recuerda que la Resolución de 2023 es la última Resolución sobre la aplicación de la PESC en esta legislatura y tiene por objeto servir de guía para el próximo Ejecutivo de la Unión a la hora de fijar las prioridades de la política exterior para la próxima legislatura y de seguir aplicándolas; destaca que, en un entorno internacional cada vez más volátil, la Unión debe abordar simultáneamente numerosos retos de política exterior que le afectan directa e indirectamente, como la actual guerra de agresión rusa contra Ucrania, el aumento de la competencia de grandes potencias, la posible redefinición del equilibrio de poder mundial, los constantes intentos de socavar el orden internacional multilateral basado en normas y un mayor nexo entre las crisis extranjeras e internas; cree firmemente que, para seguir siendo pertinente en la escena internacional y poder defender eficazmente sus intereses y valores, la Unión debe liberar la voluntad política de los Estados miembros de alcanzar los objetivos de política exterior por medio de instrumentos a escala de la Unión, aumentar las capacidades, trabajar con socios y organizaciones regionales afines y centrarse en ofrecer una oferta competitiva para el Sur Global, haciendo un uso lo más eficaz posible de todos los recursos, políticas y herramientas a su disposición como parte del enfoque integrado; destaca que, para actuar como actor mundial en el actual entorno mundial, la Unión debe llevar a cabo una política exterior determinada, disciplinada y asertiva que cumpla sus propios objetivos estratégicos y siga definiendo, afirmando y defendiendo proactivamente sus intereses en el mundo;</w:t>
      </w:r>
    </w:p>
    <w:p w14:paraId="51F41198" w14:textId="77777777" w:rsidR="00FA44B8" w:rsidRPr="005400F9" w:rsidRDefault="00FA44B8" w:rsidP="00FA44B8">
      <w:pPr>
        <w:pStyle w:val="NormalHanging12a"/>
      </w:pPr>
      <w:bookmarkStart w:id="9" w:name="_Hlk144544239"/>
      <w:r w:rsidRPr="005400F9">
        <w:t>2.</w:t>
      </w:r>
      <w:r w:rsidRPr="005400F9">
        <w:tab/>
        <w:t>Destaca que la capacidad de la Unión para ejercer de actor mundial en materia de política exterior, socio internacional fiable y actor creíble en materia de seguridad y defensa se basa en el desarrollo y el refuerzo de sus acciones exteriores en el marco de la PESC, así como en su capacidad para definir, hacer valer y defender de forma proactiva sus intereses en el mundo sin depender indebidamente de los recursos de terceros países, lo que podría hacer que la Unión fuera susceptible a divisiones internas, en la revitalización de las asociaciones existentes y en la creación de otras nuevas, y en la voluntad política de adoptar una mayor iniciativa y responsabilidad en la escena mundial, protegiendo, defendiendo y fomentando eficazmente sus valores; destaca, asimismo, que los Estados miembros deben permitir que la Unión se exprese con una sola voz, aumentando así su credibilidad y preservando la coherencia; reafirma, en este contexto, que es fundamental reforzar la unidad y la solidaridad desarrollando una percepción común de las amenazas;</w:t>
      </w:r>
    </w:p>
    <w:p w14:paraId="1B53DAF3" w14:textId="77777777" w:rsidR="00FA44B8" w:rsidRPr="005400F9" w:rsidRDefault="00FA44B8" w:rsidP="00FA44B8">
      <w:pPr>
        <w:pStyle w:val="NormalHanging12a"/>
      </w:pPr>
      <w:r w:rsidRPr="005400F9">
        <w:t>3.</w:t>
      </w:r>
      <w:r w:rsidRPr="005400F9">
        <w:tab/>
        <w:t>Recuerda que la Unión debe guiarse en su acción exterior por los valores y principios consagrados en el artículo 2, el artículo 3, apartado 5, y el artículo 21 del TUE, que han inspirado la creación, el desarrollo y la ampliación propios de la Unión, en particular la democracia, el Estado de Derecho, la universalidad e indivisibilidad de los derechos humanos y de las libertades fundamentales, el respeto de la dignidad humana, los principios de igualdad y solidaridad y el respeto de los principios de la Carta de las Naciones Unidas, el Acta Final de Helsinki, el Convenio Europeo de Derechos Humanos y el Derecho internacional; lamenta que a veces la Unión no esté a la altura de estos objetivos, lo que repercute negativamente en sus intereses, su seguridad y su reputación internacional; subraya que el ambicioso compromiso de la política exterior de la Unión en materia de derechos humanos exige que sea coherente y ejemplar;</w:t>
      </w:r>
    </w:p>
    <w:p w14:paraId="7B0350E0" w14:textId="77777777" w:rsidR="00FA44B8" w:rsidRPr="005400F9" w:rsidRDefault="00FA44B8" w:rsidP="00FA44B8">
      <w:pPr>
        <w:pStyle w:val="NormalHanging12a"/>
      </w:pPr>
      <w:r w:rsidRPr="005400F9">
        <w:t>4.</w:t>
      </w:r>
      <w:r w:rsidRPr="005400F9">
        <w:tab/>
        <w:t>Considera que la Unión debe configurar su PESC en consecuencia y sobre la base de los cuatro objetivos siguientes:</w:t>
      </w:r>
    </w:p>
    <w:p w14:paraId="49428ED8" w14:textId="77777777" w:rsidR="00FA44B8" w:rsidRPr="005400F9" w:rsidRDefault="00FA44B8" w:rsidP="00643C65">
      <w:pPr>
        <w:pStyle w:val="NormalHanging12a"/>
        <w:ind w:left="1134"/>
        <w:rPr>
          <w:bCs/>
        </w:rPr>
      </w:pPr>
      <w:r w:rsidRPr="005400F9">
        <w:t>a)</w:t>
      </w:r>
      <w:r w:rsidRPr="005400F9">
        <w:tab/>
        <w:t>gestión de las consecuencias de la guerra de agresión de Rusia contra Ucrania,</w:t>
      </w:r>
    </w:p>
    <w:p w14:paraId="196EDCD9" w14:textId="77777777" w:rsidR="00FA44B8" w:rsidRPr="005400F9" w:rsidRDefault="00FA44B8" w:rsidP="00643C65">
      <w:pPr>
        <w:pStyle w:val="NormalHanging12a"/>
        <w:ind w:left="1134"/>
        <w:rPr>
          <w:bCs/>
        </w:rPr>
      </w:pPr>
      <w:r w:rsidRPr="005400F9">
        <w:t>b)</w:t>
      </w:r>
      <w:r w:rsidRPr="005400F9">
        <w:tab/>
        <w:t>adaptación progresiva de las estructuras, los instrumentos, las capacidades, los fondos y los procedimientos de toma de decisiones de la Unión,</w:t>
      </w:r>
    </w:p>
    <w:p w14:paraId="4D1B2548" w14:textId="77777777" w:rsidR="00FA44B8" w:rsidRPr="005400F9" w:rsidRDefault="00FA44B8" w:rsidP="00643C65">
      <w:pPr>
        <w:pStyle w:val="NormalHanging12a"/>
        <w:ind w:left="1134"/>
        <w:rPr>
          <w:bCs/>
        </w:rPr>
      </w:pPr>
      <w:r w:rsidRPr="005400F9">
        <w:t>c)</w:t>
      </w:r>
      <w:r w:rsidRPr="005400F9">
        <w:tab/>
        <w:t>refuerzo y defensa del multilateralismo basado en normas, y</w:t>
      </w:r>
    </w:p>
    <w:p w14:paraId="25721AB1" w14:textId="77777777" w:rsidR="00FA44B8" w:rsidRPr="005400F9" w:rsidRDefault="00FA44B8" w:rsidP="00643C65">
      <w:pPr>
        <w:pStyle w:val="NormalHanging12a"/>
        <w:ind w:left="1134"/>
        <w:rPr>
          <w:bCs/>
        </w:rPr>
      </w:pPr>
      <w:r w:rsidRPr="005400F9">
        <w:t>d)</w:t>
      </w:r>
      <w:r w:rsidRPr="005400F9">
        <w:tab/>
        <w:t>defensa de los intereses mediante el desarrollo de alianzas estratégicas sólidas y asociaciones afines;</w:t>
      </w:r>
    </w:p>
    <w:bookmarkEnd w:id="9"/>
    <w:p w14:paraId="2576C27B" w14:textId="77777777" w:rsidR="00FA44B8" w:rsidRPr="005400F9" w:rsidRDefault="00FA44B8" w:rsidP="00FA44B8">
      <w:pPr>
        <w:pStyle w:val="NormalHanging12a"/>
        <w:rPr>
          <w:b/>
          <w:i/>
        </w:rPr>
      </w:pPr>
      <w:r w:rsidRPr="005400F9">
        <w:rPr>
          <w:b/>
          <w:i/>
        </w:rPr>
        <w:t>Gestión de las consecuencias de la guerra de agresión de Rusia contra Ucrania</w:t>
      </w:r>
    </w:p>
    <w:p w14:paraId="580FBBC7" w14:textId="77777777" w:rsidR="00FA44B8" w:rsidRPr="005400F9" w:rsidRDefault="00FA44B8" w:rsidP="00FA44B8">
      <w:pPr>
        <w:pStyle w:val="NormalHanging12a"/>
      </w:pPr>
      <w:r w:rsidRPr="005400F9">
        <w:t>5.</w:t>
      </w:r>
      <w:r w:rsidRPr="005400F9">
        <w:tab/>
        <w:t>Muestra su preocupación por que la guerra de agresión ilegal, no provocada e injustificada de Rusia contra Ucrania, permitida y apoyada por el régimen de Lukashenka en Bielorrusia y al régimen de Irán, ha traído nuevamente la guerra al continente europeo; reitera, con la mayor firmeza posible, su condena a las acciones de los dirigentes rusos, en particular la vulneración del Derecho internacional, la violación de las fronteras reconocidas, la transferencia y deportación ilegales de personas protegidas y niños, el robo de tierras y la comisión de graves crímenes de guerra; exige que Rusia y sus fuerzas subsidiarias pongan fin a todas las acciones militares y que los dirigentes rusos retiren inmediata e incondicionalmente sus tropas del territorio de Ucrania reconocido internacionalmente y de cualquier otro país cuyo territorio, o partes del mismo, ocupe ilegalmente; condena cualquier ataque híbrido utilizado por Rusia en Ucrania y denuncia enérgicamente la difusión de propaganda rusa sobre su guerra en Ucrania;</w:t>
      </w:r>
    </w:p>
    <w:p w14:paraId="6EA3ABFD" w14:textId="77777777" w:rsidR="00FA44B8" w:rsidRPr="005400F9" w:rsidRDefault="00FA44B8" w:rsidP="00FA44B8">
      <w:pPr>
        <w:pStyle w:val="NormalHanging12a"/>
      </w:pPr>
      <w:r w:rsidRPr="005400F9">
        <w:t>6.</w:t>
      </w:r>
      <w:r w:rsidRPr="005400F9">
        <w:tab/>
        <w:t xml:space="preserve">Condena el papel del régimen ilegítimo de Aleksandr Lukashenka por entregar </w:t>
      </w:r>
      <w:r w:rsidRPr="005400F9">
        <w:rPr>
          <w:i/>
          <w:iCs/>
        </w:rPr>
        <w:t>de facto</w:t>
      </w:r>
      <w:r w:rsidRPr="005400F9">
        <w:t xml:space="preserve"> la soberanía nacional al Kremlin con el fin de mantener su control sobre Bielorrusia;</w:t>
      </w:r>
    </w:p>
    <w:p w14:paraId="1809FBEE" w14:textId="77777777" w:rsidR="00FA44B8" w:rsidRPr="005400F9" w:rsidRDefault="00FA44B8" w:rsidP="00FA44B8">
      <w:pPr>
        <w:pStyle w:val="NormalHanging12a"/>
      </w:pPr>
      <w:r w:rsidRPr="005400F9">
        <w:t>7.</w:t>
      </w:r>
      <w:r w:rsidRPr="005400F9">
        <w:tab/>
        <w:t xml:space="preserve">Reitera que Georgia sufrió una agresión militar rusa ya en agosto de 2008; condena enérgicamente la actual ocupación ilegal por parte de Rusia de las regiones georgianas de Abjasia y Tsjinvali/Osetia del Sur, y condena asimismo el menoscabo de la soberanía y la integridad territorial de </w:t>
      </w:r>
      <w:r w:rsidR="00704B92" w:rsidRPr="00643C65">
        <w:t xml:space="preserve">la República de </w:t>
      </w:r>
      <w:r w:rsidRPr="005400F9">
        <w:t>Moldavia mediante la presencia de tropas rusas en Transnistria; reitera su apoyo a la soberanía y la integridad territorial de Georgia y Moldavia, y subraya que los intentos maliciosos por parte de Rusia de modificar a la fuerza las fronteras de los Estados soberanos de Europa plantean una grave amenaza para la seguridad de la Unión; anima a la Unión y a los Estados miembros a que refuercen la cooperación en materia de seguridad con Ucrania, Georgia y la República de Moldavia, en particular en la lucha contra las amenazas híbridas, la desinformación y la ciberseguridad;</w:t>
      </w:r>
    </w:p>
    <w:p w14:paraId="5212860B" w14:textId="77777777" w:rsidR="00FA44B8" w:rsidRPr="005400F9" w:rsidRDefault="00FA44B8" w:rsidP="00FA44B8">
      <w:pPr>
        <w:pStyle w:val="NormalHanging12a"/>
      </w:pPr>
      <w:r w:rsidRPr="005400F9">
        <w:t>8.</w:t>
      </w:r>
      <w:r w:rsidRPr="005400F9">
        <w:tab/>
        <w:t>Rinde homenaje al valiente pueblo ucraniano, que no solo defiende con valentía su país, soberanía, independencia e integridad territorial, sino también los valores y la seguridad de Europa y defiende las normas y los principios de la Carta de las Naciones Unidas y el Acta Final de Helsinki; expresa su respeto y agradecimiento por el apoyo prestado por particulares y organizaciones de la sociedad civil al pueblo ucraniano; elogia las acciones del pueblo de Georgia y Bielorrusia, que apoyan activamente la lucha de Ucrania; acoge con satisfacción la prórroga de la protección temporal para las personas que huyen de la guerra de agresión de Rusia contra Ucrania;</w:t>
      </w:r>
    </w:p>
    <w:p w14:paraId="2BAD30C2" w14:textId="77777777" w:rsidR="00FA44B8" w:rsidRPr="005400F9" w:rsidRDefault="00FA44B8" w:rsidP="00FA44B8">
      <w:pPr>
        <w:pStyle w:val="NormalHanging12a"/>
      </w:pPr>
      <w:r w:rsidRPr="005400F9">
        <w:t>9.</w:t>
      </w:r>
      <w:r w:rsidRPr="005400F9">
        <w:tab/>
        <w:t>Hace hincapié en que la guerra de agresión de Rusia contra Ucrania desestabiliza y amenaza la seguridad y estabilidad de la vecindad oriental y los Balcanes Occidentales, lo que a su vez pone en peligro la seguridad de la propia Unión; considera, por tanto, que la Unión debe dar prioridad a la reforma de su política de vecindad y acelerar el proceso de ampliación de forma paralela a las reformas institucionales y de toma de decisiones necesarias para salvaguardar la capacidad de integración de la Unión;</w:t>
      </w:r>
    </w:p>
    <w:p w14:paraId="2E34575F" w14:textId="77777777" w:rsidR="00FA44B8" w:rsidRPr="00704B92" w:rsidRDefault="00FA44B8" w:rsidP="00FA44B8">
      <w:pPr>
        <w:pStyle w:val="NormalHanging12a"/>
      </w:pPr>
      <w:r w:rsidRPr="005400F9">
        <w:t>10.</w:t>
      </w:r>
      <w:r w:rsidRPr="005400F9">
        <w:tab/>
        <w:t>Pide una estrategia de comunicación más activa para promocionar el papel y los beneficios de la ampliación y la estrecha asociación en los Balcanes Occidentales y la Asociación Oriental, así como para fomentar la asistencia financiera y técnica de la Unión;</w:t>
      </w:r>
      <w:r w:rsidR="00704B92" w:rsidRPr="00704B92">
        <w:t xml:space="preserve"> </w:t>
      </w:r>
      <w:r w:rsidR="00704B92" w:rsidRPr="00643C65">
        <w:t>recuerda, en este contexto, que la Unión ya es el mayor socio comercial y el mayor proveedor de inversión y asistencia financiera en los Balcanes Occidentales; observa que ya se habían comprometido más de 6 500 </w:t>
      </w:r>
      <w:r w:rsidR="00704B92">
        <w:t>000 000</w:t>
      </w:r>
      <w:r w:rsidR="00704B92" w:rsidRPr="00643C65">
        <w:t xml:space="preserve"> EUR del IAP III hasta finales de 2023 y que la Unión movilizó 16 600</w:t>
      </w:r>
      <w:r w:rsidR="00704B92">
        <w:t> 000 000</w:t>
      </w:r>
      <w:r w:rsidR="00704B92" w:rsidRPr="00643C65">
        <w:t xml:space="preserve"> EUR en inversiones en la región en el período 2021-2023;</w:t>
      </w:r>
    </w:p>
    <w:p w14:paraId="2908A9A3" w14:textId="77777777" w:rsidR="00FA44B8" w:rsidRPr="005400F9" w:rsidRDefault="00FA44B8" w:rsidP="00FA44B8">
      <w:pPr>
        <w:pStyle w:val="NormalHanging12a"/>
        <w:widowControl/>
      </w:pPr>
      <w:r w:rsidRPr="005400F9">
        <w:t>11.</w:t>
      </w:r>
      <w:r w:rsidRPr="005400F9">
        <w:tab/>
        <w:t>Observa con especial preocupación el efecto indirecto de la agresión rusa contra Ucrania, en particular en la vecindad meridional, el Mediterráneo en general, el Cáucaso meridional, Asia Central, África y Oriente Próximo; lamenta las influencias malintencionadas, la guerra híbrida y las campañas de desinformación de Rusia en estas regiones y pide una mayor implicación y asistencia de la Unión;</w:t>
      </w:r>
    </w:p>
    <w:p w14:paraId="4C6088B0" w14:textId="77777777" w:rsidR="00FA44B8" w:rsidRPr="005400F9" w:rsidRDefault="00FA44B8" w:rsidP="00FA44B8">
      <w:pPr>
        <w:pStyle w:val="NormalHanging12a"/>
      </w:pPr>
      <w:r w:rsidRPr="005400F9">
        <w:t>12.</w:t>
      </w:r>
      <w:r w:rsidRPr="005400F9">
        <w:tab/>
        <w:t>Acoge con satisfacción la tercera reunión de la Comunidad Política Europea (CPE) como una plataforma de debate, diálogo y cooperación con países socios; pide que el Parlamento se implique directamente en la aclaración del ámbito de actuación y los futuros trabajos de la CPE; subraya que, para el éxito y la coherencia futuros de este formato, es esencial un cierto nivel de aproximación en relación con los valores y principios democráticos; reitera que la CPE no puede en ningún caso servir de pretexto para atrasar la adhesión a la Unión de los países candidatos;</w:t>
      </w:r>
    </w:p>
    <w:p w14:paraId="2E68A3CD" w14:textId="77777777" w:rsidR="00FA44B8" w:rsidRPr="005400F9" w:rsidRDefault="00FA44B8" w:rsidP="00FA44B8">
      <w:pPr>
        <w:pStyle w:val="NormalHanging12a"/>
      </w:pPr>
      <w:r w:rsidRPr="005400F9">
        <w:t>13.</w:t>
      </w:r>
      <w:r w:rsidRPr="005400F9">
        <w:tab/>
        <w:t>Reitera la necesidad de que los Estados miembros realicen inversiones colectivas y coordinadas en defensa y pide la plena y rápida aplicación de la Brújula Estratégica integrando las lecciones aprendidas de la guerra de agresión de Rusia contra Ucrania, con el objetivo de lograr una verdadera Unión Europea de Defensa que sea interoperable y complementaria a la alianza de la OTAN y que pueda actuar con independencia cuando sea necesario;</w:t>
      </w:r>
    </w:p>
    <w:p w14:paraId="7F60BD78" w14:textId="77777777" w:rsidR="00FA44B8" w:rsidRPr="005400F9" w:rsidRDefault="00FA44B8" w:rsidP="00FA44B8">
      <w:pPr>
        <w:pStyle w:val="NormalHanging12a"/>
      </w:pPr>
      <w:r w:rsidRPr="005400F9">
        <w:t>14.</w:t>
      </w:r>
      <w:r w:rsidRPr="005400F9">
        <w:tab/>
        <w:t>Pone de relieve, en particular, la necesidad de colaborar en mayor medida con la OTAN en el establecimiento de la Capacidad de Despliegue Rápido e insta a los Estados miembros a que garanticen la plena operatividad de la Capacidad Militar de Planificación y Ejecución a más tardar en 2025; anima encarecidamente al VP/AR a que proponga una decisión del Consejo de cara a una Capacidad de Despliegue Rápido de la UE con el fin de proteger los valores de la Unión y servir los intereses de la Unión en su conjunto, responder a amenazas inminentes y reaccionar rápidamente a situaciones de crisis fuera de la Unión, también en entornos poco propicios y durante todas las etapas del ciclo de un conflicto; subraya que la Capacidad de Despliegue Rápido de la UE debe crearse como una fuerza que esté disponible en todo momento y se instruya junta con el objetivo de convertirse en una fuerza permanente;</w:t>
      </w:r>
    </w:p>
    <w:p w14:paraId="3D51A82B" w14:textId="77777777" w:rsidR="00FA44B8" w:rsidRPr="005400F9" w:rsidRDefault="00FA44B8" w:rsidP="00FA44B8">
      <w:pPr>
        <w:pStyle w:val="NormalHanging12a"/>
      </w:pPr>
      <w:r w:rsidRPr="005400F9">
        <w:t>15.</w:t>
      </w:r>
      <w:r w:rsidRPr="005400F9">
        <w:tab/>
        <w:t>Subraya la necesidad de aumentar la producción de munición militar en la Unión, que debe lograrse a través de un refuerzo de la cooperación industrial y la producción conjunta; reitera la necesidad urgente de alcanzar, como mínimo, el valor de referencia de adquisición de material de defensa en régimen de cooperación europea del 35 % y el valor de referencia de investigación y tecnología en defensa colaborativa europea del 20 %, tal como acordaron todos los Estados miembros en el seno de la Agencia Europea de Defensa; pide que se refuercen el Centro de Inteligencia y de Situación de la Unión Europea y el Centro de Respuesta a las Crisis del Servicio Europeo de Acción Exterior (SEAE) mediante el establecimiento de un sistema de flujos automáticos de inteligencia de los Estados miembros al SEAE y al Centro de Inteligencia y de Situación de la Unión Europea sobre cuestiones exteriores y de seguridad que se produzcan fuera de la Unión;</w:t>
      </w:r>
    </w:p>
    <w:p w14:paraId="00AD51F7" w14:textId="77777777" w:rsidR="00FA44B8" w:rsidRPr="005400F9" w:rsidRDefault="00FA44B8" w:rsidP="00FA44B8">
      <w:pPr>
        <w:pStyle w:val="NormalHanging12a"/>
      </w:pPr>
      <w:r w:rsidRPr="005400F9">
        <w:t>16.</w:t>
      </w:r>
      <w:r w:rsidRPr="005400F9">
        <w:tab/>
        <w:t xml:space="preserve">Celebra que se haya inyectado financiación adicional al Fondo Europeo de Apoyo a la Paz y pide a los Estados miembros que mejoren su capacidad para actuar con financiación sostenible y adecuada; </w:t>
      </w:r>
      <w:r w:rsidR="00704B92" w:rsidRPr="00643C65">
        <w:t>acoge con satisfacción, a este respecto, las conclusiones del Consejo de Asuntos Exteriores del 22 de enero de 2024, así como las conclusiones del Consejo Europeo de 1 de febrero de 2024, en las que se indica un acuerdo sobre las modalidades y el límite financiero global de un nuevo «Fondo de Ayuda a Ucrania»; espera que la decisión final se adopte en el Consejo Europeo de los días 21 y 22 de marzo de 2024;</w:t>
      </w:r>
      <w:r w:rsidR="00704B92" w:rsidRPr="00704B92">
        <w:t xml:space="preserve"> </w:t>
      </w:r>
      <w:r w:rsidRPr="005400F9">
        <w:t>acoge con satisfacción la decisión de adoptar el Reglamento relativo al apoyo a la producción de municiones y el instrumento para el refuerzo de la industria europea de defensa mediante la adquisición común a fin de reforzar las capacidades europeas de defensa; reitera su llamamiento para que se inicie urgentemente un debate con vistas a establecer otro instrumento financiero extrapresupuestario que aborde todo el ciclo de vida de las capacidades militares a escala de la Unión;</w:t>
      </w:r>
    </w:p>
    <w:p w14:paraId="142E2A21" w14:textId="3D8E51F3" w:rsidR="00FA44B8" w:rsidRPr="005400F9" w:rsidRDefault="00FA44B8" w:rsidP="00FA44B8">
      <w:pPr>
        <w:pStyle w:val="NormalHanging12a"/>
      </w:pPr>
      <w:r w:rsidRPr="005400F9">
        <w:t>17.</w:t>
      </w:r>
      <w:r w:rsidRPr="005400F9">
        <w:tab/>
      </w:r>
      <w:r w:rsidR="00704B92" w:rsidRPr="00704B92">
        <w:t xml:space="preserve">Observa que la respuesta de la Unión a la guerra de agresión de Rusia contra Ucrania está siendo objeto de un estrecho seguimiento por parte de agentes autocráticos en todo el mundo e influirá de modo decisivo en la configuración de su comportamiento en la escena internacional; elogia al Consejo y a los Estados miembros por la firme respuesta a la guerra de agresión de Rusia contra Ucrania; celebra la movilización de cantidades sin precedentes de ayuda macroeconómica, financiera, económica y humanitaria en favor de Ucrania, la </w:t>
      </w:r>
      <w:r w:rsidR="00704B92" w:rsidRPr="00643C65">
        <w:t>adopción, al unísono con socios afines, de doce paquetes de sanciones que deberían tener un efecto devastador en la economía rusa</w:t>
      </w:r>
      <w:r w:rsidR="00704B92" w:rsidRPr="00704B92">
        <w:t xml:space="preserve"> y la entrega de armas y munición por parte de los Estados miembros, que también fue posible gracias al Fondo Europeo de Apoyo a la Paz; expresa su preocupación, no obstante, por el hecho de que Hungría siga bloqueando el octavo tramo del Fondo Europeo de Apoyo a la Paz dedicado a Ucrania; pide que se siga aislando y presionando a la Federación de Rusia mediante el refuerzo de la aplicación de medidas restrictivas, también contra Bielorrusia; </w:t>
      </w:r>
      <w:r w:rsidR="00704B92" w:rsidRPr="00643C65">
        <w:t>hace un llamamiento para reforzar el acercamiento diplomático hacia todos los Estados que se abstuvieron o no participaron en la votación de las Resoluciones de la Asamblea General de las Naciones Unidas de 1</w:t>
      </w:r>
      <w:r w:rsidR="001E378F">
        <w:t>3</w:t>
      </w:r>
      <w:r w:rsidR="00704B92" w:rsidRPr="00643C65">
        <w:t xml:space="preserve"> de octubre de 2022 y 2 de marzo de 2023; </w:t>
      </w:r>
      <w:r w:rsidR="00704B92" w:rsidRPr="00704B92">
        <w:t xml:space="preserve">pide una diplomacia proactiva con terceros países, en colaboración con socios afines, en particular los Estados Unidos, Canadá y el Reino Unido, con el fin de minimizar la elusión de estas sanciones y colmar todas las lagunas jurídicas restantes para poner fin a esta práctica; lamenta </w:t>
      </w:r>
      <w:r w:rsidR="00704B92" w:rsidRPr="00643C65">
        <w:t>que el duodécimo paquete de sanciones de la Unión amplíe los períodos de liquidación para la importación de productos siderúrgicos específicos</w:t>
      </w:r>
      <w:r w:rsidRPr="005400F9">
        <w:t>;</w:t>
      </w:r>
    </w:p>
    <w:p w14:paraId="4A12ECB6" w14:textId="77777777" w:rsidR="00FA44B8" w:rsidRPr="005400F9" w:rsidRDefault="00FA44B8" w:rsidP="00FA44B8">
      <w:pPr>
        <w:pStyle w:val="NormalHanging12a"/>
      </w:pPr>
      <w:r w:rsidRPr="005400F9">
        <w:t>18.</w:t>
      </w:r>
      <w:r w:rsidRPr="005400F9">
        <w:tab/>
        <w:t>Acoge con satisfacción la determinación mostrada por la Unión y la mayoría de los Estados miembros en la búsqueda de una completa independencia energética de la Federación de Rusia; reitera su petición de aplicar un embargo inmediato y total a las importaciones rusas de combustibles fósiles y los productos fabricados con petróleo crudo ruso; insta a la Comisión y al Consejo a que refuercen su capacidad de control de los combustibles fósiles para evitar su reexportación; muestra su preocupación por el hecho de que algunos Estados miembros hayan aumentado en el último año sus importaciones de gas natural y GNL rusos;</w:t>
      </w:r>
    </w:p>
    <w:p w14:paraId="530FD45A" w14:textId="77777777" w:rsidR="00FA44B8" w:rsidRPr="005400F9" w:rsidRDefault="00FA44B8" w:rsidP="00FA44B8">
      <w:pPr>
        <w:pStyle w:val="NormalHanging12a"/>
      </w:pPr>
      <w:r w:rsidRPr="005400F9">
        <w:t>19.</w:t>
      </w:r>
      <w:r w:rsidRPr="005400F9">
        <w:tab/>
        <w:t>Recuerda que la aplicación coherente y uniforme de las medidas restrictivas en todos los Estados miembros es una condición previa para la credibilidad y la eficacia de la acción exterior de la Unión; pide a todos los terceros países, y en particular a los países candidatos a la adhesión a la Unión, que muestren su compromiso inequívoco con el Derecho internacional y los intereses estratégicos y valores de la Unión y que se alineen con las medidas restrictivas de la Unión contra Rusia; pide a la Comisión que evalúe de manera crítica la asistencia de la Unión a terceros países que apoyan activamente la agresión de Rusia contra Ucrania, e insta al Consejo a que imponga medidas restrictivas a los terceros países que permitan la invasión rusa de Ucrania, ya sea facilitando la elusión de sanciones o prestando asistencia militar directa, como en el caso de Irán</w:t>
      </w:r>
      <w:r w:rsidR="00704B92" w:rsidRPr="00643C65">
        <w:t xml:space="preserve"> o la RPDC</w:t>
      </w:r>
      <w:r w:rsidRPr="005400F9">
        <w:t>;</w:t>
      </w:r>
    </w:p>
    <w:p w14:paraId="215254C4" w14:textId="2345EA4E" w:rsidR="00FA44B8" w:rsidRPr="005400F9" w:rsidRDefault="00FA44B8" w:rsidP="00FA44B8">
      <w:pPr>
        <w:pStyle w:val="NormalHanging12a"/>
      </w:pPr>
      <w:r w:rsidRPr="005400F9">
        <w:t>20.</w:t>
      </w:r>
      <w:r w:rsidRPr="005400F9">
        <w:tab/>
        <w:t xml:space="preserve">Anima a la Comisión, al VP/AR y a los Estados miembros a que movilicen el apoyo internacional a la fórmula de paz presentada por Ucrania y a que cumplan los compromisos de seguridad con Ucrania, tal como se recomienda en el Pacto de Seguridad de Kiev; </w:t>
      </w:r>
      <w:r w:rsidR="00704B92" w:rsidRPr="00643C65">
        <w:t xml:space="preserve">acoge con satisfacción los acuerdos bilaterales de seguridad firmados entre el Reino Unido, Alemania, Francia y Ucrania, respectivamente, que cumplen los compromisos asumidos por el G7 el 12 de julio de 2023 para disuadir de cualquier nuevo ataque ruso contra Ucrania en un futuro próximo; </w:t>
      </w:r>
      <w:r w:rsidRPr="005400F9">
        <w:t>subraya la urgente necesidad de que la Unión y sus Estados miembros impulsen la creación de un tribunal internacional especial para enjuiciar el crimen de agresión</w:t>
      </w:r>
      <w:r w:rsidR="00704B92" w:rsidRPr="00643C65">
        <w:t xml:space="preserve">, los crímenes que pueden calificarse de genocidio </w:t>
      </w:r>
      <w:r w:rsidRPr="005400F9">
        <w:t>y los crímenes de guerra contra Ucrania, incluida la violencia sexual relacionada con los conflictos, perpetrados por la Federación de Rusia y sus aliados, en particular Bielorrusia</w:t>
      </w:r>
      <w:r w:rsidR="00704B92" w:rsidRPr="00643C65">
        <w:t xml:space="preserve"> y sus dirigentes políticos y militares</w:t>
      </w:r>
      <w:r w:rsidRPr="00704B92">
        <w:t xml:space="preserve">; </w:t>
      </w:r>
      <w:r w:rsidRPr="005400F9">
        <w:t xml:space="preserve">pide a la Comisión y al Consejo que designen al Grupo Wagner, que es un grupo militar privado financiado por el Estado ruso, como organización terrorista; acoge con satisfacción la reciente creación del Centro Internacional para el Enjuiciamiento del Crimen de Agresión contra Ucrania en el seno de la Agencia de la Unión Europea para la Cooperación Judicial Penal (Eurojust), que facilitará la preparación de la acusación en futuros juicios; insta a la Comisión a que localice y cartografíe los activos rusos inmovilizados y presente una propuesta jurídicamente sólida para utilizar estos activos con el fin de financiar </w:t>
      </w:r>
      <w:r w:rsidR="00704B92" w:rsidRPr="00643C65">
        <w:t>la defensa y</w:t>
      </w:r>
      <w:r w:rsidR="00704B92" w:rsidRPr="00704B92">
        <w:t xml:space="preserve"> </w:t>
      </w:r>
      <w:r w:rsidRPr="00704B92">
        <w:t>la reconstrucción de Ucrania, y que procure que dicha propuesta jurídicamente sólida se elabo</w:t>
      </w:r>
      <w:r w:rsidRPr="005400F9">
        <w:t>re en estrecha coordinación con los países socios del G7; destaca que la retirada de minas y artefactos no explosionados es una condición necesaria para la reconstrucción de Ucrania, incluida su producción agrícola, que es vital para la economía de este país y para la seguridad alimentaria mundial; destaca que estos esfuerzos requerirán una financiación global y a largo plazo;</w:t>
      </w:r>
    </w:p>
    <w:p w14:paraId="6E8AB566" w14:textId="77777777" w:rsidR="00FA44B8" w:rsidRPr="005400F9" w:rsidRDefault="00FA44B8" w:rsidP="00FA44B8">
      <w:pPr>
        <w:pStyle w:val="NormalHanging12a"/>
      </w:pPr>
      <w:r w:rsidRPr="005400F9">
        <w:t>21.</w:t>
      </w:r>
      <w:r w:rsidRPr="005400F9">
        <w:tab/>
        <w:t>Acoge con satisfacción la rápida creación y la exitosa ejecución de la Misión de Asistencia Militar de la Unión Europea en apoyo de Ucrania y propone que la Unión considere la posibilidad de reforzarla; observa que esta misión es una demostración tangible del apoyo inquebrantable de la Unión a la soberanía y la integridad territorial del país; pide que se trabaje en la creación de otras misiones internacionales para salvaguardar la libertad de navegación y apoyar los corredores humanitarios y el paso seguro de cereales ucranianos;</w:t>
      </w:r>
    </w:p>
    <w:p w14:paraId="5A5DEDDC" w14:textId="4C3A6523" w:rsidR="00FA44B8" w:rsidRPr="005400F9" w:rsidRDefault="00FA44B8" w:rsidP="00FA44B8">
      <w:pPr>
        <w:pStyle w:val="NormalHanging12a"/>
      </w:pPr>
      <w:r w:rsidRPr="005400F9">
        <w:t>22.</w:t>
      </w:r>
      <w:r w:rsidRPr="005400F9">
        <w:tab/>
        <w:t>Pide a los Estados miembros que mantengan la determinación y la unidad que ya han demostrado y que proporcionen a Ucrania más apoyo político, humanitario, militar, relacionado con las infraestructuras, económico y financiero para ganar esta guerra; acoge con satisfacción, a este respecto, la asistencia prestada por los Estados miembros, tanto individualmente como mediante instrumentos de la Unión, incluida la propuesta de la Comisión sobre el establecimiento del Mecanismo para Ucrani</w:t>
      </w:r>
      <w:r w:rsidRPr="00704B92">
        <w:t>a;</w:t>
      </w:r>
      <w:r w:rsidR="00704B92" w:rsidRPr="00643C65">
        <w:t xml:space="preserve"> acoge con satisfacción el acuerdo interinstitucional alcanzado el 6 de febrero de 2024, que garantiza un apoyo financiero previsible a Ucrania por valor de 50 000 000 000 EUR durante el período 2024-2027 para contribuir a la recuperación, reconstrucción y modernización del país;</w:t>
      </w:r>
      <w:r w:rsidRPr="00704B92">
        <w:t xml:space="preserve"> subraya la necesidad de transparencia plena en la aplicación del Mecanismo para Ucrania; pide a los Estados miembros</w:t>
      </w:r>
      <w:r w:rsidRPr="005400F9">
        <w:t xml:space="preserve"> que sigan proporcionando la ayuda militar necesaria a Ucrania para expulsar a las fuerzas rusas de su territorio; insta a los Estados miembros a que produzcan municiones y las faciliten a las fuerzas armadas ucranianas, junto con otros recursos necesarios para el mantenimiento por Ucrania de su equipamiento militar; anima a los Estados miembros a que sigan prestando apoyo financiero y político a la sociedad civil dentro de Ucrania y en sus inmediaciones;</w:t>
      </w:r>
    </w:p>
    <w:p w14:paraId="607AE8A9" w14:textId="77777777" w:rsidR="00FA44B8" w:rsidRPr="005400F9" w:rsidRDefault="00FA44B8" w:rsidP="00FA44B8">
      <w:pPr>
        <w:pStyle w:val="NormalHanging12a"/>
      </w:pPr>
      <w:r w:rsidRPr="005400F9">
        <w:t>23.</w:t>
      </w:r>
      <w:r w:rsidRPr="005400F9">
        <w:tab/>
        <w:t xml:space="preserve">Insiste en que la Unión no puede depender continuamente de una movilización </w:t>
      </w:r>
      <w:r w:rsidRPr="005400F9">
        <w:rPr>
          <w:i/>
          <w:iCs/>
        </w:rPr>
        <w:t>ad hoc</w:t>
      </w:r>
      <w:r w:rsidRPr="005400F9">
        <w:t xml:space="preserve"> y recuerda, en este contexto, la necesidad de mejorar y definir claramente la capacidad de la Unión para actuar en respuesta a crisis mundiales de manera sostenible; subraya, en este sentido, que la Unión debe seguir desarrollando sus propios instrumentos autónomos y resilientes en su acción exterior y en el marco de la PESC; recuerda que la Brújula Estratégica establece un ambicioso programa de actuación y proporciona a la Unión los instrumentos para ser un proveedor eficaz de seguridad y un actor mundial más asertivo, por lo que pide su rápida y plena aplicación; pide a las instituciones de la Unión que refuercen su capacidad de previsión estratégica a fin de prepararse para futuros retos;</w:t>
      </w:r>
    </w:p>
    <w:p w14:paraId="663C9021" w14:textId="77777777" w:rsidR="00FA44B8" w:rsidRPr="005400F9" w:rsidRDefault="00FA44B8" w:rsidP="00FA44B8">
      <w:pPr>
        <w:pStyle w:val="NormalHanging12a"/>
      </w:pPr>
      <w:r w:rsidRPr="005400F9">
        <w:t>24.</w:t>
      </w:r>
      <w:r w:rsidRPr="005400F9">
        <w:tab/>
        <w:t>Pide que se haga un uso más dinámico y coherente del régimen de sanciones de la Unión de alcance mundial en materia de derechos humanos (Ley Magnitski de la UE), que sigue siendo un instrumento poco utilizado de los que dispone la Unión en el ámbito de la política exterior; acoge con satisfacción la propuesta del VP/AR sobre el régimen de sanciones para combatir la corrupción, que permitiría a la UE castigar en todo el mundo los actos de corrupción graves; insiste en que la corrupción tiene un efecto verificable en el estado de los derechos humanos y socava el funcionamiento de las instituciones estatales y el Estado de Derecho; pide, en este contexto, que el Consejo adopte rápidamente el régimen de sanciones anticorrupción propuesto;</w:t>
      </w:r>
    </w:p>
    <w:p w14:paraId="3C72420B" w14:textId="77777777" w:rsidR="00FA44B8" w:rsidRPr="005400F9" w:rsidRDefault="00FA44B8" w:rsidP="00FA44B8">
      <w:pPr>
        <w:pStyle w:val="NormalHanging12a"/>
        <w:ind w:left="0" w:firstLine="0"/>
        <w:rPr>
          <w:b/>
          <w:i/>
        </w:rPr>
      </w:pPr>
      <w:r w:rsidRPr="005400F9">
        <w:rPr>
          <w:b/>
          <w:i/>
        </w:rPr>
        <w:t>Adaptación progresiva de las estructuras, los instrumentos, las capacidades, los fondos y los procedimientos de toma de decisiones de la Unión</w:t>
      </w:r>
    </w:p>
    <w:p w14:paraId="065C63BC" w14:textId="77777777" w:rsidR="00FA44B8" w:rsidRPr="005400F9" w:rsidRDefault="00FA44B8" w:rsidP="00FA44B8">
      <w:pPr>
        <w:pStyle w:val="NormalHanging12a"/>
      </w:pPr>
      <w:r w:rsidRPr="005400F9">
        <w:t>25.</w:t>
      </w:r>
      <w:r w:rsidRPr="005400F9">
        <w:tab/>
        <w:t>Reconoce que el requisito de la unanimidad obliga a los Estados miembros a trabajar incansablemente para alcanzar el consenso y la unidad, lo que constituye la fuente de la influencia política de la Unión en la escena internacional; señala, no obstante, la necesidad de evaluar críticamente el equilibrio entre el ideal de unidad y los elevados costes de la unanimidad en términos de credibilidad, en particular teniendo presente la eficacia del funcionamiento de una Unión Europea ampliada; lamenta, en este contexto, que Estados miembros concretos hayan utilizado sus derechos de veto para debilitar acuerdos, retrasar la toma de decisiones o directamente para frustrar una política común;</w:t>
      </w:r>
    </w:p>
    <w:p w14:paraId="216ADE91" w14:textId="77777777" w:rsidR="00FA44B8" w:rsidRPr="005400F9" w:rsidRDefault="00FA44B8" w:rsidP="00FA44B8">
      <w:pPr>
        <w:pStyle w:val="NormalHanging12a"/>
      </w:pPr>
      <w:r w:rsidRPr="005400F9">
        <w:t>26.</w:t>
      </w:r>
      <w:r w:rsidRPr="005400F9">
        <w:tab/>
        <w:t>Recuerda a los Estados miembros que se atengan a los principios de los Tratados, en particular el artículo 24 y el artículo 42, apartado 7, del TUE, y el artículo 222 del Tratado de Funcionamiento de la Unión Europea, que señalan que los Estados miembros apoyarán activamente y sin reservas la política exterior y de seguridad de la Unión, con espíritu de lealtad y solidaridad mutua; subraya que las condiciones para la activación del artículo 42, apartado 7, del TUE, y las modalidades de apoyo nunca se han definido claramente; estima necesario desarrollar, con carácter urgente, una estrategia política de solidaridad y medidas de aplicación operativa para la cláusula de asistencia mutua establecida en el artículo 42, apartado 7, del TUE;</w:t>
      </w:r>
    </w:p>
    <w:p w14:paraId="1BE92E27" w14:textId="77777777" w:rsidR="00FA44B8" w:rsidRPr="005400F9" w:rsidRDefault="00FA44B8" w:rsidP="00FA44B8">
      <w:pPr>
        <w:pStyle w:val="NormalHanging12a"/>
      </w:pPr>
      <w:r w:rsidRPr="005400F9">
        <w:t>27.</w:t>
      </w:r>
      <w:r w:rsidRPr="005400F9">
        <w:tab/>
        <w:t>Lamenta que el potencial de una acción exterior, de seguridad y de defensa rápida, eficiente y eficaz, tal como se prevé, entre otros, en las cláusulas pasarela del TUE, solo se haya utilizado de manera muy limitada; reitera su llamamiento al Consejo para que pase gradualmente a la votación por mayoría cualificada para las decisiones en ámbitos de la PESC que no tengan repercusiones en el ámbito militar o de la defensa; reconoce la inquietud expresada por algunos Estados miembros, que temen que disminuya la capacidad para influir en la política exterior y de seguridad a nivel de la Unión; es consciente de que el avance hacia la aplicación de la votación por mayoría cualificada solo puede ser gradual, partiendo de la formación de una cultura estratégica europea; insta, en este contexto:</w:t>
      </w:r>
    </w:p>
    <w:p w14:paraId="5B9C60F6" w14:textId="77777777" w:rsidR="00FA44B8" w:rsidRPr="005400F9" w:rsidRDefault="00FA44B8" w:rsidP="00704B92">
      <w:pPr>
        <w:pStyle w:val="NormalHanging12a"/>
        <w:ind w:left="1134"/>
        <w:rPr>
          <w:bCs/>
        </w:rPr>
      </w:pPr>
      <w:r w:rsidRPr="005400F9">
        <w:t>a)</w:t>
      </w:r>
      <w:r w:rsidRPr="005400F9">
        <w:tab/>
        <w:t>a la introducción de la votación por mayoría cualificada en determinados ámbitos prioritarios, como el régimen de sanciones de la Unión de alcance mundial en materia de derechos humanos, y para cuestiones relativas a la adopción y aplicación del próximo Plan de Acción de la Unión para los Derechos Humanos y la Democracia, en consonancia con el artículo 22, apartado 1, del TUE;</w:t>
      </w:r>
    </w:p>
    <w:p w14:paraId="1940B28F" w14:textId="77777777" w:rsidR="00FA44B8" w:rsidRPr="005400F9" w:rsidRDefault="00FA44B8" w:rsidP="00704B92">
      <w:pPr>
        <w:pStyle w:val="NormalHanging12a"/>
        <w:ind w:left="1134"/>
        <w:rPr>
          <w:bCs/>
        </w:rPr>
      </w:pPr>
      <w:r w:rsidRPr="005400F9">
        <w:t>b)</w:t>
      </w:r>
      <w:r w:rsidRPr="005400F9">
        <w:tab/>
        <w:t>a la aplicación de las cláusulas pasarela previstas en los Tratados, salvo en el caso de la creación de misiones u operaciones militares con un mandato ejecutivo en el marco de la política común de seguridad y defensa (PCSD), para lo cual se seguirá requiriendo unanimidad;</w:t>
      </w:r>
    </w:p>
    <w:p w14:paraId="620ECEB8" w14:textId="77777777" w:rsidR="00FA44B8" w:rsidRPr="005400F9" w:rsidRDefault="00FA44B8" w:rsidP="00704B92">
      <w:pPr>
        <w:pStyle w:val="NormalHanging12a"/>
        <w:ind w:left="1134"/>
        <w:rPr>
          <w:bCs/>
        </w:rPr>
      </w:pPr>
      <w:r w:rsidRPr="005400F9">
        <w:t>c)</w:t>
      </w:r>
      <w:r w:rsidRPr="005400F9">
        <w:tab/>
        <w:t>al uso de la abstención constructiva en consonancia con el artículo 31, apartado 1, del TUE, a la espera de la plena aplicación de la votación por mayoría cualificada a las decisiones sin implicaciones militares o para la defensa;</w:t>
      </w:r>
    </w:p>
    <w:p w14:paraId="6D1D6094" w14:textId="77777777" w:rsidR="00FA44B8" w:rsidRPr="005400F9" w:rsidRDefault="00FA44B8" w:rsidP="00704B92">
      <w:pPr>
        <w:pStyle w:val="NormalHanging12a"/>
        <w:ind w:left="1134"/>
        <w:rPr>
          <w:bCs/>
        </w:rPr>
      </w:pPr>
      <w:r w:rsidRPr="005400F9">
        <w:t>d)</w:t>
      </w:r>
      <w:r w:rsidRPr="005400F9">
        <w:tab/>
        <w:t>a hacer un uso más eficaz del Dispositivo de Respuesta Política Integrada a las Crisis (RPIC) y a la creación de un Consejo de Seguridad, formado por ministros de los Estados miembros, con objeto de responder rápidamente en caso de emergencia y de desarrollar un enfoque integrado ante los conflictos y las crisis;</w:t>
      </w:r>
    </w:p>
    <w:p w14:paraId="1B0EF1A6" w14:textId="77777777" w:rsidR="00FA44B8" w:rsidRPr="005400F9" w:rsidRDefault="00FA44B8" w:rsidP="00704B92">
      <w:pPr>
        <w:pStyle w:val="NormalHanging12a"/>
        <w:ind w:left="1134"/>
        <w:rPr>
          <w:bCs/>
        </w:rPr>
      </w:pPr>
      <w:r w:rsidRPr="005400F9">
        <w:t>e)</w:t>
      </w:r>
      <w:r w:rsidRPr="005400F9">
        <w:tab/>
        <w:t>a la revisión de los Tratados, tal como se prevé en el artículo 48 del TUE, con el objetivo, entre otros, de consagrar la votación por mayoría cualificada para los asuntos relacionados con la PESC;</w:t>
      </w:r>
    </w:p>
    <w:p w14:paraId="275925BA" w14:textId="77777777" w:rsidR="00FA44B8" w:rsidRPr="005400F9" w:rsidRDefault="00FA44B8" w:rsidP="00704B92">
      <w:pPr>
        <w:pStyle w:val="NormalHanging12a"/>
        <w:ind w:left="1134"/>
        <w:rPr>
          <w:bCs/>
        </w:rPr>
      </w:pPr>
      <w:r w:rsidRPr="005400F9">
        <w:t>f)</w:t>
      </w:r>
      <w:r w:rsidRPr="005400F9">
        <w:tab/>
        <w:t>a la revisión periódica del análisis de amenazas en el que se basa la Brújula Estratégica para la Seguridad y la Defensa, con el fin de que los Estados miembros puedan converger y definir una percepción común de las amenazas;</w:t>
      </w:r>
    </w:p>
    <w:p w14:paraId="220921CB" w14:textId="77777777" w:rsidR="00FA44B8" w:rsidRPr="005400F9" w:rsidRDefault="00FA44B8" w:rsidP="00FA44B8">
      <w:pPr>
        <w:pStyle w:val="NormalHanging12a"/>
      </w:pPr>
      <w:r w:rsidRPr="005400F9">
        <w:t>28.</w:t>
      </w:r>
      <w:r w:rsidRPr="005400F9">
        <w:tab/>
        <w:t xml:space="preserve">Reitera que el Parlamento desempeña un papel integral en la PESC, ya que aporta una contribución específica a esta política en virtud de su diplomacia parlamentaria y sus distintos instrumentos, canales y contactos, en particular sus programas de apoyo a la democracia, que tienen un gran potencial para atraer a partes interesadas clave en el ámbito político y facilitar la gobernanza democrática; subraya, en particular, el valor añadido de la diplomacia parlamentaria durante la guerra de agresión de Rusia contra Ucrania y pone de relieve, en este contexto, la valiosa cooperación a nivel político y técnico entre la Rada Suprema de Ucrania y el Parlamento Europeo; </w:t>
      </w:r>
    </w:p>
    <w:p w14:paraId="53623EB0" w14:textId="77777777" w:rsidR="00FA44B8" w:rsidRPr="005400F9" w:rsidRDefault="00FA44B8" w:rsidP="00FA44B8">
      <w:pPr>
        <w:pStyle w:val="NormalHanging12a"/>
      </w:pPr>
      <w:r w:rsidRPr="005400F9">
        <w:t>29.</w:t>
      </w:r>
      <w:r w:rsidRPr="005400F9">
        <w:tab/>
        <w:t>Hace hincapié en la importancia de la diplomacia parlamentaria, que debe desarrollarse por los cauces existentes, como la Comisión de Asuntos Exteriores del Parlamento Europeo, las delegaciones oficiales y las actividades de apoyo a la democracia, como los diálogos parlamentarios periódicos con países socios; insiste en que la política exterior y de seguridad de la Unión debe orientarse hacia objetivos como la prevención de crisis, la cooperación regional en materia de seguridad, la acción por el clima y el medio ambiente a escala global, el refuerzo de los derechos humanos y garantizar la aplicación de los Objetivos de Desarrollo Sostenible de la Agenda 2030 de las Naciones Unidas; pide que se siga desarrollando la diplomacia preventiva de la Unión, en particular la mediación para la paz y el diálogo, como instrumento proactivo de política exterior; insta al SEAE a que lleve a cabo ejercicios para extraer lecciones y analice los esfuerzos diplomáticos europeos anteriores y sus resultados, así como el trabajo de los representantes especiales y los enviados especiales; insiste en la necesidad de reforzar la diplomacia parlamentaria con socios de América Latina, África y Asia para contribuir al objetivo de la Unión de fortalecer las relaciones con socios afines para abordar retos geopolíticos, económicos, sociales y medioambientales comunes;</w:t>
      </w:r>
    </w:p>
    <w:p w14:paraId="7B0BCCE3" w14:textId="77777777" w:rsidR="00FA44B8" w:rsidRPr="005400F9" w:rsidRDefault="00FA44B8" w:rsidP="00FA44B8">
      <w:pPr>
        <w:pStyle w:val="NormalHanging12a"/>
      </w:pPr>
      <w:r w:rsidRPr="005400F9">
        <w:t>30.</w:t>
      </w:r>
      <w:r w:rsidRPr="005400F9">
        <w:tab/>
        <w:t>Pide que se precise en mayor detalle el funcionamiento, el formato de representación y la rendición de cuentas del enfoque del Equipo Europa para garantizar una asignación eficaz de los recursos y evitar duplicidades en la política exterior y de seguridad de la Unión; insiste en que el Parlamento forma parte del Equipo Europa y debe ser tratado como tal;</w:t>
      </w:r>
    </w:p>
    <w:p w14:paraId="0EC01056" w14:textId="77777777" w:rsidR="00FA44B8" w:rsidRPr="005400F9" w:rsidRDefault="00FA44B8" w:rsidP="00FA44B8">
      <w:pPr>
        <w:pStyle w:val="NormalHanging12a"/>
      </w:pPr>
      <w:r w:rsidRPr="005400F9">
        <w:t>31.</w:t>
      </w:r>
      <w:r w:rsidRPr="005400F9">
        <w:tab/>
        <w:t>Destaca la necesidad de actualizar la Declaración sobre responsabilidad política de 2010 como marco para las relaciones entre el SEAE y el Parlamento; considera que el Parlamento requiere medios para aprovechar sus instrumentos a fin de neutralizar el retroceso de la democracia a nivel mundial, en particular mediante la labor de mediación y observación electoral, prevención de conflictos, refuerzo de la comunicación en materia de democracia a nivel local y diplomacia parlamentaria; pone de relieve el papel complementario del Parlamento en la diplomacia de la Unión;</w:t>
      </w:r>
    </w:p>
    <w:p w14:paraId="793F6E0F" w14:textId="77777777" w:rsidR="00FA44B8" w:rsidRPr="005400F9" w:rsidRDefault="00FA44B8" w:rsidP="00FA44B8">
      <w:pPr>
        <w:pStyle w:val="NormalHanging12a"/>
      </w:pPr>
      <w:r w:rsidRPr="005400F9">
        <w:t>32.</w:t>
      </w:r>
      <w:r w:rsidRPr="005400F9">
        <w:tab/>
        <w:t>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Unión; subraya la necesidad de definir claramente las competencias del VP/AR, el presidente de la Comisión y el presidente del Consejo Europeo en relación con la representación y acción exterior de la Unión;</w:t>
      </w:r>
    </w:p>
    <w:p w14:paraId="116E25D8" w14:textId="77777777" w:rsidR="00FA44B8" w:rsidRPr="005400F9" w:rsidRDefault="00FA44B8" w:rsidP="00FA44B8">
      <w:pPr>
        <w:pStyle w:val="NormalHanging12a"/>
      </w:pPr>
      <w:r w:rsidRPr="005400F9">
        <w:t>33.</w:t>
      </w:r>
      <w:r w:rsidRPr="005400F9">
        <w:tab/>
        <w:t>Considera que es necesario reforzar el control parlamentario institucionalizado de la acción exterior de la Unión, incluido el acceso regular y oportuno, pero seguro, a información confidencial, a sesiones informativas en el Parlamento Europeo y a canales de comunicación más ágiles con el SEAE; recuerda, en este contexto, el derecho del Parlamento a la información sobre asuntos relacionados con la PESC en virtud del artículo 36 del TUE; celebra el establecimiento del diálogo geopolítico de alto nivel y anima a que se entablen debates más abiertos, en particular continuando las consultas periódicas a los miembros de la Comisión y al SEAE, e implicando al Parlamento en la aplicación del Fondo Europeo de Apoyo a la Paz, la Brújula Estratégica y la iniciativa Global Gateway;</w:t>
      </w:r>
    </w:p>
    <w:p w14:paraId="49AE94A1" w14:textId="77777777" w:rsidR="00FA44B8" w:rsidRPr="005400F9" w:rsidRDefault="00FA44B8" w:rsidP="00FA44B8">
      <w:pPr>
        <w:pStyle w:val="NormalHanging12a"/>
      </w:pPr>
      <w:r w:rsidRPr="005400F9">
        <w:t>34.</w:t>
      </w:r>
      <w:r w:rsidRPr="005400F9">
        <w:tab/>
        <w:t>Afirma que el Parlamento debe hacer pleno uso de sus competencias presupuestarias y de supervisión en relación con las decisiones de la Unión en asuntos internacionales; pide que se modifique la estructura del presupuesto de la PESC, con una línea presupuestaria por cada misión de la vertiente civil de la PCSD, a fin de permitir un mejor control y una mayor transparencia;</w:t>
      </w:r>
    </w:p>
    <w:p w14:paraId="4988B111" w14:textId="77777777" w:rsidR="00FA44B8" w:rsidRPr="005400F9" w:rsidRDefault="00FA44B8" w:rsidP="00FA44B8">
      <w:pPr>
        <w:pStyle w:val="NormalHanging12a"/>
      </w:pPr>
      <w:r w:rsidRPr="005400F9">
        <w:t>35.</w:t>
      </w:r>
      <w:r w:rsidRPr="005400F9">
        <w:tab/>
        <w:t>Lamenta que el presupuesto de la PESC destinado a misiones civiles de la PCSD solo haya experimentado un ligero aumento entre el marco financiero plurianual (MFP) 2014-2020 y el MFP 2021-2027, a pesar del mayor número de misiones y el aumento de las tareas que cumplen, de la mayor exigencia del panorama de la seguridad y del incremento del coste de las operaciones; insta a los Estados miembros a que destinen suficientes fondos a la PESC, habida cuenta de la necesidad de defender la paz, la democracia y el Estado de Derecho y de garantizar una mayor coordinación con otros ámbitos de actuación; pide, en este contexto, un ajuste adecuado del MFP y un aumento de la financiación destinada a la acción exterior de la Unión;</w:t>
      </w:r>
    </w:p>
    <w:p w14:paraId="1BFDA515" w14:textId="77777777" w:rsidR="00FA44B8" w:rsidRPr="005400F9" w:rsidRDefault="00FA44B8" w:rsidP="00FA44B8">
      <w:pPr>
        <w:pStyle w:val="NormalHanging12a"/>
      </w:pPr>
      <w:r w:rsidRPr="005400F9">
        <w:t>36.</w:t>
      </w:r>
      <w:r w:rsidRPr="005400F9">
        <w:tab/>
        <w:t xml:space="preserve">Reitera asimismo que la Unión y sus Estados miembros deben seguir incorporando el apoyo a la democracia en la programación de los instrumentos financieros de la Unión y subraya, en este contexto, la necesidad de dotar a las delegaciones de la Unión correspondientes con los medios adecuados para intensificar las actividades de diplomacia pública y desarrollar sus capacidades de comunicación estratégica para luchar contra la desinformación y la propaganda; pide que se refuerce el SEAE —tanto su sede como las delegaciones de la Unión— proporcionando los recursos financieros y humanos adecuados para que la Unión pueda estar mejor preparada para afrontar los retos actuales y emergentes a escala mundial, como el aumento de la inestabilidad, un autoritarismo más firme y la emergencia climática; pide a la Comisión y al SEAE que persigan una política exterior y de seguridad </w:t>
      </w:r>
      <w:r w:rsidR="00704B92" w:rsidRPr="00643C65">
        <w:t>feminista</w:t>
      </w:r>
      <w:r w:rsidR="00704B92">
        <w:rPr>
          <w:b/>
          <w:i/>
        </w:rPr>
        <w:t xml:space="preserve"> </w:t>
      </w:r>
      <w:r w:rsidRPr="005400F9">
        <w:t>que se ajuste a la Resolución del Parlamento Europeo, de 10 de marzo de 2022, sobre el Plan de Acción en materia de Género de la UE III</w:t>
      </w:r>
      <w:r w:rsidRPr="005400F9">
        <w:rPr>
          <w:rStyle w:val="FootnoteReference"/>
        </w:rPr>
        <w:footnoteReference w:id="19"/>
      </w:r>
      <w:r w:rsidRPr="005400F9">
        <w:t>;</w:t>
      </w:r>
    </w:p>
    <w:p w14:paraId="6CB2CA2D" w14:textId="77777777" w:rsidR="00FA44B8" w:rsidRPr="005400F9" w:rsidRDefault="00FA44B8" w:rsidP="00FA44B8">
      <w:pPr>
        <w:pStyle w:val="NormalHanging12a"/>
      </w:pPr>
      <w:r w:rsidRPr="005400F9">
        <w:t>37.</w:t>
      </w:r>
      <w:r w:rsidRPr="005400F9">
        <w:tab/>
        <w:t>Acoge con satisfacción la ejecución del proyecto piloto titulado «Hacia la creación de una academia diplomática europea»; pide la creación de una estructura permanente respaldada por los recursos necesarios; pide que se examinen las vías de acceso al SEAE para los graduados de esta academia y que se adopte una decisión al respecto, lo que puede contribuir a desarrollar plenamente una diplomacia de la Unión autónoma definida por una cultura diplomática común desde una perspectiva de la Unión; reitera su llamamiento a la Comisión para que cree un programa permanente de formación en régimen residencial sobre la acción exterior de la Unión y la PESC para jóvenes diplomáticos procedentes de países candidatos a la adhesión a la Unión;</w:t>
      </w:r>
    </w:p>
    <w:p w14:paraId="22031F5A" w14:textId="77777777" w:rsidR="00FA44B8" w:rsidRPr="005400F9" w:rsidRDefault="00FA44B8" w:rsidP="00FA44B8">
      <w:pPr>
        <w:pStyle w:val="NormalHanging12a"/>
        <w:rPr>
          <w:b/>
          <w:i/>
        </w:rPr>
      </w:pPr>
      <w:r w:rsidRPr="005400F9">
        <w:rPr>
          <w:b/>
          <w:i/>
        </w:rPr>
        <w:t>Refuerzo y defensa de un multilateralismo basado en normas</w:t>
      </w:r>
    </w:p>
    <w:p w14:paraId="6CD69509" w14:textId="77777777" w:rsidR="00FA44B8" w:rsidRPr="005400F9" w:rsidRDefault="00FA44B8" w:rsidP="00FA44B8">
      <w:pPr>
        <w:pStyle w:val="NormalHanging12a"/>
      </w:pPr>
      <w:r w:rsidRPr="005400F9">
        <w:t>38.</w:t>
      </w:r>
      <w:r w:rsidRPr="005400F9">
        <w:tab/>
        <w:t>Hace hincapié en que los foros multilaterales, en particular las Naciones Unidas y sus agencias, deben considerarse el formato de cooperación de preferencia para la Unión; expresa su preocupación, a este respecto, por la creciente importancia de los formatos exclusivos de cooperación, que dan fe del aumento de la competencia entre grandes potencias; observa, al mismo tiempo, que cada vez es más frecuente la instrumentalización de las instituciones y normas internacionales y señala, en este contexto, las controversias en la OMC y la OMS; subraya que esta tendencia coloca a la Unión en una posición delicada, ya que debe lograr un equilibrio entre la necesidad de apelar a una concepción amplia e inclusiva del multilateralismo y, al mismo tiempo, dar prioridad a la cooperación con socios afines seleccionados; pide a los Estados miembros que refuercen las formas inclusivas de gobernanza multilateral y anima, en este contexto, a la Comisión, al SEAE y al Consejo a que intensifiquen la cooperación interinstitucional con las organizaciones multilaterales que forman parte integrante del sistema internacional basado en normas y la gestión de los bienes comunes mundiales, en particular las Naciones Unidas y sus agencias, la Organización para la Seguridad y la Cooperación en Europa (OSCE), la OMS, la OMC y la OTAN;</w:t>
      </w:r>
    </w:p>
    <w:p w14:paraId="7F207633" w14:textId="77777777" w:rsidR="00FA44B8" w:rsidRPr="005400F9" w:rsidRDefault="00FA44B8" w:rsidP="00FA44B8">
      <w:pPr>
        <w:pStyle w:val="NormalHanging12a"/>
      </w:pPr>
      <w:r w:rsidRPr="005400F9">
        <w:t>39.</w:t>
      </w:r>
      <w:r w:rsidRPr="005400F9">
        <w:tab/>
        <w:t>Señala la necesidad de garantizar la unidad, coherencia y complementariedad de los esfuerzos entre la Unión y la OTAN a la hora de defender la paz y la seguridad internacionales; subraya que la OTAN sigue siendo la piedra angular de la seguridad europea y pide que se siga reforzando la cooperación entre la OTAN y la Unión, fortaleciendo al mismo tiempo el pilar europeo dentro de la OTAN, entre otras cosas, cumpliendo sistemáticamente el valor de referencia de gasto en defensa marcado por la OTAN del 2 % del producto interior bruto; aboga por una mayor cooperación con la OTAN en la lucha contra la desinformación y las amenazas híbridas procedentes de terceros países;</w:t>
      </w:r>
    </w:p>
    <w:p w14:paraId="1B636D27" w14:textId="77777777" w:rsidR="00FA44B8" w:rsidRPr="005400F9" w:rsidRDefault="00FA44B8" w:rsidP="00FA44B8">
      <w:pPr>
        <w:pStyle w:val="NormalHanging12a"/>
      </w:pPr>
      <w:r w:rsidRPr="005400F9">
        <w:t>40.</w:t>
      </w:r>
      <w:r w:rsidRPr="005400F9">
        <w:tab/>
        <w:t>Pide a las instituciones de la Unión y a los Estados miembros que apoyen activamente una reforma institucional integral de las instituciones multilaterales, ante todo del sistema de las Naciones Unidas y, en particular, del Consejo de Seguridad de las Naciones Unidas, que debe incluir medidas destinadas a limitar el uso del veto, impulsar la representación regional, garantizar la rendición de cuentas de los órganos ejecutivos ante las asambleas que los eligen y redefinir la composición de los miembros del Consejo de Seguridad para reflejar mejor la realidad geopolítica, también mediante el establecimiento de un puesto como miembro permanente para la Unión; pide a la Comisión que concentre sus esfuerzos en garantizar la indispensabilidad estratégica de la Unión en un mundo cada vez más multipolar; pide a las instituciones de la Unión que velen por que la Unión hable con una sola voz en las Naciones Unidas, en particular en el Consejo de Seguridad; pide que se garantice un diálogo continuo con el Reino Unido para seguir cooperando en el seno del Consejo de Seguridad; pide a todos los Estados miembros de las Naciones Unidas que emprendan medidas para revocar el poder de veto de Rusia en el Consejo de Seguridad;</w:t>
      </w:r>
    </w:p>
    <w:p w14:paraId="505F36ED" w14:textId="77777777" w:rsidR="00FA44B8" w:rsidRPr="005400F9" w:rsidRDefault="00FA44B8" w:rsidP="00FA44B8">
      <w:pPr>
        <w:pStyle w:val="NormalHanging12a"/>
      </w:pPr>
      <w:r w:rsidRPr="005400F9">
        <w:t>41.</w:t>
      </w:r>
      <w:r w:rsidRPr="005400F9">
        <w:tab/>
        <w:t>Pide al VP/AR que promueva una narrativa democrática convincente, duradera y específica que demuestre que la democracia es beneficiosa para las personas y sociedades de todo el mundo y puede resistir la influencia y las presiones autocráticas; lamenta que la República Popular China, Rusia, Irán y otros regímenes totalitarios o autoritarios utilicen la manipulación de la información y las injerencias malintencionadas como instrumentos integrales para ejercer presión sobre las instituciones multilaterales y los valores y normas democráticos, erosionar el control de los abusos de poder, aumentar la incidencia y la gravedad de las violaciones de los derechos humanos, restringir los espacios para la sociedad civil, los medios de comunicación independientes y los movimientos de oposición democrática y difundir desinformación contra Occidente; anima, en este contexto, a que se invierta en comunicaciones estratégicas y en la lucha contra las injerencias extranjeras y la difusión de desinformación, y acoge con satisfacción la colaboración del SEAE con las Naciones Unidas en la elaboración de un código de conducta mundial para la integridad de la información;</w:t>
      </w:r>
    </w:p>
    <w:p w14:paraId="6FCB000E" w14:textId="77777777" w:rsidR="00FA44B8" w:rsidRDefault="00FA44B8" w:rsidP="00FA44B8">
      <w:pPr>
        <w:pStyle w:val="NormalHanging12a"/>
      </w:pPr>
      <w:r w:rsidRPr="005400F9">
        <w:t>42.</w:t>
      </w:r>
      <w:r w:rsidRPr="005400F9">
        <w:tab/>
        <w:t xml:space="preserve">Pone de relieve el fenómeno cada vez más frecuente de las amenazas transnacionales contra los defensores de los derechos humanos y los activistas políticos por parte de las autoridades nacionales de sus países o por fuerzas subsidiarias; anima a la Comisión y a los Estados miembros a que proporcionen a los defensores de los derechos humanos y activistas extranjeros que residen en la Unión los medios financieros y de otro tipo adecuados para permitirles continuar su labor a distancia y sin miedo a las represalias; elogia el trabajo incesante de las organizaciones de la sociedad civil y los defensores de los derechos humanos en todo el mundo y pide a la Unión que intensifique su apoyo a la sociedad civil y a los defensores de los derechos humanos; expresa su profunda preocupación por el aumento de los ataques contra varias minorías en todo el mundo, incluidas la comunidad LGBTIQ y las minorías religiosas, como los cristianos; hace hincapié en la necesidad de incorporar la interseccionalidad en todas las acciones de la Unión, así como en la aplicación de la PESC, con el fin de promover una igualdad de género de pleno derecho; </w:t>
      </w:r>
    </w:p>
    <w:p w14:paraId="59CE10BF" w14:textId="77777777" w:rsidR="00704B92" w:rsidRPr="00704B92" w:rsidRDefault="00704B92" w:rsidP="00FA44B8">
      <w:pPr>
        <w:pStyle w:val="NormalHanging12a"/>
      </w:pPr>
      <w:r w:rsidRPr="00643C65">
        <w:t>4</w:t>
      </w:r>
      <w:r>
        <w:t>3</w:t>
      </w:r>
      <w:r w:rsidRPr="00643C65">
        <w:t>.</w:t>
      </w:r>
      <w:r w:rsidRPr="00704B92">
        <w:tab/>
      </w:r>
      <w:r w:rsidRPr="00643C65">
        <w:t>Condena, en los términos más enérgicos, el asesinato el 16 de febrero de 2024 de Alexéi Navalni, destacada figura política rusa galardonada con el Premio Sájarov 2021, que fue encarcelado en una colonia penitenciaria y sometido a malos tratos, incluidos torturas, castigos arbitrarios y presiones psicológicas; pide que se mejoren las condiciones de los presos políticos en Rusia, de conformidad con sus compromisos internacionales; denuncia la escalada de las violaciones de los derechos humanos por parte del régimen ruso y condena la represión reinante contra los críticos con el Gobierno, los defensores de los derechos humanos y los periodistas independientes; insta a la Unión y a sus Estados miembros a que presten asistencia a los defensores de los derechos humanos rusos, a los activistas en favor de la democracia y a los periodistas independientes tanto dentro como fuera de Rusia; insta al Consejo a que adopte medidas restrictivas contra los responsables del asesinato de Alexéi Navalni y de los enjuiciamientos arbitrarios y las torturas infligidas a manifestantes contrarios a la guerra;</w:t>
      </w:r>
    </w:p>
    <w:p w14:paraId="51654C5F" w14:textId="7746CF65" w:rsidR="00FA44B8" w:rsidRPr="005400F9" w:rsidRDefault="00495DC9" w:rsidP="00FA44B8">
      <w:pPr>
        <w:pStyle w:val="NormalHanging12a"/>
      </w:pPr>
      <w:r>
        <w:t>44</w:t>
      </w:r>
      <w:r w:rsidR="00FA44B8" w:rsidRPr="005400F9">
        <w:t>.</w:t>
      </w:r>
      <w:r w:rsidR="00FA44B8" w:rsidRPr="005400F9">
        <w:tab/>
        <w:t>Reconoce que la postura de varios agentes del Sur Global es cada vez más asertiva; hace hincapié, en este contexto, en que la expresión «Sur Global» proyecta un grado de unidad sobre lo que en realidad es un grupo muy diverso de agentes caracterizados por aspiraciones y posicionamientos divergentes; reconoce la influencia internacional de estos agentes;</w:t>
      </w:r>
    </w:p>
    <w:p w14:paraId="362FC250" w14:textId="728F542B" w:rsidR="00FA44B8" w:rsidRDefault="00495DC9" w:rsidP="00FA44B8">
      <w:pPr>
        <w:pStyle w:val="NormalHanging12a"/>
      </w:pPr>
      <w:r>
        <w:t>45</w:t>
      </w:r>
      <w:r w:rsidR="00FA44B8" w:rsidRPr="005400F9">
        <w:t>.</w:t>
      </w:r>
      <w:r w:rsidR="00FA44B8" w:rsidRPr="005400F9">
        <w:tab/>
        <w:t>Recuerda que la Unión es el mayor donante mundial de ayuda oficial al desarrollo; subraya que la Unión debe seguir siendo un aliado fiable en la cooperación al desarrollo en todo el mundo; expresa su preocupación por el hecho de que la Unión se enfrenta a un creciente escepticismo y desinterés;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 anima, en este contexto, a que se refuerce la presencia política en los países en que la huella de la Unión ha consistido predominantemente en cooperación para el desarrollo; pone de relieve, en particular, la importancia de la presencia de la Unión en África y pide a la Comisión y a los Estados miembros que consoliden el diálogo político a nivel nacional y regional y ofrezcan un abanico diversificado de apoyo técnico, en particular financiación para el Gobierno y las comunidades locales, a fin de lograr mayor eficiencia y visibilidad; destaca la importancia de celebrar acuerdos políticos con terceros países, sobre la base de los derechos fundamentales y los valores europeos comunes;</w:t>
      </w:r>
    </w:p>
    <w:p w14:paraId="613E3CD2" w14:textId="6577097A" w:rsidR="00704B92" w:rsidRPr="00704B92" w:rsidRDefault="00495DC9" w:rsidP="00FA44B8">
      <w:pPr>
        <w:pStyle w:val="NormalHanging12a"/>
      </w:pPr>
      <w:r>
        <w:t>46</w:t>
      </w:r>
      <w:r w:rsidR="00704B92" w:rsidRPr="00643C65">
        <w:t>.</w:t>
      </w:r>
      <w:r w:rsidR="00704B92" w:rsidRPr="00704B92">
        <w:tab/>
      </w:r>
      <w:r w:rsidR="00704B92" w:rsidRPr="00643C65">
        <w:t>Pide al Consejo que ponga en marcha el proyecto para la creación de un Cuerpo Civil Europeo de Pacificación que reúna la experiencia de agentes institucionales y no institucionales en materia de prevención de conflictos, resolución pacífica de conflictos y reconciliación, con vistas a hacer la gestión de crisis civiles por parte de la Unión más creíble, coherente, eficaz, flexible y visible;</w:t>
      </w:r>
    </w:p>
    <w:p w14:paraId="2BB02240" w14:textId="7F9CE6D6" w:rsidR="00FA44B8" w:rsidRPr="005400F9" w:rsidRDefault="00495DC9" w:rsidP="00FA44B8">
      <w:pPr>
        <w:pStyle w:val="NormalHanging12a"/>
      </w:pPr>
      <w:r>
        <w:t>47</w:t>
      </w:r>
      <w:r w:rsidR="00FA44B8" w:rsidRPr="005400F9">
        <w:t>.</w:t>
      </w:r>
      <w:r w:rsidR="00FA44B8" w:rsidRPr="005400F9">
        <w:tab/>
        <w:t>Recuerda que la Unión debe ser un actor mundial más firme a favor de la paz y la seguridad humana; señala que una cooperación para el desarrollo eficaz y una política comercial ambiciosa también son fundamentales para abordar las causas profundas de la migración y otros retos a los que se enfrenta la Unión;</w:t>
      </w:r>
    </w:p>
    <w:p w14:paraId="1F1EC28D" w14:textId="41508B44" w:rsidR="00FA44B8" w:rsidRPr="005400F9" w:rsidRDefault="00495DC9" w:rsidP="00FA44B8">
      <w:pPr>
        <w:pStyle w:val="NormalHanging12a"/>
      </w:pPr>
      <w:r>
        <w:t>48</w:t>
      </w:r>
      <w:r w:rsidR="00FA44B8" w:rsidRPr="005400F9">
        <w:t>.</w:t>
      </w:r>
      <w:r w:rsidR="00FA44B8" w:rsidRPr="005400F9">
        <w:tab/>
        <w:t>Pide a la Comisión que utilice rápida y eficazmente la iniciativa Global Gateway como una alternativa sostenible a la iniciativa de la Franja y la Ruta de China y como instrumento para aumentar la presencia y la visibilidad de la Unión en todo el mundo a través de inversiones en infraestructuras y telecomunicaciones que generen valor nacional en los países socios y faciliten su desarrollo socioeconómico, en consonancia con los Objetivos de Desarrollo Sostenible y el Acuerdo de París, y persiguiendo al mismo tiempo los intereses de la Unión en materia de prosperidad y seguridad; recuerda que Global Gateway debe entenderse como un concepto estratégico en el que se integran las políticas exterior, económica y de desarrollo; subraya, en este contexto, que la coordinación con las instituciones financieras internacionales, una participación bien definida del sector privado y unas comunicaciones estratégicas específicamente diseñadas son esenciales para que el instrumento alcance la escala deseada; acoge favorablemente, en este sentido, la celebración del primer Foro Global Gateway de alto nivel en octubre de 2023 bajo los auspicios de la presidenta de la Comisión, Ursula von der Leyen; insiste en que el Parlamento debe intervenir en mayor medida en el proceso de toma de decisiones para garantizar una gobernanza transparente y velar por la adecuada coordinación entre Global Gateway y la Asociación para la Infraestructura y la Inversión Mundiales del G7;</w:t>
      </w:r>
    </w:p>
    <w:p w14:paraId="7A1A51C4" w14:textId="49FB7C5B" w:rsidR="00FA44B8" w:rsidRPr="005400F9" w:rsidRDefault="00495DC9" w:rsidP="00FA44B8">
      <w:pPr>
        <w:pStyle w:val="NormalHanging12a"/>
      </w:pPr>
      <w:r>
        <w:t>49</w:t>
      </w:r>
      <w:r w:rsidR="00FA44B8" w:rsidRPr="005400F9">
        <w:t>.</w:t>
      </w:r>
      <w:r w:rsidR="00FA44B8" w:rsidRPr="005400F9">
        <w:tab/>
        <w:t>Señala que la inversión y la asistencia de la Unión deben centrarse en objetivos comunes al nivel de actuación más adecuado, con una visibilidad clara en los países receptores, y en inversiones diseñadas a medida que respondan a las necesidades de nuestros socios, definidas mediante una colaboración más proactiva y constructiva con ellos;</w:t>
      </w:r>
    </w:p>
    <w:p w14:paraId="5EBFD565" w14:textId="4FDE81EE" w:rsidR="00FA44B8" w:rsidRPr="005400F9" w:rsidRDefault="00495DC9" w:rsidP="00FA44B8">
      <w:pPr>
        <w:pStyle w:val="NormalHanging12a"/>
      </w:pPr>
      <w:r>
        <w:t>50</w:t>
      </w:r>
      <w:r w:rsidR="00FA44B8" w:rsidRPr="005400F9">
        <w:t>.</w:t>
      </w:r>
      <w:r w:rsidR="00FA44B8" w:rsidRPr="005400F9">
        <w:tab/>
        <w:t>Pide soluciones multilaterales a los nuevos retos y realidades, como la ciberseguridad, la biotecnología y la inteligencia artificial; insiste en la centralidad del multilateralismo para el mantenimiento efectivo del orden en el espacio ultraterrestre y en la necesidad de profundizar en las iniciativas actuales y lanzar otras nuevas, con el fin de preservar los usos pacíficos del espacio ultraterrestre;</w:t>
      </w:r>
    </w:p>
    <w:p w14:paraId="006A7403" w14:textId="77777777" w:rsidR="00FA44B8" w:rsidRPr="005400F9" w:rsidRDefault="00FA44B8" w:rsidP="00FA44B8">
      <w:pPr>
        <w:pStyle w:val="NormalHanging12a"/>
        <w:ind w:left="0" w:firstLine="0"/>
        <w:rPr>
          <w:b/>
          <w:i/>
        </w:rPr>
      </w:pPr>
      <w:r w:rsidRPr="005400F9">
        <w:rPr>
          <w:b/>
          <w:i/>
        </w:rPr>
        <w:t>Defensa de los intereses mediante el desarrollo de alianzas estratégicas sólidas y asociaciones afines</w:t>
      </w:r>
    </w:p>
    <w:p w14:paraId="0EF15549" w14:textId="262B5D41" w:rsidR="00FA44B8" w:rsidRPr="00704B92" w:rsidRDefault="00495DC9" w:rsidP="00FA44B8">
      <w:pPr>
        <w:pStyle w:val="NormalHanging12a"/>
      </w:pPr>
      <w:r>
        <w:t>51</w:t>
      </w:r>
      <w:r w:rsidR="00FA44B8" w:rsidRPr="005400F9">
        <w:t>.</w:t>
      </w:r>
      <w:r w:rsidR="00FA44B8" w:rsidRPr="005400F9">
        <w:tab/>
        <w:t>Hace hincapié en la necesidad de construir una solidaridad estratégica entre socios afines como la mejor respuesta a un entorno de seguridad más peligroso e impredecible; insiste en la necesidad de reforzar las asociaciones existentes con países que comparten nuestros valores, especialmente en cuestiones como las dependencias estratégicas, la coerción económica, la injerencia política y la desinformación, y destaca la importancia de crear nuevas alianzas, por ejemplo en el Sur Global, teniendo en cuenta las necesidades e intereses mutuos con el fin de promover asociaciones reales y equilibradas;</w:t>
      </w:r>
      <w:r w:rsidR="00704B92" w:rsidRPr="00704B92">
        <w:t xml:space="preserve"> </w:t>
      </w:r>
      <w:r w:rsidR="00704B92" w:rsidRPr="00643C65">
        <w:t>considera que el principio de «más por más» debe integrarse plenamente en las relaciones con terceros países, en virtud del cual la Unión desarrollará asociaciones más sólidas con aquellos que se atienen a los principios de la PESC y la PCSD y los valores fundamentales de la Unión; opina, por el contrario, que debe aplicarse el principio de «menos por menos» a los terceros países que muestren una clara inobservancia de los derechos humanos y del Derecho internacional, así como a aquellos que permiten a otros terceros países cometer estas violaciones; recuerda que el nivel y la intensidad del compromiso de la Unión deben adaptarse en consecuencia, en particular en términos de cooperación al desarrollo, beneficios comerciales y acceso a los programas de la Unión;</w:t>
      </w:r>
    </w:p>
    <w:p w14:paraId="5B617BDB" w14:textId="68A55FA0" w:rsidR="00FA44B8" w:rsidRPr="005400F9" w:rsidRDefault="00495DC9" w:rsidP="00FA44B8">
      <w:pPr>
        <w:pStyle w:val="NormalHanging12a"/>
      </w:pPr>
      <w:r>
        <w:t>52</w:t>
      </w:r>
      <w:r w:rsidR="00FA44B8" w:rsidRPr="005400F9">
        <w:t>.</w:t>
      </w:r>
      <w:r w:rsidR="00FA44B8" w:rsidRPr="005400F9">
        <w:tab/>
        <w:t>Destaca la importancia de una cooperación transatlántica sólida y estratégica, también entre la OTAN y la Unión, basada en valores, intereses y objetivos compartidos y en el principio de asociación de iguales; pide a la Comisión que fomente unos vínculos más estrechos con socios clave, tanto en los Estados Unidos como en Canadá, con el fin de contrarrestar los retos mundiales que afectan a nuestros valores, intereses, seguridad y prosperidad compartidos; insta a la Comisión y al VP/AR a que colaboren estrechamente con ambos socios intensificando y consolidando los mecanismos de cooperación ya establecidos, en particular el Consejo UE-EE. UU. de Comercio y Tecnología; subraya, en particular, la necesidad de avanzar en expedientes muy importantes de la política exterior, sobre todo por lo que se refiere a nuestras respectivas relaciones con China, a la vecindad oriental y meridional de Europa, a África, América Latina y el Caribe, así como a la región del Indopacífico; señala, en relación con esta última, el diálogo específico entre los Estados Unidos y la Unión sobre seguridad y defensa y la región del Indopacífico con vistas a desarrollar una cooperación más estrecha y ambiciosa, y destaca el primer ejercicio naval conjunto entre los Estados Unidos y la Unión en el océano Índico noroccidental en marzo de 2023; aboga por una cooperación transatlántica más sólida en materia de comercio y para luchar contra los retos provocados por los rápidos cambios tecnológicos y el aumento de las ciberamenazas;</w:t>
      </w:r>
    </w:p>
    <w:p w14:paraId="45D95796" w14:textId="2B52753D" w:rsidR="00FA44B8" w:rsidRPr="005400F9" w:rsidRDefault="00495DC9" w:rsidP="00FA44B8">
      <w:pPr>
        <w:pStyle w:val="NormalHanging12a"/>
        <w:widowControl/>
      </w:pPr>
      <w:r>
        <w:t>53</w:t>
      </w:r>
      <w:r w:rsidR="00FA44B8" w:rsidRPr="005400F9">
        <w:t>.</w:t>
      </w:r>
      <w:r w:rsidR="00FA44B8" w:rsidRPr="005400F9">
        <w:tab/>
        <w:t>Recuerda que los Estados Unidos son el aliado más importante de la Unión Europea; reitera su llamamiento a celebrar cumbres entre la Unión y los Estados Unidos de forma periódica, con el fin de dar un impulso continuado al carácter indispensable de la cooperación transatlántica; reitera su apoyo a la creación de un consejo político transatlántico que sirva como foro para un diálogo institucionalizado, periódico y eficaz entre la Unión y los Estados Unidos sobre política exterior y de seguridad; pide a la Cámara de Representantes que establezca una delegación permanente del Congreso para el Diálogo Transatlántico de Legisladores (DTL), de conformidad con la Declaración Conjunta de 1999 sobre el establecimiento de dicho Diálogo entre el Congreso de los Estados Unidos y el Parlamento Europeo, ya que ello mejoraría nuestra capacidad para el diálogo político y la cooperación;</w:t>
      </w:r>
    </w:p>
    <w:p w14:paraId="3E02018A" w14:textId="15685F28" w:rsidR="00FA44B8" w:rsidRPr="005400F9" w:rsidRDefault="00495DC9" w:rsidP="00FA44B8">
      <w:pPr>
        <w:pStyle w:val="NormalHanging12a"/>
      </w:pPr>
      <w:r>
        <w:t>54</w:t>
      </w:r>
      <w:r w:rsidR="00FA44B8" w:rsidRPr="005400F9">
        <w:t>.</w:t>
      </w:r>
      <w:r w:rsidR="00FA44B8" w:rsidRPr="005400F9">
        <w:tab/>
        <w:t>Insta a la Unión y a los Estados Unidos a avanzar firmemente en las negociaciones sobre el refuerzo de las cadenas internacionales de suministro de minerales fundamentales con vistas a encontrar soluciones mutuamente aceptables para abordar las consecuencias discriminatorias de la Ley de Reducción de la Inflación de los Estados Unidos;</w:t>
      </w:r>
    </w:p>
    <w:p w14:paraId="6E01E21F" w14:textId="60174BA2" w:rsidR="00FA44B8" w:rsidRPr="005400F9" w:rsidRDefault="00495DC9" w:rsidP="00FA44B8">
      <w:pPr>
        <w:pStyle w:val="NormalHanging12a"/>
      </w:pPr>
      <w:r>
        <w:t>55</w:t>
      </w:r>
      <w:r w:rsidR="00FA44B8" w:rsidRPr="005400F9">
        <w:t>.</w:t>
      </w:r>
      <w:r w:rsidR="00FA44B8" w:rsidRPr="005400F9">
        <w:tab/>
        <w:t>Acoge con satisfacción la celebración del Marco de Windsor y recuerda la importancia del Acuerdo de Comercio y Cooperación entre la Unión Europea y el Reino Unido para una asociación sólida y constructiva con el Reino Unido; destaca la importancia crucial y multidimensional del Protocolo sobre Irlanda del Norte y del Marco de Windsor para unas relaciones duraderas con el Reino Unido;</w:t>
      </w:r>
    </w:p>
    <w:p w14:paraId="594CBB0B" w14:textId="78BD7857" w:rsidR="00FA44B8" w:rsidRPr="005400F9" w:rsidRDefault="00495DC9" w:rsidP="00FA44B8">
      <w:pPr>
        <w:pStyle w:val="NormalHanging12a"/>
      </w:pPr>
      <w:r>
        <w:t>56</w:t>
      </w:r>
      <w:r w:rsidR="00FA44B8" w:rsidRPr="005400F9">
        <w:t>.</w:t>
      </w:r>
      <w:r w:rsidR="00FA44B8" w:rsidRPr="005400F9">
        <w:tab/>
        <w:t>Lamenta que el Acuerdo de Comercio y Cooperación entre la Unión Europea y el Reino Unido no incluya disposiciones sobre cooperación en materia de política exterior y defensa; pide, en este contexto, una mayor participación del Reino Unido en los proyectos europeos de seguridad y defensa y un compromiso más estructurado y regular con el Reino Unido en materia de asuntos exteriores, partiendo de la experiencia constructiva de cooperación entre la Unión y el Reino Unido para frenar la guerra de agresión de Rusia contra Ucrania, incluida la adopción de sanciones y su seguimiento; acoge con satisfacción las misiones conjuntas a terceros países de representantes de la Unión Europea y del Reino Unido para evitar la elusión de sanciones; destaca los intereses compartidos y las responsabilidades colectivas y pide formas más permanentes de coordinación en materia de política exterior y de seguridad en diversas regiones; celebra la participación del Reino Unido en la Comunidad Política Europea</w:t>
      </w:r>
      <w:r w:rsidR="00704B92" w:rsidRPr="00393F25">
        <w:t xml:space="preserve"> </w:t>
      </w:r>
      <w:r w:rsidR="00704B92" w:rsidRPr="00643C65">
        <w:t>y que organice su cuarta cumbre</w:t>
      </w:r>
      <w:r w:rsidR="00704B92" w:rsidRPr="00704B92">
        <w:t xml:space="preserve">; </w:t>
      </w:r>
      <w:r w:rsidR="00704B92" w:rsidRPr="00643C65">
        <w:t>expresa su convicción de que la Comunidad Política Europea puede facilitar la confianza entre el Reino Unido y la Unión, promover un diálogo más cercano sobre los retos comunes, en particular en materia de seguridad, y servir de incubadora de proyectos concretos de cooperación</w:t>
      </w:r>
      <w:r w:rsidR="00FA44B8" w:rsidRPr="005400F9">
        <w:t>;</w:t>
      </w:r>
    </w:p>
    <w:p w14:paraId="6FB07188" w14:textId="17BE906D" w:rsidR="00FA44B8" w:rsidRPr="005400F9" w:rsidRDefault="00495DC9" w:rsidP="00FA44B8">
      <w:pPr>
        <w:pStyle w:val="NormalHanging12a"/>
      </w:pPr>
      <w:r>
        <w:t>57</w:t>
      </w:r>
      <w:r w:rsidR="00FA44B8" w:rsidRPr="005400F9">
        <w:t>.</w:t>
      </w:r>
      <w:r w:rsidR="00FA44B8" w:rsidRPr="005400F9">
        <w:tab/>
        <w:t xml:space="preserve">Acoge con satisfacción tanto la puesta en marcha del grupo consultivo UE-Bielorrusia para permitir un diálogo continuo entre la Unión y las fuerzas democráticas bielorrusas como el apoyo continuo prestado a los defensores de los derechos humanos rusos y a los medios de comunicación independientes dentro y fuera de Rusia; </w:t>
      </w:r>
      <w:r w:rsidR="00704B92" w:rsidRPr="00643C65">
        <w:t>manifiesta su consternación por la muerte de Alexéi Navalni, galardonado con el Premio Sájarov</w:t>
      </w:r>
      <w:r w:rsidR="003E4C9E">
        <w:t xml:space="preserve"> 2021</w:t>
      </w:r>
      <w:r w:rsidR="00704B92" w:rsidRPr="00643C65">
        <w:t>, que fue detenido y condenado por motivos dudosos y políticos y que sacrificó su vida para defender la democracia y oponerse a la opresión y la corrupción en Rusia; pide al régimen ruso que arroje luz sin demora sobre las circunstancias de la muerte de Alexéi Navalni;</w:t>
      </w:r>
      <w:r w:rsidR="00704B92">
        <w:rPr>
          <w:b/>
          <w:i/>
        </w:rPr>
        <w:t xml:space="preserve"> </w:t>
      </w:r>
      <w:r w:rsidR="00FA44B8" w:rsidRPr="005400F9">
        <w:t>reitera su apoyo a la oposición democrática bielorrusa, a todos los presos políticos y a los valientes activistas y periodistas de Bielorrusia que siguen resistiendo al régimen del líder ilegítimo y a la complicidad del régimen en la guerra de agresión de Rusia contra Ucrania, a pesar de la represión en curso, y que han expresado su deseo de lograr el desarrollo democrático de Bielorrusia y su adhesión a la Unión, en particular en la Conferencia «Nueva Bielorrusia» celebrada en Varsovia en agosto de 2023; subraya que estos esfuerzos demuestran el papel fundamental de la sociedad civil en el fortalecimiento de la democracia;</w:t>
      </w:r>
    </w:p>
    <w:p w14:paraId="5F0054C2" w14:textId="04B771F4" w:rsidR="00FA44B8" w:rsidRDefault="00495DC9" w:rsidP="00FA44B8">
      <w:pPr>
        <w:pStyle w:val="NormalHanging12a"/>
      </w:pPr>
      <w:r>
        <w:t>58</w:t>
      </w:r>
      <w:r w:rsidR="00FA44B8" w:rsidRPr="005400F9">
        <w:t>.</w:t>
      </w:r>
      <w:r w:rsidR="00FA44B8" w:rsidRPr="005400F9">
        <w:tab/>
        <w:t>Condena el papel activo desempeñado por el régimen de Lukashenka a la hora de apoyar la guerra de agresión de Rusia contra Ucrania; hace hincapié en la urgente necesidad de replicar las sanciones entre Bielorrusia y Rusia, ya que el régimen de Lukashenka es totalmente cómplice de los crímenes de guerra cometidos, como la sustracción de miles de niños ucranianos;</w:t>
      </w:r>
    </w:p>
    <w:p w14:paraId="2AC0751D" w14:textId="26E37DFB" w:rsidR="00696EB4" w:rsidRPr="00696EB4" w:rsidRDefault="00495DC9" w:rsidP="00FA44B8">
      <w:pPr>
        <w:pStyle w:val="NormalHanging12a"/>
      </w:pPr>
      <w:r>
        <w:t>59</w:t>
      </w:r>
      <w:r w:rsidR="00696EB4" w:rsidRPr="00643C65">
        <w:t>.</w:t>
      </w:r>
      <w:r w:rsidR="00696EB4" w:rsidRPr="00696EB4">
        <w:tab/>
      </w:r>
      <w:r w:rsidR="00696EB4" w:rsidRPr="00643C65">
        <w:t>Manifiesta su horror y consternación por el asesinato de Alexéi Navalny, político de la oposición rusa galardonado con el Premio Sájarov 2021, que sacrificó su vida para defender la democracia y enfrentarse a la opresión y a la corrupción en Rusia;</w:t>
      </w:r>
    </w:p>
    <w:p w14:paraId="34599CD2" w14:textId="4B51FAB7" w:rsidR="00FA44B8" w:rsidRDefault="00495DC9" w:rsidP="00FA44B8">
      <w:pPr>
        <w:pStyle w:val="NormalHanging12a"/>
      </w:pPr>
      <w:r>
        <w:t>60</w:t>
      </w:r>
      <w:r w:rsidR="00FA44B8" w:rsidRPr="005400F9">
        <w:t>.</w:t>
      </w:r>
      <w:r w:rsidR="00FA44B8" w:rsidRPr="005400F9">
        <w:tab/>
        <w:t>Acoge con satisfacción el paquete de ampliación de 2023 y el plan de crecimiento para los Balcanes Occidentales</w:t>
      </w:r>
      <w:r w:rsidR="00696EB4" w:rsidRPr="00643C65">
        <w:t>, que incluye un mecanismo de 6 000</w:t>
      </w:r>
      <w:r w:rsidR="00696EB4">
        <w:t> 000 000</w:t>
      </w:r>
      <w:r w:rsidR="00696EB4" w:rsidRPr="00643C65">
        <w:t xml:space="preserve"> EUR en subvenciones y préstamos para acelerar la convergencia socioeconómica con la Unión entre 2024 y 2027; confirma que está examinando la propuesta de Mecanismo de Reforma y Crecimiento para los Balcanes Occidentales y cooperará con el Consejo para garantizar una rápida ratificación;</w:t>
      </w:r>
      <w:r w:rsidR="00FA44B8" w:rsidRPr="005400F9">
        <w:t xml:space="preserve"> pide al Consejo que demuestre un verdadero compromiso político con la perspectiva de adhesión a la Unión de los países de los Balcanes Occidentales; observa que esto debe incluir avanzar en las negociaciones de adhesión con Albania, Montenegro y Macedonia del Norte; apoya los esfuerzos por lograr, con carácter prioritario, los cambios constitucionales pertinentes en Macedonia del Norte y pide a todas las fuerzas políticas que desempeñen un papel constructivo a este respecto; pide, en particular, a los Gobiernos de los Estados miembros que han establecido este requisito adicional para Macedonia del Norte que hagan todo lo posible por respaldar esos esfuerzos; lamenta los retrasos injustificados en los procesos de adhesión de Macedonia del Norte y Albania, y recuerda que debe evaluarse a los países candidatos sobre la base de sus propios méritos en el cumplimiento de los criterios objetivos para la adhesión, incluida su aplicación de reformas relacionadas con la Unión y su adaptación política a la PESC, por ejemplo, las posiciones y las medidas restrictivas adoptadas en respuesta a la guerra de agresión rusa contra Ucrania; celebra que la mayoría de los países de los Balcanes Occidentales estén alineados con la PESC, al tiempo que pide a Belgrado que haga lo mismo urgentemente, en particular teniendo en cuenta que Serbia es uno de los pocos países europeos que aún no se han alineado con las sanciones adoptadas en respuesta a la guerra de agresión rusa contra Ucrania; recuerda que las negociaciones de adhesión solo pueden avanzar una vez que el país en cuestión se alinee con las sanciones de la Unión contra Rusia y logre progresos significativos en las reformas relacionadas con la Unión; reitera su gran preocupación por la influencia desestabilizadora que tienen las autoridades serbias para toda la región;</w:t>
      </w:r>
    </w:p>
    <w:p w14:paraId="6CE20279" w14:textId="23AB2D24" w:rsidR="00696EB4" w:rsidRDefault="00495DC9" w:rsidP="00696EB4">
      <w:pPr>
        <w:pStyle w:val="NormalHanging12a"/>
      </w:pPr>
      <w:r>
        <w:t>61</w:t>
      </w:r>
      <w:r w:rsidR="00696EB4" w:rsidRPr="00643C65">
        <w:t>.</w:t>
      </w:r>
      <w:r w:rsidR="00696EB4" w:rsidRPr="00696EB4">
        <w:tab/>
      </w:r>
      <w:r w:rsidR="00696EB4" w:rsidRPr="00643C65">
        <w:t>Toma nota de los resultados y conclusiones preliminares de la misión internacional de observación de elecciones (MIOE) de la Oficina de Instituciones Democráticas y Derechos Humanos de la OSCE sobre las elecciones parlamentarias anticipadas de Serbia del 17 de diciembre de 2023; acoge con satisfacción la elevada participación electoral, pero manifiesta su preocupación por las irregularidades y las deficiencias de procedimiento notificadas; hace hincapié en que el correcto funcionamiento de las instituciones democráticas serbias ocupa un lugar central en el proceso de adhesión del país a la Unión, y pide a las autoridades competentes que investiguen adecuadamente y hagan un seguimiento de las recomendaciones de la MIOE; anima a los dirigentes políticos de Serbia a que garanticen un diálogo constructivo e inclusivo en todo el espectro político y a que lleven a cabo las reformas necesarias para que Serbia avance en el camino hacia la adhesión a la Unión;</w:t>
      </w:r>
    </w:p>
    <w:p w14:paraId="3585C229" w14:textId="4131AA5E" w:rsidR="00696EB4" w:rsidRPr="00696EB4" w:rsidRDefault="00495DC9" w:rsidP="00643C65">
      <w:pPr>
        <w:widowControl/>
        <w:autoSpaceDE w:val="0"/>
        <w:autoSpaceDN w:val="0"/>
        <w:adjustRightInd w:val="0"/>
        <w:spacing w:after="240"/>
        <w:ind w:left="567" w:hanging="567"/>
      </w:pPr>
      <w:r>
        <w:t>62</w:t>
      </w:r>
      <w:r w:rsidR="00696EB4">
        <w:t>.</w:t>
      </w:r>
      <w:r w:rsidR="00696EB4">
        <w:tab/>
      </w:r>
      <w:r w:rsidR="00696EB4" w:rsidRPr="00696EB4">
        <w:t xml:space="preserve">Expresa su profunda preocupación por una declaración pública del presidente Vučić en febrero de 2024 en la que </w:t>
      </w:r>
      <w:r w:rsidR="00696EB4">
        <w:t>apoya</w:t>
      </w:r>
      <w:r w:rsidR="00696EB4" w:rsidRPr="00696EB4">
        <w:t xml:space="preserve"> explícitamente las posibles medidas militares de la República Popular China contra Taiwán, en contradicción con la política de la U</w:t>
      </w:r>
      <w:r w:rsidR="00696EB4">
        <w:t>nión</w:t>
      </w:r>
      <w:r w:rsidR="00696EB4" w:rsidRPr="00696EB4">
        <w:t xml:space="preserve"> que apoya el </w:t>
      </w:r>
      <w:r w:rsidR="00696EB4" w:rsidRPr="00643C65">
        <w:rPr>
          <w:i/>
        </w:rPr>
        <w:t>statu quo</w:t>
      </w:r>
      <w:r w:rsidR="00696EB4" w:rsidRPr="00696EB4">
        <w:t xml:space="preserve"> en el Estrecho de Taiwán y advierte contra las medidas unilaterales, en particular por la fuerza o la coacción</w:t>
      </w:r>
      <w:r w:rsidR="00696EB4">
        <w:t>;</w:t>
      </w:r>
    </w:p>
    <w:p w14:paraId="67766F71" w14:textId="230C2489" w:rsidR="00FA44B8" w:rsidRDefault="00495DC9" w:rsidP="00696EB4">
      <w:pPr>
        <w:pStyle w:val="NormalHanging12a"/>
      </w:pPr>
      <w:r>
        <w:t>63</w:t>
      </w:r>
      <w:r w:rsidR="00FA44B8" w:rsidRPr="005400F9">
        <w:t>.</w:t>
      </w:r>
      <w:r w:rsidR="00FA44B8" w:rsidRPr="005400F9">
        <w:tab/>
        <w:t xml:space="preserve">Lamenta que las elevadas tensiones políticas y la polarización en Montenegro hayan retrasado los avances en las reformas relacionadas con la Unión y hayan sumido al país en una profunda crisis política e institucional, con lo que el proceso de adhesión de Montenegro a la UE se ha estancado; acoge con satisfacción la formación de un nuevo Gobierno y subraya la importancia de que </w:t>
      </w:r>
      <w:r w:rsidR="00696EB4">
        <w:t xml:space="preserve">este </w:t>
      </w:r>
      <w:r w:rsidR="00FA44B8" w:rsidRPr="005400F9">
        <w:t>pueda llevar adelante las reformas relacionadas con la Unión y mantener firmemente a Montenegro en la senda estratégica de la UE, y se comprometa a ello;</w:t>
      </w:r>
    </w:p>
    <w:p w14:paraId="459E2601" w14:textId="0E3A72FF" w:rsidR="00696EB4" w:rsidRPr="00696EB4" w:rsidRDefault="00495DC9" w:rsidP="00696EB4">
      <w:pPr>
        <w:pStyle w:val="NormalHanging12a"/>
      </w:pPr>
      <w:r>
        <w:t>64</w:t>
      </w:r>
      <w:r w:rsidR="00696EB4" w:rsidRPr="00643C65">
        <w:t>.</w:t>
      </w:r>
      <w:r w:rsidR="00696EB4" w:rsidRPr="00696EB4">
        <w:tab/>
      </w:r>
      <w:r w:rsidR="00696EB4" w:rsidRPr="00643C65">
        <w:t>Lamenta que las elecciones parlamentarias y locales serbias celebradas el 17 de diciembre de 2023 se apartaran de las normas internacionales y de los compromisos de Serbia con unas elecciones libres y justas, debido al abuso persistente y sistemático de las instituciones y de los medios de comunicación por parte de los titulares de cargos políticos con el fin de obtener una ventaja injusta e indebida; considera que no se puede afirmar que dichas elecciones se hayan celebrado en condiciones justas; expresa su alarma ante los informes sobre la magnitud del fraude generalizado y sistemático que comprometió la integridad de las elecciones en Serbia; señala que la misión internacional de observación de elecciones afirmó que las elecciones se celebraron sin contratiempos, pero que la jornada electoral estuvo marcada por numerosas deficiencias de procedimiento, como la aplicación incoherente de las garantías durante la votación y el recuento, frecuentes casos de masificación, violaciones del secreto del voto y numerosos casos de votación en grupo, y que la campaña estuvo dominada por la participación decisiva del presidente Vučić junto con las ventajas sistémicas del partido en el poder; expresa su profunda preocupación por estas irregularidades y por el entorno electoral en general, peor del que cabe esperar de un país candidato a la adhesión a la Unión; recuerda a las autoridades serbias que el correcto funcionamiento de las instituciones democráticas del país ocupa un lugar central en el proceso de adhesión de Serbia a la Unión y en la metodología de adhesión a la Unión; pide una investigación internacional independiente a cargo de expertos jurídicos e instituciones internacionales de prestigio sobre las irregularidades de las elecciones parlamentarias, provinciales y municipales, con especial atención a las elecciones a la Asamblea Municipal de Belgrado, ya que determinadas acusaciones, en particular las relativas a la migración organizada de votantes en el ámbito local, van más allá del ámbito cubierto por los informes de la OIDDH de la OSCE;</w:t>
      </w:r>
    </w:p>
    <w:p w14:paraId="5F24DA0A" w14:textId="66E00863" w:rsidR="00FA44B8" w:rsidRPr="005400F9" w:rsidRDefault="00495DC9" w:rsidP="00FA44B8">
      <w:pPr>
        <w:pStyle w:val="NormalHanging12a"/>
      </w:pPr>
      <w:r>
        <w:t>65</w:t>
      </w:r>
      <w:r w:rsidR="00FA44B8" w:rsidRPr="005400F9">
        <w:t>.</w:t>
      </w:r>
      <w:r w:rsidR="00FA44B8" w:rsidRPr="005400F9">
        <w:tab/>
        <w:t>Celebra la</w:t>
      </w:r>
      <w:r w:rsidR="00FA44B8" w:rsidRPr="00696EB4">
        <w:t xml:space="preserve"> </w:t>
      </w:r>
      <w:r w:rsidR="00696EB4" w:rsidRPr="00643C65">
        <w:t>decisión del Consejo Europeo</w:t>
      </w:r>
      <w:r w:rsidR="00FA44B8" w:rsidRPr="005400F9">
        <w:t xml:space="preserve"> de abrir las negociaciones de adhesión con Bosnia y Herzegovina una vez alcanzado el grado necesario de cumplimiento de los criterios de adhesión</w:t>
      </w:r>
      <w:r w:rsidR="00696EB4" w:rsidRPr="00643C65">
        <w:t>;</w:t>
      </w:r>
      <w:r w:rsidR="00696EB4" w:rsidRPr="00696EB4">
        <w:t xml:space="preserve"> </w:t>
      </w:r>
      <w:r w:rsidR="00696EB4" w:rsidRPr="00643C65">
        <w:t>espera con sumo interés el informe de la Comisión sobre los progresos realizados, previsto para marzo de 2024 a más tardar</w:t>
      </w:r>
      <w:r w:rsidR="00FA44B8" w:rsidRPr="005400F9">
        <w:t>; insta a los dirigentes políticos del país a que apliquen el conjunto de reformas sustanciales, incluidas las reformas electorales, de conformidad con las decisiones de los órganos jurisdiccionales nacionales e internacionales, a fin de garantizar los principios de igualdad y no discriminación de todos los ciudadanos y pueblos constituyentes, consagrados en su Constitución, y respetando plenamente las sentencias de los tribunales nacionales e internacionales, incluidas todas las sentencias del Tribunal Europeo de Derechos Humanos relativas a Bosnia y Herzegovina;</w:t>
      </w:r>
      <w:r w:rsidR="00696EB4" w:rsidRPr="00696EB4">
        <w:t xml:space="preserve"> </w:t>
      </w:r>
      <w:r w:rsidR="0084680D" w:rsidRPr="006A7D66">
        <w:t>denuncia la retórica incendiaria y las leyes y políticas secesionistas recurrentes por parte de los dirigentes de la República Srpska (RS), incluida la celebración del inconstitucional «Día de la República Srpska» el 9 de enero de 2024;</w:t>
      </w:r>
      <w:r w:rsidR="0084680D" w:rsidRPr="00696EB4">
        <w:t xml:space="preserve"> </w:t>
      </w:r>
      <w:r w:rsidR="00696EB4" w:rsidRPr="00643C65">
        <w:t>pide a los Estados miembros y a los representantes de la comunidad internacional en Bosnia y Herzegovina que promuevan y apoyen la aplicación de dichas sentencias;</w:t>
      </w:r>
      <w:r w:rsidR="00696EB4" w:rsidRPr="00900FA3">
        <w:t xml:space="preserve"> </w:t>
      </w:r>
      <w:r w:rsidR="00696EB4" w:rsidRPr="00696EB4">
        <w:t>reitera su llamamiento en favor de sanciones selectivas contra los actores desestabilizadores en Bosnia y Herzegovina, en particular Milorad Dodik</w:t>
      </w:r>
      <w:r w:rsidR="00696EB4" w:rsidRPr="00643C65">
        <w:t>, así como otros altos funcionarios de la República Srpska y funcionarios serbios que prestan apoyo político y material a las políticas secesionistas; pide a todos los Estados miembros de la Unión que garanticen que el Consejo pueda adoptar dichas sanciones e imponerlas de forma bilateral o en concertación con otros Estados miembros si su adopción en el Consejo no es posible;</w:t>
      </w:r>
      <w:r w:rsidR="00696EB4" w:rsidRPr="00696EB4">
        <w:t xml:space="preserve"> acoge favorablemente el acuerdo alcanzado para prorrogar el mandato de las fuerzas de la Unión en Bosnia y Herzegovina en el marco de la Operación Althea hasta el 2 de noviembre de 2024, y recuerda que esta misión sigue desempeñando un papel central para la seguridad y la estabilidad de Bosnia y Herzegovina;</w:t>
      </w:r>
      <w:r w:rsidR="00696EB4" w:rsidRPr="00643C65">
        <w:t xml:space="preserve"> insta a la misión militar de la Unión a prevenir activamente los desfiles ilegales y otras provocaciones, así como las amenazas contra todas las personas que trabajan para ayudar a las víctimas del genocidio y que invierten en la reconciliación interétnica y en un futuro pacífico para el país</w:t>
      </w:r>
      <w:r w:rsidR="00FA44B8" w:rsidRPr="005400F9">
        <w:t>;</w:t>
      </w:r>
    </w:p>
    <w:p w14:paraId="23CD9E22" w14:textId="3BAEBD91" w:rsidR="00FA44B8" w:rsidRPr="005400F9" w:rsidRDefault="00495DC9" w:rsidP="00FA44B8">
      <w:pPr>
        <w:pStyle w:val="NormalHanging12a"/>
      </w:pPr>
      <w:r>
        <w:t>66</w:t>
      </w:r>
      <w:r w:rsidR="00FA44B8" w:rsidRPr="005400F9">
        <w:t>.</w:t>
      </w:r>
      <w:r w:rsidR="00FA44B8" w:rsidRPr="005400F9">
        <w:tab/>
        <w:t>Acoge con satisfacción que la guerra de agresión no provocada contra Ucrania por parte de Rusia haya llevado a la Unión a dar prioridad de nuevo a su política de ampliación; reitera que el ritmo del proceso de ampliación depende tanto de la capacidad de cada país para cumplir los criterios de adhesión como del compromiso de los dirigentes políticos de los países de los Balcanes Occidentales y de los Estados miembros de la Unión; manifiesta su preocupación por el auge del etnonacionalismo en los Balcanes Occidentales; pide al SEAE que siga de cerca la situación a fin de prevenir tensiones; resalta la importancia de las actividades de apoyo a la democracia facilitadas por el Parlamento, como el Diálogo Jean Monnet y el proceso de diálogo parlamentario;</w:t>
      </w:r>
    </w:p>
    <w:p w14:paraId="2238326E" w14:textId="39AB4A54" w:rsidR="00FA44B8" w:rsidRPr="005400F9" w:rsidRDefault="00495DC9" w:rsidP="00FA44B8">
      <w:pPr>
        <w:pStyle w:val="NormalHanging12a"/>
      </w:pPr>
      <w:r>
        <w:t>67</w:t>
      </w:r>
      <w:r w:rsidR="00FA44B8" w:rsidRPr="005400F9">
        <w:t>.</w:t>
      </w:r>
      <w:r w:rsidR="00FA44B8" w:rsidRPr="005400F9">
        <w:tab/>
        <w:t>Acoge con satisfacción los recientes indicios de aceleración del calendario para los países candidatos; pide que se garantice que las negociaciones de adhesión en curso y futuras no se retrasarán debido a intereses nacionales particulares o a la necesidad de reformar los Tratados; reitera la necesidad de proseguir el trabajo de adhesión de nuevos Estados miembros en paralelo con la profundización de la Unión; subraya la importancia de instrumentos financieros como el Instrumento de Ayuda Preadhesión III para el fortalecimiento de la asociación entre la Unión y los países candidatos; aboga por la elaboración de una estrategia coherente para la integración gradual de todos los países candidatos, también en las políticas sectoriales y como observadores en las diversas instituciones de la Unión; reitera su profunda preocupación por los informes según los cuales el comisario de Vecindad y Ampliación está tratando deliberadamente de eludir y socavar la centralidad de las reformas democráticas y del Estado de Derecho en los países candidatos a la adhesión a la Unión; insta a la Comisión a que ponga en marcha una investigación independiente e imparcial sobre si la conducta del comisario de Vecindad y Ampliación y las políticas que promueve constituyen un incumplimiento del Código de Conducta de los Miembros de la Comisión Europea y de las obligaciones del comisario en virtud de los Tratados;</w:t>
      </w:r>
    </w:p>
    <w:p w14:paraId="60F362A7" w14:textId="7B4F4C82" w:rsidR="00FA44B8" w:rsidRPr="005400F9" w:rsidRDefault="00495DC9" w:rsidP="00FA44B8">
      <w:pPr>
        <w:pStyle w:val="NormalHanging12a"/>
      </w:pPr>
      <w:r>
        <w:t>68</w:t>
      </w:r>
      <w:r w:rsidR="00FA44B8" w:rsidRPr="005400F9">
        <w:t>.</w:t>
      </w:r>
      <w:r w:rsidR="00FA44B8" w:rsidRPr="005400F9">
        <w:tab/>
        <w:t>Observa la importancia estratégica de los Balcanes Occidentales en el actual contexto geopolítico, así como para la seguridad y la estabilidad de la Unión en su conjunto; reitera la necesidad de una mayor presencia y visibilidad europeas en la región a fin de alejar influencias maliciosas extranjeras y sus actividades híbridas;</w:t>
      </w:r>
    </w:p>
    <w:p w14:paraId="741C7F73" w14:textId="2C3708D2" w:rsidR="00FA44B8" w:rsidRPr="005400F9" w:rsidRDefault="00495DC9" w:rsidP="00FA44B8">
      <w:pPr>
        <w:pStyle w:val="NormalHanging12a"/>
      </w:pPr>
      <w:r>
        <w:t>69</w:t>
      </w:r>
      <w:r w:rsidR="00FA44B8" w:rsidRPr="005400F9">
        <w:t>.</w:t>
      </w:r>
      <w:r w:rsidR="00FA44B8" w:rsidRPr="005400F9">
        <w:tab/>
        <w:t>Condena el atentado terrorista perpetrado el 24 de septiembre de 2023 contra agentes de la policía de Kosovo en Banjska, en el norte de la República de Kosovo, y otras provocaciones; reitera su posición establecida en su Resolución de 19 de octubre de 2023</w:t>
      </w:r>
      <w:r w:rsidR="00FA44B8" w:rsidRPr="005400F9">
        <w:rPr>
          <w:rStyle w:val="FootnoteReference"/>
        </w:rPr>
        <w:footnoteReference w:id="20"/>
      </w:r>
      <w:r w:rsidR="00FA44B8" w:rsidRPr="005400F9">
        <w:t>; insta a todas las partes, en este contexto, a que trabajen para destensar la situación y a que eviten toda retórica o acción que pueda provocar más tensiones; sigue de cerca las investigaciones en curso y reitera que los autores responsables deben rendir cuentas y ser llevados ante la justicia; pide a la Comisión y al Consejo que adopten medidas contra el Gobierno serbio si las investigaciones revelan que el Estado serbio estuvo directamente implicado en dicho atentado terrorista o en los ataques violentos perpetrados en el norte de Kosovo en mayo de 2023, o si las autoridades serbias se niegan a cooperar plenamente;</w:t>
      </w:r>
    </w:p>
    <w:p w14:paraId="0452565E" w14:textId="565A21DA" w:rsidR="00FA44B8" w:rsidRDefault="00495DC9" w:rsidP="00FA44B8">
      <w:pPr>
        <w:pStyle w:val="NormalHanging12a"/>
      </w:pPr>
      <w:r>
        <w:t>70</w:t>
      </w:r>
      <w:r w:rsidR="00FA44B8" w:rsidRPr="005400F9">
        <w:t>.</w:t>
      </w:r>
      <w:r w:rsidR="00FA44B8" w:rsidRPr="005400F9">
        <w:tab/>
        <w:t>Apoya la normalización de las relaciones entre Kosovo y Serbia y el desarrollo del diálogo entre Belgrado y Pristina facilitado por la Unión; pide a Kosovo y Serbia que entablen sin más dilación este diálogo, de buena fe y con un espíritu de compromiso, para alcanzar un acuerdo global y jurídicamente vinculante sobre la normalización de sus relaciones, fundado en el reconocimiento mutuo, de conformidad con el Derecho internacional; recuerda que no avanzar en la normalización de las relaciones afectará negativamente a la integración en la Unión de ambos países; lamenta las medidas restrictivas impuestas por el Consejo contra Kosovo y pide su levantamiento inmediato; pide a la Unión que adopte un enfoque equilibrado para la mediación entre las partes con vistas a superar el estancamiento actual; recuerda que el fracaso del diálogo también tendría consecuencias para el papel de la Unión como actor creíble en el ámbito de la política exterior;</w:t>
      </w:r>
    </w:p>
    <w:p w14:paraId="65C803BA" w14:textId="65B19947" w:rsidR="00EE59AF" w:rsidRPr="00EE59AF" w:rsidRDefault="00495DC9" w:rsidP="00FA44B8">
      <w:pPr>
        <w:pStyle w:val="NormalHanging12a"/>
      </w:pPr>
      <w:r>
        <w:t>71</w:t>
      </w:r>
      <w:r w:rsidR="00EE59AF" w:rsidRPr="00643C65">
        <w:t>.</w:t>
      </w:r>
      <w:r w:rsidR="00EE59AF" w:rsidRPr="00EE59AF">
        <w:tab/>
      </w:r>
      <w:r w:rsidR="00EE59AF" w:rsidRPr="00643C65">
        <w:t>Lamenta las numerosas irregularidades denunciadas por los observadores durante las elecciones parlamentarias anticipadas de Serbia del 17 de diciembre de 2023, incluidas, entre otras, el uso indebido de los recursos públicos, la presión sobre los empleados del sector público, la intimidación y la presión sobre los votantes, la compra de votos y la captura de los medios de comunicación; pide una rápida investigación independiente de estas irregularidades; en este contexto, pide a las autoridades serbias que hagan un seguimiento de las recomendaciones de la misión internacional de observación de elecciones; manifiesta su preocupación por la profunda polarización de la sociedad serbia y los recientes episodios violentos, en particular la paliza propinada por los servicios secretos serbios a un político de la oposición;</w:t>
      </w:r>
    </w:p>
    <w:p w14:paraId="4543DD86" w14:textId="0045252A" w:rsidR="00FA44B8" w:rsidRPr="005400F9" w:rsidRDefault="00495DC9" w:rsidP="00FA44B8">
      <w:pPr>
        <w:pStyle w:val="NormalHanging12a"/>
      </w:pPr>
      <w:r>
        <w:t>72</w:t>
      </w:r>
      <w:r w:rsidR="00FA44B8" w:rsidRPr="005400F9">
        <w:t>.</w:t>
      </w:r>
      <w:r w:rsidR="00FA44B8" w:rsidRPr="005400F9">
        <w:tab/>
      </w:r>
      <w:r w:rsidR="00EE59AF" w:rsidRPr="00EE59AF">
        <w:t xml:space="preserve">Acoge con satisfacción la </w:t>
      </w:r>
      <w:r w:rsidR="00EE59AF" w:rsidRPr="00643C65">
        <w:t>decisión del Consejo Europeo</w:t>
      </w:r>
      <w:r w:rsidR="00EE59AF" w:rsidRPr="00EE59AF">
        <w:t xml:space="preserve"> de iniciar las negociaciones de adhesión con Ucrania y </w:t>
      </w:r>
      <w:r w:rsidR="00EE59AF" w:rsidRPr="00643C65">
        <w:t xml:space="preserve">con </w:t>
      </w:r>
      <w:r w:rsidR="00EE59AF" w:rsidRPr="00EE59AF">
        <w:t xml:space="preserve">la República de Moldavia; </w:t>
      </w:r>
      <w:r w:rsidR="00EE59AF" w:rsidRPr="00643C65">
        <w:t>invita</w:t>
      </w:r>
      <w:r w:rsidR="00EE59AF" w:rsidRPr="00EE59AF">
        <w:t xml:space="preserve"> al Consejo </w:t>
      </w:r>
      <w:r w:rsidR="00EE59AF" w:rsidRPr="00643C65">
        <w:t xml:space="preserve">a </w:t>
      </w:r>
      <w:r w:rsidR="00EE59AF" w:rsidRPr="00EE59AF">
        <w:t xml:space="preserve">que adopte </w:t>
      </w:r>
      <w:r w:rsidR="00EE59AF" w:rsidRPr="00643C65">
        <w:t>los respectivos marcos</w:t>
      </w:r>
      <w:r w:rsidR="00EE59AF" w:rsidRPr="00EE59AF">
        <w:t xml:space="preserve"> de negociación una vez que </w:t>
      </w:r>
      <w:r w:rsidR="00EE59AF" w:rsidRPr="00643C65">
        <w:t>se</w:t>
      </w:r>
      <w:r w:rsidR="00EE59AF" w:rsidRPr="00EE59AF">
        <w:t xml:space="preserve"> hayan </w:t>
      </w:r>
      <w:r w:rsidR="00EE59AF" w:rsidRPr="00643C65">
        <w:t>adoptado las medidas pertinentes expuestas</w:t>
      </w:r>
      <w:r w:rsidR="00EE59AF" w:rsidRPr="00EE59AF">
        <w:t xml:space="preserve"> en </w:t>
      </w:r>
      <w:r w:rsidR="00EE59AF" w:rsidRPr="00643C65">
        <w:t>las recomendaciones correspondientes de</w:t>
      </w:r>
      <w:r w:rsidR="00EE59AF" w:rsidRPr="00EE59AF">
        <w:t xml:space="preserve"> la </w:t>
      </w:r>
      <w:r w:rsidR="00EE59AF" w:rsidRPr="00643C65">
        <w:t>Comisión de 8</w:t>
      </w:r>
      <w:r w:rsidR="00EE59AF" w:rsidRPr="00EE59AF">
        <w:t xml:space="preserve"> de </w:t>
      </w:r>
      <w:r w:rsidR="00EE59AF" w:rsidRPr="00643C65">
        <w:t>noviembre</w:t>
      </w:r>
      <w:r w:rsidR="00EE59AF" w:rsidRPr="00EE59AF">
        <w:t xml:space="preserve"> de </w:t>
      </w:r>
      <w:r w:rsidR="00EE59AF" w:rsidRPr="00643C65">
        <w:t>2023</w:t>
      </w:r>
      <w:r w:rsidR="00EE59AF" w:rsidRPr="00EE59AF">
        <w:t>; valora positivamente la recomendación de abrir también las negociaciones de adhesión con Bosnia y Herzegovina una vez alcanzado el grado necesario de cumplimiento de los criterios de adhesión; acoge favorablemente la solicitud de adhesión de Kosovo a la Unión y pide a la Comisión que responda a ella; recuerda que la candidatura de Kosovo a ser considerado país candidato se evaluará en función de sus propios méritos y de sus progresos en el cumplimiento de los criterios de Copenhague relativos a la adhesión a la Unión; celebra, no obstante, la supresión de la obligación de visado para los ciudadanos de Kosovo</w:t>
      </w:r>
      <w:r w:rsidR="00FA44B8" w:rsidRPr="005400F9">
        <w:t>;</w:t>
      </w:r>
    </w:p>
    <w:p w14:paraId="5796272F" w14:textId="22863824" w:rsidR="00FA44B8" w:rsidRPr="005400F9" w:rsidRDefault="00495DC9" w:rsidP="00FA44B8">
      <w:pPr>
        <w:pStyle w:val="NormalHanging12a"/>
      </w:pPr>
      <w:r>
        <w:t>73</w:t>
      </w:r>
      <w:r w:rsidR="00FA44B8" w:rsidRPr="005400F9">
        <w:t>.</w:t>
      </w:r>
      <w:r w:rsidR="00FA44B8" w:rsidRPr="005400F9">
        <w:tab/>
      </w:r>
      <w:r w:rsidR="00EE59AF" w:rsidRPr="00EE59AF">
        <w:t xml:space="preserve">Valora positivamente la </w:t>
      </w:r>
      <w:r w:rsidR="00EE59AF" w:rsidRPr="00643C65">
        <w:t>decisión del Consejo Europeo</w:t>
      </w:r>
      <w:r w:rsidR="00EE59AF" w:rsidRPr="00EE59AF">
        <w:t xml:space="preserve"> de conceder el estatuto de país candidato</w:t>
      </w:r>
      <w:r w:rsidR="00EE59AF" w:rsidRPr="00643C65">
        <w:t xml:space="preserve"> a Georgia</w:t>
      </w:r>
      <w:r w:rsidR="00EE59AF" w:rsidRPr="00EE59AF">
        <w:t>, a condición de que</w:t>
      </w:r>
      <w:r w:rsidR="00EE59AF" w:rsidRPr="00643C65">
        <w:t>, conforme a lo establecido en la recomendación de la Comisión, de 8 de noviembre de 2023,</w:t>
      </w:r>
      <w:r w:rsidR="00EE59AF" w:rsidRPr="00EE59AF">
        <w:t xml:space="preserve"> se adopten </w:t>
      </w:r>
      <w:r w:rsidR="00EE59AF" w:rsidRPr="00643C65">
        <w:t>las</w:t>
      </w:r>
      <w:r w:rsidR="00EE59AF" w:rsidRPr="00EE59AF">
        <w:t xml:space="preserve"> medidas </w:t>
      </w:r>
      <w:r w:rsidR="00EE59AF" w:rsidRPr="00643C65">
        <w:t>pertinentes, incluidas las destinadas a</w:t>
      </w:r>
      <w:r w:rsidR="00FA44B8" w:rsidRPr="005400F9">
        <w:t xml:space="preserve"> la lucha contra la desinformación, la armonización con la PESC, la mejora de la aplicación de la supervisión parlamentaria y la lucha contra la polarización política, la desoligarquización y la lucha contra la corrupción; </w:t>
      </w:r>
      <w:r w:rsidR="00EE59AF" w:rsidRPr="00643C65">
        <w:t>reitera su llamamiento para que se libere al expresidente Mijeíl Saakashvili por razones humanitarias y anima a la presidenta Salome Zurabichvili a que haga uso de su derecho constitucional de indulto, lo que contribuiría a reducir la polarización política en el país;</w:t>
      </w:r>
      <w:r w:rsidR="00EE59AF" w:rsidRPr="00EE59AF">
        <w:t xml:space="preserve"> </w:t>
      </w:r>
      <w:r w:rsidR="00FA44B8" w:rsidRPr="005400F9">
        <w:t>pone de relieve las legítimas aspiraciones europeas del pueblo georgiano y, en consecuencia, destaca la importancia del apoyo de la Unión al país, centrándose en los actores de la sociedad civil que trabajan en pro de la integración de Georgia en la UE; señala el posible papel estabilizador que puede desempeñar Georgia en el Cáucaso meridional;</w:t>
      </w:r>
    </w:p>
    <w:p w14:paraId="366A172F" w14:textId="12248CE1" w:rsidR="00FA44B8" w:rsidRPr="005400F9" w:rsidRDefault="00495DC9" w:rsidP="00FA44B8">
      <w:pPr>
        <w:pStyle w:val="NormalHanging12a"/>
      </w:pPr>
      <w:r>
        <w:t>74</w:t>
      </w:r>
      <w:r w:rsidR="00FA44B8" w:rsidRPr="005400F9">
        <w:t>.</w:t>
      </w:r>
      <w:r w:rsidR="00FA44B8" w:rsidRPr="005400F9">
        <w:tab/>
        <w:t>Insta a las instituciones de la Unión y a los Estados miembros a que tomen medidas decisivas para asegurarse de que Rusia cumple las obligaciones que le incumben en virtud del acuerdo de alto el fuego de 12 de agosto de 2008 mediado por la UE, en particular, retirar todas sus fuerzas militares y de seguridad de los territorios ocupados de Georgia, permitir el despliegue de mecanismos internacionales de seguridad sobre el terreno y el libre acceso de la misión de observación de la UE a las regiones georgianas de Abjasia y Tsjinvali/Osetia del Sur, ocupadas por Rusia; anima a las instituciones de la Unión y a los Estados miembros a que sigan reforzando las capacidades de la misión de observación de la UE y a que amplíen su mandato; pide a las instituciones de la Unión y a los Estados miembros que empleen el término «ocupación» cuando se refieran a las regiones georgianas de Abjasia y Tsjinvali/Osetia del Sur, que están ocupadas ilegalmente por Rusia y bajo su control efectivo, tal como determinan las sentencias del Tribunal Europeo de Derechos Humanos y la investigación de la Corte Penal Internacional;</w:t>
      </w:r>
    </w:p>
    <w:p w14:paraId="1F082923" w14:textId="1F3D5860" w:rsidR="00FA44B8" w:rsidRPr="00EE59AF" w:rsidRDefault="00495DC9" w:rsidP="00FA44B8">
      <w:pPr>
        <w:pStyle w:val="NormalHanging12a"/>
      </w:pPr>
      <w:r>
        <w:t>75</w:t>
      </w:r>
      <w:r w:rsidR="00FA44B8" w:rsidRPr="005400F9">
        <w:t>.</w:t>
      </w:r>
      <w:r w:rsidR="00FA44B8" w:rsidRPr="005400F9">
        <w:tab/>
        <w:t>Considera que la adhesión de Ucrania y la República de Moldavia a la Unión sería una inversión geoestratégica en una Europa unida y fuerte; celebra el paquete de apoyo y la puesta en marcha de una misión de la UE de cooperación civil en la República de Moldavia; elogia los progresos ya realizados en materia de reformas e insta a la Comisión a que presente una ambiciosa hoja de ruta para que las negociaciones de adhesión comiencen lo antes posible, así como para la integración gradual de Ucrania y Moldavia en las políticas y programas de la Unión; hace hincapié en que la complejidad del proceso de adhesión y el hecho de que se base en los méritos requieren adoptar medidas de forma sostenida y oportuna; insiste una vez más en que se debe realizar un esfuerzo constante por ajustar los instrumentos de adhesión existentes y establecer la base jurídica para el Instrumento de Ayuda Preadhesión III;</w:t>
      </w:r>
      <w:r w:rsidR="00EE59AF" w:rsidRPr="005745C5">
        <w:t xml:space="preserve"> </w:t>
      </w:r>
      <w:r w:rsidR="00EE59AF" w:rsidRPr="00643C65">
        <w:t>espera con interés que el Consejo Europeo aborde las reformas internas relativas a la ampliación en sus próximas reuniones con vistas a adoptar, antes del verano de 2024, las conclusiones sobre una hoja de ruta para los futuros trabajos;</w:t>
      </w:r>
    </w:p>
    <w:p w14:paraId="171EECFF" w14:textId="0F741D0A" w:rsidR="00FA44B8" w:rsidRPr="005400F9" w:rsidRDefault="00495DC9" w:rsidP="00FA44B8">
      <w:pPr>
        <w:pStyle w:val="NormalHanging12a"/>
      </w:pPr>
      <w:r>
        <w:t>76</w:t>
      </w:r>
      <w:r w:rsidR="00FA44B8" w:rsidRPr="005400F9">
        <w:t>.</w:t>
      </w:r>
      <w:r w:rsidR="00FA44B8" w:rsidRPr="005400F9">
        <w:tab/>
        <w:t>Reitera la necesidad de repensar la política multilateral de la Asociación Oriental para restaurar la participación regional y la agenda regional de reformas democráticas, entre otras cosas a través de la Asamblea Parlamentaria Euronest;</w:t>
      </w:r>
    </w:p>
    <w:p w14:paraId="1876BED7" w14:textId="0D4D4540" w:rsidR="00FA44B8" w:rsidRPr="005400F9" w:rsidRDefault="00495DC9" w:rsidP="00FA44B8">
      <w:pPr>
        <w:pStyle w:val="NormalHanging12a"/>
      </w:pPr>
      <w:r>
        <w:t>77</w:t>
      </w:r>
      <w:r w:rsidR="00FA44B8" w:rsidRPr="005400F9">
        <w:t>.</w:t>
      </w:r>
      <w:r w:rsidR="00FA44B8" w:rsidRPr="00EE59AF">
        <w:tab/>
      </w:r>
      <w:r w:rsidR="00EE59AF" w:rsidRPr="00643C65">
        <w:t>Lamenta que Azerbaiyán optara por una solución militar en lugar de la diplomacia con respecto a Nagorno Karabaj, al tiempo que reconoce que Nagorno Karabaj es reconocido internacionalmente como territorio azerbaiyano; condena</w:t>
      </w:r>
      <w:r w:rsidR="00EE59AF" w:rsidRPr="00EE59AF">
        <w:t xml:space="preserve"> en los términos más enérgicos el injustificado ataque, planificado con antelación, por parte de Azerbaiyán contra los armenios de Nagorno Karabaj y quienes han permanecido en la región; pide a las autoridades azerbaiyanas que permitan el regreso seguro de la población armenia a Nagorno Karabaj y que ofrezcan garantías sólidas en relación con la protección de sus derechos; pide que se proteja el patrimonio cultural, histórico y religioso armenio en Nagorno Karabaj de conformidad con las normas de la Unesco y los compromisos internacionales de Azerbaiyán; lamenta la ofensiva de Bakú, que representó una grave violación del Derecho internacional y de los derechos humanos y una clara vulneración de la declaración trilateral de alto el fuego de 9 de noviembre de 2020 y de los compromisos contraídos por Azerbaiyán en las negociaciones celebradas con la mediación de la Unión; co</w:t>
      </w:r>
      <w:r w:rsidR="00EE59AF" w:rsidRPr="00752DEE">
        <w:t>nsidera que un diálogo auténtico entre Azerbaiyán y Armenia es la única vía sostenible para avanzar y pide a la Unión y a sus Estados miembros que apoyen estos esfuerzos; respalda las conversaciones de paz en curso entre Armenia y Azerbaiyán, que se han visto seriamente dificultadas por la reciente operación militar contra Nagorno Karabaj</w:t>
      </w:r>
      <w:r w:rsidR="00EE59AF" w:rsidRPr="00643C65">
        <w:t>, que ha conllevado el éxodo de la población armenia</w:t>
      </w:r>
      <w:r w:rsidR="00EE59AF" w:rsidRPr="00EE59AF">
        <w:t>; destaca que una paz regional digna y duradera que mantenga la soberanía, la independencia y la integridad territorial de ambos países es un requisito previo para la estabilidad en la región;</w:t>
      </w:r>
      <w:r w:rsidR="00EE59AF" w:rsidRPr="00643C65">
        <w:t xml:space="preserve"> manifiesta su preocupación por los intentos de algunos dirigentes y potencias regionales de aprovechar la situación actual de tal manera que podría poner en peligro las frágiles perspectivas de paz; advierte que la Unión y la comunidad internacional deben responder de manera decidida a cualquier esfuerzo por alcanzar objetivos mediante el uso de la fuerza y la violación de la integridad territorial de los países vecinos</w:t>
      </w:r>
      <w:r w:rsidR="00FA44B8" w:rsidRPr="005400F9">
        <w:t>;</w:t>
      </w:r>
    </w:p>
    <w:p w14:paraId="1E840D88" w14:textId="68665F3F" w:rsidR="00FA44B8" w:rsidRPr="005400F9" w:rsidRDefault="00495DC9" w:rsidP="00FA44B8">
      <w:pPr>
        <w:pStyle w:val="NormalHanging12a"/>
        <w:widowControl/>
      </w:pPr>
      <w:r>
        <w:t>78</w:t>
      </w:r>
      <w:r w:rsidR="00FA44B8" w:rsidRPr="005400F9">
        <w:t>.</w:t>
      </w:r>
      <w:r w:rsidR="00FA44B8" w:rsidRPr="005400F9">
        <w:tab/>
        <w:t>Pide a la misión civil de la Unión en Armenia (EUMA) que supervise de cerca la evolución de la situación de seguridad sobre el terreno, facilite información transparente al Parlamento y contribuya activamente a los esfuerzos de resolución del conflicto; pide a la Unión y a sus Estados miembros que refuercen el mandato de la EUMA, aumenten su tamaño, amplíen su duración y también que sitúen observadores a lo largo de la frontera con Turquía; pide a Azerbaiyán que permita la presencia de la EUMA en su lado de la frontera y en Nagorno Karabaj;</w:t>
      </w:r>
    </w:p>
    <w:p w14:paraId="4B07E290" w14:textId="333E8ECE" w:rsidR="00FA44B8" w:rsidRPr="005400F9" w:rsidRDefault="00495DC9" w:rsidP="00FA44B8">
      <w:pPr>
        <w:pStyle w:val="NormalHanging12a"/>
      </w:pPr>
      <w:r>
        <w:t>79</w:t>
      </w:r>
      <w:r w:rsidR="00FA44B8" w:rsidRPr="005400F9">
        <w:t>.</w:t>
      </w:r>
      <w:r w:rsidR="00FA44B8" w:rsidRPr="005400F9">
        <w:tab/>
        <w:t xml:space="preserve">Pide al VP/AR y al SEAE que sigan apoyando a Armenia a través del Fondo Europeo de Apoyo a la Paz, en particular con vistas a reforzar sus capacidades de defensa contra las amenazas híbridas a fin de ampliar su espacio de seguridad más allá de la Organización del Tratado de Seguridad Colectiva; celebra la creación del diálogo político y en materia de seguridad entre la UE y Armenia, y su </w:t>
      </w:r>
      <w:r w:rsidR="00EE59AF">
        <w:t>segunda</w:t>
      </w:r>
      <w:r w:rsidR="00FA44B8" w:rsidRPr="005400F9">
        <w:t xml:space="preserve"> reunión el </w:t>
      </w:r>
      <w:r w:rsidR="00EE59AF">
        <w:t>15</w:t>
      </w:r>
      <w:r w:rsidR="00FA44B8" w:rsidRPr="005400F9">
        <w:t xml:space="preserve"> de </w:t>
      </w:r>
      <w:r w:rsidR="00EE59AF">
        <w:t>noviembre</w:t>
      </w:r>
      <w:r w:rsidR="00FA44B8" w:rsidRPr="005400F9">
        <w:t xml:space="preserve"> de 2023;</w:t>
      </w:r>
    </w:p>
    <w:p w14:paraId="088B8515" w14:textId="415828DF" w:rsidR="00FA44B8" w:rsidRPr="005400F9" w:rsidRDefault="00495DC9" w:rsidP="00FA44B8">
      <w:pPr>
        <w:pStyle w:val="NormalHanging12a"/>
      </w:pPr>
      <w:r>
        <w:t>80</w:t>
      </w:r>
      <w:r w:rsidR="00FA44B8" w:rsidRPr="005400F9">
        <w:t>.</w:t>
      </w:r>
      <w:r w:rsidR="00FA44B8" w:rsidRPr="005400F9">
        <w:tab/>
        <w:t xml:space="preserve">Destaca que las múltiples advertencias del Parlamento sobre la situación no han dado lugar a ningún cambio en la política de la Unión con respecto a Azerbaiyán; insiste en que cualquier profundización de las relaciones de la Unión con Azerbaiyán debe estar supeditada a que el país progrese sustancialmente en cuanto al respeto de los derechos humanos, el Estado de Derecho, la democracia y las libertades fundamentales, incluida la protección de las minorías étnicas; </w:t>
      </w:r>
      <w:r w:rsidR="00EE59AF" w:rsidRPr="00643C65">
        <w:t>expresa, a este respecto, su profunda preocupación por el reciente empeoramiento de la represión contra periodistas independientes y defensores de los derechos humanos en Azerbaiyán;</w:t>
      </w:r>
      <w:r w:rsidR="00EE59AF" w:rsidRPr="00EE59AF">
        <w:t xml:space="preserve"> pide además a la Unión que imponga de inmediato sanciones a Azerbaiyán y suspenda el memorando de entendimiento relativo a una asociación estratégica en el ámbito de la energía; </w:t>
      </w:r>
      <w:r w:rsidR="00EE59AF" w:rsidRPr="00643C65">
        <w:t>cuestiona, además, la idoneidad de Azerbaiyán como organizador de la CP 29 en 2024, habida cuenta de que el país tiene previsto aumentar en un tercio su producción de combustibles fósiles durante la próxima década</w:t>
      </w:r>
      <w:r w:rsidR="00FA44B8" w:rsidRPr="005400F9">
        <w:t>;</w:t>
      </w:r>
    </w:p>
    <w:p w14:paraId="6B7D3724" w14:textId="1207D913" w:rsidR="00FA44B8" w:rsidRPr="005400F9" w:rsidRDefault="00495DC9" w:rsidP="00FA44B8">
      <w:pPr>
        <w:pStyle w:val="NormalHanging12a"/>
      </w:pPr>
      <w:r>
        <w:t>81</w:t>
      </w:r>
      <w:r w:rsidR="00FA44B8" w:rsidRPr="005400F9">
        <w:t>.</w:t>
      </w:r>
      <w:r w:rsidR="00FA44B8" w:rsidRPr="005400F9">
        <w:tab/>
        <w:t>Reitera su apoyo al Gobierno democráticamente elegido de Armenia y su pleno respeto de la soberanía, la democracia y la integridad territorial del país; elogia al primer ministro Nikol Pashinián por su declaración de que Armenia no será arrastrada a una nueva guerra con Azerbaiyán, y por sus recientes llamamientos en pro de la reanudación de las conversaciones de paz al más alto nivel con Azerbaiyán; condena la injerencia rusa en Armenia, que tiene como objetivo sembrar el descontento; pide a la Unión que refuerce su compromiso en el Cáucaso meridional;</w:t>
      </w:r>
      <w:r w:rsidR="00FA44B8" w:rsidRPr="00EE59AF">
        <w:t xml:space="preserve"> </w:t>
      </w:r>
      <w:r w:rsidR="00EE59AF" w:rsidRPr="00EE59AF">
        <w:t xml:space="preserve">acoge con satisfacción la </w:t>
      </w:r>
      <w:r w:rsidR="00EE59AF" w:rsidRPr="00643C65">
        <w:t>ratificación por parte</w:t>
      </w:r>
      <w:r w:rsidR="00EE59AF" w:rsidRPr="00EE59AF">
        <w:t xml:space="preserve"> de Armenia </w:t>
      </w:r>
      <w:r w:rsidR="00EE59AF" w:rsidRPr="00643C65">
        <w:t>del</w:t>
      </w:r>
      <w:r w:rsidR="00EE59AF" w:rsidRPr="00EE59AF">
        <w:t xml:space="preserve"> Estatuto de Roma de la Corte Penal Internacional</w:t>
      </w:r>
      <w:r w:rsidR="00FA44B8" w:rsidRPr="005400F9">
        <w:t>;</w:t>
      </w:r>
    </w:p>
    <w:p w14:paraId="3DB948FA" w14:textId="521F5756" w:rsidR="00FA44B8" w:rsidRPr="005400F9" w:rsidRDefault="00495DC9" w:rsidP="00FA44B8">
      <w:pPr>
        <w:pStyle w:val="NormalHanging12a"/>
      </w:pPr>
      <w:r>
        <w:t>82</w:t>
      </w:r>
      <w:r w:rsidR="00FA44B8" w:rsidRPr="005400F9">
        <w:t>.</w:t>
      </w:r>
      <w:r w:rsidR="00FA44B8" w:rsidRPr="005400F9">
        <w:tab/>
        <w:t>Sigue preocupado por que el Gobierno turco no haya invertido la tendencia negativa de deterioro de la democracia, el Estado de Derecho, los derechos fundamentales y la independencia del poder judicial, por que la política exterior de Turquía siga siendo contraria a las prioridades de la Unión en el marco de la PESC, y por que Turquía no se haya unido a las sanciones de la Unión contra Rusia;</w:t>
      </w:r>
      <w:r w:rsidR="00EE59AF">
        <w:t xml:space="preserve"> </w:t>
      </w:r>
      <w:r w:rsidR="00EE59AF" w:rsidRPr="00643C65">
        <w:t>manifiesta su profundo desacuerdo y decepción ante las declaraciones realizadas por el presidente de Turquía en las que afirmó que Hamás no es una organización terrorista;</w:t>
      </w:r>
    </w:p>
    <w:p w14:paraId="0831840D" w14:textId="1766693E" w:rsidR="00FA44B8" w:rsidRPr="005400F9" w:rsidRDefault="00495DC9" w:rsidP="00FA44B8">
      <w:pPr>
        <w:pStyle w:val="NormalHanging12a"/>
      </w:pPr>
      <w:r>
        <w:t>83</w:t>
      </w:r>
      <w:r w:rsidR="00FA44B8" w:rsidRPr="005400F9">
        <w:t>.</w:t>
      </w:r>
      <w:r w:rsidR="00FA44B8" w:rsidRPr="005400F9">
        <w:tab/>
        <w:t>Hace hincapié en que, en ausencia de un cambio drástico de rumbo por parte del Gobierno turco, el proceso de adhesión de Turquía a la Unión no puede reanudarse; pide a la Unión y al Gobierno turco que avancen hacia una asociación más estrecha, dinámica y estratégica, teniendo en cuenta el papel clave que desempeña Turquía en la región y su importancia como aliado en la OTAN; recomienda iniciar un proceso de reflexión al objeto de encontrar un marco paralelo y realista para las relaciones entre la Unión y Turquía que abarque los intereses de todas las partes implicadas, que vincule Turquía con la Unión en lugar de empujarla hacia Rusia o Irán;</w:t>
      </w:r>
    </w:p>
    <w:p w14:paraId="6EA3A968" w14:textId="48901A72" w:rsidR="00FA44B8" w:rsidRPr="005400F9" w:rsidRDefault="00495DC9" w:rsidP="00FA44B8">
      <w:pPr>
        <w:pStyle w:val="NormalHanging12a"/>
      </w:pPr>
      <w:r>
        <w:t>84</w:t>
      </w:r>
      <w:r w:rsidR="00FA44B8" w:rsidRPr="005400F9">
        <w:t>.</w:t>
      </w:r>
      <w:r w:rsidR="00FA44B8" w:rsidRPr="005400F9">
        <w:tab/>
        <w:t>Acoge con satisfacción la desescalada parcial de las tensiones en el Mediterráneo oriental y el Egeo, y pide a Turquía que trabaje en un enfoque constructivo, no asertivo ni agresivo, con sus socios en esas regiones;</w:t>
      </w:r>
      <w:r w:rsidR="00FA44B8" w:rsidRPr="00EE59AF">
        <w:t> </w:t>
      </w:r>
      <w:r w:rsidR="00EE59AF" w:rsidRPr="00643C65">
        <w:t>celebra, en ese sentido,</w:t>
      </w:r>
      <w:r w:rsidR="00EE59AF" w:rsidRPr="00EE59AF">
        <w:t xml:space="preserve"> la </w:t>
      </w:r>
      <w:r w:rsidR="00EE59AF" w:rsidRPr="00643C65">
        <w:t>decisión, largamente pospuesta,</w:t>
      </w:r>
      <w:r w:rsidR="00EE59AF" w:rsidRPr="00EE59AF">
        <w:t xml:space="preserve"> de Turquía </w:t>
      </w:r>
      <w:r w:rsidR="0035370F">
        <w:t xml:space="preserve">y de Hungría </w:t>
      </w:r>
      <w:r w:rsidR="00EE59AF" w:rsidRPr="00643C65">
        <w:t>de finalmente aprobar</w:t>
      </w:r>
      <w:r w:rsidR="00EE59AF" w:rsidRPr="00EE59AF">
        <w:t xml:space="preserve"> la adhesión de Suecia a la OTAN e insta a las autoridades nacionales turcas a que cooperen estrechamente con el enviado de la Unión en materia de sanciones</w:t>
      </w:r>
      <w:r w:rsidR="00FA44B8" w:rsidRPr="005400F9">
        <w:t>;</w:t>
      </w:r>
    </w:p>
    <w:p w14:paraId="17A6EDF3" w14:textId="5B535257" w:rsidR="00FA44B8" w:rsidRPr="005400F9" w:rsidRDefault="00495DC9" w:rsidP="00FA44B8">
      <w:pPr>
        <w:pStyle w:val="NormalHanging12a"/>
      </w:pPr>
      <w:r>
        <w:t>85</w:t>
      </w:r>
      <w:r w:rsidR="00FA44B8" w:rsidRPr="005400F9">
        <w:t>.</w:t>
      </w:r>
      <w:r w:rsidR="00FA44B8" w:rsidRPr="005400F9">
        <w:tab/>
        <w:t xml:space="preserve">Condena el inicio de obras de construcción ilegales por la parte turcochipriota dentro de la zona de seguridad en las proximidades de la localidad bicomunitaria de Pyla/Pile en Chipre, así como los ataques contra las fuerzas de mantenimiento de la paz de las Naciones Unidas y los daños a vehículos de esta organización que tuvieron lugar el 18 de agosto de 2023; pide que se respeten el estatuto de la zona de seguridad y el mandato de la Fuerza de las Naciones Unidas para el Mantenimiento de la Paz en Chipre; recuerda que las amenazas a la seguridad de las fuerzas de mantenimiento de la paz de las Naciones Unidas y los daños a la propiedad de las Naciones Unidas constituyen delitos con arreglo al Derecho internacional; insta a Turquía y a los dirigentes turcochipriotas a que cesen y reviertan todas estas actividades unilaterales y eviten cualquier otra acción o provocación que no conduzca a la reanudación de las negociaciones dirigidas por las Naciones Unidas; acoge con satisfacción el acuerdo alcanzado por las partes para encontrar una solución para la construcción de la carretera de Pyla/Pile en Chipre y estabilizar la situación, y pide que se entablen negociaciones pacíficas y un proceso de diálogo real; </w:t>
      </w:r>
    </w:p>
    <w:p w14:paraId="7A033DCB" w14:textId="431DAAFC" w:rsidR="00FA44B8" w:rsidRPr="005400F9" w:rsidRDefault="00495DC9" w:rsidP="00FA44B8">
      <w:pPr>
        <w:pStyle w:val="NormalHanging12a"/>
      </w:pPr>
      <w:r>
        <w:t>86</w:t>
      </w:r>
      <w:r w:rsidR="00FA44B8" w:rsidRPr="005400F9">
        <w:t>.</w:t>
      </w:r>
      <w:r w:rsidR="00FA44B8" w:rsidRPr="005400F9">
        <w:tab/>
      </w:r>
      <w:r w:rsidR="00EE59AF" w:rsidRPr="00EE59AF">
        <w:t xml:space="preserve">Lamenta que, pasados más de veinticinco años desde la puesta en marcha del llamado Proceso de Barcelona, no se haya conseguido la creación de un espacio de prosperidad compartida, estabilidad y libertad con los países mediterráneos de la vecindad sur; anima al VP/AR y a la Comisión a que refuercen la dimensión meridional de la vecindad de la Unión, también mediante un mayor diálogo y una condicionalidad reforzada para el desembolso de los fondos, y a que garanticen recursos adecuados para la aplicación oportuna y efectiva de la nueva Agenda para el Mediterráneo; subraya el importante papel que desempeñan los países de la vecindad sur para que los flujos migratorios sean objeto de una gestión basada en los principios de </w:t>
      </w:r>
      <w:r w:rsidR="00EE59AF" w:rsidRPr="00643C65">
        <w:t xml:space="preserve">derechos humanos de los migrantes y refugiados, consagrados en la legislación regional, nacional e internacional, </w:t>
      </w:r>
      <w:r w:rsidR="00EE59AF" w:rsidRPr="00EE59AF">
        <w:t xml:space="preserve">solidaridad, equilibrio y responsabilidad compartida entre países; resalta la importancia de </w:t>
      </w:r>
      <w:r w:rsidR="00EE59AF" w:rsidRPr="00643C65">
        <w:t>cooperar</w:t>
      </w:r>
      <w:r w:rsidR="00EE59AF" w:rsidRPr="00EE59AF">
        <w:t xml:space="preserve"> con estos países a fin de mitigar</w:t>
      </w:r>
      <w:r w:rsidR="00EE59AF" w:rsidRPr="00643C65">
        <w:t xml:space="preserve"> las causas profundas de la migración,</w:t>
      </w:r>
      <w:r w:rsidR="00EE59AF" w:rsidRPr="00EE59AF">
        <w:t xml:space="preserve"> las consecuencias de la migración irregular, el tráfico de seres humanos y el contrabando de armas ilícitas y bienes culturales; señala que muchos países de la vecindad meridional disponen de ricos recursos energéticos y pueden contribuir más a la diversificación del aprovisionamiento de energía de los países europeos</w:t>
      </w:r>
      <w:r w:rsidR="00FA44B8" w:rsidRPr="005400F9">
        <w:t>;</w:t>
      </w:r>
    </w:p>
    <w:p w14:paraId="69668FA0" w14:textId="64356E5F" w:rsidR="00FA44B8" w:rsidRPr="005400F9" w:rsidRDefault="00495DC9" w:rsidP="00FA44B8">
      <w:pPr>
        <w:pStyle w:val="NormalHanging12a"/>
      </w:pPr>
      <w:r>
        <w:t>87</w:t>
      </w:r>
      <w:r w:rsidR="00FA44B8" w:rsidRPr="005400F9">
        <w:t>.</w:t>
      </w:r>
      <w:r w:rsidR="00FA44B8" w:rsidRPr="005400F9">
        <w:tab/>
        <w:t>Toma nota del acuerdo político sobre un paquete global de asociación con Túnez; recuerda que este memorando de entendimiento lleva aparejadas condiciones e insta a la Comisión a que garantice su cumplimiento; lamenta, no obstante, que el memorando de entendimiento no incluya las obligaciones en materia de derechos humanos previstas por la Unión en sus acuerdos con terceros países; considera asimismo que las relaciones UE-Túnez deben basarse en el marco del Acuerdo de Asociación UE-Túnez y en el respeto de la democracia, los derechos humanos y el Estado de Derecho, con una plena supervisión parlamentaria en relación con la aplicación del Acuerdo de Asociación y el desembolso de los fondos de la Unión en Túnez; cree firmemente que la transferencia de fondos de la UE debe estar condicionada al cumplimiento por parte de Túnez de las normas en materia de derechos humanos e incluir disposiciones en materia de condicionalidad y rendición de cuentas; pide a la Comisión que presente un mecanismo para garantizar el cumplimiento a este respecto, analizando todas las opciones pertinentes;</w:t>
      </w:r>
    </w:p>
    <w:p w14:paraId="1EA0E922" w14:textId="70D810C5" w:rsidR="00FA44B8" w:rsidRPr="005400F9" w:rsidRDefault="00495DC9" w:rsidP="00FA44B8">
      <w:pPr>
        <w:pStyle w:val="NormalHanging12a"/>
      </w:pPr>
      <w:r>
        <w:t>88</w:t>
      </w:r>
      <w:r w:rsidR="00FA44B8" w:rsidRPr="005400F9">
        <w:t>.</w:t>
      </w:r>
      <w:r w:rsidR="00FA44B8" w:rsidRPr="005400F9">
        <w:tab/>
        <w:t>Expresa su profunda preocupación por la deriva autoritaria de los dirigentes tunecinos, la detención de personalidades de la oposición y de la sociedad civil y la persecución de refugiados y solicitantes de asilo, e insta a las autoridades tunecinas a que respeten el Derecho internacional humanitario y los derechos de los migrantes; condena, además, la decisión de las autoridades tunecinas de denegar la entrada a la delegación de la Comisión de Asuntos Exteriores del Parlamento, e insta a las autoridades tunecinas a que permitan un diálogo político abierto;</w:t>
      </w:r>
    </w:p>
    <w:p w14:paraId="1E1C886F" w14:textId="2C0842BD" w:rsidR="00FA44B8" w:rsidRPr="005400F9" w:rsidRDefault="00495DC9" w:rsidP="00FA44B8">
      <w:pPr>
        <w:pStyle w:val="NormalHanging12a"/>
      </w:pPr>
      <w:r>
        <w:t>89</w:t>
      </w:r>
      <w:r w:rsidR="00FA44B8" w:rsidRPr="005400F9">
        <w:t>.</w:t>
      </w:r>
      <w:r w:rsidR="00FA44B8" w:rsidRPr="005400F9">
        <w:tab/>
        <w:t>Destaca la necesidad de colaborar de forma más estratégica con los países del Golfo, en particular en la promoción de la seguridad regional, la cooperación, la acción por el clima, los derechos humanos y la lucha contra la corrupción; acoge con satisfacción la reanudación de las relaciones diplomáticas entre el Reino de Arabia Saudí y la República Islámica de Irán; celebra asimismo la propuesta de establecer un diálogo estructurado en materia de seguridad entre la Unión y el Consejo de Cooperación del Golfo; recuerda a este respecto que la asociación estratégica entre la Unión y los países del Golfo requiere plena transparencia y rendición de cuentas; pide a la Unión y a los Estados miembros que sigan haciendo hincapié en el respeto de los derechos humanos y la igualdad de género, así como en la aproximación gradual de los valores, en especial para responder a la guerra de agresión de Rusia contra Ucrania y sus consecuencias;</w:t>
      </w:r>
    </w:p>
    <w:p w14:paraId="47AABDF3" w14:textId="53F51929" w:rsidR="00FA44B8" w:rsidRPr="005400F9" w:rsidRDefault="00495DC9" w:rsidP="00FA44B8">
      <w:pPr>
        <w:pStyle w:val="NormalHanging12a"/>
      </w:pPr>
      <w:r>
        <w:t>90</w:t>
      </w:r>
      <w:r w:rsidR="00FA44B8" w:rsidRPr="005400F9">
        <w:t>.</w:t>
      </w:r>
      <w:r w:rsidR="00FA44B8" w:rsidRPr="005400F9">
        <w:tab/>
        <w:t>Resalta que la política exterior de la Unión tiene por objetivo desarrollar y consolidar la democracia, el Estado de Derecho y el respeto de los derechos humanos y las libertades fundamentales, y que el Reino de Arabia Saudí no comparte esos objetivos; toma nota de que el Reino de Arabia Saudí sigue interactuando con la Unión en el marco de un diálogo periódico sobre derechos humanos; condena, no obstante, la violación continua de los derechos humanos por parte del país, en particular la aplicación de sentencias de muerte y ejecuciones y las restricciones a los derechos civiles y políticos, así como a la libertad de expresión, y pide la abolición de la pena de muerte;</w:t>
      </w:r>
    </w:p>
    <w:p w14:paraId="7C45F2E2" w14:textId="7CD32530" w:rsidR="00FA44B8" w:rsidRPr="005400F9" w:rsidRDefault="00495DC9" w:rsidP="00FA44B8">
      <w:pPr>
        <w:pStyle w:val="NormalHanging12a"/>
      </w:pPr>
      <w:r>
        <w:t>91</w:t>
      </w:r>
      <w:r w:rsidR="00FA44B8" w:rsidRPr="005400F9">
        <w:t>.</w:t>
      </w:r>
      <w:r w:rsidR="00FA44B8" w:rsidRPr="005400F9">
        <w:tab/>
        <w:t>Condena la brutal represión ejercida por la policía y las fuerzas de seguridad iraníes, incluido el Cuerpo de los Guardianes de la Revolución Islámica, contra las manifestaciones tras el asesinato de Jina Mahsa Amini y la tortura y el asesinato de muchos otros opositores al régimen; pide medidas restrictivas adicionales contra el Cuerpo de los Guardianes de la Revolución Islámica, sus fuerzas auxiliares y todos los responsables de violaciones de los derechos humanos contra las protestas pacíficas, incluidos los más altos cargos; pide al Consejo que califique de entidad terrorista al Cuerpo de los Guardianes de la Revolución Islámica y sus fuerzas auxiliares, incluidas la «policía de la moral», las milicias paramilitares Basij y la Fuerza Quds;</w:t>
      </w:r>
    </w:p>
    <w:p w14:paraId="2283BF9D" w14:textId="4B46A6D6" w:rsidR="00FA44B8" w:rsidRPr="005400F9" w:rsidRDefault="00495DC9" w:rsidP="00FA44B8">
      <w:pPr>
        <w:pStyle w:val="NormalHanging12a"/>
      </w:pPr>
      <w:r>
        <w:t>92</w:t>
      </w:r>
      <w:r w:rsidR="00FA44B8" w:rsidRPr="005400F9">
        <w:t>.</w:t>
      </w:r>
      <w:r w:rsidR="00FA44B8" w:rsidRPr="005400F9">
        <w:tab/>
        <w:t>Reitera su apoyo al movimiento de oposición pacífica que protesta en todo Irán contra la opresión sistémica y creciente de las mujeres y contra las violaciones graves de los derechos humanos y las libertades fundamentales; condena al régimen iraní por su campaña de acoso, vigilancia, secuestros y amenazas de muerte contra activistas iraníes y por su discriminación sistemática contra las mujeres a través de leyes y normas que restringen gravemente sus libertades; aboga por la creación de un mecanismo internacional de investigación y rendición de cuentas por las violaciones de los derechos humanos perpetradas por el Gobierno iraní;</w:t>
      </w:r>
    </w:p>
    <w:p w14:paraId="335AB916" w14:textId="5CB34350" w:rsidR="00FA44B8" w:rsidRPr="005400F9" w:rsidRDefault="00495DC9" w:rsidP="00FA44B8">
      <w:pPr>
        <w:pStyle w:val="NormalHanging12a"/>
      </w:pPr>
      <w:r>
        <w:t>93</w:t>
      </w:r>
      <w:r w:rsidR="00FA44B8" w:rsidRPr="005400F9">
        <w:t>.</w:t>
      </w:r>
      <w:r w:rsidR="00FA44B8" w:rsidRPr="005400F9">
        <w:tab/>
      </w:r>
      <w:r w:rsidR="00EE59AF" w:rsidRPr="00EE59AF">
        <w:t>Condena al régimen iraní por el suministro de equipos militares a Rusia en su agresión brutal e ilegal contra Ucrania; destaca que la República Islámica está contribuyendo a los crímenes de guerra en Ucrania, ya que estos equipos se utilizan para atacar a civiles e infraestructuras civiles, y aboga por una respuesta firme de la Unión ante la participación de Irán en la guerra de Rusia; condena el apoyo de Irán a grupos clasificados como terroristas, entre ellos, Hizbulá, Hamás</w:t>
      </w:r>
      <w:r w:rsidR="00EE59AF" w:rsidRPr="00643C65">
        <w:t>,</w:t>
      </w:r>
      <w:r w:rsidR="00EE59AF" w:rsidRPr="00EE59AF">
        <w:t xml:space="preserve"> la Yihad Islámica Palestina</w:t>
      </w:r>
      <w:r w:rsidR="00EE59AF" w:rsidRPr="00643C65">
        <w:t xml:space="preserve"> y los hutíes; condena los ataques ilegales, inaceptables y profundamente desestabilizadores de hutíes contra buques comerciales que transitan por el mar Rojo, utilizando misiles, pequeñas embarcaciones e intentos de secuestro; subraya que estas acciones han provocado una perturbación significativa del comercio mundial, ya que las compañías navieras se ven obligadas a redirigir gran parte del tráfico del mar Rojo de modo que rodee el extremo meridional de África; pide una acción colectiva y anima a que se refuercen el compromiso de la Unión y la cooperación internacional; acoge con agrado, en este contexto, la decisión de los Estados miembros de poner en marcha una operación marítima de la PCSD, bajo el nombre de Aspides, para proteger a los buques mercantes, reforzando el conocimiento de la situación marítima y acompañando a los buques al objeto de disuadir ataques y garantizar la libertad de navegación en una de las vías navegables más críticas del mundo; pide el cese inmediato de estos ataques ilegales y la liberación de los buques y las tripulaciones detenidos ilegalmente</w:t>
      </w:r>
      <w:r w:rsidR="00EE59AF" w:rsidRPr="00EE59AF">
        <w:t xml:space="preserve">; manifiesta su preocupación por el efecto desestabilizador que tienen </w:t>
      </w:r>
      <w:r w:rsidR="00EE59AF" w:rsidRPr="00643C65">
        <w:t>las</w:t>
      </w:r>
      <w:r w:rsidR="00EE59AF" w:rsidRPr="00EE59AF">
        <w:t xml:space="preserve"> actividades</w:t>
      </w:r>
      <w:r w:rsidR="00EE59AF" w:rsidRPr="00643C65">
        <w:t xml:space="preserve"> de Irán</w:t>
      </w:r>
      <w:r w:rsidR="00EE59AF" w:rsidRPr="00EE59AF">
        <w:t xml:space="preserve"> en Oriente Próximo y para las perspectivas de paz entre Israel y Palestina; resalta la necesidad de abordar y contrarrestar las actividades maliciosas y desestabilizadoras de Irán en todo Oriente Próximo y fuera de él; se opone firmemente a la diplomacia de rehenes de Irán y pide que todos los nacionales europeos detenidos en Irán sean liberados y se les permita abandonar el país; pide al régimen de Teherán que ponga fin a su campaña de intimidación y represión de grupos de la diáspora iraní en la Unión y en todo el mundo; pide a los Gobiernos de los Estados miembros que tengan en cuenta las tácticas específicas de represión transnacional empleadas por Irán</w:t>
      </w:r>
      <w:r w:rsidR="00FA44B8" w:rsidRPr="005400F9">
        <w:t>;</w:t>
      </w:r>
    </w:p>
    <w:p w14:paraId="3A7B4CAC" w14:textId="642A4EDE" w:rsidR="00FA44B8" w:rsidRPr="005400F9" w:rsidRDefault="00495DC9" w:rsidP="00FA44B8">
      <w:pPr>
        <w:pStyle w:val="NormalHanging12a"/>
      </w:pPr>
      <w:r>
        <w:t>94</w:t>
      </w:r>
      <w:r w:rsidR="00FA44B8" w:rsidRPr="005400F9">
        <w:t>.</w:t>
      </w:r>
      <w:r w:rsidR="00FA44B8" w:rsidRPr="005400F9">
        <w:tab/>
        <w:t>Manifiesta su gran preocupación por que la República Islámica prosiga el enriquecimiento de uranio de hasta un 60 % de pureza y sus reiteradas violaciones del Plan de Acción Integral Conjunto (PAIC); anima a reanudar las negociaciones del PAIC;</w:t>
      </w:r>
    </w:p>
    <w:p w14:paraId="2739277F" w14:textId="0B017086" w:rsidR="00FA44B8" w:rsidRDefault="00495DC9" w:rsidP="00FA44B8">
      <w:pPr>
        <w:pStyle w:val="NormalHanging12a"/>
      </w:pPr>
      <w:r>
        <w:t>95</w:t>
      </w:r>
      <w:r w:rsidR="00FA44B8" w:rsidRPr="005400F9">
        <w:t>.</w:t>
      </w:r>
      <w:r w:rsidR="00FA44B8" w:rsidRPr="005400F9">
        <w:tab/>
      </w:r>
      <w:r w:rsidR="00EE59AF" w:rsidRPr="00EE59AF">
        <w:t>Condena, en los términos más enérgicos, los infames atentados terroristas cometidos por el grupo terrorista Hamás contra Israel</w:t>
      </w:r>
      <w:r w:rsidR="00EE59AF" w:rsidRPr="00643C65">
        <w:t>; exige la liberación inmediata e incondicional</w:t>
      </w:r>
      <w:r w:rsidR="00EE59AF" w:rsidRPr="00EE59AF">
        <w:t xml:space="preserve"> de </w:t>
      </w:r>
      <w:r w:rsidR="00EE59AF" w:rsidRPr="00643C65">
        <w:t>todos los rehenes capturados por el grupo terrorista Hamás</w:t>
      </w:r>
      <w:r w:rsidR="00EE59AF" w:rsidRPr="00EE59AF">
        <w:t xml:space="preserve"> y </w:t>
      </w:r>
      <w:r w:rsidR="00EE59AF" w:rsidRPr="00643C65">
        <w:t>la repatriación de los cadáveres de los rehenes fallecidos</w:t>
      </w:r>
      <w:r w:rsidR="00EE59AF" w:rsidRPr="00EE59AF">
        <w:t>; reconoce el derecho de Israel a la legítima defensa</w:t>
      </w:r>
      <w:r w:rsidR="00EE59AF" w:rsidRPr="00643C65">
        <w:t>,</w:t>
      </w:r>
      <w:r w:rsidR="00EE59AF" w:rsidRPr="00EE59AF">
        <w:t xml:space="preserve"> consagrado y limitado por el Derecho internacional y, por ello, las acciones de Israel deben respetar estrictamente el Derecho internacional humanitario</w:t>
      </w:r>
      <w:r w:rsidR="00EE59AF" w:rsidRPr="00643C65">
        <w:t>, que establece que todas las partes en un conflicto deben distinguir en todo momento entre combatientes y civiles, que los ataques deben dirigirse únicamente a objetivos militares y que los civiles y las infraestructuras civiles no deben ser objeto de ataques; condena la desproporcionada respuesta militar israelí, que ha causado un número de muertes civiles de una magnitud sin precedentes</w:t>
      </w:r>
      <w:r w:rsidR="00EE59AF" w:rsidRPr="00EE59AF">
        <w:t xml:space="preserve">; expresa su profunda preocupación por el grave deterioro de la situación humanitaria en la Franja de Gaza y pide </w:t>
      </w:r>
      <w:r w:rsidR="00EE59AF" w:rsidRPr="00643C65">
        <w:t>un alto el fuego permanente</w:t>
      </w:r>
      <w:r w:rsidR="00EE59AF" w:rsidRPr="00EE59AF">
        <w:t xml:space="preserve"> para que pueda prestarse ayuda a la población civil de la Franja de Gaza; insta a la comunidad internacional a que mantenga y aumente su ayuda humanitaria a la población civil de la zona, y reitera que la Unión debe seguir proporcionándole ayuda humanitaria; insta a </w:t>
      </w:r>
      <w:r w:rsidR="00EE59AF" w:rsidRPr="00643C65">
        <w:t>las autoridades israelíes</w:t>
      </w:r>
      <w:r w:rsidR="00EE59AF" w:rsidRPr="00EE59AF">
        <w:t xml:space="preserve"> a que </w:t>
      </w:r>
      <w:r w:rsidR="00EE59AF" w:rsidRPr="00643C65">
        <w:t>garanticen el acceso continuado de la ayuda humanitaria a</w:t>
      </w:r>
      <w:r w:rsidR="00EE59AF" w:rsidRPr="00EE59AF">
        <w:t xml:space="preserve"> la Franja de Gaza</w:t>
      </w:r>
      <w:r w:rsidR="00EE59AF" w:rsidRPr="00643C65">
        <w:t>, haciendo hincapié en el suministro ininterrumpido de productos esenciales como combustible, alimentos, agua, suministros médicos y refugio, de conformidad con el Derecho internacional</w:t>
      </w:r>
      <w:r w:rsidR="00EE59AF" w:rsidRPr="00EE59AF">
        <w:t>; lamenta que la Autoridad Palestina no haya celebrado elecciones desde 2005, lo que mina su credibilidad, y espera que se celebren pronto elecciones</w:t>
      </w:r>
      <w:r w:rsidR="00FA44B8" w:rsidRPr="005400F9">
        <w:t>;</w:t>
      </w:r>
    </w:p>
    <w:p w14:paraId="6EC509AE" w14:textId="3DEB5E49" w:rsidR="00CE074D" w:rsidRDefault="00495DC9" w:rsidP="00FA44B8">
      <w:pPr>
        <w:pStyle w:val="NormalHanging12a"/>
      </w:pPr>
      <w:r>
        <w:t>96</w:t>
      </w:r>
      <w:r w:rsidR="00CE074D" w:rsidRPr="00643C65">
        <w:t>.</w:t>
      </w:r>
      <w:r w:rsidR="00CE074D" w:rsidRPr="00CE074D">
        <w:tab/>
      </w:r>
      <w:r w:rsidR="00CE074D">
        <w:t>P</w:t>
      </w:r>
      <w:r w:rsidR="00CE074D" w:rsidRPr="00643C65">
        <w:t>ide a los Estados miembros que apoyen a la Corte y exijan a Israel que cumpla inmediatamente las órdenes jurídicamente vinculantes dictadas por dicho tribunal;</w:t>
      </w:r>
    </w:p>
    <w:p w14:paraId="669D26BC" w14:textId="44CE64E3" w:rsidR="00301640" w:rsidRPr="00301640" w:rsidRDefault="00495DC9" w:rsidP="00FA44B8">
      <w:pPr>
        <w:pStyle w:val="NormalHanging12a"/>
      </w:pPr>
      <w:r>
        <w:t>97</w:t>
      </w:r>
      <w:r w:rsidR="00301640" w:rsidRPr="00643C65">
        <w:t>.</w:t>
      </w:r>
      <w:r w:rsidR="00301640" w:rsidRPr="00301640">
        <w:tab/>
      </w:r>
      <w:r w:rsidR="00301640" w:rsidRPr="00643C65">
        <w:t>Lamenta que Hamás y sus aliados estén tratando cada vez más de llevar el conflicto a un escenario mucho más amplio con el fin de ejercer presión sobre Israel a medida que se intensifica la ofensiva terrestre en Gaza; expresa, en consecuencia, su preocupación por el hecho de que Irán y sus aliados estén impulsando una guerra regional; manifiesta su profunda preocupación por el potencial de escalada de la guerra, así como por su impacto en toda la región, especialmente por la situación en la frontera entre Israel y el Líbano, ya que combatientes leales a Hizbulá están lanzando cohetes hacia Israel; destaca la importancia de rebajar las tensiones en la región;</w:t>
      </w:r>
    </w:p>
    <w:p w14:paraId="56ACF1C7" w14:textId="6228060F" w:rsidR="00FA44B8" w:rsidRDefault="00495DC9" w:rsidP="00FA44B8">
      <w:pPr>
        <w:pStyle w:val="NormalHanging12a"/>
      </w:pPr>
      <w:r>
        <w:t>98</w:t>
      </w:r>
      <w:r w:rsidR="00FA44B8" w:rsidRPr="005400F9">
        <w:t>.</w:t>
      </w:r>
      <w:r w:rsidR="00FA44B8" w:rsidRPr="005400F9">
        <w:tab/>
        <w:t>Reitera su apoyo inquebrantable a una solución negociada de dos Estados para Israel y Palestina sobre la base de las fronteras de 1967, con dos Estados soberanos y democráticos en pacífica vecindad y con Jerusalén como capital común; anima al SEAE y a los Estados miembros a que adopten una iniciativa europea para volver a encauzar la solución de dos Estados;</w:t>
      </w:r>
      <w:r w:rsidR="00FA44B8" w:rsidRPr="00301640">
        <w:t xml:space="preserve"> </w:t>
      </w:r>
      <w:r w:rsidR="00301640" w:rsidRPr="00643C65">
        <w:t xml:space="preserve">pide, en este contexto, al VP/AR y al representante especial para el proceso de paz en Oriente Próximo que obtengan apoyo internacional para el «Esfuerzo por el Día de la Paz» en favor de la paz en Oriente Próximo, puesto en marcha en Nueva York en la Asamblea General de las Naciones Unidas en septiembre de 2023; es consciente de que, para reanudar las negociaciones, las partes interesadas internacionales, incluidos los Estados Unidos, las Naciones Unidas, la Unión Europea y los Estados árabes, deben complementar sus esfuerzos con el fin de que sean constructivos; </w:t>
      </w:r>
      <w:r w:rsidR="00FA44B8" w:rsidRPr="00301640">
        <w:t>r</w:t>
      </w:r>
      <w:r w:rsidR="00FA44B8" w:rsidRPr="005400F9">
        <w:t>ecuerda que los asentamientos en los Territorios Palestinos Ocupados son ilegales con arreglo al Derecho internacional;</w:t>
      </w:r>
      <w:r w:rsidR="00301640" w:rsidRPr="0059638D">
        <w:t xml:space="preserve"> </w:t>
      </w:r>
      <w:r w:rsidR="00301640" w:rsidRPr="00643C65">
        <w:t xml:space="preserve">condena enérgicamente el aumento de la violencia de colonos extremistas perpetrada contra los palestinos; </w:t>
      </w:r>
      <w:r w:rsidR="00301640" w:rsidRPr="00301640">
        <w:t xml:space="preserve">pide el fin inmediato de la política de asentamientos, </w:t>
      </w:r>
      <w:r w:rsidR="00301640" w:rsidRPr="00643C65">
        <w:t xml:space="preserve">así como el fin de la ocupación de los territorios palestinos, </w:t>
      </w:r>
      <w:r w:rsidR="00301640" w:rsidRPr="00301640">
        <w:t xml:space="preserve">que </w:t>
      </w:r>
      <w:r w:rsidR="00301640" w:rsidRPr="00643C65">
        <w:t>constituyen obstáculos importantes</w:t>
      </w:r>
      <w:r w:rsidR="00301640" w:rsidRPr="00301640">
        <w:t xml:space="preserve"> para la viabilidad de la solución de dos Estados</w:t>
      </w:r>
      <w:r w:rsidR="00301640" w:rsidRPr="00643C65">
        <w:t>; pide que se impongan medidas restrictivas a los colonos extremistas que violen los derechos humanos y el Derecho internacional</w:t>
      </w:r>
      <w:r w:rsidR="00FA44B8" w:rsidRPr="005400F9">
        <w:t>;</w:t>
      </w:r>
      <w:r w:rsidR="00FA44B8" w:rsidRPr="003D7BAF">
        <w:t xml:space="preserve"> </w:t>
      </w:r>
      <w:r w:rsidR="000D0550" w:rsidRPr="00643C65">
        <w:t>apoya una solución justa, viable y acordada a la cuestión de los refugiados palestinos;</w:t>
      </w:r>
      <w:r w:rsidR="000D0550" w:rsidRPr="003D7BAF">
        <w:t xml:space="preserve"> </w:t>
      </w:r>
      <w:r w:rsidR="00FA44B8" w:rsidRPr="005400F9">
        <w:t>hace hincapié en que un apoyo constante al Organismo de Obras Públicas y Socorro de las Naciones Unidas para los Refugiados de Palestina en el Cercano Oriente sigue siendo un elemento clave de la estrategia de la Unión de contribuir al fomento de la estabilidad y la paz en Oriente Próximo;</w:t>
      </w:r>
      <w:r w:rsidR="00301640" w:rsidRPr="00301640">
        <w:t xml:space="preserve"> </w:t>
      </w:r>
      <w:r w:rsidR="00301640" w:rsidRPr="00643C65">
        <w:t>observa con preocupación las acusaciones recientemente formuladas por Israel contra doce trabajadores del Organismo de Obras Públicas y Socorro de las Naciones Unidas para los Refugiados de Palestina en el Cercano Oriente (OOPS); acoge con satisfacción la respuesta firme y rápida de las Naciones Unidas a dichas acusaciones, incluidos el despido inmediato de los trabajadores en cuestión y la apertura de dos investigaciones independientes sobre el asunto por parte de la Oficina de Servicios de Supervisión Interna (OSSI) de las Naciones Unidas y el grupo de revisión independiente dirigido por la exministra francesa Catherine Colonna y tres organizaciones europeas; pide a Israel, en este sentido, que coopere estrechamente y facilite todas las pruebas necesarias a la OSSI y al grupo de revisión independiente; acoge con satisfacción la decisión de la Comisión de no suspender la financiación del OOPS antes de conocer el resultado de las investigaciones iniciadas por las Naciones Unidas y las medidas que tiene previsto adoptar; insta a todos los países contribuyentes que han suspendido su financiación del OOPS debido a las acusaciones formuladas en su contra a que reconsideren su decisión a la luz de la respuesta inmediata del organismo a dichas acusaciones y al papel esencial que desempeña en la prestación de asistencia vital a los dos millones de personas en la Franja de Gaza que dependen de ella para sobrevivir a una de las crisis humanitarias más complejas y graves del mundo;</w:t>
      </w:r>
    </w:p>
    <w:p w14:paraId="2F2177AC" w14:textId="0331ECF6" w:rsidR="007224B4" w:rsidRPr="007224B4" w:rsidRDefault="00495DC9" w:rsidP="00FA44B8">
      <w:pPr>
        <w:pStyle w:val="NormalHanging12a"/>
      </w:pPr>
      <w:r>
        <w:t>99</w:t>
      </w:r>
      <w:r w:rsidR="007224B4" w:rsidRPr="00643C65">
        <w:t>.</w:t>
      </w:r>
      <w:r w:rsidR="007224B4" w:rsidRPr="007224B4">
        <w:tab/>
      </w:r>
      <w:r w:rsidR="007224B4" w:rsidRPr="00643C65">
        <w:t>Reitera el firme apoyo de la Unión a la labor de la Corte Penal Internacional (CPI) y de la Corte Internacional de Justicia; pide que los responsables de actos terroristas y de violaciones del Derecho internacional rindan cuentas y, a tal fin, exige que se investiguen todos los posibles crímenes de guerra; reitera que los ataques deliberados contra civiles constituyen violaciones graves del Derecho internacional, al igual que el traslado forzoso de poblaciones; pide justicia para las víctimas de los atentados terroristas de Hamás, que incluyeron matanzas en masa y torturas sexuales, del 7 de octubre de 2023 y a partir entonces; toma nota de la demanda presentada por Sudáfrica contra Israel ante la Corte Internacional de Justicia;</w:t>
      </w:r>
    </w:p>
    <w:p w14:paraId="43C43370" w14:textId="347D5813" w:rsidR="00FA44B8" w:rsidRPr="005400F9" w:rsidRDefault="00495DC9" w:rsidP="00FA44B8">
      <w:pPr>
        <w:pStyle w:val="NormalHanging12a"/>
      </w:pPr>
      <w:r>
        <w:t>100</w:t>
      </w:r>
      <w:r w:rsidR="00FA44B8" w:rsidRPr="005400F9">
        <w:t>.</w:t>
      </w:r>
      <w:r w:rsidR="00FA44B8" w:rsidRPr="005400F9">
        <w:tab/>
        <w:t>Reconoce que la guerra de agresión de Rusia contra Ucrania plantea tanto retos como oportunidades para los Estados de Asia Central, que tradicionalmente han mantenido estrechas relaciones con Rusia; expresa su preocupación por la presión que ejercen Rusia y China en la región y subraya la necesidad de aumentar la presencia de la Unión en Asia Central como respuesta; subraya el interés de la Unión en aumentar las relaciones económicas e intensificar los vínculos políticos con los países de Asia Central, en parte para abordar la elusión de las sanciones contra Rusia y Bielorrusia; pide a las autoridades nacionales de estos países, en particular las de Kazajistán, Kirguistán y Uzbekistán, que cooperen estrechamente con la Unión, en particular con su enviado en materia de sanciones, y recuerda asimismo, a este respecto, la importancia de una relación de trabajo más estrecha con la OSCE;</w:t>
      </w:r>
    </w:p>
    <w:p w14:paraId="58F628DA" w14:textId="47A89696" w:rsidR="00FA44B8" w:rsidRPr="005400F9" w:rsidRDefault="00495DC9" w:rsidP="00FA44B8">
      <w:pPr>
        <w:pStyle w:val="NormalHanging12a"/>
      </w:pPr>
      <w:r>
        <w:t>101</w:t>
      </w:r>
      <w:r w:rsidR="00FA44B8" w:rsidRPr="005400F9">
        <w:t>.</w:t>
      </w:r>
      <w:r w:rsidR="00FA44B8" w:rsidRPr="005400F9">
        <w:tab/>
        <w:t>Anima a la Comisión y a los Estados miembros a que sigan promoviendo reformas políticas y económicas que refuercen el Estado de Derecho, la democracia, la buena gobernanza y el respeto de los derechos humanos,</w:t>
      </w:r>
      <w:r w:rsidR="00FA44B8" w:rsidRPr="007224B4">
        <w:t xml:space="preserve"> </w:t>
      </w:r>
      <w:r w:rsidR="007224B4" w:rsidRPr="00643C65">
        <w:t xml:space="preserve">también el Sistema de Preferencias Generalizadas (SPG) y el SPG+ cuando corresponda, </w:t>
      </w:r>
      <w:r w:rsidR="00FA44B8" w:rsidRPr="005400F9">
        <w:t>y que fomenten las buenas relaciones de vecindad; reitera que todos los países de la región de Asia Central deben comprometerse a respetar la Carta de las Naciones Unidas, en especial los principios de respeto de la independencia, la soberanía y la integridad territorial de todos los países;</w:t>
      </w:r>
    </w:p>
    <w:p w14:paraId="768A12E0" w14:textId="29A5CF7C" w:rsidR="00FA44B8" w:rsidRPr="005400F9" w:rsidRDefault="00495DC9" w:rsidP="00FA44B8">
      <w:pPr>
        <w:pStyle w:val="NormalHanging12a"/>
      </w:pPr>
      <w:r>
        <w:t>102</w:t>
      </w:r>
      <w:r w:rsidR="00FA44B8" w:rsidRPr="005400F9">
        <w:t>.</w:t>
      </w:r>
      <w:r w:rsidR="00FA44B8" w:rsidRPr="005400F9">
        <w:tab/>
        <w:t>Celebra los resultados del segundo Foro Económico UE-Asia Central celebrado en Almaty en mayo de 2023 y de la segunda reunión entre el presidente del Consejo Europeo y los jefes de Estado de los cinco países de Asia Central en junio de 2023;</w:t>
      </w:r>
      <w:r w:rsidR="00FA44B8" w:rsidRPr="007224B4">
        <w:t xml:space="preserve"> </w:t>
      </w:r>
      <w:r w:rsidR="007224B4" w:rsidRPr="00643C65">
        <w:t>pide que estas reuniones y declaraciones de alto nivel vayan seguidas de acciones concretas; celebra, en este contexto, que esté prevista para este año la primera cumbre UE-Asia Central; acoge con satisfacción la aprobación del Plan de Trabajo Conjunto para Estrechar Lazos entre la UE y Asia Central, que sirve de plan estratégico para avanzar en el diálogo y la cooperación en ámbitos específicos, incluida la creación de resiliencia cultural, social y económica;</w:t>
      </w:r>
      <w:r w:rsidR="007224B4" w:rsidRPr="007224B4">
        <w:t xml:space="preserve"> </w:t>
      </w:r>
      <w:r w:rsidR="00FA44B8" w:rsidRPr="005400F9">
        <w:t>insta a la Comisión y a los Estados miembros a que firmen el Acuerdo de Colaboración y Cooperación Reforzadas (ACCR) con Kirguistán, concluyan los trabajos preparatorios para la firma del ACCR con Uzbekistán y avancen con rapidez en las negociaciones en curso para un ACCR con Tayikistán;</w:t>
      </w:r>
    </w:p>
    <w:p w14:paraId="2A0319DB" w14:textId="59159D77" w:rsidR="00FA44B8" w:rsidRPr="005400F9" w:rsidRDefault="00495DC9" w:rsidP="00FA44B8">
      <w:pPr>
        <w:pStyle w:val="NormalHanging12a"/>
      </w:pPr>
      <w:r>
        <w:t>103</w:t>
      </w:r>
      <w:r w:rsidR="00FA44B8" w:rsidRPr="005400F9">
        <w:t>.</w:t>
      </w:r>
      <w:r w:rsidR="00FA44B8" w:rsidRPr="005400F9">
        <w:tab/>
        <w:t>Recuerda que los países de Asia Central son importantes proveedores de materias primas y energía; opina que la Unión tiene un gran interés en revitalizar el «corredor intermedio» no solo como zona económica regional, sino también como alternativa al nuevo puente terrestre euroasiático, que atraviesa el territorio ruso y bielorruso objeto de sanciones; destaca la importancia de promover la integración regional a lo largo del «corredor intermedio», también con el fin de atraer financiación para proyectos de infraestructura en el marco de la Pasarela Mundial;</w:t>
      </w:r>
    </w:p>
    <w:p w14:paraId="5403B169" w14:textId="2D46BAC5" w:rsidR="00FA44B8" w:rsidRPr="005400F9" w:rsidRDefault="00495DC9" w:rsidP="00FA44B8">
      <w:pPr>
        <w:pStyle w:val="NormalHanging12a"/>
      </w:pPr>
      <w:r>
        <w:t>104</w:t>
      </w:r>
      <w:r w:rsidR="00FA44B8" w:rsidRPr="005400F9">
        <w:t>.</w:t>
      </w:r>
      <w:r w:rsidR="00FA44B8" w:rsidRPr="005400F9">
        <w:tab/>
        <w:t xml:space="preserve">Reitera que no reconoce al Gobierno </w:t>
      </w:r>
      <w:r w:rsidR="00FA44B8" w:rsidRPr="005400F9">
        <w:rPr>
          <w:i/>
          <w:iCs/>
        </w:rPr>
        <w:t>de facto</w:t>
      </w:r>
      <w:r w:rsidR="00FA44B8" w:rsidRPr="005400F9">
        <w:t xml:space="preserve"> afgano; manifiesta su preocupación por la grave situación económica y humanitaria en Afganistán, así como por la vulneración de los derechos de las mujeres y las niñas en el país; denuncia la drástica reducción de la capacidad del Programa Mundial de Alimentos para proporcionar ayuda alimentaria a la población afgana, y pide a la Comisión y a los Estados miembros que velen por que la población afgana reciba la ayuda humanitaria fundamental y que garanticen una financiación adicional para la ayuda de emergencia; pide al VP/AR que plantee la idea de enjuiciar a los líderes talibanes ante la CPI por sus crímenes contra las mujeres y las niñas;</w:t>
      </w:r>
    </w:p>
    <w:p w14:paraId="2CB9F498" w14:textId="0D77D78F" w:rsidR="00FA44B8" w:rsidRPr="005400F9" w:rsidRDefault="00495DC9" w:rsidP="00FA44B8">
      <w:pPr>
        <w:pStyle w:val="NormalHanging12a"/>
      </w:pPr>
      <w:r>
        <w:t>105</w:t>
      </w:r>
      <w:r w:rsidR="00FA44B8" w:rsidRPr="005400F9">
        <w:t>.</w:t>
      </w:r>
      <w:r w:rsidR="00FA44B8" w:rsidRPr="005400F9">
        <w:tab/>
        <w:t>Apoya los cinco puntos de referencia clave que el Consejo adoptó el 21 de septiembre de 2021 y que sirven de principios rectores para la futura interacción con los talibanes, pero considera que es necesario un gran esfuerzo para definir una estrategia a largo plazo a fin de hacer frente a la emergencia de derechos humanos y al apartheid de género que se está produciendo actualmente en Afganistán; resalta que no se puede poner fin al programa de la UE para la evacuación de Afganistán de personas que trabajaron para misiones europeas, que contaban con protección europea y siguen estando en peligro inminente en tanto permanezcan en el país personas que cumplan estos criterios;</w:t>
      </w:r>
    </w:p>
    <w:p w14:paraId="74E930D3" w14:textId="49954112" w:rsidR="00FA44B8" w:rsidRPr="005400F9" w:rsidRDefault="00495DC9" w:rsidP="00FA44B8">
      <w:pPr>
        <w:pStyle w:val="NormalHanging12a"/>
      </w:pPr>
      <w:r>
        <w:t>106</w:t>
      </w:r>
      <w:r w:rsidR="00FA44B8" w:rsidRPr="005400F9">
        <w:t>.</w:t>
      </w:r>
      <w:r w:rsidR="00FA44B8" w:rsidRPr="005400F9">
        <w:tab/>
        <w:t>Lamenta el veto de la Federación de Rusia, en la reunión del Consejo de Seguridad de las Naciones Unidas del 11 de julio de 2023, en relación con la renovación de la Resolución 2672 (2023) del Consejo de Seguridad de las Naciones Unidas relativa a la prestación transfronteriza de ayuda humanitaria a la población del noroeste de Siria a través de Bab al-Hawa, lo que pone en peligro a más de cuatro millones de personas que dependen de la ayuda humanitaria para cubrir sus necesidades básicas de alimentos, medicamentos y otros suministros vitales; toma nota de la reintegración de Siria en la Liga Árabe; considera que no se pueden normalizar las relaciones con el actual régimen sirio y subraya que el proceso político sirio está estancado;</w:t>
      </w:r>
    </w:p>
    <w:p w14:paraId="3103050A" w14:textId="50C07DF3" w:rsidR="00FA44B8" w:rsidRPr="005400F9" w:rsidRDefault="00495DC9" w:rsidP="00FA44B8">
      <w:pPr>
        <w:pStyle w:val="NormalHanging12a"/>
      </w:pPr>
      <w:r>
        <w:t>107</w:t>
      </w:r>
      <w:r w:rsidR="00FA44B8" w:rsidRPr="005400F9">
        <w:t>.</w:t>
      </w:r>
      <w:r w:rsidR="00FA44B8" w:rsidRPr="005400F9">
        <w:tab/>
      </w:r>
      <w:r w:rsidR="007224B4" w:rsidRPr="007224B4">
        <w:t xml:space="preserve">Reitera que una región indopacífica, en paz, libre, conectada, abierta, estable y basada en normas es vital para los intereses europeos; manifiesta su preocupación por que la competencia entre grandes potencias esté imponiendo parámetros a la capacidad de la Unión para promover el multilateralismo en la región; señala, en este contexto, que la Reunión Asia-Europa sigue paralizada por las tensiones geopolíticas con Rusia; reconoce los esfuerzos del VP/AR por colaborar con la región, como han demostrado la organización </w:t>
      </w:r>
      <w:r w:rsidR="007224B4" w:rsidRPr="00643C65">
        <w:t>del tercer</w:t>
      </w:r>
      <w:r w:rsidR="007224B4" w:rsidRPr="007224B4">
        <w:t xml:space="preserve"> Foro Ministerial UE-Región indopacífica el </w:t>
      </w:r>
      <w:r w:rsidR="007224B4" w:rsidRPr="00643C65">
        <w:t>2</w:t>
      </w:r>
      <w:r w:rsidR="007224B4" w:rsidRPr="007224B4">
        <w:t xml:space="preserve"> de </w:t>
      </w:r>
      <w:r w:rsidR="007224B4" w:rsidRPr="00643C65">
        <w:t>febrero</w:t>
      </w:r>
      <w:r w:rsidR="007224B4" w:rsidRPr="007224B4">
        <w:t xml:space="preserve"> de </w:t>
      </w:r>
      <w:r w:rsidR="007224B4" w:rsidRPr="00643C65">
        <w:t>2024</w:t>
      </w:r>
      <w:r w:rsidR="007224B4" w:rsidRPr="007224B4">
        <w:t xml:space="preserve"> y la participación del VP/AR en el Foro Regional de la Asociación de Naciones del Asia Sudoriental (ASEAN) el 14 de julio de 2023; pide a la Unión que apoye activamente el Foro Ministerial para la Cooperación en la Región Indopacífica como acontecimiento anual</w:t>
      </w:r>
      <w:r w:rsidR="00FA44B8" w:rsidRPr="005400F9">
        <w:t>;</w:t>
      </w:r>
    </w:p>
    <w:p w14:paraId="5BE52A2C" w14:textId="03ACA75A" w:rsidR="00FA44B8" w:rsidRPr="005400F9" w:rsidRDefault="00495DC9" w:rsidP="00FA44B8">
      <w:pPr>
        <w:pStyle w:val="NormalHanging12a"/>
      </w:pPr>
      <w:r>
        <w:t>108</w:t>
      </w:r>
      <w:r w:rsidR="00FA44B8" w:rsidRPr="005400F9">
        <w:t>.</w:t>
      </w:r>
      <w:r w:rsidR="00FA44B8" w:rsidRPr="005400F9">
        <w:tab/>
        <w:t>Anima a mantener unas relaciones políticas más estrechas con los socios afines en consonancia con la estrategia de la Unión para la cooperación en la región indopacífica, en especial con Japón, la República de Corea, Australia, Nueva Zelanda, Taiwán y los Estados miembros de la ASEAN, también en materia de seguridad marítima, no proliferación y resiliencia ante las amenazas híbridas; celebra los esfuerzos del SEAE en proyectos de desarrollo de las capacidades en la región indopacífica con el objetivo de generar resiliencia frente a la manipulación de la información y la injerencia por parte de agentes extranjeros; resalta la necesidad de mejorar las relaciones interpersonales con nuestros socios, en especial los intercambios entre jóvenes, la cooperación cívica y los grupos de reflexión; subraya que el mantenimiento de la paz, la estabilidad y la libertad de navegación en la región indopacífica sigue revistiendo una importancia fundamental para los intereses de la Unión y sus Estados miembros;</w:t>
      </w:r>
    </w:p>
    <w:p w14:paraId="018FB626" w14:textId="1E53EEC8" w:rsidR="00FA44B8" w:rsidRPr="005400F9" w:rsidRDefault="00495DC9" w:rsidP="00FA44B8">
      <w:pPr>
        <w:pStyle w:val="NormalHanging12a"/>
      </w:pPr>
      <w:r>
        <w:t>109</w:t>
      </w:r>
      <w:r w:rsidR="00FA44B8" w:rsidRPr="005400F9">
        <w:t>.</w:t>
      </w:r>
      <w:r w:rsidR="00FA44B8" w:rsidRPr="005400F9">
        <w:tab/>
      </w:r>
      <w:r w:rsidR="007224B4" w:rsidRPr="007224B4">
        <w:t xml:space="preserve">Pide a la </w:t>
      </w:r>
      <w:r w:rsidR="007224B4" w:rsidRPr="00643C65">
        <w:t>RPDC</w:t>
      </w:r>
      <w:r w:rsidR="007224B4" w:rsidRPr="007224B4">
        <w:t xml:space="preserve"> que abandone sus programas de armas de destrucción masiva y misiles balísticos de manera completa, verificable e irreversible; condena, en los términos más enérgicos, los crímenes contra la humanidad que se perpetran en la actualidad e insta a las autoridades del país a que emprendan un proceso de reforma en el que se respeten y protejan todos los derechos humanos; hace hincapié en la necesidad urgente de que la Unión y la comunidad internacional impidan la cooperación militar y los intercambios de armas entre Rusia y la </w:t>
      </w:r>
      <w:r w:rsidR="007224B4" w:rsidRPr="00643C65">
        <w:t>RPDC</w:t>
      </w:r>
      <w:r w:rsidR="00FA44B8" w:rsidRPr="005400F9">
        <w:t>;</w:t>
      </w:r>
    </w:p>
    <w:p w14:paraId="014B9352" w14:textId="2BE62BB8" w:rsidR="00FA44B8" w:rsidRPr="005400F9" w:rsidRDefault="00495DC9" w:rsidP="00FA44B8">
      <w:pPr>
        <w:pStyle w:val="NormalHanging12a"/>
      </w:pPr>
      <w:r>
        <w:t>110</w:t>
      </w:r>
      <w:r w:rsidR="00FA44B8" w:rsidRPr="005400F9">
        <w:t>.</w:t>
      </w:r>
      <w:r w:rsidR="00FA44B8" w:rsidRPr="005400F9">
        <w:tab/>
      </w:r>
      <w:r w:rsidR="007224B4" w:rsidRPr="007224B4">
        <w:t xml:space="preserve">Observa que los retos geopolíticos han reforzado el interés común de la </w:t>
      </w:r>
      <w:r w:rsidR="007224B4" w:rsidRPr="00643C65">
        <w:t>India</w:t>
      </w:r>
      <w:r w:rsidR="007224B4" w:rsidRPr="007224B4">
        <w:t xml:space="preserve"> y la </w:t>
      </w:r>
      <w:r w:rsidR="007224B4" w:rsidRPr="00643C65">
        <w:t>Unión</w:t>
      </w:r>
      <w:r w:rsidR="007224B4" w:rsidRPr="007224B4">
        <w:t xml:space="preserve"> por garantizar la seguridad, la prosperidad y el desarrollo sostenible;</w:t>
      </w:r>
      <w:r w:rsidR="007224B4" w:rsidRPr="00643C65">
        <w:t xml:space="preserve"> hace hincapié en la aplicación plena de la estrategia de la Unión de 2018 con respecto a la India y la hoja de ruta UE-India para 2025, en estrecha coordinación con las propias acciones de los Estados miembros para comprometerse activamente con la India;</w:t>
      </w:r>
      <w:r w:rsidR="007224B4" w:rsidRPr="007224B4">
        <w:t xml:space="preserve"> acoge con satisfacción la creación del Consejo de Comercio y Tecnología UE-India</w:t>
      </w:r>
      <w:r w:rsidR="007224B4" w:rsidRPr="00643C65">
        <w:t>;</w:t>
      </w:r>
      <w:r w:rsidR="007224B4" w:rsidRPr="007224B4">
        <w:t xml:space="preserve"> </w:t>
      </w:r>
      <w:r w:rsidR="007224B4" w:rsidRPr="00643C65">
        <w:t>alienta la profundización de las relaciones entre la India y la UE como socios estratégicos</w:t>
      </w:r>
      <w:r w:rsidR="007224B4" w:rsidRPr="007224B4">
        <w:t>; pide</w:t>
      </w:r>
      <w:r w:rsidR="007224B4" w:rsidRPr="00643C65">
        <w:t>, en este contexto, que se respete el compromiso de celebrar periódicamente diálogos y cumbres multinivel</w:t>
      </w:r>
      <w:r w:rsidR="007224B4" w:rsidRPr="007224B4">
        <w:t xml:space="preserve"> para que las relaciones bilaterales sigan siendo una prioridad;</w:t>
      </w:r>
      <w:r w:rsidR="007224B4" w:rsidRPr="00643C65">
        <w:t xml:space="preserve"> alienta, además, un diálogo interparlamentario más estructurado entre el Parlamento Europeo y su homólogo indio; considera que este diálogo ayudaría a coordinar posiciones e iniciativas en foros multilaterales, en particular en las Naciones Unidas, la Organización Mundial del Comercio y el G20;</w:t>
      </w:r>
      <w:r w:rsidR="007224B4" w:rsidRPr="007224B4">
        <w:t xml:space="preserve"> destaca la importancia de una conclusión exitosa de las negociaciones del acuerdo de libre comercio entre la Unión y la India, teniendo en cuenta las sensibilidades de ambas partes; expresa su esperanza de que la India armonice su posición sobre la invasión rusa de Ucrania con la de la comunidad transatlántica y pide al Consejo y al VP/AR que realicen esfuerzos diplomáticos en este sentido; </w:t>
      </w:r>
      <w:r w:rsidR="007224B4" w:rsidRPr="00643C65">
        <w:t>recuerda, en este contexto, que toda profundización de esta asociación ha de basarse en los valores de libertad, democracia, pluralismo, Estado de Derecho, igualdad, respeto de los derechos humanos, justicia social y desarrollo sostenible, así como en un compromiso en favor de la promoción de un orden mundial integrador basado en normas</w:t>
      </w:r>
      <w:r w:rsidR="00FA44B8" w:rsidRPr="005400F9">
        <w:t>;</w:t>
      </w:r>
    </w:p>
    <w:p w14:paraId="4B5F5727" w14:textId="382800BE" w:rsidR="00FA44B8" w:rsidRPr="005400F9" w:rsidRDefault="00495DC9" w:rsidP="00FA44B8">
      <w:pPr>
        <w:pStyle w:val="NormalHanging12a"/>
      </w:pPr>
      <w:r>
        <w:t>111</w:t>
      </w:r>
      <w:r w:rsidR="00FA44B8" w:rsidRPr="005400F9">
        <w:t>.</w:t>
      </w:r>
      <w:r w:rsidR="00FA44B8" w:rsidRPr="005400F9">
        <w:tab/>
        <w:t>Expresa su honda preocupación por los últimos cambios en la postura interior y militar de China desde el 20.º Congreso Nacional del Partido Comunista Chino; considera que la creciente asertividad de China, en parte a través de una política de coerción económica, sigue siendo uno de los principales retos geopolíticos del siglo XXI; opina que China demuestra que tiene la intención de atacar el orden internacional basado en normas y, cada vez más, dispone del poder económico, diplomático, militar y tecnológico para ello; hace hincapié en que esto requiere una respuesta multidimensional mediante la cual la Unión mantenga su cooperación selectiva con China en una serie de cuestiones clave, reduciendo al mismo tiempo su relación, entre otras cosas disminuyendo progresivamente la dependencia económica en sectores críticos, en consonancia con la Estrategia de Seguridad Económica de la UE; señala que es cada vez más difícil mantener una colaboración sustancial con China debido a una competencia cada vez más acentuada y a una rivalidad sistémica; destaca que China sigue siendo importante en muchos ámbitos políticos, incluido el cambio climático; advierte de que el continuo crecimiento de la asociación estratégica chino-rusa, también en materia de transferencias de tecnología y capacidades militares</w:t>
      </w:r>
      <w:r w:rsidR="007224B4" w:rsidRPr="007224B4">
        <w:t xml:space="preserve"> </w:t>
      </w:r>
      <w:r w:rsidR="007224B4" w:rsidRPr="00643C65">
        <w:t>y de cooperación en la región ártica</w:t>
      </w:r>
      <w:r w:rsidR="00FA44B8" w:rsidRPr="005400F9">
        <w:t>, puede aumentar la capacidad de China para coaccionar a los socios de la Unión en Asia y en todo el mundo; reitera su petición de una estrategia UE-China renovada y más asertiva que configure las relaciones con China en interés de la Unión y tenga plenamente en cuenta los retos derivados del auge de China como actor en la escena mundial;</w:t>
      </w:r>
    </w:p>
    <w:p w14:paraId="239F5882" w14:textId="71B15D20" w:rsidR="00FA44B8" w:rsidRPr="005400F9" w:rsidRDefault="00495DC9" w:rsidP="00FA44B8">
      <w:pPr>
        <w:pStyle w:val="NormalHanging12a"/>
      </w:pPr>
      <w:r>
        <w:t>112</w:t>
      </w:r>
      <w:r w:rsidR="00FA44B8" w:rsidRPr="005400F9">
        <w:t>.</w:t>
      </w:r>
      <w:r w:rsidR="00FA44B8" w:rsidRPr="005400F9">
        <w:tab/>
        <w:t xml:space="preserve">Condena los actos de guerra híbrida, como los ciberataques, y las campañas de desinformación, así como la vigilancia o el espionaje de ciudadanos chinos dentro de la Unión; insta a China a que cese de inmediato estos actos malintencionados y sus actividades de manipulación de la información e injerencia electoral, y pide a la Comisión y a los Estados miembros que apliquen con urgencia las iniciativas sugeridas por el Parlamento relativas a la injerencia extranjera en todos los procesos democráticos en la Unión, incluida la desinformación; condena las sanciones contra diputados al Parlamento Europeo (y de otras entidades de la UE) y de los Parlamentos nacionales, </w:t>
      </w:r>
      <w:r w:rsidR="007224B4" w:rsidRPr="00643C65">
        <w:t>grupos de reflexión e investigadores europeos</w:t>
      </w:r>
      <w:r w:rsidR="007224B4" w:rsidRPr="008916DA">
        <w:rPr>
          <w:b/>
          <w:i/>
        </w:rPr>
        <w:t xml:space="preserve"> </w:t>
      </w:r>
      <w:r w:rsidR="00FA44B8" w:rsidRPr="005400F9">
        <w:t>y pide su levantamiento inmediato y sin condiciones;</w:t>
      </w:r>
    </w:p>
    <w:p w14:paraId="33133C95" w14:textId="67045C5B" w:rsidR="00FA44B8" w:rsidRPr="005400F9" w:rsidRDefault="00495DC9" w:rsidP="00FA44B8">
      <w:pPr>
        <w:pStyle w:val="NormalHanging12a"/>
        <w:widowControl/>
      </w:pPr>
      <w:r>
        <w:t>113</w:t>
      </w:r>
      <w:r w:rsidR="00FA44B8" w:rsidRPr="005400F9">
        <w:t>.</w:t>
      </w:r>
      <w:r w:rsidR="00FA44B8" w:rsidRPr="005400F9">
        <w:tab/>
      </w:r>
      <w:r w:rsidR="007224B4" w:rsidRPr="007224B4">
        <w:t xml:space="preserve">Condena el sistema de trabajo forzoso dirigido por el Gobierno chino y sus violaciones de los derechos humanos, que, en opinión del Alto Comisionado de las Naciones Unidas para los Derechos Humanos, pueden constituir crímenes contra la humanidad, especialmente un riesgo elevado de genocidio en Xinjiang, los crímenes contra la humanidad en Tíbet y Mongolia Interior, y las políticas opresivas contra otras minorías étnicas; recuerda que la política de la UE «de una sola China» sigue siendo una piedra angular de las relaciones entre la Unión y China; </w:t>
      </w:r>
      <w:r w:rsidR="007224B4" w:rsidRPr="00643C65">
        <w:t>reitera su condena</w:t>
      </w:r>
      <w:r w:rsidR="007224B4" w:rsidRPr="007224B4">
        <w:t xml:space="preserve"> de la </w:t>
      </w:r>
      <w:r w:rsidR="007224B4" w:rsidRPr="00643C65">
        <w:t>violación por parte de China</w:t>
      </w:r>
      <w:r w:rsidR="007224B4" w:rsidRPr="007224B4">
        <w:t xml:space="preserve"> de </w:t>
      </w:r>
      <w:r w:rsidR="007224B4" w:rsidRPr="00643C65">
        <w:t>sus compromisos internacionales</w:t>
      </w:r>
      <w:r w:rsidR="007224B4" w:rsidRPr="007224B4">
        <w:t xml:space="preserve">, </w:t>
      </w:r>
      <w:r w:rsidR="007224B4" w:rsidRPr="00643C65">
        <w:t>su incumplimiento de las Declaraciones Conjuntas Chino-Británica y Chino-Portuguesa,</w:t>
      </w:r>
      <w:r w:rsidR="007224B4" w:rsidRPr="007224B4">
        <w:t xml:space="preserve"> del </w:t>
      </w:r>
      <w:r w:rsidR="007224B4" w:rsidRPr="00643C65">
        <w:t>Pacto Internacional de Derechos Civiles y Políticos, del principio de «un país, dos sistemas» y de</w:t>
      </w:r>
      <w:r w:rsidR="007224B4" w:rsidRPr="007224B4">
        <w:t xml:space="preserve"> la </w:t>
      </w:r>
      <w:r w:rsidR="007224B4" w:rsidRPr="00643C65">
        <w:t>Ley Fundamental</w:t>
      </w:r>
      <w:r w:rsidR="007224B4" w:rsidRPr="007224B4">
        <w:t xml:space="preserve"> de Hong Kong, </w:t>
      </w:r>
      <w:r w:rsidR="007224B4" w:rsidRPr="00643C65">
        <w:t>así como</w:t>
      </w:r>
      <w:r w:rsidR="007224B4" w:rsidRPr="007224B4">
        <w:t xml:space="preserve"> la </w:t>
      </w:r>
      <w:r w:rsidR="007224B4" w:rsidRPr="00643C65">
        <w:t>represión de la autonomía</w:t>
      </w:r>
      <w:r w:rsidR="007224B4" w:rsidRPr="007224B4">
        <w:t xml:space="preserve"> de </w:t>
      </w:r>
      <w:r w:rsidR="007224B4" w:rsidRPr="00643C65">
        <w:t>la región administrativa especial</w:t>
      </w:r>
      <w:r w:rsidR="007224B4" w:rsidRPr="007224B4">
        <w:t xml:space="preserve"> y </w:t>
      </w:r>
      <w:r w:rsidR="007224B4" w:rsidRPr="00643C65">
        <w:t>de figuras</w:t>
      </w:r>
      <w:r w:rsidR="007224B4" w:rsidRPr="007224B4">
        <w:t xml:space="preserve"> de la </w:t>
      </w:r>
      <w:r w:rsidR="007224B4" w:rsidRPr="00643C65">
        <w:t>oposición, incluidos miembros</w:t>
      </w:r>
      <w:r w:rsidR="007224B4" w:rsidRPr="007224B4">
        <w:t xml:space="preserve"> de </w:t>
      </w:r>
      <w:r w:rsidR="007224B4" w:rsidRPr="00643C65">
        <w:t>la sociedad civil y sus familiares</w:t>
      </w:r>
      <w:r w:rsidR="007224B4" w:rsidRPr="007224B4">
        <w:t>; pide a la Comisión que evalúe el estatuto autónomo de Hong Kong</w:t>
      </w:r>
      <w:r w:rsidR="007224B4" w:rsidRPr="00643C65">
        <w:t xml:space="preserve"> y Macao</w:t>
      </w:r>
      <w:r w:rsidR="007224B4" w:rsidRPr="007224B4">
        <w:t xml:space="preserve"> a la luz de las violaciones por parte de China de las Declaraciones Conjuntas Chino-Británica y Chino-Portuguesa y de la represión de la autonomía de Hong Kong</w:t>
      </w:r>
      <w:r w:rsidR="00FA44B8" w:rsidRPr="005400F9">
        <w:t>;</w:t>
      </w:r>
    </w:p>
    <w:p w14:paraId="0407F34E" w14:textId="2D57F9E8" w:rsidR="00FA44B8" w:rsidRPr="005400F9" w:rsidRDefault="00495DC9" w:rsidP="00FA44B8">
      <w:pPr>
        <w:pStyle w:val="NormalHanging12a"/>
      </w:pPr>
      <w:r>
        <w:t>114</w:t>
      </w:r>
      <w:r w:rsidR="00FA44B8" w:rsidRPr="005400F9">
        <w:t>.</w:t>
      </w:r>
      <w:r w:rsidR="00FA44B8" w:rsidRPr="005400F9">
        <w:tab/>
        <w:t>Hace hincapié en la necesidad de garantizar un enfoque europeo unificado cuando China utilice su influencia económica para silenciar la oposición a sus violaciones de los derechos humanos; insta a China a que investigue e impida cualquier violación de los derechos humanos y el Derecho internacional; recuerda que China, como miembro permanente del Consejo de Seguridad de las Naciones Unidas, tiene una responsabilidad especial en lo que respecta a la Declaración Universal de Derechos Humanos; manifiesta su preocupación por la situación de los cristianos y otras minorías religiosas, incluida su libertad de culto en China, ya que se enfrentan a una persecución continua;</w:t>
      </w:r>
    </w:p>
    <w:p w14:paraId="400D9C47" w14:textId="231B13DF" w:rsidR="00FA44B8" w:rsidRPr="005400F9" w:rsidRDefault="00495DC9" w:rsidP="00FA44B8">
      <w:pPr>
        <w:pStyle w:val="NormalHanging12a"/>
      </w:pPr>
      <w:r>
        <w:t>115</w:t>
      </w:r>
      <w:r w:rsidR="00FA44B8" w:rsidRPr="005400F9">
        <w:t>.</w:t>
      </w:r>
      <w:r w:rsidR="00FA44B8" w:rsidRPr="005400F9">
        <w:tab/>
        <w:t xml:space="preserve">Condena la tendencia creciente a la represión transnacional por parte de China y pide a los Estados miembros que todavía no lo hayan hecho que suspendan los tratados de extradición con China y Hong Kong y cierren todas las «comisarías» ilegales chinas que queden en sus territorios; </w:t>
      </w:r>
      <w:r w:rsidR="00E90D79" w:rsidRPr="00643C65">
        <w:t>manifiesta su preocupación por el acuerdo sobre el refuerzo de la cooperación policial y las patrullas conjuntas firmado por el Ministerio de Seguridad Pública de China y el Ministerio del Interior de Hungría el 16 de febrero de 2024; pide al Gobierno húngaro que revele por completo y de forma inmediata los detalles del acuerdo y sus posibles efectos adversos para la soberanía y la seguridad común de la Unión Europea;</w:t>
      </w:r>
      <w:r w:rsidR="00E90D79" w:rsidRPr="00E90D79">
        <w:t xml:space="preserve"> </w:t>
      </w:r>
      <w:r w:rsidR="00FA44B8" w:rsidRPr="005400F9">
        <w:t xml:space="preserve">pide al SEAE que siga de cerca los juicios a presos políticos en Hong Kong y que pida su liberación, incluido el fundador de </w:t>
      </w:r>
      <w:r w:rsidR="00FA44B8" w:rsidRPr="005400F9">
        <w:rPr>
          <w:i/>
          <w:iCs/>
        </w:rPr>
        <w:t>Apple Daily</w:t>
      </w:r>
      <w:r w:rsidR="00FA44B8" w:rsidRPr="005400F9">
        <w:t>, Jimmy Lai;</w:t>
      </w:r>
    </w:p>
    <w:p w14:paraId="65311852" w14:textId="60D61CA3" w:rsidR="00FA44B8" w:rsidRPr="005400F9" w:rsidRDefault="00495DC9" w:rsidP="00FA44B8">
      <w:pPr>
        <w:pStyle w:val="NormalHanging12a"/>
      </w:pPr>
      <w:r>
        <w:t>116</w:t>
      </w:r>
      <w:r w:rsidR="00FA44B8" w:rsidRPr="005400F9">
        <w:t>.</w:t>
      </w:r>
      <w:r w:rsidR="00FA44B8" w:rsidRPr="005400F9">
        <w:tab/>
        <w:t>Toma nota de la última cumbre de los BRICS, celebrada en Johannesburgo en agosto de 2023, y de los objetivos geopolíticos de China respecto de los BRICS</w:t>
      </w:r>
      <w:r w:rsidR="00E90D79" w:rsidRPr="00643C65">
        <w:t>, así como del discurso de China en el contexto de sus iniciativas de Desarrollo Global, Seguridad Global y Civilización Global</w:t>
      </w:r>
      <w:r w:rsidR="00FA44B8" w:rsidRPr="00E90D79">
        <w:t xml:space="preserve">; </w:t>
      </w:r>
      <w:r w:rsidR="00FA44B8" w:rsidRPr="005400F9">
        <w:t xml:space="preserve">resalta la necesidad de que la Unión y sus Estados miembros intensifiquen el diálogo y la cooperación con algunos miembros del grupo BRICS+ a fin de contrarrestar </w:t>
      </w:r>
      <w:r w:rsidR="00E90D79" w:rsidRPr="00643C65">
        <w:t>las perniciosas acciones de Rusia y</w:t>
      </w:r>
      <w:r w:rsidR="00E90D79">
        <w:rPr>
          <w:b/>
          <w:i/>
        </w:rPr>
        <w:t xml:space="preserve"> </w:t>
      </w:r>
      <w:r w:rsidR="00FA44B8" w:rsidRPr="005400F9">
        <w:t>la creciente influencia china en el mundo;</w:t>
      </w:r>
    </w:p>
    <w:p w14:paraId="277EFB66" w14:textId="11159620" w:rsidR="00FA44B8" w:rsidRPr="005400F9" w:rsidRDefault="00495DC9" w:rsidP="00FA44B8">
      <w:pPr>
        <w:pStyle w:val="NormalHanging12a"/>
      </w:pPr>
      <w:r>
        <w:t>117</w:t>
      </w:r>
      <w:r w:rsidR="00FA44B8" w:rsidRPr="005400F9">
        <w:t>.</w:t>
      </w:r>
      <w:r w:rsidR="00FA44B8" w:rsidRPr="005400F9">
        <w:tab/>
        <w:t>Insta a la Unión y a China a que intensifiquen el diálogo y la estrecha cooperación en la lucha contra la pesca ilegal, no declarada y no reglamentada y, en términos más generales, sobre el uso sostenible de los recursos biológicos marinos y sobre la gobernanza de los océanos; pide a la Unión que refuerce la cooperación con el Reino Unido, los EE. UU., Japón y otros actores clave de la política pesquera y oceánica, utilizando sus instrumentos diplomáticos para alentar a China a avanzar en las reformas necesarias de su marco de gobernanza de la pesca;</w:t>
      </w:r>
    </w:p>
    <w:p w14:paraId="4D7F4A53" w14:textId="30747860" w:rsidR="00FA44B8" w:rsidRPr="005400F9" w:rsidRDefault="00495DC9" w:rsidP="00FA44B8">
      <w:pPr>
        <w:pStyle w:val="NormalHanging12a"/>
      </w:pPr>
      <w:r>
        <w:t>118</w:t>
      </w:r>
      <w:r w:rsidR="00FA44B8" w:rsidRPr="005400F9">
        <w:t>.</w:t>
      </w:r>
      <w:r w:rsidR="00FA44B8" w:rsidRPr="00E90D79">
        <w:tab/>
      </w:r>
      <w:r w:rsidR="00E90D79" w:rsidRPr="00E90D79">
        <w:t>Condena enérgicamente las continuas provocaciones militares de China contra Taiwán y reitera su firme rechazo a cualquier cambio unilateral del statu quo en el estrecho de Taiwán</w:t>
      </w:r>
      <w:r w:rsidR="00E90D79" w:rsidRPr="00643C65">
        <w:t>, que amenaza la estabilidad regional; pide a la Unión y a sus Estados miembros que velen, mediante una señalización clara y coherente, por que los intentos de modificar unilateralmente el statu quo en el estrecho de Taiwán, en particular mediante la fuerza o la coacción, sean inaceptables y tenga costes elevados</w:t>
      </w:r>
      <w:r w:rsidR="00E90D79" w:rsidRPr="00E90D79">
        <w:t>; resalta que las reivindicaciones territoriales chinas carecen de base alguna en el Derecho internacional; denuncia, además, el bloqueo por parte de China de la participación de Taiwán en organizaciones multilaterales; pide a la Comisión y a los Estados miembros que apoyen una participación significativa de Taiwán en las organizaciones internacionales pertinentes, como la OMS, la Organización de Aviación Civil Internacional y la Convención Marco de las Naciones Unidas sobre el Cambio Climático; reitera que Taiwán es un socio clave de la Unión y un aliado democrático en la región indopacífica; reconoce la importancia de Taiwán para garantizar las cadenas de suministro mun</w:t>
      </w:r>
      <w:r w:rsidR="00E90D79" w:rsidRPr="00752DEE">
        <w:t>diales, en especial en el sector de la alta tecnología, e insta a la Unión y sus Estados miembros a estrechar su cooperación con Taiwán; celebra las visitas consecutivas a Taiwán, desde 2021, de delegaciones oficiales de las comisiones del Parlamento y</w:t>
      </w:r>
      <w:r w:rsidR="00E90D79" w:rsidRPr="00643C65">
        <w:t xml:space="preserve"> anima a que se produzcan nuevos intercambios entre la Unión y Taiwán; </w:t>
      </w:r>
      <w:r w:rsidR="00E90D79" w:rsidRPr="00E90D79">
        <w:t>pide a la Comisión que ponga en marcha sin demora medidas preparatorias para las negociaciones de un acuerdo bilateral de inversión con Taiwán</w:t>
      </w:r>
      <w:r w:rsidR="00FA44B8" w:rsidRPr="005400F9">
        <w:t>;</w:t>
      </w:r>
    </w:p>
    <w:p w14:paraId="27533CED" w14:textId="7F3ABF5B" w:rsidR="00FA44B8" w:rsidRPr="005400F9" w:rsidRDefault="00495DC9" w:rsidP="00FA44B8">
      <w:pPr>
        <w:pStyle w:val="NormalHanging12a"/>
      </w:pPr>
      <w:r>
        <w:t>119</w:t>
      </w:r>
      <w:r w:rsidR="00FA44B8" w:rsidRPr="005400F9">
        <w:t>.</w:t>
      </w:r>
      <w:r w:rsidR="00FA44B8" w:rsidRPr="005400F9">
        <w:tab/>
        <w:t>Denuncia las declaraciones del presidente chino de que China nunca renunciará al derecho a utilizar la fuerza respecto a Taiwán</w:t>
      </w:r>
      <w:r w:rsidR="00E90D79" w:rsidRPr="00643C65">
        <w:t xml:space="preserve"> y anima a los dirigentes chinos a actuar con cautela y moderación tras las elecciones presidenciales y parlamentarias taiwanesas</w:t>
      </w:r>
      <w:r w:rsidR="00FA44B8" w:rsidRPr="00E90D79">
        <w:t>;</w:t>
      </w:r>
      <w:r w:rsidR="00FA44B8" w:rsidRPr="005400F9">
        <w:t xml:space="preserve"> señala que ni Taiwán ni China están subordinados el uno a la otra; expresa su grave preocupación por el uso por parte de China de la desinformación hostil para socavar la confianza en la democracia y la gobernanza de Taiwán; pide a la Unión y a sus Estados miembros que cooperen con sus socios internacionales para ayudar a mantener la democracia en Taiwán, a salvo de injerencias y amenazas extranjeras, y subraya que solo el Gobierno elegido democráticamente de Taiwán puede representar al pueblo taiwanés en la escena internacional; señala la necesidad de centrarse también en la diplomacia preventiva para evitar una escalada en el estrecho de Taiwán;</w:t>
      </w:r>
    </w:p>
    <w:p w14:paraId="3F5523B8" w14:textId="2D35C8CB" w:rsidR="00FA44B8" w:rsidRPr="005400F9" w:rsidRDefault="00495DC9" w:rsidP="00FA44B8">
      <w:pPr>
        <w:pStyle w:val="NormalHanging12a"/>
      </w:pPr>
      <w:r>
        <w:t>120</w:t>
      </w:r>
      <w:r w:rsidR="00FA44B8" w:rsidRPr="005400F9">
        <w:t>.</w:t>
      </w:r>
      <w:r w:rsidR="00FA44B8" w:rsidRPr="005400F9">
        <w:tab/>
        <w:t xml:space="preserve">Observa que China se ha centrado en reforzar su influencia en la región indopacífica mediante el incremento de la ayuda, el desarrollo, la diplomacia y la cooperación en materia de seguridad durante la última década; destaca que es necesario poner en común recursos para mejorar realmente el impacto político de la Unión y afirmar que la UE es un socio fiable y estratégico en el Pacífico; </w:t>
      </w:r>
      <w:r w:rsidR="00E90D79" w:rsidRPr="00643C65">
        <w:t xml:space="preserve">expresa su preocupación ante los intentos de China de dominar la región de los mares, que comprende el mar de China Meridional y el mar de China Oriental, lo que podría inclinar gravemente el equilibrio de poder regional y afectar negativamente a los intereses económicos y políticos de la Unión; insta a China, a este respecto, a que ponga fin a todas las acciones y presiones militares dirigidas contra la Armada filipina y sus islas ocupadas en el mar de China Meridional; </w:t>
      </w:r>
      <w:r w:rsidR="00FA44B8" w:rsidRPr="005400F9">
        <w:t>alienta a los Estados miembros a que aúnen fuerzas y colaboren a nivel ministerial con los países insulares del Pacífico y la Organización de los Estados de África, el Caribe y el Pacífico; resalta que un seguimiento serio de la COP2</w:t>
      </w:r>
      <w:r w:rsidR="00E90D79">
        <w:t>8</w:t>
      </w:r>
      <w:r w:rsidR="00FA44B8" w:rsidRPr="005400F9">
        <w:t xml:space="preserve"> es una preocupación clave para los países de la región, por lo que insta al SEAE a que promueva el apoyo mundial a una transición ecológica sostenible e intensifique su diplomacia climática para consolidar la cooperación en materia de medidas de adaptación al cambio climático y mitigación del mismo;</w:t>
      </w:r>
    </w:p>
    <w:p w14:paraId="40481898" w14:textId="0364F143" w:rsidR="00FA44B8" w:rsidRPr="005400F9" w:rsidRDefault="00495DC9" w:rsidP="00FA44B8">
      <w:pPr>
        <w:pStyle w:val="NormalHanging12a"/>
      </w:pPr>
      <w:r>
        <w:t>121</w:t>
      </w:r>
      <w:r w:rsidR="00FA44B8" w:rsidRPr="005400F9">
        <w:t>.</w:t>
      </w:r>
      <w:r w:rsidR="00FA44B8" w:rsidRPr="005400F9">
        <w:tab/>
        <w:t>Subraya que la ASEAN es un aliado crucial para reforzar el multilateralismo basado en normas; pide una estrecha cooperación en consonancia con la declaración conjunta de los dirigentes UE-ASEAN de 14 de diciembre de 2022 con el fin de configurar la dinámica regional más allá de las limitaciones binarias de la competencia China-América; resalta asimismo, a este respecto, la importancia de preservar la libertad de navegación en el mar de China Meridional y el mar de China Oriental; recuerda la necesidad de aplicar plenamente el Plan de Acción UE-ASEAN 2023-2027;</w:t>
      </w:r>
    </w:p>
    <w:p w14:paraId="28E45563" w14:textId="4FDF1A4A" w:rsidR="00FA44B8" w:rsidRPr="005400F9" w:rsidRDefault="00495DC9" w:rsidP="00FA44B8">
      <w:pPr>
        <w:pStyle w:val="NormalHanging12a"/>
      </w:pPr>
      <w:r>
        <w:t>122</w:t>
      </w:r>
      <w:r w:rsidR="00FA44B8" w:rsidRPr="005400F9">
        <w:t>.</w:t>
      </w:r>
      <w:r w:rsidR="00FA44B8" w:rsidRPr="005400F9">
        <w:tab/>
        <w:t>Acoge con satisfacción la firma del Acuerd</w:t>
      </w:r>
      <w:r w:rsidR="00FA44B8" w:rsidRPr="00752DEE">
        <w:t xml:space="preserve">o </w:t>
      </w:r>
      <w:r w:rsidR="00752DEE" w:rsidRPr="00643C65">
        <w:t>de Samoa</w:t>
      </w:r>
      <w:r w:rsidR="00FA44B8" w:rsidRPr="00752DEE">
        <w:t xml:space="preserve"> y sus protocolos regionales, que permitirán un enfoque regional sin precedentes en los países de África, el Caribe y el Pacífico, y aboga por una ratificación rápida tanto por parte de la Organización de los Estados de África, el Caribe y el Pacífico como de la Unión; insta a la Comisión y al VP/AR a que garanticen el seguimiento de la cumbre UE-Unión Africana de febrero de 2022 con el fin de profundizar la cooperación en iniciativas de interés común y satisfacer las necesidades de los países socios de África</w:t>
      </w:r>
      <w:r w:rsidR="00752DEE" w:rsidRPr="00643C65">
        <w:t>; pide que se celebre lo antes posible la tercera reunión ministerial UE-Unión Africana, que fue aplazada</w:t>
      </w:r>
      <w:r w:rsidR="00FA44B8" w:rsidRPr="00752DEE">
        <w:t>; hace hincapié en que la Unión debe perseguir prioridades geográficas a escala bilateral, centrándose en socios africanos clave, pero ta</w:t>
      </w:r>
      <w:r w:rsidR="00FA44B8" w:rsidRPr="005400F9">
        <w:t>mbién a escala regional, centrándose en la aplicación de estrategias regionales en el Sahel y los países costeros, la región de los Grandes Lagos y el Cuerno de África; celebra, en este contexto, la Operación Atalanta que, como primera operación naval de la Unión con el objetivo específico de proteger los buques del Programa Mundial de Alimentos de las Naciones Unidas, se ha convertido en una exitosa operación contra la piratería; alienta al Consejo y a los Estados miembros a que consideren la ampliación del ámbito geográfico de la Operación Atalanta;</w:t>
      </w:r>
    </w:p>
    <w:p w14:paraId="5AAC8C75" w14:textId="3D006977" w:rsidR="00FA44B8" w:rsidRPr="005400F9" w:rsidRDefault="00495DC9" w:rsidP="00FA44B8">
      <w:pPr>
        <w:pStyle w:val="NormalHanging12a"/>
      </w:pPr>
      <w:r>
        <w:t>123</w:t>
      </w:r>
      <w:r w:rsidR="00FA44B8" w:rsidRPr="005400F9">
        <w:t>.</w:t>
      </w:r>
      <w:r w:rsidR="00FA44B8" w:rsidRPr="005400F9">
        <w:tab/>
        <w:t xml:space="preserve">Concede especial importancia al refuerzo de la colaboración en materia de seguridad con los países del Golfo de Guinea, apoyando su integración y solidaridad interregional; </w:t>
      </w:r>
      <w:r w:rsidR="00752DEE" w:rsidRPr="00643C65">
        <w:t>celebra, en ese sentido, la puesta en marcha de la Iniciativa de la Unión Europea en materia de seguridad y defensa en apoyo a los países de África Occidental del Golfo de Guinea, por una duración inicial de dos años, en estrecha coordinación con Costa de Marfil, Ghana, Togo y Benín;</w:t>
      </w:r>
      <w:r w:rsidR="00752DEE">
        <w:rPr>
          <w:b/>
          <w:i/>
        </w:rPr>
        <w:t xml:space="preserve"> </w:t>
      </w:r>
      <w:r w:rsidR="00FA44B8" w:rsidRPr="005400F9">
        <w:t>manifiesta su honda preocupación por el deterioro de la estabilidad en el Sahel, exacerbada por el golpe militar en Níger y la disolución de las instituciones democráticas; no reconoce ni reconocerá a las autoridades resultantes del golpe de Estado en Níger; reitera su claro llamamiento en pro de la plena restauración, sin demora, del orden constitucional y se suma por completo a las declaraciones de la Comunidad Económica de los Estados del África Occidental y sus socios africanos e internacionales a este respecto;</w:t>
      </w:r>
    </w:p>
    <w:p w14:paraId="28954803" w14:textId="53DAD93D" w:rsidR="00FA44B8" w:rsidRPr="005400F9" w:rsidRDefault="00495DC9" w:rsidP="00FA44B8">
      <w:pPr>
        <w:pStyle w:val="NormalHanging12a"/>
      </w:pPr>
      <w:r>
        <w:t>124</w:t>
      </w:r>
      <w:r w:rsidR="00FA44B8" w:rsidRPr="005400F9">
        <w:t>.</w:t>
      </w:r>
      <w:r w:rsidR="00FA44B8" w:rsidRPr="005400F9">
        <w:tab/>
        <w:t>Denuncia la injerencia rusa en África, en particular mediante el aumento de la presencia del grupo Wagner en el continente, y condena enérgicamente los abusos y delitos cometidos; recuerda que la estabilidad del Sahel tiene repercusiones directas para la seguridad y estabilidad de las fronteras exteriores europeas en el Mediterráneo; pide a la Unión que incremente los recursos y refuerce la cooperación con nuestros socios con vistas a combatir el tráfico de seres humanos a través del Mediterráneo y de Bielorrusia, y a desmantelar las redes delictivas utilizadas para el tráfico de seres humanos; estima que la política de la Unión respecto al Sahel no ha dado los resultados esperados y toma nota del anuncio del VP/AR sobre una revisión de la estrategia de la Unión respecto al Sahel;</w:t>
      </w:r>
    </w:p>
    <w:p w14:paraId="01F856F6" w14:textId="079EE377" w:rsidR="00FA44B8" w:rsidRPr="005400F9" w:rsidRDefault="00495DC9" w:rsidP="00FA44B8">
      <w:pPr>
        <w:pStyle w:val="NormalHanging12a"/>
      </w:pPr>
      <w:r>
        <w:t>125</w:t>
      </w:r>
      <w:r w:rsidR="00FA44B8" w:rsidRPr="005400F9">
        <w:t>.</w:t>
      </w:r>
      <w:r w:rsidR="00FA44B8" w:rsidRPr="005400F9">
        <w:tab/>
        <w:t>Destaca la necesidad de adaptar el enfoque actual para mantener la influencia y pide que se refuercen la colaboración de la Unión con la región y su apoyo a la misma; celebra la preparación por parte de la Comisión de un «nuevo enfoque estratégico» de la asociación con África, teniendo en cuenta la nueva situación geopolítica, e insta a la Comisión y al Consejo a que desarrollen una asociación mutuamente beneficiosa que se centre en cuestiones comunes a Europa y África; acoge con satisfacción el paquete de inversión de Global Gateway UE-África de 150 000 </w:t>
      </w:r>
      <w:r w:rsidR="00704B92">
        <w:t>000 000</w:t>
      </w:r>
      <w:r w:rsidR="00FA44B8" w:rsidRPr="005400F9">
        <w:t> EUR, dirigido a apoyar a los socios africanos en el desarrollo de una recuperación y transformación fuertes, inclusivas, ecológicas y digitales; considera que se deben incrementar y mejorar con urgencia los esfuerzos por combatir la desinformación y mostrar mejor el apoyo de la Unión a África;</w:t>
      </w:r>
    </w:p>
    <w:p w14:paraId="2F2CD3DD" w14:textId="75890DF1" w:rsidR="00FA44B8" w:rsidRDefault="00495DC9" w:rsidP="00FA44B8">
      <w:pPr>
        <w:pStyle w:val="NormalHanging12a"/>
      </w:pPr>
      <w:r>
        <w:t>126</w:t>
      </w:r>
      <w:r w:rsidR="00FA44B8" w:rsidRPr="005400F9">
        <w:t>.</w:t>
      </w:r>
      <w:r w:rsidR="00FA44B8" w:rsidRPr="005400F9">
        <w:tab/>
        <w:t>Recalca que el acceso a agua potable segura es uno de los principales retos del siglo XXI, en especial porque alrededor del 60 % de los recursos acuíferos atraviesan fronteras territoriales políticas; destaca que la escasez de agua puede dar lugar a los conflictos más graves si no se contempla un uso de los caudales integrado y compartido; subraya la necesidad de que la Unión adopte una estrategia para favorecer soluciones tecnológicas y geopolíticas en las zonas afectadas por la escasez de agua, que presenta un gran potencial de desestabilización; anima a los países situados en las principales zonas de conflictos relativos al agua a que firmen el Convenio de Helsinki de 1992 sobre la Protección y Utilización de los Cursos de Agua Transfronterizos y de los Lagos Internacionales;</w:t>
      </w:r>
    </w:p>
    <w:p w14:paraId="6A84F887" w14:textId="25E8BBDB" w:rsidR="00752DEE" w:rsidRPr="00643C65" w:rsidRDefault="00375E96" w:rsidP="00FA44B8">
      <w:pPr>
        <w:pStyle w:val="NormalHanging12a"/>
      </w:pPr>
      <w:r>
        <w:t>127</w:t>
      </w:r>
      <w:r w:rsidR="00752DEE" w:rsidRPr="00643C65">
        <w:t>.</w:t>
      </w:r>
      <w:r w:rsidR="00752DEE" w:rsidRPr="00752DEE">
        <w:tab/>
      </w:r>
      <w:r w:rsidR="00752DEE" w:rsidRPr="00643C65">
        <w:t>Condena las acciones emprendidas por Nicolás Maduro, presidente de Venezuela, que representan una amenaza directa para la soberanía de Guyana; pide a la comunidad internacional que inicie un diálogo para determinar una solución diplomática que respete la jurisdicción de la Corte Internacional de Justicia (CIJ) en este prolongado litigio;</w:t>
      </w:r>
    </w:p>
    <w:p w14:paraId="5B619140" w14:textId="6C7B8A36" w:rsidR="00752DEE" w:rsidRPr="00643C65" w:rsidRDefault="00752DEE" w:rsidP="00FA44B8">
      <w:pPr>
        <w:pStyle w:val="NormalHanging12a"/>
      </w:pPr>
      <w:r w:rsidRPr="00643C65">
        <w:t>1</w:t>
      </w:r>
      <w:r w:rsidR="00375E96">
        <w:t>28</w:t>
      </w:r>
      <w:r w:rsidRPr="00643C65">
        <w:t>.</w:t>
      </w:r>
      <w:r w:rsidRPr="00752DEE">
        <w:tab/>
      </w:r>
      <w:r w:rsidRPr="00643C65">
        <w:t>Condena el régimen autoritario de Daniel Ortega y Rosario Murillo, que están socavando sistemáticamente las estructuras democráticas de Nicaragua, como la separación de poderes, el sistema electoral y el respeto de los derechos humanos; recuerda que el régimen de Nicaragua mantiene fuertes vínculos con otras autocracias, como las de Irán, Venezuela y Cuba, al tiempo que demuestra un apoyo constante al Kremlin autorizando, entre otras cosas, una presencia militar rusa en Nicaragua; pide la liberación de todos los presos políticos, entre los que se encuentran varios obispos y sacerdotes católicos, detenidos en un intento de silenciar a los disidentes, que se restablezca el Estado de Derecho y que la Unión facilite el diálogo entre el régimen y la oposición; condena los continuos maltratos psicológicos y físicos que todos los detenidos sufren a manos de la policía y las autoridades penitenciarias, y la situación de incomunicación en la que se mantiene a algunos, sin acceso a sus abogados, familias o atención médica; recuerda al régimen nicaragüense su responsabilidad de garantizar que las condiciones de detención cumplan las obligaciones internacionales en materia de derechos humanos y normas como las Reglas mínimas de las Naciones Unidas para el tratamiento de los reclusos (Reglas Nelson Mandela);</w:t>
      </w:r>
    </w:p>
    <w:p w14:paraId="4A65E4A3" w14:textId="5A7228A9" w:rsidR="00752DEE" w:rsidRPr="005400F9" w:rsidRDefault="00752DEE" w:rsidP="00FA44B8">
      <w:pPr>
        <w:pStyle w:val="NormalHanging12a"/>
      </w:pPr>
      <w:r w:rsidRPr="00643C65">
        <w:t>1</w:t>
      </w:r>
      <w:r w:rsidR="00375E96">
        <w:t>29</w:t>
      </w:r>
      <w:r w:rsidRPr="00643C65">
        <w:t>.</w:t>
      </w:r>
      <w:r w:rsidRPr="00752DEE">
        <w:tab/>
      </w:r>
      <w:r w:rsidRPr="00643C65">
        <w:t>Considera que el enfoque político de la Unión con respecto a Cuba es constructivo, pero crítico, tal y como se consagra en el Acuerdo de Diálogo Político y Cooperación de 2016; lamenta que durante décadas el régimen cubano haya ignorado y violado continuamente esos principios y derechos; condena con la mayor firmeza las violaciones y los abusos sistemáticos de los derechos humanos, que han aumentado en los últimos tiempos, contra miles de presos políticos, manifestantes, disidentes políticos, líderes religiosos, defensores de los derechos humanos y artistas independientes, entre otros, perpetrados por el régimen cubano; insta a las autoridades cubanas a que pongan fin inmediatamente a la política de represión; toma nota de que en noviembre de 2023 se celebró en Cuba el cuarto diálogo sobre derechos humanos, pero condena que no haya participado ninguna organización independiente de la sociedad civil; concluye, por tanto, que dicho ejercicio no arrojó resultados tangibles; considera que para la Unión el diálogo es un fin en sí mismo y no un instrumento para mejorar las condiciones de vida de los ciudadanos cubanos que han sido testigos de una grave escasez alimentaria y diversas crisis sanitarias que han provocado un éxodo a gran escala; rechaza que el régimen cubano prohíba actualmente las visitas sobre el terreno como parte de un mecanismo de supervisión a disposición de los actores internacionales imparciales, como la Unión Europea; condena enérgicamente, en ese sentido, que el régimen cubano haya denegado la visita de una delegación del Parlamento Europeo al país;</w:t>
      </w:r>
    </w:p>
    <w:p w14:paraId="65C89D7A" w14:textId="46EB0389" w:rsidR="00FA44B8" w:rsidRPr="005400F9" w:rsidRDefault="00495DC9" w:rsidP="00FA44B8">
      <w:pPr>
        <w:pStyle w:val="NormalHanging12a"/>
        <w:widowControl/>
      </w:pPr>
      <w:r>
        <w:t>1</w:t>
      </w:r>
      <w:r w:rsidR="00375E96">
        <w:t>30</w:t>
      </w:r>
      <w:r w:rsidR="00FA44B8" w:rsidRPr="005400F9">
        <w:t>.</w:t>
      </w:r>
      <w:r w:rsidR="00FA44B8" w:rsidRPr="005400F9">
        <w:tab/>
        <w:t>Señala que la Unión debe prestar especial atención a reactivar su asociación con los países de América Latina y el Caribe; observa que la participación de la UE en la región se ha reducido en los últimos decenios, lo que ha dejado un vacío para actores extranjeros maliciosos; insta al conjunto de los países de América Latina a que adopten una actitud más firme de condena de la agresión de Rusia contra Ucrania; muestra su preocupación por el aumento de la delincuencia organizada y el narcotráfico en América Latina, que repercute también en la Unión;</w:t>
      </w:r>
      <w:r w:rsidR="00FA44B8" w:rsidRPr="00752DEE">
        <w:t xml:space="preserve"> </w:t>
      </w:r>
      <w:r w:rsidR="00752DEE" w:rsidRPr="00643C65">
        <w:t>condena firmemente la violencia y los ataques criminales perpetrados por grupos armados implicados en el tráfico de drogas en Ecuador y sus alrededores;</w:t>
      </w:r>
      <w:r w:rsidR="00752DEE" w:rsidRPr="00752DEE">
        <w:t xml:space="preserve"> </w:t>
      </w:r>
      <w:r w:rsidR="00FA44B8" w:rsidRPr="00752DEE">
        <w:t>abo</w:t>
      </w:r>
      <w:r w:rsidR="00FA44B8" w:rsidRPr="005400F9">
        <w:t>ga por un incremento sustancial de la cooperación birregional para luchar contra este fenómeno;</w:t>
      </w:r>
    </w:p>
    <w:p w14:paraId="5C4E3A25" w14:textId="62DB22F1" w:rsidR="00FA44B8" w:rsidRPr="005400F9" w:rsidRDefault="00495DC9" w:rsidP="00FA44B8">
      <w:pPr>
        <w:pStyle w:val="NormalHanging12a"/>
      </w:pPr>
      <w:r>
        <w:t>1</w:t>
      </w:r>
      <w:r w:rsidR="00375E96">
        <w:t>31</w:t>
      </w:r>
      <w:r w:rsidR="00FA44B8" w:rsidRPr="005400F9">
        <w:t>.</w:t>
      </w:r>
      <w:r w:rsidR="00FA44B8" w:rsidRPr="005400F9">
        <w:tab/>
      </w:r>
      <w:r w:rsidR="00752DEE" w:rsidRPr="00752DEE">
        <w:t xml:space="preserve">Toma nota de la Cumbre entre la Unión y la Comunidad de Estados Latinoamericanos y Caribeños, celebrada los días 17 y 18 de julio de 2023, y espera que mejore las relaciones birregionales, sobre todo teniendo en cuenta la creciente influencia de China y Rusia en América Latina y el Caribe; pide a los Estados miembros y al SEAE que prosigan una diplomacia proactiva en la región, haciendo especial hincapié en la defensa del orden mundial multilateral, el Derecho internacional y el respeto de la democracia y los derechos humanos; acoge con satisfacción la </w:t>
      </w:r>
      <w:r w:rsidR="00752DEE" w:rsidRPr="00643C65">
        <w:t>firma del nuevo Acuerdo Marco Avanzado UE-Chile, que consta de una parte política y de cooperación, así como</w:t>
      </w:r>
      <w:r w:rsidR="00752DEE" w:rsidRPr="00752DEE">
        <w:t xml:space="preserve"> de </w:t>
      </w:r>
      <w:r w:rsidR="00752DEE" w:rsidRPr="00643C65">
        <w:t>otra dedicada al comercio y a la inversión,</w:t>
      </w:r>
      <w:r w:rsidR="00752DEE" w:rsidRPr="00752DEE">
        <w:t xml:space="preserve"> y pide que se avance hacia la firma y ratificación del Acuerdo </w:t>
      </w:r>
      <w:r w:rsidR="00752DEE" w:rsidRPr="00643C65">
        <w:t>Global</w:t>
      </w:r>
      <w:r w:rsidR="00752DEE" w:rsidRPr="00752DEE">
        <w:t xml:space="preserve"> UE-México; pide a la Comisión y a </w:t>
      </w:r>
      <w:r w:rsidR="00752DEE" w:rsidRPr="00643C65">
        <w:t>la Presidencia</w:t>
      </w:r>
      <w:r w:rsidR="00752DEE" w:rsidRPr="00752DEE">
        <w:t xml:space="preserve"> belga del Consejo que avancen con decisión y celebren el acuerdo con el Mercosur antes de que finalice la actual legislatura, manteniendo al mismo tiempo la mayor ambición en cuanto a la aplicación de sus disposiciones en materia de sostenibilidad; </w:t>
      </w:r>
      <w:r w:rsidR="00752DEE" w:rsidRPr="00643C65">
        <w:t>celebra</w:t>
      </w:r>
      <w:r w:rsidR="00752DEE" w:rsidRPr="00752DEE">
        <w:t xml:space="preserve"> además la </w:t>
      </w:r>
      <w:r w:rsidR="00752DEE" w:rsidRPr="00643C65">
        <w:t>finalización del proceso de</w:t>
      </w:r>
      <w:r w:rsidR="00752DEE" w:rsidRPr="00752DEE">
        <w:t xml:space="preserve"> ratificación del Acuerdo de Asociación UE-Centroamérica;</w:t>
      </w:r>
    </w:p>
    <w:p w14:paraId="40197BB4" w14:textId="07E1A599" w:rsidR="00FA44B8" w:rsidRPr="005400F9" w:rsidRDefault="00495DC9" w:rsidP="00FA44B8">
      <w:pPr>
        <w:pStyle w:val="NormalHanging12a"/>
      </w:pPr>
      <w:r>
        <w:t>1</w:t>
      </w:r>
      <w:r w:rsidR="00375E96">
        <w:t>32</w:t>
      </w:r>
      <w:r w:rsidR="00FA44B8" w:rsidRPr="005400F9">
        <w:t>.</w:t>
      </w:r>
      <w:r w:rsidR="00FA44B8" w:rsidRPr="005400F9">
        <w:tab/>
      </w:r>
      <w:r w:rsidR="00752DEE" w:rsidRPr="00752DEE">
        <w:t>Resalta la importancia de fomentar unas relaciones aún más fuertes con Noruega, como socio más estrecho de la Unión en el marco del Acuerdo sobre el Espacio Económico Europeo</w:t>
      </w:r>
      <w:r w:rsidR="00752DEE" w:rsidRPr="00643C65">
        <w:t>; acoge con satisfacción la conclusión de conversaciones exploratorias con Suiza</w:t>
      </w:r>
      <w:r w:rsidR="00752DEE" w:rsidRPr="00752DEE">
        <w:t xml:space="preserve"> y </w:t>
      </w:r>
      <w:r w:rsidR="00752DEE" w:rsidRPr="00643C65">
        <w:t>pide que se avance</w:t>
      </w:r>
      <w:r w:rsidR="00752DEE" w:rsidRPr="00752DEE">
        <w:t xml:space="preserve"> en las negociaciones de un nuevo acuerdo</w:t>
      </w:r>
      <w:r w:rsidR="00752DEE" w:rsidRPr="00643C65">
        <w:t>; acoge</w:t>
      </w:r>
      <w:r w:rsidR="00752DEE" w:rsidRPr="00752DEE">
        <w:t xml:space="preserve"> con </w:t>
      </w:r>
      <w:r w:rsidR="00752DEE" w:rsidRPr="00643C65">
        <w:t>satisfacción el resultado</w:t>
      </w:r>
      <w:r w:rsidR="00752DEE" w:rsidRPr="00752DEE">
        <w:t xml:space="preserve"> de </w:t>
      </w:r>
      <w:r w:rsidR="00752DEE" w:rsidRPr="00643C65">
        <w:t>las negociaciones de un Acuerdo</w:t>
      </w:r>
      <w:r w:rsidR="00752DEE" w:rsidRPr="00752DEE">
        <w:t xml:space="preserve"> de Asociación </w:t>
      </w:r>
      <w:r w:rsidR="00752DEE" w:rsidRPr="00643C65">
        <w:t>entre la Unión y</w:t>
      </w:r>
      <w:r w:rsidR="00752DEE" w:rsidRPr="00752DEE">
        <w:t xml:space="preserve"> Andorra y San Marino; toma nota de la suspensión de las negociaciones sobre un acuerdo de asociación con Mónaco</w:t>
      </w:r>
      <w:r w:rsidR="00FA44B8" w:rsidRPr="005400F9">
        <w:t xml:space="preserve">; </w:t>
      </w:r>
    </w:p>
    <w:p w14:paraId="2CAB6F33" w14:textId="245D8A0D" w:rsidR="00FA44B8" w:rsidRPr="005400F9" w:rsidRDefault="00495DC9" w:rsidP="00FA44B8">
      <w:pPr>
        <w:pStyle w:val="NormalHanging12a"/>
      </w:pPr>
      <w:r>
        <w:t>13</w:t>
      </w:r>
      <w:r w:rsidR="00375E96">
        <w:t>3</w:t>
      </w:r>
      <w:r w:rsidR="00FA44B8" w:rsidRPr="005400F9">
        <w:t>.</w:t>
      </w:r>
      <w:r w:rsidR="00FA44B8" w:rsidRPr="005400F9">
        <w:tab/>
        <w:t>Pide un mayor compromiso de la Unión en el Ártico, habida cuenta de su importancia geoestratégica capital para la Unión vistas las consecuencias del cambio climático, la competencia industrial y económica, las amenazas para la seguridad, entre otras las que plantea la expansión militar rusa en el Alto Norte, y la libertad y seguridad de la navegación; observa que la OTAN ha resaltado la importancia del Alto Norte, en especial debido a la ampliación de posibles rutas marítimas, el acceso a recursos naturales, la conservación del clima y las reivindicaciones territoriales, todo lo cual puede conducir a un aumento de las tensiones geopolíticas; resalta que el compromiso de la Unión en la región debe conllevar la cooperación con los socios locales, incluidos los pueblos indígenas;</w:t>
      </w:r>
    </w:p>
    <w:p w14:paraId="47D5C3F4" w14:textId="3309E867" w:rsidR="00FA44B8" w:rsidRPr="005400F9" w:rsidRDefault="00495DC9" w:rsidP="00FA44B8">
      <w:pPr>
        <w:pStyle w:val="NormalHanging12a"/>
      </w:pPr>
      <w:r>
        <w:t>13</w:t>
      </w:r>
      <w:r w:rsidR="00375E96">
        <w:t>4</w:t>
      </w:r>
      <w:r w:rsidR="00FA44B8" w:rsidRPr="005400F9">
        <w:t>.</w:t>
      </w:r>
      <w:r w:rsidR="00FA44B8" w:rsidRPr="005400F9">
        <w:tab/>
        <w:t>Pide un mayor apoyo a la estrategia de seguridad marítima de la Unión, habida cuenta de los desafíos cada vez mayores para la libertad de navegación; insiste en que la libertad de navegación debe respetarse en todo momento y dar prioridad al apaciguamiento y la prevención de los conflictos armados y los incidentes militares;</w:t>
      </w:r>
    </w:p>
    <w:p w14:paraId="6ECB4BF8" w14:textId="1E3D50F3" w:rsidR="00FA44B8" w:rsidRPr="005400F9" w:rsidRDefault="00495DC9" w:rsidP="00FA44B8">
      <w:pPr>
        <w:pStyle w:val="NormalHanging12a"/>
      </w:pPr>
      <w:r>
        <w:t>13</w:t>
      </w:r>
      <w:r w:rsidR="00375E96">
        <w:t>5</w:t>
      </w:r>
      <w:r w:rsidR="00FA44B8" w:rsidRPr="005400F9">
        <w:t>.</w:t>
      </w:r>
      <w:r w:rsidR="00FA44B8" w:rsidRPr="005400F9">
        <w:tab/>
        <w:t>Destaca que la región polar meridional debe considerarse una zona emergente de interés dada la evolución de la dinámica geopolítica; subraya la importancia de la cooperación multilateral en la gestión de las zonas marinas protegidas; alienta a la Unión a que elabore una decidida agenda polar europea, que persiga integrar sus ambiciones regionales en su PESC y reúna los considerables intereses de los Estados miembros en materia de ciencia, conservación de los océanos, pesca, paz regional y multilateralismo basado en normas; pide un diálogo reforzado entre la Unión, China y la región antártica;</w:t>
      </w:r>
    </w:p>
    <w:p w14:paraId="082E4B41" w14:textId="77777777" w:rsidR="00FA44B8" w:rsidRPr="005400F9" w:rsidRDefault="00FA44B8" w:rsidP="00FA44B8">
      <w:pPr>
        <w:pStyle w:val="NormalHanging12a"/>
        <w:keepNext/>
        <w:widowControl/>
        <w:jc w:val="center"/>
      </w:pPr>
      <w:r w:rsidRPr="005400F9">
        <w:t>°</w:t>
      </w:r>
    </w:p>
    <w:p w14:paraId="7309AE4A" w14:textId="77777777" w:rsidR="00FA44B8" w:rsidRPr="005400F9" w:rsidRDefault="00FA44B8" w:rsidP="00FA44B8">
      <w:pPr>
        <w:pStyle w:val="NormalHanging12a"/>
        <w:jc w:val="center"/>
      </w:pPr>
      <w:r w:rsidRPr="005400F9">
        <w:t>°</w:t>
      </w:r>
      <w:r w:rsidRPr="005400F9">
        <w:tab/>
        <w:t>°</w:t>
      </w:r>
    </w:p>
    <w:p w14:paraId="55703721" w14:textId="7B12794C" w:rsidR="00FA44B8" w:rsidRPr="005400F9" w:rsidRDefault="00495DC9" w:rsidP="00FA44B8">
      <w:pPr>
        <w:pStyle w:val="NormalHanging12a"/>
      </w:pPr>
      <w:r>
        <w:t>13</w:t>
      </w:r>
      <w:r w:rsidR="00375E96">
        <w:t>6</w:t>
      </w:r>
      <w:r w:rsidR="00FA44B8" w:rsidRPr="005400F9">
        <w:t>.</w:t>
      </w:r>
      <w:r w:rsidR="00FA44B8" w:rsidRPr="005400F9">
        <w:tab/>
        <w:t>Encarga a su presidenta que transmita la presente Resolución al Consejo Europeo, al Consejo, a la Comisión, al vicepresidente de la Comisión / alto representante de la Unión para Asuntos Exteriores y Política de Seguridad, y a los Gobiernos y Parlamentos de los Estados miembros.</w:t>
      </w:r>
    </w:p>
    <w:sectPr w:rsidR="00FA44B8" w:rsidRPr="005400F9" w:rsidSect="005400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9AC0A" w14:textId="77777777" w:rsidR="003E4C9E" w:rsidRPr="005400F9" w:rsidRDefault="003E4C9E">
      <w:r w:rsidRPr="005400F9">
        <w:separator/>
      </w:r>
    </w:p>
  </w:endnote>
  <w:endnote w:type="continuationSeparator" w:id="0">
    <w:p w14:paraId="550B9B48" w14:textId="77777777" w:rsidR="003E4C9E" w:rsidRPr="005400F9" w:rsidRDefault="003E4C9E">
      <w:r w:rsidRPr="00540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2763D" w14:textId="77777777" w:rsidR="003E4C9E" w:rsidRPr="005400F9" w:rsidRDefault="003E4C9E">
      <w:r w:rsidRPr="005400F9">
        <w:separator/>
      </w:r>
    </w:p>
  </w:footnote>
  <w:footnote w:type="continuationSeparator" w:id="0">
    <w:p w14:paraId="6196E50B" w14:textId="77777777" w:rsidR="003E4C9E" w:rsidRPr="005400F9" w:rsidRDefault="003E4C9E">
      <w:r w:rsidRPr="005400F9">
        <w:continuationSeparator/>
      </w:r>
    </w:p>
  </w:footnote>
  <w:footnote w:id="1">
    <w:p w14:paraId="5C6A7F02"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L 102 de 24.3.2021, p. 14.</w:t>
      </w:r>
    </w:p>
  </w:footnote>
  <w:footnote w:id="2">
    <w:p w14:paraId="7C97630A"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167 de 11.5.2023, p. 105.</w:t>
      </w:r>
    </w:p>
  </w:footnote>
  <w:footnote w:id="3">
    <w:p w14:paraId="56BF6560"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L 22 de 24.1.2023, p. 29.</w:t>
      </w:r>
    </w:p>
  </w:footnote>
  <w:footnote w:id="4">
    <w:p w14:paraId="07A0FFB3"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L 270 de 18.10.2022, p. 93.</w:t>
      </w:r>
    </w:p>
  </w:footnote>
  <w:footnote w:id="5">
    <w:p w14:paraId="467E381D"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L 325 de 20.12.2022, p. 110.</w:t>
      </w:r>
    </w:p>
  </w:footnote>
  <w:footnote w:id="6">
    <w:p w14:paraId="733B9250"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C/2023/404, 23.11.2023, ELI: http://data.europa.eu/eli/C/2023/404/oj.</w:t>
      </w:r>
    </w:p>
  </w:footnote>
  <w:footnote w:id="7">
    <w:p w14:paraId="4F6908D6"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C/2023/405, 23.11.2023, ELI: http://data.europa.eu/eli/C/2023/405/oj.</w:t>
      </w:r>
    </w:p>
  </w:footnote>
  <w:footnote w:id="8">
    <w:p w14:paraId="0B84EAAA"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214 de 16.6.2023, p. 104.</w:t>
      </w:r>
    </w:p>
  </w:footnote>
  <w:footnote w:id="9">
    <w:p w14:paraId="052B24F9"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Textos Aprobados, P9_TA(2023)0356.</w:t>
      </w:r>
    </w:p>
  </w:footnote>
  <w:footnote w:id="10">
    <w:p w14:paraId="6336142F"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Textos Aprobados, P9_TA(2023)0106.</w:t>
      </w:r>
    </w:p>
  </w:footnote>
  <w:footnote w:id="11">
    <w:p w14:paraId="2CB143F7"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132 de 14.4.2023, p. 115.</w:t>
      </w:r>
    </w:p>
  </w:footnote>
  <w:footnote w:id="12">
    <w:p w14:paraId="27891BFF"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Textos Aprobados, P9_TA(2023)0242.</w:t>
      </w:r>
    </w:p>
  </w:footnote>
  <w:footnote w:id="13">
    <w:p w14:paraId="5203C121"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Textos Aprobados, P9_TA(2023)0219.</w:t>
      </w:r>
    </w:p>
  </w:footnote>
  <w:footnote w:id="14">
    <w:p w14:paraId="7514F15E"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347 de 9.9.2022, p. 61.</w:t>
      </w:r>
    </w:p>
  </w:footnote>
  <w:footnote w:id="15">
    <w:p w14:paraId="3F7C8FF2" w14:textId="77777777" w:rsidR="003E4C9E" w:rsidRPr="005400F9" w:rsidRDefault="003E4C9E" w:rsidP="005400F9">
      <w:pPr>
        <w:pStyle w:val="FootnoteText"/>
        <w:ind w:left="567" w:hanging="567"/>
        <w:rPr>
          <w:sz w:val="24"/>
          <w:lang w:val="es-ES_tradnl"/>
        </w:rPr>
      </w:pPr>
      <w:r w:rsidRPr="005400F9">
        <w:rPr>
          <w:rStyle w:val="FootnoteReference"/>
          <w:sz w:val="24"/>
          <w:lang w:val="es-ES_tradnl"/>
        </w:rPr>
        <w:footnoteRef/>
      </w:r>
      <w:r w:rsidRPr="005400F9">
        <w:rPr>
          <w:sz w:val="24"/>
          <w:lang w:val="es-ES_tradnl"/>
        </w:rPr>
        <w:t xml:space="preserve"> </w:t>
      </w:r>
      <w:r w:rsidRPr="005400F9">
        <w:rPr>
          <w:sz w:val="24"/>
          <w:lang w:val="es-ES_tradnl"/>
        </w:rPr>
        <w:tab/>
        <w:t>DO L 71 de 4.3.2022, p. 1.</w:t>
      </w:r>
    </w:p>
  </w:footnote>
  <w:footnote w:id="16">
    <w:p w14:paraId="28AB06DD" w14:textId="77777777" w:rsidR="003E4C9E" w:rsidRPr="005400F9" w:rsidRDefault="003E4C9E" w:rsidP="005400F9">
      <w:pPr>
        <w:pStyle w:val="FootnoteText"/>
        <w:ind w:left="567" w:hanging="567"/>
        <w:rPr>
          <w:sz w:val="24"/>
          <w:lang w:val="es-ES_tradnl"/>
        </w:rPr>
      </w:pPr>
      <w:r w:rsidRPr="005400F9">
        <w:rPr>
          <w:rStyle w:val="FootnoteReference"/>
          <w:sz w:val="24"/>
          <w:lang w:val="es-ES_tradnl"/>
        </w:rPr>
        <w:footnoteRef/>
      </w:r>
      <w:r w:rsidRPr="005400F9">
        <w:rPr>
          <w:sz w:val="24"/>
          <w:lang w:val="es-ES_tradnl"/>
        </w:rPr>
        <w:t xml:space="preserve"> </w:t>
      </w:r>
      <w:r w:rsidRPr="005400F9">
        <w:rPr>
          <w:sz w:val="24"/>
          <w:lang w:val="es-ES_tradnl"/>
        </w:rPr>
        <w:tab/>
        <w:t>Textos Aprobados, P9_TA(2023)0292.</w:t>
      </w:r>
    </w:p>
  </w:footnote>
  <w:footnote w:id="17">
    <w:p w14:paraId="44331EDB" w14:textId="77777777" w:rsidR="003E4C9E" w:rsidRPr="005400F9" w:rsidRDefault="003E4C9E" w:rsidP="005400F9">
      <w:pPr>
        <w:pStyle w:val="FootnoteText"/>
        <w:ind w:left="567" w:hanging="567"/>
        <w:rPr>
          <w:sz w:val="24"/>
          <w:lang w:val="es-ES_tradnl"/>
        </w:rPr>
      </w:pPr>
      <w:r w:rsidRPr="005400F9">
        <w:rPr>
          <w:rStyle w:val="FootnoteReference"/>
          <w:sz w:val="24"/>
          <w:lang w:val="es-ES_tradnl"/>
        </w:rPr>
        <w:footnoteRef/>
      </w:r>
      <w:r w:rsidRPr="005400F9">
        <w:rPr>
          <w:sz w:val="24"/>
          <w:lang w:val="es-ES_tradnl"/>
        </w:rPr>
        <w:t xml:space="preserve"> </w:t>
      </w:r>
      <w:r w:rsidRPr="005400F9">
        <w:rPr>
          <w:sz w:val="24"/>
          <w:lang w:val="es-ES_tradnl"/>
        </w:rPr>
        <w:tab/>
        <w:t>Estudio titulado «Qualified majority voting in common foreign and security policy – A cost of non-Europe report» (Votación por mayoría cualificada en la política exterior y de seguridad común – Informe sobre el «coste de la no Europa»), Parlamento Europeo, Dirección General de Servicios de Estudios Parlamentarios, 28 de agosto de 2023.</w:t>
      </w:r>
    </w:p>
  </w:footnote>
  <w:footnote w:id="18">
    <w:p w14:paraId="37826235" w14:textId="620AADCF" w:rsidR="003E4C9E" w:rsidRPr="00643C65" w:rsidRDefault="003E4C9E" w:rsidP="00643C65">
      <w:pPr>
        <w:pStyle w:val="FootnoteText"/>
        <w:ind w:left="567" w:hanging="567"/>
        <w:rPr>
          <w:lang w:val="pt-PT"/>
        </w:rPr>
      </w:pPr>
      <w:r>
        <w:rPr>
          <w:rStyle w:val="FootnoteReference"/>
        </w:rPr>
        <w:footnoteRef/>
      </w:r>
      <w:r w:rsidRPr="00375E96">
        <w:rPr>
          <w:lang w:val="pt-PT"/>
        </w:rPr>
        <w:t xml:space="preserve"> </w:t>
      </w:r>
      <w:r w:rsidRPr="00643C65">
        <w:rPr>
          <w:sz w:val="24"/>
          <w:lang w:val="pt-PT"/>
        </w:rPr>
        <w:tab/>
        <w:t>DO C 150 de 28.05.1999, p. 164.</w:t>
      </w:r>
    </w:p>
  </w:footnote>
  <w:footnote w:id="19">
    <w:p w14:paraId="783397D7" w14:textId="77777777" w:rsidR="003E4C9E" w:rsidRPr="00375E96" w:rsidRDefault="003E4C9E" w:rsidP="005400F9">
      <w:pPr>
        <w:pStyle w:val="FootnoteText"/>
        <w:ind w:left="567" w:hanging="567"/>
        <w:rPr>
          <w:sz w:val="24"/>
          <w:lang w:val="pt-PT"/>
        </w:rPr>
      </w:pPr>
      <w:r w:rsidRPr="005400F9">
        <w:rPr>
          <w:rStyle w:val="FootnoteReference"/>
          <w:sz w:val="24"/>
          <w:lang w:val="es-ES_tradnl"/>
        </w:rPr>
        <w:footnoteRef/>
      </w:r>
      <w:r w:rsidRPr="00375E96">
        <w:rPr>
          <w:sz w:val="24"/>
          <w:lang w:val="pt-PT"/>
        </w:rPr>
        <w:t xml:space="preserve"> </w:t>
      </w:r>
      <w:r w:rsidRPr="00375E96">
        <w:rPr>
          <w:sz w:val="24"/>
          <w:lang w:val="pt-PT"/>
        </w:rPr>
        <w:tab/>
        <w:t>DO C 347 de 9.9.2022, p. 150.</w:t>
      </w:r>
    </w:p>
  </w:footnote>
  <w:footnote w:id="20">
    <w:p w14:paraId="6E54FC9A" w14:textId="77777777" w:rsidR="003E4C9E" w:rsidRPr="005400F9" w:rsidRDefault="003E4C9E" w:rsidP="005400F9">
      <w:pPr>
        <w:pStyle w:val="FootnoteText"/>
        <w:ind w:left="567" w:hanging="567"/>
        <w:rPr>
          <w:sz w:val="24"/>
          <w:lang w:val="es-ES_tradnl"/>
        </w:rPr>
      </w:pPr>
      <w:r w:rsidRPr="005400F9">
        <w:rPr>
          <w:rStyle w:val="FootnoteReference"/>
          <w:sz w:val="24"/>
          <w:lang w:val="es-ES_tradnl"/>
        </w:rPr>
        <w:footnoteRef/>
      </w:r>
      <w:r w:rsidRPr="005400F9">
        <w:rPr>
          <w:sz w:val="24"/>
          <w:lang w:val="es-ES_tradnl"/>
        </w:rPr>
        <w:t xml:space="preserve"> </w:t>
      </w:r>
      <w:r w:rsidRPr="005400F9">
        <w:rPr>
          <w:sz w:val="24"/>
          <w:lang w:val="es-ES_tradnl"/>
        </w:rPr>
        <w:tab/>
        <w:t>Resolución del Parlamento Europeo, de 19 de octubre de 2023, sobre la evolución reciente del diálogo entre Serbia y Kosovo, en particular la situación en los municipios del norte de Kosovo (Textos Aprobados,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ES"/>
    <w:docVar w:name="dvnumam" w:val="0"/>
    <w:docVar w:name="dvpe" w:val="752.694"/>
    <w:docVar w:name="dvrapporteur" w:val="Ponente: "/>
    <w:docVar w:name="dvtitre" w:val="Resolución del Parlamento Europeo, de x de febrero de 2024, sobre la aplicación de la política exterior y de seguridad común: informe anual 2023(2023/2117(INI))"/>
  </w:docVars>
  <w:rsids>
    <w:rsidRoot w:val="00A7018E"/>
    <w:rsid w:val="00002272"/>
    <w:rsid w:val="0006217D"/>
    <w:rsid w:val="00064002"/>
    <w:rsid w:val="000677B9"/>
    <w:rsid w:val="000831BA"/>
    <w:rsid w:val="000A42CC"/>
    <w:rsid w:val="000D0550"/>
    <w:rsid w:val="000E7DD9"/>
    <w:rsid w:val="0010095E"/>
    <w:rsid w:val="00125B37"/>
    <w:rsid w:val="00187494"/>
    <w:rsid w:val="001E378F"/>
    <w:rsid w:val="001F32AE"/>
    <w:rsid w:val="002767FF"/>
    <w:rsid w:val="002B18FE"/>
    <w:rsid w:val="002B5493"/>
    <w:rsid w:val="00301640"/>
    <w:rsid w:val="00343214"/>
    <w:rsid w:val="0035370F"/>
    <w:rsid w:val="00361C00"/>
    <w:rsid w:val="00375E96"/>
    <w:rsid w:val="003844E7"/>
    <w:rsid w:val="00395FA1"/>
    <w:rsid w:val="003D7BAF"/>
    <w:rsid w:val="003E15D4"/>
    <w:rsid w:val="003E4C9E"/>
    <w:rsid w:val="00411CCE"/>
    <w:rsid w:val="0041666E"/>
    <w:rsid w:val="00421060"/>
    <w:rsid w:val="00471C19"/>
    <w:rsid w:val="004867E3"/>
    <w:rsid w:val="00494A28"/>
    <w:rsid w:val="00495DC9"/>
    <w:rsid w:val="004C0004"/>
    <w:rsid w:val="004C5D52"/>
    <w:rsid w:val="0050519A"/>
    <w:rsid w:val="005072A1"/>
    <w:rsid w:val="00514517"/>
    <w:rsid w:val="005400F9"/>
    <w:rsid w:val="00545827"/>
    <w:rsid w:val="00560270"/>
    <w:rsid w:val="005C2568"/>
    <w:rsid w:val="006037C0"/>
    <w:rsid w:val="00643C65"/>
    <w:rsid w:val="006631B6"/>
    <w:rsid w:val="006728B1"/>
    <w:rsid w:val="00680577"/>
    <w:rsid w:val="00696EB4"/>
    <w:rsid w:val="006C6C23"/>
    <w:rsid w:val="006F74FA"/>
    <w:rsid w:val="00704B92"/>
    <w:rsid w:val="007224B4"/>
    <w:rsid w:val="00731ADD"/>
    <w:rsid w:val="00734777"/>
    <w:rsid w:val="00747932"/>
    <w:rsid w:val="00751A4A"/>
    <w:rsid w:val="00752DEE"/>
    <w:rsid w:val="00756632"/>
    <w:rsid w:val="00762C74"/>
    <w:rsid w:val="00770A12"/>
    <w:rsid w:val="00786EC0"/>
    <w:rsid w:val="007D1690"/>
    <w:rsid w:val="007E22AD"/>
    <w:rsid w:val="00817416"/>
    <w:rsid w:val="00842779"/>
    <w:rsid w:val="0084680D"/>
    <w:rsid w:val="00865F67"/>
    <w:rsid w:val="00881A7B"/>
    <w:rsid w:val="008840E5"/>
    <w:rsid w:val="00887B3E"/>
    <w:rsid w:val="008C2AC6"/>
    <w:rsid w:val="00930C23"/>
    <w:rsid w:val="0093193B"/>
    <w:rsid w:val="0093375A"/>
    <w:rsid w:val="009509D8"/>
    <w:rsid w:val="00950B64"/>
    <w:rsid w:val="00981893"/>
    <w:rsid w:val="00A1687D"/>
    <w:rsid w:val="00A43E52"/>
    <w:rsid w:val="00A4678D"/>
    <w:rsid w:val="00A7018E"/>
    <w:rsid w:val="00A778C7"/>
    <w:rsid w:val="00AB441E"/>
    <w:rsid w:val="00AB6293"/>
    <w:rsid w:val="00AE0928"/>
    <w:rsid w:val="00AF3B82"/>
    <w:rsid w:val="00B12E95"/>
    <w:rsid w:val="00B22876"/>
    <w:rsid w:val="00B26C15"/>
    <w:rsid w:val="00B524B8"/>
    <w:rsid w:val="00B558F0"/>
    <w:rsid w:val="00BD48FE"/>
    <w:rsid w:val="00BD7BD8"/>
    <w:rsid w:val="00BE6ADC"/>
    <w:rsid w:val="00C05BFE"/>
    <w:rsid w:val="00C23CD4"/>
    <w:rsid w:val="00C61C0C"/>
    <w:rsid w:val="00C941CB"/>
    <w:rsid w:val="00CC2357"/>
    <w:rsid w:val="00CE074D"/>
    <w:rsid w:val="00CF071A"/>
    <w:rsid w:val="00D058B8"/>
    <w:rsid w:val="00D56C11"/>
    <w:rsid w:val="00D834A0"/>
    <w:rsid w:val="00D872DF"/>
    <w:rsid w:val="00D91E21"/>
    <w:rsid w:val="00DA7FCD"/>
    <w:rsid w:val="00E365E1"/>
    <w:rsid w:val="00E820A4"/>
    <w:rsid w:val="00E90D79"/>
    <w:rsid w:val="00EB006A"/>
    <w:rsid w:val="00EB4772"/>
    <w:rsid w:val="00ED169E"/>
    <w:rsid w:val="00ED4235"/>
    <w:rsid w:val="00EE59AF"/>
    <w:rsid w:val="00F04346"/>
    <w:rsid w:val="00F075DC"/>
    <w:rsid w:val="00F149E9"/>
    <w:rsid w:val="00F5134D"/>
    <w:rsid w:val="00F74202"/>
    <w:rsid w:val="00F87713"/>
    <w:rsid w:val="00FA44B8"/>
    <w:rsid w:val="00FB4360"/>
    <w:rsid w:val="00FD0C70"/>
    <w:rsid w:val="00FE1A5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871AC"/>
  <w15:chartTrackingRefBased/>
  <w15:docId w15:val="{95EC6907-0523-4D0B-94E9-0BB7201D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44B8"/>
    <w:pPr>
      <w:spacing w:after="240"/>
      <w:ind w:left="567" w:hanging="567"/>
    </w:pPr>
  </w:style>
  <w:style w:type="paragraph" w:customStyle="1" w:styleId="EPComma">
    <w:name w:val="EPComma"/>
    <w:basedOn w:val="Normal"/>
    <w:rsid w:val="00FA44B8"/>
    <w:pPr>
      <w:spacing w:before="480" w:after="240"/>
    </w:pPr>
  </w:style>
  <w:style w:type="paragraph" w:styleId="ListParagraph">
    <w:name w:val="List Paragraph"/>
    <w:basedOn w:val="Normal"/>
    <w:uiPriority w:val="34"/>
    <w:qFormat/>
    <w:rsid w:val="00FA44B8"/>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FA44B8"/>
    <w:rPr>
      <w:sz w:val="24"/>
      <w:lang w:val="es-ES_tradnl"/>
    </w:rPr>
  </w:style>
  <w:style w:type="paragraph" w:styleId="BalloonText">
    <w:name w:val="Balloon Text"/>
    <w:basedOn w:val="Normal"/>
    <w:link w:val="BalloonTextChar"/>
    <w:rsid w:val="00770A12"/>
    <w:rPr>
      <w:rFonts w:ascii="Segoe UI" w:hAnsi="Segoe UI" w:cs="Segoe UI"/>
      <w:sz w:val="18"/>
      <w:szCs w:val="18"/>
    </w:rPr>
  </w:style>
  <w:style w:type="character" w:customStyle="1" w:styleId="BalloonTextChar">
    <w:name w:val="Balloon Text Char"/>
    <w:basedOn w:val="DefaultParagraphFont"/>
    <w:link w:val="BalloonText"/>
    <w:rsid w:val="00770A12"/>
    <w:rPr>
      <w:rFonts w:ascii="Segoe UI" w:hAnsi="Segoe UI" w:cs="Segoe UI"/>
      <w:sz w:val="18"/>
      <w:szCs w:val="18"/>
      <w:lang w:val="es-ES_tradnl"/>
    </w:rPr>
  </w:style>
  <w:style w:type="character" w:styleId="CommentReference">
    <w:name w:val="annotation reference"/>
    <w:basedOn w:val="DefaultParagraphFont"/>
    <w:rsid w:val="00704B92"/>
    <w:rPr>
      <w:sz w:val="16"/>
      <w:szCs w:val="16"/>
    </w:rPr>
  </w:style>
  <w:style w:type="paragraph" w:styleId="CommentText">
    <w:name w:val="annotation text"/>
    <w:basedOn w:val="Normal"/>
    <w:link w:val="CommentTextChar"/>
    <w:rsid w:val="00704B92"/>
    <w:rPr>
      <w:sz w:val="20"/>
    </w:rPr>
  </w:style>
  <w:style w:type="character" w:customStyle="1" w:styleId="CommentTextChar">
    <w:name w:val="Comment Text Char"/>
    <w:basedOn w:val="DefaultParagraphFont"/>
    <w:link w:val="CommentText"/>
    <w:rsid w:val="00704B92"/>
    <w:rPr>
      <w:lang w:val="es-ES_tradnl"/>
    </w:rPr>
  </w:style>
  <w:style w:type="paragraph" w:styleId="CommentSubject">
    <w:name w:val="annotation subject"/>
    <w:basedOn w:val="CommentText"/>
    <w:next w:val="CommentText"/>
    <w:link w:val="CommentSubjectChar"/>
    <w:rsid w:val="00704B92"/>
    <w:rPr>
      <w:b/>
      <w:bCs/>
    </w:rPr>
  </w:style>
  <w:style w:type="character" w:customStyle="1" w:styleId="CommentSubjectChar">
    <w:name w:val="Comment Subject Char"/>
    <w:basedOn w:val="CommentTextChar"/>
    <w:link w:val="CommentSubject"/>
    <w:rsid w:val="00704B9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5DA50-E706-4591-B6D5-DD36E10E8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21988</Words>
  <Characters>125332</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RELEC</dc:creator>
  <cp:keywords/>
  <cp:lastModifiedBy>Rodríguez Fernán</cp:lastModifiedBy>
  <cp:revision>2</cp:revision>
  <cp:lastPrinted>2004-11-19T15:42:00Z</cp:lastPrinted>
  <dcterms:created xsi:type="dcterms:W3CDTF">2024-02-29T10:19:00Z</dcterms:created>
  <dcterms:modified xsi:type="dcterms:W3CDTF">2024-02-29T10:19:00Z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A9-0389/2023</vt:lpwstr>
  </property>
  <property fmtid="{D5CDD505-2E9C-101B-9397-08002B2CF9AE}" pid="4" name="&lt;Type&gt;">
    <vt:lpwstr>RR</vt:lpwstr>
  </property>
</Properties>
</file>