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22B" w:rsidTr="0010095E">
        <w:trPr>
          <w:trHeight w:hRule="exact" w:val="1418"/>
        </w:trPr>
        <w:tc>
          <w:tcPr>
            <w:tcW w:w="6804" w:type="dxa"/>
            <w:shd w:val="clear" w:color="auto" w:fill="auto"/>
            <w:vAlign w:val="center"/>
          </w:tcPr>
          <w:p w:rsidR="00751A4A" w:rsidRPr="0007422B" w:rsidRDefault="0056123A" w:rsidP="0010095E">
            <w:pPr>
              <w:pStyle w:val="EPName"/>
            </w:pPr>
            <w:bookmarkStart w:id="0" w:name="_GoBack"/>
            <w:bookmarkEnd w:id="0"/>
            <w:r w:rsidRPr="0007422B">
              <w:t>Европейски</w:t>
            </w:r>
            <w:r w:rsidR="00C37EF1" w:rsidRPr="0007422B">
              <w:t xml:space="preserve"> парламент</w:t>
            </w:r>
          </w:p>
          <w:p w:rsidR="00751A4A" w:rsidRPr="0007422B" w:rsidRDefault="0056123A" w:rsidP="00756632">
            <w:pPr>
              <w:pStyle w:val="EPTerm"/>
              <w:rPr>
                <w:rStyle w:val="HideTWBExt"/>
                <w:noProof w:val="0"/>
                <w:vanish w:val="0"/>
                <w:color w:val="auto"/>
              </w:rPr>
            </w:pPr>
            <w:r>
              <w:t>2019 – </w:t>
            </w:r>
            <w:r w:rsidR="00817416" w:rsidRPr="0007422B">
              <w:t>2024</w:t>
            </w:r>
          </w:p>
        </w:tc>
        <w:tc>
          <w:tcPr>
            <w:tcW w:w="2268" w:type="dxa"/>
            <w:shd w:val="clear" w:color="auto" w:fill="auto"/>
          </w:tcPr>
          <w:p w:rsidR="00751A4A" w:rsidRPr="0007422B" w:rsidRDefault="00187494" w:rsidP="0010095E">
            <w:pPr>
              <w:pStyle w:val="EPLogo"/>
            </w:pPr>
            <w:r w:rsidRPr="000742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422B" w:rsidRDefault="00D058B8" w:rsidP="004C5D52">
      <w:pPr>
        <w:pStyle w:val="LineTop"/>
      </w:pPr>
    </w:p>
    <w:p w:rsidR="00680577" w:rsidRPr="0007422B" w:rsidRDefault="00C37EF1" w:rsidP="00680577">
      <w:pPr>
        <w:pStyle w:val="EPBodyTA1"/>
      </w:pPr>
      <w:r w:rsidRPr="0007422B">
        <w:t>ПРИЕТИ ТЕКСТОВЕ</w:t>
      </w:r>
    </w:p>
    <w:p w:rsidR="00D058B8" w:rsidRPr="0007422B" w:rsidRDefault="00D058B8" w:rsidP="00D058B8">
      <w:pPr>
        <w:pStyle w:val="LineBottom"/>
      </w:pPr>
    </w:p>
    <w:p w:rsidR="00C37EF1" w:rsidRPr="0007422B" w:rsidRDefault="00C37EF1" w:rsidP="00B340EA">
      <w:pPr>
        <w:pStyle w:val="ATHeading1"/>
      </w:pPr>
      <w:bookmarkStart w:id="1" w:name="TANumber"/>
      <w:r w:rsidRPr="0007422B">
        <w:t>P9_TA(2024)</w:t>
      </w:r>
      <w:bookmarkEnd w:id="1"/>
      <w:r w:rsidR="00B340EA" w:rsidRPr="0007422B">
        <w:t>0</w:t>
      </w:r>
      <w:r w:rsidR="00B340EA">
        <w:t>107</w:t>
      </w:r>
    </w:p>
    <w:p w:rsidR="00C37EF1" w:rsidRPr="0007422B" w:rsidRDefault="00C37EF1" w:rsidP="00C37EF1">
      <w:pPr>
        <w:pStyle w:val="ATHeading2"/>
      </w:pPr>
      <w:bookmarkStart w:id="2" w:name="title"/>
      <w:r w:rsidRPr="0007422B">
        <w:t>Финансови дейности на Европейската инвестиционна банка – годишен доклад за 2023 г.</w:t>
      </w:r>
      <w:bookmarkEnd w:id="2"/>
    </w:p>
    <w:p w:rsidR="00C37EF1" w:rsidRPr="0007422B" w:rsidRDefault="00C37EF1" w:rsidP="00C37EF1">
      <w:pPr>
        <w:rPr>
          <w:i/>
          <w:vanish/>
        </w:rPr>
      </w:pPr>
      <w:r w:rsidRPr="0007422B">
        <w:rPr>
          <w:i/>
        </w:rPr>
        <w:fldChar w:fldCharType="begin"/>
      </w:r>
      <w:r w:rsidRPr="0007422B">
        <w:rPr>
          <w:i/>
        </w:rPr>
        <w:instrText xml:space="preserve"> TC"(</w:instrText>
      </w:r>
      <w:bookmarkStart w:id="3" w:name="DocNumber"/>
      <w:r w:rsidRPr="0007422B">
        <w:rPr>
          <w:i/>
        </w:rPr>
        <w:instrText>A9-0031/2024</w:instrText>
      </w:r>
      <w:bookmarkEnd w:id="3"/>
      <w:r w:rsidRPr="0007422B">
        <w:rPr>
          <w:i/>
        </w:rPr>
        <w:instrText xml:space="preserve"> - Докладчик: Давид Корман)"\l3 \n&gt; \* MERGEFORMAT </w:instrText>
      </w:r>
      <w:r w:rsidRPr="0007422B">
        <w:rPr>
          <w:i/>
        </w:rPr>
        <w:fldChar w:fldCharType="end"/>
      </w:r>
    </w:p>
    <w:p w:rsidR="00C37EF1" w:rsidRPr="0007422B" w:rsidRDefault="00C37EF1" w:rsidP="00C37EF1">
      <w:pPr>
        <w:rPr>
          <w:vanish/>
        </w:rPr>
      </w:pPr>
      <w:bookmarkStart w:id="4" w:name="Commission"/>
      <w:r w:rsidRPr="0007422B">
        <w:rPr>
          <w:vanish/>
        </w:rPr>
        <w:t>Комисия по бюджети</w:t>
      </w:r>
      <w:bookmarkEnd w:id="4"/>
    </w:p>
    <w:p w:rsidR="00C37EF1" w:rsidRPr="0007422B" w:rsidRDefault="00C37EF1" w:rsidP="00C37EF1">
      <w:pPr>
        <w:rPr>
          <w:vanish/>
        </w:rPr>
      </w:pPr>
      <w:bookmarkStart w:id="5" w:name="PE"/>
      <w:r w:rsidRPr="0007422B">
        <w:rPr>
          <w:vanish/>
        </w:rPr>
        <w:t>PE757.274</w:t>
      </w:r>
      <w:bookmarkEnd w:id="5"/>
    </w:p>
    <w:p w:rsidR="00C37EF1" w:rsidRPr="0007422B" w:rsidRDefault="00C37EF1" w:rsidP="0056123A">
      <w:pPr>
        <w:pStyle w:val="ATHeading3"/>
      </w:pPr>
      <w:bookmarkStart w:id="6" w:name="Sujet"/>
      <w:r w:rsidRPr="0007422B">
        <w:t xml:space="preserve">Резолюция на Европейския парламент от </w:t>
      </w:r>
      <w:r w:rsidR="00B340EA">
        <w:t>28</w:t>
      </w:r>
      <w:r w:rsidR="004412EA">
        <w:t xml:space="preserve"> февруари</w:t>
      </w:r>
      <w:r w:rsidR="004412EA" w:rsidRPr="0007422B">
        <w:t xml:space="preserve"> </w:t>
      </w:r>
      <w:r w:rsidRPr="0007422B">
        <w:t>2024 г. относно финансовите дейности на Европейската инвестиционна банка – годишен доклад за 2023 г.</w:t>
      </w:r>
      <w:bookmarkEnd w:id="6"/>
      <w:r w:rsidRPr="0007422B">
        <w:t xml:space="preserve"> </w:t>
      </w:r>
      <w:bookmarkStart w:id="7" w:name="References"/>
      <w:r w:rsidRPr="0007422B">
        <w:t>(2023/2229(INI))</w:t>
      </w:r>
      <w:bookmarkEnd w:id="7"/>
    </w:p>
    <w:p w:rsidR="004A012D" w:rsidRPr="0007422B" w:rsidRDefault="004A012D" w:rsidP="004A012D">
      <w:pPr>
        <w:pStyle w:val="EPComma"/>
      </w:pPr>
      <w:bookmarkStart w:id="8" w:name="TextBodyBegin"/>
      <w:bookmarkEnd w:id="8"/>
      <w:r w:rsidRPr="0007422B">
        <w:rPr>
          <w:rStyle w:val="Italic"/>
        </w:rPr>
        <w:t>Европейският парламент</w:t>
      </w:r>
      <w:r w:rsidRPr="0007422B">
        <w:t>,</w:t>
      </w:r>
    </w:p>
    <w:p w:rsidR="004A012D" w:rsidRPr="0007422B" w:rsidRDefault="004A012D" w:rsidP="004A012D">
      <w:pPr>
        <w:pStyle w:val="NormalHanging12a"/>
      </w:pPr>
      <w:r w:rsidRPr="0007422B">
        <w:t>–</w:t>
      </w:r>
      <w:r w:rsidRPr="0007422B">
        <w:tab/>
        <w:t>като взе предвид членове 2 и 3 от Договора за Европейския съюз,</w:t>
      </w:r>
    </w:p>
    <w:p w:rsidR="004A012D" w:rsidRPr="0007422B" w:rsidRDefault="004A012D" w:rsidP="004A012D">
      <w:pPr>
        <w:pStyle w:val="NormalHanging12a"/>
      </w:pPr>
      <w:r w:rsidRPr="0007422B">
        <w:t>–</w:t>
      </w:r>
      <w:r w:rsidRPr="0007422B">
        <w:tab/>
        <w:t>като взе предвид член 15, член 126, член 174, член 175, член 177, член 208, член 209, член 271, член 308 и член 309 от Договора за функционирането на Европейския съюз (ДФЕС) и Протокол № 5 към него за Устава на Европейската инвестиционна банка (ЕИБ),</w:t>
      </w:r>
    </w:p>
    <w:p w:rsidR="004A012D" w:rsidRPr="0007422B" w:rsidRDefault="004A012D" w:rsidP="004A012D">
      <w:pPr>
        <w:pStyle w:val="NormalHanging12a"/>
      </w:pPr>
      <w:r w:rsidRPr="0007422B">
        <w:t>–</w:t>
      </w:r>
      <w:r w:rsidRPr="0007422B">
        <w:tab/>
        <w:t>като взе предвид членове 41 – 43 от Договора за създаване на Европейската общност за атомна енергия,</w:t>
      </w:r>
    </w:p>
    <w:p w:rsidR="004A012D" w:rsidRPr="0007422B" w:rsidRDefault="004A012D" w:rsidP="004A012D">
      <w:pPr>
        <w:pStyle w:val="NormalHanging12a"/>
      </w:pPr>
      <w:r w:rsidRPr="0007422B">
        <w:t>–</w:t>
      </w:r>
      <w:r w:rsidRPr="0007422B">
        <w:tab/>
        <w:t>като взе предвид съобщението за медиите на ЕИБ от 7 октомври 2016 г., в което се изразява одобрение за ратифицирането от ЕС на Парижкото споразумение,</w:t>
      </w:r>
    </w:p>
    <w:p w:rsidR="004A012D" w:rsidRPr="0007422B" w:rsidRDefault="004A012D" w:rsidP="004A012D">
      <w:pPr>
        <w:pStyle w:val="NormalHanging12a"/>
      </w:pPr>
      <w:r w:rsidRPr="0007422B">
        <w:t>–</w:t>
      </w:r>
      <w:r w:rsidRPr="0007422B">
        <w:tab/>
        <w:t>като взе предвид публикувания на 3 март 2023 г. доклад за дейността на ЕИБ за 2022 г. за оценка на операциите и работната програма за периода 2023 – 2025 г.,</w:t>
      </w:r>
    </w:p>
    <w:p w:rsidR="004A012D" w:rsidRPr="0007422B" w:rsidRDefault="004A012D" w:rsidP="004A012D">
      <w:pPr>
        <w:pStyle w:val="NormalHanging12a"/>
      </w:pPr>
      <w:r w:rsidRPr="0007422B">
        <w:t>–</w:t>
      </w:r>
      <w:r w:rsidRPr="0007422B">
        <w:tab/>
        <w:t>като взе предвид доклада на групата на ЕИБ относно процедурите на механизма за подаване на жалби, публикуван на 13 ноември 2018 г.,</w:t>
      </w:r>
    </w:p>
    <w:p w:rsidR="004A012D" w:rsidRPr="0007422B" w:rsidRDefault="004A012D" w:rsidP="004A012D">
      <w:pPr>
        <w:pStyle w:val="NormalHanging12a"/>
      </w:pPr>
      <w:r w:rsidRPr="0007422B">
        <w:t>–</w:t>
      </w:r>
      <w:r w:rsidRPr="0007422B">
        <w:tab/>
        <w:t>като взе предвид публикацията на ЕИБ, озаглавена „EIB energy lending policy“ (Политиката на ЕИБ за отпускане на заеми в областта на енергетиката), публикувана на 8 май 2023 г.,</w:t>
      </w:r>
    </w:p>
    <w:p w:rsidR="004A012D" w:rsidRPr="0007422B" w:rsidRDefault="004A012D" w:rsidP="004A012D">
      <w:pPr>
        <w:pStyle w:val="NormalHanging12a"/>
      </w:pPr>
      <w:r w:rsidRPr="0007422B">
        <w:t>–</w:t>
      </w:r>
      <w:r w:rsidRPr="0007422B">
        <w:tab/>
        <w:t>като взе предвид пътната карта на групата на ЕИБ за банка за климата за периода 2021 – 2025 г., приета от Съвета на директорите на ЕИБ на 11 ноември 2020 г., и стратегията на ЕИБ за климата от 15 ноември 2020 г.,</w:t>
      </w:r>
    </w:p>
    <w:p w:rsidR="004A012D" w:rsidRPr="0007422B" w:rsidRDefault="004A012D" w:rsidP="004A012D">
      <w:pPr>
        <w:pStyle w:val="NormalHanging12a"/>
      </w:pPr>
      <w:r w:rsidRPr="0007422B">
        <w:t>–</w:t>
      </w:r>
      <w:r w:rsidRPr="0007422B">
        <w:tab/>
        <w:t>като взе предвид оперативния план на групата на ЕИБ за периода 2023 – 2025 г., публикуван на 2 февруари 2023 г.,</w:t>
      </w:r>
    </w:p>
    <w:p w:rsidR="004A012D" w:rsidRPr="0007422B" w:rsidRDefault="004A012D" w:rsidP="004A012D">
      <w:pPr>
        <w:pStyle w:val="NormalHanging12a"/>
      </w:pPr>
      <w:r w:rsidRPr="0007422B">
        <w:lastRenderedPageBreak/>
        <w:t>–</w:t>
      </w:r>
      <w:r w:rsidRPr="0007422B">
        <w:tab/>
        <w:t>като взе предвид инвестиционния доклад на ЕИБ за 2022 – 2023 г., озаглавен „Resilience and renewal in Europe“ (Устойчивост и обновяване в Европа), публикуван на 28 февруари 2023 г.,</w:t>
      </w:r>
    </w:p>
    <w:p w:rsidR="004A012D" w:rsidRPr="0007422B" w:rsidRDefault="004A012D" w:rsidP="004A012D">
      <w:pPr>
        <w:pStyle w:val="NormalHanging12a"/>
      </w:pPr>
      <w:r w:rsidRPr="0007422B">
        <w:t>–</w:t>
      </w:r>
      <w:r w:rsidRPr="0007422B">
        <w:tab/>
        <w:t>като взе предвид доклада за дейността на групата на ЕИБ за 2022 г., озаглавен „Secure Europe“ (Сигурна Европа), публикуван на 2 февруари 2023 г.,</w:t>
      </w:r>
    </w:p>
    <w:p w:rsidR="004A012D" w:rsidRPr="0007422B" w:rsidRDefault="004A012D" w:rsidP="004A012D">
      <w:pPr>
        <w:pStyle w:val="NormalHanging12a"/>
      </w:pPr>
      <w:r w:rsidRPr="0007422B">
        <w:t>–</w:t>
      </w:r>
      <w:r w:rsidRPr="0007422B">
        <w:tab/>
        <w:t>като взе предвид прегледа на ЕИБ за действията в областта на климата и екологичната устойчивост за 2023 г., публикуван на 2 февруари 2023 г.,</w:t>
      </w:r>
    </w:p>
    <w:p w:rsidR="004A012D" w:rsidRPr="0007422B" w:rsidRDefault="004A012D" w:rsidP="004A012D">
      <w:pPr>
        <w:pStyle w:val="NormalHanging12a"/>
      </w:pPr>
      <w:r w:rsidRPr="0007422B">
        <w:t>–</w:t>
      </w:r>
      <w:r w:rsidRPr="0007422B">
        <w:tab/>
        <w:t>като взе предвид рамката на ЕИБ за околната среда, публикувана на 14 ноември 2022 г.,</w:t>
      </w:r>
    </w:p>
    <w:p w:rsidR="004A012D" w:rsidRPr="0007422B" w:rsidRDefault="004A012D" w:rsidP="004A012D">
      <w:pPr>
        <w:pStyle w:val="NormalHanging12a"/>
      </w:pPr>
      <w:r w:rsidRPr="0007422B">
        <w:t>–</w:t>
      </w:r>
      <w:r w:rsidRPr="0007422B">
        <w:tab/>
        <w:t>като взе предвид доклада на групата на ЕИБ относно корпоративното управление за 2022 г., публикуван на 8 септември 2023 г.,</w:t>
      </w:r>
    </w:p>
    <w:p w:rsidR="004A012D" w:rsidRPr="0007422B" w:rsidRDefault="004A012D" w:rsidP="004A012D">
      <w:pPr>
        <w:pStyle w:val="NormalHanging12a"/>
      </w:pPr>
      <w:r w:rsidRPr="0007422B">
        <w:t>–</w:t>
      </w:r>
      <w:r w:rsidRPr="0007422B">
        <w:tab/>
        <w:t>като взе предвид публикацията на ЕИБ от 29 ноември 2023 г., озаглавена „EIB Global Strategic Roadmap: EU Finance for a Sustainable Future“ (Глобална стратегическа пътна карта на ЕИБ: финансиране от ЕС за устойчиво бъдеще),</w:t>
      </w:r>
    </w:p>
    <w:p w:rsidR="004A012D" w:rsidRPr="0007422B" w:rsidRDefault="004A012D" w:rsidP="004A012D">
      <w:pPr>
        <w:pStyle w:val="NormalHanging12a"/>
      </w:pPr>
      <w:r w:rsidRPr="0007422B">
        <w:t>–</w:t>
      </w:r>
      <w:r w:rsidRPr="0007422B">
        <w:tab/>
        <w:t>като взе предвид подхода на ЕИБ Глобал към справедлив преход и справедлива устойчивост, публикуван на 27 ноември 2023 г.,</w:t>
      </w:r>
    </w:p>
    <w:p w:rsidR="004A012D" w:rsidRPr="0007422B" w:rsidRDefault="004A012D" w:rsidP="004A012D">
      <w:pPr>
        <w:pStyle w:val="NormalHanging12a"/>
      </w:pPr>
      <w:r w:rsidRPr="0007422B">
        <w:t>–</w:t>
      </w:r>
      <w:r w:rsidRPr="0007422B">
        <w:tab/>
        <w:t>като взе предвид доклада на групата на ЕИБ относно оповестяването на информация за управлението на риска за 2022 г., публикуван на 9 август 2023 г.,</w:t>
      </w:r>
    </w:p>
    <w:p w:rsidR="004A012D" w:rsidRPr="0007422B" w:rsidRDefault="004A012D" w:rsidP="004A012D">
      <w:pPr>
        <w:pStyle w:val="NormalHanging12a"/>
      </w:pPr>
      <w:r w:rsidRPr="0007422B">
        <w:t>–</w:t>
      </w:r>
      <w:r w:rsidRPr="0007422B">
        <w:tab/>
        <w:t>като взе предвид проучването на ЕИБ за климата за периода 2022 – 2023 г.,</w:t>
      </w:r>
    </w:p>
    <w:p w:rsidR="004A012D" w:rsidRPr="0007422B" w:rsidRDefault="004A012D" w:rsidP="004A012D">
      <w:pPr>
        <w:pStyle w:val="NormalHanging12a"/>
      </w:pPr>
      <w:r w:rsidRPr="0007422B">
        <w:t>–</w:t>
      </w:r>
      <w:r w:rsidRPr="0007422B">
        <w:tab/>
        <w:t>като взе предвид рамката на групата на ЕИБ относно екологичната и социалната устойчивост, озаглавена „The EIB Group Environmental and Social Policy“ (Екологичната и социалната политика на групата на ЕИБ), приета на 2 февруари 2022 г.,</w:t>
      </w:r>
    </w:p>
    <w:p w:rsidR="004A012D" w:rsidRPr="0007422B" w:rsidRDefault="004A012D" w:rsidP="004A012D">
      <w:pPr>
        <w:pStyle w:val="NormalHanging12a"/>
      </w:pPr>
      <w:r w:rsidRPr="0007422B">
        <w:t>–</w:t>
      </w:r>
      <w:r w:rsidRPr="0007422B">
        <w:tab/>
        <w:t>като взе предвид публикацията на ЕИБ от 10 февруари 2023 г., озаглавена „EIB Global – partnership, people, impact“ (ЕИБ Глобал – партньорство, хора, въздействие),</w:t>
      </w:r>
    </w:p>
    <w:p w:rsidR="004A012D" w:rsidRPr="0007422B" w:rsidRDefault="004A012D" w:rsidP="004A012D">
      <w:pPr>
        <w:pStyle w:val="NormalHanging12a"/>
      </w:pPr>
      <w:r w:rsidRPr="0007422B">
        <w:t>–</w:t>
      </w:r>
      <w:r w:rsidRPr="0007422B">
        <w:tab/>
        <w:t>като взе предвид подхода на ЕИБ към правата на човека, публикуван на 6 февруари 2023 г.,</w:t>
      </w:r>
    </w:p>
    <w:p w:rsidR="004A012D" w:rsidRPr="0007422B" w:rsidRDefault="004A012D" w:rsidP="004A012D">
      <w:pPr>
        <w:pStyle w:val="NormalHanging12a"/>
      </w:pPr>
      <w:r w:rsidRPr="0007422B">
        <w:t>–</w:t>
      </w:r>
      <w:r w:rsidRPr="0007422B">
        <w:tab/>
        <w:t>като взе предвид доклада на ЕИБ от 29 юни 2023 г., озаглавен „EIB Group activities in EU cohesion regions 2022“ (Дейности на групата на ЕИБ в регионите на сближаване на ЕС през 2022 г.),</w:t>
      </w:r>
    </w:p>
    <w:p w:rsidR="004A012D" w:rsidRPr="0007422B" w:rsidRDefault="004A012D" w:rsidP="004A012D">
      <w:pPr>
        <w:pStyle w:val="NormalHanging12a"/>
      </w:pPr>
      <w:r w:rsidRPr="0007422B">
        <w:t>–</w:t>
      </w:r>
      <w:r w:rsidRPr="0007422B">
        <w:tab/>
        <w:t>като взе предвид стратегията на групата на ЕИБ относно равенството между половете и икономическото овластяване на жените и нейния план за действие относно равенството между половете;</w:t>
      </w:r>
    </w:p>
    <w:p w:rsidR="004A012D" w:rsidRPr="0007422B" w:rsidRDefault="004A012D" w:rsidP="004A012D">
      <w:pPr>
        <w:pStyle w:val="NormalHanging12a"/>
      </w:pPr>
      <w:r w:rsidRPr="0007422B">
        <w:t>–</w:t>
      </w:r>
      <w:r w:rsidRPr="0007422B">
        <w:tab/>
        <w:t>като взе предвид кодекса за поведение на служителите на групата на ЕИБ, публикуван на 3 февруари 2023 г.,</w:t>
      </w:r>
    </w:p>
    <w:p w:rsidR="004A012D" w:rsidRPr="0007422B" w:rsidRDefault="004A012D" w:rsidP="004A012D">
      <w:pPr>
        <w:pStyle w:val="NormalHanging12a"/>
      </w:pPr>
      <w:r w:rsidRPr="0007422B">
        <w:t>–</w:t>
      </w:r>
      <w:r w:rsidRPr="0007422B">
        <w:tab/>
        <w:t>като взе предвид кодекса за поведение на одитния комитет на групата на ЕИБ, публикуван на 30 ноември 2021 г.,</w:t>
      </w:r>
    </w:p>
    <w:p w:rsidR="004A012D" w:rsidRPr="0007422B" w:rsidRDefault="004A012D" w:rsidP="004A012D">
      <w:pPr>
        <w:pStyle w:val="NormalHanging12a"/>
      </w:pPr>
      <w:r w:rsidRPr="0007422B">
        <w:lastRenderedPageBreak/>
        <w:t>–</w:t>
      </w:r>
      <w:r w:rsidRPr="0007422B">
        <w:tab/>
        <w:t>като взе предвид кодекса за поведение на Управителния комитет на групата на ЕИБ, публикуван на 14 октомври 2021 г.,</w:t>
      </w:r>
    </w:p>
    <w:p w:rsidR="004A012D" w:rsidRPr="0007422B" w:rsidRDefault="004A012D" w:rsidP="004A012D">
      <w:pPr>
        <w:pStyle w:val="NormalHanging12a"/>
      </w:pPr>
      <w:r w:rsidRPr="0007422B">
        <w:t>–</w:t>
      </w:r>
      <w:r w:rsidRPr="0007422B">
        <w:tab/>
        <w:t>като взе предвид публикацията на ЕИБ от 27 ноември 2023 г., озаглавена „EIB Group PATH Framework – Version 1.2 November 2023 – Supporting counterparties on their pathways to align with the Paris Agreement“ (Рамката PATH на групата на ЕИБ – версия 1.2 ноември 2023 г. – Подкрепа на контрагентите по пътя им към постигане на съответствие с Парижкото споразумение),</w:t>
      </w:r>
    </w:p>
    <w:p w:rsidR="004A012D" w:rsidRPr="0007422B" w:rsidRDefault="004A012D" w:rsidP="004A012D">
      <w:pPr>
        <w:pStyle w:val="NormalHanging12a"/>
      </w:pPr>
      <w:r w:rsidRPr="0007422B">
        <w:t>–</w:t>
      </w:r>
      <w:r w:rsidRPr="0007422B">
        <w:tab/>
        <w:t>като взе предвид пакета за солидарност на ЕИБ за Украйна, одобрен от Съвета на директорите на ЕИБ на 4 март 2022 г.,</w:t>
      </w:r>
    </w:p>
    <w:p w:rsidR="004A012D" w:rsidRPr="0007422B" w:rsidRDefault="004A012D" w:rsidP="004A012D">
      <w:pPr>
        <w:pStyle w:val="NormalHanging12a"/>
      </w:pPr>
      <w:r w:rsidRPr="0007422B">
        <w:t>–</w:t>
      </w:r>
      <w:r w:rsidRPr="0007422B">
        <w:tab/>
        <w:t>като взе предвид съобщението на Комисията от 20 май 2020 г., озаглавено „Стратегия на ЕС за биологичното разнообразие за 2030 г. – Да осигурим полагащото се място на природата в нашия живот“ (COM(2020)0380),</w:t>
      </w:r>
    </w:p>
    <w:p w:rsidR="004A012D" w:rsidRPr="0007422B" w:rsidRDefault="004A012D" w:rsidP="004A012D">
      <w:pPr>
        <w:pStyle w:val="NormalHanging12a"/>
      </w:pPr>
      <w:r w:rsidRPr="0007422B">
        <w:t>–</w:t>
      </w:r>
      <w:r w:rsidRPr="0007422B">
        <w:tab/>
        <w:t>като взе предвид съобщението на Комисията от 20 май 2020 г., озаглавено „Стратегия „От фермата до трапезата“ за справедлива, здравословна и екологосъобразна продоволствена система“ (COM(2020)0381),</w:t>
      </w:r>
    </w:p>
    <w:p w:rsidR="004A012D" w:rsidRPr="0007422B" w:rsidRDefault="004A012D" w:rsidP="004A012D">
      <w:pPr>
        <w:pStyle w:val="NormalHanging12a"/>
      </w:pPr>
      <w:r w:rsidRPr="0007422B">
        <w:t>–</w:t>
      </w:r>
      <w:r w:rsidRPr="0007422B">
        <w:tab/>
        <w:t>като взе предвид съобщението на Комисията от 12 май 2021 г., озаглавено „Път към здравословна планета за всички – План за действие на ЕС: Към нулево замърсяване на въздуха, водата и почвата“ (COM(2021)0400).</w:t>
      </w:r>
    </w:p>
    <w:p w:rsidR="004A012D" w:rsidRPr="0007422B" w:rsidRDefault="004A012D" w:rsidP="004A012D">
      <w:pPr>
        <w:pStyle w:val="NormalHanging12a"/>
      </w:pPr>
      <w:r w:rsidRPr="0007422B">
        <w:t>–</w:t>
      </w:r>
      <w:r w:rsidRPr="0007422B">
        <w:tab/>
        <w:t>като взе предвид съобщението на Комисията от 1 февруари 2023 г., озаглавено „Промишлен план на Зеления пакт за ерата на нулеви нетни емисии“ (COM(2023)0062),</w:t>
      </w:r>
    </w:p>
    <w:p w:rsidR="004A012D" w:rsidRPr="0007422B" w:rsidRDefault="004A012D" w:rsidP="004A012D">
      <w:pPr>
        <w:pStyle w:val="NormalHanging12a"/>
      </w:pPr>
      <w:r w:rsidRPr="0007422B">
        <w:t>–</w:t>
      </w:r>
      <w:r w:rsidRPr="0007422B">
        <w:tab/>
        <w:t>като взе предвид Регламент (ЕС) 2021/1056 на Европейския парламент и на Съвета от 24 юни 2021 г. за създаване на Фонда за справедлив преход</w:t>
      </w:r>
      <w:r w:rsidRPr="0007422B">
        <w:rPr>
          <w:rStyle w:val="FootnoteReference"/>
        </w:rPr>
        <w:footnoteReference w:id="1"/>
      </w:r>
      <w:r w:rsidRPr="0007422B">
        <w:t>,</w:t>
      </w:r>
    </w:p>
    <w:p w:rsidR="004A012D" w:rsidRPr="0007422B" w:rsidRDefault="004A012D" w:rsidP="004A012D">
      <w:pPr>
        <w:pStyle w:val="NormalHanging12a"/>
      </w:pPr>
      <w:r w:rsidRPr="0007422B">
        <w:t>–</w:t>
      </w:r>
      <w:r w:rsidRPr="0007422B">
        <w:tab/>
        <w:t>като взе предвид Регламент (ЕС) 2021/1229 на Европейския парламент и на Съвета от 14 юли 2021 г. относно механизма за отпускане на заеми в публичния сектор в рамките на Механизма за справедлив преход</w:t>
      </w:r>
      <w:r w:rsidRPr="0007422B">
        <w:rPr>
          <w:rStyle w:val="FootnoteReference"/>
        </w:rPr>
        <w:footnoteReference w:id="2"/>
      </w:r>
      <w:r w:rsidRPr="0007422B">
        <w:t>,</w:t>
      </w:r>
    </w:p>
    <w:p w:rsidR="004A012D" w:rsidRPr="0007422B" w:rsidRDefault="004A012D" w:rsidP="004A012D">
      <w:pPr>
        <w:pStyle w:val="NormalHanging12a"/>
      </w:pPr>
      <w:r w:rsidRPr="0007422B">
        <w:t>–</w:t>
      </w:r>
      <w:r w:rsidRPr="0007422B">
        <w:tab/>
        <w:t>като взе предвид целите на ООН за устойчиво развитие,</w:t>
      </w:r>
    </w:p>
    <w:p w:rsidR="004A012D" w:rsidRPr="0007422B" w:rsidRDefault="004A012D" w:rsidP="004A012D">
      <w:pPr>
        <w:pStyle w:val="NormalHanging12a"/>
      </w:pPr>
      <w:r w:rsidRPr="0007422B">
        <w:t>–</w:t>
      </w:r>
      <w:r w:rsidRPr="0007422B">
        <w:tab/>
        <w:t>като взе предвид тристранното споразумение между Комисията, Европейската сметна палата и Европейската инвестиционна банка, което влезе в сила през ноември 2021 г.,</w:t>
      </w:r>
    </w:p>
    <w:p w:rsidR="004A012D" w:rsidRPr="0007422B" w:rsidRDefault="004A012D" w:rsidP="004A012D">
      <w:pPr>
        <w:pStyle w:val="NormalHanging12a"/>
      </w:pPr>
      <w:r w:rsidRPr="0007422B">
        <w:t>–</w:t>
      </w:r>
      <w:r w:rsidRPr="0007422B">
        <w:tab/>
        <w:t>като взе предвид писмото на Европейския омбудсман от 22 юли 2016 г. до председателя на ЕИБ относно въпроси, свързани с конфликт на интереси, и отговора на председателя на ЕИБ от 31 януари 2017 г.,</w:t>
      </w:r>
    </w:p>
    <w:p w:rsidR="004A012D" w:rsidRPr="0007422B" w:rsidRDefault="004A012D" w:rsidP="004A012D">
      <w:pPr>
        <w:pStyle w:val="NormalHanging12a"/>
      </w:pPr>
      <w:r w:rsidRPr="0007422B">
        <w:t>–</w:t>
      </w:r>
      <w:r w:rsidRPr="0007422B">
        <w:tab/>
        <w:t>като взе предвид препоръките на Европейския омбудсман от 20 ноември 2023 г. по случай 2252/2022/OAM,</w:t>
      </w:r>
    </w:p>
    <w:p w:rsidR="004A012D" w:rsidRPr="0007422B" w:rsidRDefault="004A012D" w:rsidP="004A012D">
      <w:pPr>
        <w:pStyle w:val="NormalHanging12a"/>
      </w:pPr>
      <w:r w:rsidRPr="0007422B">
        <w:lastRenderedPageBreak/>
        <w:t>–</w:t>
      </w:r>
      <w:r w:rsidRPr="0007422B">
        <w:tab/>
        <w:t>като взе предвид препоръките на Европейския омбудсман от 21 април 2022 г. по случай 1251/2020/PB,</w:t>
      </w:r>
    </w:p>
    <w:p w:rsidR="004A012D" w:rsidRPr="0007422B" w:rsidRDefault="004A012D" w:rsidP="004A012D">
      <w:pPr>
        <w:pStyle w:val="NormalHanging12a"/>
      </w:pPr>
      <w:r w:rsidRPr="0007422B">
        <w:t>–</w:t>
      </w:r>
      <w:r w:rsidRPr="0007422B">
        <w:tab/>
        <w:t>като взе предвид препоръките на Европейския омбудсман от 27 юли 2022 г. по случай 1016/2021/KR,</w:t>
      </w:r>
    </w:p>
    <w:p w:rsidR="004A012D" w:rsidRPr="0007422B" w:rsidRDefault="004A012D" w:rsidP="004A012D">
      <w:pPr>
        <w:pStyle w:val="NormalHanging12a"/>
      </w:pPr>
      <w:r w:rsidRPr="0007422B">
        <w:t>–</w:t>
      </w:r>
      <w:r w:rsidRPr="0007422B">
        <w:tab/>
        <w:t>като взе предвид член 54 от своя Правилник за дейността,</w:t>
      </w:r>
    </w:p>
    <w:p w:rsidR="004A012D" w:rsidRPr="0007422B" w:rsidRDefault="004A012D" w:rsidP="004A012D">
      <w:pPr>
        <w:pStyle w:val="NormalHanging12a"/>
      </w:pPr>
      <w:r w:rsidRPr="0007422B">
        <w:t>–</w:t>
      </w:r>
      <w:r w:rsidRPr="0007422B">
        <w:tab/>
        <w:t>като взе предвид доклада на комисията по бюджети (A9-0031/2024),</w:t>
      </w:r>
    </w:p>
    <w:p w:rsidR="004A012D" w:rsidRPr="0007422B" w:rsidRDefault="004A012D" w:rsidP="004A012D">
      <w:pPr>
        <w:pStyle w:val="NormalHanging12a"/>
      </w:pPr>
      <w:r w:rsidRPr="0007422B">
        <w:t>А.</w:t>
      </w:r>
      <w:r w:rsidRPr="0007422B">
        <w:tab/>
        <w:t>като има предвид, че групата на ЕИБ се състои от Европейската инвестиционна банка (ЕИБ) и Европейския инвестиционен фонд (ЕИФ) и е най-голямата многостранна финансова институция в света и един от най-големите източници на финансиране на борбата с изменението на климата, извършваща дейност на международните капиталови пазари, като предлага конкурентни условия на клиентите и благоприятни условия за подкрепа на политиките и проектите на ЕС както в Съюза, така и извън него;</w:t>
      </w:r>
    </w:p>
    <w:p w:rsidR="004A012D" w:rsidRPr="0007422B" w:rsidRDefault="004A012D" w:rsidP="004A012D">
      <w:pPr>
        <w:spacing w:after="240"/>
        <w:ind w:left="567" w:hanging="567"/>
      </w:pPr>
      <w:r w:rsidRPr="0007422B">
        <w:t>Б.</w:t>
      </w:r>
      <w:r w:rsidRPr="0007422B">
        <w:tab/>
        <w:t>като има предвид, че съгласно член 309 от ДФЕС ЕИБ има за задача да допринася за постигането на целите на ЕС;</w:t>
      </w:r>
    </w:p>
    <w:p w:rsidR="004A012D" w:rsidRPr="0007422B" w:rsidRDefault="004A012D" w:rsidP="004A012D">
      <w:pPr>
        <w:spacing w:after="240"/>
        <w:ind w:left="567" w:hanging="567"/>
      </w:pPr>
      <w:r w:rsidRPr="0007422B">
        <w:t>В.</w:t>
      </w:r>
      <w:r w:rsidRPr="0007422B">
        <w:tab/>
        <w:t>като има предвид, че за да се постигнат целите на ЕС в областта на климата, в ЕС са необходими инвестиции в размер на 1 трилион евро годишно; като има предвид, че ЕИБ може да спомогне за преодоляване на недостига чрез привличане на частен капитал;</w:t>
      </w:r>
    </w:p>
    <w:p w:rsidR="004A012D" w:rsidRPr="0007422B" w:rsidRDefault="004A012D" w:rsidP="004A012D">
      <w:pPr>
        <w:pStyle w:val="NormalHanging12a"/>
      </w:pPr>
      <w:r w:rsidRPr="0007422B">
        <w:t>Г.</w:t>
      </w:r>
      <w:r w:rsidRPr="0007422B">
        <w:tab/>
        <w:t>като има предвид, че през периода 2021 – 2027 г. гаранцията на InvestEU в размер на 26,2 милиарда евро, с провизиране от многогодишната финансова рамка и Next Generation EU, се очаква да мобилизира над 372 милиарда евро допълнителни частни и публични инвестиции в Европа, главно за устойчива инфраструктура, научни изследвания, иновации и цифровизация, малки и средни предприятия (МСП) и социални инвестиции и умения;</w:t>
      </w:r>
    </w:p>
    <w:p w:rsidR="004A012D" w:rsidRPr="0007422B" w:rsidRDefault="004A012D" w:rsidP="004A012D">
      <w:pPr>
        <w:pStyle w:val="NormalHanging12a"/>
      </w:pPr>
      <w:r w:rsidRPr="0007422B">
        <w:rPr>
          <w:b/>
          <w:i/>
        </w:rPr>
        <w:t>Преглед на политиките и операциите</w:t>
      </w:r>
    </w:p>
    <w:p w:rsidR="004A012D" w:rsidRPr="0007422B" w:rsidRDefault="004A012D" w:rsidP="004A012D">
      <w:pPr>
        <w:pStyle w:val="NormalHanging12a"/>
      </w:pPr>
      <w:r w:rsidRPr="0007422B">
        <w:t>1.</w:t>
      </w:r>
      <w:r w:rsidRPr="0007422B">
        <w:tab/>
        <w:t>отново подчертава важната роля на ЕИБ като публичната банка на ЕС и като единствената международна финансова институция, изцяло притежавана от държавите членки, която се ръководи напълно от политиките на ЕС и се подчинява на правните стандарти на ЕС с цел подпомагане на социалното и икономическото възстановяване и насочване на инвестициите, необходими за постигане на целите на Съюза;</w:t>
      </w:r>
    </w:p>
    <w:p w:rsidR="004A012D" w:rsidRPr="0007422B" w:rsidRDefault="004A012D" w:rsidP="004A012D">
      <w:pPr>
        <w:pStyle w:val="NormalHanging12a"/>
      </w:pPr>
      <w:r w:rsidRPr="0007422B">
        <w:t>2.</w:t>
      </w:r>
      <w:r w:rsidRPr="0007422B">
        <w:tab/>
        <w:t>оценява факта, че ЕИБ е винаги готова да се адаптира и променя в съответствие с променящите се изисквания на политиката на ЕС, като същевременно спазва дългосрочните си цели;</w:t>
      </w:r>
    </w:p>
    <w:p w:rsidR="004A012D" w:rsidRPr="0007422B" w:rsidRDefault="004A012D" w:rsidP="004A012D">
      <w:pPr>
        <w:pStyle w:val="NormalHanging12a"/>
      </w:pPr>
      <w:r w:rsidRPr="0007422B">
        <w:t>3.</w:t>
      </w:r>
      <w:r w:rsidRPr="0007422B">
        <w:tab/>
        <w:t xml:space="preserve">отново призовава за увеличаване на капитала, за да се позволи на ЕИБ да предоставя по-дългосрочна подлежаща на възстановяване финансова подкрепа и иновативни инструменти; отбелязва, че това е необходимо за справедлив приобщаващ устойчив растеж в подкрепа на ключови инвестиции в реалната икономика, които иначе не биха били направени и които имат потенциала да увеличат максимално ползите от иновациите в ключови области на политиката на ЕС, като цифровизацията и екологичния преход; отбелязва, че тези инвестиции </w:t>
      </w:r>
      <w:r w:rsidRPr="0007422B">
        <w:lastRenderedPageBreak/>
        <w:t>следва да спомогнат за намаляване на ограниченията пред конкурентоспособността, като например високите цени на енергията, недостига на умения и недостатъчните инвестиции в иновации и нови технологии, както и да спомогнат за прилагането на Европейския стълб на социалните права и целите на ООН за устойчиво развитие; очаква ЕИБ да гарантира, че нейното финансиране допринася за преодоляване на неефективността на пазара и избягва ефектите на изместване и че то има измеримо въздействие, без да се нарушава цялостната привлекателност на финансовото ѝ предлагане;</w:t>
      </w:r>
    </w:p>
    <w:p w:rsidR="004A012D" w:rsidRPr="0007422B" w:rsidRDefault="004A012D" w:rsidP="004A012D">
      <w:pPr>
        <w:pStyle w:val="NormalHanging12a"/>
      </w:pPr>
      <w:r w:rsidRPr="0007422B">
        <w:t>4.</w:t>
      </w:r>
      <w:r w:rsidRPr="0007422B">
        <w:tab/>
        <w:t>подчертава, че ЕИБ трябва да задържи своя кредитен рейтинг ААА и да запази пълното доверие на капиталовите пазари в своите дейности;</w:t>
      </w:r>
    </w:p>
    <w:p w:rsidR="004A012D" w:rsidRPr="0007422B" w:rsidRDefault="004A012D" w:rsidP="004A012D">
      <w:pPr>
        <w:pStyle w:val="NormalHanging12a"/>
      </w:pPr>
      <w:r w:rsidRPr="0007422B">
        <w:t>5.</w:t>
      </w:r>
      <w:r w:rsidRPr="0007422B">
        <w:tab/>
        <w:t>отбелязва, че финансирането от ЕИБ играе все по-важна роля в контекста на значителните социални и икономически последици, произтичащи от кризата с COVID-19 и впоследствие от нахлуването в Украйна, по-специално инфлацията, високите лихвени проценти и изложените на натиск публични финанси; отбелязва освен това по-голямата роля на финансирането от ЕИБ в контекста на трудните икономически перспективи и засилената конкуренция в световен мащаб, които също оказват въздействие върху текущите проекти;</w:t>
      </w:r>
    </w:p>
    <w:p w:rsidR="004A012D" w:rsidRPr="0007422B" w:rsidRDefault="004A012D" w:rsidP="004A012D">
      <w:pPr>
        <w:pStyle w:val="NormalHanging12a"/>
      </w:pPr>
      <w:r w:rsidRPr="0007422B">
        <w:t>6.</w:t>
      </w:r>
      <w:r w:rsidRPr="0007422B">
        <w:tab/>
        <w:t>счита, че ЕИБ би могла да направи повече, за да засили баланса между секторите и да се адаптира към многообразието на регионите на ЕС, за да увеличи привлекателността на своите фондове; призовава ЕИБ да предприеме действия за отстраняване на системните недостатъци, които възпрепятстват определени региони или държави да се възползват пълноценно от нейните финансови дейности, като същевременно се зачита ориентираният към търсенето характер на операциите на ЕИБ по финансиране; приканва Комисията да оцени дали географското разпределение на финансирането по InvestEU е балансирано, особено що се отнася до по-малките държави членки;</w:t>
      </w:r>
    </w:p>
    <w:p w:rsidR="004A012D" w:rsidRPr="0007422B" w:rsidRDefault="004A012D" w:rsidP="004A012D">
      <w:pPr>
        <w:pStyle w:val="NormalHanging12a"/>
      </w:pPr>
      <w:r w:rsidRPr="0007422B">
        <w:t>7.</w:t>
      </w:r>
      <w:r w:rsidRPr="0007422B">
        <w:tab/>
        <w:t>призовава ЕИБ да подкрепя проекти, които допринасят за изпълнението на Европейския стълб на социалните права и целите на ООН за устойчиво развитие и които засилват социалното приобщаване и намаляването на неравенствата в съответствие с екологичните и социалните стандарти; призовава ЕИБ да разшири ролята си за оценяване и преодоляване на недостига на инвестиции в социалната инфраструктура и социалното благоденствие, като достъпни и енергийно ефективни социални жилища, публично здравеопазване, комунални услуги, обществен транспорт, устойчив транспорт, култура и образование, като същевременно гарантира възможност за добавяне и взаимно допълване с други публични средства и с търговските кредитори; приканва ЕИБ да увеличи коефициента на социалните ползи при оценяването на проекти, за да осигури дългосрочни решения на достъпни цени в контекста на кризата с разходите за живот и предизвикателствата пред домакинствата в Европейския съюз, възникващи от цялостната икономическа перспектива; приканва ЕИБ да увеличи поемането на риск за проекти, предоставящи основни услуги с дългосрочни ясни и измерими ползи; призовава ЕИБ, винаги когато това е възможно, да дава финансов приоритет на проекти, включващи уязвими или маргинализирани хора, особено млади хора, и ръководени от гражданите проекти;</w:t>
      </w:r>
    </w:p>
    <w:p w:rsidR="004A012D" w:rsidRPr="0007422B" w:rsidRDefault="004A012D" w:rsidP="004A012D">
      <w:pPr>
        <w:pStyle w:val="Normal12a24b"/>
        <w:spacing w:before="0"/>
        <w:rPr>
          <w:rStyle w:val="BoldItalic"/>
        </w:rPr>
      </w:pPr>
      <w:r w:rsidRPr="0007422B">
        <w:rPr>
          <w:rStyle w:val="BoldItalic"/>
        </w:rPr>
        <w:t>Банката на ЕС за климата: действия в областта на климата и цели за устойчивост на околната среда</w:t>
      </w:r>
    </w:p>
    <w:p w:rsidR="004A012D" w:rsidRPr="0007422B" w:rsidRDefault="004A012D" w:rsidP="004A012D">
      <w:pPr>
        <w:pStyle w:val="NormalHanging12a"/>
      </w:pPr>
      <w:r w:rsidRPr="0007422B">
        <w:lastRenderedPageBreak/>
        <w:t>8.</w:t>
      </w:r>
      <w:r w:rsidRPr="0007422B">
        <w:tab/>
        <w:t>отбелязва констатациите в инвестиционния доклад на ЕИБ за 2022 – 2023 г., озаглавен „Устойчивост и обновяване в Европа“, в който се анализират инвестициите в действия за климата в ЕС и инвестиционните пропуски в различни сектори; отбелязва също така оперативния план на групата на ЕИБ за 2023 – 2025 г., който потвърждава привеждането на ЕИБ в съответствие с политическите приоритети на ЕС и ангажимента ѝ да засили амбицията си за цифровия и екологичния преход; призовава Комисията да разработи метод за оценка на недостига на екологосъобразно финансиране в ЕС и да оцени потенциалната роля на ЕИБ за преодоляване на този недостиг на финансиране;</w:t>
      </w:r>
    </w:p>
    <w:p w:rsidR="004A012D" w:rsidRPr="0007422B" w:rsidRDefault="004A012D" w:rsidP="004A012D">
      <w:pPr>
        <w:pStyle w:val="NormalHanging12a"/>
      </w:pPr>
      <w:r w:rsidRPr="0007422B">
        <w:t>9.</w:t>
      </w:r>
      <w:r w:rsidRPr="0007422B">
        <w:tab/>
        <w:t>припомня, че ЕИБ е най-големият в света емитент на „зелени“ облигации в различни валути; посочва, че увеличаването на дела на деноминираните в евро облигации би засилило допълнително международната роля на еврото;</w:t>
      </w:r>
    </w:p>
    <w:p w:rsidR="004A012D" w:rsidRPr="0007422B" w:rsidRDefault="004A012D" w:rsidP="004A012D">
      <w:pPr>
        <w:pStyle w:val="NormalHanging12a"/>
      </w:pPr>
      <w:r w:rsidRPr="0007422B">
        <w:t>10.</w:t>
      </w:r>
      <w:r w:rsidRPr="0007422B">
        <w:tab/>
        <w:t>припомня, че екологичният преход трябва да бъде приобщаващ и справедлив и че „зелените“ инвестиции трябва да бъдат жизнеспособни, и поради това очаква от ЕИБ да мобилизира своите заеми, финансови инструменти, техническа помощ и консултантски услуги в подкрепа на гражданите и предприятията, изправени пред социално-икономически предизвикателства, произтичащи от усилията за постигане на неутралност по отношение на климата най-късно до 2050 г.; приканва ЕИБ да подкрепя проекти, осигуряващи достъп на приемливи цени до енергия от възобновяеми източници, жилищно настаняване и обществени услуги, водени от общностите инициативи и малки проекти със специален акцент върху борбата с енергийната бедност като приоритет;</w:t>
      </w:r>
    </w:p>
    <w:p w:rsidR="004A012D" w:rsidRPr="0007422B" w:rsidRDefault="004A012D" w:rsidP="004A012D">
      <w:pPr>
        <w:pStyle w:val="NormalHanging12a"/>
      </w:pPr>
      <w:r w:rsidRPr="0007422B">
        <w:t>11.</w:t>
      </w:r>
      <w:r w:rsidRPr="0007422B">
        <w:tab/>
        <w:t>приветства факта, че ЕИБ вече е постигнала целта си за заделяне на поне половината от своите ресурси за действия в областта на климата и устойчивостта на околната среда и че е на път да постигне целта си да подкрепи „зелени“ инвестиции в размер на 1 трилион евро до 2030 г.; очаква преразглеждането на пътната карта за банка за климата през 2024 г. да приведе ЕИБ в пълно съответствие с пътя за постигане на целта за 1,5 градуса и целта за неутралност по отношение на климата най-късно до 2050 г., като същевременно се гарантира справедлив преход за всички; счита, че референтният показател следва да се състои от най-амбициозните практики на публичните банки; отново призовава за включване на солидна оценка на алтернативите с по-нисък въглероден интензитет и на емисиите от обхват 3 за всеки проект;</w:t>
      </w:r>
    </w:p>
    <w:p w:rsidR="004A012D" w:rsidRPr="0007422B" w:rsidRDefault="004A012D" w:rsidP="004A012D">
      <w:pPr>
        <w:pStyle w:val="NormalHanging12a"/>
      </w:pPr>
      <w:r w:rsidRPr="0007422B">
        <w:t>12.</w:t>
      </w:r>
      <w:r w:rsidRPr="0007422B">
        <w:tab/>
        <w:t xml:space="preserve">приветства привеждането на контрагентите в съответствие с Парижкото споразумение (PATH) и очаква пълното му прилагане както по отношение на максималното намаляване на емисиите, така и по отношение на повишаването на устойчивостта спрямо изменението на климата; отбелязва отговора на ЕИБ на извънредната енергийна ситуация в ЕС чрез адаптиране на PATH; очаква освобождаванията, предоставени съгласно рамката PATH в подкрепа на REPowerEU, да бъдат извънредни, временни и напълно обосновани, за да може да се ускори екологичният преход и да се прекрати зависимостта на Европа от вноса на изкопаеми горива, включително от Русия; в този контекст приветства увеличаването на подкрепата от ЕИБ за REPowerEU на 45 милиарда евро през следващите години под формата на заеми и капиталово финансиране за проекти в областта на възобновяемите енергийни източници, енергийната ефективност, енергийните мрежи и акумулирането на енергия, инфраструктурата за зареждане на електрически превозни средства и революционните технологии; </w:t>
      </w:r>
    </w:p>
    <w:p w:rsidR="004A012D" w:rsidRPr="0007422B" w:rsidRDefault="004A012D" w:rsidP="004A012D">
      <w:pPr>
        <w:pStyle w:val="NormalHanging12a"/>
      </w:pPr>
      <w:r w:rsidRPr="0007422B">
        <w:lastRenderedPageBreak/>
        <w:t>13.</w:t>
      </w:r>
      <w:r w:rsidRPr="0007422B">
        <w:tab/>
        <w:t>припомня, че всички корпоративни клиенти на финансиране от ЕИБ са договорно задължени да създадат и публикуват надеждна стратегия за привеждане в съответствие с Парижкото споразумение (планове за декарбонизация), която да включва средносрочни, постоянни, количествени цели и варианти за намаляване на емисиите, обхващащи по-дълъг период от време, за да се постигне въглеродна неутралност най-късно до 2050 г.; очаква ЕИБ систематично да оценява надеждността на тези планове, като прилага критерии за декарбонизация, съвместими с целта за 1,5 градуса, преди да подпише какъвто и да било нов финансов ангажимент; отново призовава ЕИБ да работи само с клиенти и финансови посредници, които имат надеждни планове за декарбонизация, включително краткосрочни цели, които са съвместими с целта от 1,5 градуса и които ще бъдат въведени възможно най-скоро и най-късно до 2025 г.; подчертава, че подобни нови изисквания не трябва да бъдат в ущърб на достъпа до финансиране за МСП;</w:t>
      </w:r>
    </w:p>
    <w:p w:rsidR="004A012D" w:rsidRPr="0007422B" w:rsidRDefault="004A012D" w:rsidP="004A012D">
      <w:pPr>
        <w:pStyle w:val="NormalHanging12a"/>
      </w:pPr>
      <w:r w:rsidRPr="0007422B">
        <w:t>14.</w:t>
      </w:r>
      <w:r w:rsidRPr="0007422B">
        <w:tab/>
        <w:t>подчертава ключовата роля, която изпълнява ЕИБ за гарантирането на справедлив преход; призовава ЕИБ да намали минималния размер на заемите за отделни проекти или схеми за отпускане на заеми, които допринасят за справедливия преход; насърчава ЕИБ да засили сътрудничеството си с националните и регионалните финансови институции за осигуряване на целево финансиране; във връзка с това призовава ЕИБ да допринесе за постигането на целите на ЕС в областта на равенството между жените и мъжете; приветства участието на ЕИБ в Механизма на ЕС за справедлив преход с цел справяне със социално-икономическото въздействие на прехода към нисковъглеродна икономика и създаване на нови възможности за устойчиво развитие в отговарящите на условията региони;</w:t>
      </w:r>
    </w:p>
    <w:p w:rsidR="004A012D" w:rsidRPr="0007422B" w:rsidRDefault="004A012D" w:rsidP="004A012D">
      <w:pPr>
        <w:pStyle w:val="NormalHanging12a"/>
      </w:pPr>
      <w:r w:rsidRPr="0007422B">
        <w:t>15.</w:t>
      </w:r>
      <w:r w:rsidRPr="0007422B">
        <w:tab/>
        <w:t>призовава ЕИБ да адаптира дейностите си за избягване на риска, за да насочи частно финансиране към проекти, които имат високо равнище на допълняемост и допринасят за справедлив преход, без да се застрашава търговската жизнеспособност на нейния портфейл; приканва ЕИБ да извлече поуки от прилагането на продукти като фондовете за климата и инфраструктурата, включително значението на предоставянето на капитал чрез посредници и необходимостта от подобряване на съотношението „риск – възвръщаемост“ в по-малки по своите мащаби проекти за екологосъобразна инфраструктура;</w:t>
      </w:r>
    </w:p>
    <w:p w:rsidR="004A012D" w:rsidRPr="0007422B" w:rsidRDefault="004A012D" w:rsidP="004A012D">
      <w:pPr>
        <w:pStyle w:val="NormalHanging12a"/>
      </w:pPr>
      <w:r w:rsidRPr="0007422B">
        <w:t>16.</w:t>
      </w:r>
      <w:r w:rsidRPr="0007422B">
        <w:tab/>
        <w:t>приветства увеличените инвестиции във водород; настоява, че ролята на водорода е да допринесе за прехода към неутралност по отношение на климата чрез намаляване на емисиите от промишлени сектори, в които намаляването на емисиите е трудно; очаква да се гарантира допълняемост, за да се избегне отклоняване на ресурси от съществуващата електроенергия от възобновяеми източници съгласно относимия делегиран акт</w:t>
      </w:r>
      <w:r w:rsidRPr="0007422B">
        <w:rPr>
          <w:rStyle w:val="FootnoteReference"/>
        </w:rPr>
        <w:footnoteReference w:id="3"/>
      </w:r>
      <w:r w:rsidRPr="0007422B">
        <w:t xml:space="preserve">; изразява загриженост относно потенциалното въздействие на водородните проекти върху водоснабдяването в някои региони, както и върху биологичното разнообразие; приканва ЕИБ да </w:t>
      </w:r>
      <w:r w:rsidRPr="0007422B">
        <w:lastRenderedPageBreak/>
        <w:t>засили предоставянето на експертни консултации на екосистемата и пазара за водород на ЕС;</w:t>
      </w:r>
    </w:p>
    <w:p w:rsidR="004A012D" w:rsidRPr="0007422B" w:rsidRDefault="004A012D" w:rsidP="004A012D">
      <w:pPr>
        <w:pStyle w:val="NormalHanging12a"/>
      </w:pPr>
      <w:r w:rsidRPr="0007422B">
        <w:t>17.</w:t>
      </w:r>
      <w:r w:rsidRPr="0007422B">
        <w:tab/>
        <w:t>подчертава, че политиката на ЕИБ в областта на околната среда и социалната политика засилват ангажимента за насърчаване и изпълнение на целите на Конвенцията за биологичното разнообразие и глобалната рамка за биологичното разнообразие за периода след 2020 г., по-специално изискването финансираните проекти да не причиняват значителни вреди на биологичното разнообразие и екосистемите; приветства преминаването от „нулеви нетни загуби“ към „нулеви загуби“ на биологично разнообразие; изразява стремеж за пълно прилагане на политиката на ЕИБ в областта на околната среда и социалната политика, по-специално в проекти за енергия от възобновяеми източници; настоятелно призовава ЕИБ да приведе изцяло своята политика в областта на околната среда и социалната политика в съответствие с глобалната рамка за биологичното разнообразие за периода след 2020 г.;</w:t>
      </w:r>
    </w:p>
    <w:p w:rsidR="004A012D" w:rsidRPr="0007422B" w:rsidRDefault="004A012D" w:rsidP="004A012D">
      <w:pPr>
        <w:pStyle w:val="NormalHanging12a"/>
      </w:pPr>
      <w:r w:rsidRPr="0007422B">
        <w:t>18.</w:t>
      </w:r>
      <w:r w:rsidRPr="0007422B">
        <w:tab/>
        <w:t xml:space="preserve">приветства първите общи принципи за финансиране с положително въздействие върху природата, публикувани от ЕИБ заедно с други многостранни банки за развитие на 28-ата конференция на страните по РКООНИК (COP28); очаква ЕИБ да продължи да се ангажира по-активно с инвестиции с положително въздействие върху природата и увеличаване на биологичното разнообразие и в сектори с най-големи съпътстващи ползи за биологичното разнообразие, като например управление на водите, канализация, горско стопанство и океани, с най-високо равнище на почтеност и гаранции, особено по отношение на правата на местните общности, и като интегрира поуките, извлечени от Инструмента за финансиране на природен капитал; очаква от ЕИБ да увеличи финансирането на решения за намаляване на замърсяването с пластмаса; </w:t>
      </w:r>
    </w:p>
    <w:p w:rsidR="004A012D" w:rsidRPr="0007422B" w:rsidRDefault="004A012D" w:rsidP="004A012D">
      <w:pPr>
        <w:pStyle w:val="NormalHanging12a"/>
      </w:pPr>
      <w:r w:rsidRPr="0007422B">
        <w:t>19.</w:t>
      </w:r>
      <w:r w:rsidRPr="0007422B">
        <w:tab/>
        <w:t>очаква по-големи усилия за интегриране на природата в анализите и операциите за оценка на финансовия риск от загуба на биологично разнообразие на равнище контрагенти; очаква систематично да се включват положителни за природата елементи в мащабните инфраструктурни проекти, особено за инвестиции в градовете; предупреждава да не се допускат проекти, допринасящи за целите в областта на климата, които водят до унищожаване на биологично разнообразие;</w:t>
      </w:r>
    </w:p>
    <w:p w:rsidR="004A012D" w:rsidRPr="0007422B" w:rsidRDefault="004A012D" w:rsidP="004A012D">
      <w:pPr>
        <w:pStyle w:val="NormalHanging12a"/>
      </w:pPr>
      <w:r w:rsidRPr="0007422B">
        <w:t>20.</w:t>
      </w:r>
      <w:r w:rsidRPr="0007422B">
        <w:tab/>
        <w:t xml:space="preserve">отбелязва текущите преговори за суапове на дълг срещу природа; изразява загриженост относно адекватността на тези суапове за развитието и опазването и техните високи трансакционни разходи, особено след като предишни примери показаха, че тези опасения са основателни; подчертава необходимостта от високи равнища на прозрачност и ангажираност на държавите; </w:t>
      </w:r>
    </w:p>
    <w:p w:rsidR="004A012D" w:rsidRPr="0007422B" w:rsidRDefault="004A012D" w:rsidP="004A012D">
      <w:pPr>
        <w:pStyle w:val="NormalHanging12a"/>
      </w:pPr>
      <w:r w:rsidRPr="0007422B">
        <w:t>21.</w:t>
      </w:r>
      <w:r w:rsidRPr="0007422B">
        <w:tab/>
        <w:t xml:space="preserve">очаква ЕИБ да продължи да прилага строги стандарти за хуманно отношение към животните и приложимото законодателство, включително за развъждане и хранене в рибни стопанства, въз основа на най-високите стандарти, определени от ЕС и многостранните финансови институции; </w:t>
      </w:r>
    </w:p>
    <w:p w:rsidR="004A012D" w:rsidRPr="0007422B" w:rsidRDefault="004A012D" w:rsidP="004A012D">
      <w:pPr>
        <w:pStyle w:val="NormalHanging12a"/>
      </w:pPr>
      <w:r w:rsidRPr="0007422B">
        <w:t>22.</w:t>
      </w:r>
      <w:r w:rsidRPr="0007422B">
        <w:tab/>
        <w:t xml:space="preserve">подчертава, че сигурността на доставките на суровини от критично значение е решаващ фактор за екологичния и цифровия преход, за сектора на отбраната и за промишлената база на ЕС като цяло; припомня ролята на ЕИБ в Алианса на ЕС за суровините и целта на Съюза да стане по-автономен по отношение на доставките на суровини от критично значение; подчертава значението на подход на кръгова икономика към суровините от критично значение, основаващ се на рециклиране и </w:t>
      </w:r>
      <w:r w:rsidRPr="0007422B">
        <w:lastRenderedPageBreak/>
        <w:t>повторна употреба, за да се намали зависимостта на ЕС от трети държави и да се засили стратегическата му автономност; поради това призовава ЕИБ да инвестира повече в сектора на суровините от критично значение, за да се повиши устойчивостта по отношение на суровините, със специален акцент върху рециклирането на вторични суровини, и да насърчава решения, основаващи се на кръговата икономика, за да се подпомогне диверсификацията на доставките;</w:t>
      </w:r>
    </w:p>
    <w:p w:rsidR="004A012D" w:rsidRPr="0007422B" w:rsidRDefault="004A012D" w:rsidP="0056123A">
      <w:pPr>
        <w:pStyle w:val="NormalHanging12a"/>
        <w:ind w:left="0" w:firstLine="0"/>
        <w:rPr>
          <w:b/>
          <w:i/>
        </w:rPr>
      </w:pPr>
      <w:r w:rsidRPr="0007422B">
        <w:rPr>
          <w:b/>
          <w:i/>
        </w:rPr>
        <w:t>Подкрепа за иновациите, малките и средните предприятия, промишлеността и цифровизацията</w:t>
      </w:r>
    </w:p>
    <w:p w:rsidR="004A012D" w:rsidRPr="0007422B" w:rsidRDefault="004A012D" w:rsidP="004A012D">
      <w:pPr>
        <w:pStyle w:val="NormalHanging12a"/>
      </w:pPr>
      <w:r w:rsidRPr="0007422B">
        <w:t>23.</w:t>
      </w:r>
      <w:r w:rsidRPr="0007422B">
        <w:tab/>
        <w:t>припомня, че МСП са гръбнакът на икономиката на Европа; припомня, че 23-те милиона МСП в ЕС представляват 99% от всички предприятия, осигуряват около три четвърти от всички работни места и генерират над 50% от общата добавена стойност, произведена от предприятията в ЕС; подчертава, че подкрепата за МСП е ключова цел за групата на ЕИБ; посочва, че енергийната криза и последиците от войната на Русия в Украйна, както и увеличаващите се цени на суровините и повишаващите се лихвени проценти, пораждат допълнителни предизвикателства за МСП;</w:t>
      </w:r>
    </w:p>
    <w:p w:rsidR="004A012D" w:rsidRPr="0007422B" w:rsidRDefault="004A012D" w:rsidP="004A012D">
      <w:pPr>
        <w:spacing w:after="240"/>
        <w:ind w:left="567" w:hanging="567"/>
      </w:pPr>
      <w:r w:rsidRPr="0007422B">
        <w:t>24.</w:t>
      </w:r>
      <w:r w:rsidRPr="0007422B">
        <w:tab/>
        <w:t>припомня, че през 2022 г. групата на ЕИБ е предоставила финансиране в размер на общо 16,35 милиарда евро за МСП и дружества със средна пазарна капитализация; отбелязва, че според оценката на групата на ЕИБ между 2010 г. и 2020 г. операциите на групата на ЕИБ, които предоставят подкрепа за дълга на МСП, възлизат на почти 20 милиарда евро годишни нетни средства по договори; призовава групата на ЕИБ да обмисли начини за допълнително улесняване на подкрепата си за МСП, особено за по-малки проекти за финансиране;</w:t>
      </w:r>
    </w:p>
    <w:p w:rsidR="004A012D" w:rsidRPr="0007422B" w:rsidRDefault="004A012D" w:rsidP="004A012D">
      <w:pPr>
        <w:spacing w:after="240"/>
        <w:ind w:left="567" w:hanging="567"/>
      </w:pPr>
      <w:r w:rsidRPr="0007422B">
        <w:t>25.</w:t>
      </w:r>
      <w:r w:rsidRPr="0007422B">
        <w:tab/>
        <w:t>набляга на ролята на Европейския инвестиционен фонд за подобряване на достъпа до финансиране за по-малките дружества от ЕС, дружествата със средна пазарна капитализация и стартиращите предприятия, което представлява неговата подкрепа за предприемачеството, растежа, иновациите, научноизследователската и развойната дейност и заетостта в Съюза; посочва, че стабилните енергийни доставки на конкурентни цени са един от стълбовете на успешната промишлена политика, и по-специално на успешните МСП; призовава групата на ЕИБ да предостави допълнителен капитал за растеж, за да даде възможност на МСП да разширят дейността си; настоятелно призовава групата на ЕИБ да увеличи подкрепата, насочена към разрастването на европейските стартиращи предприятия, включително чрез поемане на по-големи рискове при отпускането на рисков капитал, за да се гарантира, че европейските стартиращи предприятия могат да се разрастват в рамките на ЕС, а не извън него;</w:t>
      </w:r>
    </w:p>
    <w:p w:rsidR="004A012D" w:rsidRPr="0007422B" w:rsidRDefault="004A012D" w:rsidP="004A012D">
      <w:pPr>
        <w:spacing w:after="240"/>
        <w:ind w:left="567" w:hanging="567"/>
      </w:pPr>
      <w:r w:rsidRPr="0007422B">
        <w:t>26.</w:t>
      </w:r>
      <w:r w:rsidRPr="0007422B">
        <w:tab/>
        <w:t>подчертава необходимостта ЕИФ да постави силен акцент върху проекти, създаващи и задържащи висококачествени работни места, в т.ч. проекти, насочени към справяне с нарастващия проблем на младежката безработица, като например т.нар. дуален модел на обучение, който се оказа ефективен и успешен в някои държави членки, с оглед на създаването на сигурни и висококачествени работни места;</w:t>
      </w:r>
    </w:p>
    <w:p w:rsidR="004A012D" w:rsidRPr="0007422B" w:rsidRDefault="004A012D" w:rsidP="004A012D">
      <w:pPr>
        <w:spacing w:after="240"/>
        <w:ind w:left="567" w:hanging="567"/>
      </w:pPr>
      <w:r w:rsidRPr="0007422B">
        <w:t>27.</w:t>
      </w:r>
      <w:r w:rsidRPr="0007422B">
        <w:tab/>
        <w:t xml:space="preserve">признава, че МСП често имат ограничени административни ресурси и техните разходи по заеми са по-високи в сравнение с тези на големите корпорации поради по-неблагоприятните условия за отпускане на банкови заеми, и счита, че е наложително да им се предложат инструменти за финансиране, които са прости и </w:t>
      </w:r>
      <w:r w:rsidRPr="0007422B">
        <w:lastRenderedPageBreak/>
        <w:t>лесно достъпни; поради това силно насърчава групата на ЕИБ да разработва своите програми по начин, който опростява административните процедури, като същевременно предоставя необходимата техническа помощ и подходящо финансиране за консултантски услуги и по този начин подобрява тяхната достъпност за МСП;</w:t>
      </w:r>
    </w:p>
    <w:p w:rsidR="004A012D" w:rsidRPr="0007422B" w:rsidRDefault="004A012D" w:rsidP="004A012D">
      <w:pPr>
        <w:pStyle w:val="NormalHanging12a"/>
      </w:pPr>
      <w:r w:rsidRPr="0007422B">
        <w:t>28.</w:t>
      </w:r>
      <w:r w:rsidRPr="0007422B">
        <w:tab/>
        <w:t>призовава отново групата на ЕИБ да допълни усилията си за изграждане на основани на данни решения, със специален акцент върху конкурентоспособността на МСП, и да съсредоточи инвестициите си в тази област към преодоляване на цифровото разделение както в рамките на ЕС, така и между ЕС и други по-напреднали в технологично отношение региони на света; призовава групата на ЕИБ да увеличи инвестициите в цифровизация, в разработването на авангардни технологии като ИИ и в повишаването на квалификацията и преквалификацията на работниците, които са от съществено значение за една силна промишлена база;</w:t>
      </w:r>
    </w:p>
    <w:p w:rsidR="004A012D" w:rsidRPr="0007422B" w:rsidRDefault="004A012D" w:rsidP="004A012D">
      <w:pPr>
        <w:pStyle w:val="Normal12a24b"/>
        <w:spacing w:before="0"/>
        <w:rPr>
          <w:rStyle w:val="BoldItalic"/>
        </w:rPr>
      </w:pPr>
      <w:r w:rsidRPr="0007422B">
        <w:rPr>
          <w:rStyle w:val="BoldItalic"/>
        </w:rPr>
        <w:t>Украйна</w:t>
      </w:r>
    </w:p>
    <w:p w:rsidR="004A012D" w:rsidRPr="0007422B" w:rsidRDefault="004A012D" w:rsidP="004A012D">
      <w:pPr>
        <w:pStyle w:val="NormalHanging12a"/>
      </w:pPr>
      <w:r w:rsidRPr="0007422B">
        <w:t>29.</w:t>
      </w:r>
      <w:r w:rsidRPr="0007422B">
        <w:tab/>
        <w:t>приветства инициативата „ЕС за Украйна“, стартирана от ЕИБ през март 2023 г. за финансиране на реконструкцията и възстановяването в Украйна, замислена като временна схема, която ще даде възможност на ЕИБ да продължи ангажимента си в страната, докато бъде въведена очакваната средносрочна подкрепа от ЕС; в този контекст припомня значението на бюджета на ЕС като гарант за дейността на ЕИБ, когато това включва предоставяне на заеми извън ЕС за изпълнението на програми на Съюза; призовава за увеличаване на гаранциите, предоставяни на ЕИБ от бюджета на ЕС, за да може ЕИБ да продължи да провежда жизненоважни операции в публичния и частния сектор в Украйна и да разширява дейността си в Глобалния юг; приветства факта, че всички действия на ЕИБ в Украйна се ръководят от приоритетите за социално, икономическо и екологическо възстановяване и реконструкция в съответствие с принципите „да изграждаме отново, но по-добре“ и ще бъдат изцяло приведени в съответствие с предстоящия план за Украйна; приветства компонента за техническа помощ, за да се гарантира оптимална подготовка и изпълнение на проектите, както и мерки за изграждане на капацитет; очаква, че предстоящата трета бърза оценка на щетите и потребностите, извършвана от Световната банка в координация с Комисията, ЕИБ и украинското правителство, ще установи значително по-големи потребности; приветства усилията на ЕИБ за предотвратяване, възпиране и разследване на измами и корупция във връзка с нейни проекти в Украйна;</w:t>
      </w:r>
    </w:p>
    <w:p w:rsidR="004A012D" w:rsidRPr="0007422B" w:rsidRDefault="004A012D" w:rsidP="004A012D">
      <w:pPr>
        <w:pStyle w:val="NormalHanging12a"/>
      </w:pPr>
      <w:r w:rsidRPr="0007422B">
        <w:t>30.</w:t>
      </w:r>
      <w:r w:rsidRPr="0007422B">
        <w:tab/>
        <w:t>подчертава факта, че агресивната война на Русия засегна и региони в ЕС и причини значителни икономически последици, особено в държавите на източната граница на ЕС и съседните държави, а така също и тежка хуманитарна криза; подчертава, че промените във веригите на доставки и търговските и икономическите отношения, причинени от войната, следва да бъдат взети предвид при бъдещото инвестиционно планиране; призовава ЕИБ да вземе предвид геополитическата ситуация и инвестициите, необходими в държавите на първа линия, включително инфраструктура и управление на границите;</w:t>
      </w:r>
    </w:p>
    <w:p w:rsidR="004A012D" w:rsidRPr="0007422B" w:rsidRDefault="004A012D" w:rsidP="004A012D">
      <w:pPr>
        <w:pStyle w:val="NormalHanging12a"/>
        <w:rPr>
          <w:iCs/>
        </w:rPr>
      </w:pPr>
      <w:r w:rsidRPr="0007422B">
        <w:t>31.</w:t>
      </w:r>
      <w:r w:rsidRPr="0007422B">
        <w:tab/>
        <w:t xml:space="preserve">припомня, че руската агресивна война срещу Украйна е повратен фактор, тъй като промени из основи обстановката със сигурността в Европа и изисква увеличаване на отбранителната готовност и следователно достатъчно инвестиции; подчертава необходимостта от възможно най-ефективно използване на всички инструменти, с които разполага ЕИБ; призовава ЕИБ да засили подкрепата си за Стратегическата </w:t>
      </w:r>
      <w:r w:rsidRPr="0007422B">
        <w:lastRenderedPageBreak/>
        <w:t>инициатива за европейска сигурност и за европейската отбранителна промишленост, включително МСП, по-специално за да допринесе за продължаване на подкрепата за Украйна;</w:t>
      </w:r>
      <w:r w:rsidR="00B340EA">
        <w:t xml:space="preserve"> </w:t>
      </w:r>
      <w:r w:rsidR="00B340EA" w:rsidRPr="00B340EA">
        <w:t>призовава ЕИБ да реформира своя списък за допустимост, така че боеприпасите и военното оборудване, които надхвърлят приложение с двойна употреба, вече да не се изключват от финансиране от ЕИБ;</w:t>
      </w:r>
    </w:p>
    <w:p w:rsidR="004A012D" w:rsidRPr="0007422B" w:rsidRDefault="004A012D" w:rsidP="004A012D">
      <w:pPr>
        <w:pStyle w:val="NormalHanging12a"/>
        <w:rPr>
          <w:rStyle w:val="BoldItalic"/>
        </w:rPr>
      </w:pPr>
      <w:r w:rsidRPr="0007422B">
        <w:rPr>
          <w:rStyle w:val="BoldItalic"/>
        </w:rPr>
        <w:t>ЕИБ Глобал</w:t>
      </w:r>
    </w:p>
    <w:p w:rsidR="004A012D" w:rsidRPr="0007422B" w:rsidRDefault="004A012D" w:rsidP="004A012D">
      <w:pPr>
        <w:pStyle w:val="NormalHanging12a"/>
      </w:pPr>
      <w:r w:rsidRPr="0007422B">
        <w:t>32.</w:t>
      </w:r>
      <w:r w:rsidRPr="0007422B">
        <w:tab/>
        <w:t xml:space="preserve">очаква дейностите на ЕИБ Глобал да бъдат съгласувани със стратегическите интереси на ЕС и целите на външната политика; приветства участието на ЕИБ в инициативата Global Gateway, която основно ще подкрепи инвестициите в инфраструктура и МСП, като по този начин ще допринесе за целта на ЕС за повишаване на неговата стратегическа автономност; очаква ЕИБ Глобал да гарантира, че инвестициите несъмнено са допълнителни, създават дългосрочно положително въздействие и са от полза за общностите получатели, като опазват природното и културното наследство, повишават устойчивостта спрямо изменението на климата, създават работни места на местно равнище, повишават жизнения стандарт и намаляват бедността; счита, че заинтересованите страни в държавата получател, като например публичните органи, гражданското общество и социалните партньори, трябва да бъдат включени в процеса на вземане на решения и прилагане на проекти по Global Gateway; припомня освен това, че успехът на ЕИБ Глобал зависи от подходящо равнище на персонал на място, включително местни работници; </w:t>
      </w:r>
    </w:p>
    <w:p w:rsidR="004A012D" w:rsidRPr="0007422B" w:rsidRDefault="004A012D" w:rsidP="004A012D">
      <w:pPr>
        <w:pStyle w:val="NormalHanging12a"/>
      </w:pPr>
      <w:r w:rsidRPr="0007422B">
        <w:t>33.</w:t>
      </w:r>
      <w:r w:rsidRPr="0007422B">
        <w:tab/>
        <w:t>отбелязва, че откакто беше създадено новото звено за развитие, ЕИБ Глобал отбеляза рекордно използване на специалния инвестиционен прозорец, предвиден в Инструмента за съседство, сътрудничество за развитие и международно сътрудничество – Глобална Европа, като през 2022 г. предостави над 10 милиарда евро, по-специално в подкрепа на Украйна и Global Gateway; отбелязва стратегическата пътна карта на ЕИБ Глобал и очакването, че тя ще улесни най-малко една трета от инвестициите в размер на 300 милиарда евро, които трябва да бъдат генерирани до края на 2027 г.; приветства целта през 2025 г. над 50% от годишното кредитиране да бъде насочено към инвестиции в действия за борба с изменението на климата и в екологична устойчивост; очаква, че финансирането ще допринесе за приобщаващ и справедлив преход в световен мащаб; освен това очаква ЕИБ Глобал да допринесе по съдържателен начин за постигане на целта на ЕС до 2025 г. 85% от всички нови външни действия да подкрепят равенството между половете; приветства напредъка, постигнат в създаването на фонда „Глобален портал“ (Global Gateway) в рамките на гаранцията от Европейския фонд за устойчиво развитие плюс, който се очаква да финансира инвестиции от частния сектор с голямо въздействие и да предоставя капиталово и дългово финансиране за проекти с голямо въздействие в областта на инфраструктурата, чистата енергия и човешкото развитие по целия свят; изразява загриженост относно липсата на приобщаващи и съдържателни консултации със заинтересованите страни, които са засегнати от неговите операции; призовава за по-голяма подкрепа за проекти с ограничена възможност за банково финансиране и висока публична възвращаемост, както и за намаляване на минималния размер на заемите за отделни проекти, по-специално в по-слабо развити държави;</w:t>
      </w:r>
    </w:p>
    <w:p w:rsidR="004A012D" w:rsidRPr="0007422B" w:rsidRDefault="004A012D" w:rsidP="004A012D">
      <w:pPr>
        <w:pStyle w:val="NormalHanging12a"/>
      </w:pPr>
      <w:r w:rsidRPr="0007422B">
        <w:t>34.</w:t>
      </w:r>
      <w:r w:rsidRPr="0007422B">
        <w:tab/>
        <w:t xml:space="preserve">отново призовава ЕИБ Глобал да ограничи операциите за смесено финансиране до области, в които те могат да добавят стойност към местната икономика, като </w:t>
      </w:r>
      <w:r w:rsidRPr="0007422B">
        <w:lastRenderedPageBreak/>
        <w:t>същевременно избягва изместването на частния капитал, и да гарантира, че смесеното финансиране не се използва за основни обществени услуги, и по-специално здравеопазване, образование и социална закрила; припомня, че целите на политиката на ЕС за развитие, и по-специално целта за подобряване на всеобщия и финансово приемлив достъп до здравеопазване, следва да направляват инвестициите на ЕИБ в тази област, за да се гарантират по-добри здравни резултати за всички, и особено за жените;</w:t>
      </w:r>
    </w:p>
    <w:p w:rsidR="004A012D" w:rsidRPr="0007422B" w:rsidRDefault="004A012D" w:rsidP="004A012D">
      <w:pPr>
        <w:pStyle w:val="NormalHanging12a"/>
      </w:pPr>
      <w:r w:rsidRPr="0007422B">
        <w:t>35.</w:t>
      </w:r>
      <w:r w:rsidRPr="0007422B">
        <w:tab/>
        <w:t>изразява загриженост относно бързо нарастващите нива на дълга и по-високите разходи по заеми в нововъзникващите и развиващите се икономики, като според оценките 60% от държавите с ниски доходи вече са в затруднено положение по отношение на публичния дълг или са изложени на висок риск от изпадане в такова положение</w:t>
      </w:r>
      <w:r w:rsidRPr="0007422B">
        <w:rPr>
          <w:vertAlign w:val="superscript"/>
        </w:rPr>
        <w:footnoteReference w:id="4"/>
      </w:r>
      <w:r w:rsidRPr="0007422B">
        <w:t>; подчертава важната роля на ЕИБ и на други многостранни институции за предоставяне на финансиране при облекчени условия за намаляване на неустойчивата задлъжнялост;</w:t>
      </w:r>
    </w:p>
    <w:p w:rsidR="004A012D" w:rsidRPr="0007422B" w:rsidRDefault="004A012D" w:rsidP="004A012D">
      <w:pPr>
        <w:pStyle w:val="NormalHanging12a"/>
      </w:pPr>
      <w:r w:rsidRPr="0007422B">
        <w:t>36.</w:t>
      </w:r>
      <w:r w:rsidRPr="0007422B">
        <w:tab/>
        <w:t>счита, че ЕИБ Глобал следва да носи отговорност за спазването на принципите, изложени в Парижката декларация за ефективност на помощта и в Програмата за действие от Акра (ангажираност, привеждане в съответствие, хармонизация, управление за постигане на резултати и взаимна отчетност); в този контекст изразява особена загриженост относно конфликта на интереси между агенциите за експортно кредитиране и финансирането на ЕИБ Глобал за развитие, както и относно въздействието върху допълняемостта в областта на развитието на засегнатите инвестиции на ЕИБ Глобал;</w:t>
      </w:r>
    </w:p>
    <w:p w:rsidR="004A012D" w:rsidRPr="0007422B" w:rsidRDefault="004A012D" w:rsidP="004A012D">
      <w:pPr>
        <w:pStyle w:val="NormalHanging12a"/>
      </w:pPr>
      <w:r w:rsidRPr="0007422B">
        <w:t>37.</w:t>
      </w:r>
      <w:r w:rsidRPr="0007422B">
        <w:tab/>
        <w:t>отбелязва информационната бележка на ЕИБ, обобщаваща нейния подход към правата на човека; припомня на ЕИБ колко е важно да интегрира правата на човека в своите процедури за надлежна проверка, да извършва оценки на въздействието върху правата на човека, да затвърди общия си ангажимент в областта на правата на човека и да действа в пълно съответствие с член 2 от ДФЕС; отново призовава за ясни и обвързващи правила, които да допълват информационната бележка, обобщаваща подхода на ЕИБ Глобал към правата на човека, по-специално относно оценката и оттеглянето от участие; изразява особена загриженост, че от 2015 г. насам ЕИБ не изисква от организаторите на проекти да извършват самостоятелни оценки на въздействието върху правата на човека; поради това призовава ЕИБ да представи стратегия за правата на човека, както и оценка на правата на човека и оценка на програмите си, включително на реалното положение на място, в държавите получатели, за да се гарантира, че с местните общности се провеждат консултации и че правото на свободно, предварително и информирано съгласие се зачита по систематичен начин; призовава ЕИБ освен това да разработи конкретни политики относно защитниците на правата на човека и протоколи в отговор на рисковете от репресии; подчертава, че следва да се предприемат специфични мерки за включване в консултациите на коренното население, жените, хората с увреждания и други уязвими групи;</w:t>
      </w:r>
    </w:p>
    <w:p w:rsidR="004A012D" w:rsidRPr="0007422B" w:rsidRDefault="004A012D" w:rsidP="004A012D">
      <w:pPr>
        <w:pStyle w:val="NormalHanging12a"/>
      </w:pPr>
      <w:r w:rsidRPr="0007422B">
        <w:t>38.</w:t>
      </w:r>
      <w:r w:rsidRPr="0007422B">
        <w:tab/>
        <w:t xml:space="preserve">отново отправя призив към ЕИБ да гарантира, че операциите ѝ са в полза на жените и момичетата и насърчаването на икономическото овластяване и заетостта </w:t>
      </w:r>
      <w:r w:rsidRPr="0007422B">
        <w:lastRenderedPageBreak/>
        <w:t>на жените; счита, че ЕИБ би могла да увеличи още повече микрокредитите, отпускани на предприятия, ръководени от жени, които все още се сблъскват с дискриминация при достъпа до финансиране;</w:t>
      </w:r>
    </w:p>
    <w:p w:rsidR="004A012D" w:rsidRPr="0007422B" w:rsidRDefault="004A012D" w:rsidP="004A012D">
      <w:pPr>
        <w:pStyle w:val="NormalHanging12a"/>
      </w:pPr>
      <w:r w:rsidRPr="0007422B">
        <w:t>39.</w:t>
      </w:r>
      <w:r w:rsidRPr="0007422B">
        <w:tab/>
        <w:t>изисква от ЕИБ да си сътрудничи с други двустранни и многостранни институции за разработване и прилагане на общи методики за анализ на въздействието върху развитието с оглед осигуряване на дългосрочно положително въздействие и добавена стойност;</w:t>
      </w:r>
    </w:p>
    <w:p w:rsidR="004A012D" w:rsidRPr="0007422B" w:rsidRDefault="004A012D" w:rsidP="004A012D">
      <w:pPr>
        <w:pStyle w:val="Normal12a24b"/>
      </w:pPr>
      <w:r w:rsidRPr="0007422B">
        <w:rPr>
          <w:rStyle w:val="BoldItalic"/>
        </w:rPr>
        <w:t>Прозрачност и управление</w:t>
      </w:r>
    </w:p>
    <w:p w:rsidR="004A012D" w:rsidRPr="0007422B" w:rsidRDefault="004A012D" w:rsidP="004A012D">
      <w:pPr>
        <w:pStyle w:val="NormalHanging12a"/>
        <w:rPr>
          <w:snapToGrid/>
          <w:szCs w:val="24"/>
        </w:rPr>
      </w:pPr>
      <w:r w:rsidRPr="0007422B">
        <w:t>40.</w:t>
      </w:r>
      <w:r w:rsidRPr="0007422B">
        <w:tab/>
        <w:t>припомня, че средствата на ЕИБ са публични средства и че тяхното използване следва винаги да подлежи на публичен контрол и отчетност; отчита, че ЕИБ се класира в категорията „задоволително“ (fair) според Индекса за прозрачност на чуждестранните преки инвестиции за 2023 г.; приканва ЕИБ да публикува проактивно и своевременно по-подробна информация относно проектите, включително обосновката и контекста на проектите, като обяснява как те се съгласуват с целите на политиката на ЕС и ги насърчават, и очаква ЕИБ да ограничи неоповестяването до приложимите изключения, изброени в Регламент (ЕО) № 1049/2001</w:t>
      </w:r>
      <w:r w:rsidRPr="0007422B">
        <w:rPr>
          <w:rStyle w:val="FootnoteReference"/>
        </w:rPr>
        <w:footnoteReference w:id="5"/>
      </w:r>
      <w:r w:rsidRPr="0007422B">
        <w:t xml:space="preserve"> и Регламент (ЕО) № 1367/2006</w:t>
      </w:r>
      <w:r w:rsidRPr="0007422B">
        <w:rPr>
          <w:rStyle w:val="FootnoteReference"/>
        </w:rPr>
        <w:footnoteReference w:id="6"/>
      </w:r>
      <w:r w:rsidRPr="0007422B">
        <w:t>; настоятелно призовава ЕИБ да изпълни препоръките на Европейския омбудсман от 20 ноември 2023 г. по случай 2252/2022/OAM и от 21 април 2022 г. по случай 1251/2020/PB, за да се даде възможност за съдържателна оценка на екологичните и социалните аспекти на проектите, които тя разглежда за финансиране;</w:t>
      </w:r>
    </w:p>
    <w:p w:rsidR="004A012D" w:rsidRPr="0007422B" w:rsidRDefault="004A012D" w:rsidP="004A012D">
      <w:pPr>
        <w:pStyle w:val="NormalHanging12a"/>
      </w:pPr>
      <w:r w:rsidRPr="0007422B">
        <w:t>41.</w:t>
      </w:r>
      <w:r w:rsidRPr="0007422B">
        <w:tab/>
        <w:t>призовава за засилена отчетност на ЕИБ пред институциите на ЕС, особено пред Парламента, тъй като прозрачността е един от крайъгълните камъни на демокрацията; поради това призовава ЕИБ да увеличи докладването пред Парламента относно своите решения, постигнатия напредък и въздействието на своите дейности по отпускане на заеми, по-специално чрез редовни структурирани диалози между Парламента и ЕИБ; повтаря призива си за междуинституционално споразумение между Парламента и ЕИБ с цел подобряване на достъпа до документи и данни на ЕИБ и повишаване на демократичната отчетност, включително възможност за внасяне на въпроси с искане за писмен отговор до ЕИБ, каквато вече съществува за Европейската централна банка;</w:t>
      </w:r>
    </w:p>
    <w:p w:rsidR="004A012D" w:rsidRPr="0007422B" w:rsidRDefault="004A012D" w:rsidP="004A012D">
      <w:pPr>
        <w:pStyle w:val="NormalHanging12a"/>
      </w:pPr>
      <w:r w:rsidRPr="0007422B">
        <w:t>42.</w:t>
      </w:r>
      <w:r w:rsidRPr="0007422B">
        <w:tab/>
        <w:t xml:space="preserve">отново призовава ЕИБ да укрепи политиката си за противодействие на данъчните измами, отклонението от данъчно облагане и избягването на данъци, включително като се въздържа от финансиране на бенефициери или финансови посредници с доказана отрицателна репутация; призовава ЕИБ да прилага превантивни мерки и редовни данъчни оценки по отношение на юрисдикциите, неоказващи съдействие за данъчни цели, и по отношение на данъчните и </w:t>
      </w:r>
      <w:r w:rsidRPr="0007422B">
        <w:lastRenderedPageBreak/>
        <w:t>фискалните измами, отклонението от данъчно облагане и незаконното и агресивното избягване на данъци;</w:t>
      </w:r>
    </w:p>
    <w:p w:rsidR="004A012D" w:rsidRPr="0007422B" w:rsidRDefault="004A012D" w:rsidP="004A012D">
      <w:pPr>
        <w:pStyle w:val="NormalHanging12a"/>
      </w:pPr>
      <w:r w:rsidRPr="0007422B">
        <w:t>43.</w:t>
      </w:r>
      <w:r w:rsidRPr="0007422B">
        <w:tab/>
        <w:t xml:space="preserve">насърчава заместник-председателите на ЕИБ да избягват да участват в предложения за проекти от своите държави на произход; приканва ЕИБ да изпълни изцяло всички препоръки на Омбудсмана от 27 юли 2022 г. по случай 1016/2021/KR и от 31 октомври 2023 г. по случай </w:t>
      </w:r>
      <w:hyperlink r:id="rId9" w:history="1">
        <w:r w:rsidRPr="0007422B">
          <w:rPr>
            <w:rStyle w:val="Hyperlink"/>
            <w:color w:val="auto"/>
            <w:shd w:val="clear" w:color="auto" w:fill="FFFFFF"/>
          </w:rPr>
          <w:t>611/2022/KR</w:t>
        </w:r>
      </w:hyperlink>
      <w:r w:rsidRPr="0007422B">
        <w:t xml:space="preserve">, що се отнася до дейностите на бивши членове на нейния Управителен комитет; приканва членовете на Управителния комитет на ЕИБ да публикуват планираните си срещи с външни заинтересовани страни и отново отправя искане за системно публикуване на съдържанието на заседанията на управителните органи на ЕИБ с цел по-нататъшно подобряване на прозрачността; </w:t>
      </w:r>
    </w:p>
    <w:p w:rsidR="004A012D" w:rsidRDefault="004A012D" w:rsidP="00B340EA">
      <w:pPr>
        <w:pStyle w:val="NormalHanging12a"/>
        <w:rPr>
          <w:snapToGrid/>
          <w:lang w:eastAsia="en-GB"/>
        </w:rPr>
      </w:pPr>
      <w:r w:rsidRPr="0007422B">
        <w:t>44.</w:t>
      </w:r>
      <w:r w:rsidRPr="0007422B">
        <w:tab/>
        <w:t xml:space="preserve">отбелязва, че ЕИБ е постигнала напредък в постигането на по-балансирана по отношение на пола работна сила, въпреки че жените продължават да бъдат недостатъчно представени на висши длъжности и в основни области на дейност; изразява съжаление, че ЕИБ не е постигнала целите си за равенство между половете, определени за жените на различни равнища в нейната Стратегия за многообразие и приобщаване за периода 2018 – 2021 г.; поради това призовава Банката да увеличи усилията си </w:t>
      </w:r>
      <w:r w:rsidR="00B340EA" w:rsidRPr="00B340EA">
        <w:t>подобряване на представеността на половете, за да се постигне равенство и по-добър баланс между тях във всички функции, и по-специално на висши и ръководни длъжности, като същевременно се запази географският баланс; призовава ЕИБ да продължи да насърчава всички форми на многообразие и приобщаване в рамките на своята организация и да определи амбициозни цели</w:t>
      </w:r>
      <w:r w:rsidRPr="0007422B">
        <w:t>;</w:t>
      </w:r>
    </w:p>
    <w:p w:rsidR="0056123A" w:rsidRDefault="0056123A" w:rsidP="0056123A">
      <w:pPr>
        <w:pStyle w:val="NormalHanging12a"/>
        <w:ind w:left="0" w:firstLine="0"/>
        <w:jc w:val="center"/>
      </w:pPr>
      <w:r>
        <w:t>°</w:t>
      </w:r>
    </w:p>
    <w:p w:rsidR="0056123A" w:rsidRDefault="0056123A" w:rsidP="0056123A">
      <w:pPr>
        <w:pStyle w:val="NormalHanging12a"/>
        <w:ind w:left="0" w:firstLine="0"/>
        <w:jc w:val="center"/>
      </w:pPr>
      <w:r>
        <w:t>°     °</w:t>
      </w:r>
    </w:p>
    <w:p w:rsidR="004A012D" w:rsidRPr="0007422B" w:rsidRDefault="004A012D" w:rsidP="004A012D">
      <w:pPr>
        <w:pStyle w:val="NormalHanging12a"/>
      </w:pPr>
      <w:r w:rsidRPr="0007422B">
        <w:t>45.</w:t>
      </w:r>
      <w:r w:rsidRPr="0007422B">
        <w:tab/>
        <w:t>възлага на своя председател да предаде настоящата резолюция на Съвета, Комисията и Европейската инвестиционна банка.</w:t>
      </w:r>
    </w:p>
    <w:p w:rsidR="00E365E1" w:rsidRPr="0007422B" w:rsidRDefault="00E365E1" w:rsidP="00C37EF1">
      <w:bookmarkStart w:id="9" w:name="TextBodyEnd"/>
      <w:bookmarkEnd w:id="9"/>
    </w:p>
    <w:sectPr w:rsidR="00E365E1" w:rsidRPr="0007422B" w:rsidSect="0007422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EF1" w:rsidRPr="0007422B" w:rsidRDefault="00C37EF1">
      <w:r w:rsidRPr="0007422B">
        <w:separator/>
      </w:r>
    </w:p>
  </w:endnote>
  <w:endnote w:type="continuationSeparator" w:id="0">
    <w:p w:rsidR="00C37EF1" w:rsidRPr="0007422B" w:rsidRDefault="00C37EF1">
      <w:r w:rsidRPr="00074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EF1" w:rsidRPr="0007422B" w:rsidRDefault="00C37EF1">
      <w:r w:rsidRPr="0007422B">
        <w:separator/>
      </w:r>
    </w:p>
  </w:footnote>
  <w:footnote w:type="continuationSeparator" w:id="0">
    <w:p w:rsidR="00C37EF1" w:rsidRPr="0007422B" w:rsidRDefault="00C37EF1">
      <w:r w:rsidRPr="0007422B">
        <w:continuationSeparator/>
      </w:r>
    </w:p>
  </w:footnote>
  <w:footnote w:id="1">
    <w:p w:rsidR="004A012D" w:rsidRPr="004412EA" w:rsidRDefault="004A012D" w:rsidP="0007422B">
      <w:pPr>
        <w:pStyle w:val="FootnoteText"/>
        <w:ind w:left="567" w:hanging="567"/>
        <w:rPr>
          <w:sz w:val="24"/>
          <w:u w:color="0000FF"/>
          <w:lang w:val="bg-BG"/>
        </w:rPr>
      </w:pPr>
      <w:r w:rsidRPr="0007422B">
        <w:rPr>
          <w:rStyle w:val="FootnoteReference"/>
          <w:sz w:val="24"/>
          <w:lang w:val="bg-BG"/>
        </w:rPr>
        <w:footnoteRef/>
      </w:r>
      <w:r w:rsidR="0007422B" w:rsidRPr="0007422B">
        <w:rPr>
          <w:sz w:val="24"/>
          <w:lang w:val="bg-BG"/>
        </w:rPr>
        <w:t xml:space="preserve"> </w:t>
      </w:r>
      <w:r w:rsidR="0007422B" w:rsidRPr="0007422B">
        <w:rPr>
          <w:sz w:val="24"/>
          <w:lang w:val="bg-BG"/>
        </w:rPr>
        <w:tab/>
      </w:r>
      <w:r w:rsidRPr="004412EA">
        <w:rPr>
          <w:sz w:val="24"/>
          <w:u w:color="0000FF"/>
          <w:lang w:val="bg-BG"/>
        </w:rPr>
        <w:t>ОВ L 231, 30.6.2021 г., стр. 1.</w:t>
      </w:r>
    </w:p>
  </w:footnote>
  <w:footnote w:id="2">
    <w:p w:rsidR="004A012D" w:rsidRPr="004412EA" w:rsidRDefault="004A012D" w:rsidP="0007422B">
      <w:pPr>
        <w:pStyle w:val="FootnoteText"/>
        <w:ind w:left="567" w:hanging="567"/>
        <w:rPr>
          <w:sz w:val="24"/>
          <w:u w:color="0000FF"/>
          <w:lang w:val="bg-BG"/>
        </w:rPr>
      </w:pPr>
      <w:r w:rsidRPr="004412EA">
        <w:rPr>
          <w:rStyle w:val="FootnoteReference"/>
          <w:sz w:val="24"/>
          <w:lang w:val="bg-BG"/>
        </w:rPr>
        <w:footnoteRef/>
      </w:r>
      <w:r w:rsidR="0007422B" w:rsidRPr="004412EA">
        <w:rPr>
          <w:sz w:val="24"/>
          <w:lang w:val="bg-BG"/>
        </w:rPr>
        <w:t xml:space="preserve"> </w:t>
      </w:r>
      <w:r w:rsidR="0007422B" w:rsidRPr="004412EA">
        <w:rPr>
          <w:sz w:val="24"/>
          <w:lang w:val="bg-BG"/>
        </w:rPr>
        <w:tab/>
      </w:r>
      <w:r w:rsidRPr="004412EA">
        <w:rPr>
          <w:sz w:val="24"/>
          <w:u w:color="0000FF"/>
          <w:lang w:val="bg-BG"/>
        </w:rPr>
        <w:t>ОВ L 274, 30.7.2021 г., стр. 1.</w:t>
      </w:r>
    </w:p>
  </w:footnote>
  <w:footnote w:id="3">
    <w:p w:rsidR="004A012D" w:rsidRPr="0007422B" w:rsidRDefault="004A012D" w:rsidP="0007422B">
      <w:pPr>
        <w:pStyle w:val="FootnoteText"/>
        <w:ind w:left="567" w:hanging="567"/>
        <w:rPr>
          <w:sz w:val="24"/>
          <w:lang w:val="bg-BG"/>
        </w:rPr>
      </w:pPr>
      <w:r w:rsidRPr="0007422B">
        <w:rPr>
          <w:rStyle w:val="FootnoteReference"/>
          <w:sz w:val="24"/>
          <w:lang w:val="bg-BG"/>
        </w:rPr>
        <w:footnoteRef/>
      </w:r>
      <w:r w:rsidR="0007422B" w:rsidRPr="0007422B">
        <w:rPr>
          <w:sz w:val="24"/>
          <w:lang w:val="bg-BG"/>
        </w:rPr>
        <w:t xml:space="preserve"> </w:t>
      </w:r>
      <w:r w:rsidR="0007422B" w:rsidRPr="0007422B">
        <w:rPr>
          <w:sz w:val="24"/>
          <w:lang w:val="bg-BG"/>
        </w:rPr>
        <w:tab/>
      </w:r>
      <w:r w:rsidRPr="0007422B">
        <w:rPr>
          <w:sz w:val="24"/>
          <w:lang w:val="bg-BG"/>
        </w:rPr>
        <w:t xml:space="preserve">Делегиран регламент (ЕС) 2023/1184 на Комисията от 10 февруари 2023 г. за допълване на Директива (ЕС) 2018/2001 на Европейския парламент и на Съвета чрез установяване на методология на Съюза за определяне на подробни правила за производството на възобновяеми течни и газообразни транспортни горива от небиологичен произход </w:t>
      </w:r>
      <w:r w:rsidR="004412EA">
        <w:rPr>
          <w:sz w:val="24"/>
          <w:lang w:val="bg-BG"/>
        </w:rPr>
        <w:t>(</w:t>
      </w:r>
      <w:r w:rsidRPr="0007422B">
        <w:rPr>
          <w:sz w:val="24"/>
          <w:lang w:val="bg-BG"/>
        </w:rPr>
        <w:t>OВ L 157, 20.6.2023 г., стp. 11</w:t>
      </w:r>
      <w:r w:rsidR="004412EA">
        <w:rPr>
          <w:sz w:val="24"/>
          <w:lang w:val="bg-BG"/>
        </w:rPr>
        <w:t>)</w:t>
      </w:r>
      <w:r w:rsidRPr="0007422B">
        <w:rPr>
          <w:sz w:val="24"/>
          <w:lang w:val="bg-BG"/>
        </w:rPr>
        <w:t>.</w:t>
      </w:r>
    </w:p>
  </w:footnote>
  <w:footnote w:id="4">
    <w:p w:rsidR="004A012D" w:rsidRPr="0007422B" w:rsidRDefault="004A012D" w:rsidP="0007422B">
      <w:pPr>
        <w:pStyle w:val="FootnoteText"/>
        <w:ind w:left="567" w:hanging="567"/>
        <w:rPr>
          <w:sz w:val="24"/>
          <w:lang w:val="bg-BG"/>
        </w:rPr>
      </w:pPr>
      <w:r w:rsidRPr="0007422B">
        <w:rPr>
          <w:rStyle w:val="FootnoteReference"/>
          <w:sz w:val="24"/>
          <w:lang w:val="bg-BG"/>
        </w:rPr>
        <w:footnoteRef/>
      </w:r>
      <w:r w:rsidR="0007422B" w:rsidRPr="0007422B">
        <w:rPr>
          <w:sz w:val="24"/>
          <w:lang w:val="bg-BG"/>
        </w:rPr>
        <w:t xml:space="preserve"> </w:t>
      </w:r>
      <w:r w:rsidR="0007422B" w:rsidRPr="0007422B">
        <w:rPr>
          <w:sz w:val="24"/>
          <w:lang w:val="bg-BG"/>
        </w:rPr>
        <w:tab/>
      </w:r>
      <w:r w:rsidRPr="0007422B">
        <w:rPr>
          <w:sz w:val="24"/>
          <w:lang w:val="bg-BG"/>
        </w:rPr>
        <w:t>Доклад на Световната банка, „Global Economic Prospects“ (Перспективи за световната икономика), януари 2024 г., https://www.worldbank.org/en/publication/global-economic-prospects.</w:t>
      </w:r>
    </w:p>
  </w:footnote>
  <w:footnote w:id="5">
    <w:p w:rsidR="004A012D" w:rsidRPr="0007422B" w:rsidRDefault="004A012D" w:rsidP="0007422B">
      <w:pPr>
        <w:pStyle w:val="FootnoteText"/>
        <w:ind w:left="567" w:hanging="567"/>
        <w:rPr>
          <w:sz w:val="24"/>
          <w:lang w:val="bg-BG"/>
        </w:rPr>
      </w:pPr>
      <w:r w:rsidRPr="0007422B">
        <w:rPr>
          <w:rStyle w:val="FootnoteReference"/>
          <w:sz w:val="24"/>
          <w:lang w:val="bg-BG"/>
        </w:rPr>
        <w:footnoteRef/>
      </w:r>
      <w:r w:rsidR="0007422B" w:rsidRPr="0007422B">
        <w:rPr>
          <w:sz w:val="24"/>
          <w:lang w:val="bg-BG"/>
        </w:rPr>
        <w:t xml:space="preserve"> </w:t>
      </w:r>
      <w:r w:rsidR="0007422B" w:rsidRPr="0007422B">
        <w:rPr>
          <w:sz w:val="24"/>
          <w:lang w:val="bg-BG"/>
        </w:rPr>
        <w:tab/>
      </w:r>
      <w:r w:rsidRPr="0007422B">
        <w:rPr>
          <w:sz w:val="24"/>
          <w:lang w:val="bg-BG"/>
        </w:rPr>
        <w:t xml:space="preserve">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w:t>
      </w:r>
      <w:r w:rsidR="004412EA">
        <w:rPr>
          <w:sz w:val="24"/>
          <w:lang w:val="bg-BG"/>
        </w:rPr>
        <w:t>(</w:t>
      </w:r>
      <w:r w:rsidRPr="0007422B">
        <w:rPr>
          <w:sz w:val="24"/>
          <w:lang w:val="bg-BG"/>
        </w:rPr>
        <w:t>ОВ L 145, 31.5.2001 г., стр. 43</w:t>
      </w:r>
      <w:r w:rsidR="004412EA">
        <w:rPr>
          <w:sz w:val="24"/>
          <w:lang w:val="bg-BG"/>
        </w:rPr>
        <w:t>)</w:t>
      </w:r>
      <w:r w:rsidRPr="0007422B">
        <w:rPr>
          <w:sz w:val="24"/>
          <w:lang w:val="bg-BG"/>
        </w:rPr>
        <w:t>.</w:t>
      </w:r>
    </w:p>
  </w:footnote>
  <w:footnote w:id="6">
    <w:p w:rsidR="004A012D" w:rsidRPr="0007422B" w:rsidRDefault="004A012D" w:rsidP="0007422B">
      <w:pPr>
        <w:pStyle w:val="FootnoteText"/>
        <w:ind w:left="567" w:hanging="567"/>
        <w:rPr>
          <w:sz w:val="24"/>
          <w:lang w:val="bg-BG"/>
        </w:rPr>
      </w:pPr>
      <w:r w:rsidRPr="0007422B">
        <w:rPr>
          <w:rStyle w:val="FootnoteReference"/>
          <w:sz w:val="24"/>
          <w:lang w:val="bg-BG"/>
        </w:rPr>
        <w:footnoteRef/>
      </w:r>
      <w:r w:rsidR="0007422B" w:rsidRPr="0007422B">
        <w:rPr>
          <w:sz w:val="24"/>
          <w:lang w:val="bg-BG"/>
        </w:rPr>
        <w:t xml:space="preserve"> </w:t>
      </w:r>
      <w:r w:rsidR="0007422B" w:rsidRPr="0007422B">
        <w:rPr>
          <w:sz w:val="24"/>
          <w:lang w:val="bg-BG"/>
        </w:rPr>
        <w:tab/>
      </w:r>
      <w:r w:rsidRPr="0007422B">
        <w:rPr>
          <w:sz w:val="24"/>
          <w:lang w:val="bg-BG"/>
        </w:rPr>
        <w:t xml:space="preserve">Регламент (ЕО) № 1367/2006 на Европейския парламент и на Съвета от 6 септември 2006 г. относно прилагането на разпоредбите на Орхуската конвенция за достъп до информация, публично участие в процеса на вземане на решения и достъп до правосъдие по въпроси на околната среда към институциите и органите на Общността </w:t>
      </w:r>
      <w:r w:rsidR="004412EA">
        <w:rPr>
          <w:sz w:val="24"/>
          <w:lang w:val="bg-BG"/>
        </w:rPr>
        <w:t>(</w:t>
      </w:r>
      <w:r w:rsidRPr="0007422B">
        <w:rPr>
          <w:sz w:val="24"/>
          <w:lang w:val="bg-BG"/>
        </w:rPr>
        <w:t>ОВ L 264, 25.9.2006 г</w:t>
      </w:r>
      <w:r w:rsidR="00B340EA">
        <w:rPr>
          <w:sz w:val="24"/>
          <w:lang w:val="bg-BG"/>
        </w:rPr>
        <w:t>.</w:t>
      </w:r>
      <w:r w:rsidRPr="0007422B">
        <w:rPr>
          <w:sz w:val="24"/>
          <w:lang w:val="bg-BG"/>
        </w:rPr>
        <w:t>, стр. 13</w:t>
      </w:r>
      <w:r w:rsidR="004412EA">
        <w:rPr>
          <w:sz w:val="24"/>
          <w:lang w:val="bg-BG"/>
        </w:rPr>
        <w:t>)</w:t>
      </w:r>
      <w:r w:rsidRPr="0007422B">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BG"/>
    <w:docVar w:name="dvnumam" w:val="0"/>
    <w:docVar w:name="dvpe" w:val="757.274"/>
    <w:docVar w:name="dvrapporteur" w:val="Докладчик: "/>
    <w:docVar w:name="dvtitre" w:val="Резолюция на Европейския парламент от ... 2024 г. относно финансовите дейности на Европейската инвестиционна банка – годишен доклад за 2023 г.(2023/2229(INI))"/>
  </w:docVars>
  <w:rsids>
    <w:rsidRoot w:val="00C37EF1"/>
    <w:rsid w:val="00002272"/>
    <w:rsid w:val="00064002"/>
    <w:rsid w:val="000677B9"/>
    <w:rsid w:val="0007422B"/>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2EA"/>
    <w:rsid w:val="00471C19"/>
    <w:rsid w:val="004867E3"/>
    <w:rsid w:val="00494A28"/>
    <w:rsid w:val="004A012D"/>
    <w:rsid w:val="004C0004"/>
    <w:rsid w:val="004C5D52"/>
    <w:rsid w:val="0050519A"/>
    <w:rsid w:val="005072A1"/>
    <w:rsid w:val="00514517"/>
    <w:rsid w:val="00545827"/>
    <w:rsid w:val="00560270"/>
    <w:rsid w:val="0056123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0EA"/>
    <w:rsid w:val="00B558F0"/>
    <w:rsid w:val="00BD48FE"/>
    <w:rsid w:val="00BD7BD8"/>
    <w:rsid w:val="00BE6ADC"/>
    <w:rsid w:val="00C05BFE"/>
    <w:rsid w:val="00C23CD4"/>
    <w:rsid w:val="00C37EF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9E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4F3EA5-69F2-4C66-B525-29494F9D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012D"/>
    <w:pPr>
      <w:spacing w:before="480" w:after="240"/>
    </w:pPr>
    <w:rPr>
      <w:snapToGrid w:val="0"/>
      <w:lang w:eastAsia="en-US"/>
    </w:rPr>
  </w:style>
  <w:style w:type="paragraph" w:customStyle="1" w:styleId="NormalHanging12a">
    <w:name w:val="NormalHanging12a"/>
    <w:basedOn w:val="Normal"/>
    <w:link w:val="NormalHanging12aChar"/>
    <w:rsid w:val="004A012D"/>
    <w:pPr>
      <w:widowControl/>
      <w:spacing w:after="240"/>
      <w:ind w:left="567" w:hanging="567"/>
    </w:pPr>
    <w:rPr>
      <w:snapToGrid w:val="0"/>
      <w:lang w:eastAsia="en-US"/>
    </w:rPr>
  </w:style>
  <w:style w:type="paragraph" w:customStyle="1" w:styleId="NormalCenter12a">
    <w:name w:val="NormalCenter12a"/>
    <w:basedOn w:val="Normal"/>
    <w:rsid w:val="004A012D"/>
    <w:pPr>
      <w:spacing w:after="240"/>
      <w:jc w:val="center"/>
    </w:pPr>
  </w:style>
  <w:style w:type="character" w:customStyle="1" w:styleId="BoldItalic">
    <w:name w:val="BoldItalic"/>
    <w:uiPriority w:val="1"/>
    <w:rsid w:val="004A012D"/>
    <w:rPr>
      <w:b/>
      <w:i/>
      <w:u w:val="none"/>
    </w:rPr>
  </w:style>
  <w:style w:type="character" w:customStyle="1" w:styleId="Italic">
    <w:name w:val="Italic"/>
    <w:uiPriority w:val="1"/>
    <w:rsid w:val="004A012D"/>
    <w:rPr>
      <w:i/>
    </w:rPr>
  </w:style>
  <w:style w:type="paragraph" w:customStyle="1" w:styleId="Normal12a24b">
    <w:name w:val="Normal12a24b"/>
    <w:basedOn w:val="Normal"/>
    <w:rsid w:val="004A012D"/>
    <w:pPr>
      <w:spacing w:before="360" w:after="240"/>
    </w:pPr>
    <w:rPr>
      <w:snapToGrid w:val="0"/>
      <w:lang w:eastAsia="en-US"/>
    </w:rPr>
  </w:style>
  <w:style w:type="character" w:customStyle="1" w:styleId="NormalHanging12aChar">
    <w:name w:val="NormalHanging12a Char"/>
    <w:basedOn w:val="DefaultParagraphFont"/>
    <w:link w:val="NormalHanging12a"/>
    <w:rsid w:val="004A012D"/>
    <w:rPr>
      <w:snapToGrid w:val="0"/>
      <w:sz w:val="24"/>
      <w:lang w:val="bg-BG" w:eastAsia="en-US"/>
    </w:rPr>
  </w:style>
  <w:style w:type="character" w:styleId="Hyperlink">
    <w:name w:val="Hyperlink"/>
    <w:basedOn w:val="DefaultParagraphFont"/>
    <w:uiPriority w:val="99"/>
    <w:unhideWhenUsed/>
    <w:rsid w:val="004A012D"/>
    <w:rPr>
      <w:color w:val="0563C1" w:themeColor="hyperlink"/>
      <w:u w:val="single"/>
    </w:rPr>
  </w:style>
  <w:style w:type="paragraph" w:styleId="BalloonText">
    <w:name w:val="Balloon Text"/>
    <w:basedOn w:val="Normal"/>
    <w:link w:val="BalloonTextChar"/>
    <w:rsid w:val="00B340EA"/>
    <w:rPr>
      <w:rFonts w:ascii="Segoe UI" w:hAnsi="Segoe UI" w:cs="Segoe UI"/>
      <w:sz w:val="18"/>
      <w:szCs w:val="18"/>
    </w:rPr>
  </w:style>
  <w:style w:type="character" w:customStyle="1" w:styleId="BalloonTextChar">
    <w:name w:val="Balloon Text Char"/>
    <w:basedOn w:val="DefaultParagraphFont"/>
    <w:link w:val="BalloonText"/>
    <w:rsid w:val="00B340E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mbudsman.europa.eu/en/case/en/61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3AE57-EE82-45F3-B9A0-26D55BAF4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5878</Words>
  <Characters>33510</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2024-02-29T08:11:00Z</dcterms:created>
  <dcterms:modified xsi:type="dcterms:W3CDTF">2024-02-29T08:11:00Z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A9-0031/2024</vt:lpwstr>
  </property>
  <property fmtid="{D5CDD505-2E9C-101B-9397-08002B2CF9AE}" pid="4" name="&lt;Type&gt;">
    <vt:lpwstr>RR</vt:lpwstr>
  </property>
</Properties>
</file>