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54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5477" w:rsidRDefault="008B3B9F" w:rsidP="0010095E">
            <w:pPr>
              <w:pStyle w:val="EPName"/>
            </w:pPr>
            <w:r w:rsidRPr="002D5477">
              <w:t>Evropský parlament</w:t>
            </w:r>
          </w:p>
          <w:p w:rsidR="00751A4A" w:rsidRPr="002D547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547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D5477" w:rsidRDefault="00187494" w:rsidP="0010095E">
            <w:pPr>
              <w:pStyle w:val="EPLogo"/>
            </w:pPr>
            <w:r w:rsidRPr="002D547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5477" w:rsidRDefault="00D058B8" w:rsidP="004C5D52">
      <w:pPr>
        <w:pStyle w:val="LineTop"/>
      </w:pPr>
    </w:p>
    <w:p w:rsidR="00680577" w:rsidRPr="002D5477" w:rsidRDefault="008B3B9F" w:rsidP="00680577">
      <w:pPr>
        <w:pStyle w:val="EPBodyTA1"/>
      </w:pPr>
      <w:r w:rsidRPr="002D5477">
        <w:t>PŘIJATÉ TEXTY</w:t>
      </w:r>
    </w:p>
    <w:p w:rsidR="00D058B8" w:rsidRPr="002D5477" w:rsidRDefault="00D058B8" w:rsidP="00D058B8">
      <w:pPr>
        <w:pStyle w:val="LineBottom"/>
      </w:pPr>
    </w:p>
    <w:p w:rsidR="008B3B9F" w:rsidRPr="002D5477" w:rsidRDefault="008B3B9F" w:rsidP="008B3B9F">
      <w:pPr>
        <w:pStyle w:val="ATHeading1"/>
      </w:pPr>
      <w:bookmarkStart w:id="0" w:name="TANumber"/>
      <w:r w:rsidRPr="002D5477">
        <w:t>P9_TA(2024)0</w:t>
      </w:r>
      <w:r w:rsidR="00FF21BF">
        <w:t>107</w:t>
      </w:r>
      <w:bookmarkEnd w:id="0"/>
    </w:p>
    <w:p w:rsidR="008B3B9F" w:rsidRPr="002D5477" w:rsidRDefault="00FF21BF" w:rsidP="008B3B9F">
      <w:pPr>
        <w:pStyle w:val="ATHeading2"/>
      </w:pPr>
      <w:r w:rsidRPr="00FF21BF">
        <w:t>Finanční aktivity Evropské investiční banky – výroční zpráva 2023</w:t>
      </w:r>
    </w:p>
    <w:p w:rsidR="008B3B9F" w:rsidRPr="002D5477" w:rsidRDefault="008B3B9F" w:rsidP="008B3B9F">
      <w:pPr>
        <w:rPr>
          <w:i/>
          <w:vanish/>
        </w:rPr>
      </w:pPr>
      <w:r w:rsidRPr="002D5477">
        <w:rPr>
          <w:i/>
        </w:rPr>
        <w:fldChar w:fldCharType="begin"/>
      </w:r>
      <w:r w:rsidRPr="002D5477">
        <w:rPr>
          <w:i/>
        </w:rPr>
        <w:instrText xml:space="preserve"> TC"(</w:instrText>
      </w:r>
      <w:bookmarkStart w:id="1" w:name="DocNumber"/>
      <w:r w:rsidRPr="002D5477">
        <w:rPr>
          <w:i/>
        </w:rPr>
        <w:instrText>A9-0031/2024</w:instrText>
      </w:r>
      <w:bookmarkEnd w:id="1"/>
      <w:r w:rsidRPr="002D5477">
        <w:rPr>
          <w:i/>
        </w:rPr>
        <w:instrText xml:space="preserve"> - Zpravodaj: David </w:instrText>
      </w:r>
      <w:proofErr w:type="spellStart"/>
      <w:r w:rsidRPr="002D5477">
        <w:rPr>
          <w:i/>
        </w:rPr>
        <w:instrText>Cormand</w:instrText>
      </w:r>
      <w:proofErr w:type="spellEnd"/>
      <w:r w:rsidRPr="002D5477">
        <w:rPr>
          <w:i/>
        </w:rPr>
        <w:instrText xml:space="preserve">)"\l3 \n&gt; \* MERGEFORMAT </w:instrText>
      </w:r>
      <w:r w:rsidRPr="002D5477">
        <w:rPr>
          <w:i/>
        </w:rPr>
        <w:fldChar w:fldCharType="end"/>
      </w:r>
    </w:p>
    <w:p w:rsidR="008B3B9F" w:rsidRPr="002D5477" w:rsidRDefault="008B3B9F" w:rsidP="008B3B9F">
      <w:pPr>
        <w:rPr>
          <w:vanish/>
        </w:rPr>
      </w:pPr>
      <w:bookmarkStart w:id="2" w:name="Commission"/>
      <w:r w:rsidRPr="002D5477">
        <w:rPr>
          <w:vanish/>
        </w:rPr>
        <w:t>Rozpočtový výbor</w:t>
      </w:r>
      <w:bookmarkEnd w:id="2"/>
    </w:p>
    <w:p w:rsidR="008B3B9F" w:rsidRPr="002D5477" w:rsidRDefault="008B3B9F" w:rsidP="008B3B9F">
      <w:pPr>
        <w:rPr>
          <w:vanish/>
        </w:rPr>
      </w:pPr>
      <w:bookmarkStart w:id="3" w:name="PE"/>
      <w:r w:rsidRPr="002D5477">
        <w:rPr>
          <w:vanish/>
        </w:rPr>
        <w:t>PE757.274</w:t>
      </w:r>
      <w:bookmarkEnd w:id="3"/>
    </w:p>
    <w:p w:rsidR="008B3B9F" w:rsidRPr="002D5477" w:rsidRDefault="008B3B9F" w:rsidP="008B3B9F">
      <w:pPr>
        <w:pStyle w:val="ATHeading3"/>
      </w:pPr>
      <w:bookmarkStart w:id="4" w:name="Sujet"/>
      <w:r w:rsidRPr="002D5477">
        <w:t xml:space="preserve">Usnesení </w:t>
      </w:r>
      <w:r w:rsidR="00FF21BF">
        <w:t>Evropského parlamentu ze dne 28</w:t>
      </w:r>
      <w:r w:rsidR="009D0D0C">
        <w:t>. února</w:t>
      </w:r>
      <w:r w:rsidRPr="002D5477">
        <w:t xml:space="preserve"> 2024 o finančních činnostech Evropské investiční banky – výroční zpráva za rok 2023</w:t>
      </w:r>
      <w:bookmarkEnd w:id="4"/>
      <w:r w:rsidRPr="002D5477">
        <w:t xml:space="preserve"> </w:t>
      </w:r>
      <w:bookmarkStart w:id="5" w:name="References"/>
      <w:r w:rsidRPr="002D5477">
        <w:t>(2023/2229(INI))</w:t>
      </w:r>
      <w:bookmarkEnd w:id="5"/>
    </w:p>
    <w:p w:rsidR="00DC783E" w:rsidRPr="002D5477" w:rsidRDefault="00DC783E" w:rsidP="00DC783E">
      <w:pPr>
        <w:pStyle w:val="EPComma"/>
      </w:pPr>
      <w:bookmarkStart w:id="6" w:name="TextBodyBegin"/>
      <w:bookmarkEnd w:id="6"/>
      <w:r w:rsidRPr="002D5477">
        <w:rPr>
          <w:rStyle w:val="Italic"/>
        </w:rPr>
        <w:t>Evropský parlament</w:t>
      </w:r>
      <w:r w:rsidRPr="002D5477">
        <w:t>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články 2 a 3 Smlouvy o Evropské unii,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 ohledem na články 15, 126, 174, 175, 177, 208, 209, 271, 308 a 309 Smlouvy o fungování Evropské unie (dále jen „Smlouva o fungování EU“) a na protokol č. 5 o statutu Evropské investiční banky (EIB) připojený ke Smlouvám,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články 41–43 Smlouvy o založení Evropského společenství pro atomovou energii,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tiskovou zprávu EIB ze dne 7. října 2016, v níž vyjádřila souhlas s ratifikací Pařížské dohody ze strany EU,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zprávu EIB o činnosti v oblasti hodnocení operací za rok 2022 a pracovní program na období 2023–2025 zveřejněné dne 3. března 2023,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 ohledem na postupy v rámci mechanismu skupiny EIB pro vyřizování stížností, které byly zveřejněny dne 13. listopadu 2018,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publikaci EIB nazvanou „Úvěrová politika EIB v oblasti energetiky“ zveřejněnou dne 8. května 2023,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 ohledem na klimatický plán skupiny EIB na období 2021–2025 přijatý správní radou EIB dne 11. listopadu 2020 a na strategii EIB v oblasti klimatu ze dne 15. listopadu 2020,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 ohledem na operační plán skupiny EIB na období 2023–2025 zveřejněný dne 2. února 2023,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zprávu EIB o investicích 2022/2023 nazvanou „Odolnost a obnova v Evropě“, která byla zveřejněna dne 28. února 2023,</w:t>
      </w:r>
    </w:p>
    <w:p w:rsidR="00DC783E" w:rsidRPr="002D5477" w:rsidRDefault="00DC783E" w:rsidP="00DC783E">
      <w:pPr>
        <w:pStyle w:val="NormalHanging12a"/>
      </w:pPr>
      <w:r w:rsidRPr="002D5477">
        <w:lastRenderedPageBreak/>
        <w:t>–</w:t>
      </w:r>
      <w:r w:rsidRPr="002D5477">
        <w:tab/>
        <w:t>s ohledem na zprávu o činnosti skupiny EIB za rok 2022 nazvanou „Bezpečná Evropa“, která byla zveřejněna dne 2. února 2023,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přehled o opatřeních EIB v oblasti klimatu a environmentální udržitelnosti 2023 zveřejněný dne 2. února 2023,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rámec EIB pro životní prostředí zveřejněný dne 14. listopadu 2022,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 ohledem na zprávu skupiny EIB o správě a řízení za rok 2022 zveřejněnou dne 8. září 2023,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 xml:space="preserve">s ohledem na publikaci EIB ze dne 29. listopadu 2023 nazvanou „EIB </w:t>
      </w:r>
      <w:proofErr w:type="spellStart"/>
      <w:r w:rsidRPr="002D5477">
        <w:t>Global</w:t>
      </w:r>
      <w:proofErr w:type="spellEnd"/>
      <w:r w:rsidRPr="002D5477">
        <w:t xml:space="preserve"> </w:t>
      </w:r>
      <w:proofErr w:type="spellStart"/>
      <w:r w:rsidRPr="002D5477">
        <w:t>Strategic</w:t>
      </w:r>
      <w:proofErr w:type="spellEnd"/>
      <w:r w:rsidRPr="002D5477">
        <w:t xml:space="preserve"> </w:t>
      </w:r>
      <w:proofErr w:type="spellStart"/>
      <w:r w:rsidRPr="002D5477">
        <w:t>Roadmap</w:t>
      </w:r>
      <w:proofErr w:type="spellEnd"/>
      <w:r w:rsidRPr="002D5477">
        <w:t xml:space="preserve">: EU Finance </w:t>
      </w:r>
      <w:proofErr w:type="spellStart"/>
      <w:r w:rsidRPr="002D5477">
        <w:t>for</w:t>
      </w:r>
      <w:proofErr w:type="spellEnd"/>
      <w:r w:rsidRPr="002D5477">
        <w:t xml:space="preserve"> a </w:t>
      </w:r>
      <w:proofErr w:type="spellStart"/>
      <w:r w:rsidRPr="002D5477">
        <w:t>Sustainable</w:t>
      </w:r>
      <w:proofErr w:type="spellEnd"/>
      <w:r w:rsidRPr="002D5477">
        <w:t xml:space="preserve"> </w:t>
      </w:r>
      <w:proofErr w:type="spellStart"/>
      <w:r w:rsidRPr="002D5477">
        <w:t>Future</w:t>
      </w:r>
      <w:proofErr w:type="spellEnd"/>
      <w:r w:rsidRPr="002D5477">
        <w:t xml:space="preserve">“ (Strategický plán EIB </w:t>
      </w:r>
      <w:proofErr w:type="spellStart"/>
      <w:r w:rsidRPr="002D5477">
        <w:t>Global</w:t>
      </w:r>
      <w:proofErr w:type="spellEnd"/>
      <w:r w:rsidRPr="002D5477">
        <w:t>: finanční prostředky EU pro udržitelnou budoucnost),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 xml:space="preserve">s ohledem na přístup EIB </w:t>
      </w:r>
      <w:proofErr w:type="spellStart"/>
      <w:r w:rsidRPr="002D5477">
        <w:t>Global</w:t>
      </w:r>
      <w:proofErr w:type="spellEnd"/>
      <w:r w:rsidRPr="002D5477">
        <w:t xml:space="preserve"> ke spravedlivé transformaci a ke spravedlivé odolnosti zveřejněný dne 27. listopadu 2023,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 ohledem na zprávu skupiny EIB týkající se řízení rizik za rok 2022 zveřejněnou dne 9. srpna 2023,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průzkum EIB týkající se klimatu na období 2022–2023,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 ohledem na rámec skupiny EIB pro environmentální a sociální udržitelnost nazvaný „Environmentální a sociální politika skupiny EIB“ a přijatý dne 2. února 2022,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 xml:space="preserve">s ohledem na publikaci EIB ze dne 10. února 2023 nazvanou „EIB </w:t>
      </w:r>
      <w:proofErr w:type="spellStart"/>
      <w:r w:rsidRPr="002D5477">
        <w:t>Global</w:t>
      </w:r>
      <w:proofErr w:type="spellEnd"/>
      <w:r w:rsidRPr="002D5477">
        <w:t xml:space="preserve"> – </w:t>
      </w:r>
      <w:proofErr w:type="spellStart"/>
      <w:r w:rsidRPr="002D5477">
        <w:t>partnership</w:t>
      </w:r>
      <w:proofErr w:type="spellEnd"/>
      <w:r w:rsidRPr="002D5477">
        <w:t xml:space="preserve">, </w:t>
      </w:r>
      <w:proofErr w:type="spellStart"/>
      <w:r w:rsidRPr="002D5477">
        <w:t>people</w:t>
      </w:r>
      <w:proofErr w:type="spellEnd"/>
      <w:r w:rsidRPr="002D5477">
        <w:t xml:space="preserve">, </w:t>
      </w:r>
      <w:proofErr w:type="spellStart"/>
      <w:r w:rsidRPr="002D5477">
        <w:t>impact</w:t>
      </w:r>
      <w:proofErr w:type="spellEnd"/>
      <w:r w:rsidRPr="002D5477">
        <w:t xml:space="preserve">“ (EIB </w:t>
      </w:r>
      <w:proofErr w:type="spellStart"/>
      <w:r w:rsidRPr="002D5477">
        <w:t>Global</w:t>
      </w:r>
      <w:proofErr w:type="spellEnd"/>
      <w:r w:rsidRPr="002D5477">
        <w:t>: partnerství, lidé, dopad),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strategii EIB v oblasti lidských práv zveřejněnou dne 6. února 2023,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 xml:space="preserve">s ohledem na zprávu EIB ze dne 29. června 2023 nazvanou „EIB Group </w:t>
      </w:r>
      <w:proofErr w:type="spellStart"/>
      <w:r w:rsidRPr="002D5477">
        <w:t>activities</w:t>
      </w:r>
      <w:proofErr w:type="spellEnd"/>
      <w:r w:rsidRPr="002D5477">
        <w:t xml:space="preserve"> in EU </w:t>
      </w:r>
      <w:proofErr w:type="spellStart"/>
      <w:r w:rsidRPr="002D5477">
        <w:t>cohesion</w:t>
      </w:r>
      <w:proofErr w:type="spellEnd"/>
      <w:r w:rsidRPr="002D5477">
        <w:t xml:space="preserve"> </w:t>
      </w:r>
      <w:proofErr w:type="spellStart"/>
      <w:r w:rsidRPr="002D5477">
        <w:t>regions</w:t>
      </w:r>
      <w:proofErr w:type="spellEnd"/>
      <w:r w:rsidRPr="002D5477">
        <w:t xml:space="preserve"> in 2022“ (Činnosti skupiny EIB v regionech soudržnosti EU v roce 2022),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strategii skupiny EIB pro rovnost žen a mužů a posílení hospodářského postavení žen a její plán genderových opatření;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kodex chování zaměstnanců skupiny EIB zveřejněný dne 3. února 2023,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kodex chování členů výboru pro audit skupiny EIB zveřejněný dne 30. listopadu 2021,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kodex chování členů řídícího výboru skupiny EIB zveřejněný dne 14. října 2021,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publikaci EIB ze dne 27. listopadu 2023 nazvanou „Rámec PATH skupiny EIB – verze 1.2 z listopadu 2023 – Podpora protistran na cestě k dosažení souladu s Pařížskou dohodou“,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balíček solidárních opatření EIB pro Ukrajinu schválený správní radou EIB dne 4. března 2022,</w:t>
      </w:r>
    </w:p>
    <w:p w:rsidR="00DC783E" w:rsidRPr="002D5477" w:rsidRDefault="00DC783E" w:rsidP="00DC783E">
      <w:pPr>
        <w:pStyle w:val="NormalHanging12a"/>
      </w:pPr>
      <w:r w:rsidRPr="002D5477">
        <w:lastRenderedPageBreak/>
        <w:t>–</w:t>
      </w:r>
      <w:r w:rsidRPr="002D5477">
        <w:tab/>
        <w:t>s ohledem na sdělení Komise ze dne 20. května 2020 nazvané „Strategie EU v oblasti biologické rozmanitosti do roku 2030 – Navrácení přírody do našeho života“ (</w:t>
      </w:r>
      <w:proofErr w:type="gramStart"/>
      <w:r w:rsidRPr="002D5477">
        <w:t>COM(2020</w:t>
      </w:r>
      <w:proofErr w:type="gramEnd"/>
      <w:r w:rsidRPr="002D5477">
        <w:t>)0380),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 ohledem na sdělení Komise ze dne 20. května 2020 s názvem „Strategie „od zemědělce ke spotřebiteli“ pro spravedlivé, zdravé a ekologické potravinové systémy“ (</w:t>
      </w:r>
      <w:proofErr w:type="gramStart"/>
      <w:r w:rsidRPr="002D5477">
        <w:t>COM(2020</w:t>
      </w:r>
      <w:proofErr w:type="gramEnd"/>
      <w:r w:rsidRPr="002D5477">
        <w:t>)0381),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sdělení Komise ze dne 12. května 2021 nazvané „Cesta ke zdravé planetě pro všechny – Akční plán EU: ‚Vstříc nulovému znečištění ovzduší, vod a půdy‘“ (</w:t>
      </w:r>
      <w:proofErr w:type="gramStart"/>
      <w:r w:rsidRPr="002D5477">
        <w:t>COM(2021</w:t>
      </w:r>
      <w:proofErr w:type="gramEnd"/>
      <w:r w:rsidRPr="002D5477">
        <w:t>)0400),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sdělení Komise ze dne 1. února 2023 nazvané „Průmyslový plán Zelené dohody pro věk s nulovými čistými emisemi“ (</w:t>
      </w:r>
      <w:proofErr w:type="gramStart"/>
      <w:r w:rsidRPr="002D5477">
        <w:t>COM(2023</w:t>
      </w:r>
      <w:proofErr w:type="gramEnd"/>
      <w:r w:rsidRPr="002D5477">
        <w:t>)0062),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nařízení Evropského parlamentu a Rady (EU) 2021/1056 ze dne 24. června 2021, kterým se zřizuje Fond pro spravedlivou transformaci</w:t>
      </w:r>
      <w:r w:rsidRPr="002D5477">
        <w:rPr>
          <w:rStyle w:val="FootnoteReference"/>
        </w:rPr>
        <w:footnoteReference w:id="1"/>
      </w:r>
      <w:r w:rsidRPr="002D5477">
        <w:t>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nařízení Evropského parlamentu a Rady (EU) 2021/1229 ze dne 14. července 2021 o úvěrovém nástroji pro veřejný sektor v rámci mechanismu pro spravedlivou transformaci</w:t>
      </w:r>
      <w:r w:rsidRPr="002D5477">
        <w:rPr>
          <w:rStyle w:val="FootnoteReference"/>
        </w:rPr>
        <w:footnoteReference w:id="2"/>
      </w:r>
      <w:r w:rsidRPr="002D5477">
        <w:t>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 ohledem na cíle OSN v oblasti udržitelného rozvoje,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trojstrannou dohodu mezi Komisí, Evropským účetním dvorem a Evropskou investiční bankou, která vstoupila v platnost v listopadu 2021,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dopis evropské veřejné ochránkyně práv ze dne 22. července 2016 adresovaný prezidentovi EIB o otázkách střetu zájmů a odpověď prezidenta EIB ze dne 31. ledna 2017,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doporučení evropské veřejné ochránkyně práv vydaná dne 20. listopadu 2023 ve věci 2252/2022/OAM,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doporučení evropské veřejné ochránkyně práv vydaná dne 21. dubna 2022 ve věci 1251/2020/PB,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doporučení evropské veřejné ochránkyně práv vydaná dne 27. července 2022 ve věci 1016/2021/KR,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článek 54 jednacího řádu,</w:t>
      </w:r>
    </w:p>
    <w:p w:rsidR="00DC783E" w:rsidRPr="002D5477" w:rsidRDefault="00DC783E" w:rsidP="00DC783E">
      <w:pPr>
        <w:pStyle w:val="NormalHanging12a"/>
      </w:pPr>
      <w:r w:rsidRPr="002D5477">
        <w:t>–</w:t>
      </w:r>
      <w:r w:rsidRPr="002D5477">
        <w:tab/>
        <w:t>s ohledem na zprávu Rozpočtového výboru (A9-0031/2024),</w:t>
      </w:r>
    </w:p>
    <w:p w:rsidR="00DC783E" w:rsidRPr="002D5477" w:rsidRDefault="00DC783E" w:rsidP="00DC783E">
      <w:pPr>
        <w:pStyle w:val="NormalHanging12a"/>
      </w:pPr>
      <w:r w:rsidRPr="002D5477">
        <w:t>A.</w:t>
      </w:r>
      <w:r w:rsidRPr="002D5477">
        <w:tab/>
        <w:t xml:space="preserve">vzhledem k tomu, že skupinu EIB tvoří Evropská investiční banka a Evropský investiční fond a že tato skupina je největší mnohostrannou finanční institucí na světě a jedním z největších poskytovatelů financování v oblasti klimatu, přičemž je činná na </w:t>
      </w:r>
      <w:r w:rsidRPr="002D5477">
        <w:lastRenderedPageBreak/>
        <w:t>mezinárodních kapitálových trzích a nabízí klientům konkurenceschopné podmínky a příznivé podmínky na podporu politik a projektů EU a projektů v rámci Unie i mimo ní;</w:t>
      </w:r>
    </w:p>
    <w:p w:rsidR="00DC783E" w:rsidRPr="002D5477" w:rsidRDefault="00DC783E" w:rsidP="00DC783E">
      <w:pPr>
        <w:spacing w:after="240"/>
        <w:ind w:left="567" w:hanging="567"/>
      </w:pPr>
      <w:r w:rsidRPr="002D5477">
        <w:t>B.</w:t>
      </w:r>
      <w:r w:rsidRPr="002D5477">
        <w:tab/>
        <w:t>vzhledem k tomu, že podle článku 309 SFEU má EIB za úkol přispívat k dosažení cílů EU;</w:t>
      </w:r>
    </w:p>
    <w:p w:rsidR="00DC783E" w:rsidRPr="002D5477" w:rsidRDefault="00DC783E" w:rsidP="00DC783E">
      <w:pPr>
        <w:spacing w:after="240"/>
        <w:ind w:left="567" w:hanging="567"/>
      </w:pPr>
      <w:r w:rsidRPr="002D5477">
        <w:t>C.</w:t>
      </w:r>
      <w:r w:rsidRPr="002D5477">
        <w:tab/>
        <w:t>vzhledem k tomu, že k dosažení cílů EU v oblasti klimatu jsou v EU zapotřebí investice ve výši 1 bilionu EUR; vzhledem k tomu, že EIB může pomoci překlenout rozdíl tím, že přiláká soukromý kapitál;</w:t>
      </w:r>
    </w:p>
    <w:p w:rsidR="00DC783E" w:rsidRPr="002D5477" w:rsidRDefault="00DC783E" w:rsidP="00DC783E">
      <w:pPr>
        <w:pStyle w:val="NormalHanging12a"/>
      </w:pPr>
      <w:r w:rsidRPr="002D5477">
        <w:t>D.</w:t>
      </w:r>
      <w:r w:rsidRPr="002D5477">
        <w:tab/>
        <w:t xml:space="preserve">vzhledem k tomu, že v letech 2021–2027 se očekává, že záruka </w:t>
      </w:r>
      <w:proofErr w:type="spellStart"/>
      <w:r w:rsidRPr="002D5477">
        <w:t>InvestEU</w:t>
      </w:r>
      <w:proofErr w:type="spellEnd"/>
      <w:r w:rsidRPr="002D5477">
        <w:t xml:space="preserve"> ve výši 26,2 miliardy EUR spolu s prostředky z víceletého finančního rámce a nástroje </w:t>
      </w:r>
      <w:proofErr w:type="spellStart"/>
      <w:r w:rsidRPr="002D5477">
        <w:t>NextGenerationEU</w:t>
      </w:r>
      <w:proofErr w:type="spellEnd"/>
      <w:r w:rsidRPr="002D5477">
        <w:t xml:space="preserve"> povedou v Evropě k uvolnění více než 372 miliard EUR dodatečných soukromých a veřejných investic, zejména na udržitelnou infrastrukturu, výzkum, inovace, digitalizaci, malé a střední podniky, sociální investice a dovednosti;</w:t>
      </w:r>
    </w:p>
    <w:p w:rsidR="00DC783E" w:rsidRPr="002D5477" w:rsidRDefault="00DC783E" w:rsidP="00DC783E">
      <w:pPr>
        <w:pStyle w:val="NormalHanging12a"/>
      </w:pPr>
      <w:r w:rsidRPr="002D5477">
        <w:rPr>
          <w:b/>
          <w:i/>
        </w:rPr>
        <w:t>Přehled politik a operací</w:t>
      </w:r>
    </w:p>
    <w:p w:rsidR="00DC783E" w:rsidRPr="002D5477" w:rsidRDefault="00DC783E" w:rsidP="00DC783E">
      <w:pPr>
        <w:pStyle w:val="NormalHanging12a"/>
      </w:pPr>
      <w:r w:rsidRPr="002D5477">
        <w:t>1.</w:t>
      </w:r>
      <w:r w:rsidRPr="002D5477">
        <w:tab/>
        <w:t>znovu opakuje důležitou úlohu EIB jako veřejné banky EU, která je jedinou mezinárodní finanční institucí zcela vlastněnou členskými státy EU, je plně řízená politikami EU a podléhá právním normám EU, jejímž cílem je podporovat sociální a hospodářské oživení a směřovat potřebné investice k uskutečňování cílů Unie;</w:t>
      </w:r>
    </w:p>
    <w:p w:rsidR="00DC783E" w:rsidRPr="002D5477" w:rsidRDefault="00DC783E" w:rsidP="00DC783E">
      <w:pPr>
        <w:pStyle w:val="NormalHanging12a"/>
      </w:pPr>
      <w:r w:rsidRPr="002D5477">
        <w:t>2.</w:t>
      </w:r>
      <w:r w:rsidRPr="002D5477">
        <w:tab/>
        <w:t>oceňuje skutečnost, že EIB je vždy připravena přizpůsobovat se a přetvářet se v souladu s měnícími se požadavky politiky EU a zároveň dodržovat své dlouhodobé cíle;</w:t>
      </w:r>
    </w:p>
    <w:p w:rsidR="00DC783E" w:rsidRPr="002D5477" w:rsidRDefault="00DC783E" w:rsidP="00DC783E">
      <w:pPr>
        <w:pStyle w:val="NormalHanging12a"/>
      </w:pPr>
      <w:r w:rsidRPr="002D5477">
        <w:t>3.</w:t>
      </w:r>
      <w:r w:rsidRPr="002D5477">
        <w:tab/>
        <w:t>opakuje svou výzvu ke zvýšení kapitálu, který by EIB umožnil poskytovat dlouhodobější vratnou finanční podporu a inovativní nástroje; konstatuje, že je to nezbytné pro spravedlivý udržitelný růst podporující začlenění a klíčové investice do reálné ekonomiky, které by jinak nebyly realizovány a které mají potenciál maximalizovat inovační přínosy v klíčových oblastech politiky EU, jako je digitalizace a ekologická transformace; konstatuje, že tyto investice by měly pomoci zmírnit faktory omezující konkurenceschopnost, jako jsou vysoké ceny energie, chybějící dovednosti a nedostatečné investice do inovací a nových technologií, a měly by pomoci při provádění evropského pilíře sociálních práv a cílů OSN v oblasti udržitelného rozvoje; očekává, že EIB zajistí, aby její financování přispívalo k řešení selhání trhu, bránilo účinkům vytěsňování a přineslo měřitelné účinky, aniž by tím byla ohrožena celková atraktivita její finanční nabídky;</w:t>
      </w:r>
    </w:p>
    <w:p w:rsidR="00DC783E" w:rsidRPr="002D5477" w:rsidRDefault="00DC783E" w:rsidP="00DC783E">
      <w:pPr>
        <w:pStyle w:val="NormalHanging12a"/>
      </w:pPr>
      <w:r w:rsidRPr="002D5477">
        <w:t>4.</w:t>
      </w:r>
      <w:r w:rsidRPr="002D5477">
        <w:tab/>
        <w:t>zdůrazňuje, že EIB si musí udržet svůj úvěrový rating AAA a zachovat si plnou důvěru kapitálových trhů v její činnosti;</w:t>
      </w:r>
    </w:p>
    <w:p w:rsidR="00DC783E" w:rsidRPr="002D5477" w:rsidRDefault="00DC783E" w:rsidP="00DC783E">
      <w:pPr>
        <w:pStyle w:val="NormalHanging12a"/>
      </w:pPr>
      <w:r w:rsidRPr="002D5477">
        <w:t>5.</w:t>
      </w:r>
      <w:r w:rsidRPr="002D5477">
        <w:tab/>
        <w:t>konstatuje, že financování EIB hraje stále důležitější úlohu v souvislosti s významnými sociálními a hospodářskými důsledky vyplývající z krize způsobené pandemií COVID-19, po níž následovala invaze na Ukrajinu, zejména pokud jde o inflaci, vysoké úrokové sazby a napjaté veřejné finance; dále bere na vědomí větší úlohu, kterou financování EIB sehrává v kontextu náročného hospodářského výhledu a větší celosvětové hospodářské soutěže, což má dopad i na probíhající projekty;</w:t>
      </w:r>
    </w:p>
    <w:p w:rsidR="00DC783E" w:rsidRPr="002D5477" w:rsidRDefault="00DC783E" w:rsidP="00DC783E">
      <w:pPr>
        <w:pStyle w:val="NormalHanging12a"/>
      </w:pPr>
      <w:r w:rsidRPr="002D5477">
        <w:t>6.</w:t>
      </w:r>
      <w:r w:rsidRPr="002D5477">
        <w:tab/>
        <w:t xml:space="preserve">domnívá se, že EIB by mohla učinit více pro to, aby zlepšila odvětvovou rovnováhu a přizpůsobila se regionální rozmanitosti v EU s cílem zvýšit atraktivitu svých fondů; vyzývá EIB, aby řešila systémové nedostatky, které některým regionům nebo zemím </w:t>
      </w:r>
      <w:r w:rsidRPr="002D5477">
        <w:lastRenderedPageBreak/>
        <w:t xml:space="preserve">brání plně těžit z jejích finančních činností, a aby současně respektovala povahu finančních operací EIB založenou na poptávce; vyzývá Komisi, aby posoudila, zda je zeměpisné rozdělení financování v rámci </w:t>
      </w:r>
      <w:proofErr w:type="spellStart"/>
      <w:r w:rsidRPr="002D5477">
        <w:t>InvestEU</w:t>
      </w:r>
      <w:proofErr w:type="spellEnd"/>
      <w:r w:rsidRPr="002D5477">
        <w:t xml:space="preserve"> vyvážené, zejména pokud jde o menší členské státy;</w:t>
      </w:r>
    </w:p>
    <w:p w:rsidR="00DC783E" w:rsidRPr="002D5477" w:rsidRDefault="00DC783E" w:rsidP="00DC783E">
      <w:pPr>
        <w:pStyle w:val="NormalHanging12a"/>
      </w:pPr>
      <w:r w:rsidRPr="002D5477">
        <w:t>7.</w:t>
      </w:r>
      <w:r w:rsidRPr="002D5477">
        <w:tab/>
        <w:t xml:space="preserve">vyzývá EIB, aby podporovala projekty, které přispívají k provádění evropského pilíře sociálních práv a cílů OSN v oblasti udržitelného rozvoje a které posilují sociální začlenění a snižování nerovností v souladu s environmentálními a sociálními normami; vyzývá EIB, aby posílila svou úlohu při posuzování a řešení investičních mezer v sociální infrastruktuře a sociálním zabezpečení, jako je cenově dostupné a energeticky účinné sociální bydlení, veřejné zdravotnictví, veřejné služby, veřejná doprava, udržitelná doprava, kultura a vzdělávání, a současně zajistila doplňkovost a komplementaritu s ostatními veřejnými prostředky a komerčními věřiteli; vyzývá EIB, aby při posuzování projektů zvýšila váhu sociálních přínosů s cílem poskytnout dlouhodobá cenově dostupná řešení v souvislosti s krizí životních nákladů a problémy domácností v Evropské unii, jež vyplývají z celkového hospodářského výhledu; žádá EIB, aby posílila podstupování rizik v případě projektů poskytujících základní služby s dlouhodobými jasnými a měřitelnými přínosy; vyzývá EIB, aby vždy, kdy je to možné, finančně upřednostňovala projekty zahrnující zranitelné nebo </w:t>
      </w:r>
      <w:proofErr w:type="spellStart"/>
      <w:r w:rsidRPr="002D5477">
        <w:t>marginalizované</w:t>
      </w:r>
      <w:proofErr w:type="spellEnd"/>
      <w:r w:rsidRPr="002D5477">
        <w:t xml:space="preserve"> osoby, zejména mladé lidi, a projekty vedené občany;</w:t>
      </w:r>
    </w:p>
    <w:p w:rsidR="00DC783E" w:rsidRPr="002D5477" w:rsidRDefault="00DC783E" w:rsidP="00DC783E">
      <w:pPr>
        <w:pStyle w:val="Normal12a24b"/>
        <w:spacing w:before="0"/>
        <w:rPr>
          <w:rStyle w:val="BoldItalic"/>
        </w:rPr>
      </w:pPr>
      <w:r w:rsidRPr="002D5477">
        <w:rPr>
          <w:rStyle w:val="BoldItalic"/>
        </w:rPr>
        <w:t>Evropská klimatická banka: cíle opatření v oblasti klimatu a environmentální udržitelnosti</w:t>
      </w:r>
    </w:p>
    <w:p w:rsidR="00DC783E" w:rsidRPr="002D5477" w:rsidRDefault="00DC783E" w:rsidP="00DC783E">
      <w:pPr>
        <w:pStyle w:val="NormalHanging12a"/>
      </w:pPr>
      <w:r w:rsidRPr="002D5477">
        <w:t>8.</w:t>
      </w:r>
      <w:r w:rsidRPr="002D5477">
        <w:tab/>
        <w:t>bere na vědomí zjištění uvedená v investiční zprávě EIB za období 2022/2023 s názvem „Odolnost a obnova v Evropě“, která analyzuje investice do opatření v oblasti klimatu v celé EU a chybějící investice v různých odvětvích; bere rovněž na vědomí, že operační plán skupiny EIB na období 2023–2025 potvrzuje soulad EIB s politickými prioritami EU a její závazek zvýšit své ambice v oblasti ekologické a digitální transformace; vyzývá Komisi, aby vypracovala metodu posuzování nedostatku zeleného financování v EU a posoudila potenciální úlohu EIB, pokud jde o překlenutí této mezery ve financování;</w:t>
      </w:r>
    </w:p>
    <w:p w:rsidR="00DC783E" w:rsidRPr="002D5477" w:rsidRDefault="00DC783E" w:rsidP="00DC783E">
      <w:pPr>
        <w:pStyle w:val="NormalHanging12a"/>
      </w:pPr>
      <w:r w:rsidRPr="002D5477">
        <w:t>9.</w:t>
      </w:r>
      <w:r w:rsidRPr="002D5477">
        <w:tab/>
        <w:t xml:space="preserve">připomíná, že EIB je největším světovým </w:t>
      </w:r>
      <w:proofErr w:type="spellStart"/>
      <w:r w:rsidRPr="002D5477">
        <w:t>víceměnovým</w:t>
      </w:r>
      <w:proofErr w:type="spellEnd"/>
      <w:r w:rsidRPr="002D5477">
        <w:t xml:space="preserve"> emitentem zelených dluhopisů; poukazuje na to, že mezinárodní úlohu eura by dále posílilo zvýšení podílu dluhopisů denominovaných v eurech;</w:t>
      </w:r>
    </w:p>
    <w:p w:rsidR="00DC783E" w:rsidRPr="002D5477" w:rsidRDefault="00DC783E" w:rsidP="00DC783E">
      <w:pPr>
        <w:pStyle w:val="NormalHanging12a"/>
      </w:pPr>
      <w:r w:rsidRPr="002D5477">
        <w:t>10.</w:t>
      </w:r>
      <w:r w:rsidRPr="002D5477">
        <w:tab/>
        <w:t>připomíná, že ekologická transformace musí být inkluzivní a spravedlivá a že zelené investice musí být životaschopné a proto očekává, že EIB bude své úvěry, finanční nástroje, technickou pomoc a poradenské služby využívat k podpoře občanů a podniků čelících sociálně ekonomickým problémům vyplývajícím z jejich úsilí dosáhnout do roku 2050 uhlíkově neutrálního hospodářství; vyzývá EIB, aby prioritně podporovala projekty zajišťující cenově dostupný přístup k energii z obnovitelných zdrojů, bydlení a veřejným službám, komunitním iniciativám a malým projektům se zvláštním zaměřením na boj proti energetické chudobě;</w:t>
      </w:r>
    </w:p>
    <w:p w:rsidR="00DC783E" w:rsidRPr="002D5477" w:rsidRDefault="00DC783E" w:rsidP="00DC783E">
      <w:pPr>
        <w:pStyle w:val="NormalHanging12a"/>
      </w:pPr>
      <w:r w:rsidRPr="002D5477">
        <w:t>11.</w:t>
      </w:r>
      <w:r w:rsidRPr="002D5477">
        <w:tab/>
        <w:t xml:space="preserve">vítá skutečnost, že EIB již splnila svůj cíl vyčlenit alespoň polovinu svých zdrojů na opatření v oblasti klimatu a environmentální udržitelnost a že je na dobré cestě ke splnění svého cíle podporovat do roku 2030 zelené investice ve výši 1 bilionu EUR; očekává, že přezkum plánu klimatické banky v roce 2024 nasměruje EIB na cestu k dosažení cíle omezení oteplování na 1,5 °C a cíle klimatické neutrality nejpozději do roku 2050, a to při současném zajištění spravedlivé transformace pro všechny; domnívá </w:t>
      </w:r>
      <w:r w:rsidRPr="002D5477">
        <w:lastRenderedPageBreak/>
        <w:t>se, že referenčním kritériem by měly být nejambicióznější postupy v oblasti veřejného bankovnictví; opětovně vyzývá, aby součástí každého projektu bylo důkladné posouzení alternativ s nižšími emisemi uhlíku a emisí „rámce 3“;</w:t>
      </w:r>
    </w:p>
    <w:p w:rsidR="00DC783E" w:rsidRPr="002D5477" w:rsidRDefault="00DC783E" w:rsidP="00DC783E">
      <w:pPr>
        <w:pStyle w:val="NormalHanging12a"/>
      </w:pPr>
      <w:r w:rsidRPr="002D5477">
        <w:t>12.</w:t>
      </w:r>
      <w:r w:rsidRPr="002D5477">
        <w:tab/>
        <w:t xml:space="preserve">vítá sladění protistran s Pařížskou dohodou (PATH) a očekává její plné provedení, pokud jde o maximalizaci snižování emisí a posílení odolnosti vůči změně klimatu; bere na vědomí reakci EIB na mimořádnou energetickou situaci v EU přizpůsobením PATH; očekává, že výjimky udělené v rámci PATH na podporu plánu </w:t>
      </w:r>
      <w:proofErr w:type="spellStart"/>
      <w:r w:rsidRPr="002D5477">
        <w:t>REPowerEU</w:t>
      </w:r>
      <w:proofErr w:type="spellEnd"/>
      <w:r w:rsidRPr="002D5477">
        <w:t xml:space="preserve"> budou výjimečné, dočasné a plně odůvodněné, aby mohly urychlit ekologickou transformaci a ukončit závislost Evropy na dovozu fosilních paliv, a to i z Ruska; vítá v této souvislosti zvýšení podpory EIB na plán </w:t>
      </w:r>
      <w:proofErr w:type="spellStart"/>
      <w:r w:rsidRPr="002D5477">
        <w:t>REPowerEU</w:t>
      </w:r>
      <w:proofErr w:type="spellEnd"/>
      <w:r w:rsidRPr="002D5477">
        <w:t xml:space="preserve"> na dodatečných 45 miliard EUR ve formě půjček a kapitálového financování projektů v oblasti obnovitelných zdrojů energie, energetické účinnosti, sítí a skladování energie, infrastruktury pro dobíjení elektrických vozidel a průlomových technologií v příštích letech; </w:t>
      </w:r>
    </w:p>
    <w:p w:rsidR="00DC783E" w:rsidRPr="002D5477" w:rsidRDefault="00DC783E" w:rsidP="00DC783E">
      <w:pPr>
        <w:pStyle w:val="NormalHanging12a"/>
      </w:pPr>
      <w:r w:rsidRPr="002D5477">
        <w:t>13.</w:t>
      </w:r>
      <w:r w:rsidRPr="002D5477">
        <w:tab/>
        <w:t>připomíná, že všichni firemní klienti financování EIB jsou smluvně vázáni vytvořit a zveřejnit důvěryhodnou strategii pro dosažení souladu s Pařížskou dohodou (dále jen „plán dekarbonizace“), která zahrnuje střednědobé, průběžné a kvantitativní cíle a možnosti snižování emisí v dlouhodobějším horizontu s cílem dosáhnout uhlíkové neutrality nejpozději do roku 2050; předpokládá, že EIB bude před přijetím jakýchkoli nových finančních závazků systematicky vyhodnocovat důvěryhodnost těchto plánů, přičemž bude uplatňovat kritéria dekarbonizace slučitelná s cílem 1,5 °C; opakuje svou výzvu, aby EIB spolupracovala pouze s finančními zprostředkovateli, kteří mají důvěryhodný plán dekarbonizace, včetně krátkodobých cílů slučitelných s cílem 1,5 °C, jež budou realizovány co nejdříve, nejpozději však do roku 2025; zdůrazňuje, že tyto nové požadavky nesmí ohrozit přístup malých a středních podniků k finančním prostředkům;</w:t>
      </w:r>
    </w:p>
    <w:p w:rsidR="00DC783E" w:rsidRPr="002D5477" w:rsidRDefault="00DC783E" w:rsidP="00DC783E">
      <w:pPr>
        <w:pStyle w:val="NormalHanging12a"/>
      </w:pPr>
      <w:r w:rsidRPr="002D5477">
        <w:t>14.</w:t>
      </w:r>
      <w:r w:rsidRPr="002D5477">
        <w:tab/>
        <w:t>zdůrazňuje klíčovou úlohu EIB při zajišťování spravedlivé transformace; vyzývá EIB, aby snížila minimální výši úvěru pro jednotlivé projekty nebo úvěrové programy, které přispívají ke spravedlivé transformaci; vybízí EIB, aby zintenzívnila spolupráci s vnitrostátními a regionálními finančními institucemi při poskytování cíleného financování; vyzývá EIB, aby v tomto ohledu přispěla k dosažení cílů EU v oblasti rovnosti žen a mužů; vítá zapojení EIB do mechanismu EU pro spravedlivou transformaci s cílem řešit socioekonomický dopad přechodu na hospodářství s nulovými čistými emisemi a vytvořit nové příležitosti pro udržitelný rozvoj ve způsobilých regionech;</w:t>
      </w:r>
    </w:p>
    <w:p w:rsidR="00DC783E" w:rsidRPr="002D5477" w:rsidRDefault="00DC783E" w:rsidP="00DC783E">
      <w:pPr>
        <w:pStyle w:val="NormalHanging12a"/>
      </w:pPr>
      <w:r w:rsidRPr="002D5477">
        <w:t>15.</w:t>
      </w:r>
      <w:r w:rsidRPr="002D5477">
        <w:tab/>
        <w:t>vyzývá EIB, aby přizpůsobila své činnosti v oblasti snižování rizik tak, aby se soukromé financování zaměřovalo na projekty s vysokou mírou doplňkovosti, které přispívají ke spravedlivé transformaci, aniž by byla ohrožena obchodní životaschopnost jejího portfolia; vyzývá EIB, aby se poučila z realizace produktů, jako jsou fondy na ochranu klimatu a budování infrastruktury, včetně relevantnosti zprostředkovaného kapitálu a nutnosti zlepšit poměr rizika a výnosů u menších projektů zelené infrastruktury;</w:t>
      </w:r>
    </w:p>
    <w:p w:rsidR="00DC783E" w:rsidRPr="002D5477" w:rsidRDefault="00DC783E" w:rsidP="00DC783E">
      <w:pPr>
        <w:pStyle w:val="NormalHanging12a"/>
      </w:pPr>
      <w:r w:rsidRPr="002D5477">
        <w:t>16.</w:t>
      </w:r>
      <w:r w:rsidRPr="002D5477">
        <w:tab/>
        <w:t xml:space="preserve">vítá vyšší úroveň investic do vodíku; trvá na tom, že úlohou vodíku je přispívat k přechodu na klimatickou neutralitu snižováním emisí v průmyslových odvětvích, u nichž to jde obtížně; očekává, že bude zajištěna doplňkovost, aby se zamezilo odklonu zdrojů od stávající výroby elektřiny z obnovitelných zdrojů podle příslušného aktu v </w:t>
      </w:r>
      <w:r w:rsidRPr="002D5477">
        <w:lastRenderedPageBreak/>
        <w:t>přenesené pravomoci</w:t>
      </w:r>
      <w:r w:rsidRPr="002D5477">
        <w:rPr>
          <w:rStyle w:val="FootnoteReference"/>
        </w:rPr>
        <w:footnoteReference w:id="3"/>
      </w:r>
      <w:r w:rsidRPr="002D5477">
        <w:t>; vyjadřuje znepokojení nad možnými dopady projektů v oblasti vodíku na zásobování vodou v některých regionech, jakož i na biologickou rozmanitost; vyzývá EIB, aby rozšířila své odborné poradenství na vodíkový ekosystém a trh EU;</w:t>
      </w:r>
    </w:p>
    <w:p w:rsidR="00DC783E" w:rsidRPr="002D5477" w:rsidRDefault="00DC783E" w:rsidP="00DC783E">
      <w:pPr>
        <w:pStyle w:val="NormalHanging12a"/>
      </w:pPr>
      <w:r w:rsidRPr="002D5477">
        <w:t>17.</w:t>
      </w:r>
      <w:r w:rsidRPr="002D5477">
        <w:tab/>
        <w:t>zdůrazňuje, že environmentální a sociální politika EIB posiluje závazek prosazovat a naplňovat cíle Úmluvy o biologické rozmanitosti a celosvětového rámce pro biologickou rozmanitost po roce 2020, zejména požadavek, aby financované projekty významně nepoškozovaly biologickou rozmanitost a ekosystémy; vítá posun od „nulové čisté ztráty“ k „nulové ztrátě“ biologické rozmanitosti; usiluje o uplatňování environmentální a sociální politiky EIB v plném rozsahu, zejména v projektech v oblasti energie z obnovitelných zdrojů; naléhavě žádá, aby EIB zajistila plný soulad své environmentální a sociální politiky s celosvětovým rámcem pro biologickou rozmanitost po roce 2020;</w:t>
      </w:r>
    </w:p>
    <w:p w:rsidR="00DC783E" w:rsidRPr="002D5477" w:rsidRDefault="00DC783E" w:rsidP="00DC783E">
      <w:pPr>
        <w:pStyle w:val="NormalHanging12a"/>
      </w:pPr>
      <w:r w:rsidRPr="002D5477">
        <w:t>18.</w:t>
      </w:r>
      <w:r w:rsidRPr="002D5477">
        <w:tab/>
        <w:t xml:space="preserve">vítá první společné zásady financování příznivého pro přírodu, které EIB spolu s dalšími mezinárodními rozvojovými bankami zveřejnila na konferenci COP28; očekává, že EIB se bude dále aktivně zapojovat do investic, které mají pozitivní vliv na přírodu, podporují biologickou rozmanitost a jsou soustředěné v odvětvích s největšími souvisejícími přínosy pro biologickou rozmanitost, jako je vodní hospodářství, </w:t>
      </w:r>
      <w:proofErr w:type="spellStart"/>
      <w:r w:rsidRPr="002D5477">
        <w:t>hygienizace</w:t>
      </w:r>
      <w:proofErr w:type="spellEnd"/>
      <w:r w:rsidRPr="002D5477">
        <w:t xml:space="preserve">, lesní hospodářství a oceány, a že prokáže nejvyšší úroveň integrity a záruk, zejména co se týče práv místních komunit, a začlení do tohoto procesu poznatky získané z nástroje financování přírodního kapitálu; očekává, že EIB zvýší financování řešení, která pomáhají snížit znečištění způsobené plasty; </w:t>
      </w:r>
    </w:p>
    <w:p w:rsidR="00DC783E" w:rsidRPr="002D5477" w:rsidRDefault="00DC783E" w:rsidP="00DC783E">
      <w:pPr>
        <w:pStyle w:val="NormalHanging12a"/>
      </w:pPr>
      <w:r w:rsidRPr="002D5477">
        <w:t>19.</w:t>
      </w:r>
      <w:r w:rsidRPr="002D5477">
        <w:tab/>
        <w:t>očekává, že bude vynakládat větší úsilí na začleňování aspektu přírody do analýz a operací, v nichž se posuzuje finanční riziko spojené s úbytkem biologické rozmanitosti na úrovni protistran; předpokládá, že u velkých projektů v oblasti infrastruktury, zejména v souvislosti s investicemi do urbanistických projektů, budou systematicky začleňovány prvky s příznivým vlivem na přírodu; varuje před projekty, které přispívají k cílům v oblasti klimatu, ale neberou v potaz negativní dopady na biologickou rozmanitost;</w:t>
      </w:r>
    </w:p>
    <w:p w:rsidR="00DC783E" w:rsidRPr="002D5477" w:rsidRDefault="00DC783E" w:rsidP="00DC783E">
      <w:pPr>
        <w:pStyle w:val="NormalHanging12a"/>
      </w:pPr>
      <w:r w:rsidRPr="002D5477">
        <w:t>20.</w:t>
      </w:r>
      <w:r w:rsidRPr="002D5477">
        <w:tab/>
        <w:t>bere na vědomí probíhající jednání o odpuštění části dluhu výměnou za provádění ekologických opatření (</w:t>
      </w:r>
      <w:proofErr w:type="spellStart"/>
      <w:r w:rsidRPr="002D5477">
        <w:t>debt-for-nature-swaps</w:t>
      </w:r>
      <w:proofErr w:type="spellEnd"/>
      <w:r w:rsidRPr="002D5477">
        <w:t xml:space="preserve">); vyjadřuje pochybnosti o tom, jestli je takové odpuštění části dluhu adekvátní z hlediska rozvoje a ochrany přírody a znepokojení nad vysokými transakčními náklady, které jsou s tím spojeny, zejména proto, že dřívější praxe ukázala opodstatněnost těchto obav; zdůrazňuje, že je zapotřebí zajistit vysokou úroveň transparentnosti a vlastní odpovědnosti jednotlivých zemí; </w:t>
      </w:r>
    </w:p>
    <w:p w:rsidR="00DC783E" w:rsidRPr="002D5477" w:rsidRDefault="00DC783E" w:rsidP="00DC783E">
      <w:pPr>
        <w:pStyle w:val="NormalHanging12a"/>
      </w:pPr>
      <w:r w:rsidRPr="002D5477">
        <w:t>21.</w:t>
      </w:r>
      <w:r w:rsidRPr="002D5477">
        <w:tab/>
        <w:t xml:space="preserve">očekává, že EIB bude i nadále uplatňovat přísné normy a příslušné právní předpisy EU v oblasti dobrých životních podmínek zvířat, a to i pokud jde o šlechtitelské činnosti a krmiva pro chov ryb, vycházející z nejpřísnějších norem stanovených EU a multilaterálními finančními institucemi; </w:t>
      </w:r>
    </w:p>
    <w:p w:rsidR="00DC783E" w:rsidRPr="002D5477" w:rsidRDefault="00DC783E" w:rsidP="00DC783E">
      <w:pPr>
        <w:pStyle w:val="NormalHanging12a"/>
      </w:pPr>
      <w:r w:rsidRPr="002D5477">
        <w:lastRenderedPageBreak/>
        <w:t>22.</w:t>
      </w:r>
      <w:r w:rsidRPr="002D5477">
        <w:tab/>
        <w:t>zdůrazňuje, že zabezpečení dodávek kritických surovin má zásadní význam jak pro ekologickou a digitální transformaci, tak pro odvětví obrany a průmyslovou základnu EU obecně; připomíná úlohu, kterou EIB sehrává v Evropské alianci pro suroviny, a cíl Unie zabezpečit vyšší stupeň autonomie, pokud jde o dodávky kritických surovin; zdůrazňuje význam přístupu oběhového hospodářství ke kritickým surovinám, kdy základem je recyklace a opětovné použití, má-li se snížit závislost EU na třetích zemích; vyzývá proto EIB, aby více investovala do odvětví kritických surovin s cílem zvýšit odolnost v oblasti surovin se zvláštním zaměřením na recyklaci druhotných surovin a podporovat řešení oběhového hospodářství, která pomáhají diverzifikovat dodávky;</w:t>
      </w:r>
    </w:p>
    <w:p w:rsidR="00DC783E" w:rsidRPr="002D5477" w:rsidRDefault="00DC783E" w:rsidP="00DC783E">
      <w:pPr>
        <w:pStyle w:val="NormalHanging12a"/>
        <w:rPr>
          <w:b/>
          <w:i/>
        </w:rPr>
      </w:pPr>
      <w:r w:rsidRPr="002D5477">
        <w:rPr>
          <w:b/>
          <w:i/>
        </w:rPr>
        <w:t>Podpora inovací, malých a středních podniků, průmyslu a digitalizace</w:t>
      </w:r>
    </w:p>
    <w:p w:rsidR="00DC783E" w:rsidRPr="002D5477" w:rsidRDefault="00DC783E" w:rsidP="00DC783E">
      <w:pPr>
        <w:pStyle w:val="NormalHanging12a"/>
      </w:pPr>
      <w:r w:rsidRPr="002D5477">
        <w:t>23.</w:t>
      </w:r>
      <w:r w:rsidRPr="002D5477">
        <w:tab/>
        <w:t>připomíná, že malé a střední podniky jsou páteří evropské ekonomiky; připomíná, že 23 milionů malých a středních podniků v EU představuje 99 % všech podniků a poskytuje přibližně tři čtvrtiny všech pracovních míst a více než 50 % celkové přidané hodnoty tvořené podniky EU; zdůrazňuje, že podpora malých a středních podniků je klíčovým cílem skupiny EIB; poukazuje na to, že energetická krize a důsledky války Ruska proti Ukrajině, jakož i čím dál vyšší ceny surovin a rostoucí úrokové sazby představují pro MSP další výzvy;</w:t>
      </w:r>
    </w:p>
    <w:p w:rsidR="00DC783E" w:rsidRPr="002D5477" w:rsidRDefault="00DC783E" w:rsidP="00DC783E">
      <w:pPr>
        <w:spacing w:after="240"/>
        <w:ind w:left="567" w:hanging="567"/>
      </w:pPr>
      <w:r w:rsidRPr="002D5477">
        <w:t>24.</w:t>
      </w:r>
      <w:r w:rsidRPr="002D5477">
        <w:tab/>
        <w:t>připomíná, že v roce 2022 poskytla skupina EIB malým a středním podnikům a společnostem se střední tržní kapitalizací financování v celkové výši 16,35 miliard EUR; konstatuje, že podle hodnocení skupiny EIB činily operace skupiny EIB na poskytování dluhové podpory malým a středním podnikům v letech 2010 až 2020 téměř 20 miliard EUR v čisté výši ročně; vyzývá skupinu EIB, aby zvážila způsoby, jak dále usnadnit podporu malých a středních podniků, zejména v případě menších projektů financování;</w:t>
      </w:r>
    </w:p>
    <w:p w:rsidR="00DC783E" w:rsidRPr="002D5477" w:rsidRDefault="00DC783E" w:rsidP="00DC783E">
      <w:pPr>
        <w:spacing w:after="240"/>
        <w:ind w:left="567" w:hanging="567"/>
      </w:pPr>
      <w:r w:rsidRPr="002D5477">
        <w:t>25.</w:t>
      </w:r>
      <w:r w:rsidRPr="002D5477">
        <w:tab/>
        <w:t>zdůrazňuje úlohu Evropského investičního fondu (EIF) při zlepšování přístupu k financování pro menší společnosti EU, společnosti se střední tržní kapitalizací a začínající podniky, a tím i podporu podnikání, růstu, inovací, výzkumu a vývoje a zaměstnanosti v Unii; poukazuje na to, že stabilní dodávky energie za konkurenceschopné ceny jsou jedním ze základů úspěšné průmyslové politiky, zejména pro malé a střední podniky; vyzývá skupinu EIB, aby poskytla dodatečný růstový kapitál, který malým a středním podnikům umožní rozšířit jejich činnost; naléhavě žádá skupinu EIB, aby zvýšila podporu zaměřenou na rozšiřování evropských začínajících podniků, a to i tím, že bude podstupovat větší rizika při vyplácení rizikového kapitálu s cílem zajistit, aby se evropské začínající podniky mohly rozšiřovat spíše v rámci EU než mimo ni;</w:t>
      </w:r>
    </w:p>
    <w:p w:rsidR="00DC783E" w:rsidRPr="002D5477" w:rsidRDefault="00DC783E" w:rsidP="00DC783E">
      <w:pPr>
        <w:spacing w:after="240"/>
        <w:ind w:left="567" w:hanging="567"/>
      </w:pPr>
      <w:r w:rsidRPr="002D5477">
        <w:t>26.</w:t>
      </w:r>
      <w:r w:rsidRPr="002D5477">
        <w:tab/>
        <w:t>zdůrazňuje, že je třeba, aby se EIF intenzivně zaměřil na projekty tvořící a udržující vysoce kvalitní pracovní místa, včetně projektů zaměřených na řešení rostoucího problému nezaměstnanosti mladých lidí, jako je tzv. duální model učňovské přípravy, který se v některých členských státech ukázal jako účinný a úspěšný, pokud jde o vytváření bezpečných a vysoce kvalitních pracovních míst;</w:t>
      </w:r>
    </w:p>
    <w:p w:rsidR="00DC783E" w:rsidRPr="002D5477" w:rsidRDefault="00DC783E" w:rsidP="00DC783E">
      <w:pPr>
        <w:spacing w:after="240"/>
        <w:ind w:left="567" w:hanging="567"/>
      </w:pPr>
      <w:r w:rsidRPr="002D5477">
        <w:t>27.</w:t>
      </w:r>
      <w:r w:rsidRPr="002D5477">
        <w:tab/>
        <w:t xml:space="preserve">uznává, že malé a střední podniky často disponují omezenými administrativními zdroji a čelí vyšším výpůjčním nákladům než velké korporace v důsledku méně příznivých podmínek pro poskytování bankovních úvěrů, a považuje za nezbytné nabízet jim jednoduché a snadno dostupné nástroje financování; důrazně proto vybízí skupinu EIB, aby své programy navrhovala tak, aby se zjednodušily administrativní postupy a </w:t>
      </w:r>
      <w:r w:rsidRPr="002D5477">
        <w:lastRenderedPageBreak/>
        <w:t>zároveň poskytla potřebná technická pomoc a odpovídající financování poradenských služeb, čímž se zlepší jejich dostupnost pro malé a střední podniky;</w:t>
      </w:r>
    </w:p>
    <w:p w:rsidR="00DC783E" w:rsidRPr="002D5477" w:rsidRDefault="00DC783E" w:rsidP="00DC783E">
      <w:pPr>
        <w:pStyle w:val="NormalHanging12a"/>
      </w:pPr>
      <w:r w:rsidRPr="002D5477">
        <w:t>28.</w:t>
      </w:r>
      <w:r w:rsidRPr="002D5477">
        <w:tab/>
        <w:t>znovu vyzývá skupinu EIB, aby přispívala ke snaze vytvořit řešení založená na datech a přitom se soustředila zejména na konkurenceschopnost malých a středních podniků a aby své investice v této oblasti zaměřila na překlenutí digitální propasti jak v rámci EU, tak mezi EU a dalšími technologicky vyspělejšími světovými regiony; vyzývá skupinu EIB, aby zvýšila investice do digitalizace, vývoje špičkových technologií, jako je umělá inteligence, a do zvyšování kvalifikace a rekvalifikace pracovníků, které jsou nezbytné pro silnou průmyslovou základnu;</w:t>
      </w:r>
    </w:p>
    <w:p w:rsidR="00DC783E" w:rsidRPr="002D5477" w:rsidRDefault="00DC783E" w:rsidP="00DC783E">
      <w:pPr>
        <w:pStyle w:val="Normal12a24b"/>
        <w:spacing w:before="0"/>
        <w:rPr>
          <w:rStyle w:val="BoldItalic"/>
        </w:rPr>
      </w:pPr>
      <w:r w:rsidRPr="002D5477">
        <w:rPr>
          <w:rStyle w:val="BoldItalic"/>
        </w:rPr>
        <w:t>Ukrajina</w:t>
      </w:r>
    </w:p>
    <w:p w:rsidR="00DC783E" w:rsidRPr="002D5477" w:rsidRDefault="00DC783E" w:rsidP="00DC783E">
      <w:pPr>
        <w:pStyle w:val="NormalHanging12a"/>
      </w:pPr>
      <w:r w:rsidRPr="002D5477">
        <w:t>29.</w:t>
      </w:r>
      <w:r w:rsidRPr="002D5477">
        <w:tab/>
        <w:t>vítá iniciativu EU pro Ukrajinu, kterou EIB zahájila v březnu 2023 s cílem financovat rekonstrukci a oživení na Ukrajině a která je zamýšlena jako dočasné ujednání, které EIB umožní se v této zemi nadále angažovat a zároveň zavést očekávanou střednědobou podporu EU; připomíná v tomto ohledu význam rozpočtu EU jako ručitele operací EIB v případech, kdy zahrnují poskytování úvěrů mimo EU na provádění programů EU; vyzývá ke zvýšení záruk poskytovaných EIB z rozpočtu EU s cílem umožnit EIB pokračovat v provádění důležitých operací veřejného a soukromého sektoru na Ukrajině a rozšířit svou činnost na globálním jihu; vítá skutečnost, že všechny činnosti EIB na Ukrajině se řídí prioritami pro sociální, hospodářské a environmentální oživení a obnovu v souladu se zásadou „obnovou k lepšímu“ a že budou v plném souladu s připravovaným Plánem pro Ukrajinu; vítá složku technické pomoci, jež má zajistit optimální přípravu a provádění projektů, jakož i opatření pro budování kapacit; předpokládá, že nadcházející třetí rychlé posouzení škod a potřeb, které provede Světová banka v koordinaci s Komisí, EIB a ukrajinskou vládou, ukáže na výrazně zvýšené potřeby; vítá snahy EIB předcházet podvodům a korupci v souvislosti s jejími projekty na Ukrajině, odrazovat od nich a vyšetřovat je;</w:t>
      </w:r>
    </w:p>
    <w:p w:rsidR="00DC783E" w:rsidRPr="002D5477" w:rsidRDefault="00DC783E" w:rsidP="00DC783E">
      <w:pPr>
        <w:pStyle w:val="NormalHanging12a"/>
      </w:pPr>
      <w:r w:rsidRPr="002D5477">
        <w:t>30.</w:t>
      </w:r>
      <w:r w:rsidRPr="002D5477">
        <w:tab/>
        <w:t>zdůrazňuje skutečnost, že ruská útočná válka má dopad i na regiony v EU a má významné hospodářské důsledky, zejména v zemích východních hranic EU a jejich sousedství, a že rovněž způsobila vážnou humanitární krizi; zdůrazňuje, že při budoucím plánování investic je třeba zohlednit změny v dodavatelských řetězcích a obchodních a hospodářských vztazích způsobené válkou; vyzývá EIB, aby zohlednila geopolitickou situaci a potřebné investice v zemích v přední linii, včetně infrastruktury a řízení hranic;</w:t>
      </w:r>
    </w:p>
    <w:p w:rsidR="00DC783E" w:rsidRPr="002D5477" w:rsidRDefault="00DC783E" w:rsidP="00DC783E">
      <w:pPr>
        <w:pStyle w:val="NormalHanging12a"/>
        <w:rPr>
          <w:iCs/>
        </w:rPr>
      </w:pPr>
      <w:r w:rsidRPr="002D5477">
        <w:t>31.</w:t>
      </w:r>
      <w:r w:rsidRPr="002D5477">
        <w:tab/>
        <w:t>připomíná, že útočná válka Ruska proti Ukrajině znamenala zvrat, neboť zásadně změnila evropské bezpečnostní prostředí a vyžaduje zvýšení připravenosti na obranu, a tudíž dostatečné investice; zdůrazňuje, že je třeba co nejúčinněji využívat všechny nástroje, které má EIB k dispozici; vyzývá EIB, aby zvýšila svou podporu poskytovanou strategické evropské bezpečnostní iniciativě a evropskému obrannému průmyslu, včetně malých a středních podniků, zejména s cílem přispět k trvalé podpoře Ukrajiny;</w:t>
      </w:r>
      <w:r w:rsidR="00FF21BF">
        <w:t xml:space="preserve"> </w:t>
      </w:r>
      <w:r w:rsidR="00FF21BF" w:rsidRPr="00FF21BF">
        <w:t>vyzývá EIB, aby upravila svůj seznam způsobilosti tak, aby střelivo a vojenské vybavení, které jdou nad rámec uplatňování dvojího užití, již nebyly vyloučeny z financování ze strany EIB;</w:t>
      </w:r>
    </w:p>
    <w:p w:rsidR="00DC783E" w:rsidRPr="002D5477" w:rsidRDefault="00DC783E" w:rsidP="00DC783E">
      <w:pPr>
        <w:pStyle w:val="NormalHanging12a"/>
        <w:rPr>
          <w:rStyle w:val="BoldItalic"/>
        </w:rPr>
      </w:pPr>
      <w:r w:rsidRPr="002D5477">
        <w:rPr>
          <w:rStyle w:val="BoldItalic"/>
        </w:rPr>
        <w:t xml:space="preserve">EIB </w:t>
      </w:r>
      <w:proofErr w:type="spellStart"/>
      <w:r w:rsidRPr="002D5477">
        <w:rPr>
          <w:rStyle w:val="BoldItalic"/>
        </w:rPr>
        <w:t>Global</w:t>
      </w:r>
      <w:proofErr w:type="spellEnd"/>
    </w:p>
    <w:p w:rsidR="00DC783E" w:rsidRPr="002D5477" w:rsidRDefault="00DC783E" w:rsidP="00DC783E">
      <w:pPr>
        <w:pStyle w:val="NormalHanging12a"/>
      </w:pPr>
      <w:r w:rsidRPr="002D5477">
        <w:lastRenderedPageBreak/>
        <w:t>32.</w:t>
      </w:r>
      <w:r w:rsidRPr="002D5477">
        <w:tab/>
        <w:t xml:space="preserve">očekává, že činnosti EIB </w:t>
      </w:r>
      <w:proofErr w:type="spellStart"/>
      <w:r w:rsidRPr="002D5477">
        <w:t>Global</w:t>
      </w:r>
      <w:proofErr w:type="spellEnd"/>
      <w:r w:rsidRPr="002D5477">
        <w:t xml:space="preserve"> budou i v budoucnu sladěny se strategickými zájmy a cíli vnější politiky EU; vítá zapojení EIB do iniciativy </w:t>
      </w:r>
      <w:proofErr w:type="spellStart"/>
      <w:r w:rsidRPr="002D5477">
        <w:t>Global</w:t>
      </w:r>
      <w:proofErr w:type="spellEnd"/>
      <w:r w:rsidRPr="002D5477">
        <w:t xml:space="preserve"> </w:t>
      </w:r>
      <w:proofErr w:type="spellStart"/>
      <w:r w:rsidRPr="002D5477">
        <w:t>Gateway</w:t>
      </w:r>
      <w:proofErr w:type="spellEnd"/>
      <w:r w:rsidRPr="002D5477">
        <w:t xml:space="preserve">, která bude především podporovat investice do infrastruktury a malých a středních podniků, čímž přispěje k cíli EU, kterým je posílení její strategické autonomie; předpokládá, že EIB </w:t>
      </w:r>
      <w:proofErr w:type="spellStart"/>
      <w:r w:rsidRPr="002D5477">
        <w:t>Global</w:t>
      </w:r>
      <w:proofErr w:type="spellEnd"/>
      <w:r w:rsidRPr="002D5477">
        <w:t xml:space="preserve"> zajistí, aby se investice jasně doplňovaly, vytvářely dlouhodobé pozitivní účinky a přinášely prospěch komunitám, které jsou příjemci pomoci, tím, že chrání přírodní a kulturní dědictví, zvyšují odolnost vůči změně klimatu, vytvářejí místní pracovní místa a zmírňují chudobu; domnívá se, že zúčastněné strany přijímající země, jako jsou veřejné orgány, občanská společnost a sociální partneři, musí být do rozhodování o projektech strategie </w:t>
      </w:r>
      <w:proofErr w:type="spellStart"/>
      <w:r w:rsidRPr="002D5477">
        <w:t>Global</w:t>
      </w:r>
      <w:proofErr w:type="spellEnd"/>
      <w:r w:rsidRPr="002D5477">
        <w:t xml:space="preserve"> </w:t>
      </w:r>
      <w:proofErr w:type="spellStart"/>
      <w:r w:rsidRPr="002D5477">
        <w:t>Gateway</w:t>
      </w:r>
      <w:proofErr w:type="spellEnd"/>
      <w:r w:rsidRPr="002D5477">
        <w:t xml:space="preserve"> a jejího provádění zapojeny; dále připomíná, že úspěch EIB </w:t>
      </w:r>
      <w:proofErr w:type="spellStart"/>
      <w:r w:rsidRPr="002D5477">
        <w:t>Global</w:t>
      </w:r>
      <w:proofErr w:type="spellEnd"/>
      <w:r w:rsidRPr="002D5477">
        <w:t xml:space="preserve"> závisí na odpovídajícím počtu zaměstnanců v terénu, včetně místních pracovníků; </w:t>
      </w:r>
    </w:p>
    <w:p w:rsidR="00DC783E" w:rsidRPr="002D5477" w:rsidRDefault="00DC783E" w:rsidP="00DC783E">
      <w:pPr>
        <w:pStyle w:val="NormalHanging12a"/>
      </w:pPr>
      <w:r w:rsidRPr="002D5477">
        <w:t>33.</w:t>
      </w:r>
      <w:r w:rsidRPr="002D5477">
        <w:tab/>
        <w:t xml:space="preserve">konstatuje, že od zřízení nové rozvojové složky EIB </w:t>
      </w:r>
      <w:proofErr w:type="spellStart"/>
      <w:r w:rsidRPr="002D5477">
        <w:t>Global</w:t>
      </w:r>
      <w:proofErr w:type="spellEnd"/>
      <w:r w:rsidRPr="002D5477">
        <w:t xml:space="preserve"> rekordně využívala specializované investiční okno, které jí bylo svěřeno v rámci Nástroje pro sousedství a rozvojovou a mezinárodní spolupráci – Globální Evropa, a v roce 2022 poskytla více než 10 miliard EUR, zejména na podporu Ukrajiny a strategie </w:t>
      </w:r>
      <w:proofErr w:type="spellStart"/>
      <w:r w:rsidRPr="002D5477">
        <w:t>Global</w:t>
      </w:r>
      <w:proofErr w:type="spellEnd"/>
      <w:r w:rsidRPr="002D5477">
        <w:t xml:space="preserve"> </w:t>
      </w:r>
      <w:proofErr w:type="spellStart"/>
      <w:r w:rsidRPr="002D5477">
        <w:t>Gateway</w:t>
      </w:r>
      <w:proofErr w:type="spellEnd"/>
      <w:r w:rsidRPr="002D5477">
        <w:t xml:space="preserve">; bere na vědomí strategický plán EIB </w:t>
      </w:r>
      <w:proofErr w:type="spellStart"/>
      <w:r w:rsidRPr="002D5477">
        <w:t>Global</w:t>
      </w:r>
      <w:proofErr w:type="spellEnd"/>
      <w:r w:rsidRPr="002D5477">
        <w:t xml:space="preserve"> a předpoklad, že pomůže zprostředkovat alespoň třetinu investic ve výši 300 miliard EUR, které mají být vytvořeny do konce roku 2027; vítá cíl, aby do roku 2025 bylo více než 50 % ročních úvěrů určeno na investice do opatření v oblasti klimatu a environmentální udržitelnosti; očekává, že financování přispěje k inkluzivní a spravedlivé transformaci na celém světě; dále očekává, že EIB </w:t>
      </w:r>
      <w:proofErr w:type="spellStart"/>
      <w:r w:rsidRPr="002D5477">
        <w:t>Global</w:t>
      </w:r>
      <w:proofErr w:type="spellEnd"/>
      <w:r w:rsidRPr="002D5477">
        <w:t xml:space="preserve"> smysluplně přispěje k cíli EU, aby 85 % veškerých nových vnějších opatření podporovalo rovnost žen a mužů až do roku 2025; vítá pokrok, jehož bylo dosaženo při zřizování fondu </w:t>
      </w:r>
      <w:proofErr w:type="spellStart"/>
      <w:r w:rsidRPr="002D5477">
        <w:t>Global</w:t>
      </w:r>
      <w:proofErr w:type="spellEnd"/>
      <w:r w:rsidRPr="002D5477">
        <w:t xml:space="preserve"> </w:t>
      </w:r>
      <w:proofErr w:type="spellStart"/>
      <w:r w:rsidRPr="002D5477">
        <w:t>Gateway</w:t>
      </w:r>
      <w:proofErr w:type="spellEnd"/>
      <w:r w:rsidRPr="002D5477">
        <w:t xml:space="preserve"> v rámci Evropského fondu pro udržitelný rozvoj plus, který by měl financovat investice soukromého sektoru s velkým dopadem a poskytovat kapitálové a dluhové financování pro projekty infrastruktury s velkým dopadem, čistou energii a projekty lidského rozvoje po celém světě; vyjadřuje znepokojení nad tím, že chybí inkluzivní a smysluplné konzultace se zúčastněnými stranami, jichž se operace EIB </w:t>
      </w:r>
      <w:proofErr w:type="spellStart"/>
      <w:r w:rsidRPr="002D5477">
        <w:t>Global</w:t>
      </w:r>
      <w:proofErr w:type="spellEnd"/>
      <w:r w:rsidRPr="002D5477">
        <w:t xml:space="preserve"> týkají; vyzývá k větší podpoře projektů s omezenou bankovní </w:t>
      </w:r>
      <w:proofErr w:type="spellStart"/>
      <w:r w:rsidRPr="002D5477">
        <w:t>financovatelností</w:t>
      </w:r>
      <w:proofErr w:type="spellEnd"/>
      <w:r w:rsidRPr="002D5477">
        <w:t xml:space="preserve"> a vysokou návratností pro veřejnost a ke snížení minimální výše úvěru u jednotlivých projektů, zejména v méně rozvinutých zemích;</w:t>
      </w:r>
    </w:p>
    <w:p w:rsidR="00DC783E" w:rsidRPr="002D5477" w:rsidRDefault="00DC783E" w:rsidP="00DC783E">
      <w:pPr>
        <w:pStyle w:val="NormalHanging12a"/>
      </w:pPr>
      <w:r w:rsidRPr="002D5477">
        <w:t>34.</w:t>
      </w:r>
      <w:r w:rsidRPr="002D5477">
        <w:tab/>
        <w:t xml:space="preserve">znovu vyzývá EIB </w:t>
      </w:r>
      <w:proofErr w:type="spellStart"/>
      <w:r w:rsidRPr="002D5477">
        <w:t>Global</w:t>
      </w:r>
      <w:proofErr w:type="spellEnd"/>
      <w:r w:rsidRPr="002D5477">
        <w:t>, aby omezila operace kombinování zdrojů na oblasti, v nichž mohou přinést přidanou hodnotu místnímu hospodářství, a zároveň zabránila vytěsňování soukromého kapitálu a zajistila, aby kombinované financování nebylo využíváno na základní veřejné služby, zejména na zdravotnictví, vzdělávání a sociální ochranu; připomíná, že cíle rozvojové politiky EU, a zejména cíl zlepšit všeobecný a cenově dostupný přístup ke zdravotní péči, by měly být vodítkem pro investice EIB v této oblasti tak, aby byly zajištěny lepší výsledky v oblasti zdraví pro všechny, zejména pak pro ženy;</w:t>
      </w:r>
    </w:p>
    <w:p w:rsidR="00DC783E" w:rsidRPr="002D5477" w:rsidRDefault="00DC783E" w:rsidP="00DC783E">
      <w:pPr>
        <w:pStyle w:val="NormalHanging12a"/>
      </w:pPr>
      <w:r w:rsidRPr="002D5477">
        <w:t>35.</w:t>
      </w:r>
      <w:r w:rsidRPr="002D5477">
        <w:tab/>
        <w:t>vyjadřuje znepokojení nad rychle rostoucími úrovněmi zadlužení a vyššími výpůjčními náklady v rozvíjejících se a rozvojových ekonomikách, přičemž se odhaduje, že 60 % zemí s nízkými příjmy se již potýká s problémy veřejného dluhu nebo vysokým rizikem dluhové tísně</w:t>
      </w:r>
      <w:r w:rsidRPr="002D5477">
        <w:rPr>
          <w:vertAlign w:val="superscript"/>
        </w:rPr>
        <w:footnoteReference w:id="4"/>
      </w:r>
      <w:r w:rsidRPr="002D5477">
        <w:t xml:space="preserve">; zdůrazňuje důležitou úlohu EIB a dalších mnohostranných institucí při </w:t>
      </w:r>
      <w:r w:rsidRPr="002D5477">
        <w:lastRenderedPageBreak/>
        <w:t>poskytování finančních prostředků za zvýhodněných podmínek s cílem zmírnit neudržitelnou dluhovou zátěž;</w:t>
      </w:r>
    </w:p>
    <w:p w:rsidR="00DC783E" w:rsidRPr="002D5477" w:rsidRDefault="00DC783E" w:rsidP="00DC783E">
      <w:pPr>
        <w:pStyle w:val="NormalHanging12a"/>
      </w:pPr>
      <w:r w:rsidRPr="002D5477">
        <w:t>36.</w:t>
      </w:r>
      <w:r w:rsidRPr="002D5477">
        <w:tab/>
        <w:t xml:space="preserve">je toho názoru, že EIB </w:t>
      </w:r>
      <w:proofErr w:type="spellStart"/>
      <w:r w:rsidRPr="002D5477">
        <w:t>Global</w:t>
      </w:r>
      <w:proofErr w:type="spellEnd"/>
      <w:r w:rsidRPr="002D5477">
        <w:t xml:space="preserve"> by měla nést odpovědnost za dodržování zásad stanovených v Pařížské deklaraci o účinnosti pomoci a v Akčním programu z Akkry (vlastní odpovědnost, sladění, harmonizace, řízení zaměřené na výsledky a vzájemná odpovědnost); v této souvislosti je obzvláště znepokojen střetem zájmů mezi exportními úvěrovými agenturami a financováním rozvoje ze strany EIB </w:t>
      </w:r>
      <w:proofErr w:type="spellStart"/>
      <w:r w:rsidRPr="002D5477">
        <w:t>Global</w:t>
      </w:r>
      <w:proofErr w:type="spellEnd"/>
      <w:r w:rsidRPr="002D5477">
        <w:t xml:space="preserve">, jakož i dopadem příslušných investic EIB </w:t>
      </w:r>
      <w:proofErr w:type="spellStart"/>
      <w:r w:rsidRPr="002D5477">
        <w:t>Global</w:t>
      </w:r>
      <w:proofErr w:type="spellEnd"/>
      <w:r w:rsidRPr="002D5477">
        <w:t xml:space="preserve"> na rozvojovou doplňkovost;</w:t>
      </w:r>
    </w:p>
    <w:p w:rsidR="00DC783E" w:rsidRPr="002D5477" w:rsidRDefault="00DC783E" w:rsidP="00DC783E">
      <w:pPr>
        <w:pStyle w:val="NormalHanging12a"/>
      </w:pPr>
      <w:r w:rsidRPr="002D5477">
        <w:t>37.</w:t>
      </w:r>
      <w:r w:rsidRPr="002D5477">
        <w:tab/>
        <w:t xml:space="preserve">bere na vědomí informativní poznámku EIB, která shrnuje její přístup k lidským právům; připomíná EIB, že je důležité, aby začlenila lidská práva do svých postupů náležité péče, prováděla posouzení dopadu na lidská práva, zakotvila svůj obecný závazek v oblasti lidských práv a působila v plném souladu s článkem 2 Smlouvy o fungování Evropské unie; znovu vyzývá k přijetí jednoznačných a závazných pravidel, jež doplní informační poznámku shrnující přístup EIB </w:t>
      </w:r>
      <w:proofErr w:type="spellStart"/>
      <w:r w:rsidRPr="002D5477">
        <w:t>Global</w:t>
      </w:r>
      <w:proofErr w:type="spellEnd"/>
      <w:r w:rsidRPr="002D5477">
        <w:t xml:space="preserve"> k lidským právům, zejména v případě posuzování a ukončení spolupráce; zvláštní politování vyjadřuje nad tím, že EIB od roku 2015 nevyžaduje, aby předkladatelé projektů prováděli samostatné posuzování dopadů na lidská práva; vyzývá proto EIB, aby předložila strategii v oblasti lidských práv a posouzení a hodnocení svých programů v oblasti lidských práv, a to i reálné situace přímo na místě v přijímacích zemích, s cílem zajistit, aby byly konzultovány místní komunity a aby bylo systematicky uplatňováno právo na svobodný předchozí a informovaný souhlas; vyzývá dále EIB, aby vypracovala zvláštní politiky týkající se obhájců lidských práv a protokoly s cílem reagovat na rizika odvetných opatření; zdůrazňuje, že by měla být přijata konkrétní opatření, která by do konzultací zapojovala původní obyvatelstvo, ženy, osoby se zdravotním postižením a další zranitelné skupiny;</w:t>
      </w:r>
    </w:p>
    <w:p w:rsidR="00DC783E" w:rsidRPr="002D5477" w:rsidRDefault="00DC783E" w:rsidP="00DC783E">
      <w:pPr>
        <w:pStyle w:val="NormalHanging12a"/>
      </w:pPr>
      <w:r w:rsidRPr="002D5477">
        <w:t>38.</w:t>
      </w:r>
      <w:r w:rsidRPr="002D5477">
        <w:tab/>
        <w:t>opakuje svou výzvu EIB, aby zajistila, že všechny její operace budou prospěšné pro ženy a dívky a budou přispívat k posílení jejich ekonomického postavení a zaměstnanosti; domnívá se, že EIB by mohla dále zvýšit objem mikroúvěrů pro podniky vedené ženami, které stále čelí diskriminaci v přístupu k financování;</w:t>
      </w:r>
    </w:p>
    <w:p w:rsidR="00DC783E" w:rsidRPr="002D5477" w:rsidRDefault="00DC783E" w:rsidP="00DC783E">
      <w:pPr>
        <w:pStyle w:val="NormalHanging12a"/>
      </w:pPr>
      <w:r w:rsidRPr="002D5477">
        <w:t>39.</w:t>
      </w:r>
      <w:r w:rsidRPr="002D5477">
        <w:tab/>
        <w:t>žádá EIB, aby spolupracovala s dalšími dvoustrannými a mnohostrannými institucemi s cílem vypracovat a uplatňovat společné metodiky pro analýzu účinků na rozvoj s cílem zajistit dlouhodobé pozitivní účinky a přidanou hodnotu;</w:t>
      </w:r>
    </w:p>
    <w:p w:rsidR="00DC783E" w:rsidRPr="002D5477" w:rsidRDefault="00DC783E" w:rsidP="00DC783E">
      <w:pPr>
        <w:pStyle w:val="Normal12a24b"/>
      </w:pPr>
      <w:r w:rsidRPr="002D5477">
        <w:rPr>
          <w:rStyle w:val="BoldItalic"/>
        </w:rPr>
        <w:t>Transparentnost a správa</w:t>
      </w:r>
    </w:p>
    <w:p w:rsidR="00DC783E" w:rsidRPr="002D5477" w:rsidRDefault="00DC783E" w:rsidP="00DC783E">
      <w:pPr>
        <w:pStyle w:val="NormalHanging12a"/>
        <w:rPr>
          <w:snapToGrid/>
          <w:szCs w:val="24"/>
        </w:rPr>
      </w:pPr>
      <w:r w:rsidRPr="002D5477">
        <w:t>40.</w:t>
      </w:r>
      <w:r w:rsidRPr="002D5477">
        <w:tab/>
        <w:t>připomíná, že finanční prostředky EIB jsou veřejnými prostředky a že jejich využívání by mělo vždy podléhat veřejné kontrole a odpovědnosti; oceňuje, že EIB v indexu transparentnosti přímých zahraničních investic za rok 2023 získala hodnocení „uspokojivý“; vyzývá EIB, aby aktivně a včas zveřejňovala podrobnější informace o projektech, včetně odůvodnění a kontextu projektů, a vysvětlila, jak jsou v souladu s politickými cíli EU a jak tyto cíle podporují, a očekává, že EIB omezí nezveřejňování informací na platné výjimky uvedené v nařízení (ES) č. 1049/2001</w:t>
      </w:r>
      <w:r w:rsidRPr="002D5477">
        <w:rPr>
          <w:rStyle w:val="FootnoteReference"/>
        </w:rPr>
        <w:footnoteReference w:id="5"/>
      </w:r>
      <w:r w:rsidRPr="002D5477">
        <w:t xml:space="preserve"> a nařízení (ES) </w:t>
      </w:r>
      <w:r w:rsidRPr="002D5477">
        <w:lastRenderedPageBreak/>
        <w:t>č. 1367/2006</w:t>
      </w:r>
      <w:r w:rsidRPr="002D5477">
        <w:rPr>
          <w:rStyle w:val="FootnoteReference"/>
        </w:rPr>
        <w:footnoteReference w:id="6"/>
      </w:r>
      <w:r w:rsidRPr="002D5477">
        <w:t>; naléhavě vyzývá EIB, aby provedla doporučení evropské veřejné ochránkyně práv ze dne 20. listopadu 2023 ve věci 2252/2022/OAM a ze dne 21. dubna 2022 ve věci 1251/2020/PB a umožnila tím smysluplně posoudit environmentální a sociální aspekty projektů, které zvažuje financovat;</w:t>
      </w:r>
    </w:p>
    <w:p w:rsidR="00DC783E" w:rsidRPr="002D5477" w:rsidRDefault="00DC783E" w:rsidP="00DC783E">
      <w:pPr>
        <w:pStyle w:val="NormalHanging12a"/>
      </w:pPr>
      <w:r w:rsidRPr="002D5477">
        <w:t>41.</w:t>
      </w:r>
      <w:r w:rsidRPr="002D5477">
        <w:tab/>
        <w:t>vyzývá k větší odpovědnosti EIB vůči orgánům EU, zejména vůči Parlamentu, neboť transparentnost je jedním ze základních kamenů demokracie; vyzývá proto EIB, aby více informovala Parlament o svých rozhodnutích, dosaženém pokroku a dopadu svých úvěrových činností, zejména prostřednictvím pravidelných strukturovaných dialogů mezi Parlamentem a EIB; opakuje svou žádost o uzavření interinstitucionální dohody mezi Parlamentem a EIB s cílem zlepšit přístup k dokumentům a údajům EIB a posílit demokratickou odpovědnost, včetně možnosti pokládat EIB otázky k písemnému zodpovězení, jak už je tomu v případě Evropské centrální banky;</w:t>
      </w:r>
    </w:p>
    <w:p w:rsidR="00DC783E" w:rsidRPr="002D5477" w:rsidRDefault="00DC783E" w:rsidP="00DC783E">
      <w:pPr>
        <w:pStyle w:val="NormalHanging12a"/>
      </w:pPr>
      <w:r w:rsidRPr="002D5477">
        <w:t>42.</w:t>
      </w:r>
      <w:r w:rsidRPr="002D5477">
        <w:tab/>
        <w:t>opětovně vyzývá EIB, aby posílila svoji politiku boje proti daňovým podvodům, daňovým únikům a vyhýbání se daňovým povinnostem, mimo jiné tím, že nebude financovat příjemce nebo finanční zprostředkovatele, kteří se v minulosti prokazatelně dopustili prohřešků; vyzývá EIB, aby prosazovala preventivní opatření a pravidelné daňové výměry namířené proti nespolupracujícím daňovým jurisdikcím, daňovým podvodům a daňovým únikům, jakož i nezákonnému a agresivnímu vyhýbání se daňovým povinnostem;</w:t>
      </w:r>
    </w:p>
    <w:p w:rsidR="00DC783E" w:rsidRPr="002D5477" w:rsidRDefault="00DC783E" w:rsidP="00DC783E">
      <w:pPr>
        <w:pStyle w:val="NormalHanging12a"/>
      </w:pPr>
      <w:r w:rsidRPr="002D5477">
        <w:t>43.</w:t>
      </w:r>
      <w:r w:rsidRPr="002D5477">
        <w:tab/>
        <w:t xml:space="preserve">vybízí viceprezidenty EIB, aby se nepodíleli na návrzích projektů ze svých domovských zemí; vyzývá EIB, aby plně provedla všechna doporučení veřejné ochránkyně práv ze dne 27. července 2022 ve věci 1016/2021/KR a ze dne 31. října 2023 ve věci </w:t>
      </w:r>
      <w:r w:rsidRPr="006B5178">
        <w:rPr>
          <w:shd w:val="clear" w:color="auto" w:fill="FFFFFF"/>
        </w:rPr>
        <w:t>611/2022/KR</w:t>
      </w:r>
      <w:r w:rsidRPr="006B5178">
        <w:t>,</w:t>
      </w:r>
      <w:r w:rsidRPr="002D5477">
        <w:t xml:space="preserve"> pokud jde o činnost bývalých členů jejího řídícího výboru; vyzývá členy řídícího výboru EIB, aby zveřejňovali svá plánovaná setkání s externími zúčastněnými stranami, a opakuje požadavek, aby byl obsah schůzí řídících orgánů EIB systematicky zveřejňován s cílem dále zlepšovat transparentnost; </w:t>
      </w:r>
    </w:p>
    <w:p w:rsidR="00DC783E" w:rsidRPr="0048075E" w:rsidRDefault="00DC783E" w:rsidP="00DC783E">
      <w:pPr>
        <w:pStyle w:val="NormalHanging12a"/>
      </w:pPr>
      <w:r w:rsidRPr="002D5477">
        <w:t>44.</w:t>
      </w:r>
      <w:r w:rsidRPr="002D5477">
        <w:tab/>
      </w:r>
      <w:r w:rsidR="00FF21BF">
        <w:t xml:space="preserve">konstatuje, že EIB dosáhla pokroku při dosahování </w:t>
      </w:r>
      <w:proofErr w:type="spellStart"/>
      <w:r w:rsidR="00FF21BF">
        <w:t>genderově</w:t>
      </w:r>
      <w:proofErr w:type="spellEnd"/>
      <w:r w:rsidR="00FF21BF">
        <w:t xml:space="preserve"> vyváženější pracovní síly, ačkoli ženy jsou i nadále nedostatečně zastoupeny na vyšších pozicích a v klíčových oblastech činnosti</w:t>
      </w:r>
      <w:bookmarkStart w:id="7" w:name="_GoBack"/>
      <w:bookmarkEnd w:id="7"/>
      <w:r w:rsidR="00FF21BF">
        <w:t xml:space="preserve">; vyjadřuje politování nad tím, že EIB nedosáhla svých cílů v oblasti vyváženého zastoupení žen a mužů na různých úrovních, pokud jde o ženy, které stanovila ve své strategii EIB pro rozmanitost a začleňování na období 2018–2021; vyzývá proto banku, aby </w:t>
      </w:r>
      <w:r w:rsidR="00FF21BF" w:rsidRPr="00CD1D37">
        <w:t>zintenzívnila</w:t>
      </w:r>
      <w:r w:rsidR="00FF21BF" w:rsidRPr="0048075E">
        <w:t xml:space="preserve"> své úsilí o </w:t>
      </w:r>
      <w:r w:rsidR="00FF21BF" w:rsidRPr="00CD1D37">
        <w:t>zvýšení genderové rozmanitosti s cílem dosáhnout genderové rovnosti</w:t>
      </w:r>
      <w:r w:rsidR="00FF21BF" w:rsidRPr="0048075E">
        <w:t xml:space="preserve"> a </w:t>
      </w:r>
      <w:r w:rsidR="00FF21BF" w:rsidRPr="00CD1D37">
        <w:t>lepší rovnováhy mezi muži a ženami</w:t>
      </w:r>
      <w:r w:rsidR="00FF21BF" w:rsidRPr="0048075E">
        <w:t xml:space="preserve"> ve všech funkcích, a zejména </w:t>
      </w:r>
      <w:r w:rsidR="00FF21BF" w:rsidRPr="00CD1D37">
        <w:t xml:space="preserve"> </w:t>
      </w:r>
      <w:r w:rsidR="00FF21BF" w:rsidRPr="0048075E">
        <w:t xml:space="preserve">na vyšších a řídících pozicích, a aby zároveň zachovala zeměpisnou vyváženost; vyzývá EIB, aby </w:t>
      </w:r>
      <w:r w:rsidR="00FF21BF" w:rsidRPr="00CD1D37">
        <w:t xml:space="preserve">v rámci své organizace </w:t>
      </w:r>
      <w:r w:rsidR="00FF21BF" w:rsidRPr="0048075E">
        <w:t xml:space="preserve">dále </w:t>
      </w:r>
      <w:r w:rsidR="00FF21BF" w:rsidRPr="00CD1D37">
        <w:t>zvyšovala podporu všech forem rozmanitosti</w:t>
      </w:r>
      <w:r w:rsidR="00FF21BF" w:rsidRPr="0048075E">
        <w:t xml:space="preserve"> a začleňování</w:t>
      </w:r>
      <w:r w:rsidR="00FF21BF" w:rsidRPr="00CD1D37">
        <w:t xml:space="preserve"> a stanovila si ambiciózní cíle</w:t>
      </w:r>
      <w:r w:rsidR="00FF21BF" w:rsidRPr="0048075E">
        <w:t>;</w:t>
      </w:r>
    </w:p>
    <w:p w:rsidR="00DC783E" w:rsidRPr="002D5477" w:rsidRDefault="00DC783E" w:rsidP="00DC783E">
      <w:pPr>
        <w:pStyle w:val="NormalCenter12a"/>
      </w:pPr>
      <w:r w:rsidRPr="002D5477">
        <w:t>°</w:t>
      </w:r>
    </w:p>
    <w:p w:rsidR="00DC783E" w:rsidRPr="002D5477" w:rsidRDefault="00DC783E" w:rsidP="00DC783E">
      <w:pPr>
        <w:pStyle w:val="NormalCenter12a"/>
      </w:pPr>
      <w:r w:rsidRPr="002D5477">
        <w:t>°</w:t>
      </w:r>
      <w:r w:rsidRPr="002D5477">
        <w:tab/>
        <w:t>°</w:t>
      </w:r>
    </w:p>
    <w:p w:rsidR="00DC783E" w:rsidRPr="002D5477" w:rsidRDefault="00DC783E" w:rsidP="00DC783E">
      <w:pPr>
        <w:pStyle w:val="NormalHanging12a"/>
      </w:pPr>
      <w:r w:rsidRPr="002D5477">
        <w:lastRenderedPageBreak/>
        <w:t>45.</w:t>
      </w:r>
      <w:r w:rsidRPr="002D5477">
        <w:tab/>
        <w:t>pověřuje svou předsedkyni, aby toto usnesení předala Radě, Komisi a Evropské investiční bance.</w:t>
      </w:r>
    </w:p>
    <w:p w:rsidR="00DC783E" w:rsidRPr="002D5477" w:rsidRDefault="00DC783E" w:rsidP="00DC783E"/>
    <w:sectPr w:rsidR="00DC783E" w:rsidRPr="002D5477" w:rsidSect="002D54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B9F" w:rsidRPr="002D5477" w:rsidRDefault="008B3B9F">
      <w:r w:rsidRPr="002D5477">
        <w:separator/>
      </w:r>
    </w:p>
  </w:endnote>
  <w:endnote w:type="continuationSeparator" w:id="0">
    <w:p w:rsidR="008B3B9F" w:rsidRPr="002D5477" w:rsidRDefault="008B3B9F">
      <w:r w:rsidRPr="002D54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54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54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54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B9F" w:rsidRPr="002D5477" w:rsidRDefault="008B3B9F">
      <w:r w:rsidRPr="002D5477">
        <w:separator/>
      </w:r>
    </w:p>
  </w:footnote>
  <w:footnote w:type="continuationSeparator" w:id="0">
    <w:p w:rsidR="008B3B9F" w:rsidRPr="002D5477" w:rsidRDefault="008B3B9F">
      <w:r w:rsidRPr="002D5477">
        <w:continuationSeparator/>
      </w:r>
    </w:p>
  </w:footnote>
  <w:footnote w:id="1">
    <w:p w:rsidR="00DC783E" w:rsidRPr="009D0D0C" w:rsidRDefault="00DC783E" w:rsidP="002D5477">
      <w:pPr>
        <w:pStyle w:val="FootnoteText"/>
        <w:ind w:left="567" w:hanging="567"/>
        <w:rPr>
          <w:snapToGrid w:val="0"/>
          <w:sz w:val="24"/>
          <w:lang w:val="cs-CZ" w:eastAsia="en-US"/>
        </w:rPr>
      </w:pPr>
      <w:r w:rsidRPr="002D5477">
        <w:rPr>
          <w:rStyle w:val="FootnoteReference"/>
          <w:sz w:val="24"/>
          <w:lang w:val="cs-CZ"/>
        </w:rPr>
        <w:footnoteRef/>
      </w:r>
      <w:r w:rsidR="002D5477" w:rsidRPr="002D5477">
        <w:rPr>
          <w:sz w:val="24"/>
          <w:lang w:val="cs-CZ"/>
        </w:rPr>
        <w:t xml:space="preserve"> </w:t>
      </w:r>
      <w:r w:rsidR="002D5477" w:rsidRPr="002D5477">
        <w:rPr>
          <w:sz w:val="24"/>
          <w:lang w:val="cs-CZ"/>
        </w:rPr>
        <w:tab/>
      </w:r>
      <w:proofErr w:type="spellStart"/>
      <w:r w:rsidRPr="009D0D0C">
        <w:rPr>
          <w:snapToGrid w:val="0"/>
          <w:sz w:val="24"/>
          <w:lang w:val="cs-CZ" w:eastAsia="en-US"/>
        </w:rPr>
        <w:t>Úř</w:t>
      </w:r>
      <w:proofErr w:type="spellEnd"/>
      <w:r w:rsidRPr="009D0D0C">
        <w:rPr>
          <w:snapToGrid w:val="0"/>
          <w:sz w:val="24"/>
          <w:lang w:val="cs-CZ" w:eastAsia="en-US"/>
        </w:rPr>
        <w:t xml:space="preserve">. </w:t>
      </w:r>
      <w:proofErr w:type="spellStart"/>
      <w:proofErr w:type="gramStart"/>
      <w:r w:rsidRPr="009D0D0C">
        <w:rPr>
          <w:snapToGrid w:val="0"/>
          <w:sz w:val="24"/>
          <w:lang w:val="cs-CZ" w:eastAsia="en-US"/>
        </w:rPr>
        <w:t>věst</w:t>
      </w:r>
      <w:proofErr w:type="spellEnd"/>
      <w:proofErr w:type="gramEnd"/>
      <w:r w:rsidRPr="009D0D0C">
        <w:rPr>
          <w:snapToGrid w:val="0"/>
          <w:sz w:val="24"/>
          <w:lang w:val="cs-CZ" w:eastAsia="en-US"/>
        </w:rPr>
        <w:t xml:space="preserve">. L 231, </w:t>
      </w:r>
      <w:proofErr w:type="gramStart"/>
      <w:r w:rsidRPr="009D0D0C">
        <w:rPr>
          <w:snapToGrid w:val="0"/>
          <w:sz w:val="24"/>
          <w:lang w:val="cs-CZ" w:eastAsia="en-US"/>
        </w:rPr>
        <w:t>30.6.2021</w:t>
      </w:r>
      <w:proofErr w:type="gramEnd"/>
      <w:r w:rsidRPr="009D0D0C">
        <w:rPr>
          <w:snapToGrid w:val="0"/>
          <w:sz w:val="24"/>
          <w:lang w:val="cs-CZ" w:eastAsia="en-US"/>
        </w:rPr>
        <w:t>, s. 1.</w:t>
      </w:r>
    </w:p>
  </w:footnote>
  <w:footnote w:id="2">
    <w:p w:rsidR="00DC783E" w:rsidRPr="009D0D0C" w:rsidRDefault="00DC783E" w:rsidP="002D5477">
      <w:pPr>
        <w:pStyle w:val="FootnoteText"/>
        <w:ind w:left="567" w:hanging="567"/>
        <w:rPr>
          <w:snapToGrid w:val="0"/>
          <w:sz w:val="24"/>
          <w:lang w:val="cs-CZ" w:eastAsia="en-US"/>
        </w:rPr>
      </w:pPr>
      <w:r w:rsidRPr="009D0D0C">
        <w:rPr>
          <w:snapToGrid w:val="0"/>
          <w:vertAlign w:val="superscript"/>
          <w:lang w:val="cs-CZ" w:eastAsia="en-US"/>
        </w:rPr>
        <w:footnoteRef/>
      </w:r>
      <w:r w:rsidR="002D5477" w:rsidRPr="009D0D0C">
        <w:rPr>
          <w:snapToGrid w:val="0"/>
          <w:sz w:val="24"/>
          <w:lang w:val="cs-CZ" w:eastAsia="en-US"/>
        </w:rPr>
        <w:t xml:space="preserve"> </w:t>
      </w:r>
      <w:r w:rsidR="002D5477" w:rsidRPr="009D0D0C">
        <w:rPr>
          <w:snapToGrid w:val="0"/>
          <w:sz w:val="24"/>
          <w:lang w:val="cs-CZ" w:eastAsia="en-US"/>
        </w:rPr>
        <w:tab/>
      </w:r>
      <w:proofErr w:type="spellStart"/>
      <w:r w:rsidRPr="009D0D0C">
        <w:rPr>
          <w:snapToGrid w:val="0"/>
          <w:sz w:val="24"/>
          <w:lang w:val="cs-CZ" w:eastAsia="en-US"/>
        </w:rPr>
        <w:t>Úř</w:t>
      </w:r>
      <w:proofErr w:type="spellEnd"/>
      <w:r w:rsidRPr="009D0D0C">
        <w:rPr>
          <w:snapToGrid w:val="0"/>
          <w:sz w:val="24"/>
          <w:lang w:val="cs-CZ" w:eastAsia="en-US"/>
        </w:rPr>
        <w:t xml:space="preserve">. </w:t>
      </w:r>
      <w:proofErr w:type="spellStart"/>
      <w:proofErr w:type="gramStart"/>
      <w:r w:rsidRPr="009D0D0C">
        <w:rPr>
          <w:snapToGrid w:val="0"/>
          <w:sz w:val="24"/>
          <w:lang w:val="cs-CZ" w:eastAsia="en-US"/>
        </w:rPr>
        <w:t>věst</w:t>
      </w:r>
      <w:proofErr w:type="spellEnd"/>
      <w:proofErr w:type="gramEnd"/>
      <w:r w:rsidRPr="009D0D0C">
        <w:rPr>
          <w:snapToGrid w:val="0"/>
          <w:sz w:val="24"/>
          <w:lang w:val="cs-CZ" w:eastAsia="en-US"/>
        </w:rPr>
        <w:t xml:space="preserve">. L 274, </w:t>
      </w:r>
      <w:proofErr w:type="gramStart"/>
      <w:r w:rsidRPr="009D0D0C">
        <w:rPr>
          <w:snapToGrid w:val="0"/>
          <w:sz w:val="24"/>
          <w:lang w:val="cs-CZ" w:eastAsia="en-US"/>
        </w:rPr>
        <w:t>30.7.2021</w:t>
      </w:r>
      <w:proofErr w:type="gramEnd"/>
      <w:r w:rsidRPr="009D0D0C">
        <w:rPr>
          <w:snapToGrid w:val="0"/>
          <w:sz w:val="24"/>
          <w:lang w:val="cs-CZ" w:eastAsia="en-US"/>
        </w:rPr>
        <w:t>, s. 1.</w:t>
      </w:r>
    </w:p>
  </w:footnote>
  <w:footnote w:id="3">
    <w:p w:rsidR="00DC783E" w:rsidRPr="002D5477" w:rsidRDefault="00DC783E" w:rsidP="002D5477">
      <w:pPr>
        <w:pStyle w:val="FootnoteText"/>
        <w:ind w:left="567" w:hanging="567"/>
        <w:rPr>
          <w:sz w:val="24"/>
          <w:lang w:val="cs-CZ"/>
        </w:rPr>
      </w:pPr>
      <w:r w:rsidRPr="002D5477">
        <w:rPr>
          <w:rStyle w:val="FootnoteReference"/>
          <w:sz w:val="24"/>
          <w:lang w:val="cs-CZ"/>
        </w:rPr>
        <w:footnoteRef/>
      </w:r>
      <w:r w:rsidR="002D5477" w:rsidRPr="002D5477">
        <w:rPr>
          <w:sz w:val="24"/>
          <w:lang w:val="cs-CZ"/>
        </w:rPr>
        <w:t xml:space="preserve"> </w:t>
      </w:r>
      <w:r w:rsidR="002D5477" w:rsidRPr="002D5477">
        <w:rPr>
          <w:sz w:val="24"/>
          <w:lang w:val="cs-CZ"/>
        </w:rPr>
        <w:tab/>
      </w:r>
      <w:r w:rsidR="009D0D0C">
        <w:rPr>
          <w:sz w:val="24"/>
          <w:lang w:val="cs-CZ"/>
        </w:rPr>
        <w:t>N</w:t>
      </w:r>
      <w:r w:rsidRPr="002D5477">
        <w:rPr>
          <w:sz w:val="24"/>
          <w:lang w:val="cs-CZ"/>
        </w:rPr>
        <w:t>ařízení Komise v přenesené pravomoci (EU) 2023/1184 ze dne 10. února 2023, kterým se doplňuje směrnice Evropského parlamentu a Rady (EU) 2018/2001 stanovením unijní metodiky, v níž jsou vymezena podrobná pravidla pro výrobu kapalných a plynných paliv z obnovitelných zdrojů nebiologického původu</w:t>
      </w:r>
      <w:r w:rsidR="009D0D0C">
        <w:rPr>
          <w:sz w:val="24"/>
          <w:lang w:val="cs-CZ"/>
        </w:rPr>
        <w:t xml:space="preserve"> používaných v odvětví dopravy (</w:t>
      </w:r>
      <w:proofErr w:type="spellStart"/>
      <w:r w:rsidRPr="002D5477">
        <w:rPr>
          <w:sz w:val="24"/>
          <w:lang w:val="cs-CZ"/>
        </w:rPr>
        <w:t>Úř</w:t>
      </w:r>
      <w:proofErr w:type="spellEnd"/>
      <w:r w:rsidRPr="002D5477">
        <w:rPr>
          <w:sz w:val="24"/>
          <w:lang w:val="cs-CZ"/>
        </w:rPr>
        <w:t xml:space="preserve">. </w:t>
      </w:r>
      <w:proofErr w:type="spellStart"/>
      <w:proofErr w:type="gramStart"/>
      <w:r w:rsidRPr="002D5477">
        <w:rPr>
          <w:sz w:val="24"/>
          <w:lang w:val="cs-CZ"/>
        </w:rPr>
        <w:t>věst</w:t>
      </w:r>
      <w:proofErr w:type="spellEnd"/>
      <w:proofErr w:type="gramEnd"/>
      <w:r w:rsidRPr="002D5477">
        <w:rPr>
          <w:sz w:val="24"/>
          <w:lang w:val="cs-CZ"/>
        </w:rPr>
        <w:t xml:space="preserve">. L 157, </w:t>
      </w:r>
      <w:proofErr w:type="gramStart"/>
      <w:r w:rsidRPr="002D5477">
        <w:rPr>
          <w:sz w:val="24"/>
          <w:lang w:val="cs-CZ"/>
        </w:rPr>
        <w:t>20.6.2023</w:t>
      </w:r>
      <w:proofErr w:type="gramEnd"/>
      <w:r w:rsidRPr="002D5477">
        <w:rPr>
          <w:sz w:val="24"/>
          <w:lang w:val="cs-CZ"/>
        </w:rPr>
        <w:t>, s. 11</w:t>
      </w:r>
      <w:r w:rsidR="009D0D0C">
        <w:rPr>
          <w:sz w:val="24"/>
          <w:lang w:val="cs-CZ"/>
        </w:rPr>
        <w:t>)</w:t>
      </w:r>
      <w:r w:rsidRPr="002D5477">
        <w:rPr>
          <w:sz w:val="24"/>
          <w:lang w:val="cs-CZ"/>
        </w:rPr>
        <w:t>.</w:t>
      </w:r>
    </w:p>
  </w:footnote>
  <w:footnote w:id="4">
    <w:p w:rsidR="00DC783E" w:rsidRPr="002D5477" w:rsidRDefault="00DC783E" w:rsidP="002D5477">
      <w:pPr>
        <w:pStyle w:val="FootnoteText"/>
        <w:ind w:left="567" w:hanging="567"/>
        <w:rPr>
          <w:sz w:val="24"/>
          <w:lang w:val="cs-CZ"/>
        </w:rPr>
      </w:pPr>
      <w:r w:rsidRPr="002D5477">
        <w:rPr>
          <w:rStyle w:val="FootnoteReference"/>
          <w:sz w:val="24"/>
          <w:lang w:val="cs-CZ"/>
        </w:rPr>
        <w:footnoteRef/>
      </w:r>
      <w:r w:rsidR="002D5477" w:rsidRPr="002D5477">
        <w:rPr>
          <w:sz w:val="24"/>
          <w:lang w:val="cs-CZ"/>
        </w:rPr>
        <w:t xml:space="preserve"> </w:t>
      </w:r>
      <w:r w:rsidR="002D5477" w:rsidRPr="002D5477">
        <w:rPr>
          <w:sz w:val="24"/>
          <w:lang w:val="cs-CZ"/>
        </w:rPr>
        <w:tab/>
      </w:r>
      <w:r w:rsidRPr="002D5477">
        <w:rPr>
          <w:sz w:val="24"/>
          <w:lang w:val="cs-CZ"/>
        </w:rPr>
        <w:t>Zpráva Světové banky, „</w:t>
      </w:r>
      <w:proofErr w:type="spellStart"/>
      <w:r w:rsidRPr="002D5477">
        <w:rPr>
          <w:sz w:val="24"/>
          <w:lang w:val="cs-CZ"/>
        </w:rPr>
        <w:t>Global</w:t>
      </w:r>
      <w:proofErr w:type="spellEnd"/>
      <w:r w:rsidRPr="002D5477">
        <w:rPr>
          <w:sz w:val="24"/>
          <w:lang w:val="cs-CZ"/>
        </w:rPr>
        <w:t xml:space="preserve"> </w:t>
      </w:r>
      <w:proofErr w:type="spellStart"/>
      <w:r w:rsidRPr="002D5477">
        <w:rPr>
          <w:sz w:val="24"/>
          <w:lang w:val="cs-CZ"/>
        </w:rPr>
        <w:t>Economic</w:t>
      </w:r>
      <w:proofErr w:type="spellEnd"/>
      <w:r w:rsidRPr="002D5477">
        <w:rPr>
          <w:sz w:val="24"/>
          <w:lang w:val="cs-CZ"/>
        </w:rPr>
        <w:t xml:space="preserve"> </w:t>
      </w:r>
      <w:proofErr w:type="spellStart"/>
      <w:r w:rsidRPr="002D5477">
        <w:rPr>
          <w:sz w:val="24"/>
          <w:lang w:val="cs-CZ"/>
        </w:rPr>
        <w:t>Prospects</w:t>
      </w:r>
      <w:proofErr w:type="spellEnd"/>
      <w:r w:rsidRPr="002D5477">
        <w:rPr>
          <w:sz w:val="24"/>
          <w:lang w:val="cs-CZ"/>
        </w:rPr>
        <w:t xml:space="preserve">“ (Světový ekonomický výhled), leden 2024, </w:t>
      </w:r>
      <w:hyperlink r:id="rId1" w:history="1">
        <w:r w:rsidRPr="009D0D0C">
          <w:rPr>
            <w:rStyle w:val="Hyperlink"/>
            <w:sz w:val="24"/>
            <w:lang w:val="cs-CZ"/>
          </w:rPr>
          <w:t>https://www.worldbank.org/en/publication/global-economic-prospects</w:t>
        </w:r>
      </w:hyperlink>
      <w:r w:rsidRPr="002D5477">
        <w:rPr>
          <w:sz w:val="24"/>
          <w:lang w:val="cs-CZ"/>
        </w:rPr>
        <w:t>.</w:t>
      </w:r>
    </w:p>
  </w:footnote>
  <w:footnote w:id="5">
    <w:p w:rsidR="00DC783E" w:rsidRPr="002D5477" w:rsidRDefault="00DC783E" w:rsidP="002D5477">
      <w:pPr>
        <w:pStyle w:val="FootnoteText"/>
        <w:ind w:left="567" w:hanging="567"/>
        <w:rPr>
          <w:sz w:val="24"/>
          <w:lang w:val="cs-CZ"/>
        </w:rPr>
      </w:pPr>
      <w:r w:rsidRPr="002D5477">
        <w:rPr>
          <w:rStyle w:val="FootnoteReference"/>
          <w:sz w:val="24"/>
          <w:lang w:val="cs-CZ"/>
        </w:rPr>
        <w:footnoteRef/>
      </w:r>
      <w:r w:rsidR="002D5477" w:rsidRPr="002D5477">
        <w:rPr>
          <w:sz w:val="24"/>
          <w:lang w:val="cs-CZ"/>
        </w:rPr>
        <w:t xml:space="preserve"> </w:t>
      </w:r>
      <w:r w:rsidR="002D5477" w:rsidRPr="002D5477">
        <w:rPr>
          <w:sz w:val="24"/>
          <w:lang w:val="cs-CZ"/>
        </w:rPr>
        <w:tab/>
      </w:r>
      <w:r w:rsidRPr="002D5477">
        <w:rPr>
          <w:sz w:val="24"/>
          <w:lang w:val="cs-CZ"/>
        </w:rPr>
        <w:t>Nařízení Evropského parlamentu a Rady (ES) č. 1049/2001 ze dne 30. května 2001 o přístupu veřejnosti k dokumentům Evrops</w:t>
      </w:r>
      <w:r w:rsidR="009D0D0C">
        <w:rPr>
          <w:sz w:val="24"/>
          <w:lang w:val="cs-CZ"/>
        </w:rPr>
        <w:t>kého parlamentu, Rady a Komise (</w:t>
      </w:r>
      <w:proofErr w:type="spellStart"/>
      <w:r w:rsidRPr="002D5477">
        <w:rPr>
          <w:sz w:val="24"/>
          <w:lang w:val="cs-CZ"/>
        </w:rPr>
        <w:t>Úř</w:t>
      </w:r>
      <w:proofErr w:type="spellEnd"/>
      <w:r w:rsidRPr="002D5477">
        <w:rPr>
          <w:sz w:val="24"/>
          <w:lang w:val="cs-CZ"/>
        </w:rPr>
        <w:t xml:space="preserve">. </w:t>
      </w:r>
      <w:proofErr w:type="spellStart"/>
      <w:proofErr w:type="gramStart"/>
      <w:r w:rsidRPr="002D5477">
        <w:rPr>
          <w:sz w:val="24"/>
          <w:lang w:val="cs-CZ"/>
        </w:rPr>
        <w:t>věst</w:t>
      </w:r>
      <w:proofErr w:type="spellEnd"/>
      <w:proofErr w:type="gramEnd"/>
      <w:r w:rsidRPr="002D5477">
        <w:rPr>
          <w:sz w:val="24"/>
          <w:lang w:val="cs-CZ"/>
        </w:rPr>
        <w:t xml:space="preserve">. L 145, </w:t>
      </w:r>
      <w:proofErr w:type="gramStart"/>
      <w:r w:rsidRPr="002D5477">
        <w:rPr>
          <w:sz w:val="24"/>
          <w:lang w:val="cs-CZ"/>
        </w:rPr>
        <w:t>31.5.2001</w:t>
      </w:r>
      <w:proofErr w:type="gramEnd"/>
      <w:r w:rsidRPr="002D5477">
        <w:rPr>
          <w:sz w:val="24"/>
          <w:lang w:val="cs-CZ"/>
        </w:rPr>
        <w:t>, s. 43</w:t>
      </w:r>
      <w:r w:rsidR="009D0D0C">
        <w:rPr>
          <w:sz w:val="24"/>
          <w:lang w:val="cs-CZ"/>
        </w:rPr>
        <w:t>)</w:t>
      </w:r>
      <w:r w:rsidRPr="002D5477">
        <w:rPr>
          <w:sz w:val="24"/>
          <w:lang w:val="cs-CZ"/>
        </w:rPr>
        <w:t>.</w:t>
      </w:r>
    </w:p>
  </w:footnote>
  <w:footnote w:id="6">
    <w:p w:rsidR="00DC783E" w:rsidRPr="002D5477" w:rsidRDefault="00DC783E" w:rsidP="002D5477">
      <w:pPr>
        <w:pStyle w:val="FootnoteText"/>
        <w:ind w:left="567" w:hanging="567"/>
        <w:rPr>
          <w:sz w:val="24"/>
          <w:lang w:val="cs-CZ"/>
        </w:rPr>
      </w:pPr>
      <w:r w:rsidRPr="002D5477">
        <w:rPr>
          <w:rStyle w:val="FootnoteReference"/>
          <w:sz w:val="24"/>
          <w:lang w:val="cs-CZ"/>
        </w:rPr>
        <w:footnoteRef/>
      </w:r>
      <w:r w:rsidR="002D5477" w:rsidRPr="002D5477">
        <w:rPr>
          <w:sz w:val="24"/>
          <w:lang w:val="cs-CZ"/>
        </w:rPr>
        <w:t xml:space="preserve"> </w:t>
      </w:r>
      <w:r w:rsidR="002D5477" w:rsidRPr="002D5477">
        <w:rPr>
          <w:sz w:val="24"/>
          <w:lang w:val="cs-CZ"/>
        </w:rPr>
        <w:tab/>
      </w:r>
      <w:r w:rsidRPr="002D5477">
        <w:rPr>
          <w:sz w:val="24"/>
          <w:lang w:val="cs-CZ"/>
        </w:rPr>
        <w:t xml:space="preserve">Nařízení Evropského parlamentu a Rady (ES) č. 1367/2006 ze dne 6. září 2006 o použití ustanovení </w:t>
      </w:r>
      <w:proofErr w:type="spellStart"/>
      <w:r w:rsidRPr="002D5477">
        <w:rPr>
          <w:sz w:val="24"/>
          <w:lang w:val="cs-CZ"/>
        </w:rPr>
        <w:t>Aarhuské</w:t>
      </w:r>
      <w:proofErr w:type="spellEnd"/>
      <w:r w:rsidRPr="002D5477">
        <w:rPr>
          <w:sz w:val="24"/>
          <w:lang w:val="cs-CZ"/>
        </w:rPr>
        <w:t xml:space="preserve"> úmluvy o přístupu k informacím, účasti veřejnosti na rozhodování a přístupu k právní ochraně v záležitostech životního prostředí na </w:t>
      </w:r>
      <w:r w:rsidR="009D0D0C">
        <w:rPr>
          <w:sz w:val="24"/>
          <w:lang w:val="cs-CZ"/>
        </w:rPr>
        <w:t>orgány a subjekty Společenství (</w:t>
      </w:r>
      <w:proofErr w:type="spellStart"/>
      <w:r w:rsidRPr="002D5477">
        <w:rPr>
          <w:sz w:val="24"/>
          <w:lang w:val="cs-CZ"/>
        </w:rPr>
        <w:t>Úř</w:t>
      </w:r>
      <w:proofErr w:type="spellEnd"/>
      <w:r w:rsidRPr="002D5477">
        <w:rPr>
          <w:sz w:val="24"/>
          <w:lang w:val="cs-CZ"/>
        </w:rPr>
        <w:t xml:space="preserve">. </w:t>
      </w:r>
      <w:proofErr w:type="spellStart"/>
      <w:proofErr w:type="gramStart"/>
      <w:r w:rsidRPr="002D5477">
        <w:rPr>
          <w:sz w:val="24"/>
          <w:lang w:val="cs-CZ"/>
        </w:rPr>
        <w:t>věst</w:t>
      </w:r>
      <w:proofErr w:type="spellEnd"/>
      <w:proofErr w:type="gramEnd"/>
      <w:r w:rsidRPr="002D5477">
        <w:rPr>
          <w:sz w:val="24"/>
          <w:lang w:val="cs-CZ"/>
        </w:rPr>
        <w:t xml:space="preserve">. L 264, </w:t>
      </w:r>
      <w:proofErr w:type="gramStart"/>
      <w:r w:rsidRPr="002D5477">
        <w:rPr>
          <w:sz w:val="24"/>
          <w:lang w:val="cs-CZ"/>
        </w:rPr>
        <w:t>25.9.2006</w:t>
      </w:r>
      <w:proofErr w:type="gramEnd"/>
      <w:r w:rsidRPr="002D5477">
        <w:rPr>
          <w:sz w:val="24"/>
          <w:lang w:val="cs-CZ"/>
        </w:rPr>
        <w:t>, s. 13</w:t>
      </w:r>
      <w:r w:rsidR="009D0D0C">
        <w:rPr>
          <w:sz w:val="24"/>
          <w:lang w:val="cs-CZ"/>
        </w:rPr>
        <w:t>)</w:t>
      </w:r>
      <w:r w:rsidRPr="002D5477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54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54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54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1/2024"/>
    <w:docVar w:name="dvlangue" w:val="CS"/>
    <w:docVar w:name="dvnumam" w:val="0"/>
    <w:docVar w:name="dvpe" w:val="757.274"/>
    <w:docVar w:name="dvrapporteur" w:val="Zpravodaj: "/>
    <w:docVar w:name="dvtitre" w:val="Usnesení Evropského parlamentu ze dne.... 2024 o finančních činnostech Evropské investiční banky – výroční zpráva za rok 2023(2023/2229(INI))"/>
  </w:docVars>
  <w:rsids>
    <w:rsidRoot w:val="008B3B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5477"/>
    <w:rsid w:val="00343214"/>
    <w:rsid w:val="00361C00"/>
    <w:rsid w:val="00395FA1"/>
    <w:rsid w:val="003E15D4"/>
    <w:rsid w:val="00411CCE"/>
    <w:rsid w:val="0041666E"/>
    <w:rsid w:val="00421060"/>
    <w:rsid w:val="00471C19"/>
    <w:rsid w:val="0048075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517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B9F"/>
    <w:rsid w:val="008C2AC6"/>
    <w:rsid w:val="00930C23"/>
    <w:rsid w:val="0093193B"/>
    <w:rsid w:val="009509D8"/>
    <w:rsid w:val="00950B64"/>
    <w:rsid w:val="00956218"/>
    <w:rsid w:val="00981893"/>
    <w:rsid w:val="009D0D0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D37"/>
    <w:rsid w:val="00CF071A"/>
    <w:rsid w:val="00D058B8"/>
    <w:rsid w:val="00D56C11"/>
    <w:rsid w:val="00D834A0"/>
    <w:rsid w:val="00D872DF"/>
    <w:rsid w:val="00D91E21"/>
    <w:rsid w:val="00DA7FCD"/>
    <w:rsid w:val="00DC783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D4FE1-5BD7-4097-9C8D-A847DE87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C783E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DC783E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DC783E"/>
    <w:pPr>
      <w:spacing w:after="240"/>
      <w:jc w:val="center"/>
    </w:pPr>
  </w:style>
  <w:style w:type="character" w:customStyle="1" w:styleId="BoldItalic">
    <w:name w:val="BoldItalic"/>
    <w:uiPriority w:val="1"/>
    <w:rsid w:val="00DC783E"/>
    <w:rPr>
      <w:b/>
      <w:i/>
      <w:u w:val="none"/>
    </w:rPr>
  </w:style>
  <w:style w:type="character" w:customStyle="1" w:styleId="Italic">
    <w:name w:val="Italic"/>
    <w:uiPriority w:val="1"/>
    <w:rsid w:val="00DC783E"/>
    <w:rPr>
      <w:i/>
    </w:rPr>
  </w:style>
  <w:style w:type="paragraph" w:customStyle="1" w:styleId="Normal12a24b">
    <w:name w:val="Normal12a24b"/>
    <w:basedOn w:val="Normal"/>
    <w:rsid w:val="00DC783E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DC783E"/>
    <w:rPr>
      <w:snapToGrid w:val="0"/>
      <w:sz w:val="24"/>
      <w:lang w:val="cs-CZ" w:eastAsia="en-US"/>
    </w:rPr>
  </w:style>
  <w:style w:type="character" w:styleId="Hyperlink">
    <w:name w:val="Hyperlink"/>
    <w:basedOn w:val="DefaultParagraphFont"/>
    <w:uiPriority w:val="99"/>
    <w:unhideWhenUsed/>
    <w:rsid w:val="00DC783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480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8075E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orldbank.org/en/publication/global-economic-prospe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A7A42-2130-46C5-AF4F-A7A734F35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5142</Words>
  <Characters>30091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2024-02-29T07:55:00Z</dcterms:created>
  <dcterms:modified xsi:type="dcterms:W3CDTF">2024-02-29T07:55:00Z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A9-0031/2024</vt:lpwstr>
  </property>
  <property fmtid="{D5CDD505-2E9C-101B-9397-08002B2CF9AE}" pid="4" name="&lt;Type&gt;">
    <vt:lpwstr>RR</vt:lpwstr>
  </property>
</Properties>
</file>