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6629E" w:rsidTr="0010095E">
        <w:trPr>
          <w:trHeight w:hRule="exact" w:val="1418"/>
        </w:trPr>
        <w:tc>
          <w:tcPr>
            <w:tcW w:w="6804" w:type="dxa"/>
            <w:shd w:val="clear" w:color="auto" w:fill="auto"/>
            <w:vAlign w:val="center"/>
          </w:tcPr>
          <w:p w:rsidR="00751A4A" w:rsidRPr="00D6629E" w:rsidRDefault="00340037" w:rsidP="0010095E">
            <w:pPr>
              <w:pStyle w:val="EPName"/>
            </w:pPr>
            <w:r w:rsidRPr="00D6629E">
              <w:t>Europa-Parlamentet</w:t>
            </w:r>
          </w:p>
          <w:p w:rsidR="00751A4A" w:rsidRPr="00D6629E" w:rsidRDefault="00817416" w:rsidP="00756632">
            <w:pPr>
              <w:pStyle w:val="EPTerm"/>
              <w:rPr>
                <w:rStyle w:val="HideTWBExt"/>
                <w:noProof w:val="0"/>
                <w:vanish w:val="0"/>
                <w:color w:val="auto"/>
              </w:rPr>
            </w:pPr>
            <w:r w:rsidRPr="00D6629E">
              <w:t>2019-2024</w:t>
            </w:r>
          </w:p>
        </w:tc>
        <w:tc>
          <w:tcPr>
            <w:tcW w:w="2268" w:type="dxa"/>
            <w:shd w:val="clear" w:color="auto" w:fill="auto"/>
          </w:tcPr>
          <w:p w:rsidR="00751A4A" w:rsidRPr="00D6629E" w:rsidRDefault="00187494" w:rsidP="0010095E">
            <w:pPr>
              <w:pStyle w:val="EPLogo"/>
            </w:pPr>
            <w:r w:rsidRPr="00D6629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6629E" w:rsidRDefault="00D058B8" w:rsidP="004C5D52">
      <w:pPr>
        <w:pStyle w:val="LineTop"/>
      </w:pPr>
    </w:p>
    <w:p w:rsidR="00680577" w:rsidRPr="00D6629E" w:rsidRDefault="00340037" w:rsidP="00680577">
      <w:pPr>
        <w:pStyle w:val="EPBodyTA1"/>
      </w:pPr>
      <w:r w:rsidRPr="00D6629E">
        <w:t>VEDTAGNE TEKSTER</w:t>
      </w:r>
    </w:p>
    <w:p w:rsidR="00D058B8" w:rsidRPr="00D6629E" w:rsidRDefault="00D058B8" w:rsidP="00D058B8">
      <w:pPr>
        <w:pStyle w:val="LineBottom"/>
      </w:pPr>
    </w:p>
    <w:p w:rsidR="00340037" w:rsidRPr="00D6629E" w:rsidRDefault="00340037" w:rsidP="00340037">
      <w:pPr>
        <w:pStyle w:val="ATHeading1"/>
      </w:pPr>
      <w:bookmarkStart w:id="0" w:name="TANumber"/>
      <w:r w:rsidRPr="00D6629E">
        <w:t>P9_</w:t>
      </w:r>
      <w:proofErr w:type="gramStart"/>
      <w:r w:rsidRPr="00D6629E">
        <w:t>TA(</w:t>
      </w:r>
      <w:proofErr w:type="gramEnd"/>
      <w:r w:rsidRPr="00D6629E">
        <w:t>2024)0</w:t>
      </w:r>
      <w:bookmarkEnd w:id="0"/>
      <w:r w:rsidR="00925845">
        <w:t>107</w:t>
      </w:r>
    </w:p>
    <w:p w:rsidR="00340037" w:rsidRPr="00D6629E" w:rsidRDefault="00432380" w:rsidP="00340037">
      <w:pPr>
        <w:pStyle w:val="ATHeading2"/>
      </w:pPr>
      <w:r w:rsidRPr="00432380">
        <w:t>Den Europæiske Investeringsbanks finansielle aktiviteter – årsberetning 2023</w:t>
      </w:r>
    </w:p>
    <w:p w:rsidR="00340037" w:rsidRPr="00D6629E" w:rsidRDefault="00340037" w:rsidP="00340037">
      <w:pPr>
        <w:rPr>
          <w:i/>
          <w:vanish/>
        </w:rPr>
      </w:pPr>
      <w:r w:rsidRPr="00D6629E">
        <w:rPr>
          <w:i/>
        </w:rPr>
        <w:fldChar w:fldCharType="begin"/>
      </w:r>
      <w:r w:rsidRPr="00D6629E">
        <w:rPr>
          <w:i/>
        </w:rPr>
        <w:instrText xml:space="preserve"> TC"(</w:instrText>
      </w:r>
      <w:bookmarkStart w:id="1" w:name="DocNumber"/>
      <w:r w:rsidRPr="00D6629E">
        <w:rPr>
          <w:i/>
        </w:rPr>
        <w:instrText>A9-0031/2024</w:instrText>
      </w:r>
      <w:bookmarkEnd w:id="1"/>
      <w:r w:rsidRPr="00D6629E">
        <w:rPr>
          <w:i/>
        </w:rPr>
        <w:instrText xml:space="preserve"> - Ordfører: David Cormand)"\l3 \n&gt; \* MERGEFORMAT </w:instrText>
      </w:r>
      <w:r w:rsidRPr="00D6629E">
        <w:rPr>
          <w:i/>
        </w:rPr>
        <w:fldChar w:fldCharType="end"/>
      </w:r>
    </w:p>
    <w:p w:rsidR="00340037" w:rsidRPr="00D6629E" w:rsidRDefault="00340037" w:rsidP="00340037">
      <w:pPr>
        <w:rPr>
          <w:vanish/>
        </w:rPr>
      </w:pPr>
      <w:bookmarkStart w:id="2" w:name="Commission"/>
      <w:r w:rsidRPr="00D6629E">
        <w:rPr>
          <w:vanish/>
        </w:rPr>
        <w:t>Budgetudvalget</w:t>
      </w:r>
      <w:bookmarkEnd w:id="2"/>
    </w:p>
    <w:p w:rsidR="00340037" w:rsidRPr="00D6629E" w:rsidRDefault="00340037" w:rsidP="00340037">
      <w:pPr>
        <w:rPr>
          <w:vanish/>
        </w:rPr>
      </w:pPr>
      <w:bookmarkStart w:id="3" w:name="PE"/>
      <w:r w:rsidRPr="00D6629E">
        <w:rPr>
          <w:vanish/>
        </w:rPr>
        <w:t>PE757.274</w:t>
      </w:r>
      <w:bookmarkEnd w:id="3"/>
    </w:p>
    <w:p w:rsidR="00340037" w:rsidRPr="00D6629E" w:rsidRDefault="00340037" w:rsidP="00340037">
      <w:pPr>
        <w:pStyle w:val="ATHeading3"/>
      </w:pPr>
      <w:bookmarkStart w:id="4" w:name="Sujet"/>
      <w:r w:rsidRPr="00D6629E">
        <w:t xml:space="preserve">Europa-Parlamentets beslutning af </w:t>
      </w:r>
      <w:r w:rsidR="00212AC4">
        <w:t>28</w:t>
      </w:r>
      <w:r w:rsidRPr="00D6629E">
        <w:t>.</w:t>
      </w:r>
      <w:r w:rsidR="00B523AC">
        <w:t xml:space="preserve"> februar</w:t>
      </w:r>
      <w:r w:rsidRPr="00D6629E">
        <w:t xml:space="preserve"> 2024 om Den Europæiske Investeringsbanks finansielle aktiviteter – årsberetning 2023</w:t>
      </w:r>
      <w:bookmarkEnd w:id="4"/>
      <w:r w:rsidRPr="00D6629E">
        <w:t xml:space="preserve"> </w:t>
      </w:r>
      <w:bookmarkStart w:id="5" w:name="References"/>
      <w:r w:rsidRPr="00D6629E">
        <w:t>(2023/2229(INI))</w:t>
      </w:r>
      <w:bookmarkEnd w:id="5"/>
    </w:p>
    <w:p w:rsidR="006E28D1" w:rsidRPr="00D6629E" w:rsidRDefault="006E28D1" w:rsidP="006E28D1">
      <w:pPr>
        <w:pStyle w:val="EPComma"/>
      </w:pPr>
      <w:bookmarkStart w:id="6" w:name="TextBodyBegin"/>
      <w:bookmarkEnd w:id="6"/>
      <w:r w:rsidRPr="00D6629E">
        <w:rPr>
          <w:rStyle w:val="Italic"/>
        </w:rPr>
        <w:t>Europa-Parlamentet</w:t>
      </w:r>
      <w:r w:rsidRPr="00D6629E">
        <w:t>,</w:t>
      </w:r>
    </w:p>
    <w:p w:rsidR="006E28D1" w:rsidRPr="00D6629E" w:rsidRDefault="006E28D1" w:rsidP="006E28D1">
      <w:pPr>
        <w:pStyle w:val="NormalHanging12a"/>
      </w:pPr>
      <w:r w:rsidRPr="00D6629E">
        <w:t>–</w:t>
      </w:r>
      <w:r w:rsidRPr="00D6629E">
        <w:tab/>
        <w:t>der henviser til artikel 2 og 3 i traktaten om Den Europæiske Union,</w:t>
      </w:r>
    </w:p>
    <w:p w:rsidR="006E28D1" w:rsidRPr="00D6629E" w:rsidRDefault="006E28D1" w:rsidP="006E28D1">
      <w:pPr>
        <w:pStyle w:val="NormalHanging12a"/>
      </w:pPr>
      <w:r w:rsidRPr="00D6629E">
        <w:t>–</w:t>
      </w:r>
      <w:r w:rsidRPr="00D6629E">
        <w:tab/>
        <w:t>der henviser til artikel 15, 126, 174, 175, 177, 208, 209, 271, 308 og 309 i traktaten om Den Europæiske Unions funktionsmåde (TEUF) og protokol nr. 5 til traktaterne vedrørende vedtægterne for Den Europæiske Investeringsbank (EIB),</w:t>
      </w:r>
    </w:p>
    <w:p w:rsidR="006E28D1" w:rsidRPr="00D6629E" w:rsidRDefault="006E28D1" w:rsidP="006E28D1">
      <w:pPr>
        <w:pStyle w:val="NormalHanging12a"/>
      </w:pPr>
      <w:r w:rsidRPr="00D6629E">
        <w:t>–</w:t>
      </w:r>
      <w:r w:rsidRPr="00D6629E">
        <w:tab/>
        <w:t>der henviser til artikel 41-43 i traktaten om oprettelse af Det Europæiske Atomenergifællesskab,</w:t>
      </w:r>
    </w:p>
    <w:p w:rsidR="006E28D1" w:rsidRPr="00D6629E" w:rsidRDefault="006E28D1" w:rsidP="006E28D1">
      <w:pPr>
        <w:pStyle w:val="NormalHanging12a"/>
      </w:pPr>
      <w:r w:rsidRPr="00D6629E">
        <w:t>–</w:t>
      </w:r>
      <w:r w:rsidRPr="00D6629E">
        <w:tab/>
        <w:t>der henviser til EIB's pressemeddelelse af 7. oktober 2016, hvori der gives udtryk for billigelse af EU's ratifikation af Parisaftalen,</w:t>
      </w:r>
    </w:p>
    <w:p w:rsidR="006E28D1" w:rsidRPr="00D6629E" w:rsidRDefault="006E28D1" w:rsidP="006E28D1">
      <w:pPr>
        <w:pStyle w:val="NormalHanging12a"/>
      </w:pPr>
      <w:r w:rsidRPr="00D6629E">
        <w:t>–</w:t>
      </w:r>
      <w:r w:rsidRPr="00D6629E">
        <w:tab/>
        <w:t>der henviser til EIB's "Operations Evaluation Activity Report 2022 and Work Programme 2023-2025" (Aktivitetsrapport 2022 med evaluering af driften og arbejdsprogram 2023-2025), som blev offentliggjort den 3. marts 2023,</w:t>
      </w:r>
    </w:p>
    <w:p w:rsidR="006E28D1" w:rsidRPr="00D6629E" w:rsidRDefault="006E28D1" w:rsidP="006E28D1">
      <w:pPr>
        <w:pStyle w:val="NormalHanging12a"/>
      </w:pPr>
      <w:r w:rsidRPr="00D6629E">
        <w:t>–</w:t>
      </w:r>
      <w:r w:rsidRPr="00D6629E">
        <w:tab/>
        <w:t>der henviser til EIB-Gruppens "Complaints Mechanism Procedures" (Procedurer for klagemekanismen), som blev offentliggjort den 13. november 2018,</w:t>
      </w:r>
    </w:p>
    <w:p w:rsidR="006E28D1" w:rsidRPr="00D6629E" w:rsidRDefault="006E28D1" w:rsidP="006E28D1">
      <w:pPr>
        <w:pStyle w:val="NormalHanging12a"/>
      </w:pPr>
      <w:r w:rsidRPr="00D6629E">
        <w:t>–</w:t>
      </w:r>
      <w:r w:rsidRPr="00D6629E">
        <w:tab/>
        <w:t>der henviser til EIB's publikation med titlen "EIB energy lending policy" (EIB's udlånspolitik på energiområdet), som blev offentliggjort den 8. maj 2023,</w:t>
      </w:r>
    </w:p>
    <w:p w:rsidR="006E28D1" w:rsidRPr="00D6629E" w:rsidRDefault="006E28D1" w:rsidP="006E28D1">
      <w:pPr>
        <w:pStyle w:val="NormalHanging12a"/>
      </w:pPr>
      <w:r w:rsidRPr="00D6629E">
        <w:t>–</w:t>
      </w:r>
      <w:r w:rsidRPr="00D6629E">
        <w:tab/>
        <w:t>der henviser til EIB's "Climate Bank Roadmap 2021-2025" (Køreplan for klimabanken 2021-2025), som EIB's bestyrelse vedtog den 11. november 2020, og til EIB's klimastrategi af 15. november 2020,</w:t>
      </w:r>
    </w:p>
    <w:p w:rsidR="006E28D1" w:rsidRPr="00D6629E" w:rsidRDefault="006E28D1" w:rsidP="006E28D1">
      <w:pPr>
        <w:pStyle w:val="NormalHanging12a"/>
      </w:pPr>
      <w:r w:rsidRPr="00D6629E">
        <w:t>–</w:t>
      </w:r>
      <w:r w:rsidRPr="00D6629E">
        <w:tab/>
        <w:t>der henviser til EIB-Gruppens forretningsplan for 2023-2025, som blev offentliggjort den 2. februar 2023,</w:t>
      </w:r>
    </w:p>
    <w:p w:rsidR="006E28D1" w:rsidRPr="00D6629E" w:rsidRDefault="006E28D1" w:rsidP="006E28D1">
      <w:pPr>
        <w:pStyle w:val="NormalHanging12a"/>
      </w:pPr>
      <w:r w:rsidRPr="00D6629E">
        <w:t>–</w:t>
      </w:r>
      <w:r w:rsidRPr="00D6629E">
        <w:tab/>
        <w:t>der henviser til EIB's investeringsrapport 2022/2023 med titlen "Resilience and Renewal in Europe" (Modstandsdygtighed og fornyelse i Europa), som blev offentliggjort den 28. februar 2023,</w:t>
      </w:r>
    </w:p>
    <w:p w:rsidR="006E28D1" w:rsidRPr="00D6629E" w:rsidRDefault="006E28D1" w:rsidP="006E28D1">
      <w:pPr>
        <w:pStyle w:val="NormalHanging12a"/>
      </w:pPr>
      <w:r w:rsidRPr="00D6629E">
        <w:lastRenderedPageBreak/>
        <w:t>–</w:t>
      </w:r>
      <w:r w:rsidRPr="00D6629E">
        <w:tab/>
        <w:t>der henviser til EIB-Gruppens aktivitetsrapport for 2022 med titlen "Secure Europe" (Et sikkert Europa), som blev offentliggjort den 2. februar 2023,</w:t>
      </w:r>
    </w:p>
    <w:p w:rsidR="006E28D1" w:rsidRPr="00D6629E" w:rsidRDefault="006E28D1" w:rsidP="006E28D1">
      <w:pPr>
        <w:pStyle w:val="NormalHanging12a"/>
      </w:pPr>
      <w:r w:rsidRPr="00D6629E">
        <w:t>–</w:t>
      </w:r>
      <w:r w:rsidRPr="00D6629E">
        <w:tab/>
        <w:t>der henviser til EIB's oversigt over klimaindsatsen og miljømæssig bæredygtighed 2023, som blev offentliggjort den 2. februar 2023,</w:t>
      </w:r>
    </w:p>
    <w:p w:rsidR="006E28D1" w:rsidRPr="00D6629E" w:rsidRDefault="006E28D1" w:rsidP="006E28D1">
      <w:pPr>
        <w:pStyle w:val="NormalHanging12a"/>
      </w:pPr>
      <w:r w:rsidRPr="00D6629E">
        <w:t>–</w:t>
      </w:r>
      <w:r w:rsidRPr="00D6629E">
        <w:tab/>
        <w:t>der henviser til "EIB Environment Framework" (EIB's miljøramme), som blev offentliggjort den 14. november 2022,</w:t>
      </w:r>
    </w:p>
    <w:p w:rsidR="006E28D1" w:rsidRPr="00D6629E" w:rsidRDefault="006E28D1" w:rsidP="006E28D1">
      <w:pPr>
        <w:pStyle w:val="NormalHanging12a"/>
      </w:pPr>
      <w:r w:rsidRPr="00D6629E">
        <w:t>–</w:t>
      </w:r>
      <w:r w:rsidRPr="00D6629E">
        <w:tab/>
        <w:t>der henviser til "EIB Group Corporate Governance Report 2022" (EIB-Gruppens rapport om virksomhedsledelse), som blev offentliggjort den 8. september 2023,</w:t>
      </w:r>
    </w:p>
    <w:p w:rsidR="006E28D1" w:rsidRPr="00D6629E" w:rsidRDefault="006E28D1" w:rsidP="006E28D1">
      <w:pPr>
        <w:pStyle w:val="NormalHanging12a"/>
      </w:pPr>
      <w:r w:rsidRPr="00D6629E">
        <w:t>–</w:t>
      </w:r>
      <w:r w:rsidRPr="00D6629E">
        <w:tab/>
        <w:t>der henviser til EIB's rapport af 29. november 2023 med titlen "EIB Global Strategic Roadmap: EU Finance for a Sustainable Future" (Strategisk køreplan for EIB Global: EU-finansiering til en bæredygtig fremtid",</w:t>
      </w:r>
    </w:p>
    <w:p w:rsidR="006E28D1" w:rsidRPr="00D6629E" w:rsidRDefault="006E28D1" w:rsidP="006E28D1">
      <w:pPr>
        <w:pStyle w:val="NormalHanging12a"/>
      </w:pPr>
      <w:r w:rsidRPr="00D6629E">
        <w:t>–</w:t>
      </w:r>
      <w:r w:rsidRPr="00D6629E">
        <w:tab/>
        <w:t>der henviser til EIB Global's tilgang til retfærdig omstilling og retfærdig modstandsdygtighed, som blev offentliggjort den 27. november 2023,</w:t>
      </w:r>
    </w:p>
    <w:p w:rsidR="006E28D1" w:rsidRPr="00D6629E" w:rsidRDefault="006E28D1" w:rsidP="006E28D1">
      <w:pPr>
        <w:pStyle w:val="NormalHanging12a"/>
      </w:pPr>
      <w:r w:rsidRPr="00D6629E">
        <w:t>–</w:t>
      </w:r>
      <w:r w:rsidRPr="00D6629E">
        <w:tab/>
        <w:t>der henviser til EIB-Gruppens "Risk Management Disclosure Report 2022" (Rapport om risikovurdering 2022), som blev offentliggjort den 9. august 2023,</w:t>
      </w:r>
    </w:p>
    <w:p w:rsidR="006E28D1" w:rsidRPr="00D6629E" w:rsidRDefault="006E28D1" w:rsidP="006E28D1">
      <w:pPr>
        <w:pStyle w:val="NormalHanging12a"/>
      </w:pPr>
      <w:r w:rsidRPr="00D6629E">
        <w:t>–</w:t>
      </w:r>
      <w:r w:rsidRPr="00D6629E">
        <w:tab/>
        <w:t>der henviser til EIB's klimaundersøgelse 2022-2023,</w:t>
      </w:r>
    </w:p>
    <w:p w:rsidR="006E28D1" w:rsidRPr="00D6629E" w:rsidRDefault="006E28D1" w:rsidP="006E28D1">
      <w:pPr>
        <w:pStyle w:val="NormalHanging12a"/>
      </w:pPr>
      <w:r w:rsidRPr="00D6629E">
        <w:t>–</w:t>
      </w:r>
      <w:r w:rsidRPr="00D6629E">
        <w:tab/>
        <w:t>der henviser til EIB-Gruppens ramme for miljømæssig og social bæredygtighed med titlen "The EIB Group Environmental and Social Policy", som blev vedtaget den 2. februar 2022,</w:t>
      </w:r>
    </w:p>
    <w:p w:rsidR="006E28D1" w:rsidRPr="00D6629E" w:rsidRDefault="006E28D1" w:rsidP="006E28D1">
      <w:pPr>
        <w:pStyle w:val="NormalHanging12a"/>
      </w:pPr>
      <w:r w:rsidRPr="00D6629E">
        <w:t>–</w:t>
      </w:r>
      <w:r w:rsidRPr="00D6629E">
        <w:tab/>
        <w:t>der henviser til EIB's publikation af 10. februar 2023 med titlen "EIB Global – Partnership, people, impact" (EIB Global – partnerskab, mennesker, virkning),</w:t>
      </w:r>
    </w:p>
    <w:p w:rsidR="006E28D1" w:rsidRPr="00D6629E" w:rsidRDefault="006E28D1" w:rsidP="006E28D1">
      <w:pPr>
        <w:pStyle w:val="NormalHanging12a"/>
      </w:pPr>
      <w:r w:rsidRPr="00D6629E">
        <w:t>–</w:t>
      </w:r>
      <w:r w:rsidRPr="00D6629E">
        <w:tab/>
        <w:t>der henviser til EIB's tilgang til menneskerettighederne, som blev offentliggjort den 6. februar 2023,</w:t>
      </w:r>
    </w:p>
    <w:p w:rsidR="006E28D1" w:rsidRPr="00D6629E" w:rsidRDefault="006E28D1" w:rsidP="006E28D1">
      <w:pPr>
        <w:pStyle w:val="NormalHanging12a"/>
      </w:pPr>
      <w:r w:rsidRPr="00D6629E">
        <w:t>–</w:t>
      </w:r>
      <w:r w:rsidRPr="00D6629E">
        <w:tab/>
        <w:t>der henviser til EIB's rapport af 29. juni 2023 med titlen "EIB Group activities in EU cohesion regions in 2022" (EIB-Gruppens aktiviteter i EU's samhørighedsregioner 2022),</w:t>
      </w:r>
    </w:p>
    <w:p w:rsidR="006E28D1" w:rsidRPr="00D6629E" w:rsidRDefault="006E28D1" w:rsidP="006E28D1">
      <w:pPr>
        <w:pStyle w:val="NormalHanging12a"/>
      </w:pPr>
      <w:r w:rsidRPr="00D6629E">
        <w:t>–</w:t>
      </w:r>
      <w:r w:rsidRPr="00D6629E">
        <w:tab/>
        <w:t>der henviser til EIB-Gruppens strategi for ligestilling mellem kønnene og styrkelse af kvinders økonomiske indflydelse og status samt dens kønshandlingsplan,</w:t>
      </w:r>
    </w:p>
    <w:p w:rsidR="006E28D1" w:rsidRPr="00D6629E" w:rsidRDefault="006E28D1" w:rsidP="006E28D1">
      <w:pPr>
        <w:pStyle w:val="NormalHanging12a"/>
      </w:pPr>
      <w:r w:rsidRPr="00D6629E">
        <w:t>–</w:t>
      </w:r>
      <w:r w:rsidRPr="00D6629E">
        <w:tab/>
        <w:t>der henviser til adfærdskodeksen for EIB-Gruppens ansatte, som blev offentliggjort den 3. februar 2023,</w:t>
      </w:r>
    </w:p>
    <w:p w:rsidR="006E28D1" w:rsidRPr="00D6629E" w:rsidRDefault="006E28D1" w:rsidP="006E28D1">
      <w:pPr>
        <w:pStyle w:val="NormalHanging12a"/>
      </w:pPr>
      <w:r w:rsidRPr="00D6629E">
        <w:t>–</w:t>
      </w:r>
      <w:r w:rsidRPr="00D6629E">
        <w:tab/>
        <w:t>der henviser til adfærdskodeksen for EIB-Gruppens revisionsudvalg, som blev offentliggjort den 30. november 2021,</w:t>
      </w:r>
    </w:p>
    <w:p w:rsidR="006E28D1" w:rsidRPr="00D6629E" w:rsidRDefault="006E28D1" w:rsidP="006E28D1">
      <w:pPr>
        <w:pStyle w:val="NormalHanging12a"/>
      </w:pPr>
      <w:r w:rsidRPr="00D6629E">
        <w:t>–</w:t>
      </w:r>
      <w:r w:rsidRPr="00D6629E">
        <w:tab/>
        <w:t>der henviser til adfærdskodeksen for EIB-Gruppens direktion, som blev offentliggjort den 14. oktober 2021,</w:t>
      </w:r>
    </w:p>
    <w:p w:rsidR="006E28D1" w:rsidRPr="00D6629E" w:rsidRDefault="006E28D1" w:rsidP="006E28D1">
      <w:pPr>
        <w:pStyle w:val="NormalHanging12a"/>
      </w:pPr>
      <w:r w:rsidRPr="00D6629E">
        <w:t>–</w:t>
      </w:r>
      <w:r w:rsidRPr="00D6629E">
        <w:tab/>
        <w:t xml:space="preserve">der henviser til EIB's publikation af 27. november 2023 med titlen "The EIB Group PATH Framework – Version 1.2 </w:t>
      </w:r>
      <w:proofErr w:type="gramStart"/>
      <w:r w:rsidR="00626A3D" w:rsidRPr="00C4332C">
        <w:rPr>
          <w:szCs w:val="24"/>
        </w:rPr>
        <w:t>November</w:t>
      </w:r>
      <w:proofErr w:type="gramEnd"/>
      <w:r w:rsidRPr="00D6629E">
        <w:t xml:space="preserve"> 2023 – Supporting counterparties on their </w:t>
      </w:r>
      <w:r w:rsidRPr="00D6629E">
        <w:lastRenderedPageBreak/>
        <w:t>pathways to align with the Paris Agreement"</w:t>
      </w:r>
      <w:bookmarkStart w:id="7" w:name="_GoBack"/>
      <w:bookmarkEnd w:id="7"/>
      <w:r w:rsidRPr="00D6629E">
        <w:t xml:space="preserve"> (Støtte til modparter i deres bestræbelser på at tilpasse sig Parisaftalen),</w:t>
      </w:r>
    </w:p>
    <w:p w:rsidR="006E28D1" w:rsidRPr="00D6629E" w:rsidRDefault="006E28D1" w:rsidP="006E28D1">
      <w:pPr>
        <w:pStyle w:val="NormalHanging12a"/>
      </w:pPr>
      <w:r w:rsidRPr="00D6629E">
        <w:t>–</w:t>
      </w:r>
      <w:r w:rsidRPr="00D6629E">
        <w:tab/>
        <w:t>der henviser til EIB's solidaritetspakke til Ukraine, som blev godkendt af EIB's bestyrelse den 4. marts 2022,</w:t>
      </w:r>
    </w:p>
    <w:p w:rsidR="006E28D1" w:rsidRPr="00D6629E" w:rsidRDefault="006E28D1" w:rsidP="006E28D1">
      <w:pPr>
        <w:pStyle w:val="NormalHanging12a"/>
      </w:pPr>
      <w:r w:rsidRPr="00D6629E">
        <w:t>–</w:t>
      </w:r>
      <w:r w:rsidRPr="00D6629E">
        <w:tab/>
        <w:t>der henviser til Kommissionens meddelelse af 20. maj 2020 med titlen "EU's biodiversitetsstrategi for 2030: Naturen skal bringes tilbage i vores liv" (</w:t>
      </w:r>
      <w:proofErr w:type="gramStart"/>
      <w:r w:rsidRPr="00D6629E">
        <w:t>COM(</w:t>
      </w:r>
      <w:proofErr w:type="gramEnd"/>
      <w:r w:rsidRPr="00D6629E">
        <w:t>2020)0380),</w:t>
      </w:r>
    </w:p>
    <w:p w:rsidR="006E28D1" w:rsidRPr="00D6629E" w:rsidRDefault="006E28D1" w:rsidP="006E28D1">
      <w:pPr>
        <w:pStyle w:val="NormalHanging12a"/>
      </w:pPr>
      <w:r w:rsidRPr="00D6629E">
        <w:t>–</w:t>
      </w:r>
      <w:r w:rsidRPr="00D6629E">
        <w:tab/>
        <w:t>der henviser til Kommissionens meddelelse af 20. maj 2020 med titlen "En jord til bord-strategi for et fair, sundt og miljøvenligt fødevaresystem" (</w:t>
      </w:r>
      <w:proofErr w:type="gramStart"/>
      <w:r w:rsidRPr="00D6629E">
        <w:t>COM(</w:t>
      </w:r>
      <w:proofErr w:type="gramEnd"/>
      <w:r w:rsidRPr="00D6629E">
        <w:t>2020)0381),</w:t>
      </w:r>
    </w:p>
    <w:p w:rsidR="006E28D1" w:rsidRPr="00D6629E" w:rsidRDefault="006E28D1" w:rsidP="006E28D1">
      <w:pPr>
        <w:pStyle w:val="NormalHanging12a"/>
      </w:pPr>
      <w:r w:rsidRPr="00D6629E">
        <w:t>–</w:t>
      </w:r>
      <w:r w:rsidRPr="00D6629E">
        <w:tab/>
        <w:t>der henviser til Kommissionens meddelelse af 12. maj 2021 med titlen "Vejen til en sund planet for alle – EU-handlingsplan: Mod nulforurening for vand, luft og jord" (</w:t>
      </w:r>
      <w:proofErr w:type="gramStart"/>
      <w:r w:rsidRPr="00D6629E">
        <w:t>COM(</w:t>
      </w:r>
      <w:proofErr w:type="gramEnd"/>
      <w:r w:rsidRPr="00D6629E">
        <w:t>2021)0400),</w:t>
      </w:r>
    </w:p>
    <w:p w:rsidR="006E28D1" w:rsidRPr="00D6629E" w:rsidRDefault="006E28D1" w:rsidP="006E28D1">
      <w:pPr>
        <w:pStyle w:val="NormalHanging12a"/>
      </w:pPr>
      <w:r w:rsidRPr="00D6629E">
        <w:t>–</w:t>
      </w:r>
      <w:r w:rsidRPr="00D6629E">
        <w:tab/>
        <w:t>der henviser til Kommissionens meddelelse af 1. februar 2023 med titlen "En industriplan for den grønne pagt til den CO</w:t>
      </w:r>
      <w:r w:rsidRPr="00D6629E">
        <w:rPr>
          <w:vertAlign w:val="subscript"/>
        </w:rPr>
        <w:t>2</w:t>
      </w:r>
      <w:r w:rsidRPr="00D6629E">
        <w:t>-neutrale tidsalder" (</w:t>
      </w:r>
      <w:proofErr w:type="gramStart"/>
      <w:r w:rsidRPr="00D6629E">
        <w:t>COM(</w:t>
      </w:r>
      <w:proofErr w:type="gramEnd"/>
      <w:r w:rsidRPr="00D6629E">
        <w:t>2023)0062),</w:t>
      </w:r>
    </w:p>
    <w:p w:rsidR="006E28D1" w:rsidRPr="00D6629E" w:rsidRDefault="006E28D1" w:rsidP="006E28D1">
      <w:pPr>
        <w:pStyle w:val="NormalHanging12a"/>
      </w:pPr>
      <w:r w:rsidRPr="00D6629E">
        <w:t>–</w:t>
      </w:r>
      <w:r w:rsidRPr="00D6629E">
        <w:tab/>
        <w:t>der henviser til Europa-Parlamentets og Rådets forordning (EU) 2021/1056 af 24. juni 2021 om lånefaciliteten for den offentlige sektor under mekanismen for retfærdig omstilling</w:t>
      </w:r>
      <w:r w:rsidRPr="00D6629E">
        <w:rPr>
          <w:rStyle w:val="FootnoteReference"/>
        </w:rPr>
        <w:footnoteReference w:id="1"/>
      </w:r>
      <w:r w:rsidRPr="00D6629E">
        <w:t>,</w:t>
      </w:r>
    </w:p>
    <w:p w:rsidR="006E28D1" w:rsidRPr="00D6629E" w:rsidRDefault="006E28D1" w:rsidP="006E28D1">
      <w:pPr>
        <w:pStyle w:val="NormalHanging12a"/>
      </w:pPr>
      <w:r w:rsidRPr="00D6629E">
        <w:t>–</w:t>
      </w:r>
      <w:r w:rsidRPr="00D6629E">
        <w:tab/>
        <w:t>der henviser til Europa-Parlamentets og Rådets forordning (EU) 2021/1229 af 14. juli 2021 om oprettelse af Fonden for Retfærdig Omstilling</w:t>
      </w:r>
      <w:r w:rsidRPr="00D6629E">
        <w:rPr>
          <w:rStyle w:val="FootnoteReference"/>
        </w:rPr>
        <w:footnoteReference w:id="2"/>
      </w:r>
      <w:r w:rsidRPr="00D6629E">
        <w:t>,</w:t>
      </w:r>
    </w:p>
    <w:p w:rsidR="006E28D1" w:rsidRPr="00D6629E" w:rsidRDefault="006E28D1" w:rsidP="006E28D1">
      <w:pPr>
        <w:pStyle w:val="NormalHanging12a"/>
      </w:pPr>
      <w:r w:rsidRPr="00D6629E">
        <w:t>–</w:t>
      </w:r>
      <w:r w:rsidRPr="00D6629E">
        <w:tab/>
        <w:t>der henviser til FN's verdensmål for bæredygtig udvikling,</w:t>
      </w:r>
    </w:p>
    <w:p w:rsidR="006E28D1" w:rsidRPr="00D6629E" w:rsidRDefault="006E28D1" w:rsidP="006E28D1">
      <w:pPr>
        <w:pStyle w:val="NormalHanging12a"/>
      </w:pPr>
      <w:r w:rsidRPr="00D6629E">
        <w:t>–</w:t>
      </w:r>
      <w:r w:rsidRPr="00D6629E">
        <w:tab/>
        <w:t>der henviser til trepartsaftalen mellem Kommissionen, Den Europæiske Revisionsret og Den Europæiske Investeringsbank, som trådte i kraft i november 2021,</w:t>
      </w:r>
    </w:p>
    <w:p w:rsidR="006E28D1" w:rsidRPr="00D6629E" w:rsidRDefault="006E28D1" w:rsidP="006E28D1">
      <w:pPr>
        <w:pStyle w:val="NormalHanging12a"/>
      </w:pPr>
      <w:r w:rsidRPr="00D6629E">
        <w:t>–</w:t>
      </w:r>
      <w:r w:rsidRPr="00D6629E">
        <w:tab/>
        <w:t>der henviser til skrivelse af 22. juli 2016 fra Ombudsmanden til formanden for EIB vedrørende spørgsmål om interessekonflikter og til svaret af 31. januar 2017 fra EIB's formand,</w:t>
      </w:r>
    </w:p>
    <w:p w:rsidR="006E28D1" w:rsidRPr="00D6629E" w:rsidRDefault="006E28D1" w:rsidP="006E28D1">
      <w:pPr>
        <w:pStyle w:val="NormalHanging12a"/>
      </w:pPr>
      <w:r w:rsidRPr="00D6629E">
        <w:t>–</w:t>
      </w:r>
      <w:r w:rsidRPr="00D6629E">
        <w:tab/>
        <w:t>der henviser til Ombudsmandens henstillinger, som blev afgivet den 20. november 2023 i sag 2252/2022/OAM,</w:t>
      </w:r>
    </w:p>
    <w:p w:rsidR="006E28D1" w:rsidRPr="00D6629E" w:rsidRDefault="006E28D1" w:rsidP="006E28D1">
      <w:pPr>
        <w:pStyle w:val="NormalHanging12a"/>
      </w:pPr>
      <w:r w:rsidRPr="00D6629E">
        <w:t>–</w:t>
      </w:r>
      <w:r w:rsidRPr="00D6629E">
        <w:tab/>
        <w:t>der henviser til Ombudsmandens henstillinger, som blev afgivet den 21. april 2022 i sag 1251/2020/PB,</w:t>
      </w:r>
    </w:p>
    <w:p w:rsidR="006E28D1" w:rsidRPr="00D6629E" w:rsidRDefault="006E28D1" w:rsidP="006E28D1">
      <w:pPr>
        <w:pStyle w:val="NormalHanging12a"/>
      </w:pPr>
      <w:r w:rsidRPr="00D6629E">
        <w:t>–</w:t>
      </w:r>
      <w:r w:rsidRPr="00D6629E">
        <w:tab/>
        <w:t>der henviser til Ombudsmandens henstillinger, som blev afgivet den 27. juli 2022 i sag 1016/2021/KR,</w:t>
      </w:r>
    </w:p>
    <w:p w:rsidR="006E28D1" w:rsidRPr="00D6629E" w:rsidRDefault="006E28D1" w:rsidP="006E28D1">
      <w:pPr>
        <w:pStyle w:val="NormalHanging12a"/>
      </w:pPr>
      <w:r w:rsidRPr="00D6629E">
        <w:t>–</w:t>
      </w:r>
      <w:r w:rsidRPr="00D6629E">
        <w:tab/>
        <w:t>der henviser til forretningsordenens artikel 54,</w:t>
      </w:r>
    </w:p>
    <w:p w:rsidR="006E28D1" w:rsidRPr="00D6629E" w:rsidRDefault="006E28D1" w:rsidP="006E28D1">
      <w:pPr>
        <w:pStyle w:val="NormalHanging12a"/>
      </w:pPr>
      <w:r w:rsidRPr="00D6629E">
        <w:t>–</w:t>
      </w:r>
      <w:r w:rsidRPr="00D6629E">
        <w:tab/>
        <w:t>der henviser til betænkning fra Budgetudvalget (A9-0031/2024),</w:t>
      </w:r>
    </w:p>
    <w:p w:rsidR="006E28D1" w:rsidRPr="00D6629E" w:rsidRDefault="006E28D1" w:rsidP="006E28D1">
      <w:pPr>
        <w:pStyle w:val="NormalHanging12a"/>
      </w:pPr>
      <w:r w:rsidRPr="00D6629E">
        <w:lastRenderedPageBreak/>
        <w:t>A.</w:t>
      </w:r>
      <w:r w:rsidRPr="00D6629E">
        <w:tab/>
        <w:t>der henviser til, at EIB-Gruppen består af Den Europæiske Investeringsbank (EIB) og Den Europæiske Investeringsfond (EIF) og er den største multilaterale finansielle institution i verden og en af de største bidragydere til klimafinansiering, som opererer på internationale kapitalmarkeder og tilbyder konkurrencedygtige vilkår til kunder og gunstige betingelser til støtte for EU's politikker og projekter, både i og uden for Unionen;</w:t>
      </w:r>
    </w:p>
    <w:p w:rsidR="006E28D1" w:rsidRPr="00D6629E" w:rsidRDefault="006E28D1" w:rsidP="006E28D1">
      <w:pPr>
        <w:spacing w:after="240"/>
        <w:ind w:left="567" w:hanging="567"/>
      </w:pPr>
      <w:r w:rsidRPr="00D6629E">
        <w:t>B.</w:t>
      </w:r>
      <w:r w:rsidRPr="00D6629E">
        <w:tab/>
        <w:t>der henviser til, at EIB i henhold til artikel 309 i TEUF har til opgave at bidrage til opfyldelsen af EU's mål;</w:t>
      </w:r>
    </w:p>
    <w:p w:rsidR="006E28D1" w:rsidRPr="00D6629E" w:rsidRDefault="006E28D1" w:rsidP="006E28D1">
      <w:pPr>
        <w:spacing w:after="240"/>
        <w:ind w:left="567" w:hanging="567"/>
      </w:pPr>
      <w:r w:rsidRPr="00D6629E">
        <w:t>C.</w:t>
      </w:r>
      <w:r w:rsidRPr="00D6629E">
        <w:tab/>
        <w:t>der henviser til, at der for at opfylde EU's klimamål er behov for investeringer på 1 billion EUR om året i EU; der henviser til, at EIB kan bidrage til at bygge bro over kløften ved at tiltrække privat kapital;</w:t>
      </w:r>
    </w:p>
    <w:p w:rsidR="006E28D1" w:rsidRPr="00D6629E" w:rsidRDefault="006E28D1" w:rsidP="006E28D1">
      <w:pPr>
        <w:pStyle w:val="NormalHanging12a"/>
      </w:pPr>
      <w:r w:rsidRPr="00D6629E">
        <w:t>D.</w:t>
      </w:r>
      <w:r w:rsidRPr="00D6629E">
        <w:tab/>
        <w:t>der henviser til, at InvestEU-garantien på 26,2 mia. EUR i løbet af perioden 2021-2027 med midler fra den flerårige finansielle ramme og NextGenerationEU forventes at mobilisere mere end 372 mia. EUR i yderligere private og offentlige investeringer i Europa, hovedsagelig til bæredygtig infrastruktur, forskning, innovation og digitalisering, små og mellemstore virksomheder (SMV'er) og sociale investeringer og færdigheder;</w:t>
      </w:r>
    </w:p>
    <w:p w:rsidR="006E28D1" w:rsidRPr="00D6629E" w:rsidRDefault="006E28D1" w:rsidP="006E28D1">
      <w:pPr>
        <w:pStyle w:val="NormalHanging12a"/>
      </w:pPr>
      <w:r w:rsidRPr="00D6629E">
        <w:rPr>
          <w:b/>
          <w:i/>
        </w:rPr>
        <w:t>Oversigt over politikker og transaktioner</w:t>
      </w:r>
    </w:p>
    <w:p w:rsidR="006E28D1" w:rsidRPr="00D6629E" w:rsidRDefault="006E28D1" w:rsidP="006E28D1">
      <w:pPr>
        <w:pStyle w:val="NormalHanging12a"/>
      </w:pPr>
      <w:r w:rsidRPr="00D6629E">
        <w:t>1.</w:t>
      </w:r>
      <w:r w:rsidRPr="00D6629E">
        <w:tab/>
        <w:t>gentager den vigtige rolle, EIB spiller som EU's offentlige bank og som den eneste internationale finansielle institution, der ejes fuldt ud af medlemsstaterne, styres fuldt ud af EU's politikker og er underlagt EU's retlige standarder med det formål at støtte den sociale og økonomiske genopretning og målrette de investeringer, der er nødvendige for at nå Unionens mål;</w:t>
      </w:r>
    </w:p>
    <w:p w:rsidR="006E28D1" w:rsidRPr="00D6629E" w:rsidRDefault="006E28D1" w:rsidP="006E28D1">
      <w:pPr>
        <w:pStyle w:val="NormalHanging12a"/>
      </w:pPr>
      <w:r w:rsidRPr="00D6629E">
        <w:t>2.</w:t>
      </w:r>
      <w:r w:rsidRPr="00D6629E">
        <w:tab/>
        <w:t>påskønner, at EIB altid er parat til at tilpasse sig og genopfinde sig selv i overensstemmelse med de skiftende krav i EU's politik og samtidig respekterer sine langsigtede mål;</w:t>
      </w:r>
    </w:p>
    <w:p w:rsidR="006E28D1" w:rsidRPr="00D6629E" w:rsidRDefault="006E28D1" w:rsidP="006E28D1">
      <w:pPr>
        <w:pStyle w:val="NormalHanging12a"/>
      </w:pPr>
      <w:r w:rsidRPr="00D6629E">
        <w:t>3.</w:t>
      </w:r>
      <w:r w:rsidRPr="00D6629E">
        <w:tab/>
        <w:t>gentager sin opfordring til en kapitalforøgelse for at sætte EIB i stand til at levere mere langsigtet tilbagebetalingspligtig finansiel støtte og innovative instrumenter; bemærker, at dette er nødvendigt for en retfærdig inkluderende bæredygtig vækst, der støtter vigtige realøkonomiske investeringer, som ellers ikke ville blive foretaget, og som har potentiale til at maksimere innovationsgevinster på centrale EU-politikområder såsom digitaliseringen og den grønne omstilling; bemærker, at disse investeringer bør bidrage til at mindske begrænsninger af konkurrenceevnen såsom høje energipriser, mangel på færdigheder og kompetencer og utilstrækkelige investeringer i innovation og nye teknologier og bidrage til at gennemføre den europæiske søjle for sociale rettigheder og FN's verdensmål for bæredygtig udvikling; forventer, at EIB sikrer, at bankens finansiering bidrager til at afhjælpe markedssvigt og forhindrer fortrængningseffekter, og at den bringer målbare virkninger, uden at dette påvirker finansieringstilbuddets samlede tiltrækningskraft negativt;</w:t>
      </w:r>
    </w:p>
    <w:p w:rsidR="006E28D1" w:rsidRPr="00D6629E" w:rsidRDefault="006E28D1" w:rsidP="006E28D1">
      <w:pPr>
        <w:pStyle w:val="NormalHanging12a"/>
      </w:pPr>
      <w:r w:rsidRPr="00D6629E">
        <w:t>4.</w:t>
      </w:r>
      <w:r w:rsidRPr="00D6629E">
        <w:tab/>
        <w:t>understreger, at EIB skal opretholde sin AAA-kreditvurdering og bibeholde kapitalmarkedernes fulde tillid til sine aktiviteter;</w:t>
      </w:r>
    </w:p>
    <w:p w:rsidR="006E28D1" w:rsidRPr="00D6629E" w:rsidRDefault="006E28D1" w:rsidP="006E28D1">
      <w:pPr>
        <w:pStyle w:val="NormalHanging12a"/>
      </w:pPr>
      <w:r w:rsidRPr="00D6629E">
        <w:lastRenderedPageBreak/>
        <w:t>5.</w:t>
      </w:r>
      <w:r w:rsidRPr="00D6629E">
        <w:tab/>
        <w:t>bemærker, at EIB's finansiering spiller en stadig vigtigere rolle på baggrund af de betydelige sociale og økonomiske konsekvenser af covid-19-krisen, som blev efterfulgt af invasionen af Ukraine, navnlig inflation, høje rentesatser og stramme offentlige finanser; bemærker endvidere den større rolle, som EIB's finansiering spiller i en situation med vanskelige økonomiske udsigter og øget global konkurrence, som også har indvirkning på igangværende projekter;</w:t>
      </w:r>
    </w:p>
    <w:p w:rsidR="006E28D1" w:rsidRPr="00D6629E" w:rsidRDefault="006E28D1" w:rsidP="006E28D1">
      <w:pPr>
        <w:pStyle w:val="NormalHanging12a"/>
      </w:pPr>
      <w:r w:rsidRPr="00D6629E">
        <w:t>6.</w:t>
      </w:r>
      <w:r w:rsidRPr="00D6629E">
        <w:tab/>
        <w:t>mener, at EIB kunne gøre mere for at forbedre sektorbalancen og for at tilpasse sig den regionale forskellighed i EU med henblik på at gøre sine midler mere attraktive; opfordrer EIB til at afhjælpe systemiske mangler, der forhindrer nogle regioner eller lande i at drage fuld fordel af bankens finansielle aktiviteter, men samtidig respektere EIB-finansieringstransaktionernes efterspørgselsdrevne karakter; anmoder Kommissionen om at vurdere, om den geografiske fordeling af finansieringen under InvestEU er afbalanceret, navnlig for så vidt angår mindre medlemsstater;</w:t>
      </w:r>
    </w:p>
    <w:p w:rsidR="006E28D1" w:rsidRPr="00D6629E" w:rsidRDefault="006E28D1" w:rsidP="006E28D1">
      <w:pPr>
        <w:pStyle w:val="NormalHanging12a"/>
      </w:pPr>
      <w:r w:rsidRPr="00D6629E">
        <w:t>7.</w:t>
      </w:r>
      <w:r w:rsidRPr="00D6629E">
        <w:tab/>
        <w:t>opfordrer EIB til at støtte projekter, der leverer resultater med hensyn til gennemførelsen af den europæiske søjle for sociale rettigheder og FN's verdensmål for bæredygtig udvikling, og som fremmer social inklusion og reduktion af uligheder i overensstemmelse med de miljømæssige og sociale standarder; opfordrer EIB til at udvide sin rolle med at vurdere og afhjælpe investeringsmangler inden for social infrastruktur og velfærd, f.eks. prismæssigt overkommeligt og energieffektivt socialt boligbyggeri, offentlig sundhedspleje, forsyningstjenester, offentlig transport, bæredygtig transport, kultur og uddannelse, og samtidig sikre additionalitet og komplementaritet med andre offentlige midler og kommercielle långivere; opfordrer EIB til at øge vægtningen af social nytteværdi i forbindelse med projektvurderinger for at tilvejebringe langsigtede, økonomisk overkommelige løsninger i en situation med leveomkostningskrise og udfordringerne for husstandene i Den Europæiske Union som følge af de generelle økonomiske udsigter; anmoder EIB om at øge risikotagningen for så vidt angår projekter, der leverer væsentlige tjenester med langsigtede klare og målbare fordele; opfordrer EIB til finansielt at prioritere projekter, der involverer sårbare eller marginaliserede mennesker, navnlig unge, og borgerstyrede projekter, når dette er muligt;</w:t>
      </w:r>
    </w:p>
    <w:p w:rsidR="006E28D1" w:rsidRPr="00D6629E" w:rsidRDefault="006E28D1" w:rsidP="006E28D1">
      <w:pPr>
        <w:pStyle w:val="Normal12a24b"/>
        <w:spacing w:before="0"/>
        <w:rPr>
          <w:rStyle w:val="BoldItalic"/>
        </w:rPr>
      </w:pPr>
      <w:r w:rsidRPr="00D6629E">
        <w:rPr>
          <w:rStyle w:val="BoldItalic"/>
        </w:rPr>
        <w:t>EU's klimabank: klimaindsatsen og målene for miljømæssig bæredygtighed</w:t>
      </w:r>
    </w:p>
    <w:p w:rsidR="006E28D1" w:rsidRPr="00D6629E" w:rsidRDefault="006E28D1" w:rsidP="006E28D1">
      <w:pPr>
        <w:pStyle w:val="NormalHanging12a"/>
      </w:pPr>
      <w:r w:rsidRPr="00D6629E">
        <w:t>8.</w:t>
      </w:r>
      <w:r w:rsidRPr="00D6629E">
        <w:tab/>
        <w:t>noterer sig konklusionerne i EIB's investeringsrapport 2022/2023 med titlen "Resilience and renewal in Europe" (Modstandsdygtighed og fornyelse i Europa), som analyserer investeringerne i klimaindsatsen i hele EU og investeringsmangler i forskellige sektorer; noterer sig ligeledes EIB-Gruppens forretningsplan for 2023-2025, som bekræfter EIB's tilpasning til EU's politiske prioriteter og bankens tilsagn om at øge sine ambitioner for den digitale og grønne omstilling; opfordrer Kommissionen til at udvikle en metode til vurdering af underskuddet af grøn finansiering i EU og til at vurdere EIB's potentielle rolle med hensyn til at bygge bro over denne finansieringskløft;</w:t>
      </w:r>
    </w:p>
    <w:p w:rsidR="006E28D1" w:rsidRPr="00D6629E" w:rsidRDefault="006E28D1" w:rsidP="006E28D1">
      <w:pPr>
        <w:pStyle w:val="NormalHanging12a"/>
      </w:pPr>
      <w:r w:rsidRPr="00D6629E">
        <w:t>9.</w:t>
      </w:r>
      <w:r w:rsidRPr="00D6629E">
        <w:tab/>
        <w:t>minder om, at EIB er verdens største udsteder af grønne obligationer i flere valutaer; påpeger, at en forøgelse af andelen af eurodenominerede obligationer vil styrke euroens internationale rolle yderligere;</w:t>
      </w:r>
    </w:p>
    <w:p w:rsidR="006E28D1" w:rsidRPr="00D6629E" w:rsidRDefault="006E28D1" w:rsidP="006E28D1">
      <w:pPr>
        <w:pStyle w:val="NormalHanging12a"/>
      </w:pPr>
      <w:r w:rsidRPr="00D6629E">
        <w:t>10.</w:t>
      </w:r>
      <w:r w:rsidRPr="00D6629E">
        <w:tab/>
        <w:t xml:space="preserve">minder om, at den grønne omstilling skal være inkluderende og retfærdig, og at grønne investeringer skal være rentable, og forventer derfor, at EIB udnytter sin långivning, sine finansielle instrumenter, sin tekniske bistand og sine rådgivningstjenester til at </w:t>
      </w:r>
      <w:r w:rsidRPr="00D6629E">
        <w:lastRenderedPageBreak/>
        <w:t>støtte borgere og virksomheder, der står over for socioøkonomiske udfordringer som følge af deres bestræbelser på at opnå klimaneutralitet senest i 2050; opfordrer EIB til at støtte projekter, der giver økonomisk overkommelig adgang til vedvarende energi, boliger og offentlige tjenester, initiativer ledet af lokalsamfund og små projekter med særligt fokus på bekæmpelse af energifattigdom som en prioritet;</w:t>
      </w:r>
    </w:p>
    <w:p w:rsidR="006E28D1" w:rsidRPr="00D6629E" w:rsidRDefault="006E28D1" w:rsidP="006E28D1">
      <w:pPr>
        <w:pStyle w:val="NormalHanging12a"/>
      </w:pPr>
      <w:r w:rsidRPr="00D6629E">
        <w:t>11.</w:t>
      </w:r>
      <w:r w:rsidRPr="00D6629E">
        <w:tab/>
        <w:t>glæder sig over, at EIB allerede har opfyldt sit mål om at afsætte mindst halvdelen af sine midler til klimaindsatsen og miljømæssig bæredygtighed og er på rette vej til at opfylde sit mål om at støtte med 1 billion EUR i grønne investeringer inden 2030; forventer, at gennemgangen af køreplanen for klimabanken i 2024 vil bringe EIB i fuld overensstemmelse med 1,5 °C-kursen og målet om klimaneutralitet senest i 2050, samtidig med at der sikres en retfærdig omstilling for alle; mener, at benchmarket bør være den mest ambitiøse offentlige bankpraksis; gentager sin opfordring om at medtage en grundig vurdering af mindre kulstofintensive alternativer og scope 3-emissionerne for hvert projekt;</w:t>
      </w:r>
    </w:p>
    <w:p w:rsidR="006E28D1" w:rsidRPr="00D6629E" w:rsidRDefault="006E28D1" w:rsidP="006E28D1">
      <w:pPr>
        <w:pStyle w:val="NormalHanging12a"/>
      </w:pPr>
      <w:r w:rsidRPr="00D6629E">
        <w:t>12.</w:t>
      </w:r>
      <w:r w:rsidRPr="00D6629E">
        <w:tab/>
        <w:t xml:space="preserve">glæder sig over "Paris Alignment of counterparties" (PATH) (Modparters tilpasning til Parisaftalen) og forventer, at den gennemføres fuldt ud både med hensyn til at maksimere emissionsreduktionen og øge modstandsdygtigheden over for klimaforandringer; bemærker EIB's reaktion på den energimæssige nødsituation i EU ved at tilpasse PATH; forventer, at de undtagelser, der indrømmes inden for rammerne af PATH til støtte for REPowerEU, er ekstraordinære, midlertidige og fuldt begrundede med henblik på at kunne fremskynde den grønne omstilling og sætte en stopper for Europas afhængighed af import af fossile brændsler, herunder fra Rusland; glæder sig i den forbindelse over forhøjelsen af EIB's støtte til REPowerEU til 45 mia. EUR i lån og egenkapitalfinansiering til projekter inden for vedvarende energi, energieffektivitet, -net og -lagring, opladningsinfrastruktur til elektriske køretøjer og banebrydende teknologier i løbet af de kommende år; </w:t>
      </w:r>
    </w:p>
    <w:p w:rsidR="006E28D1" w:rsidRPr="00D6629E" w:rsidRDefault="006E28D1" w:rsidP="006E28D1">
      <w:pPr>
        <w:pStyle w:val="NormalHanging12a"/>
      </w:pPr>
      <w:r w:rsidRPr="00D6629E">
        <w:t>13.</w:t>
      </w:r>
      <w:r w:rsidRPr="00D6629E">
        <w:tab/>
        <w:t>minder om, at alle erhvervskunder, der modtager EIB-finansiering, er kontraktligt forpligtet til at udarbejde og offentliggøre en troværdig strategi for tilpasning til Parisaftalen ("dekarboniseringsplaner"), som skal omfatte midtvejsmål, bevægelige og kvantitative mål og muligheder for emissionsreduktioner over en længere tidsramme med henblik på at opnå klimaneutralitet senest i 2050; forventer, at EIB systematisk vurderer troværdigheden af disse planer ved at anvende dekarboniseringskriterier, der er kompatible med 1,5 °C-målsætningen, før der underskrives nogen nye finansielle forpligtelser; gentager sin opfordring til EIB om kun at samarbejde med kreditformidlende institutioner, der har en troværdig dekarboniseringsplan, herunder kortsigtede mål, der er kompatible med kursen mod 1,5 °C, og som vil blive indført hurtigst muligt og senest i 2025; understreger, at sådanne nye krav ikke må være til skade for SMV'ers adgang til finansiering;</w:t>
      </w:r>
    </w:p>
    <w:p w:rsidR="006E28D1" w:rsidRPr="00D6629E" w:rsidRDefault="006E28D1" w:rsidP="006E28D1">
      <w:pPr>
        <w:pStyle w:val="NormalHanging12a"/>
      </w:pPr>
      <w:r w:rsidRPr="00D6629E">
        <w:t>14.</w:t>
      </w:r>
      <w:r w:rsidRPr="00D6629E">
        <w:tab/>
        <w:t>understreger den centrale rolle, som EIB spiller med hensyn til at sikre en retfærdig omstilling; opfordrer EIB til at sænke minimumslånebeløbet for individuelle projekter eller låneordninger, der bidrager til en retfærdig omstilling; tilskynder EIB til at optrappe samarbejdet med nationale og regionale finansielle institutioner om at levere målrettet finansiering; opfordrer EIB til at bidrage til at nå EU's mål om ligestilling mellem kvinder og mænd i denne sammenhæng; glæder sig over EIB's involvering i EU's mekanisme for retfærdig omstilling med henblik på at imødegå de socioøkonomiske konsekvenser af omstillingen til en nettonuløkonomi og på at skabe nye muligheder for bæredygtig udvikling i berettigede regioner;</w:t>
      </w:r>
    </w:p>
    <w:p w:rsidR="006E28D1" w:rsidRPr="00D6629E" w:rsidRDefault="006E28D1" w:rsidP="006E28D1">
      <w:pPr>
        <w:pStyle w:val="NormalHanging12a"/>
      </w:pPr>
      <w:r w:rsidRPr="00D6629E">
        <w:lastRenderedPageBreak/>
        <w:t>15.</w:t>
      </w:r>
      <w:r w:rsidRPr="00D6629E">
        <w:tab/>
        <w:t>opfordrer EIB til at tilpasse sine risikobegrænsende aktiviteter med henblik på at styre privat finansiering i retning af projekter, der har en høj grad af additionalitet og bidrager til en retfærdig omstilling, uden at det bringer den kommercielle rentabilitet af bankens portefølje i fare; anmoder EIB om at drage erfaringer af gennemførelsen af produkter såsom klima- og infrastrukturfondene, herunder relevansen af formidlet egenkapital og nødvendigheden af at forbedre forholdet mellem risiko og afkast i mindre, grønne infrastrukturprojekter;</w:t>
      </w:r>
    </w:p>
    <w:p w:rsidR="006E28D1" w:rsidRPr="00D6629E" w:rsidRDefault="006E28D1" w:rsidP="006E28D1">
      <w:pPr>
        <w:pStyle w:val="NormalHanging12a"/>
      </w:pPr>
      <w:r w:rsidRPr="00D6629E">
        <w:t>16.</w:t>
      </w:r>
      <w:r w:rsidRPr="00D6629E">
        <w:tab/>
        <w:t>glæder sig over de opskalerede investeringer i brint; insisterer på, at brintens rolle er at bidrage til omstillingen til klimaneutralitet ved at mindske emissioner fra industrisektorer, hvor det er vanskeligt at nedbringe emissionerne; forventer, at der sikres additionalitet for at undgå, at midler omdirigeres fra eksisterende elektricitet fra vedvarende energikilder, i henhold til den relevante delegerede retsakt</w:t>
      </w:r>
      <w:r w:rsidRPr="00D6629E">
        <w:rPr>
          <w:rStyle w:val="FootnoteReference"/>
        </w:rPr>
        <w:footnoteReference w:id="3"/>
      </w:r>
      <w:r w:rsidRPr="00D6629E">
        <w:t>; er bekymret for brintprojekters potentielle indvirkning på vandforsyningen i visse regioner og på biodiversiteten; opfordrer EIB til at forbedre sin rådgivningsekspertise til EU's brintøkosystem og -marked;</w:t>
      </w:r>
    </w:p>
    <w:p w:rsidR="006E28D1" w:rsidRPr="00D6629E" w:rsidRDefault="006E28D1" w:rsidP="006E28D1">
      <w:pPr>
        <w:pStyle w:val="NormalHanging12a"/>
      </w:pPr>
      <w:r w:rsidRPr="00D6629E">
        <w:t>17.</w:t>
      </w:r>
      <w:r w:rsidRPr="00D6629E">
        <w:tab/>
        <w:t>understreger, at EIB's miljø- og socialpolitik forstærker forpligtelsen til at fremme og gennemføre målene i biodiversitetskonventionen og den globale ramme for biodiversitet efter 2020, navnlig kravet om at finansierede projekter ikke må skade biodiversiteten og økosystemerne i væsentlig grad; glæder sig over ændringen fra "intet nettotab" til "intet tab" af biodiversitet; stræber efter fuld anvendelse af EIB's miljø- og socialpolitik, navnlig i forbindelse med projekter om vedvarende energi; opfordrer indtrængende EIB til fuldt ud at tilpasse sin miljø- og socialpolitik til den globale biodiversitetsramme for perioden efter 2020;</w:t>
      </w:r>
    </w:p>
    <w:p w:rsidR="006E28D1" w:rsidRPr="00D6629E" w:rsidRDefault="006E28D1" w:rsidP="006E28D1">
      <w:pPr>
        <w:pStyle w:val="NormalHanging12a"/>
      </w:pPr>
      <w:r w:rsidRPr="00D6629E">
        <w:t>18.</w:t>
      </w:r>
      <w:r w:rsidRPr="00D6629E">
        <w:tab/>
        <w:t xml:space="preserve">glæder sig over de første fælles principper for naturpositiv finansiering, som EIB offentliggjorde sammen med andre multilaterale udviklingsbanker på COP28; forventer, at EIB fortsat engagerer sig mere aktivt i naturpositive og biodiversitetsfremmende investeringer og i de sektorer med de største sidegevinster for biodiversiteten, eksempelvis vandforvaltning, sanitet, skovbrug og hav, med den højeste grad af integritet og garantier, navnlig hvad angår lokalsamfundenes rettigheder og indarbejdelse af de indhøstede erfaringer fra faciliteten til finansiering af naturkapital; forventer, at EIB øger finansieringen til løsninger med henblik på reduktion af plastforurening; </w:t>
      </w:r>
    </w:p>
    <w:p w:rsidR="006E28D1" w:rsidRPr="00D6629E" w:rsidRDefault="006E28D1" w:rsidP="006E28D1">
      <w:pPr>
        <w:pStyle w:val="NormalHanging12a"/>
      </w:pPr>
      <w:r w:rsidRPr="00D6629E">
        <w:t>19.</w:t>
      </w:r>
      <w:r w:rsidRPr="00D6629E">
        <w:tab/>
        <w:t>forventer en øget indsats for at integrere naturen i analyser og arbejdsgange, der vurderer den finansielle risiko for tab af biodiversitet på modpartsniveau; forventer, at der systematisk inkorporeres naturpositive elementer i store infrastrukturprojekter, navnlig i forbindelse med investeringer i byområder; advarer mod projekter, der bidrager til klimamål, som fører til ødelæggelse af biodiversitet;</w:t>
      </w:r>
    </w:p>
    <w:p w:rsidR="006E28D1" w:rsidRPr="00D6629E" w:rsidRDefault="006E28D1" w:rsidP="006E28D1">
      <w:pPr>
        <w:pStyle w:val="NormalHanging12a"/>
      </w:pPr>
      <w:r w:rsidRPr="00D6629E">
        <w:t>20.</w:t>
      </w:r>
      <w:r w:rsidRPr="00D6629E">
        <w:tab/>
        <w:t xml:space="preserve">noterer sig de igangværende forhandlinger om gældseftergivelse til gengæld for naturbeskyttelse; er bekymret over den udviklings‑ og bevaringsmæssige tilstrækkelighed af disse aftaler og deres høje transaktionsomkostninger, navnlig fordi </w:t>
      </w:r>
      <w:r w:rsidRPr="00D6629E">
        <w:lastRenderedPageBreak/>
        <w:t xml:space="preserve">tidligere eksempler har vist, at disse bekymringer er berettigede; understreger, at der er behov for en høj grad af gennemsigtighed og nationalt ejerskab; </w:t>
      </w:r>
    </w:p>
    <w:p w:rsidR="006E28D1" w:rsidRPr="00D6629E" w:rsidRDefault="006E28D1" w:rsidP="006E28D1">
      <w:pPr>
        <w:pStyle w:val="NormalHanging12a"/>
      </w:pPr>
      <w:r w:rsidRPr="00D6629E">
        <w:t>21.</w:t>
      </w:r>
      <w:r w:rsidRPr="00D6629E">
        <w:tab/>
        <w:t xml:space="preserve">forventer, at EIB fortsat anvender strenge dyrevelfærdsstandarder og gældende lovgivning, herunder i forbindelse med avlsaktiviteter og foder inden for fiskeopdræt, baseret på den højeste standard, der er fastsat af EU og multilaterale finansielle institutioner; </w:t>
      </w:r>
    </w:p>
    <w:p w:rsidR="006E28D1" w:rsidRPr="00D6629E" w:rsidRDefault="006E28D1" w:rsidP="006E28D1">
      <w:pPr>
        <w:pStyle w:val="NormalHanging12a"/>
      </w:pPr>
      <w:r w:rsidRPr="00D6629E">
        <w:t>22.</w:t>
      </w:r>
      <w:r w:rsidRPr="00D6629E">
        <w:tab/>
        <w:t>fremhæver, at forsyningssikkerheden for så vidt angår kritiske råstoffer er helt afgørende for den grønne og den digitale omstilling, forsvarssektoren og EU's industrielle base som helhed; minder om den rolle, som EIB spiller i den europæiske råstofalliance, og om Unionens mål om at blive mere uafhængig med hensyn til forsyningen af kritiske råstoffer; understreger vigtigheden af en cirkulær økonomisk tilgang til kritiske råstoffer baseret på genanvendelse og genbrug med henblik på at mindske EU's afhængighed af tredjelande og fremme dets strategiske autonomi; opfordrer derfor EIB til at investere mere i sektoren for kritiske råstoffer for at øge modstandsdygtigheden inden for råstoffer med særligt fokus på genanvendelse af sekundære råstoffer og til at fremme løsninger inden for den cirkulære økonomi med henblik på at bidrage til at diversificere forsyningen;</w:t>
      </w:r>
    </w:p>
    <w:p w:rsidR="006E28D1" w:rsidRPr="00D6629E" w:rsidRDefault="006E28D1" w:rsidP="006E28D1">
      <w:pPr>
        <w:pStyle w:val="NormalHanging12a"/>
        <w:rPr>
          <w:b/>
          <w:i/>
        </w:rPr>
      </w:pPr>
      <w:r w:rsidRPr="00D6629E">
        <w:rPr>
          <w:b/>
          <w:i/>
        </w:rPr>
        <w:t>Støtte til innovation, små og mellemstore virksomheder, industri og digitalisering</w:t>
      </w:r>
    </w:p>
    <w:p w:rsidR="006E28D1" w:rsidRPr="00D6629E" w:rsidRDefault="006E28D1" w:rsidP="006E28D1">
      <w:pPr>
        <w:pStyle w:val="NormalHanging12a"/>
      </w:pPr>
      <w:r w:rsidRPr="00D6629E">
        <w:t>23.</w:t>
      </w:r>
      <w:r w:rsidRPr="00D6629E">
        <w:tab/>
        <w:t>minder om, at SMV'erne er rygraden i Europas økonomi; minder om, at EU's 23 mio. SMV'er tegner sig for 99 % af alle virksomheder, tilvejebringer omkring tre fjerdedele af alle job og skaber mere end 50 % af den samlede merværdi, der frembringes af EU-virksomheder; understreger, at det er et centralt mål for EIB-Gruppen at støtte SMV'er; påpeger, at energikrisen og konsekvenserne af Ruslands krig i Ukraine giver yderligere udfordringer for SMV'er, ligesom stigende råvarepriser og rentesatser;</w:t>
      </w:r>
    </w:p>
    <w:p w:rsidR="006E28D1" w:rsidRPr="00D6629E" w:rsidRDefault="006E28D1" w:rsidP="006E28D1">
      <w:pPr>
        <w:spacing w:after="240"/>
        <w:ind w:left="567" w:hanging="567"/>
      </w:pPr>
      <w:r w:rsidRPr="00D6629E">
        <w:t>24.</w:t>
      </w:r>
      <w:r w:rsidRPr="00D6629E">
        <w:tab/>
        <w:t>minder om, at EIB-Gruppen i 2022 ydede finansiering til SMV'er og midcapselskaber, der beløb sig til en samlet investering på 16,35 mia. EUR; bemærker, at EIB-Gruppens transaktioner med at yde gældsstøtte til SMV'er ifølge EIB-Gruppens vurdering beløb sig til næsten 20 mia. EUR i årlige nettoundertegnelser mellem 2010 og 2020; opfordrer EIB-Gruppen til at overveje måder, hvorpå den yderligere kan fremme sin støtte til SMV'er, navnlig til mindre finansieringsprojekter;</w:t>
      </w:r>
    </w:p>
    <w:p w:rsidR="006E28D1" w:rsidRPr="00D6629E" w:rsidRDefault="006E28D1" w:rsidP="006E28D1">
      <w:pPr>
        <w:spacing w:after="240"/>
        <w:ind w:left="567" w:hanging="567"/>
      </w:pPr>
      <w:r w:rsidRPr="00D6629E">
        <w:t>25.</w:t>
      </w:r>
      <w:r w:rsidRPr="00D6629E">
        <w:tab/>
        <w:t>fremhæver EIF's rolle med hensyn til at forbedre adgangen til finansiering for mindre EU-virksomheder, midcapselskaber og nystartede virksomheder og dermed fondens støtte til iværksætteri, vækst, innovation, forskning og udvikling (FoU) og beskæftigelse i Unionen; påpeger, at en stabil energiforsyning til konkurrencedygtige priser er en af grundpillerne i en vellykket industripolitik, og navnlig i succesrige SMV'er; opfordrer EIB-Gruppen til at stille yderligere vækstkapital til rådighed for at sætte SMV'er i stand til at opskalere deres aktiviteter; opfordrer indtrængende EIB-Gruppen til at øge den støtte, der er rettet mod opskalering af nystartede europæiske virksomheder, herunder ved at tage større risici med udbetaling af risikovillig kapital for at sikre, at nystartede europæiske virksomheder har mulighed for at opskalere i EU i stedet for uden for EU;</w:t>
      </w:r>
    </w:p>
    <w:p w:rsidR="006E28D1" w:rsidRPr="00D6629E" w:rsidRDefault="006E28D1" w:rsidP="006E28D1">
      <w:pPr>
        <w:spacing w:after="240"/>
        <w:ind w:left="567" w:hanging="567"/>
      </w:pPr>
      <w:r w:rsidRPr="00D6629E">
        <w:t>26.</w:t>
      </w:r>
      <w:r w:rsidRPr="00D6629E">
        <w:tab/>
        <w:t xml:space="preserve">understreger nødvendigheden af, at EIF har et stærkt fokus på projekter, der skaber og bevarer arbejdspladser af høj kvalitet, herunder projekter rettet mod at løse det voksende problem med ungdomsarbejdsløshed, f.eks. den såkaldte vekseluddannelsesmodel, der </w:t>
      </w:r>
      <w:r w:rsidRPr="00D6629E">
        <w:lastRenderedPageBreak/>
        <w:t>har vist sig at være effektiv og vellykket i nogle medlemsstater, med henblik på at skabe sikre arbejdspladser af høj kvalitet;</w:t>
      </w:r>
    </w:p>
    <w:p w:rsidR="006E28D1" w:rsidRPr="00D6629E" w:rsidRDefault="006E28D1" w:rsidP="006E28D1">
      <w:pPr>
        <w:spacing w:after="240"/>
        <w:ind w:left="567" w:hanging="567"/>
      </w:pPr>
      <w:r w:rsidRPr="00D6629E">
        <w:t>27.</w:t>
      </w:r>
      <w:r w:rsidRPr="00D6629E">
        <w:tab/>
        <w:t>anerkender, at SMV'er ofte kæmper med begrænsede administrative ressourcer og er oppe mod højere låneomkostninger end store virksomheder på grund af mindre favorable vilkår for banklån, og finder det bydende nødvendigt at tilbyde dem finansieringsværktøjer, der er enkle og let tilgængelige; tilskynder derfor kraftigt EIB-Gruppen til at udforme sine programmer på en måde, som forenkler de administrative procedurer og samtidig yder den nødvendige tekniske bistand og tilstrækkelige finansiering til rådgivningstjenester, således at SMV'ers adgang til dem forbedres;</w:t>
      </w:r>
    </w:p>
    <w:p w:rsidR="006E28D1" w:rsidRPr="00D6629E" w:rsidRDefault="006E28D1" w:rsidP="006E28D1">
      <w:pPr>
        <w:pStyle w:val="NormalHanging12a"/>
      </w:pPr>
      <w:r w:rsidRPr="00D6629E">
        <w:t>28.</w:t>
      </w:r>
      <w:r w:rsidRPr="00D6629E">
        <w:tab/>
        <w:t>gentager sin opfordring til EIB-Gruppen om at supplere bestræbelserne på at opbygge datadrevne løsninger med et særligt fokus på SMV'ers konkurrenceevne og til at fokusere dens investeringer på dette område med henblik på at slå bro over den digitale kløft både inden for EU og mellem EU og andre mere teknologisk avancerede regioner i verden; opfordrer EIB-Gruppen til at øge investeringerne i digitalisering, i udvikling af banebrydende teknologier såsom AI og i opkvalificering og omskoling af arbejdstagere, der er afgørende for en stærk industriel base;</w:t>
      </w:r>
    </w:p>
    <w:p w:rsidR="006E28D1" w:rsidRPr="00D6629E" w:rsidRDefault="006E28D1" w:rsidP="006E28D1">
      <w:pPr>
        <w:pStyle w:val="Normal12a24b"/>
        <w:spacing w:before="0"/>
        <w:rPr>
          <w:rStyle w:val="BoldItalic"/>
        </w:rPr>
      </w:pPr>
      <w:r w:rsidRPr="00D6629E">
        <w:rPr>
          <w:rStyle w:val="BoldItalic"/>
        </w:rPr>
        <w:t>Ukraine</w:t>
      </w:r>
    </w:p>
    <w:p w:rsidR="006E28D1" w:rsidRPr="00D6629E" w:rsidRDefault="006E28D1" w:rsidP="006E28D1">
      <w:pPr>
        <w:pStyle w:val="NormalHanging12a"/>
      </w:pPr>
      <w:r w:rsidRPr="00D6629E">
        <w:t>29.</w:t>
      </w:r>
      <w:r w:rsidRPr="00D6629E">
        <w:tab/>
        <w:t>glæder sig over initiativet EU for Ukraine, som EIB iværksatte i marts 2023 med henblik på at finansiere genopbygning og genopretning i Ukraine, og som er tænkt som en midlertidig ordning, der vil gøre det muligt for EIB at fortsætte sit engagement i landet, mens den forventede mellemfristede EU-støtte bringes på plads; minder i den forbindelse om EU-budgettets betydning som garant for EIB's virksomhed, når denne indebærer ydelse af lån uden for EU til gennemførelse af EU-programmer; opfordrer til en forhøjelse af garantierne til EIB fra EU-budgettet for at give EIB mulighed for fortsat at levere afgørende transaktioner i den offentlige og den private sektor i Ukraine og for at udvide sine aktiviteter i det globale syd; glæder sig over, at alle EIB's foranstaltninger i Ukraine er styret af prioriteterne for social, økonomisk og miljømæssig genopretning og genopbygning i tråd med "building back better"-principperne og vil være i fuld overensstemmelse med den kommende Ukraineplan; glæder sig over komponenten af teknisk bistand for at sikre en optimal projektforberedelse og -gennemførelse samt kapacitetsopbyggende foranstaltninger; forventer, at den nært forestående tredje hurtige vurdering af behov i forbindelse med skader, som gennemføres af Verdensbanken i samarbejde med Kommissionen, EIB og den ukrainske regering, vil pege på betydeligt øgede behov; glæder sig over EIB's bestræbelser på at forebygge, afskrække fra og efterforske svig og korruption i forbindelse med sine projekter i Ukraine;</w:t>
      </w:r>
    </w:p>
    <w:p w:rsidR="006E28D1" w:rsidRPr="00D6629E" w:rsidRDefault="006E28D1" w:rsidP="006E28D1">
      <w:pPr>
        <w:pStyle w:val="NormalHanging12a"/>
      </w:pPr>
      <w:r w:rsidRPr="00D6629E">
        <w:t>30.</w:t>
      </w:r>
      <w:r w:rsidRPr="00D6629E">
        <w:tab/>
        <w:t>understreger, at Ruslands angrebskrig også har påvirket regioner i EU og medført betydelige økonomiske konsekvenser, navnlig i landene i EU's østlige grænseregioner og dets nabolande, såvel som en alvorlig humanitær krise; understreger, at de ændringer i forsyningskæderne og de handelsmæssige og økonomiske forbindelser, som krigen har forårsaget, bør tages i betragtning i den fremtidige investeringsplanlægning; opfordrer EIB til at tage hensyn til den geopolitiske situation og de nødvendige investeringer i frontlinjelandene, herunder i infrastruktur og grænseforvaltning;</w:t>
      </w:r>
    </w:p>
    <w:p w:rsidR="006E28D1" w:rsidRPr="00D6629E" w:rsidRDefault="006E28D1" w:rsidP="006E28D1">
      <w:pPr>
        <w:pStyle w:val="NormalHanging12a"/>
        <w:rPr>
          <w:iCs/>
        </w:rPr>
      </w:pPr>
      <w:r w:rsidRPr="00D6629E">
        <w:t>31.</w:t>
      </w:r>
      <w:r w:rsidRPr="00D6629E">
        <w:tab/>
        <w:t xml:space="preserve">minder om, at den russiske angrebskrig mod Ukraine er en gamechanger, idet den grundlæggende har ændret det europæiske sikkerhedsmiljø og nødvendiggør en forøgelse af forsvarsberedskabet og derfor tilstrækkelige investeringer; understreger, at </w:t>
      </w:r>
      <w:r w:rsidRPr="00D6629E">
        <w:lastRenderedPageBreak/>
        <w:t>det er nødvendigt at gøre den mest effektive brug af alle de instrumenter, som EIB har til rådighed; opfordrer EIB til at øge sin støtte til det strategiske europæiske sikkerhedsinitiativ og til den europæiske forsvarsindustri, herunder SMV'er, navnlig for at bidrage til fortsat støtte til Ukraine;</w:t>
      </w:r>
      <w:r w:rsidR="00BC4379">
        <w:t xml:space="preserve"> </w:t>
      </w:r>
      <w:r w:rsidR="00BC4379" w:rsidRPr="00BC4379">
        <w:t>opfordrer EIB til at reformere sin liste over støtteberettigelse, således at ammunition og militært materiel, der ligger ud over anvendelse med dobbelt anvendelse, ikke længere udelukkes fra EIB-finansiering;</w:t>
      </w:r>
    </w:p>
    <w:p w:rsidR="006E28D1" w:rsidRPr="00D6629E" w:rsidRDefault="006E28D1" w:rsidP="006E28D1">
      <w:pPr>
        <w:pStyle w:val="NormalHanging12a"/>
        <w:rPr>
          <w:rStyle w:val="BoldItalic"/>
        </w:rPr>
      </w:pPr>
      <w:r w:rsidRPr="00D6629E">
        <w:rPr>
          <w:rStyle w:val="BoldItalic"/>
        </w:rPr>
        <w:t>EIB Global</w:t>
      </w:r>
    </w:p>
    <w:p w:rsidR="006E28D1" w:rsidRPr="00D6629E" w:rsidRDefault="006E28D1" w:rsidP="006E28D1">
      <w:pPr>
        <w:pStyle w:val="NormalHanging12a"/>
      </w:pPr>
      <w:r w:rsidRPr="00D6629E">
        <w:t>32.</w:t>
      </w:r>
      <w:r w:rsidRPr="00D6629E">
        <w:tab/>
        <w:t xml:space="preserve">forventer, at aktiviteterne under EIB Global forbliver i overensstemmelse med EU's strategiske interesser og udenrigspolitiske mål; glæder sig over EIB's deltagelse i Global Gateway-initiativet, som primært vil støtte investeringer i infrastruktur og SMV'er og dermed bidrage til EU's mål om at styrke dets strategiske autonomi; forventer, at EIB Global sikrer, at investeringerne tydeligvis er supplerende, skaber langsigtede positive virkninger og gavner modtagersamfundene ved at beskytte natur- og kulturarven, øge modstandsdygtigheden over for klimaforandringer, skabe lokale arbejdspladser og afbøde fattigdom; mener, at interessenter i modtagerlandene såsom offentlige myndigheder, civilsamfundet og arbejdsmarkedets parter skal inddrages i beslutningstagningen om og gennemførelsen af Global Gateway-projekter; minder endvidere om, at EIB Global's succes afhænger af et passende personaleniveau placeret på stedet, herunder lokale arbejdstagere; </w:t>
      </w:r>
    </w:p>
    <w:p w:rsidR="006E28D1" w:rsidRPr="00D6629E" w:rsidRDefault="006E28D1" w:rsidP="006E28D1">
      <w:pPr>
        <w:pStyle w:val="NormalHanging12a"/>
      </w:pPr>
      <w:r w:rsidRPr="00D6629E">
        <w:t>33.</w:t>
      </w:r>
      <w:r w:rsidRPr="00D6629E">
        <w:tab/>
        <w:t>bemærker, at EIB Global siden oprettelsen af den nye udviklingsfilial har gjort rekordstor brug af det særlige investeringsvindue under instrumentet for naboskab, udviklingssamarbejde og internationalt samarbejde – et globalt Europa og har leveret over 10 mia. EUR i 2022, navnlig til støtte for Ukraine og Global Gateway; noterer sig den strategiske køreplan for EIB Global og forventningen om, at den vil facilitere mindst en tredjedel af de 300 mia. EUR i investeringer, der forventes genereret inden udgangen af 2027; glæder sig over 2025-målet om, at mere end 50 % af den årlige långivning skal gå til investeringer i klimaindsatsen og miljømæssig bæredygtighed; forventer, at finansieringen bidrager til en inkluderende og retfærdig omstilling på globalt plan; forventer endvidere, at EIB Global på en meningsfuld måde bidrager til EU's mål om, at 85 % af alle nye eksterne foranstaltninger senest i 2025 skal støtte ligestilling mellem kønnene; glæder sig over de fremskridt, der er gjort hen imod oprettelsen af Global Gateway-fonden under garantien fra Den Europæiske Fond for Bæredygtig Udvikling Plus, som forventes at finansiere investeringer i den private sektor med stor indvirkning og tilvejebringe egenkapital- og lånefinansiering til projekter med stor indvirkning på infrastruktur, ren energi og menneskelig udvikling i hele verden; giver udtryk for bekymring over manglen på inkluderende og meningsfulde høringer af interessenter, der påvirkes af dens aktiviteter; opfordrer til øget støtte til projekter med begrænset bankegnethed og højt offentligt afkast og til, at minimumslånebeløbet til individuelle projekter sænkes, navnlig i mindre udviklede lande;</w:t>
      </w:r>
    </w:p>
    <w:p w:rsidR="006E28D1" w:rsidRPr="00D6629E" w:rsidRDefault="006E28D1" w:rsidP="006E28D1">
      <w:pPr>
        <w:pStyle w:val="NormalHanging12a"/>
      </w:pPr>
      <w:r w:rsidRPr="00D6629E">
        <w:t>34.</w:t>
      </w:r>
      <w:r w:rsidRPr="00D6629E">
        <w:tab/>
        <w:t xml:space="preserve">gentager sin opfordring til, at EIB Global begrænser blandingsoperationer til områder, hvor de kan tilføre merværdi til den lokale økonomi, og samtidig undgår at fortrænge privat kapital, og sikrer, at blandet finansiering ikke anvendes til væsentlige offentlige tjenester, navnlig sundhed, uddannelse og social beskyttelse; minder om, at EU's udviklingspolitiske mål, og navnlig målet om at fremme universel og økonomisk overkommelig adgang til sundhedspleje, bør være retningsgivende for EIB's </w:t>
      </w:r>
      <w:r w:rsidRPr="00D6629E">
        <w:lastRenderedPageBreak/>
        <w:t>investeringer på området for at sikre bedre sundhedsresultater for alle, og navnlig kvinder;</w:t>
      </w:r>
    </w:p>
    <w:p w:rsidR="006E28D1" w:rsidRPr="00D6629E" w:rsidRDefault="006E28D1" w:rsidP="006E28D1">
      <w:pPr>
        <w:pStyle w:val="NormalHanging12a"/>
      </w:pPr>
      <w:r w:rsidRPr="00D6629E">
        <w:t>35.</w:t>
      </w:r>
      <w:r w:rsidRPr="00D6629E">
        <w:tab/>
        <w:t>er bekymret over de hastigt stigende gældsniveauer og højere låneomkostninger i vækstøkonomier og udviklingsøkonomier, idet det anslås, at 60 % af lavindkomstlandene allerede befinder sig i en offentlig gældskrise eller er i høj risiko for en gældskrise</w:t>
      </w:r>
      <w:r w:rsidRPr="00D6629E">
        <w:rPr>
          <w:vertAlign w:val="superscript"/>
        </w:rPr>
        <w:footnoteReference w:id="4"/>
      </w:r>
      <w:r w:rsidRPr="00D6629E">
        <w:t>; fremhæver den vigtige rolle, som EIB og andre multilaterale institutioner spiller med hensyn til at yde finansiering på lempelige vilkår for at lette uholdbare gældsbyrder;</w:t>
      </w:r>
    </w:p>
    <w:p w:rsidR="006E28D1" w:rsidRPr="00D6629E" w:rsidRDefault="006E28D1" w:rsidP="006E28D1">
      <w:pPr>
        <w:pStyle w:val="NormalHanging12a"/>
      </w:pPr>
      <w:r w:rsidRPr="00D6629E">
        <w:t>36.</w:t>
      </w:r>
      <w:r w:rsidRPr="00D6629E">
        <w:tab/>
        <w:t>er af den opfattelse, at EIB Global bør stå til regnskab for overholdelsen af principperne i Pariserklæringen om bistandseffektivitet og Accrahandlingsplanen (ejerskab, tilpasning, harmonisering, resultatbaseret forvaltning og gensidig ansvarlighed); er i den forbindelse navnlig bekymret over en interessekonflikt mellem eksportkreditagenturer og udviklingsfinansieringen fra EIB Global og over indvirkningen af EIB Global's berørte investeringer på udviklingsadditionaliteten;</w:t>
      </w:r>
    </w:p>
    <w:p w:rsidR="006E28D1" w:rsidRPr="00D6629E" w:rsidRDefault="006E28D1" w:rsidP="006E28D1">
      <w:pPr>
        <w:pStyle w:val="NormalHanging12a"/>
      </w:pPr>
      <w:r w:rsidRPr="00D6629E">
        <w:t>37.</w:t>
      </w:r>
      <w:r w:rsidRPr="00D6629E">
        <w:tab/>
        <w:t>tager EIB's orienterende note, som opsummerer bankens tilgang til menneskerettighederne, til efterretning; minder EIB om vigtigheden af at integrere menneskerettighederne i bankens due diligence-procedurer, gennemføre konsekvensanalyser vedrørende menneskerettigheder, forankre dens generelle menneskerettighedsforpligtelse og operere i fuld overensstemmelse med artikel 2 i TEUF; gentager sin opfordring til klare og bindende regler, som skal supplere den orienterende note, der opsummerer EIB Global's tilgang til menneskerettighederne, navnlig med hensyn til vurdering og tilbagetrækning; udtrykker særlig bekymring over, at EIB siden 2015 ikke har krævet, at projektledere foretager selvstændige konsekvensanalyser vedrørende menneskerettigheder; opfordrer derfor EIB til at udarbejde en menneskerettighedsstrategi samt menneskerettighedsvurderinger og -valueringer af sine programmer, herunder af den reelle situation på stedet i modtagerlandene, for at sikre, at lokalsamfundene høres, og at retten til frit, forudgående og informeret samtykke systematisk respekteres; opfordrer desuden EIB til at udarbejde særlige politikker for menneskerettighedsforkæmpere og protokoller for, hvordan risikoen for repressalier skal håndteres; understreger, at der bør træffes specifikke foranstaltninger for at inkludere oprindelige folk, kvinder, personer med handicap og andre sårbare grupper i høringer;</w:t>
      </w:r>
    </w:p>
    <w:p w:rsidR="006E28D1" w:rsidRPr="00D6629E" w:rsidRDefault="006E28D1" w:rsidP="006E28D1">
      <w:pPr>
        <w:pStyle w:val="NormalHanging12a"/>
      </w:pPr>
      <w:r w:rsidRPr="00D6629E">
        <w:t>38.</w:t>
      </w:r>
      <w:r w:rsidRPr="00D6629E">
        <w:tab/>
        <w:t>gentager sin opfordring til EIB om at sikre, at bankens transaktioner gavner kvinder og piger og fremmer kvinders økonomiske selvstændighed og beskæftigelse; mener, at EIB yderligere kan øge mikrofinansieringslånene til kvindeledede virksomheder, som stadig udsættes for forskelsbehandling hvad angår adgang til finansiering;</w:t>
      </w:r>
    </w:p>
    <w:p w:rsidR="006E28D1" w:rsidRPr="00D6629E" w:rsidRDefault="006E28D1" w:rsidP="006E28D1">
      <w:pPr>
        <w:pStyle w:val="NormalHanging12a"/>
      </w:pPr>
      <w:r w:rsidRPr="00D6629E">
        <w:t>39.</w:t>
      </w:r>
      <w:r w:rsidRPr="00D6629E">
        <w:tab/>
        <w:t>anmoder EIB om at samarbejde med andre bilaterale og multilaterale institutioner om at udvikle og anvende fælles metoder til analyse af udviklingseffekter med henblik på at sikre langsigtede positive virkninger og merværdi;</w:t>
      </w:r>
    </w:p>
    <w:p w:rsidR="006E28D1" w:rsidRPr="00D6629E" w:rsidRDefault="006E28D1" w:rsidP="006E28D1">
      <w:pPr>
        <w:pStyle w:val="Normal12a24b"/>
      </w:pPr>
      <w:r w:rsidRPr="00D6629E">
        <w:rPr>
          <w:rStyle w:val="BoldItalic"/>
        </w:rPr>
        <w:t>Gennemsigtighed og forvaltning</w:t>
      </w:r>
    </w:p>
    <w:p w:rsidR="006E28D1" w:rsidRPr="00D6629E" w:rsidRDefault="006E28D1" w:rsidP="006E28D1">
      <w:pPr>
        <w:pStyle w:val="NormalHanging12a"/>
        <w:rPr>
          <w:snapToGrid/>
          <w:szCs w:val="24"/>
        </w:rPr>
      </w:pPr>
      <w:r w:rsidRPr="00D6629E">
        <w:lastRenderedPageBreak/>
        <w:t>40.</w:t>
      </w:r>
      <w:r w:rsidRPr="00D6629E">
        <w:tab/>
        <w:t>minder om, at EIB's midler er offentlige, og at anvendelsen af dem altid bør være genstand for offentlig kontrol og ansvarliggørelse; anerkender, at EIB er klassificeret som "fair" på gennemsigtighedsindekset for direkte udenlandske investeringer for 2023; opfordrer EIB til proaktivt og rettidigt at offentliggøre mere detaljerede oplysninger om projekter, herunder rationalet bag og konteksten for projekterne, og forklare, hvordan de er i overensstemmelse med og fremmer EU's politiske mål, og forventer, at EIB begrænser hemmeligholdelse til de gældende undtagelser, der er anført i forordning (EF) nr. 1049/2001</w:t>
      </w:r>
      <w:r w:rsidRPr="00D6629E">
        <w:rPr>
          <w:rStyle w:val="FootnoteReference"/>
        </w:rPr>
        <w:footnoteReference w:id="5"/>
      </w:r>
      <w:r w:rsidRPr="00D6629E">
        <w:t xml:space="preserve"> og forordning (EF) nr. 1367/2006</w:t>
      </w:r>
      <w:r w:rsidRPr="00D6629E">
        <w:rPr>
          <w:rStyle w:val="FootnoteReference"/>
        </w:rPr>
        <w:footnoteReference w:id="6"/>
      </w:r>
      <w:r w:rsidRPr="00D6629E">
        <w:t>; opfordrer indtrængende EIB til at gennemføre Den Europæiske Ombudsmands henstillinger af 20. november 2023 fra sag 2252/2022/OAM og af 21. april 2022 fra sag 1251/2020/PB for at muliggøre en meningsfuld vurdering af de miljømæssige og sociale aspekter af de projekter, som banken overvejer at finansiere;</w:t>
      </w:r>
    </w:p>
    <w:p w:rsidR="006E28D1" w:rsidRPr="00D6629E" w:rsidRDefault="006E28D1" w:rsidP="006E28D1">
      <w:pPr>
        <w:pStyle w:val="NormalHanging12a"/>
      </w:pPr>
      <w:r w:rsidRPr="00D6629E">
        <w:t>41.</w:t>
      </w:r>
      <w:r w:rsidRPr="00D6629E">
        <w:tab/>
        <w:t>opfordrer til øget ansvarlighed fra EIB's side over for EU-institutionerne, især over for Parlamentet, da gennemsigtighed er en af demokratiets hjørnestene; opfordrer derfor EIB til at øge sin rapportering til Parlamentet om sine beslutninger, opnåede fremskridt og virkningen af bankens udlånsaktiviteter, navnlig gennem regelmæssige strukturerede dialoger mellem Parlamentet og EIB; gentager sin anmodning om en interinstitutionel aftale mellem Parlamentet og EIB med henblik på at forbedre adgangen til EIB's dokumenter og data og øge den demokratiske ansvarlighed, herunder muligheden for at forelægge EIB spørgsmål til skriftlig besvarelse – en mulighed som allerede findes for Den Europæiske Centralbank;</w:t>
      </w:r>
    </w:p>
    <w:p w:rsidR="006E28D1" w:rsidRPr="00D6629E" w:rsidRDefault="006E28D1" w:rsidP="006E28D1">
      <w:pPr>
        <w:pStyle w:val="NormalHanging12a"/>
      </w:pPr>
      <w:r w:rsidRPr="00D6629E">
        <w:t>42.</w:t>
      </w:r>
      <w:r w:rsidRPr="00D6629E">
        <w:tab/>
        <w:t>gentager sin opfordring til, at EIB styrker sin politik mod skattesvig, skatteunddragelse og skatteundgåelse, herunder ved at undlade at finansiere støttemodtagere eller kreditformidlende institutioner, der bevisligt har en dårlig forhistorie; opfordrer EIB til at håndhæve forebyggende foranstaltninger over for og foretage regelmæssige skattevurderinger af ikkesamarbejdsvillige skattejurisdiktioner og over for skatte- og afgiftssvig, skatteunddragelse samt ulovlig og aggressiv skatteundgåelse;</w:t>
      </w:r>
    </w:p>
    <w:p w:rsidR="006E28D1" w:rsidRPr="00D6629E" w:rsidRDefault="006E28D1" w:rsidP="006E28D1">
      <w:pPr>
        <w:pStyle w:val="NormalHanging12a"/>
      </w:pPr>
      <w:r w:rsidRPr="00D6629E">
        <w:t>43.</w:t>
      </w:r>
      <w:r w:rsidRPr="00D6629E">
        <w:tab/>
        <w:t xml:space="preserve">tilskynder EIB's næstformænd til at undlade at involvere sig i projektforslag fra deres hjemlande; anmoder EIB om fuldt ud at gennemføre alle Ombudsmandens henstillinger af 27. juli 2022 fra sag 1016/2021/KR og af 31. oktober 2023 fra sag </w:t>
      </w:r>
      <w:r w:rsidR="00BF667C" w:rsidRPr="002F1B26">
        <w:t>611/2022/KR</w:t>
      </w:r>
      <w:r w:rsidRPr="00D6629E">
        <w:t xml:space="preserve"> vedrørende aktiviteter udført af tidligere medlemmer af bankens direktion; opfordrer medlemmerne af EIB's direktion til at offentliggøre deres planlagte møder med eksterne interessenter og gentager sin anmodning om systematisk offentliggørelse af indholdet af møderne i EIB's styrende organer for at forbedre gennemsigtigheden yderligere; </w:t>
      </w:r>
    </w:p>
    <w:p w:rsidR="006E28D1" w:rsidRPr="00FA7893" w:rsidRDefault="006E28D1" w:rsidP="006E28D1">
      <w:pPr>
        <w:pStyle w:val="NormalHanging12a"/>
      </w:pPr>
      <w:r w:rsidRPr="00FA7893">
        <w:t>44.</w:t>
      </w:r>
      <w:r w:rsidRPr="00FA7893">
        <w:tab/>
      </w:r>
      <w:r w:rsidR="00BC4379" w:rsidRPr="00FA7893">
        <w:t xml:space="preserve">bemærker, at EIB har gjort fremskridt med hensyn til at opnå en mere ligelig kønsfordeling i arbejdsstyrken, selv om kvinder fortsat er underrepræsenteret i ledende stillinger og inden for centrale aktivitetsområder; beklager, at EIB ikke nåede sine kønsrelaterede mål for kvinder på forskellige niveauer, som var fastsat i EIB's mangfoldigheds- og inklusionsstrategi for 2018-2021; opfordrer derfor banken til at </w:t>
      </w:r>
      <w:r w:rsidR="00BC4379" w:rsidRPr="00FA7893">
        <w:lastRenderedPageBreak/>
        <w:t xml:space="preserve">intensivere sine bestræbelser på at </w:t>
      </w:r>
      <w:r w:rsidR="00BC4379" w:rsidRPr="00FA7893">
        <w:rPr>
          <w:bCs/>
          <w:iCs/>
        </w:rPr>
        <w:t>øge kønsmangfoldigheden for at</w:t>
      </w:r>
      <w:r w:rsidR="00BC4379" w:rsidRPr="00FA7893">
        <w:t xml:space="preserve"> opnå </w:t>
      </w:r>
      <w:r w:rsidR="00BC4379" w:rsidRPr="00FA7893">
        <w:rPr>
          <w:bCs/>
          <w:iCs/>
        </w:rPr>
        <w:t>kønslighed og</w:t>
      </w:r>
      <w:r w:rsidR="00BC4379" w:rsidRPr="00FA7893">
        <w:t xml:space="preserve"> en bedre balance mellem kønnene på tværs af alle funktioner og navnlig i topleder- og lederstillinger, </w:t>
      </w:r>
      <w:r w:rsidR="00BC4379" w:rsidRPr="00FA7893">
        <w:rPr>
          <w:bCs/>
          <w:iCs/>
        </w:rPr>
        <w:t>mens</w:t>
      </w:r>
      <w:r w:rsidR="00BC4379" w:rsidRPr="00FA7893">
        <w:t xml:space="preserve"> den geografiske balance opretholdes; opfordrer EIB til yderligere at øge </w:t>
      </w:r>
      <w:r w:rsidR="00BC4379" w:rsidRPr="00FA7893">
        <w:rPr>
          <w:bCs/>
          <w:iCs/>
        </w:rPr>
        <w:t>fremme af alle former for</w:t>
      </w:r>
      <w:r w:rsidR="00BC4379" w:rsidRPr="00FA7893">
        <w:t xml:space="preserve"> mangfoldighed og inklusion </w:t>
      </w:r>
      <w:r w:rsidR="00BC4379" w:rsidRPr="00FA7893">
        <w:rPr>
          <w:bCs/>
          <w:iCs/>
        </w:rPr>
        <w:t>inden for sin organisation og til at fastsætte ambitiøse mål</w:t>
      </w:r>
      <w:r w:rsidR="00BC4379" w:rsidRPr="00FA7893">
        <w:t>;</w:t>
      </w:r>
    </w:p>
    <w:p w:rsidR="006E28D1" w:rsidRPr="00D6629E" w:rsidRDefault="006E28D1" w:rsidP="006E28D1">
      <w:pPr>
        <w:pStyle w:val="NormalCenter12a"/>
      </w:pPr>
      <w:r w:rsidRPr="00D6629E">
        <w:t>°</w:t>
      </w:r>
    </w:p>
    <w:p w:rsidR="006E28D1" w:rsidRPr="00D6629E" w:rsidRDefault="006E28D1" w:rsidP="006E28D1">
      <w:pPr>
        <w:pStyle w:val="NormalCenter12a"/>
      </w:pPr>
      <w:r w:rsidRPr="00D6629E">
        <w:t>°</w:t>
      </w:r>
      <w:r w:rsidRPr="00D6629E">
        <w:tab/>
        <w:t>°</w:t>
      </w:r>
    </w:p>
    <w:p w:rsidR="00E365E1" w:rsidRPr="00D6629E" w:rsidRDefault="006E28D1" w:rsidP="00B523AC">
      <w:pPr>
        <w:pStyle w:val="NormalHanging12a"/>
      </w:pPr>
      <w:r w:rsidRPr="00D6629E">
        <w:t>45.</w:t>
      </w:r>
      <w:r w:rsidRPr="00D6629E">
        <w:tab/>
        <w:t>pålægger sin formand at sende denne beslutning til Rådet, Kommissionen og Den Europæiske Investeringsbank.</w:t>
      </w:r>
      <w:bookmarkStart w:id="8" w:name="TextBodyEnd"/>
      <w:bookmarkEnd w:id="8"/>
    </w:p>
    <w:sectPr w:rsidR="00E365E1" w:rsidRPr="00D6629E" w:rsidSect="00D6629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0037" w:rsidRPr="00D6629E" w:rsidRDefault="00340037">
      <w:r w:rsidRPr="00D6629E">
        <w:separator/>
      </w:r>
    </w:p>
  </w:endnote>
  <w:endnote w:type="continuationSeparator" w:id="0">
    <w:p w:rsidR="00340037" w:rsidRPr="00D6629E" w:rsidRDefault="00340037">
      <w:r w:rsidRPr="00D662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629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629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629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0037" w:rsidRPr="00D6629E" w:rsidRDefault="00340037">
      <w:r w:rsidRPr="00D6629E">
        <w:separator/>
      </w:r>
    </w:p>
  </w:footnote>
  <w:footnote w:type="continuationSeparator" w:id="0">
    <w:p w:rsidR="00340037" w:rsidRPr="00D6629E" w:rsidRDefault="00340037">
      <w:r w:rsidRPr="00D6629E">
        <w:continuationSeparator/>
      </w:r>
    </w:p>
  </w:footnote>
  <w:footnote w:id="1">
    <w:p w:rsidR="006E28D1" w:rsidRPr="00D6629E" w:rsidRDefault="006E28D1" w:rsidP="00D6629E">
      <w:pPr>
        <w:pStyle w:val="FootnoteText"/>
        <w:ind w:left="567" w:hanging="567"/>
        <w:rPr>
          <w:color w:val="0000FF"/>
          <w:sz w:val="24"/>
          <w:u w:val="single" w:color="0000FF"/>
          <w:lang w:val="da-DK"/>
        </w:rPr>
      </w:pPr>
      <w:r w:rsidRPr="00D6629E">
        <w:rPr>
          <w:rStyle w:val="FootnoteReference"/>
          <w:sz w:val="24"/>
          <w:lang w:val="da-DK"/>
        </w:rPr>
        <w:footnoteRef/>
      </w:r>
      <w:r w:rsidR="00D6629E" w:rsidRPr="00D6629E">
        <w:rPr>
          <w:sz w:val="24"/>
          <w:lang w:val="da-DK"/>
        </w:rPr>
        <w:t xml:space="preserve"> </w:t>
      </w:r>
      <w:r w:rsidR="00D6629E" w:rsidRPr="00D6629E">
        <w:rPr>
          <w:sz w:val="24"/>
          <w:lang w:val="da-DK"/>
        </w:rPr>
        <w:tab/>
      </w:r>
      <w:hyperlink r:id="rId1" w:history="1">
        <w:r w:rsidRPr="00D6629E">
          <w:rPr>
            <w:color w:val="0000FF"/>
            <w:sz w:val="24"/>
            <w:u w:val="single" w:color="0000FF"/>
            <w:lang w:val="da-DK"/>
          </w:rPr>
          <w:t>EUT L 231 af 30.6.2021, s. 1.</w:t>
        </w:r>
      </w:hyperlink>
    </w:p>
  </w:footnote>
  <w:footnote w:id="2">
    <w:p w:rsidR="006E28D1" w:rsidRPr="00D6629E" w:rsidRDefault="006E28D1" w:rsidP="00D6629E">
      <w:pPr>
        <w:pStyle w:val="FootnoteText"/>
        <w:ind w:left="567" w:hanging="567"/>
        <w:rPr>
          <w:color w:val="0000FF"/>
          <w:sz w:val="24"/>
          <w:u w:val="single" w:color="0000FF"/>
          <w:lang w:val="da-DK"/>
        </w:rPr>
      </w:pPr>
      <w:r w:rsidRPr="00D6629E">
        <w:rPr>
          <w:rStyle w:val="FootnoteReference"/>
          <w:sz w:val="24"/>
          <w:lang w:val="da-DK"/>
        </w:rPr>
        <w:footnoteRef/>
      </w:r>
      <w:r w:rsidR="00D6629E" w:rsidRPr="00D6629E">
        <w:rPr>
          <w:sz w:val="24"/>
          <w:lang w:val="da-DK"/>
        </w:rPr>
        <w:t xml:space="preserve"> </w:t>
      </w:r>
      <w:r w:rsidR="00D6629E" w:rsidRPr="00D6629E">
        <w:rPr>
          <w:sz w:val="24"/>
          <w:lang w:val="da-DK"/>
        </w:rPr>
        <w:tab/>
      </w:r>
      <w:hyperlink r:id="rId2" w:history="1">
        <w:r w:rsidRPr="00D6629E">
          <w:rPr>
            <w:color w:val="0000FF"/>
            <w:sz w:val="24"/>
            <w:u w:val="single" w:color="0000FF"/>
            <w:lang w:val="da-DK"/>
          </w:rPr>
          <w:t>EUT L 274 af 30.7.2021, s. 1.</w:t>
        </w:r>
      </w:hyperlink>
    </w:p>
  </w:footnote>
  <w:footnote w:id="3">
    <w:p w:rsidR="006E28D1" w:rsidRPr="00D6629E" w:rsidRDefault="006E28D1" w:rsidP="00D6629E">
      <w:pPr>
        <w:pStyle w:val="FootnoteText"/>
        <w:ind w:left="567" w:hanging="567"/>
        <w:rPr>
          <w:sz w:val="24"/>
          <w:lang w:val="da-DK"/>
        </w:rPr>
      </w:pPr>
      <w:r w:rsidRPr="00D6629E">
        <w:rPr>
          <w:rStyle w:val="FootnoteReference"/>
          <w:sz w:val="24"/>
          <w:lang w:val="da-DK"/>
        </w:rPr>
        <w:footnoteRef/>
      </w:r>
      <w:r w:rsidR="00D6629E" w:rsidRPr="00D6629E">
        <w:rPr>
          <w:sz w:val="24"/>
          <w:lang w:val="da-DK"/>
        </w:rPr>
        <w:t xml:space="preserve"> </w:t>
      </w:r>
      <w:r w:rsidR="00D6629E" w:rsidRPr="00D6629E">
        <w:rPr>
          <w:sz w:val="24"/>
          <w:lang w:val="da-DK"/>
        </w:rPr>
        <w:tab/>
      </w:r>
      <w:r w:rsidRPr="00D6629E">
        <w:rPr>
          <w:sz w:val="24"/>
          <w:lang w:val="da-DK"/>
        </w:rPr>
        <w:t>Kommissionens delegerede forordning (EU) 2023/1184 af 10. februar 2023 om supplerende regler til Europa-Parlamentets og Rådets direktiv (EU) 2018/2001 om fastlæggelse af en EU-metode med detaljerede regler for produktion af vedvarende flydende eller gasformige transportbrændstoffer, der ikke er af biologisk oprindelse (EUT L 157 af 20.6.2023, s. 11).</w:t>
      </w:r>
    </w:p>
  </w:footnote>
  <w:footnote w:id="4">
    <w:p w:rsidR="006E28D1" w:rsidRPr="00D6629E" w:rsidRDefault="006E28D1" w:rsidP="00D6629E">
      <w:pPr>
        <w:pStyle w:val="FootnoteText"/>
        <w:ind w:left="567" w:hanging="567"/>
        <w:rPr>
          <w:sz w:val="24"/>
          <w:lang w:val="da-DK"/>
        </w:rPr>
      </w:pPr>
      <w:r w:rsidRPr="00D6629E">
        <w:rPr>
          <w:rStyle w:val="FootnoteReference"/>
          <w:sz w:val="24"/>
          <w:lang w:val="da-DK"/>
        </w:rPr>
        <w:footnoteRef/>
      </w:r>
      <w:r w:rsidR="00D6629E" w:rsidRPr="00D6629E">
        <w:rPr>
          <w:sz w:val="24"/>
          <w:lang w:val="da-DK"/>
        </w:rPr>
        <w:t xml:space="preserve"> </w:t>
      </w:r>
      <w:r w:rsidR="00D6629E" w:rsidRPr="00D6629E">
        <w:rPr>
          <w:sz w:val="24"/>
          <w:lang w:val="da-DK"/>
        </w:rPr>
        <w:tab/>
      </w:r>
      <w:r w:rsidRPr="00D6629E">
        <w:rPr>
          <w:sz w:val="24"/>
          <w:lang w:val="da-DK"/>
        </w:rPr>
        <w:t>Verdensbankens rapport "Global Economic Prospects", januar 2024, https://www.worldbank.org/en/publication/global-economic-prospects.</w:t>
      </w:r>
    </w:p>
  </w:footnote>
  <w:footnote w:id="5">
    <w:p w:rsidR="006E28D1" w:rsidRPr="00D6629E" w:rsidRDefault="006E28D1" w:rsidP="00D6629E">
      <w:pPr>
        <w:pStyle w:val="FootnoteText"/>
        <w:ind w:left="567" w:hanging="567"/>
        <w:rPr>
          <w:sz w:val="24"/>
          <w:lang w:val="da-DK"/>
        </w:rPr>
      </w:pPr>
      <w:r w:rsidRPr="00D6629E">
        <w:rPr>
          <w:rStyle w:val="FootnoteReference"/>
          <w:sz w:val="24"/>
          <w:lang w:val="da-DK"/>
        </w:rPr>
        <w:footnoteRef/>
      </w:r>
      <w:r w:rsidR="00D6629E" w:rsidRPr="00D6629E">
        <w:rPr>
          <w:sz w:val="24"/>
          <w:lang w:val="da-DK"/>
        </w:rPr>
        <w:t xml:space="preserve"> </w:t>
      </w:r>
      <w:r w:rsidR="00D6629E" w:rsidRPr="00D6629E">
        <w:rPr>
          <w:sz w:val="24"/>
          <w:lang w:val="da-DK"/>
        </w:rPr>
        <w:tab/>
      </w:r>
      <w:r w:rsidRPr="00D6629E">
        <w:rPr>
          <w:sz w:val="24"/>
          <w:lang w:val="da-DK"/>
        </w:rPr>
        <w:t>Europa-Parlamentets og Rådets forordning (EF) nr. 1049/2001 af 30. maj 2001 om aktindsigt i Europa-Parlamentets, Rådets og Kommissionens dokumenter (EFT L 145 af 31.5.2001, s. 43).</w:t>
      </w:r>
    </w:p>
  </w:footnote>
  <w:footnote w:id="6">
    <w:p w:rsidR="006E28D1" w:rsidRPr="00D6629E" w:rsidRDefault="006E28D1" w:rsidP="00D6629E">
      <w:pPr>
        <w:pStyle w:val="FootnoteText"/>
        <w:ind w:left="567" w:hanging="567"/>
        <w:rPr>
          <w:sz w:val="24"/>
          <w:lang w:val="da-DK"/>
        </w:rPr>
      </w:pPr>
      <w:r w:rsidRPr="00D6629E">
        <w:rPr>
          <w:rStyle w:val="FootnoteReference"/>
          <w:sz w:val="24"/>
          <w:lang w:val="da-DK"/>
        </w:rPr>
        <w:footnoteRef/>
      </w:r>
      <w:r w:rsidR="00D6629E" w:rsidRPr="00D6629E">
        <w:rPr>
          <w:sz w:val="24"/>
          <w:lang w:val="da-DK"/>
        </w:rPr>
        <w:t xml:space="preserve"> </w:t>
      </w:r>
      <w:r w:rsidR="00D6629E" w:rsidRPr="00D6629E">
        <w:rPr>
          <w:sz w:val="24"/>
          <w:lang w:val="da-DK"/>
        </w:rPr>
        <w:tab/>
      </w:r>
      <w:r w:rsidRPr="00D6629E">
        <w:rPr>
          <w:sz w:val="24"/>
          <w:lang w:val="da-DK"/>
        </w:rPr>
        <w:t>Europa-Parlamentets og Rådets forordning (EF) nr. 1367/2006 af 6. september 2006 om anvendelse af Århus-konventionens bestemmelser om adgang til oplysninger, offentlig deltagelse i beslutningsprocesser samt adgang til klage og domstolsprøvelse på miljøområdet på Fællesskabets institutioner og organer (EUT L 264 af 25.9.2006, s. 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629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629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629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1/2024"/>
    <w:docVar w:name="dvlangue" w:val="DA"/>
    <w:docVar w:name="dvnumam" w:val="0"/>
    <w:docVar w:name="dvpe" w:val="757.274"/>
    <w:docVar w:name="dvrapporteur" w:val="Ordfører: "/>
    <w:docVar w:name="dvtitre" w:val="Europa-Parlamentets beslutning af xx.xx 2024 om Den Europæiske Investeringsbanks finansielle aktiviteter – årsberetning 2023(2023/2229(INI))"/>
  </w:docVars>
  <w:rsids>
    <w:rsidRoot w:val="00340037"/>
    <w:rsid w:val="00002272"/>
    <w:rsid w:val="00064002"/>
    <w:rsid w:val="000677B9"/>
    <w:rsid w:val="000831BA"/>
    <w:rsid w:val="000A42CC"/>
    <w:rsid w:val="000E7DD9"/>
    <w:rsid w:val="0010095E"/>
    <w:rsid w:val="00125B37"/>
    <w:rsid w:val="00187494"/>
    <w:rsid w:val="001F32AE"/>
    <w:rsid w:val="00212AC4"/>
    <w:rsid w:val="002767FF"/>
    <w:rsid w:val="002B18FE"/>
    <w:rsid w:val="002B5493"/>
    <w:rsid w:val="002F1B26"/>
    <w:rsid w:val="00340037"/>
    <w:rsid w:val="00343214"/>
    <w:rsid w:val="00361C00"/>
    <w:rsid w:val="00395FA1"/>
    <w:rsid w:val="003E15D4"/>
    <w:rsid w:val="00411CCE"/>
    <w:rsid w:val="0041666E"/>
    <w:rsid w:val="00421060"/>
    <w:rsid w:val="00432380"/>
    <w:rsid w:val="00471C19"/>
    <w:rsid w:val="004867E3"/>
    <w:rsid w:val="00494A28"/>
    <w:rsid w:val="004C0004"/>
    <w:rsid w:val="004C5D52"/>
    <w:rsid w:val="0050519A"/>
    <w:rsid w:val="005072A1"/>
    <w:rsid w:val="00514517"/>
    <w:rsid w:val="00545827"/>
    <w:rsid w:val="00560270"/>
    <w:rsid w:val="005C2568"/>
    <w:rsid w:val="006037C0"/>
    <w:rsid w:val="00626A3D"/>
    <w:rsid w:val="006631B6"/>
    <w:rsid w:val="00680577"/>
    <w:rsid w:val="006E28D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6432"/>
    <w:rsid w:val="0092584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23AC"/>
    <w:rsid w:val="00B558F0"/>
    <w:rsid w:val="00BC4379"/>
    <w:rsid w:val="00BD48FE"/>
    <w:rsid w:val="00BD7BD8"/>
    <w:rsid w:val="00BE6ADC"/>
    <w:rsid w:val="00BF667C"/>
    <w:rsid w:val="00C05BFE"/>
    <w:rsid w:val="00C23CD4"/>
    <w:rsid w:val="00C61C0C"/>
    <w:rsid w:val="00C941CB"/>
    <w:rsid w:val="00CC2357"/>
    <w:rsid w:val="00CF071A"/>
    <w:rsid w:val="00D058B8"/>
    <w:rsid w:val="00D56C11"/>
    <w:rsid w:val="00D6629E"/>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789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676A26A-DEA4-4D45-B597-0AA737810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E28D1"/>
    <w:pPr>
      <w:spacing w:before="480" w:after="240"/>
    </w:pPr>
    <w:rPr>
      <w:snapToGrid w:val="0"/>
      <w:lang w:eastAsia="en-US"/>
    </w:rPr>
  </w:style>
  <w:style w:type="paragraph" w:customStyle="1" w:styleId="NormalHanging12a">
    <w:name w:val="NormalHanging12a"/>
    <w:basedOn w:val="Normal"/>
    <w:link w:val="NormalHanging12aChar"/>
    <w:rsid w:val="006E28D1"/>
    <w:pPr>
      <w:widowControl/>
      <w:spacing w:after="240"/>
      <w:ind w:left="567" w:hanging="567"/>
    </w:pPr>
    <w:rPr>
      <w:snapToGrid w:val="0"/>
      <w:lang w:eastAsia="en-US"/>
    </w:rPr>
  </w:style>
  <w:style w:type="paragraph" w:customStyle="1" w:styleId="NormalCenter12a">
    <w:name w:val="NormalCenter12a"/>
    <w:basedOn w:val="Normal"/>
    <w:rsid w:val="006E28D1"/>
    <w:pPr>
      <w:spacing w:after="240"/>
      <w:jc w:val="center"/>
    </w:pPr>
  </w:style>
  <w:style w:type="character" w:customStyle="1" w:styleId="BoldItalic">
    <w:name w:val="BoldItalic"/>
    <w:uiPriority w:val="1"/>
    <w:rsid w:val="006E28D1"/>
    <w:rPr>
      <w:b/>
      <w:i/>
      <w:u w:val="none"/>
    </w:rPr>
  </w:style>
  <w:style w:type="character" w:customStyle="1" w:styleId="Italic">
    <w:name w:val="Italic"/>
    <w:uiPriority w:val="1"/>
    <w:rsid w:val="006E28D1"/>
    <w:rPr>
      <w:i/>
    </w:rPr>
  </w:style>
  <w:style w:type="paragraph" w:customStyle="1" w:styleId="Normal12a24b">
    <w:name w:val="Normal12a24b"/>
    <w:basedOn w:val="Normal"/>
    <w:rsid w:val="006E28D1"/>
    <w:pPr>
      <w:spacing w:before="360" w:after="240"/>
    </w:pPr>
    <w:rPr>
      <w:snapToGrid w:val="0"/>
      <w:lang w:eastAsia="en-US"/>
    </w:rPr>
  </w:style>
  <w:style w:type="character" w:customStyle="1" w:styleId="NormalHanging12aChar">
    <w:name w:val="NormalHanging12a Char"/>
    <w:basedOn w:val="DefaultParagraphFont"/>
    <w:link w:val="NormalHanging12a"/>
    <w:rsid w:val="006E28D1"/>
    <w:rPr>
      <w:snapToGrid w:val="0"/>
      <w:sz w:val="24"/>
      <w:lang w:val="da-DK" w:eastAsia="en-US"/>
    </w:rPr>
  </w:style>
  <w:style w:type="character" w:styleId="Hyperlink">
    <w:name w:val="Hyperlink"/>
    <w:basedOn w:val="DefaultParagraphFont"/>
    <w:uiPriority w:val="99"/>
    <w:unhideWhenUsed/>
    <w:rsid w:val="006E28D1"/>
    <w:rPr>
      <w:color w:val="0563C1" w:themeColor="hyperlink"/>
      <w:u w:val="single"/>
    </w:rPr>
  </w:style>
  <w:style w:type="paragraph" w:styleId="BalloonText">
    <w:name w:val="Balloon Text"/>
    <w:basedOn w:val="Normal"/>
    <w:link w:val="BalloonTextChar"/>
    <w:rsid w:val="00BF667C"/>
    <w:rPr>
      <w:rFonts w:ascii="Segoe UI" w:hAnsi="Segoe UI" w:cs="Segoe UI"/>
      <w:sz w:val="18"/>
      <w:szCs w:val="18"/>
    </w:rPr>
  </w:style>
  <w:style w:type="character" w:customStyle="1" w:styleId="BalloonTextChar">
    <w:name w:val="Balloon Text Char"/>
    <w:basedOn w:val="DefaultParagraphFont"/>
    <w:link w:val="BalloonText"/>
    <w:rsid w:val="00BF667C"/>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DA/TXT/HTML/?uri=CELEX:32021R1229" TargetMode="External"/><Relationship Id="rId1" Type="http://schemas.openxmlformats.org/officeDocument/2006/relationships/hyperlink" Target="https://eur-lex.europa.eu/legal-content/DA/TXT/HTML/?uri=CELEX:32021R10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1258A5-7CC8-41A4-A070-64026EA70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5169</Words>
  <Characters>32274</Characters>
  <Application>Microsoft Office Word</Application>
  <DocSecurity>0</DocSecurity>
  <Lines>268</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ZINOCKER Marianne</cp:lastModifiedBy>
  <cp:revision>2</cp:revision>
  <cp:lastPrinted>2004-11-19T15:42:00Z</cp:lastPrinted>
  <dcterms:created xsi:type="dcterms:W3CDTF">2024-03-26T14:59:00Z</dcterms:created>
  <dcterms:modified xsi:type="dcterms:W3CDTF">2024-03-26T14:59:00Z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A9-0031/2024</vt:lpwstr>
  </property>
  <property fmtid="{D5CDD505-2E9C-101B-9397-08002B2CF9AE}" pid="4" name="&lt;Type&gt;">
    <vt:lpwstr>RR</vt:lpwstr>
  </property>
</Properties>
</file>