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3F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33F29" w:rsidRDefault="009274F6" w:rsidP="0010095E">
            <w:pPr>
              <w:pStyle w:val="EPName"/>
            </w:pPr>
            <w:r w:rsidRPr="00533F29">
              <w:t>Europski parlament</w:t>
            </w:r>
          </w:p>
          <w:p w:rsidR="00751A4A" w:rsidRPr="00533F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3F2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33F29" w:rsidRDefault="00187494" w:rsidP="0010095E">
            <w:pPr>
              <w:pStyle w:val="EPLogo"/>
            </w:pPr>
            <w:r w:rsidRPr="00533F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33F29" w:rsidRDefault="00D058B8" w:rsidP="004C5D52">
      <w:pPr>
        <w:pStyle w:val="LineTop"/>
      </w:pPr>
    </w:p>
    <w:p w:rsidR="00680577" w:rsidRPr="00533F29" w:rsidRDefault="009274F6" w:rsidP="00680577">
      <w:pPr>
        <w:pStyle w:val="EPBodyTA1"/>
      </w:pPr>
      <w:r w:rsidRPr="00533F29">
        <w:t>USVOJENI TEKSTOVI</w:t>
      </w:r>
    </w:p>
    <w:p w:rsidR="00D058B8" w:rsidRPr="00533F29" w:rsidRDefault="00D058B8" w:rsidP="00D058B8">
      <w:pPr>
        <w:pStyle w:val="LineBottom"/>
      </w:pPr>
    </w:p>
    <w:p w:rsidR="009274F6" w:rsidRPr="00533F29" w:rsidRDefault="009274F6" w:rsidP="009274F6">
      <w:pPr>
        <w:pStyle w:val="ATHeading1"/>
      </w:pPr>
      <w:bookmarkStart w:id="0" w:name="TANumber"/>
      <w:r w:rsidRPr="00533F29">
        <w:t>P9_TA(2024)0</w:t>
      </w:r>
      <w:r w:rsidR="008865D1">
        <w:t>107</w:t>
      </w:r>
      <w:bookmarkEnd w:id="0"/>
    </w:p>
    <w:p w:rsidR="009274F6" w:rsidRPr="00533F29" w:rsidRDefault="009274F6" w:rsidP="009274F6">
      <w:pPr>
        <w:pStyle w:val="ATHeading2"/>
      </w:pPr>
      <w:bookmarkStart w:id="1" w:name="title"/>
      <w:r w:rsidRPr="00533F29">
        <w:t>Financijske aktivnosti Europske investicijske banke - godišnje izvješće za 2023.</w:t>
      </w:r>
      <w:bookmarkEnd w:id="1"/>
    </w:p>
    <w:p w:rsidR="009274F6" w:rsidRPr="00533F29" w:rsidRDefault="009274F6" w:rsidP="009274F6">
      <w:pPr>
        <w:rPr>
          <w:i/>
          <w:vanish/>
        </w:rPr>
      </w:pPr>
      <w:r w:rsidRPr="00533F29">
        <w:rPr>
          <w:i/>
        </w:rPr>
        <w:fldChar w:fldCharType="begin"/>
      </w:r>
      <w:r w:rsidRPr="00533F29">
        <w:rPr>
          <w:i/>
        </w:rPr>
        <w:instrText xml:space="preserve"> TC"(</w:instrText>
      </w:r>
      <w:bookmarkStart w:id="2" w:name="DocNumber"/>
      <w:r w:rsidRPr="00533F29">
        <w:rPr>
          <w:i/>
        </w:rPr>
        <w:instrText>A9-0031/2024</w:instrText>
      </w:r>
      <w:bookmarkEnd w:id="2"/>
      <w:r w:rsidRPr="00533F29">
        <w:rPr>
          <w:i/>
        </w:rPr>
        <w:instrText xml:space="preserve"> - Izvjestitelj: David </w:instrText>
      </w:r>
      <w:proofErr w:type="spellStart"/>
      <w:r w:rsidRPr="00533F29">
        <w:rPr>
          <w:i/>
        </w:rPr>
        <w:instrText>Cormand</w:instrText>
      </w:r>
      <w:proofErr w:type="spellEnd"/>
      <w:r w:rsidRPr="00533F29">
        <w:rPr>
          <w:i/>
        </w:rPr>
        <w:instrText xml:space="preserve">)"\l3 \n&gt; \* MERGEFORMAT </w:instrText>
      </w:r>
      <w:r w:rsidRPr="00533F29">
        <w:rPr>
          <w:i/>
        </w:rPr>
        <w:fldChar w:fldCharType="end"/>
      </w:r>
    </w:p>
    <w:p w:rsidR="009274F6" w:rsidRPr="00533F29" w:rsidRDefault="009274F6" w:rsidP="009274F6">
      <w:pPr>
        <w:rPr>
          <w:vanish/>
        </w:rPr>
      </w:pPr>
      <w:bookmarkStart w:id="3" w:name="Commission"/>
      <w:r w:rsidRPr="00533F29">
        <w:rPr>
          <w:vanish/>
        </w:rPr>
        <w:t>Odbor za proračune</w:t>
      </w:r>
      <w:bookmarkEnd w:id="3"/>
    </w:p>
    <w:p w:rsidR="009274F6" w:rsidRPr="00533F29" w:rsidRDefault="009274F6" w:rsidP="009274F6">
      <w:pPr>
        <w:rPr>
          <w:vanish/>
        </w:rPr>
      </w:pPr>
      <w:bookmarkStart w:id="4" w:name="PE"/>
      <w:r w:rsidRPr="00533F29">
        <w:rPr>
          <w:vanish/>
        </w:rPr>
        <w:t>PE757.274</w:t>
      </w:r>
      <w:bookmarkEnd w:id="4"/>
    </w:p>
    <w:p w:rsidR="009274F6" w:rsidRPr="00533F29" w:rsidRDefault="009274F6" w:rsidP="009274F6">
      <w:pPr>
        <w:pStyle w:val="ATHeading3"/>
      </w:pPr>
      <w:bookmarkStart w:id="5" w:name="Sujet"/>
      <w:r w:rsidRPr="00533F29">
        <w:t>Rezolu</w:t>
      </w:r>
      <w:r w:rsidR="00533F29">
        <w:t>cija Europskog parlamenta od 28</w:t>
      </w:r>
      <w:r w:rsidRPr="00533F29">
        <w:t xml:space="preserve">. </w:t>
      </w:r>
      <w:r w:rsidR="00533F29">
        <w:t xml:space="preserve">veljače </w:t>
      </w:r>
      <w:r w:rsidRPr="00533F29">
        <w:t>2024. o financijskim aktivnostima Europske investicijske banke – godišnje izvješće za 2023.</w:t>
      </w:r>
      <w:bookmarkEnd w:id="5"/>
      <w:r w:rsidRPr="00533F29">
        <w:t xml:space="preserve"> </w:t>
      </w:r>
      <w:bookmarkStart w:id="6" w:name="References"/>
      <w:r w:rsidRPr="00533F29">
        <w:t>(2023/2229(INI))</w:t>
      </w:r>
      <w:bookmarkEnd w:id="6"/>
    </w:p>
    <w:p w:rsidR="00F05492" w:rsidRPr="00533F29" w:rsidRDefault="00F05492" w:rsidP="00F05492">
      <w:pPr>
        <w:pStyle w:val="EPComma"/>
      </w:pPr>
      <w:bookmarkStart w:id="7" w:name="TextBodyBegin"/>
      <w:bookmarkEnd w:id="7"/>
      <w:r w:rsidRPr="00533F29">
        <w:rPr>
          <w:rStyle w:val="Italic"/>
        </w:rPr>
        <w:t>Europski parlament</w:t>
      </w:r>
      <w:r w:rsidRPr="00533F29">
        <w:t>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članke 2. i 3. Ugovora o Europskoj uniji,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članke 15., 126., 174., 175., 177., 208., 209., 271., 308. i 309. Ugovora o funkcioniranju Europske unije (UFEU) i Protokol br. 5 Ugovorima o Statutu Europske investicijske banke (EIB),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članke od 41. do 43. Ugovora o osnivanju Europske zajednice za atomsku energiju,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priopćenje za tisak EIB-a od 7. listopada 2016. u kojem je iskazano odobrenje za ratifikaciju Pariškog sporazuma od strane EU-a,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izvješće EIB-a o ocjeni aktivnosti za 2022. i program rada za razdoblje 2023. – 2025., objavljene 3. ožujka 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postupke pritužbenog mehanizma Grupe EIB-a objavljene 13. studenoga 2018.,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 xml:space="preserve">uzimajući u obzir publikaciju EIB-a naslovljenu „EIB </w:t>
      </w:r>
      <w:proofErr w:type="spellStart"/>
      <w:r w:rsidRPr="00533F29">
        <w:t>energy</w:t>
      </w:r>
      <w:proofErr w:type="spellEnd"/>
      <w:r w:rsidRPr="00533F29">
        <w:t xml:space="preserve"> </w:t>
      </w:r>
      <w:proofErr w:type="spellStart"/>
      <w:r w:rsidRPr="00533F29">
        <w:t>lending</w:t>
      </w:r>
      <w:proofErr w:type="spellEnd"/>
      <w:r w:rsidRPr="00533F29">
        <w:t xml:space="preserve"> </w:t>
      </w:r>
      <w:proofErr w:type="spellStart"/>
      <w:r w:rsidRPr="00533F29">
        <w:t>policy</w:t>
      </w:r>
      <w:proofErr w:type="spellEnd"/>
      <w:r w:rsidRPr="00533F29">
        <w:t>” (Politika Grupe EIB-a za kreditiranje u području energije), objavljenu 8. svibnja 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Plan djelovanja klimatske banke za razdoblje 2021. – 2025. koji je Upravno vijeće EIB-a donijelo 11. studenoga 2020. i klimatsku strategiju EIB-a od 15. studenoga 2020.,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operativni plan Grupe EIB-a za razdoblje 2023. – 2025., objavljen 2. veljače 2023.,</w:t>
      </w:r>
    </w:p>
    <w:p w:rsidR="00F05492" w:rsidRPr="00533F29" w:rsidRDefault="00F05492" w:rsidP="00F05492">
      <w:pPr>
        <w:pStyle w:val="NormalHanging12a"/>
      </w:pPr>
      <w:r w:rsidRPr="00533F29">
        <w:lastRenderedPageBreak/>
        <w:t>–</w:t>
      </w:r>
      <w:r w:rsidRPr="00533F29">
        <w:tab/>
        <w:t>uzimajući u obzir izvješće EIB-a o ulaganjima za 2022./2023. naslovljeno „</w:t>
      </w:r>
      <w:proofErr w:type="spellStart"/>
      <w:r w:rsidRPr="00533F29">
        <w:t>Resilience</w:t>
      </w:r>
      <w:proofErr w:type="spellEnd"/>
      <w:r w:rsidRPr="00533F29">
        <w:t xml:space="preserve"> </w:t>
      </w:r>
      <w:proofErr w:type="spellStart"/>
      <w:r w:rsidRPr="00533F29">
        <w:t>and</w:t>
      </w:r>
      <w:proofErr w:type="spellEnd"/>
      <w:r w:rsidRPr="00533F29">
        <w:t xml:space="preserve"> </w:t>
      </w:r>
      <w:proofErr w:type="spellStart"/>
      <w:r w:rsidRPr="00533F29">
        <w:t>renewal</w:t>
      </w:r>
      <w:proofErr w:type="spellEnd"/>
      <w:r w:rsidRPr="00533F29">
        <w:t xml:space="preserve"> </w:t>
      </w:r>
      <w:proofErr w:type="spellStart"/>
      <w:r w:rsidRPr="00533F29">
        <w:t>in</w:t>
      </w:r>
      <w:proofErr w:type="spellEnd"/>
      <w:r w:rsidRPr="00533F29">
        <w:t xml:space="preserve"> Europe” (Otpornost i obnova u Europi), objavljeno 28. veljače 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izvješće o radu Grupe EIB-a za 2022. naslovljeno „Sigurna Europa” i objavljeno 2. veljače 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EIB-ov pregled djelovanja u području klime i održivosti okoliša za 2023., objavljen 2. veljače 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okvirne smjernice za okoliš EIB-a, objavljene 14. studenoga 2022.,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izvješće Grupe EIB-a o korporativnom upravljanju za 2022., objavljeno 8. rujna 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 xml:space="preserve">uzimajući u obzir publikaciju EIB-a od 29. studenoga 2023. naslovljenu „EIB Global </w:t>
      </w:r>
      <w:proofErr w:type="spellStart"/>
      <w:r w:rsidRPr="00533F29">
        <w:t>Strategic</w:t>
      </w:r>
      <w:proofErr w:type="spellEnd"/>
      <w:r w:rsidRPr="00533F29">
        <w:t xml:space="preserve"> </w:t>
      </w:r>
      <w:proofErr w:type="spellStart"/>
      <w:r w:rsidRPr="00533F29">
        <w:t>Roadmap</w:t>
      </w:r>
      <w:proofErr w:type="spellEnd"/>
      <w:r w:rsidRPr="00533F29">
        <w:t xml:space="preserve">: EU </w:t>
      </w:r>
      <w:proofErr w:type="spellStart"/>
      <w:r w:rsidRPr="00533F29">
        <w:t>Finance</w:t>
      </w:r>
      <w:proofErr w:type="spellEnd"/>
      <w:r w:rsidRPr="00533F29">
        <w:t xml:space="preserve"> for a </w:t>
      </w:r>
      <w:proofErr w:type="spellStart"/>
      <w:r w:rsidRPr="00533F29">
        <w:t>Sustainable</w:t>
      </w:r>
      <w:proofErr w:type="spellEnd"/>
      <w:r w:rsidRPr="00533F29">
        <w:t xml:space="preserve"> Future” (Globalni strateški plan EIB-a: financije EU-a za održivu budućnost),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globalni pristup EIB-a pravednoj tranziciji i pravednoj otpornosti, objavljen 27. studenoga 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izvješće o objavi podataka o upravljanju rizicima Grupe EIB-a za 2022., objavljeno 9. kolovoza 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EIB-ovo istraživanje o klimi za razdoblje 2022. – 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Okvir Grupe EIB-a za ekološku i socijalnu održivost naslovljen „</w:t>
      </w:r>
      <w:proofErr w:type="spellStart"/>
      <w:r w:rsidRPr="00533F29">
        <w:t>The</w:t>
      </w:r>
      <w:proofErr w:type="spellEnd"/>
      <w:r w:rsidRPr="00533F29">
        <w:t xml:space="preserve"> EIB Group </w:t>
      </w:r>
      <w:proofErr w:type="spellStart"/>
      <w:r w:rsidRPr="00533F29">
        <w:t>Environmental</w:t>
      </w:r>
      <w:proofErr w:type="spellEnd"/>
      <w:r w:rsidRPr="00533F29">
        <w:t xml:space="preserve"> </w:t>
      </w:r>
      <w:proofErr w:type="spellStart"/>
      <w:r w:rsidRPr="00533F29">
        <w:t>and</w:t>
      </w:r>
      <w:proofErr w:type="spellEnd"/>
      <w:r w:rsidRPr="00533F29">
        <w:t xml:space="preserve"> </w:t>
      </w:r>
      <w:proofErr w:type="spellStart"/>
      <w:r w:rsidRPr="00533F29">
        <w:t>Social</w:t>
      </w:r>
      <w:proofErr w:type="spellEnd"/>
      <w:r w:rsidRPr="00533F29">
        <w:t xml:space="preserve"> </w:t>
      </w:r>
      <w:proofErr w:type="spellStart"/>
      <w:r w:rsidRPr="00533F29">
        <w:t>Policy</w:t>
      </w:r>
      <w:proofErr w:type="spellEnd"/>
      <w:r w:rsidRPr="00533F29">
        <w:t>” (Ekološka i socijalna politika Grupe EIB-a), donesen 2. veljače 2022.,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 xml:space="preserve">uzimajući u obzir publikaciju EIB-a od 10. veljače 2023. naslovljenu „EIB Global – </w:t>
      </w:r>
      <w:proofErr w:type="spellStart"/>
      <w:r w:rsidRPr="00533F29">
        <w:t>partnership</w:t>
      </w:r>
      <w:proofErr w:type="spellEnd"/>
      <w:r w:rsidRPr="00533F29">
        <w:t xml:space="preserve">, </w:t>
      </w:r>
      <w:proofErr w:type="spellStart"/>
      <w:r w:rsidRPr="00533F29">
        <w:t>people</w:t>
      </w:r>
      <w:proofErr w:type="spellEnd"/>
      <w:r w:rsidRPr="00533F29">
        <w:t xml:space="preserve">, </w:t>
      </w:r>
      <w:proofErr w:type="spellStart"/>
      <w:r w:rsidRPr="00533F29">
        <w:t>impact</w:t>
      </w:r>
      <w:proofErr w:type="spellEnd"/>
      <w:r w:rsidRPr="00533F29">
        <w:t>” (EIB Global – partnerstvo, ljudi, učinak),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pristup EIB-a ljudskim pravima, objavljen 6. veljače 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 xml:space="preserve">uzimajući u obzir izvješće EIB-a od 29. lipnja 2023. naslovljeno „EIB Group </w:t>
      </w:r>
      <w:proofErr w:type="spellStart"/>
      <w:r w:rsidRPr="00533F29">
        <w:t>activities</w:t>
      </w:r>
      <w:proofErr w:type="spellEnd"/>
      <w:r w:rsidRPr="00533F29">
        <w:t xml:space="preserve"> </w:t>
      </w:r>
      <w:proofErr w:type="spellStart"/>
      <w:r w:rsidRPr="00533F29">
        <w:t>in</w:t>
      </w:r>
      <w:proofErr w:type="spellEnd"/>
      <w:r w:rsidRPr="00533F29">
        <w:t xml:space="preserve"> EU </w:t>
      </w:r>
      <w:proofErr w:type="spellStart"/>
      <w:r w:rsidRPr="00533F29">
        <w:t>cohesion</w:t>
      </w:r>
      <w:proofErr w:type="spellEnd"/>
      <w:r w:rsidRPr="00533F29">
        <w:t xml:space="preserve"> </w:t>
      </w:r>
      <w:proofErr w:type="spellStart"/>
      <w:r w:rsidRPr="00533F29">
        <w:t>regions</w:t>
      </w:r>
      <w:proofErr w:type="spellEnd"/>
      <w:r w:rsidRPr="00533F29">
        <w:t xml:space="preserve"> 2022” (Aktivnosti Grupe EIB-a u kohezijskim regijama EU-a 2022.),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strategiju Grupe EIB-a za rodnu ravnopravnost i jačanje ekonomskog položaja žena i njezin akcijski plan za rodnu ravnopravnost;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Kodeks ponašanja za zaposlenike Grupe EIB-a objavljen 3. veljače 2023.,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Kodeks ponašanja Revizijskog odbora Grupe EIB-a, objavljen 30. studenoga 2021.,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Kodeks ponašanja Upravnog odbora Grupe EIB-a, objavljen 14. listopada 2021.,</w:t>
      </w:r>
    </w:p>
    <w:p w:rsidR="00F05492" w:rsidRPr="00533F29" w:rsidRDefault="00F05492" w:rsidP="00F05492">
      <w:pPr>
        <w:pStyle w:val="NormalHanging12a"/>
      </w:pPr>
      <w:r w:rsidRPr="00533F29">
        <w:lastRenderedPageBreak/>
        <w:t>–</w:t>
      </w:r>
      <w:r w:rsidRPr="00533F29">
        <w:tab/>
        <w:t xml:space="preserve">uzimajući u obzir publikaciju od 27. studenoga 2023. naslovljenu „EIB Group PATH Framework – </w:t>
      </w:r>
      <w:proofErr w:type="spellStart"/>
      <w:r w:rsidRPr="00533F29">
        <w:t>Version</w:t>
      </w:r>
      <w:proofErr w:type="spellEnd"/>
      <w:r w:rsidRPr="00533F29">
        <w:t xml:space="preserve"> 1.2 </w:t>
      </w:r>
      <w:proofErr w:type="spellStart"/>
      <w:r w:rsidRPr="00533F29">
        <w:t>November</w:t>
      </w:r>
      <w:proofErr w:type="spellEnd"/>
      <w:r w:rsidRPr="00533F29">
        <w:t xml:space="preserve"> 2023 – </w:t>
      </w:r>
      <w:proofErr w:type="spellStart"/>
      <w:r w:rsidRPr="00533F29">
        <w:t>Supporting</w:t>
      </w:r>
      <w:proofErr w:type="spellEnd"/>
      <w:r w:rsidRPr="00533F29">
        <w:t xml:space="preserve"> </w:t>
      </w:r>
      <w:proofErr w:type="spellStart"/>
      <w:r w:rsidRPr="00533F29">
        <w:t>counterparties</w:t>
      </w:r>
      <w:proofErr w:type="spellEnd"/>
      <w:r w:rsidRPr="00533F29">
        <w:t xml:space="preserve"> on </w:t>
      </w:r>
      <w:proofErr w:type="spellStart"/>
      <w:r w:rsidRPr="00533F29">
        <w:t>their</w:t>
      </w:r>
      <w:proofErr w:type="spellEnd"/>
      <w:r w:rsidRPr="00533F29">
        <w:t xml:space="preserve"> </w:t>
      </w:r>
      <w:proofErr w:type="spellStart"/>
      <w:r w:rsidRPr="00533F29">
        <w:t>pathways</w:t>
      </w:r>
      <w:proofErr w:type="spellEnd"/>
      <w:r w:rsidRPr="00533F29">
        <w:t xml:space="preserve"> to </w:t>
      </w:r>
      <w:proofErr w:type="spellStart"/>
      <w:r w:rsidRPr="00533F29">
        <w:t>align</w:t>
      </w:r>
      <w:proofErr w:type="spellEnd"/>
      <w:r w:rsidRPr="00533F29">
        <w:t xml:space="preserve"> </w:t>
      </w:r>
      <w:proofErr w:type="spellStart"/>
      <w:r w:rsidRPr="00533F29">
        <w:t>with</w:t>
      </w:r>
      <w:proofErr w:type="spellEnd"/>
      <w:r w:rsidRPr="00533F29">
        <w:t xml:space="preserve"> </w:t>
      </w:r>
      <w:proofErr w:type="spellStart"/>
      <w:r w:rsidRPr="00533F29">
        <w:t>the</w:t>
      </w:r>
      <w:proofErr w:type="spellEnd"/>
      <w:r w:rsidRPr="00533F29">
        <w:t xml:space="preserve"> Paris </w:t>
      </w:r>
      <w:proofErr w:type="spellStart"/>
      <w:r w:rsidRPr="00533F29">
        <w:t>Agreement</w:t>
      </w:r>
      <w:proofErr w:type="spellEnd"/>
      <w:r w:rsidRPr="00533F29">
        <w:t>” (Okvir Grupe EIB-a za PATH – verzija 1.2. iz studenoga 2023. – potpora drugim ugovornim stranama u njihovu usklađivanju s Pariškim sporazumom),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EIB-ov paket solidarnosti za Ukrajinu koji je Odbor EIB-a odobrio 4. ožujka 2022.,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 xml:space="preserve">uzimajući u obzir komunikaciju Komisije od 20. svibnja 2020. naslovljenu „Strategija EU-a za </w:t>
      </w:r>
      <w:proofErr w:type="spellStart"/>
      <w:r w:rsidRPr="00533F29">
        <w:t>bioraznolikost</w:t>
      </w:r>
      <w:proofErr w:type="spellEnd"/>
      <w:r w:rsidRPr="00533F29">
        <w:t xml:space="preserve"> do 2030. – Vraćanje prirode u naše živote” (COM(2020)0380),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komunikaciju Komisije od 20. svibnja 2020. naslovljenu „Strategija ‘od polja do stola’ za pravedan, zdrav i ekološki prihvatljiv prehrambeni sustav” (COM(2020)0381),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komunikaciju Komisije od 12. svibnja 2021. naslovljenu „Put prema zdravom planetu za sve – Akcijski plan EU-a: Prema postizanju nulte stope onečišćenja zraka, vode i tla”, (COM(2</w:t>
      </w:r>
      <w:r w:rsidR="00533F29">
        <w:t>021)0400),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komunikaciju Komisije od 1. veljače 2023. naslovljenu „Industrijski plan u okviru zelenog plana za doba nulte neto stope emisija” (COM(2023)0062),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Uredbu (EU) 2021/1056 Europskog parlamenta i Vijeća od 24. lipnja 2021. o uspostavi Fonda za pravednu tranziciju</w:t>
      </w:r>
      <w:r w:rsidRPr="00533F29">
        <w:rPr>
          <w:rStyle w:val="FootnoteReference"/>
        </w:rPr>
        <w:footnoteReference w:id="1"/>
      </w:r>
      <w:r w:rsidRPr="00533F29">
        <w:t>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Uredbu (EU) 2021/1229 Europskog parlamenta i Vijeća od 14. srpnja 2021. o instrumentu za kreditiranje u javnom sektoru u okviru mehanizma za pravednu tranziciju</w:t>
      </w:r>
      <w:r w:rsidRPr="00533F29">
        <w:rPr>
          <w:rStyle w:val="FootnoteReference"/>
        </w:rPr>
        <w:footnoteReference w:id="2"/>
      </w:r>
      <w:r w:rsidRPr="00533F29">
        <w:t>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ciljeve UN-a u pogledu održivog razvoja,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Trostrani sporazum između Komisije, Europskog revizorskog suda i Europske investicijske banke, koji je stupio na snagu u studenome 2021.,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 xml:space="preserve">uzimajući u obzir pismo Europskog </w:t>
      </w:r>
      <w:proofErr w:type="spellStart"/>
      <w:r w:rsidRPr="00533F29">
        <w:t>ombudsmana</w:t>
      </w:r>
      <w:proofErr w:type="spellEnd"/>
      <w:r w:rsidRPr="00533F29">
        <w:t xml:space="preserve"> predsjedniku EIB-a od 22. srpnja 2016. o pitanjima sukoba interesa i odgovor predsjednika EIB-a od 31. siječnja 2017.,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 xml:space="preserve">uzimajući u obzir preporuke Europskog </w:t>
      </w:r>
      <w:proofErr w:type="spellStart"/>
      <w:r w:rsidRPr="00533F29">
        <w:t>ombudsmana</w:t>
      </w:r>
      <w:proofErr w:type="spellEnd"/>
      <w:r w:rsidRPr="00533F29">
        <w:t xml:space="preserve"> izdane 20. studenoga 2023. u predmetu 2522/2022/OAM,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 xml:space="preserve">uzimajući u obzir preporuke Europskog </w:t>
      </w:r>
      <w:proofErr w:type="spellStart"/>
      <w:r w:rsidRPr="00533F29">
        <w:t>ombudsmana</w:t>
      </w:r>
      <w:proofErr w:type="spellEnd"/>
      <w:r w:rsidRPr="00533F29">
        <w:t xml:space="preserve"> izdane 21. travnja 2022. u predmetu 1251/2020/PB,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 xml:space="preserve">uzimajući u obzir preporuke Europskog </w:t>
      </w:r>
      <w:proofErr w:type="spellStart"/>
      <w:r w:rsidRPr="00533F29">
        <w:t>ombudsmana</w:t>
      </w:r>
      <w:proofErr w:type="spellEnd"/>
      <w:r w:rsidRPr="00533F29">
        <w:t xml:space="preserve"> izdane 27. srpnja 2022. u predmetu 1016/2021/KR,</w:t>
      </w:r>
    </w:p>
    <w:p w:rsidR="00F05492" w:rsidRPr="00533F29" w:rsidRDefault="00F05492" w:rsidP="00F05492">
      <w:pPr>
        <w:pStyle w:val="NormalHanging12a"/>
      </w:pPr>
      <w:r w:rsidRPr="00533F29">
        <w:lastRenderedPageBreak/>
        <w:t>–</w:t>
      </w:r>
      <w:r w:rsidRPr="00533F29">
        <w:tab/>
        <w:t>uzimajući u obzir članak 54. Poslovnika,</w:t>
      </w:r>
    </w:p>
    <w:p w:rsidR="00F05492" w:rsidRPr="00533F29" w:rsidRDefault="00F05492" w:rsidP="00F05492">
      <w:pPr>
        <w:pStyle w:val="NormalHanging12a"/>
      </w:pPr>
      <w:r w:rsidRPr="00533F29">
        <w:t>–</w:t>
      </w:r>
      <w:r w:rsidRPr="00533F29">
        <w:tab/>
        <w:t>uzimajući u obzir izvješće Odbora za proračune (A9</w:t>
      </w:r>
      <w:r w:rsidRPr="00533F29">
        <w:noBreakHyphen/>
        <w:t>0031/2024),</w:t>
      </w:r>
    </w:p>
    <w:p w:rsidR="00F05492" w:rsidRPr="00533F29" w:rsidRDefault="00F05492" w:rsidP="00F05492">
      <w:pPr>
        <w:pStyle w:val="NormalHanging12a"/>
      </w:pPr>
      <w:r w:rsidRPr="00533F29">
        <w:t>A.</w:t>
      </w:r>
      <w:r w:rsidRPr="00533F29">
        <w:tab/>
        <w:t>budući da se Grupa EIB-a sastoji od Europske investicijske banke (EIB) i Europskog investicijskog fonda (EIF) te je najveća multilateralna financijska institucija na svijetu i jedan od najvažnijih pružatelja financijskih sredstava za borbu protiv klimatskih promjena te djeluje na međunarodnim tržištima kapitala i nudi konkurentne uvjete za klijente, kao i povoljne uvjete za potporu politikama i projektima EU-a unutar i izvan Unije;</w:t>
      </w:r>
    </w:p>
    <w:p w:rsidR="00F05492" w:rsidRPr="00533F29" w:rsidRDefault="00F05492" w:rsidP="00F05492">
      <w:pPr>
        <w:spacing w:after="240"/>
        <w:ind w:left="567" w:hanging="567"/>
      </w:pPr>
      <w:r w:rsidRPr="00533F29">
        <w:t>B.</w:t>
      </w:r>
      <w:r w:rsidRPr="00533F29">
        <w:tab/>
        <w:t>budući da je u skladu s člankom 309. UFEU-a EIB zadužen za doprinošenje postizanju ciljeva EU-a;</w:t>
      </w:r>
    </w:p>
    <w:p w:rsidR="00F05492" w:rsidRPr="00533F29" w:rsidRDefault="00F05492" w:rsidP="00F05492">
      <w:pPr>
        <w:spacing w:after="240"/>
        <w:ind w:left="567" w:hanging="567"/>
      </w:pPr>
      <w:r w:rsidRPr="00533F29">
        <w:t>C.</w:t>
      </w:r>
      <w:r w:rsidRPr="00533F29">
        <w:tab/>
        <w:t>budući da su za postizanje klimatskih ciljeva EU-a potrebna ulaganja u iznosu od 1 bilijuna EUR godišnje; budući da EIB može pomoći nadoknaditi manjak sredstava privlačenjem privatnog kapitala;</w:t>
      </w:r>
    </w:p>
    <w:p w:rsidR="00F05492" w:rsidRPr="00533F29" w:rsidRDefault="00F05492" w:rsidP="00F05492">
      <w:pPr>
        <w:pStyle w:val="NormalHanging12a"/>
      </w:pPr>
      <w:r w:rsidRPr="00533F29">
        <w:t>D.</w:t>
      </w:r>
      <w:r w:rsidRPr="00533F29">
        <w:tab/>
        <w:t xml:space="preserve">budući da će se u razdoblju od 2021. do 2027. jamstvom programa </w:t>
      </w:r>
      <w:proofErr w:type="spellStart"/>
      <w:r w:rsidRPr="00533F29">
        <w:t>InvestEU</w:t>
      </w:r>
      <w:proofErr w:type="spellEnd"/>
      <w:r w:rsidRPr="00533F29">
        <w:t xml:space="preserve"> u iznosu od 26,2 milijarde EUR, uz rezervacije iz višegodišnjeg financijskog okvira (VFO) i programa </w:t>
      </w:r>
      <w:proofErr w:type="spellStart"/>
      <w:r w:rsidRPr="00533F29">
        <w:t>Next</w:t>
      </w:r>
      <w:proofErr w:type="spellEnd"/>
      <w:r w:rsidRPr="00533F29">
        <w:t xml:space="preserve"> </w:t>
      </w:r>
      <w:proofErr w:type="spellStart"/>
      <w:r w:rsidRPr="00533F29">
        <w:t>Generation</w:t>
      </w:r>
      <w:proofErr w:type="spellEnd"/>
      <w:r w:rsidRPr="00533F29">
        <w:t xml:space="preserve"> EU, mobilizirati više od 372 milijarde EUR dodatnih privatnih i javnih ulaganja u Europi, uglavnom u održivu infrastrukturu, istraživanja, inovacije i digitalizaciju, mala i srednja poduzeća (MSP) te socijalna ulaganja i vještine;</w:t>
      </w:r>
    </w:p>
    <w:p w:rsidR="00F05492" w:rsidRPr="00533F29" w:rsidRDefault="00F05492" w:rsidP="00F05492">
      <w:pPr>
        <w:pStyle w:val="NormalHanging12a"/>
      </w:pPr>
      <w:r w:rsidRPr="00533F29">
        <w:rPr>
          <w:b/>
          <w:i/>
        </w:rPr>
        <w:t>Pregled politika i operacija</w:t>
      </w:r>
    </w:p>
    <w:p w:rsidR="00F05492" w:rsidRPr="00533F29" w:rsidRDefault="00F05492" w:rsidP="00F05492">
      <w:pPr>
        <w:pStyle w:val="NormalHanging12a"/>
      </w:pPr>
      <w:r w:rsidRPr="00533F29">
        <w:t>1.</w:t>
      </w:r>
      <w:r w:rsidRPr="00533F29">
        <w:tab/>
        <w:t>ponovno ističe važnu ulogu EIB-a kao javne banke EU-a i jedine međunarodne financijske institucije koja je u cijelosti u vlasništvu država članica, koja se u potpunosti vodi politikama EU-a i podliježe pravnim standardima EU-a, uz cilj podupiranja socijalnog i gospodarskog oporavka i usmjeravanja ulaganja potrebnih za ostvarenje ciljeva Unije;</w:t>
      </w:r>
    </w:p>
    <w:p w:rsidR="00F05492" w:rsidRPr="00533F29" w:rsidRDefault="00F05492" w:rsidP="00F05492">
      <w:pPr>
        <w:pStyle w:val="NormalHanging12a"/>
      </w:pPr>
      <w:r w:rsidRPr="00533F29">
        <w:t>2.</w:t>
      </w:r>
      <w:r w:rsidRPr="00533F29">
        <w:tab/>
        <w:t>cijeni činjenicu da je EIB uvijek spreman prilagoditi se i promijeniti u skladu s novim zahtjevima politike EU-a, poštujući pritom svoje dugoročne ciljeve;</w:t>
      </w:r>
    </w:p>
    <w:p w:rsidR="00F05492" w:rsidRPr="00533F29" w:rsidRDefault="00F05492" w:rsidP="00F05492">
      <w:pPr>
        <w:pStyle w:val="NormalHanging12a"/>
      </w:pPr>
      <w:r w:rsidRPr="00533F29">
        <w:t>3.</w:t>
      </w:r>
      <w:r w:rsidRPr="00533F29">
        <w:tab/>
        <w:t>ponavlja svoj poziv na povećanje kapitala kako bi se EIB-u omogućila dugoročnija povratna financijska potpora i inovativni instrumenti; napominje da je to potrebno za pravedan i uključiv održivi rast kojim se podupiru ključna ulaganja u realno gospodarstvo koja se inače ne bi izvršila i koja imaju potencijal za maksimalno povećanje dobitaka od inovacija u ključnim područjima politika EU-a kao što su digitalizacija i zelena tranzicija; napominje da bi ta ulaganja trebala pomoći ublažiti ograničenja konkurentnosti kao što su visoke cijene energije, nedostatak vještina i nedovoljna ulaganja u inovacije i nove tehnologije te pomoći u provedbi europskog stupa socijalnih prava i ciljeva održivog razvoja UN-a; očekuje od EIB-a da zajamči da njegova financijska sredstva doprinose rješavanju problema tržišnih nedostataka, da se njime izbjegavaju učinci istiskivanja i postižu mjerljivi rezultati, a da se pritom ne dovodi u pitanje ukupna privlačnost njegove financijske ponude;</w:t>
      </w:r>
    </w:p>
    <w:p w:rsidR="00F05492" w:rsidRPr="00533F29" w:rsidRDefault="00F05492" w:rsidP="00F05492">
      <w:pPr>
        <w:pStyle w:val="NormalHanging12a"/>
      </w:pPr>
      <w:r w:rsidRPr="00533F29">
        <w:t>4.</w:t>
      </w:r>
      <w:r w:rsidRPr="00533F29">
        <w:tab/>
        <w:t>naglašava da EIB mora održati svoj kreditni rejting AAA i zadržati puno povjerenje tržišta kapitala u njegove aktivnosti;</w:t>
      </w:r>
    </w:p>
    <w:p w:rsidR="00F05492" w:rsidRPr="00533F29" w:rsidRDefault="00F05492" w:rsidP="00F05492">
      <w:pPr>
        <w:pStyle w:val="NormalHanging12a"/>
      </w:pPr>
      <w:r w:rsidRPr="00533F29">
        <w:lastRenderedPageBreak/>
        <w:t>5.</w:t>
      </w:r>
      <w:r w:rsidRPr="00533F29">
        <w:tab/>
        <w:t>napominje da EIB-ovo financiranje ima sve važniju ulogu u kontekstu znatnih socijalnih i gospodarskih posljedica krize uzrokovane bolešću COVID-19 nakon koje je uslijedila invazija na Ukrajinu, među kojima se ističu inflacija, visoke kamatne stope i prevelik pritisak na javne financije; nadalje primjećuje veću ulogu koju financiranje EIB-a ima u kontekstu složenih gospodarskih izgleda i povećane globalne konkurencije, što također utječe na projekte koji su u tijeku;</w:t>
      </w:r>
    </w:p>
    <w:p w:rsidR="00F05492" w:rsidRPr="00533F29" w:rsidRDefault="00F05492" w:rsidP="00F05492">
      <w:pPr>
        <w:pStyle w:val="NormalHanging12a"/>
      </w:pPr>
      <w:r w:rsidRPr="00533F29">
        <w:t>6.</w:t>
      </w:r>
      <w:r w:rsidRPr="00533F29">
        <w:tab/>
        <w:t xml:space="preserve">smatra da bi EIB mogao učiniti više kako bi se poboljšala sektorska ravnoteža i kako bi se prilagodio regionalnoj raznolikosti EU-a te time povećao privlačnost svojih sredstava; poziva EIB da otkloni sustavne nedostatke koji određenim regijama ili zemljama onemogućuju da u potpunosti iskoriste njegove financijske aktivnosti, pri čemu poštuje narav financijskih operacija EIB-a koje se temelje na potražnji; poziva Komisiju da procijeni je li zemljopisna raspodjela financiranja u okviru programa </w:t>
      </w:r>
      <w:proofErr w:type="spellStart"/>
      <w:r w:rsidRPr="00533F29">
        <w:t>InvestEU</w:t>
      </w:r>
      <w:proofErr w:type="spellEnd"/>
      <w:r w:rsidRPr="00533F29">
        <w:t xml:space="preserve"> uravnotežena, posebno u pogledu manjih država članica;</w:t>
      </w:r>
    </w:p>
    <w:p w:rsidR="00F05492" w:rsidRPr="00533F29" w:rsidRDefault="00F05492" w:rsidP="00F05492">
      <w:pPr>
        <w:pStyle w:val="NormalHanging12a"/>
      </w:pPr>
      <w:r w:rsidRPr="00533F29">
        <w:t>7.</w:t>
      </w:r>
      <w:r w:rsidRPr="00533F29">
        <w:tab/>
        <w:t xml:space="preserve">poziva EIB da podrži projekte kojima se doprinosi provedbi europskog stupa socijalnih prava i UN-ovih ciljeva održivog razvoja te kojima se poboljšava socijalna uključenost i smanjenje nejednakosti u skladu s okolišnim i socijalnim standardima; poziva EIB da proširi svoju ulogu u procjeni i smanjenju manjka ulaganja u socijalnu infrastrukturu i skrb, kao što su pristupačno i energetski učinkovito socijalno stanovanje, komunalne usluge, javni prijevoz, održivi prijevoz, kultura i obrazovanje, istodobno osiguravajući </w:t>
      </w:r>
      <w:proofErr w:type="spellStart"/>
      <w:r w:rsidRPr="00533F29">
        <w:t>dodatnost</w:t>
      </w:r>
      <w:proofErr w:type="spellEnd"/>
      <w:r w:rsidRPr="00533F29">
        <w:t xml:space="preserve"> i komplementarnost s drugim javnim fondovima i komercijalnim zajmodavcima; poziva EIB da poveća težinu socijalnih naknada u procjenama projekata kako bi se pružila dugoročna cjenovno pristupačna rješenja u kontekstu krize troškova života i izazova s kojima se susreću kućanstva u Europskoj uniji, a koji proizlaze iz cjelokupne gospodarske situacije; traži od EIB-a da poboljša preuzimanje rizika za projekte kojima se pružaju ključne usluge s dugoročnim jasnim i mjerljivim koristima; poziva EIB da, kad god je to moguće, pri financiranju da prednost projektima koji uključuju ranjive ili marginalizirane osobe, posebno mlade, i projektima koje predvode građani;</w:t>
      </w:r>
    </w:p>
    <w:p w:rsidR="00F05492" w:rsidRPr="00533F29" w:rsidRDefault="00F05492" w:rsidP="00F05492">
      <w:pPr>
        <w:pStyle w:val="Normal12a24b"/>
        <w:spacing w:before="0"/>
        <w:rPr>
          <w:rStyle w:val="BoldItalic"/>
        </w:rPr>
      </w:pPr>
      <w:r w:rsidRPr="00533F29">
        <w:rPr>
          <w:rStyle w:val="BoldItalic"/>
        </w:rPr>
        <w:t>Klimatska banka EU-a: djelovanje u području klime i ciljevi okolišne održivosti</w:t>
      </w:r>
    </w:p>
    <w:p w:rsidR="00F05492" w:rsidRPr="00533F29" w:rsidRDefault="00F05492" w:rsidP="00F05492">
      <w:pPr>
        <w:pStyle w:val="NormalHanging12a"/>
      </w:pPr>
      <w:r w:rsidRPr="00533F29">
        <w:t>8.</w:t>
      </w:r>
      <w:r w:rsidRPr="00533F29">
        <w:tab/>
        <w:t>prima na znanje nalaze EIB-ova izvješća o ulaganjima za 2022./2023. naslovljeno „</w:t>
      </w:r>
      <w:proofErr w:type="spellStart"/>
      <w:r w:rsidRPr="00533F29">
        <w:t>Resilience</w:t>
      </w:r>
      <w:proofErr w:type="spellEnd"/>
      <w:r w:rsidRPr="00533F29">
        <w:t xml:space="preserve"> </w:t>
      </w:r>
      <w:proofErr w:type="spellStart"/>
      <w:r w:rsidRPr="00533F29">
        <w:t>and</w:t>
      </w:r>
      <w:proofErr w:type="spellEnd"/>
      <w:r w:rsidRPr="00533F29">
        <w:t xml:space="preserve"> </w:t>
      </w:r>
      <w:proofErr w:type="spellStart"/>
      <w:r w:rsidRPr="00533F29">
        <w:t>renewal</w:t>
      </w:r>
      <w:proofErr w:type="spellEnd"/>
      <w:r w:rsidRPr="00533F29">
        <w:t xml:space="preserve"> </w:t>
      </w:r>
      <w:proofErr w:type="spellStart"/>
      <w:r w:rsidRPr="00533F29">
        <w:t>in</w:t>
      </w:r>
      <w:proofErr w:type="spellEnd"/>
      <w:r w:rsidRPr="00533F29">
        <w:t xml:space="preserve"> Europe” (Otpornost i obnova u Europi), u kojem se analiziraju ulaganja u djelovanja u području klime diljem EU-a i manjak ulaganja u raznim sektorima; prima na znanje da se novim operativnim planom Grupe EIB-a za razdoblje 2023. – 2025. potvrđuje usklađenost EIB-a s političkim prioritetima EU-a i njegova predanost povećanju ambicija u pogledu zelene i digitalne tranzicije; poziva Komisiju da razvije metodu procjene manjka zelenih financijskih sredstava u EU-u i da procijeni potencijalnu ulogu EIB-a u nadoknađivanju tog manjka;</w:t>
      </w:r>
    </w:p>
    <w:p w:rsidR="00F05492" w:rsidRPr="00533F29" w:rsidRDefault="00F05492" w:rsidP="00F05492">
      <w:pPr>
        <w:pStyle w:val="NormalHanging12a"/>
      </w:pPr>
      <w:r w:rsidRPr="00533F29">
        <w:t>9.</w:t>
      </w:r>
      <w:r w:rsidRPr="00533F29">
        <w:tab/>
        <w:t>podsjeća da je EIB najveći svjetski izdavatelj zelenih obveznica u više valuta; ističe da bi se povećanjem udjela obveznica denominiranih u eurima dodatno ojačala međunarodna uloga eura;</w:t>
      </w:r>
    </w:p>
    <w:p w:rsidR="00F05492" w:rsidRPr="00533F29" w:rsidRDefault="00F05492" w:rsidP="00F05492">
      <w:pPr>
        <w:pStyle w:val="NormalHanging12a"/>
      </w:pPr>
      <w:r w:rsidRPr="00533F29">
        <w:t>10.</w:t>
      </w:r>
      <w:r w:rsidRPr="00533F29">
        <w:tab/>
        <w:t xml:space="preserve">podsjeća da zelena tranzicija mora biti </w:t>
      </w:r>
      <w:proofErr w:type="spellStart"/>
      <w:r w:rsidRPr="00533F29">
        <w:t>uključiva</w:t>
      </w:r>
      <w:proofErr w:type="spellEnd"/>
      <w:r w:rsidRPr="00533F29">
        <w:t xml:space="preserve"> i pravedna i da zelena ulaganja moraju biti održiva te stoga očekuje od EIB da iskoristi svoje kreditiranje, financijske instrumente, tehničku pomoć i savjetodavne usluge kako bi se pružila potpora građanima i poduzećima koji se suočavaju sa socioekonomskim izazovima koji proizlaze iz njihovih napora da se klimatska neutralnost postigne najkasnije do 2050.; </w:t>
      </w:r>
      <w:r w:rsidRPr="00533F29">
        <w:lastRenderedPageBreak/>
        <w:t>poziva EIB da podupre projekte kojima se osiguravaju cjenovno pristupačna obnovljiva energija, stanovanje i javne usluge, inicijative pod vodstvom zajednice, kao i male projekte koji su u prvom redu usmjereni na borbu protiv energetskog siromaštva;</w:t>
      </w:r>
    </w:p>
    <w:p w:rsidR="00F05492" w:rsidRPr="00533F29" w:rsidRDefault="00F05492" w:rsidP="00F05492">
      <w:pPr>
        <w:pStyle w:val="NormalHanging12a"/>
      </w:pPr>
      <w:r w:rsidRPr="00533F29">
        <w:t>11.</w:t>
      </w:r>
      <w:r w:rsidRPr="00533F29">
        <w:tab/>
        <w:t>pozdravlja činjenicu da je EIB već ispunio svoj cilj da barem polovicu svojih sredstava namijeni djelovanju u području klime i okolišnoj održivosti te da je na dobrom putu da ostvari svoj cilj pružanja potpore zelenim ulaganjima u iznosu od 1 bilijuna EUR do 2030.; očekuje da će se preispitivanjem Plana djelovanja klimatske banke EIB 2024. u potpunosti uskladiti s planom od 1,5 °C i ciljem klimatske neutralnosti najkasnije do 2050., uz istodobno osiguravanje pravedne tranzicije za sve; smatra da bi referentna vrijednost trebala biti najambicioznija praksa javnog bankarstva; ponavlja svoj poziv da se za svaki projekt uključi pouzdana procjena alternativa s manjim emisijama ugljika i emisijama iz područja primjene 3.;</w:t>
      </w:r>
    </w:p>
    <w:p w:rsidR="00F05492" w:rsidRPr="00533F29" w:rsidRDefault="00F05492" w:rsidP="00F05492">
      <w:pPr>
        <w:pStyle w:val="NormalHanging12a"/>
      </w:pPr>
      <w:r w:rsidRPr="00533F29">
        <w:t>12.</w:t>
      </w:r>
      <w:r w:rsidRPr="00533F29">
        <w:tab/>
        <w:t xml:space="preserve">pozdravlja usklađivanje drugih ugovornih strana s Pariškim sporazumom (PATH) i očekuje njegovu potpunu provedbu u pogledu postizanja najvećeg mogućeg smanjenja emisija i povećanja otpornosti na klimatske promjene; prima na znanje odgovor EIB-a na hitnu energetsku situaciju u EU-u u obliku prilagodbe okvira PATH; očekuje da će izuzeća predviđena okvirom PATH kao potpora planu </w:t>
      </w:r>
      <w:proofErr w:type="spellStart"/>
      <w:r w:rsidRPr="00533F29">
        <w:t>REPowerEU</w:t>
      </w:r>
      <w:proofErr w:type="spellEnd"/>
      <w:r w:rsidRPr="00533F29">
        <w:t xml:space="preserve"> biti iznimna, privremena i u potpunosti opravdana kako bi se mogla ubrzati zelena tranzicija i okončati ovisnost Europe o uvozu fosilnih goriva, među ostalim iz Rusije; u tom kontekstu pozdravlja povećanje potpore EIB-a planu </w:t>
      </w:r>
      <w:proofErr w:type="spellStart"/>
      <w:r w:rsidRPr="00533F29">
        <w:t>REPowerEU</w:t>
      </w:r>
      <w:proofErr w:type="spellEnd"/>
      <w:r w:rsidRPr="00533F29">
        <w:t xml:space="preserve"> na 45 milijardi EUR u zajmovima i financiranju vlasničkim kapitalom za projekte u području obnovljivih izvora energije, energetske učinkovitosti, mreža i skladištenja, infrastrukture za punjenje električnih vozila i revolucionarnih tehnologija tijekom sljedećih pet godina; </w:t>
      </w:r>
    </w:p>
    <w:p w:rsidR="00F05492" w:rsidRPr="00533F29" w:rsidRDefault="00F05492" w:rsidP="00F05492">
      <w:pPr>
        <w:pStyle w:val="NormalHanging12a"/>
      </w:pPr>
      <w:r w:rsidRPr="00533F29">
        <w:t>13.</w:t>
      </w:r>
      <w:r w:rsidRPr="00533F29">
        <w:tab/>
        <w:t xml:space="preserve">podsjeća da su svi korporativni klijenti EIB-ova financiranja ugovorno obvezni izraditi i objaviti vjerodostojnu strategiju za usklađivanje s Pariškim sporazumom („planovi </w:t>
      </w:r>
      <w:proofErr w:type="spellStart"/>
      <w:r w:rsidRPr="00533F29">
        <w:t>dekarbonizacije</w:t>
      </w:r>
      <w:proofErr w:type="spellEnd"/>
      <w:r w:rsidRPr="00533F29">
        <w:t xml:space="preserve">”) koja uključuje srednjoročne, postupno provedive i kvantitativne ciljeve i mogućnosti smanjenja emisija tijekom duljeg vremenskog razdoblja kako bi se najkasnije do 2050. postigla klimatska neutralnost; očekuje od EIB-a da sustavno prije potpisivanja bilo kakve nove financijske obveze ocjenjuje vjerodostojnost tih planova primjenjujući kriterije </w:t>
      </w:r>
      <w:proofErr w:type="spellStart"/>
      <w:r w:rsidRPr="00533F29">
        <w:t>dekarbonizacije</w:t>
      </w:r>
      <w:proofErr w:type="spellEnd"/>
      <w:r w:rsidRPr="00533F29">
        <w:t xml:space="preserve"> koji su kompatibilni s ciljnom vrijednošću od 1,5 stupnjeva; ponavlja svoj poziv EIB-u da surađuje samo s financijskim posrednicima koji imaju vjerodostojne planove </w:t>
      </w:r>
      <w:proofErr w:type="spellStart"/>
      <w:r w:rsidRPr="00533F29">
        <w:t>dekarbonizacije</w:t>
      </w:r>
      <w:proofErr w:type="spellEnd"/>
      <w:r w:rsidRPr="00533F29">
        <w:t>, uključujući kratkoročne ciljeve usklađene s ciljnom vrijednosti od 1,5 stupnjeva i koji će biti provedeni što prije, a najkasnije do 2025.; naglašava da takvi novi zahtjevi ne smiju otežavati pristup MSP-ova financiranju;</w:t>
      </w:r>
    </w:p>
    <w:p w:rsidR="00F05492" w:rsidRPr="00533F29" w:rsidRDefault="00F05492" w:rsidP="00F05492">
      <w:pPr>
        <w:pStyle w:val="NormalHanging12a"/>
      </w:pPr>
      <w:r w:rsidRPr="00533F29">
        <w:t>14.</w:t>
      </w:r>
      <w:r w:rsidRPr="00533F29">
        <w:tab/>
        <w:t>naglašava ključnu ulogu EIB-a u osiguravanju pravedne tranzicije; poziva EIB da smanji minimalni iznos zajmova za pojedinačne projekte ili programe zajmova kojima se doprinosi pravednoj tranziciji; potiče EIB da pojača suradnju s nacionalnim i regionalnim financijskim institucijama kako bi se osiguralo ciljano financiranje; poziva EIB da u tom kontekstu pruži svoj doprinos postizanju ciljeva EU-a u području ravnopravnosti žena i muškaraca; pozdravlja sudjelovanje EIB-a u mehanizmu EU-a za pravednu tranziciju kako bi se ublažio socioekonomski učinak prelaska na gospodarstvo s nultom neto stopom emisija i stvorile nove mogućnosti za održivi razvoj u prihvatljivim regijama;</w:t>
      </w:r>
    </w:p>
    <w:p w:rsidR="00F05492" w:rsidRPr="00533F29" w:rsidRDefault="00F05492" w:rsidP="00F05492">
      <w:pPr>
        <w:pStyle w:val="NormalHanging12a"/>
      </w:pPr>
      <w:r w:rsidRPr="00533F29">
        <w:t>15.</w:t>
      </w:r>
      <w:r w:rsidRPr="00533F29">
        <w:tab/>
        <w:t xml:space="preserve">poziva EIB da prilagodi svoje aktivnosti smanjivanja rizika kako bi se privatno financiranje usmjerilo na projekte s visokim stupnjem </w:t>
      </w:r>
      <w:proofErr w:type="spellStart"/>
      <w:r w:rsidRPr="00533F29">
        <w:t>dodatnosti</w:t>
      </w:r>
      <w:proofErr w:type="spellEnd"/>
      <w:r w:rsidRPr="00533F29">
        <w:t xml:space="preserve"> koji doprinose </w:t>
      </w:r>
      <w:r w:rsidRPr="00533F29">
        <w:lastRenderedPageBreak/>
        <w:t>pravednoj tranziciji bez ugrožavanja komercijalne održivosti njegova portfelja; poziva EIB da izvuče pouke iz upotrebe proizvoda kao što su klimatski i infrastrukturni fondovi, uključujući važnost posredničkog vlasničkog kapitala i potrebu za poboljšanjem omjera rizika i dobiti u manjim projektima za zelenu infrastrukturu;</w:t>
      </w:r>
    </w:p>
    <w:p w:rsidR="00F05492" w:rsidRPr="00533F29" w:rsidRDefault="00F05492" w:rsidP="00F05492">
      <w:pPr>
        <w:pStyle w:val="NormalHanging12a"/>
      </w:pPr>
      <w:r w:rsidRPr="00533F29">
        <w:t>16.</w:t>
      </w:r>
      <w:r w:rsidRPr="00533F29">
        <w:tab/>
        <w:t xml:space="preserve">pozdravlja povećanje ulaganja u vodik; ustraje u tome da je uloga vodika doprinijeti prelasku na klimatsku neutralnost smanjenjem emisija iz industrijskih sektora u kojima je teško smanjiti emisije; očekuje da će se osigurati </w:t>
      </w:r>
      <w:proofErr w:type="spellStart"/>
      <w:r w:rsidRPr="00533F29">
        <w:t>dodatnost</w:t>
      </w:r>
      <w:proofErr w:type="spellEnd"/>
      <w:r w:rsidRPr="00533F29">
        <w:t xml:space="preserve"> kako bi se izbjeglo preusmjeravanje resursa iz postojećih izvora obnovljive energije u skladu s relevantnim delegiranim aktom</w:t>
      </w:r>
      <w:r w:rsidRPr="00533F29">
        <w:rPr>
          <w:rStyle w:val="FootnoteReference"/>
        </w:rPr>
        <w:footnoteReference w:id="3"/>
      </w:r>
      <w:r w:rsidRPr="00533F29">
        <w:t>; zabrinut je zbog mogućeg utjecaja projekata u području vodika na opskrbu vodom u nekim regijama, kao i zbog njihova utjecaja na biološku raznolikost; poziva EIB da poboljša stručno savjetovanje koje pruža u pogledu ekosustava i tržišta vodika u EU-u;</w:t>
      </w:r>
    </w:p>
    <w:p w:rsidR="00F05492" w:rsidRPr="00533F29" w:rsidRDefault="00F05492" w:rsidP="00F05492">
      <w:pPr>
        <w:pStyle w:val="NormalHanging12a"/>
      </w:pPr>
      <w:r w:rsidRPr="00533F29">
        <w:t>17.</w:t>
      </w:r>
      <w:r w:rsidRPr="00533F29">
        <w:tab/>
        <w:t>naglašava da okolišna i socijalna politika EIB-a jača predanost promicanju i provedbi ciljeva Konvencije o biološkoj raznolikosti i globalnog okvira za biološku raznolikost za razdoblje nakon 2020., posebno zahtjev da financirani projekti ne nanose bitnu štetu biološkoj raznolikosti i ekosustavima; pozdravlja promjenu iz „bez neto gubitka” u „bez gubitka” biološke raznolikosti; teži punoj primjeni okolišne i socijalne politike EIB-a, posebno u projektima energije iz obnovljivih izvora; apelira na EIB da u potpunosti uskladi svoju okolišnu i socijalnu politiku s globalnim okvirom za biološku raznolikost za razdoblje nakon 2020.;</w:t>
      </w:r>
    </w:p>
    <w:p w:rsidR="00F05492" w:rsidRPr="00533F29" w:rsidRDefault="00F05492" w:rsidP="00F05492">
      <w:pPr>
        <w:pStyle w:val="NormalHanging12a"/>
      </w:pPr>
      <w:r w:rsidRPr="00533F29">
        <w:t>18.</w:t>
      </w:r>
      <w:r w:rsidRPr="00533F29">
        <w:tab/>
        <w:t xml:space="preserve">pozdravlja prva zajednička načela financiranja koje pozitivno utječe na prirodu koja je EIB objavio zajedno s drugim multilateralnim razvojnim bankama na konferenciji COP28; očekuje od EIB-a da nastavi s aktivnijim sudjelovanjem u ulaganjima koja pozitivno utječu na prirodu i kojima se jača biološka raznolikost te u sektore s najvećim dodatnim koristima za biološku raznolikost, kao što su gospodarenje vodama, odvodnja, šumarstvo i oceani, uz najvišu razinu integriteta i jamstava, osobito u pogledu prava lokalnih zajednica, te uključivanjem pouka izvučenih iz primjene Instrumenta za financiranje prirodnog kapitala; očekuje od EIB-a da poveća financiranje za rješenja kojima se smanjuje onečišćenje plastikom; </w:t>
      </w:r>
    </w:p>
    <w:p w:rsidR="00F05492" w:rsidRPr="00533F29" w:rsidRDefault="00F05492" w:rsidP="00F05492">
      <w:pPr>
        <w:pStyle w:val="NormalHanging12a"/>
      </w:pPr>
      <w:r w:rsidRPr="00533F29">
        <w:t>19.</w:t>
      </w:r>
      <w:r w:rsidRPr="00533F29">
        <w:tab/>
        <w:t>očekuje pojačane napore za uključivanje prirode u analize i operacije kojima se procjenjuje financijski rizik gubitka biološke raznolikosti na razini drugih strana; očekuje da će se elemente koji pozitivno utječu na prirodu sustavno uključivati u velike infrastrukturne projekte, posebno kad je riječ o ulaganjima u gradska područja; upozorava da se ne provode projekti koji doprinose klimatskim ciljevima, ali koji dovode do uništenja biološke raznolikosti;</w:t>
      </w:r>
    </w:p>
    <w:p w:rsidR="00F05492" w:rsidRPr="00533F29" w:rsidRDefault="00F05492" w:rsidP="00F05492">
      <w:pPr>
        <w:pStyle w:val="NormalHanging12a"/>
      </w:pPr>
      <w:r w:rsidRPr="00533F29">
        <w:t>20.</w:t>
      </w:r>
      <w:r w:rsidRPr="00533F29">
        <w:tab/>
        <w:t xml:space="preserve">prima na znanje aktualne pregovore o smanjenju duga u zamjenu za provedbu mjera za zaštitu prirode; zabrinut je zbog primjerenosti takvih zamjena u pogledu razvoja i očuvanja te njihovih visokih transakcijskih troškova, posebno jer su primjeri iz prošlosti pokazali da su takvi strahovi opravdani; naglašava potrebu za visokom razinom transparentnosti i odgovornosti zemalja; </w:t>
      </w:r>
    </w:p>
    <w:p w:rsidR="00F05492" w:rsidRPr="00533F29" w:rsidRDefault="00F05492" w:rsidP="00F05492">
      <w:pPr>
        <w:pStyle w:val="NormalHanging12a"/>
      </w:pPr>
      <w:r w:rsidRPr="00533F29">
        <w:lastRenderedPageBreak/>
        <w:t>21.</w:t>
      </w:r>
      <w:r w:rsidRPr="00533F29">
        <w:tab/>
        <w:t xml:space="preserve">očekuje od EIB-a da nastavi primjenjivati stroge standarde dobrobiti životinja i povezano primjenjivo zakonodavstvo, među ostalim kad je riječ o uzgojnim aktivnostima i hrani za životinje u sektoru uzgoja ribe, na temelju najvišeg standarda koji su postavili EU i multilateralne financijske institucije; </w:t>
      </w:r>
    </w:p>
    <w:p w:rsidR="00F05492" w:rsidRPr="00533F29" w:rsidRDefault="00F05492" w:rsidP="00F05492">
      <w:pPr>
        <w:pStyle w:val="NormalHanging12a"/>
      </w:pPr>
      <w:r w:rsidRPr="00533F29">
        <w:t>22.</w:t>
      </w:r>
      <w:r w:rsidRPr="00533F29">
        <w:tab/>
        <w:t>ističe da je sigurnost opskrbe kritičnim sirovinama ključna za zelenu i za digitalnu tranziciju, obrambeni sektor te za industrijsku bazu EU-a općenito; podsjeća na ulogu EIB-a u Savezu EU-a za sirovine i na cilj Unije da postigne veću autonomiju u pogledu opskrbe kritičnim sirovinama; ističe važnost pristupa kritičnim ključnim sirovinama koji se temelji na kružnom gospodarstvu, odnosno na recikliranju i ponovnoj upotrebi kako bi se smanjila ovisnost EU-a o trećim zemljama i povećala njegova strateška autonomija; stoga poziva EIB da više ulaže u sektor kritičnih sirovina kako bi se povećala otpornost u pogledu sirovina s posebnim naglaskom na recikliranje sekundarnih sirovina te kako bi se promicala rješenja utemeljena na kružnom gospodarstvu i tako doprinijelo diversifikaciji opskrbe;</w:t>
      </w:r>
    </w:p>
    <w:p w:rsidR="00F05492" w:rsidRPr="00533F29" w:rsidRDefault="00F05492" w:rsidP="00F05492">
      <w:pPr>
        <w:pStyle w:val="NormalHanging12a"/>
        <w:rPr>
          <w:b/>
          <w:i/>
        </w:rPr>
      </w:pPr>
      <w:r w:rsidRPr="00533F29">
        <w:rPr>
          <w:b/>
          <w:i/>
        </w:rPr>
        <w:t>Potpora inovacijama, malim i srednjim poduzećima, industriji i digitalizaciji</w:t>
      </w:r>
    </w:p>
    <w:p w:rsidR="00F05492" w:rsidRPr="00533F29" w:rsidRDefault="00F05492" w:rsidP="00F05492">
      <w:pPr>
        <w:pStyle w:val="NormalHanging12a"/>
      </w:pPr>
      <w:r w:rsidRPr="00533F29">
        <w:t>23.</w:t>
      </w:r>
      <w:r w:rsidRPr="00533F29">
        <w:tab/>
        <w:t>podsjeća da su mala i srednja poduzeća okosnica europskoga gospodarstva; podsjeća da EU-u broji 23 milijuna MSP-ova te da oni čine 99 % svih poduzeća, pružaju oko tri četvrtine svih radnih mjesta i ostvaruju više od 50 % ukupne dodane vrijednosti koju proizvode poduzeća u EU-u; ističe da je potpora MSP-ovima ključni cilj Grupe EIB-a; ističe da su energetska kriza i posljedice ruskog rata u Ukrajini dodatni izazovi za MSP-ove, kao i povećanje cijena sirovina i rast kamatnih stopa;</w:t>
      </w:r>
    </w:p>
    <w:p w:rsidR="00F05492" w:rsidRPr="00533F29" w:rsidRDefault="00F05492" w:rsidP="00F05492">
      <w:pPr>
        <w:spacing w:after="240"/>
        <w:ind w:left="567" w:hanging="567"/>
      </w:pPr>
      <w:r w:rsidRPr="00533F29">
        <w:t>24.</w:t>
      </w:r>
      <w:r w:rsidRPr="00533F29">
        <w:tab/>
        <w:t>podsjeća da je Grupa EIB-a 2022. financirala ulaganja u ukupnom iznosu od 16,35 milijardi EUR za MSP-ove i poduzeća srednje tržišne kapitalizacije; napominje da su prema procjeni Grupe EIB-a operacije Grupe EIB-a kojima se pruža potpora zaduženim malim i srednjim poduzećima između 2010. i 2020. ukupno iznosile gotovo 20 milijardi EUR neto potpisanih godišnjih operacija; poziva Grupu EIB-a da razmotri načine za daljnje olakšavanje svoje potpore MSP-ovima, posebno za manje projekte financiranja;</w:t>
      </w:r>
    </w:p>
    <w:p w:rsidR="00F05492" w:rsidRPr="00533F29" w:rsidRDefault="00F05492" w:rsidP="00F05492">
      <w:pPr>
        <w:spacing w:after="240"/>
        <w:ind w:left="567" w:hanging="567"/>
      </w:pPr>
      <w:r w:rsidRPr="00533F29">
        <w:t>25.</w:t>
      </w:r>
      <w:r w:rsidRPr="00533F29">
        <w:tab/>
        <w:t>naglašava ulogu EIF-a u poboljšanju pristupa financiranju za manja poduzeća, poduzeća srednje tržišne kapitalizacije i start-</w:t>
      </w:r>
      <w:proofErr w:type="spellStart"/>
      <w:r w:rsidRPr="00533F29">
        <w:t>up</w:t>
      </w:r>
      <w:proofErr w:type="spellEnd"/>
      <w:r w:rsidRPr="00533F29">
        <w:t xml:space="preserve"> poduzeća iz EU-a, a time i njegovu potporu poduzetništvu, rastu, inovacijama, istraživanju i razvoju te zapošljavanju u Uniji; ističe da je stabilna opskrba energijom po konkurentnim cijenama jedan od temelja uspješne industrijske politike, a posebno uspješnih MSP-ova; poziva Grupu EIB-a da osigura dodatni kapital za rast kako bi se MSP-ovima omogućilo da povećaju svoje poslovanje; potiče Grupu EIB-a da poveća potporu usmjerenu na rast europskih start-</w:t>
      </w:r>
      <w:proofErr w:type="spellStart"/>
      <w:r w:rsidRPr="00533F29">
        <w:t>up</w:t>
      </w:r>
      <w:proofErr w:type="spellEnd"/>
      <w:r w:rsidRPr="00533F29">
        <w:t xml:space="preserve"> poduzeća, među ostalim preuzimanjem većih rizika u isplati poduzetničkog kapitala kako bi se osiguralo da europska start-</w:t>
      </w:r>
      <w:proofErr w:type="spellStart"/>
      <w:r w:rsidRPr="00533F29">
        <w:t>up</w:t>
      </w:r>
      <w:proofErr w:type="spellEnd"/>
      <w:r w:rsidRPr="00533F29">
        <w:t xml:space="preserve"> poduzeća mogu rasti u EU-u, a ne izvan njega;</w:t>
      </w:r>
    </w:p>
    <w:p w:rsidR="00F05492" w:rsidRPr="00533F29" w:rsidRDefault="00F05492" w:rsidP="00F05492">
      <w:pPr>
        <w:spacing w:after="240"/>
        <w:ind w:left="567" w:hanging="567"/>
      </w:pPr>
      <w:r w:rsidRPr="00533F29">
        <w:t>26.</w:t>
      </w:r>
      <w:r w:rsidRPr="00533F29">
        <w:tab/>
        <w:t>naglašava potrebu da se EIF snažno usredotoči na projekte kojima se otvaraju nova i zadržavaju postojeća radna mjesta, uključujući projekte usmjerene na rješavanje rastućeg problema nezaposlenosti mladih, kao što je takozvani dvojni model naukovanja koji se pokazao učinkovitim i uspješnim u nekim državama članicama, u cilju otvaranja sigurnih i visokokvalitetnih radnih mjesta;</w:t>
      </w:r>
    </w:p>
    <w:p w:rsidR="00F05492" w:rsidRPr="00533F29" w:rsidRDefault="00F05492" w:rsidP="00F05492">
      <w:pPr>
        <w:spacing w:after="240"/>
        <w:ind w:left="567" w:hanging="567"/>
      </w:pPr>
      <w:r w:rsidRPr="00533F29">
        <w:t>27.</w:t>
      </w:r>
      <w:r w:rsidRPr="00533F29">
        <w:tab/>
        <w:t xml:space="preserve">uviđa da se mala i srednja poduzeća često susreću s ograničenim administrativnim resursima i da se zbog manje povoljnih uvjeta bankovnih zajmova suočavaju s većim </w:t>
      </w:r>
      <w:r w:rsidRPr="00533F29">
        <w:lastRenderedPageBreak/>
        <w:t>troškovima zaduživanja od velikih korporacija te smatra da im je nužno ponuditi alate financiranja koji su jednostavni i lako dostupni; stoga snažno potiče Grupu EIB-a da svoje programe oblikuje na način kojim se pojednostavnjuju administrativni postupci uz istodobno pružanje potrebne tehničke pomoći i odgovarajućeg financiranja savjetodavnih usluga, čime bi se poboljšala njihova dostupnost za MSP-ove;</w:t>
      </w:r>
    </w:p>
    <w:p w:rsidR="00F05492" w:rsidRPr="00533F29" w:rsidRDefault="00F05492" w:rsidP="00F05492">
      <w:pPr>
        <w:pStyle w:val="NormalHanging12a"/>
      </w:pPr>
      <w:r w:rsidRPr="00533F29">
        <w:t>28.</w:t>
      </w:r>
      <w:r w:rsidRPr="00533F29">
        <w:tab/>
        <w:t>ponavlja svoj poziv Grupi EIB-a da dopuni napore koji se ulažu u razvoj rješenja temeljenih na podacima, s posebnim naglaskom na konkurentnosti MSP-ova, te da svoja ulaganja u tom području usmjeri na premošćivanje digitalnog jaza unutar EU-a te između EU-a i drugih tehnološki naprednijih regija svijeta; poziva Grupu EIB-a da poveća ulaganja u digitalizaciju, razvoj najsuvremenijih tehnologija kao što je umjetna inteligencija te u usavršavanje i prekvalifikaciju radnika koji su ključni za snažnu industrijsku bazu;</w:t>
      </w:r>
    </w:p>
    <w:p w:rsidR="00F05492" w:rsidRPr="00533F29" w:rsidRDefault="00F05492" w:rsidP="00F05492">
      <w:pPr>
        <w:pStyle w:val="Normal12a24b"/>
        <w:spacing w:before="0"/>
        <w:rPr>
          <w:rStyle w:val="BoldItalic"/>
        </w:rPr>
      </w:pPr>
      <w:r w:rsidRPr="00533F29">
        <w:rPr>
          <w:rStyle w:val="BoldItalic"/>
        </w:rPr>
        <w:t>Ukrajina</w:t>
      </w:r>
    </w:p>
    <w:p w:rsidR="00F05492" w:rsidRPr="00533F29" w:rsidRDefault="00F05492" w:rsidP="00F05492">
      <w:pPr>
        <w:pStyle w:val="NormalHanging12a"/>
      </w:pPr>
      <w:r w:rsidRPr="00533F29">
        <w:t>29.</w:t>
      </w:r>
      <w:r w:rsidRPr="00533F29">
        <w:tab/>
        <w:t>pozdravlja novu inicijativu EU-a za Ukrajinu koju je EIB počeo provoditi u ožujku 2023. s ciljem financiranja obnove i oporavka u Ukrajini i koja je zamišljena kao privremeni program kojim će se omogućiti nastavak angažmana EIB-a u toj zemlji, dok se bude uspostavljala očekivana srednjoročna potpora EU-a; u tom kontekstu podsjeća na važnost proračuna EU-a kao jamca za EIB-ove aktivnosti u slučajevima kada to uključuje davanje zajmova izvan EU-a za provedbu programa EU-a; poziva na povećanje jamstava dodijeljenih EIB-u iz proračuna EU-a kako bi se EIB-u omogućilo da nastavi s provedbom ključnih operacija u javnom i privatnom sektoru u Ukrajini i proširi svoje aktivnosti na globalnom jugu; pozdravlja činjenicu da se EIB u svim djelovanjima u Ukrajini vodi prioritetima za gospodarski, socijalni i okolišni oporavak i obnovu u skladu s načelima bolje ponovne izgradnje te da će ona biti u potpunosti usklađena s predstojećim planom za Ukrajinu; pozdravlja komponentu tehničke pomoći kako bi se osigurala optimalna priprema i provedba projekata, kao i mjere za izgradnju kapaciteta; očekuje da će se predstojećom trećom brzom procjenom potreba i štete, koju Svjetska banka provodi u koordinaciji s Komisijom, EIB-om i ukrajinskom vladom, utvrditi znatno veće potrebe; pozdravlja napore EIB-a da spriječi, odvrati i istraži prijevare i korupciju povezane s njegovim projektima u Ukrajini;</w:t>
      </w:r>
    </w:p>
    <w:p w:rsidR="00F05492" w:rsidRPr="00533F29" w:rsidRDefault="00F05492" w:rsidP="00F05492">
      <w:pPr>
        <w:pStyle w:val="NormalHanging12a"/>
      </w:pPr>
      <w:r w:rsidRPr="00533F29">
        <w:t>30.</w:t>
      </w:r>
      <w:r w:rsidRPr="00533F29">
        <w:tab/>
        <w:t>ističe da je ruska ratna agresija utjecala i na regije u EU-u i ostavila ozbiljne posljedice na gospodarstvo u EU-u, posebno u zemljama na istočnoj granici EU-a i susjednim zemljama, te da je uzrokovala ozbiljnu humanitarnu krizu; naglašava da bi se pri budućem planiranju ulaganja trebale uzeti u obzir promjene u lancima opskrbe te trgovinskim i gospodarskim odnosima uzrokovane ratom; poziva EIB da uzme u obzir geopolitičku situaciju i ulaganja potrebna u najizloženijim zemljama, uključujući infrastrukturu i upravljanje granicama;</w:t>
      </w:r>
    </w:p>
    <w:p w:rsidR="00F05492" w:rsidRPr="008865D1" w:rsidRDefault="00F05492" w:rsidP="00F05492">
      <w:pPr>
        <w:pStyle w:val="NormalHanging12a"/>
        <w:rPr>
          <w:iCs/>
        </w:rPr>
      </w:pPr>
      <w:r w:rsidRPr="00533F29">
        <w:t>31.</w:t>
      </w:r>
      <w:r w:rsidRPr="00533F29">
        <w:tab/>
        <w:t>podsjeća da je ruska ratna agresija na Ukrajinu svojevrsna prekretnica jer je iz temelja promijenila europsko sigurnosno okruženje i dovela do potrebe za povećanjem obrambene spremnosti, a samim time i za dostatnim ulaganjima; naglašava da je potrebno na najučinkovitiji način iskoristiti sve instrumente kojima EIB raspolaže; poziva EIB da poveća svoju potporu strateškoj europskoj sigurnosnoj inicijativi i europskoj obrambenoj industriji, uključujući MSP-ove, a posebno da doprinosi daljnjoj potpori Ukrajini;</w:t>
      </w:r>
      <w:r w:rsidR="008865D1">
        <w:t xml:space="preserve"> </w:t>
      </w:r>
      <w:r w:rsidR="008865D1" w:rsidRPr="000429EF">
        <w:t>poziva EIB da izmijeni svoj popis prihvatljivosti kako streljivo i vojna oprema koji nadilaze dvojnu namjenu više ne bi bili isključeni iz financiranja EIB-a;</w:t>
      </w:r>
    </w:p>
    <w:p w:rsidR="00F05492" w:rsidRPr="00533F29" w:rsidRDefault="00F05492" w:rsidP="00F05492">
      <w:pPr>
        <w:pStyle w:val="NormalHanging12a"/>
        <w:rPr>
          <w:rStyle w:val="BoldItalic"/>
        </w:rPr>
      </w:pPr>
      <w:r w:rsidRPr="00533F29">
        <w:rPr>
          <w:rStyle w:val="BoldItalic"/>
        </w:rPr>
        <w:lastRenderedPageBreak/>
        <w:t>EIB Global</w:t>
      </w:r>
    </w:p>
    <w:p w:rsidR="00F05492" w:rsidRPr="00533F29" w:rsidRDefault="00F05492" w:rsidP="00F05492">
      <w:pPr>
        <w:pStyle w:val="NormalHanging12a"/>
      </w:pPr>
      <w:r w:rsidRPr="00533F29">
        <w:t>32.</w:t>
      </w:r>
      <w:r w:rsidRPr="00533F29">
        <w:tab/>
        <w:t xml:space="preserve">očekuje da aktivnosti EIB Globala i dalje budu usklađene sa strateškim interesima i ciljevima vanjske politike EU-a; pozdravlja sudjelovanje EIB-a u inicijativi Global </w:t>
      </w:r>
      <w:proofErr w:type="spellStart"/>
      <w:r w:rsidRPr="00533F29">
        <w:t>Gateway</w:t>
      </w:r>
      <w:proofErr w:type="spellEnd"/>
      <w:r w:rsidRPr="00533F29">
        <w:t xml:space="preserve">, kojom će se u prvom redu podupirati ulaganja u infrastrukturu i MSP-ove, a time doprinijeti i cilju EU-a da ojača svoju stratešku autonomiju; očekuje od EIB Globala da osigura jasnu </w:t>
      </w:r>
      <w:proofErr w:type="spellStart"/>
      <w:r w:rsidRPr="00533F29">
        <w:t>dodatnost</w:t>
      </w:r>
      <w:proofErr w:type="spellEnd"/>
      <w:r w:rsidRPr="00533F29">
        <w:t xml:space="preserve"> ulaganja, da ona dovode do dugoročnih pozitivnih učinaka i koriste zajednicama primateljicama očuvanjem prirodne i kulturne baštine, jačanjem otpornosti na klimatske promjene, otvaranjem lokalnih radnih mjesta, povećanjem životnog standarda i ublažavanjem siromaštva; smatra da dionici iz zemlje primateljice, kao što su javna tijela, civilno društvo i socijalni partneri, moraju biti uključeni u odlučivanje o projektima u okviru inicijative Global </w:t>
      </w:r>
      <w:proofErr w:type="spellStart"/>
      <w:r w:rsidRPr="00533F29">
        <w:t>Gateway</w:t>
      </w:r>
      <w:proofErr w:type="spellEnd"/>
      <w:r w:rsidRPr="00533F29">
        <w:t xml:space="preserve"> i u njihovu provedbu; nadalje, podsjeća da uspješna provedba EIB Globala ovisi o odgovarajućoj razini osoblja na terenu, uključujući lokalne radnike; </w:t>
      </w:r>
    </w:p>
    <w:p w:rsidR="00F05492" w:rsidRPr="00533F29" w:rsidRDefault="00F05492" w:rsidP="00F05492">
      <w:pPr>
        <w:pStyle w:val="NormalHanging12a"/>
      </w:pPr>
      <w:r w:rsidRPr="00533F29">
        <w:t>33.</w:t>
      </w:r>
      <w:r w:rsidRPr="00533F29">
        <w:tab/>
        <w:t xml:space="preserve">napominje da je od uspostave novog razvojnog ogranka EIB Global u rekordnoj mjeri iskoristio namjensku investicijsku komponentu iz okvira Instrumenta za susjedstvo, razvoj i međunarodnu suradnju – Globalna Europa te da je tako 2022. isporučio više od 10 milijardi EUR – konkretno za potporu Ukrajini i za strategiju Global </w:t>
      </w:r>
      <w:proofErr w:type="spellStart"/>
      <w:r w:rsidRPr="00533F29">
        <w:t>Gateway</w:t>
      </w:r>
      <w:proofErr w:type="spellEnd"/>
      <w:r w:rsidRPr="00533F29">
        <w:t xml:space="preserve">; prima na znanje globalni strateški plan EIB Globala i očekivanje da će se njime omogućiti najmanje jedna trećina ulaganja u visini od 300 milijardi EUR koja se trebaju ostvariti do kraja 2027.; pozdravlja cilj da se do 2025. više od 50 % godišnjeg kreditiranja treba namijeniti ulaganjima u klimatsku politiku i okolišnu održivost; očekuje da će se financiranjem doprinijeti </w:t>
      </w:r>
      <w:proofErr w:type="spellStart"/>
      <w:r w:rsidRPr="00533F29">
        <w:t>uključivoj</w:t>
      </w:r>
      <w:proofErr w:type="spellEnd"/>
      <w:r w:rsidRPr="00533F29">
        <w:t xml:space="preserve"> i pravednoj tranziciji na globalnoj razini; nadalje, očekuje da će EIB Global u znatnoj mjeri doprinijeti cilju EU-a da udio svih novih vanjskih djelovanja kojima se podupire rodna ravnopravnost do 2025. iznosi 85 %; pozdravlja napredak postignut u uspostavi fonda Global </w:t>
      </w:r>
      <w:proofErr w:type="spellStart"/>
      <w:r w:rsidRPr="00533F29">
        <w:t>Gateway</w:t>
      </w:r>
      <w:proofErr w:type="spellEnd"/>
      <w:r w:rsidRPr="00533F29">
        <w:t xml:space="preserve"> u sklopu jamstva Europskog fonda za održivi razvoj plus, za koji se očekuje da će financirati ulaganja visokog učinka iz privatnog sektora i osiguravati financiranje vlasničkim kapitalom i zaduživanjem za projekte visokog učinka u području infrastrukture, čiste energije i ljudskog razvoja diljem svijeta; izražava zabrinutost zbog nedostatka </w:t>
      </w:r>
      <w:proofErr w:type="spellStart"/>
      <w:r w:rsidRPr="00533F29">
        <w:t>uključivih</w:t>
      </w:r>
      <w:proofErr w:type="spellEnd"/>
      <w:r w:rsidRPr="00533F29">
        <w:t xml:space="preserve"> i konstruktivnih savjetovanja s dionicima na koje utječu njegove aktivnosti; poziva EIB Global da poveća svoju potporu za projekte s ograničenom profitabilnosti i visokim javnim povratom te da smanji minimalni iznos zajmova za pojedinačne projekte, posebno u najmanje razvijenim zemljama;</w:t>
      </w:r>
    </w:p>
    <w:p w:rsidR="00F05492" w:rsidRPr="00533F29" w:rsidRDefault="00F05492" w:rsidP="00F05492">
      <w:pPr>
        <w:pStyle w:val="NormalHanging12a"/>
      </w:pPr>
      <w:r w:rsidRPr="00533F29">
        <w:t>34.</w:t>
      </w:r>
      <w:r w:rsidRPr="00533F29">
        <w:tab/>
        <w:t>ponovno poziva EIB Global da ograniči operacije mješovitog financiranja na područja u kojima se njima može ostvariti dodana vrijednost za lokalno gospodarstvo, pri čemu treba izbjeći istiskivanje privatnog kapitala i zajamčiti da se mješovito financiranje ne koristi za osnovne javne usluge, posebice zdravstvo, obrazovanje i socijalnu zaštitu; podsjeća da bi ciljevi razvojne politike EU-a, a posebno cilj poboljšanja univerzalnog i cjenovno pristupačnog pristupa zdravstvenoj skrbi, trebali usmjeravati ulaganja EIB-a u tom području kako bi se osigurali bolji zdravstveni ishodi za sve, a posebno za žene;</w:t>
      </w:r>
    </w:p>
    <w:p w:rsidR="00F05492" w:rsidRPr="00533F29" w:rsidRDefault="00F05492" w:rsidP="00F05492">
      <w:pPr>
        <w:pStyle w:val="NormalHanging12a"/>
      </w:pPr>
      <w:r w:rsidRPr="00533F29">
        <w:t>35.</w:t>
      </w:r>
      <w:r w:rsidRPr="00533F29">
        <w:tab/>
        <w:t>izražava zabrinutost zbog brzorastućeg duga i viših troškova zaduživanja u gospodarstvima u usponu i u razvoju, pri čemu se procjenjuje da se 60 % zemalja s niskim dohotkom već suočava s poteškoćama s javnim dugom ili s visokom razinom rizika u tom smislu</w:t>
      </w:r>
      <w:r w:rsidRPr="00533F29">
        <w:rPr>
          <w:vertAlign w:val="superscript"/>
        </w:rPr>
        <w:footnoteReference w:id="4"/>
      </w:r>
      <w:r w:rsidRPr="00533F29">
        <w:t xml:space="preserve">; ističe da EIB i druge multilateralne institucije imaju važnu ulogu u </w:t>
      </w:r>
      <w:r w:rsidRPr="00533F29">
        <w:lastRenderedPageBreak/>
        <w:t>osiguravanju financijskih sredstava po povlaštenim uvjetima kako bi se smanjile neodržive razine opterećenja dugom;</w:t>
      </w:r>
    </w:p>
    <w:p w:rsidR="00F05492" w:rsidRPr="00533F29" w:rsidRDefault="00F05492" w:rsidP="00F05492">
      <w:pPr>
        <w:pStyle w:val="NormalHanging12a"/>
      </w:pPr>
      <w:r w:rsidRPr="00533F29">
        <w:t>36.</w:t>
      </w:r>
      <w:r w:rsidRPr="00533F29">
        <w:tab/>
        <w:t xml:space="preserve">smatra da bi EIB Global trebao biti odgovoran za poštovanje načela utvrđenih u Pariškoj deklaraciji o učinkovitosti pomoći i planu djelovanja iz Accre (vlastita odgovornost, usklađivanje, harmonizacija, upravljanje rezultatima i uzajamna odgovornost); u tom je kontekstu posebno zabrinut zbog sukoba interesa između agencija za kreditiranje izvoza i razvojnog financiranja EIB Globala te zbog utjecaja na razvojnu </w:t>
      </w:r>
      <w:proofErr w:type="spellStart"/>
      <w:r w:rsidRPr="00533F29">
        <w:t>dodatnost</w:t>
      </w:r>
      <w:proofErr w:type="spellEnd"/>
      <w:r w:rsidRPr="00533F29">
        <w:t xml:space="preserve"> pogođenih ulaganja EIB Globala;</w:t>
      </w:r>
    </w:p>
    <w:p w:rsidR="00F05492" w:rsidRPr="00533F29" w:rsidRDefault="00F05492" w:rsidP="00F05492">
      <w:pPr>
        <w:pStyle w:val="NormalHanging12a"/>
      </w:pPr>
      <w:r w:rsidRPr="00533F29">
        <w:t>37.</w:t>
      </w:r>
      <w:r w:rsidRPr="00533F29">
        <w:tab/>
        <w:t>prima na znanje informativnu napomenu EIB-a u kojoj se kratko opisuje njegov pristup ljudskim pravima; podsjeća EIB na važnost uključivanja ljudskih prava u njegove postupke dubinske analize, procjene učinka na ljudska prava, učvršćivanje njegove obveze u pogledu ljudskih prava i djelovanje u potpunoj usklađenosti s člankom 2. UFEU-a; ponavlja svoj poziv na donošenje jasnih i obvezujućih pravila kojima bi se dopunila informativna napomena sa sažetim opisom pristupa EIB Globala ljudskim pravima, posebno u pogledu procjene i odustajanja od sudjelovanja; izražava posebnu zabrinutost zbog toga što EIB od 2015. nije od promotora projekata tražio da provedu samostalne procjene učinka na ljudska prava; stoga poziva EIB da razvije strategiju za ljudska prava kao i procjenu ljudskih prava i evaluaciju svojih programa, uključujući stvarno stanje na terenu u zemljama primateljicama, kako bi se zajamčilo savjetovanje s lokalnim zajednicama i sustavno poštovanje prava na slobodan, prethodan i informiran pristanak; nadalje, poziva EIB da razvije posebne politike o borcima za ljudska prava i protokole za odgovor na rizike od protumjera; naglašava da treba poduzeti konkretne mjere kako bi se u savjetovanja uključilo autohtono stanovništvo, žene, osobe s invaliditetom i druge ranjive skupine;</w:t>
      </w:r>
    </w:p>
    <w:p w:rsidR="00F05492" w:rsidRPr="00533F29" w:rsidRDefault="00F05492" w:rsidP="00F05492">
      <w:pPr>
        <w:pStyle w:val="NormalHanging12a"/>
      </w:pPr>
      <w:r w:rsidRPr="00533F29">
        <w:t>38.</w:t>
      </w:r>
      <w:r w:rsidRPr="00533F29">
        <w:tab/>
        <w:t xml:space="preserve">ponavlja svoj poziv EIB-u da zajamči da se njegovim aktivnostima pomaže ženama i djevojčicama te da unaprijedi ekonomsko osnaživanje i zapošljavanje žena; smatra da bi EIB mogao dodatno povećati </w:t>
      </w:r>
      <w:proofErr w:type="spellStart"/>
      <w:r w:rsidRPr="00533F29">
        <w:t>mikrofinancijske</w:t>
      </w:r>
      <w:proofErr w:type="spellEnd"/>
      <w:r w:rsidRPr="00533F29">
        <w:t xml:space="preserve"> zajmove za poduzeća kojima upravljaju žene, a koja se i dalje suočavaju s diskriminacijom kad je riječ o pristupu financiranju;</w:t>
      </w:r>
    </w:p>
    <w:p w:rsidR="00F05492" w:rsidRPr="00533F29" w:rsidRDefault="00F05492" w:rsidP="00F05492">
      <w:pPr>
        <w:pStyle w:val="NormalHanging12a"/>
      </w:pPr>
      <w:r w:rsidRPr="00533F29">
        <w:t>39.</w:t>
      </w:r>
      <w:r w:rsidRPr="00533F29">
        <w:tab/>
        <w:t>traži od EIB-a da surađuje s drugim bilateralnim i multilateralnim institucijama na razvoju i primjeni zajedničkih metodologija za analizu razvojnog učinka s ciljem osiguravanja dugoročnih pozitivnih učinaka i dodane vrijednosti;</w:t>
      </w:r>
    </w:p>
    <w:p w:rsidR="00F05492" w:rsidRPr="00533F29" w:rsidRDefault="00F05492" w:rsidP="00F05492">
      <w:pPr>
        <w:pStyle w:val="Normal12a24b"/>
      </w:pPr>
      <w:r w:rsidRPr="00533F29">
        <w:rPr>
          <w:rStyle w:val="BoldItalic"/>
        </w:rPr>
        <w:t>Transparentnost i upravljanje</w:t>
      </w:r>
    </w:p>
    <w:p w:rsidR="00F05492" w:rsidRPr="00533F29" w:rsidRDefault="00F05492" w:rsidP="00F05492">
      <w:pPr>
        <w:pStyle w:val="NormalHanging12a"/>
        <w:rPr>
          <w:snapToGrid/>
          <w:szCs w:val="24"/>
        </w:rPr>
      </w:pPr>
      <w:r w:rsidRPr="00533F29">
        <w:t>40.</w:t>
      </w:r>
      <w:r w:rsidRPr="00533F29">
        <w:tab/>
        <w:t xml:space="preserve">podsjeća na to da su financijska sredstva EIB-a javni novac i da bi njihova upotreba uvijek trebala biti predmet javnog nadzora i odgovornosti; prima na znanje da je EIB prema indeksu transparentnosti izravnih stranih ulaganja za 2023. ocijenjen ocjenom „zadovoljavajuće”; poziva EIB da </w:t>
      </w:r>
      <w:proofErr w:type="spellStart"/>
      <w:r w:rsidRPr="00533F29">
        <w:t>proaktivno</w:t>
      </w:r>
      <w:proofErr w:type="spellEnd"/>
      <w:r w:rsidRPr="00533F29">
        <w:t xml:space="preserve"> i pravodobno objavljuje detaljnije informacije o projektima, uključujući obrazloženje i kontekst projekata, objašnjavajući kako su ti projekti usklađeni s ciljevima politike EU-a i kako ih promiču te očekuje od EIB-a da takve informacije ne objavljuje samo ako je riječ o iznimnim slučajevima </w:t>
      </w:r>
      <w:r w:rsidRPr="00533F29">
        <w:lastRenderedPageBreak/>
        <w:t>navedenima u Uredbi (EZ) br.</w:t>
      </w:r>
      <w:r w:rsidR="00DD7C7B" w:rsidRPr="00533F29">
        <w:t> </w:t>
      </w:r>
      <w:r w:rsidRPr="00533F29">
        <w:t>1049/2001</w:t>
      </w:r>
      <w:r w:rsidRPr="00533F29">
        <w:rPr>
          <w:rStyle w:val="FootnoteReference"/>
        </w:rPr>
        <w:footnoteReference w:id="5"/>
      </w:r>
      <w:r w:rsidRPr="00533F29">
        <w:t xml:space="preserve"> i Uredbi (EZ) br.</w:t>
      </w:r>
      <w:r w:rsidR="00DD7C7B" w:rsidRPr="00533F29">
        <w:t> </w:t>
      </w:r>
      <w:r w:rsidRPr="00533F29">
        <w:t>1367/2006</w:t>
      </w:r>
      <w:r w:rsidRPr="00533F29">
        <w:rPr>
          <w:rStyle w:val="FootnoteReference"/>
        </w:rPr>
        <w:footnoteReference w:id="6"/>
      </w:r>
      <w:r w:rsidRPr="00533F29">
        <w:t xml:space="preserve">; potiče EIB da provede preporuke Europskog </w:t>
      </w:r>
      <w:proofErr w:type="spellStart"/>
      <w:r w:rsidRPr="00533F29">
        <w:t>ombudsmana</w:t>
      </w:r>
      <w:proofErr w:type="spellEnd"/>
      <w:r w:rsidRPr="00533F29">
        <w:t xml:space="preserve"> od 20. studenoga 2023. iz predmeta 2252/2022/OAM i od 21. travnja 2022. iz predmeta 1251/2020/PB kako bi se omogućila konstruktivna procjena okolišnih i socijalnih aspekata projekata koje razmatra za financiranje;</w:t>
      </w:r>
    </w:p>
    <w:p w:rsidR="00F05492" w:rsidRPr="00533F29" w:rsidRDefault="00F05492" w:rsidP="00F05492">
      <w:pPr>
        <w:pStyle w:val="NormalHanging12a"/>
      </w:pPr>
      <w:r w:rsidRPr="00533F29">
        <w:t>41.</w:t>
      </w:r>
      <w:r w:rsidRPr="00533F29">
        <w:tab/>
        <w:t xml:space="preserve">poziva na veću odgovornost EIB-a prema institucijama EU-a, posebno prema Parlamentu, s obzirom na to da je transparentnost jedan od temelja demokracije; stoga poziva EIB da u većoj mjeri izvješćuje Parlament o svojim odlukama, postignutom napretku i učinku svojih aktivnosti kreditiranja, u prvom redu u obliku redovitih strukturiranih dijaloga između Parlamenta i EIB-a; ponavlja svoj zahtjev za </w:t>
      </w:r>
      <w:proofErr w:type="spellStart"/>
      <w:r w:rsidRPr="00533F29">
        <w:t>međuinstitucijskim</w:t>
      </w:r>
      <w:proofErr w:type="spellEnd"/>
      <w:r w:rsidRPr="00533F29">
        <w:t xml:space="preserve"> sporazumom između Parlamenta i EIB-a kako bi se poboljšao pristup dokumentima i podacima EIB-a te povećala demokratska odgovornost, uključujući mogućnost upućivanja pitanja za pisani odgovor EIB-u, kao što je to već slučaj s Europskom središnjom bankom;</w:t>
      </w:r>
    </w:p>
    <w:p w:rsidR="00F05492" w:rsidRPr="00533F29" w:rsidRDefault="00F05492" w:rsidP="00F05492">
      <w:pPr>
        <w:pStyle w:val="NormalHanging12a"/>
      </w:pPr>
      <w:r w:rsidRPr="00533F29">
        <w:t>42.</w:t>
      </w:r>
      <w:r w:rsidRPr="00533F29">
        <w:tab/>
        <w:t>ponovno poziva EIB na jačanje politike protiv poreznih prijevara, utaje poreza i izbjegavanja plaćanja poreza, među ostalim tako što neće financirati korisnike ili financijske posrednike s kojima već postoji dokazano negativno iskustvo; poziva EIB da uvede preventivne mjere i redovite procjene poreza usmjerene na nekooperativne porezne jurisdikcije, kao i na suzbijanje poreznih i fiskalnih prijevara, utaje poreza te nezakonitog i agresivnog izbjegavanja plaćanja poreza;</w:t>
      </w:r>
    </w:p>
    <w:p w:rsidR="00F05492" w:rsidRPr="00533F29" w:rsidRDefault="00F05492" w:rsidP="00F05492">
      <w:pPr>
        <w:pStyle w:val="NormalHanging12a"/>
      </w:pPr>
      <w:r w:rsidRPr="00533F29">
        <w:t>43.</w:t>
      </w:r>
      <w:r w:rsidRPr="00533F29">
        <w:tab/>
        <w:t xml:space="preserve">poziva potpredsjednike EIB-a da ne sudjeluju u prijedlozima projekata iz svojih matičnih zemalja; poziva EIB da u potpunosti provede sve preporuke </w:t>
      </w:r>
      <w:proofErr w:type="spellStart"/>
      <w:r w:rsidRPr="00533F29">
        <w:t>Ombudsmana</w:t>
      </w:r>
      <w:proofErr w:type="spellEnd"/>
      <w:r w:rsidRPr="00533F29">
        <w:t xml:space="preserve"> od 27. srpnja 2022. iz predmeta 1016/2021/KR i od 31. listopada 2023. iz predmeta </w:t>
      </w:r>
      <w:hyperlink r:id="rId9" w:history="1">
        <w:r w:rsidRPr="00533F29">
          <w:rPr>
            <w:rStyle w:val="Hyperlink"/>
            <w:color w:val="auto"/>
            <w:u w:val="none"/>
            <w:shd w:val="clear" w:color="auto" w:fill="FFFFFF"/>
          </w:rPr>
          <w:t>611/2022/KR</w:t>
        </w:r>
      </w:hyperlink>
      <w:r w:rsidRPr="00533F29">
        <w:t xml:space="preserve"> u pogledu aktivnosti bivših članova njegova Upravnog odbora; poziva članove Upravnog odbora EIB-a da objave sastanke koje planiraju održati s vanjskim dionicima i ponavlja zahtjev za sustavno objavljivanje sadržaja sastanaka upravljačkih tijela EIB-a s ciljem dodatnog povećanja transparentnosti; </w:t>
      </w:r>
    </w:p>
    <w:p w:rsidR="00F05492" w:rsidRPr="00533F29" w:rsidRDefault="00F05492" w:rsidP="00F05492">
      <w:pPr>
        <w:pStyle w:val="NormalHanging12a"/>
      </w:pPr>
      <w:r w:rsidRPr="00533F29">
        <w:t>44.</w:t>
      </w:r>
      <w:r w:rsidRPr="00533F29">
        <w:tab/>
        <w:t xml:space="preserve">primjećuje da je EIB ostvario napredak u postizanju rodno uravnoteženije radne snage, iako su žene i dalje nedovoljno zastupljene na višim položajima i u ključnim područjima djelovanja; izražava žaljenje zbog toga što EIB nije ostvario rodne ciljeve koje je u svojoj strategiji za raznolikost i </w:t>
      </w:r>
      <w:proofErr w:type="spellStart"/>
      <w:r w:rsidRPr="00533F29">
        <w:t>uključivost</w:t>
      </w:r>
      <w:proofErr w:type="spellEnd"/>
      <w:r w:rsidRPr="00533F29">
        <w:t xml:space="preserve"> za razdoblje 2018. – 2021. postavio za žene na različitim položajima; stoga poziva EIB da </w:t>
      </w:r>
      <w:r w:rsidR="008865D1">
        <w:t>uloži veće</w:t>
      </w:r>
      <w:r w:rsidRPr="00533F29">
        <w:t xml:space="preserve"> napore </w:t>
      </w:r>
      <w:r w:rsidR="008865D1">
        <w:t xml:space="preserve">u povećanje rodne raznolikosti </w:t>
      </w:r>
      <w:r w:rsidRPr="00533F29">
        <w:t xml:space="preserve">kako bi se </w:t>
      </w:r>
      <w:r w:rsidR="008865D1">
        <w:t>postigao rodni paritet i</w:t>
      </w:r>
      <w:r w:rsidRPr="00533F29">
        <w:t xml:space="preserve"> bolja rodna ravnoteža na svim funkcijama, a posebno na višim i rukovodećim položajima, uz istodobno održavanje geografske ravnoteže; poziva EIB da dodatno poboljša </w:t>
      </w:r>
      <w:r w:rsidR="008865D1" w:rsidRPr="000429EF">
        <w:t>promicanje svih oblika raznolikosti</w:t>
      </w:r>
      <w:r w:rsidR="008865D1" w:rsidRPr="007C6682">
        <w:t xml:space="preserve"> </w:t>
      </w:r>
      <w:r w:rsidRPr="00533F29">
        <w:t xml:space="preserve">i </w:t>
      </w:r>
      <w:proofErr w:type="spellStart"/>
      <w:r w:rsidR="008865D1" w:rsidRPr="000429EF">
        <w:t>uključivosti</w:t>
      </w:r>
      <w:proofErr w:type="spellEnd"/>
      <w:r w:rsidR="008865D1" w:rsidRPr="000429EF">
        <w:t xml:space="preserve"> unutar svoje organizacije te da postavi ambiciozne ciljeve</w:t>
      </w:r>
      <w:r w:rsidRPr="00533F29">
        <w:t>;</w:t>
      </w:r>
    </w:p>
    <w:p w:rsidR="00F05492" w:rsidRPr="00533F29" w:rsidRDefault="00F05492" w:rsidP="00F05492">
      <w:pPr>
        <w:pStyle w:val="NormalCenter12a"/>
      </w:pPr>
      <w:r w:rsidRPr="00533F29">
        <w:t>°</w:t>
      </w:r>
    </w:p>
    <w:p w:rsidR="00F05492" w:rsidRPr="00533F29" w:rsidRDefault="00F05492" w:rsidP="00F05492">
      <w:pPr>
        <w:pStyle w:val="NormalCenter12a"/>
      </w:pPr>
      <w:r w:rsidRPr="00533F29">
        <w:lastRenderedPageBreak/>
        <w:t>°</w:t>
      </w:r>
      <w:r w:rsidRPr="00533F29">
        <w:tab/>
        <w:t>°</w:t>
      </w:r>
    </w:p>
    <w:p w:rsidR="00F05492" w:rsidRPr="00533F29" w:rsidRDefault="00F05492" w:rsidP="00F05492">
      <w:pPr>
        <w:pStyle w:val="NormalHanging12a"/>
      </w:pPr>
      <w:r w:rsidRPr="00533F29">
        <w:t>45.</w:t>
      </w:r>
      <w:r w:rsidRPr="00533F29">
        <w:tab/>
        <w:t>nalaže svojoj predsjednici da ovu Rezoluciju proslijedi Vijeću, Komisiji i Europskoj investicijskoj banci.</w:t>
      </w:r>
    </w:p>
    <w:p w:rsidR="00F05492" w:rsidRPr="00533F29" w:rsidRDefault="00F05492" w:rsidP="00F05492"/>
    <w:sectPr w:rsidR="00F05492" w:rsidRPr="00533F29" w:rsidSect="00D362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4F6" w:rsidRPr="00D36204" w:rsidRDefault="009274F6">
      <w:r w:rsidRPr="00D36204">
        <w:separator/>
      </w:r>
    </w:p>
  </w:endnote>
  <w:endnote w:type="continuationSeparator" w:id="0">
    <w:p w:rsidR="009274F6" w:rsidRPr="00D36204" w:rsidRDefault="009274F6">
      <w:r w:rsidRPr="00D362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2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2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2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4F6" w:rsidRPr="00D36204" w:rsidRDefault="009274F6">
      <w:r w:rsidRPr="00D36204">
        <w:separator/>
      </w:r>
    </w:p>
  </w:footnote>
  <w:footnote w:type="continuationSeparator" w:id="0">
    <w:p w:rsidR="009274F6" w:rsidRPr="00D36204" w:rsidRDefault="009274F6">
      <w:r w:rsidRPr="00D36204">
        <w:continuationSeparator/>
      </w:r>
    </w:p>
  </w:footnote>
  <w:footnote w:id="1">
    <w:p w:rsidR="00F05492" w:rsidRPr="00D921F4" w:rsidRDefault="00F05492" w:rsidP="00D36204">
      <w:pPr>
        <w:pStyle w:val="FootnoteText"/>
        <w:ind w:left="567" w:hanging="567"/>
        <w:rPr>
          <w:sz w:val="24"/>
          <w:u w:color="0000FF"/>
          <w:lang w:val="hr-HR"/>
        </w:rPr>
      </w:pPr>
      <w:r w:rsidRPr="00D36204">
        <w:rPr>
          <w:rStyle w:val="FootnoteReference"/>
          <w:sz w:val="24"/>
          <w:lang w:val="hr-HR"/>
        </w:rPr>
        <w:footnoteRef/>
      </w:r>
      <w:r w:rsidR="00D36204" w:rsidRPr="00D36204">
        <w:rPr>
          <w:sz w:val="24"/>
          <w:lang w:val="hr-HR"/>
        </w:rPr>
        <w:t xml:space="preserve"> </w:t>
      </w:r>
      <w:r w:rsidR="00D36204" w:rsidRPr="00D36204">
        <w:rPr>
          <w:sz w:val="24"/>
          <w:lang w:val="hr-HR"/>
        </w:rPr>
        <w:tab/>
      </w:r>
      <w:r w:rsidRPr="00D921F4">
        <w:rPr>
          <w:sz w:val="24"/>
          <w:u w:color="0000FF"/>
          <w:lang w:val="hr-HR"/>
        </w:rPr>
        <w:t>SL L 231, 30.6.2021., str. 1.</w:t>
      </w:r>
    </w:p>
  </w:footnote>
  <w:footnote w:id="2">
    <w:p w:rsidR="00F05492" w:rsidRPr="00D921F4" w:rsidRDefault="00F05492" w:rsidP="00D36204">
      <w:pPr>
        <w:pStyle w:val="FootnoteText"/>
        <w:ind w:left="567" w:hanging="567"/>
        <w:rPr>
          <w:sz w:val="24"/>
          <w:u w:color="0000FF"/>
          <w:lang w:val="hr-HR"/>
        </w:rPr>
      </w:pPr>
      <w:r w:rsidRPr="00D921F4">
        <w:rPr>
          <w:rStyle w:val="FootnoteReference"/>
          <w:sz w:val="24"/>
          <w:lang w:val="hr-HR"/>
        </w:rPr>
        <w:footnoteRef/>
      </w:r>
      <w:r w:rsidR="00D36204" w:rsidRPr="00D921F4">
        <w:rPr>
          <w:sz w:val="24"/>
          <w:lang w:val="hr-HR"/>
        </w:rPr>
        <w:t xml:space="preserve"> </w:t>
      </w:r>
      <w:r w:rsidR="00D36204" w:rsidRPr="00D921F4">
        <w:rPr>
          <w:sz w:val="24"/>
          <w:lang w:val="hr-HR"/>
        </w:rPr>
        <w:tab/>
      </w:r>
      <w:r w:rsidRPr="00D921F4">
        <w:rPr>
          <w:sz w:val="24"/>
          <w:u w:color="0000FF"/>
          <w:lang w:val="hr-HR"/>
        </w:rPr>
        <w:t>SL L 274, 30.7.2021., str. 1.</w:t>
      </w:r>
    </w:p>
  </w:footnote>
  <w:footnote w:id="3">
    <w:p w:rsidR="00F05492" w:rsidRPr="00D36204" w:rsidRDefault="00F05492" w:rsidP="00D36204">
      <w:pPr>
        <w:pStyle w:val="FootnoteText"/>
        <w:ind w:left="567" w:hanging="567"/>
        <w:rPr>
          <w:sz w:val="24"/>
          <w:lang w:val="hr-HR"/>
        </w:rPr>
      </w:pPr>
      <w:r w:rsidRPr="00D36204">
        <w:rPr>
          <w:rStyle w:val="FootnoteReference"/>
          <w:sz w:val="24"/>
          <w:lang w:val="hr-HR"/>
        </w:rPr>
        <w:footnoteRef/>
      </w:r>
      <w:r w:rsidR="00D36204" w:rsidRPr="00D36204">
        <w:rPr>
          <w:sz w:val="24"/>
          <w:lang w:val="hr-HR"/>
        </w:rPr>
        <w:t xml:space="preserve"> </w:t>
      </w:r>
      <w:r w:rsidR="00D36204" w:rsidRPr="00D36204">
        <w:rPr>
          <w:sz w:val="24"/>
          <w:lang w:val="hr-HR"/>
        </w:rPr>
        <w:tab/>
      </w:r>
      <w:r w:rsidRPr="00D36204">
        <w:rPr>
          <w:sz w:val="24"/>
          <w:lang w:val="hr-HR"/>
        </w:rPr>
        <w:t>Delegirana uredba Komisije (EU) </w:t>
      </w:r>
      <w:r w:rsidRPr="00D36204">
        <w:rPr>
          <w:sz w:val="24"/>
          <w:lang w:val="hr-HR"/>
        </w:rPr>
        <w:t>20</w:t>
      </w:r>
      <w:r w:rsidR="00591C5B">
        <w:rPr>
          <w:sz w:val="24"/>
          <w:lang w:val="hr-HR"/>
        </w:rPr>
        <w:t>2</w:t>
      </w:r>
      <w:bookmarkStart w:id="8" w:name="_GoBack"/>
      <w:bookmarkEnd w:id="8"/>
      <w:r w:rsidRPr="00D36204">
        <w:rPr>
          <w:sz w:val="24"/>
          <w:lang w:val="hr-HR"/>
        </w:rPr>
        <w:t xml:space="preserve">3/1184 od 10. veljače 2023. o dopuni Direktive (EU) 2018/2001 Europskog parlamenta i Vijeća utvrđivanjem metodologije Unije za detaljna pravila za proizvodnju obnovljivih tekućih i plinovitih goriva </w:t>
      </w:r>
      <w:proofErr w:type="spellStart"/>
      <w:r w:rsidRPr="00D36204">
        <w:rPr>
          <w:sz w:val="24"/>
          <w:lang w:val="hr-HR"/>
        </w:rPr>
        <w:t>nebiološkog</w:t>
      </w:r>
      <w:proofErr w:type="spellEnd"/>
      <w:r w:rsidRPr="00D36204">
        <w:rPr>
          <w:sz w:val="24"/>
          <w:lang w:val="hr-HR"/>
        </w:rPr>
        <w:t xml:space="preserve"> podrijetla namijenjenih uporabi u prometu </w:t>
      </w:r>
      <w:r w:rsidR="00533F29">
        <w:rPr>
          <w:sz w:val="24"/>
          <w:lang w:val="hr-HR"/>
        </w:rPr>
        <w:t>(</w:t>
      </w:r>
      <w:r w:rsidRPr="00D36204">
        <w:rPr>
          <w:sz w:val="24"/>
          <w:lang w:val="hr-HR"/>
        </w:rPr>
        <w:t>SL L 157, 20.6.2023., str. 11.</w:t>
      </w:r>
      <w:r w:rsidR="00533F29">
        <w:rPr>
          <w:sz w:val="24"/>
          <w:lang w:val="hr-HR"/>
        </w:rPr>
        <w:t>).</w:t>
      </w:r>
    </w:p>
  </w:footnote>
  <w:footnote w:id="4">
    <w:p w:rsidR="00F05492" w:rsidRPr="00D36204" w:rsidRDefault="00F05492" w:rsidP="00D36204">
      <w:pPr>
        <w:pStyle w:val="FootnoteText"/>
        <w:ind w:left="567" w:hanging="567"/>
        <w:rPr>
          <w:sz w:val="24"/>
          <w:lang w:val="hr-HR"/>
        </w:rPr>
      </w:pPr>
      <w:r w:rsidRPr="00D36204">
        <w:rPr>
          <w:rStyle w:val="FootnoteReference"/>
          <w:sz w:val="24"/>
          <w:lang w:val="hr-HR"/>
        </w:rPr>
        <w:footnoteRef/>
      </w:r>
      <w:r w:rsidR="00D36204" w:rsidRPr="00D36204">
        <w:rPr>
          <w:sz w:val="24"/>
          <w:lang w:val="hr-HR"/>
        </w:rPr>
        <w:t xml:space="preserve"> </w:t>
      </w:r>
      <w:r w:rsidR="00D36204" w:rsidRPr="00D36204">
        <w:rPr>
          <w:sz w:val="24"/>
          <w:lang w:val="hr-HR"/>
        </w:rPr>
        <w:tab/>
      </w:r>
      <w:r w:rsidRPr="00D36204">
        <w:rPr>
          <w:sz w:val="24"/>
          <w:lang w:val="hr-HR"/>
        </w:rPr>
        <w:t xml:space="preserve">Izvješće Svjetske banke, „Global </w:t>
      </w:r>
      <w:proofErr w:type="spellStart"/>
      <w:r w:rsidRPr="00D36204">
        <w:rPr>
          <w:sz w:val="24"/>
          <w:lang w:val="hr-HR"/>
        </w:rPr>
        <w:t>Economic</w:t>
      </w:r>
      <w:proofErr w:type="spellEnd"/>
      <w:r w:rsidRPr="00D36204">
        <w:rPr>
          <w:sz w:val="24"/>
          <w:lang w:val="hr-HR"/>
        </w:rPr>
        <w:t xml:space="preserve"> </w:t>
      </w:r>
      <w:proofErr w:type="spellStart"/>
      <w:r w:rsidRPr="00D36204">
        <w:rPr>
          <w:sz w:val="24"/>
          <w:lang w:val="hr-HR"/>
        </w:rPr>
        <w:t>Prospects</w:t>
      </w:r>
      <w:proofErr w:type="spellEnd"/>
      <w:r w:rsidRPr="00D36204">
        <w:rPr>
          <w:sz w:val="24"/>
          <w:lang w:val="hr-HR"/>
        </w:rPr>
        <w:t xml:space="preserve">” (Globalni gospodarski izgledi), siječanj 2024., </w:t>
      </w:r>
      <w:hyperlink r:id="rId1" w:history="1">
        <w:r w:rsidRPr="00405E7E">
          <w:rPr>
            <w:rStyle w:val="Hyperlink"/>
            <w:sz w:val="24"/>
            <w:lang w:val="hr-HR"/>
          </w:rPr>
          <w:t>https://www.worldbank.org/en/publication/global-economic-prospects</w:t>
        </w:r>
      </w:hyperlink>
      <w:r w:rsidRPr="00D36204">
        <w:rPr>
          <w:sz w:val="24"/>
          <w:lang w:val="hr-HR"/>
        </w:rPr>
        <w:t>.</w:t>
      </w:r>
    </w:p>
  </w:footnote>
  <w:footnote w:id="5">
    <w:p w:rsidR="00F05492" w:rsidRPr="00D36204" w:rsidRDefault="00F05492" w:rsidP="00D36204">
      <w:pPr>
        <w:pStyle w:val="FootnoteText"/>
        <w:ind w:left="567" w:hanging="567"/>
        <w:rPr>
          <w:sz w:val="24"/>
          <w:lang w:val="hr-HR"/>
        </w:rPr>
      </w:pPr>
      <w:r w:rsidRPr="00D36204">
        <w:rPr>
          <w:rStyle w:val="FootnoteReference"/>
          <w:sz w:val="24"/>
          <w:lang w:val="hr-HR"/>
        </w:rPr>
        <w:footnoteRef/>
      </w:r>
      <w:r w:rsidR="00D36204" w:rsidRPr="00D36204">
        <w:rPr>
          <w:sz w:val="24"/>
          <w:lang w:val="hr-HR"/>
        </w:rPr>
        <w:t xml:space="preserve"> </w:t>
      </w:r>
      <w:r w:rsidR="00D36204" w:rsidRPr="00D36204">
        <w:rPr>
          <w:sz w:val="24"/>
          <w:lang w:val="hr-HR"/>
        </w:rPr>
        <w:tab/>
      </w:r>
      <w:r w:rsidRPr="00D36204">
        <w:rPr>
          <w:sz w:val="24"/>
          <w:lang w:val="hr-HR"/>
        </w:rPr>
        <w:t xml:space="preserve">Uredba (EZ) br. 1049/2001 Europskog parlamenta i Vijeća od 30. svibnja 2001. o javnom pristupu dokumentima Europskog parlamenta, Vijeća i Komisije </w:t>
      </w:r>
      <w:r w:rsidR="00533F29">
        <w:rPr>
          <w:sz w:val="24"/>
          <w:lang w:val="hr-HR"/>
        </w:rPr>
        <w:t>(</w:t>
      </w:r>
      <w:r w:rsidRPr="00D36204">
        <w:rPr>
          <w:sz w:val="24"/>
          <w:lang w:val="hr-HR"/>
        </w:rPr>
        <w:t>SL L 145, 31.5.2001., str. 43.</w:t>
      </w:r>
      <w:r w:rsidR="00533F29">
        <w:rPr>
          <w:sz w:val="24"/>
          <w:lang w:val="hr-HR"/>
        </w:rPr>
        <w:t>).</w:t>
      </w:r>
    </w:p>
  </w:footnote>
  <w:footnote w:id="6">
    <w:p w:rsidR="00F05492" w:rsidRPr="00D36204" w:rsidRDefault="00F05492" w:rsidP="00D36204">
      <w:pPr>
        <w:pStyle w:val="FootnoteText"/>
        <w:ind w:left="567" w:hanging="567"/>
        <w:rPr>
          <w:sz w:val="24"/>
          <w:lang w:val="hr-HR"/>
        </w:rPr>
      </w:pPr>
      <w:r w:rsidRPr="00D36204">
        <w:rPr>
          <w:rStyle w:val="FootnoteReference"/>
          <w:sz w:val="24"/>
          <w:lang w:val="hr-HR"/>
        </w:rPr>
        <w:footnoteRef/>
      </w:r>
      <w:r w:rsidR="00D36204" w:rsidRPr="00D36204">
        <w:rPr>
          <w:sz w:val="24"/>
          <w:lang w:val="hr-HR"/>
        </w:rPr>
        <w:t xml:space="preserve"> </w:t>
      </w:r>
      <w:r w:rsidR="00D36204" w:rsidRPr="00D36204">
        <w:rPr>
          <w:sz w:val="24"/>
          <w:lang w:val="hr-HR"/>
        </w:rPr>
        <w:tab/>
      </w:r>
      <w:r w:rsidRPr="00D36204">
        <w:rPr>
          <w:sz w:val="24"/>
          <w:lang w:val="hr-HR"/>
        </w:rPr>
        <w:t xml:space="preserve">Uredba (EZ) br. 1367/2006 Europskog parlamenta i Vijeća od 6. rujna 2006. o primjeni odredaba </w:t>
      </w:r>
      <w:proofErr w:type="spellStart"/>
      <w:r w:rsidRPr="00D36204">
        <w:rPr>
          <w:sz w:val="24"/>
          <w:lang w:val="hr-HR"/>
        </w:rPr>
        <w:t>Aarhuške</w:t>
      </w:r>
      <w:proofErr w:type="spellEnd"/>
      <w:r w:rsidRPr="00D36204">
        <w:rPr>
          <w:sz w:val="24"/>
          <w:lang w:val="hr-HR"/>
        </w:rPr>
        <w:t xml:space="preserve"> konvencije o pristupu informacijama, sudjelovanju javnosti u odlučivanju i pristupu pravosuđu u pitanjima okoliša na institucije i tijela Zajednice </w:t>
      </w:r>
      <w:r w:rsidR="00533F29">
        <w:rPr>
          <w:sz w:val="24"/>
          <w:lang w:val="hr-HR"/>
        </w:rPr>
        <w:t>(</w:t>
      </w:r>
      <w:r w:rsidRPr="00D36204">
        <w:rPr>
          <w:sz w:val="24"/>
          <w:lang w:val="hr-HR"/>
        </w:rPr>
        <w:t>SL L 264, 25.9.2006., str. 13.</w:t>
      </w:r>
      <w:r w:rsidR="00533F29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2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2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2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1/2024"/>
    <w:docVar w:name="dvlangue" w:val="HR"/>
    <w:docVar w:name="dvnumam" w:val="0"/>
    <w:docVar w:name="dvpe" w:val="757.274"/>
    <w:docVar w:name="dvrapporteur" w:val="Izvjestitelj: "/>
    <w:docVar w:name="dvtitre" w:val="Rezolucija Europskog parlamenta od .... 2024. o financijskim aktivnostima Europske investicijske banke – godišnje izvješće za 2023.(2023/2229(INI))"/>
  </w:docVars>
  <w:rsids>
    <w:rsidRoot w:val="009274F6"/>
    <w:rsid w:val="00002272"/>
    <w:rsid w:val="000429E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5E7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F29"/>
    <w:rsid w:val="00545827"/>
    <w:rsid w:val="00560270"/>
    <w:rsid w:val="00591C5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5D1"/>
    <w:rsid w:val="00887B3E"/>
    <w:rsid w:val="008C2AC6"/>
    <w:rsid w:val="009274F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204"/>
    <w:rsid w:val="00D56C11"/>
    <w:rsid w:val="00D834A0"/>
    <w:rsid w:val="00D872DF"/>
    <w:rsid w:val="00D91E21"/>
    <w:rsid w:val="00D921F4"/>
    <w:rsid w:val="00DA7FCD"/>
    <w:rsid w:val="00DD7C7B"/>
    <w:rsid w:val="00E365E1"/>
    <w:rsid w:val="00E820A4"/>
    <w:rsid w:val="00EB006A"/>
    <w:rsid w:val="00EB4772"/>
    <w:rsid w:val="00ED169E"/>
    <w:rsid w:val="00ED4235"/>
    <w:rsid w:val="00F04346"/>
    <w:rsid w:val="00F05492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38BB3"/>
  <w15:chartTrackingRefBased/>
  <w15:docId w15:val="{66557BA6-25CE-483A-8FE8-6D52C7B6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5492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05492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F05492"/>
    <w:pPr>
      <w:spacing w:after="240"/>
      <w:jc w:val="center"/>
    </w:pPr>
  </w:style>
  <w:style w:type="character" w:customStyle="1" w:styleId="BoldItalic">
    <w:name w:val="BoldItalic"/>
    <w:uiPriority w:val="1"/>
    <w:rsid w:val="00F05492"/>
    <w:rPr>
      <w:b/>
      <w:i/>
      <w:u w:val="none"/>
    </w:rPr>
  </w:style>
  <w:style w:type="character" w:customStyle="1" w:styleId="Italic">
    <w:name w:val="Italic"/>
    <w:uiPriority w:val="1"/>
    <w:rsid w:val="00F05492"/>
    <w:rPr>
      <w:i/>
    </w:rPr>
  </w:style>
  <w:style w:type="paragraph" w:customStyle="1" w:styleId="Normal12a24b">
    <w:name w:val="Normal12a24b"/>
    <w:basedOn w:val="Normal"/>
    <w:rsid w:val="00F05492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F05492"/>
    <w:rPr>
      <w:snapToGrid w:val="0"/>
      <w:sz w:val="24"/>
      <w:lang w:val="hr-HR" w:eastAsia="en-US"/>
    </w:rPr>
  </w:style>
  <w:style w:type="character" w:styleId="Hyperlink">
    <w:name w:val="Hyperlink"/>
    <w:basedOn w:val="DefaultParagraphFont"/>
    <w:uiPriority w:val="99"/>
    <w:unhideWhenUsed/>
    <w:rsid w:val="00F0549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05E7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8865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65D1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mbudsman.europa.eu/hr/case/hr/61380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orldbank.org/en/publication/global-economic-prospe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18DBC-5ABD-4392-A47B-6C6A573F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5123</Words>
  <Characters>30903</Characters>
  <Application>Microsoft Office Word</Application>
  <DocSecurity>4</DocSecurity>
  <Lines>257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SOLTYSOVA Zuzana</cp:lastModifiedBy>
  <cp:revision>2</cp:revision>
  <cp:lastPrinted>2004-11-19T15:42:00Z</cp:lastPrinted>
  <dcterms:created xsi:type="dcterms:W3CDTF">2024-07-02T15:17:00Z</dcterms:created>
  <dcterms:modified xsi:type="dcterms:W3CDTF">2024-07-02T15:17:00Z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A9-0031/2024</vt:lpwstr>
  </property>
  <property fmtid="{D5CDD505-2E9C-101B-9397-08002B2CF9AE}" pid="4" name="&lt;Type&gt;">
    <vt:lpwstr>RR</vt:lpwstr>
  </property>
</Properties>
</file>