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5B7" w:rsidTr="0010095E">
        <w:trPr>
          <w:trHeight w:hRule="exact" w:val="1418"/>
        </w:trPr>
        <w:tc>
          <w:tcPr>
            <w:tcW w:w="6804" w:type="dxa"/>
            <w:shd w:val="clear" w:color="auto" w:fill="auto"/>
            <w:vAlign w:val="center"/>
          </w:tcPr>
          <w:p w:rsidR="00751A4A" w:rsidRPr="00E735B7" w:rsidRDefault="004C3648" w:rsidP="0010095E">
            <w:pPr>
              <w:pStyle w:val="EPName"/>
            </w:pPr>
            <w:r w:rsidRPr="00E735B7">
              <w:t>Eiropas Parlaments</w:t>
            </w:r>
          </w:p>
          <w:p w:rsidR="00751A4A" w:rsidRPr="00E735B7" w:rsidRDefault="00817416" w:rsidP="00756632">
            <w:pPr>
              <w:pStyle w:val="EPTerm"/>
              <w:rPr>
                <w:rStyle w:val="HideTWBExt"/>
                <w:noProof w:val="0"/>
                <w:vanish w:val="0"/>
                <w:color w:val="auto"/>
              </w:rPr>
            </w:pPr>
            <w:r w:rsidRPr="00E735B7">
              <w:t>2019-2024</w:t>
            </w:r>
          </w:p>
        </w:tc>
        <w:tc>
          <w:tcPr>
            <w:tcW w:w="2268" w:type="dxa"/>
            <w:shd w:val="clear" w:color="auto" w:fill="auto"/>
          </w:tcPr>
          <w:p w:rsidR="00751A4A" w:rsidRPr="00E735B7" w:rsidRDefault="00187494" w:rsidP="0010095E">
            <w:pPr>
              <w:pStyle w:val="EPLogo"/>
            </w:pPr>
            <w:r w:rsidRPr="00E735B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35B7" w:rsidRDefault="00D058B8" w:rsidP="004C5D52">
      <w:pPr>
        <w:pStyle w:val="LineTop"/>
      </w:pPr>
    </w:p>
    <w:p w:rsidR="00680577" w:rsidRPr="00E735B7" w:rsidRDefault="004C3648" w:rsidP="00680577">
      <w:pPr>
        <w:pStyle w:val="EPBodyTA1"/>
      </w:pPr>
      <w:r w:rsidRPr="00E735B7">
        <w:t>PIEŅEMTIE TEKSTI</w:t>
      </w:r>
    </w:p>
    <w:p w:rsidR="00D058B8" w:rsidRPr="00E735B7" w:rsidRDefault="00D058B8" w:rsidP="00D058B8">
      <w:pPr>
        <w:pStyle w:val="LineBottom"/>
      </w:pPr>
    </w:p>
    <w:p w:rsidR="004C3648" w:rsidRPr="00E735B7" w:rsidRDefault="004C3648" w:rsidP="004C3648">
      <w:pPr>
        <w:pStyle w:val="ATHeading1"/>
      </w:pPr>
      <w:bookmarkStart w:id="0" w:name="TANumber"/>
      <w:r w:rsidRPr="00E735B7">
        <w:t>P9_TA(2024)0</w:t>
      </w:r>
      <w:r w:rsidR="00F83C11" w:rsidRPr="00E735B7">
        <w:t>107</w:t>
      </w:r>
      <w:bookmarkEnd w:id="0"/>
    </w:p>
    <w:p w:rsidR="004C3648" w:rsidRPr="00E735B7" w:rsidRDefault="004C3648" w:rsidP="004C3648">
      <w:pPr>
        <w:pStyle w:val="ATHeading2"/>
      </w:pPr>
      <w:bookmarkStart w:id="1" w:name="title"/>
      <w:r w:rsidRPr="00E735B7">
        <w:t>Eiropas Investīciju bankas finanšu darbības — 2023. gada ziņojums</w:t>
      </w:r>
      <w:bookmarkEnd w:id="1"/>
    </w:p>
    <w:p w:rsidR="004C3648" w:rsidRPr="00E735B7" w:rsidRDefault="004C3648" w:rsidP="004C3648">
      <w:pPr>
        <w:rPr>
          <w:i/>
          <w:vanish/>
        </w:rPr>
      </w:pPr>
      <w:r w:rsidRPr="00E735B7">
        <w:rPr>
          <w:i/>
        </w:rPr>
        <w:fldChar w:fldCharType="begin"/>
      </w:r>
      <w:r w:rsidRPr="00E735B7">
        <w:rPr>
          <w:i/>
        </w:rPr>
        <w:instrText xml:space="preserve"> TC"(</w:instrText>
      </w:r>
      <w:bookmarkStart w:id="2" w:name="DocNumber"/>
      <w:r w:rsidRPr="00E735B7">
        <w:rPr>
          <w:i/>
        </w:rPr>
        <w:instrText>A9-0031/2024</w:instrText>
      </w:r>
      <w:bookmarkEnd w:id="2"/>
      <w:r w:rsidRPr="00E735B7">
        <w:rPr>
          <w:i/>
        </w:rPr>
        <w:instrText xml:space="preserve"> - Referents: David Cormand)"\l3 \n&gt; \* MERGEFORMAT </w:instrText>
      </w:r>
      <w:r w:rsidRPr="00E735B7">
        <w:rPr>
          <w:i/>
        </w:rPr>
        <w:fldChar w:fldCharType="end"/>
      </w:r>
    </w:p>
    <w:p w:rsidR="004C3648" w:rsidRPr="00E735B7" w:rsidRDefault="004C3648" w:rsidP="004C3648">
      <w:pPr>
        <w:rPr>
          <w:vanish/>
        </w:rPr>
      </w:pPr>
      <w:bookmarkStart w:id="3" w:name="Commission"/>
      <w:r w:rsidRPr="00E735B7">
        <w:rPr>
          <w:vanish/>
        </w:rPr>
        <w:t>Budžeta komiteja</w:t>
      </w:r>
      <w:bookmarkEnd w:id="3"/>
    </w:p>
    <w:p w:rsidR="004C3648" w:rsidRPr="00E735B7" w:rsidRDefault="004C3648" w:rsidP="004C3648">
      <w:pPr>
        <w:rPr>
          <w:vanish/>
        </w:rPr>
      </w:pPr>
      <w:bookmarkStart w:id="4" w:name="PE"/>
      <w:r w:rsidRPr="00E735B7">
        <w:rPr>
          <w:vanish/>
        </w:rPr>
        <w:t>PE757.274</w:t>
      </w:r>
      <w:bookmarkEnd w:id="4"/>
    </w:p>
    <w:p w:rsidR="00BC1DDC" w:rsidRPr="00E735B7" w:rsidRDefault="004C3648" w:rsidP="00F173FA">
      <w:pPr>
        <w:pStyle w:val="ATHeading3"/>
      </w:pPr>
      <w:bookmarkStart w:id="5" w:name="Sujet"/>
      <w:r w:rsidRPr="00E735B7">
        <w:t xml:space="preserve">Eiropas Parlamenta 2024. gada </w:t>
      </w:r>
      <w:r w:rsidR="00F83C11" w:rsidRPr="00E735B7">
        <w:t>28</w:t>
      </w:r>
      <w:r w:rsidRPr="00E735B7">
        <w:t xml:space="preserve">. </w:t>
      </w:r>
      <w:r w:rsidR="00F173FA" w:rsidRPr="00E735B7">
        <w:t>februāra</w:t>
      </w:r>
      <w:r w:rsidRPr="00E735B7">
        <w:t xml:space="preserve"> rezolūcija par Eiropas Investīciju bankas finanšu darbībām — 2023. gada ziņojums</w:t>
      </w:r>
      <w:bookmarkEnd w:id="5"/>
      <w:r w:rsidRPr="00E735B7">
        <w:t xml:space="preserve"> </w:t>
      </w:r>
      <w:bookmarkStart w:id="6" w:name="References"/>
      <w:r w:rsidRPr="00E735B7">
        <w:t>(2023/2229(INI))</w:t>
      </w:r>
      <w:bookmarkStart w:id="7" w:name="TextBodyBegin"/>
      <w:bookmarkEnd w:id="6"/>
      <w:bookmarkEnd w:id="7"/>
    </w:p>
    <w:p w:rsidR="00BC1DDC" w:rsidRPr="00E735B7" w:rsidRDefault="00BC1DDC" w:rsidP="00BC1DDC">
      <w:pPr>
        <w:pStyle w:val="EPComma"/>
      </w:pPr>
      <w:r w:rsidRPr="00E735B7">
        <w:rPr>
          <w:rStyle w:val="Italic"/>
        </w:rPr>
        <w:t>Eiropas Parlaments</w:t>
      </w:r>
      <w:r w:rsidRPr="00E735B7">
        <w:t>,</w:t>
      </w:r>
    </w:p>
    <w:p w:rsidR="00BC1DDC" w:rsidRPr="00E735B7" w:rsidRDefault="00BC1DDC" w:rsidP="00BC1DDC">
      <w:pPr>
        <w:pStyle w:val="NormalHanging12a"/>
      </w:pPr>
      <w:r w:rsidRPr="00E735B7">
        <w:t>–</w:t>
      </w:r>
      <w:r w:rsidRPr="00E735B7">
        <w:tab/>
        <w:t>ņemot vērā Līguma par Eiropas Savienību 2. un 3. pantu,</w:t>
      </w:r>
    </w:p>
    <w:p w:rsidR="00BC1DDC" w:rsidRPr="00E735B7" w:rsidRDefault="00BC1DDC" w:rsidP="00BC1DDC">
      <w:pPr>
        <w:pStyle w:val="NormalHanging12a"/>
      </w:pPr>
      <w:r w:rsidRPr="00E735B7">
        <w:t>–</w:t>
      </w:r>
      <w:r w:rsidRPr="00E735B7">
        <w:tab/>
        <w:t>ņemot vērā Līguma par Eiropas Savienības darbību (LESD) 15., 126., 174., 175., 177., 208., 209., 271., 308. un 309. pantu un LESD 5. protokolu par Eiropas Investīciju bankas (EIB) statūtiem,</w:t>
      </w:r>
    </w:p>
    <w:p w:rsidR="00BC1DDC" w:rsidRPr="00E735B7" w:rsidRDefault="00BC1DDC" w:rsidP="00BC1DDC">
      <w:pPr>
        <w:pStyle w:val="NormalHanging12a"/>
      </w:pPr>
      <w:r w:rsidRPr="00E735B7">
        <w:t>–</w:t>
      </w:r>
      <w:r w:rsidRPr="00E735B7">
        <w:tab/>
        <w:t>ņemot vērā Eiropas Atomenerģijas kopienas dibināšanas līguma 41.–43. pantu,</w:t>
      </w:r>
    </w:p>
    <w:p w:rsidR="00BC1DDC" w:rsidRPr="00E735B7" w:rsidRDefault="00BC1DDC" w:rsidP="00BC1DDC">
      <w:pPr>
        <w:pStyle w:val="NormalHanging12a"/>
      </w:pPr>
      <w:r w:rsidRPr="00E735B7">
        <w:t>–</w:t>
      </w:r>
      <w:r w:rsidRPr="00E735B7">
        <w:tab/>
        <w:t>ņemot vērā to, ka EIB 2016. gada 7. oktobra paziņojumu presei, kurā tā apstiprināja ES veikto Parīzes nolīguma ratifikāciju,</w:t>
      </w:r>
    </w:p>
    <w:p w:rsidR="00BC1DDC" w:rsidRPr="00E735B7" w:rsidRDefault="00BC1DDC" w:rsidP="00BC1DDC">
      <w:pPr>
        <w:pStyle w:val="NormalHanging12a"/>
      </w:pPr>
      <w:r w:rsidRPr="00E735B7">
        <w:t>–</w:t>
      </w:r>
      <w:r w:rsidRPr="00E735B7">
        <w:tab/>
        <w:t>ņemot vērā 2023. gada 3. martā publicēto EIB operāciju novērtējuma darbības pārskatu par 2022. gadu un darba programmu 2023.–2025. gadam,</w:t>
      </w:r>
    </w:p>
    <w:p w:rsidR="00BC1DDC" w:rsidRPr="00E735B7" w:rsidRDefault="00BC1DDC" w:rsidP="00BC1DDC">
      <w:pPr>
        <w:pStyle w:val="NormalHanging12a"/>
      </w:pPr>
      <w:r w:rsidRPr="00E735B7">
        <w:t>–</w:t>
      </w:r>
      <w:r w:rsidRPr="00E735B7">
        <w:tab/>
        <w:t>ņemot vērā EIB grupas sūdzību izskatīšanas mehānisma procedūras, kas publicētas 2018. gada 13. novembrī,</w:t>
      </w:r>
    </w:p>
    <w:p w:rsidR="00BC1DDC" w:rsidRPr="00E735B7" w:rsidRDefault="00BC1DDC" w:rsidP="00BC1DDC">
      <w:pPr>
        <w:pStyle w:val="NormalHanging12a"/>
      </w:pPr>
      <w:r w:rsidRPr="00E735B7">
        <w:t>–</w:t>
      </w:r>
      <w:r w:rsidRPr="00E735B7">
        <w:tab/>
        <w:t>ņemot vērā 2023. gada 8. maijā publicēto EIB publikāciju "EIB aizdevumu politika enerģētikas jomā",</w:t>
      </w:r>
    </w:p>
    <w:p w:rsidR="00BC1DDC" w:rsidRPr="00E735B7" w:rsidRDefault="00BC1DDC" w:rsidP="00BC1DDC">
      <w:pPr>
        <w:pStyle w:val="NormalHanging12a"/>
      </w:pPr>
      <w:r w:rsidRPr="00E735B7">
        <w:t>–</w:t>
      </w:r>
      <w:r w:rsidRPr="00E735B7">
        <w:tab/>
        <w:t>ņemot vērā EIB Direktoru padomes 2020. gada 11. novembrī pieņemto EIB grupas Klimata bankas ceļvedi 2021.–2025. gadam un 2020. gada 15. novembrī pieņemto EIB klimata stratēģiju,</w:t>
      </w:r>
    </w:p>
    <w:p w:rsidR="00BC1DDC" w:rsidRPr="00E735B7" w:rsidRDefault="00BC1DDC" w:rsidP="00BC1DDC">
      <w:pPr>
        <w:pStyle w:val="NormalHanging12a"/>
      </w:pPr>
      <w:r w:rsidRPr="00E735B7">
        <w:t>–</w:t>
      </w:r>
      <w:r w:rsidRPr="00E735B7">
        <w:tab/>
        <w:t>ņemot vērā 2023. gada 2. februārī publicēto EIB grupas 2023.–2025. gada darbības plānu,</w:t>
      </w:r>
    </w:p>
    <w:p w:rsidR="00BC1DDC" w:rsidRPr="00E735B7" w:rsidRDefault="00BC1DDC" w:rsidP="00BC1DDC">
      <w:pPr>
        <w:pStyle w:val="NormalHanging12a"/>
      </w:pPr>
      <w:r w:rsidRPr="00E735B7">
        <w:t>–</w:t>
      </w:r>
      <w:r w:rsidRPr="00E735B7">
        <w:tab/>
        <w:t>ņemot vērā 2023. gada 28. februārī publicēto EIB 2022./2023. gada ziņojumu par investīcijām "Noturība un atjaunošana Eiropā",</w:t>
      </w:r>
    </w:p>
    <w:p w:rsidR="00BC1DDC" w:rsidRPr="00E735B7" w:rsidRDefault="00BC1DDC" w:rsidP="00BC1DDC">
      <w:pPr>
        <w:pStyle w:val="NormalHanging12a"/>
      </w:pPr>
      <w:r w:rsidRPr="00E735B7">
        <w:lastRenderedPageBreak/>
        <w:t>–</w:t>
      </w:r>
      <w:r w:rsidRPr="00E735B7">
        <w:tab/>
        <w:t>ņemot vērā 2023. gada 2. februārī publicēto EIB grupas 2022. gada darbības pārskatu "Droša Eiropa",</w:t>
      </w:r>
    </w:p>
    <w:p w:rsidR="00BC1DDC" w:rsidRPr="00E735B7" w:rsidRDefault="00BC1DDC" w:rsidP="00BC1DDC">
      <w:pPr>
        <w:pStyle w:val="NormalHanging12a"/>
      </w:pPr>
      <w:r w:rsidRPr="00E735B7">
        <w:t>–</w:t>
      </w:r>
      <w:r w:rsidRPr="00E735B7">
        <w:tab/>
        <w:t xml:space="preserve">ņemot vērā 2023. gada 2. februārī publicēto EIB 2023. gada </w:t>
      </w:r>
      <w:proofErr w:type="spellStart"/>
      <w:r w:rsidRPr="00E735B7">
        <w:t>klimatrīcības</w:t>
      </w:r>
      <w:proofErr w:type="spellEnd"/>
      <w:r w:rsidRPr="00E735B7">
        <w:t xml:space="preserve"> un vides ilgtspējas pārskatu,</w:t>
      </w:r>
    </w:p>
    <w:p w:rsidR="00BC1DDC" w:rsidRPr="00E735B7" w:rsidRDefault="00BC1DDC" w:rsidP="00BC1DDC">
      <w:pPr>
        <w:pStyle w:val="NormalHanging12a"/>
      </w:pPr>
      <w:r w:rsidRPr="00E735B7">
        <w:t>–</w:t>
      </w:r>
      <w:r w:rsidRPr="00E735B7">
        <w:tab/>
        <w:t xml:space="preserve">ņemot vērā 2022. gada 14. novembrī publicēto EIB </w:t>
      </w:r>
      <w:proofErr w:type="spellStart"/>
      <w:r w:rsidRPr="00E735B7">
        <w:t>vidisko</w:t>
      </w:r>
      <w:proofErr w:type="spellEnd"/>
      <w:r w:rsidRPr="00E735B7">
        <w:t xml:space="preserve"> satvaru,</w:t>
      </w:r>
    </w:p>
    <w:p w:rsidR="00BC1DDC" w:rsidRPr="00E735B7" w:rsidRDefault="00BC1DDC" w:rsidP="00BC1DDC">
      <w:pPr>
        <w:pStyle w:val="NormalHanging12a"/>
      </w:pPr>
      <w:r w:rsidRPr="00E735B7">
        <w:t>–</w:t>
      </w:r>
      <w:r w:rsidRPr="00E735B7">
        <w:tab/>
        <w:t>ņemot vērā 2023. gada 8. septembrī publicēto EIB grupas 2022. gada ziņojumu par korporatīvo pārvaldību,</w:t>
      </w:r>
    </w:p>
    <w:p w:rsidR="00BC1DDC" w:rsidRPr="00E735B7" w:rsidRDefault="00BC1DDC" w:rsidP="00BC1DDC">
      <w:pPr>
        <w:pStyle w:val="NormalHanging12a"/>
      </w:pPr>
      <w:r w:rsidRPr="00E735B7">
        <w:t>–</w:t>
      </w:r>
      <w:r w:rsidRPr="00E735B7">
        <w:tab/>
        <w:t>ņemot vērā EIB 2023. gada 29. novembra publikāciju "</w:t>
      </w:r>
      <w:r w:rsidRPr="00E735B7">
        <w:rPr>
          <w:i/>
          <w:iCs/>
        </w:rPr>
        <w:t xml:space="preserve">EIB </w:t>
      </w:r>
      <w:proofErr w:type="spellStart"/>
      <w:r w:rsidRPr="00E735B7">
        <w:rPr>
          <w:i/>
          <w:iCs/>
        </w:rPr>
        <w:t>Global</w:t>
      </w:r>
      <w:proofErr w:type="spellEnd"/>
      <w:r w:rsidRPr="00E735B7">
        <w:rPr>
          <w:i/>
          <w:iCs/>
        </w:rPr>
        <w:t xml:space="preserve"> </w:t>
      </w:r>
      <w:proofErr w:type="spellStart"/>
      <w:r w:rsidRPr="00E735B7">
        <w:rPr>
          <w:i/>
          <w:iCs/>
        </w:rPr>
        <w:t>Strategic</w:t>
      </w:r>
      <w:proofErr w:type="spellEnd"/>
      <w:r w:rsidRPr="00E735B7">
        <w:rPr>
          <w:i/>
          <w:iCs/>
        </w:rPr>
        <w:t xml:space="preserve"> </w:t>
      </w:r>
      <w:proofErr w:type="spellStart"/>
      <w:r w:rsidRPr="00E735B7">
        <w:rPr>
          <w:i/>
          <w:iCs/>
        </w:rPr>
        <w:t>Roadmap</w:t>
      </w:r>
      <w:proofErr w:type="spellEnd"/>
      <w:r w:rsidRPr="00E735B7">
        <w:rPr>
          <w:i/>
          <w:iCs/>
        </w:rPr>
        <w:t>:</w:t>
      </w:r>
      <w:r w:rsidRPr="00E735B7">
        <w:t xml:space="preserve"> </w:t>
      </w:r>
      <w:r w:rsidRPr="00E735B7">
        <w:rPr>
          <w:i/>
          <w:iCs/>
        </w:rPr>
        <w:t xml:space="preserve">EU Finance </w:t>
      </w:r>
      <w:proofErr w:type="spellStart"/>
      <w:r w:rsidRPr="00E735B7">
        <w:rPr>
          <w:i/>
          <w:iCs/>
        </w:rPr>
        <w:t>for</w:t>
      </w:r>
      <w:proofErr w:type="spellEnd"/>
      <w:r w:rsidRPr="00E735B7">
        <w:rPr>
          <w:i/>
          <w:iCs/>
        </w:rPr>
        <w:t xml:space="preserve"> a </w:t>
      </w:r>
      <w:proofErr w:type="spellStart"/>
      <w:r w:rsidRPr="00E735B7">
        <w:rPr>
          <w:i/>
          <w:iCs/>
        </w:rPr>
        <w:t>Sustainable</w:t>
      </w:r>
      <w:proofErr w:type="spellEnd"/>
      <w:r w:rsidRPr="00E735B7">
        <w:rPr>
          <w:i/>
          <w:iCs/>
        </w:rPr>
        <w:t xml:space="preserve"> </w:t>
      </w:r>
      <w:proofErr w:type="spellStart"/>
      <w:r w:rsidRPr="00E735B7">
        <w:rPr>
          <w:i/>
          <w:iCs/>
        </w:rPr>
        <w:t>Future</w:t>
      </w:r>
      <w:proofErr w:type="spellEnd"/>
      <w:r w:rsidRPr="00E735B7">
        <w:t xml:space="preserve">" ("EIB </w:t>
      </w:r>
      <w:proofErr w:type="spellStart"/>
      <w:r w:rsidRPr="00E735B7">
        <w:t>Global</w:t>
      </w:r>
      <w:proofErr w:type="spellEnd"/>
      <w:r w:rsidRPr="00E735B7">
        <w:t xml:space="preserve"> stratēģiskais ceļvedis: ES finansējums ilgtspējīgai nākotnei"),</w:t>
      </w:r>
    </w:p>
    <w:p w:rsidR="00BC1DDC" w:rsidRPr="00E735B7" w:rsidRDefault="00BC1DDC" w:rsidP="00BC1DDC">
      <w:pPr>
        <w:pStyle w:val="NormalHanging12a"/>
      </w:pPr>
      <w:r w:rsidRPr="00E735B7">
        <w:t>–</w:t>
      </w:r>
      <w:r w:rsidRPr="00E735B7">
        <w:tab/>
        <w:t xml:space="preserve">ņemot vērā 2023. gada 27. novembrī publicēto EIB </w:t>
      </w:r>
      <w:proofErr w:type="spellStart"/>
      <w:r w:rsidRPr="00E735B7">
        <w:t>Global</w:t>
      </w:r>
      <w:proofErr w:type="spellEnd"/>
      <w:r w:rsidRPr="00E735B7">
        <w:t xml:space="preserve"> pieeju taisnīgas pārkārtošanās procesam un taisnīgai noturībai,</w:t>
      </w:r>
    </w:p>
    <w:p w:rsidR="00BC1DDC" w:rsidRPr="00E735B7" w:rsidRDefault="00BC1DDC" w:rsidP="00BC1DDC">
      <w:pPr>
        <w:pStyle w:val="NormalHanging12a"/>
      </w:pPr>
      <w:r w:rsidRPr="00E735B7">
        <w:t>–</w:t>
      </w:r>
      <w:r w:rsidRPr="00E735B7">
        <w:tab/>
        <w:t>ņemot vērā 2023. gada 9. augustā publicēto EIB grupas 2022. gada ziņojumu par riska pārvaldību,</w:t>
      </w:r>
    </w:p>
    <w:p w:rsidR="00BC1DDC" w:rsidRPr="00E735B7" w:rsidRDefault="00BC1DDC" w:rsidP="00BC1DDC">
      <w:pPr>
        <w:pStyle w:val="NormalHanging12a"/>
      </w:pPr>
      <w:r w:rsidRPr="00E735B7">
        <w:t>–</w:t>
      </w:r>
      <w:r w:rsidRPr="00E735B7">
        <w:tab/>
        <w:t xml:space="preserve">ņemot vērā EIB 2022.–2023. gada klimata </w:t>
      </w:r>
      <w:proofErr w:type="spellStart"/>
      <w:r w:rsidRPr="00E735B7">
        <w:t>apsekojumu</w:t>
      </w:r>
      <w:proofErr w:type="spellEnd"/>
      <w:r w:rsidRPr="00E735B7">
        <w:t>,</w:t>
      </w:r>
    </w:p>
    <w:p w:rsidR="00BC1DDC" w:rsidRPr="00E735B7" w:rsidRDefault="00BC1DDC" w:rsidP="00BC1DDC">
      <w:pPr>
        <w:pStyle w:val="NormalHanging12a"/>
      </w:pPr>
      <w:r w:rsidRPr="00E735B7">
        <w:t>–</w:t>
      </w:r>
      <w:r w:rsidRPr="00E735B7">
        <w:tab/>
        <w:t>ņemot vērā 2022. gada 2. februārī pieņemto EIB grupas vides un sociālās ilgtspējas satvaru "</w:t>
      </w:r>
      <w:proofErr w:type="spellStart"/>
      <w:r w:rsidRPr="00E735B7">
        <w:rPr>
          <w:i/>
          <w:iCs/>
        </w:rPr>
        <w:t>The</w:t>
      </w:r>
      <w:proofErr w:type="spellEnd"/>
      <w:r w:rsidRPr="00E735B7">
        <w:rPr>
          <w:i/>
          <w:iCs/>
        </w:rPr>
        <w:t xml:space="preserve"> EIB </w:t>
      </w:r>
      <w:proofErr w:type="spellStart"/>
      <w:r w:rsidRPr="00E735B7">
        <w:rPr>
          <w:i/>
          <w:iCs/>
        </w:rPr>
        <w:t>Group</w:t>
      </w:r>
      <w:proofErr w:type="spellEnd"/>
      <w:r w:rsidRPr="00E735B7">
        <w:rPr>
          <w:i/>
          <w:iCs/>
        </w:rPr>
        <w:t xml:space="preserve"> </w:t>
      </w:r>
      <w:proofErr w:type="spellStart"/>
      <w:r w:rsidRPr="00E735B7">
        <w:rPr>
          <w:i/>
          <w:iCs/>
        </w:rPr>
        <w:t>Environmental</w:t>
      </w:r>
      <w:proofErr w:type="spellEnd"/>
      <w:r w:rsidRPr="00E735B7">
        <w:rPr>
          <w:i/>
          <w:iCs/>
        </w:rPr>
        <w:t xml:space="preserve"> </w:t>
      </w:r>
      <w:proofErr w:type="spellStart"/>
      <w:r w:rsidRPr="00E735B7">
        <w:rPr>
          <w:i/>
          <w:iCs/>
        </w:rPr>
        <w:t>and</w:t>
      </w:r>
      <w:proofErr w:type="spellEnd"/>
      <w:r w:rsidRPr="00E735B7">
        <w:rPr>
          <w:i/>
          <w:iCs/>
        </w:rPr>
        <w:t xml:space="preserve"> </w:t>
      </w:r>
      <w:proofErr w:type="spellStart"/>
      <w:r w:rsidRPr="00E735B7">
        <w:rPr>
          <w:i/>
          <w:iCs/>
        </w:rPr>
        <w:t>Social</w:t>
      </w:r>
      <w:proofErr w:type="spellEnd"/>
      <w:r w:rsidRPr="00E735B7">
        <w:rPr>
          <w:i/>
          <w:iCs/>
        </w:rPr>
        <w:t xml:space="preserve"> </w:t>
      </w:r>
      <w:proofErr w:type="spellStart"/>
      <w:r w:rsidRPr="00E735B7">
        <w:rPr>
          <w:i/>
          <w:iCs/>
        </w:rPr>
        <w:t>Policy</w:t>
      </w:r>
      <w:proofErr w:type="spellEnd"/>
      <w:r w:rsidRPr="00E735B7">
        <w:t>" ("EIB grupas vides un sociālā politika"),</w:t>
      </w:r>
    </w:p>
    <w:p w:rsidR="00BC1DDC" w:rsidRPr="00E735B7" w:rsidRDefault="00BC1DDC" w:rsidP="00BC1DDC">
      <w:pPr>
        <w:pStyle w:val="NormalHanging12a"/>
      </w:pPr>
      <w:r w:rsidRPr="00E735B7">
        <w:t>–</w:t>
      </w:r>
      <w:r w:rsidRPr="00E735B7">
        <w:tab/>
        <w:t>ņemot vērā 2023. gada 10. februāra publikāciju "</w:t>
      </w:r>
      <w:r w:rsidRPr="00E735B7">
        <w:rPr>
          <w:i/>
          <w:iCs/>
        </w:rPr>
        <w:t xml:space="preserve">EIB </w:t>
      </w:r>
      <w:proofErr w:type="spellStart"/>
      <w:r w:rsidRPr="00E735B7">
        <w:rPr>
          <w:i/>
          <w:iCs/>
        </w:rPr>
        <w:t>Global</w:t>
      </w:r>
      <w:proofErr w:type="spellEnd"/>
      <w:r w:rsidRPr="00E735B7">
        <w:rPr>
          <w:i/>
          <w:iCs/>
        </w:rPr>
        <w:t xml:space="preserve"> — </w:t>
      </w:r>
      <w:proofErr w:type="spellStart"/>
      <w:r w:rsidRPr="00E735B7">
        <w:rPr>
          <w:i/>
          <w:iCs/>
        </w:rPr>
        <w:t>partnership</w:t>
      </w:r>
      <w:proofErr w:type="spellEnd"/>
      <w:r w:rsidRPr="00E735B7">
        <w:rPr>
          <w:i/>
          <w:iCs/>
        </w:rPr>
        <w:t xml:space="preserve">, </w:t>
      </w:r>
      <w:proofErr w:type="spellStart"/>
      <w:r w:rsidRPr="00E735B7">
        <w:rPr>
          <w:i/>
          <w:iCs/>
        </w:rPr>
        <w:t>people</w:t>
      </w:r>
      <w:proofErr w:type="spellEnd"/>
      <w:r w:rsidRPr="00E735B7">
        <w:rPr>
          <w:i/>
          <w:iCs/>
        </w:rPr>
        <w:t xml:space="preserve">, </w:t>
      </w:r>
      <w:proofErr w:type="spellStart"/>
      <w:r w:rsidRPr="00E735B7">
        <w:rPr>
          <w:i/>
          <w:iCs/>
        </w:rPr>
        <w:t>impact</w:t>
      </w:r>
      <w:proofErr w:type="spellEnd"/>
      <w:r w:rsidRPr="00E735B7">
        <w:t xml:space="preserve">" ("EIB </w:t>
      </w:r>
      <w:proofErr w:type="spellStart"/>
      <w:r w:rsidRPr="00E735B7">
        <w:t>Global</w:t>
      </w:r>
      <w:proofErr w:type="spellEnd"/>
      <w:r w:rsidRPr="00E735B7">
        <w:t> — partnerība, cilvēki, ietekme"),</w:t>
      </w:r>
    </w:p>
    <w:p w:rsidR="00BC1DDC" w:rsidRPr="00E735B7" w:rsidRDefault="00BC1DDC" w:rsidP="00BC1DDC">
      <w:pPr>
        <w:pStyle w:val="NormalHanging12a"/>
      </w:pPr>
      <w:r w:rsidRPr="00E735B7">
        <w:t>–</w:t>
      </w:r>
      <w:r w:rsidRPr="00E735B7">
        <w:tab/>
        <w:t>ņemot vērā 2023. gada 6. februārī publicēto EIB pieeju cilvēktiesību jautājumiem,</w:t>
      </w:r>
    </w:p>
    <w:p w:rsidR="00BC1DDC" w:rsidRPr="00E735B7" w:rsidRDefault="00BC1DDC" w:rsidP="00BC1DDC">
      <w:pPr>
        <w:pStyle w:val="NormalHanging12a"/>
      </w:pPr>
      <w:r w:rsidRPr="00E735B7">
        <w:t>–</w:t>
      </w:r>
      <w:r w:rsidRPr="00E735B7">
        <w:tab/>
        <w:t>ņemot vērā EIB 2023. gada 29. jūnija ziņojumu "</w:t>
      </w:r>
      <w:r w:rsidRPr="00E735B7">
        <w:rPr>
          <w:i/>
          <w:iCs/>
        </w:rPr>
        <w:t xml:space="preserve">EIB </w:t>
      </w:r>
      <w:proofErr w:type="spellStart"/>
      <w:r w:rsidRPr="00E735B7">
        <w:rPr>
          <w:i/>
          <w:iCs/>
        </w:rPr>
        <w:t>Group</w:t>
      </w:r>
      <w:proofErr w:type="spellEnd"/>
      <w:r w:rsidRPr="00E735B7">
        <w:rPr>
          <w:i/>
          <w:iCs/>
        </w:rPr>
        <w:t xml:space="preserve"> </w:t>
      </w:r>
      <w:proofErr w:type="spellStart"/>
      <w:r w:rsidRPr="00E735B7">
        <w:rPr>
          <w:i/>
          <w:iCs/>
        </w:rPr>
        <w:t>activities</w:t>
      </w:r>
      <w:proofErr w:type="spellEnd"/>
      <w:r w:rsidRPr="00E735B7">
        <w:rPr>
          <w:i/>
          <w:iCs/>
        </w:rPr>
        <w:t xml:space="preserve"> </w:t>
      </w:r>
      <w:proofErr w:type="spellStart"/>
      <w:r w:rsidRPr="00E735B7">
        <w:rPr>
          <w:i/>
          <w:iCs/>
        </w:rPr>
        <w:t>in</w:t>
      </w:r>
      <w:proofErr w:type="spellEnd"/>
      <w:r w:rsidRPr="00E735B7">
        <w:rPr>
          <w:i/>
          <w:iCs/>
        </w:rPr>
        <w:t xml:space="preserve"> EU </w:t>
      </w:r>
      <w:proofErr w:type="spellStart"/>
      <w:r w:rsidRPr="00E735B7">
        <w:rPr>
          <w:i/>
          <w:iCs/>
        </w:rPr>
        <w:t>cohesion</w:t>
      </w:r>
      <w:proofErr w:type="spellEnd"/>
      <w:r w:rsidRPr="00E735B7">
        <w:rPr>
          <w:i/>
          <w:iCs/>
        </w:rPr>
        <w:t xml:space="preserve"> </w:t>
      </w:r>
      <w:proofErr w:type="spellStart"/>
      <w:r w:rsidRPr="00E735B7">
        <w:rPr>
          <w:i/>
          <w:iCs/>
        </w:rPr>
        <w:t>regions</w:t>
      </w:r>
      <w:proofErr w:type="spellEnd"/>
      <w:r w:rsidRPr="00E735B7">
        <w:rPr>
          <w:i/>
          <w:iCs/>
        </w:rPr>
        <w:t xml:space="preserve"> </w:t>
      </w:r>
      <w:proofErr w:type="spellStart"/>
      <w:r w:rsidRPr="00E735B7">
        <w:rPr>
          <w:i/>
          <w:iCs/>
        </w:rPr>
        <w:t>in</w:t>
      </w:r>
      <w:proofErr w:type="spellEnd"/>
      <w:r w:rsidRPr="00E735B7">
        <w:rPr>
          <w:i/>
          <w:iCs/>
        </w:rPr>
        <w:t xml:space="preserve"> 2022</w:t>
      </w:r>
      <w:r w:rsidRPr="00E735B7">
        <w:t>" ("EIB grupas darbības ES kohēzijas reģionos 2022. gadā"),</w:t>
      </w:r>
    </w:p>
    <w:p w:rsidR="00BC1DDC" w:rsidRPr="00E735B7" w:rsidRDefault="00BC1DDC" w:rsidP="00BC1DDC">
      <w:pPr>
        <w:pStyle w:val="NormalHanging12a"/>
      </w:pPr>
      <w:r w:rsidRPr="00E735B7">
        <w:t>–</w:t>
      </w:r>
      <w:r w:rsidRPr="00E735B7">
        <w:tab/>
        <w:t>ņemot vērā EIB grupas stratēģiju par dzimumu līdztiesību un sieviešu ekonomisko iespēcināšanu un tās dzimumu līdztiesības rīcības plānu,</w:t>
      </w:r>
    </w:p>
    <w:p w:rsidR="00BC1DDC" w:rsidRPr="00E735B7" w:rsidRDefault="00BC1DDC" w:rsidP="00BC1DDC">
      <w:pPr>
        <w:pStyle w:val="NormalHanging12a"/>
      </w:pPr>
      <w:r w:rsidRPr="00E735B7">
        <w:t>–</w:t>
      </w:r>
      <w:r w:rsidRPr="00E735B7">
        <w:tab/>
        <w:t>ņemot vērā 2023. gada 3. februārī publicēto EIB grupas darbinieku rīcības kodeksu,</w:t>
      </w:r>
    </w:p>
    <w:p w:rsidR="00BC1DDC" w:rsidRPr="00E735B7" w:rsidRDefault="00BC1DDC" w:rsidP="00BC1DDC">
      <w:pPr>
        <w:pStyle w:val="NormalHanging12a"/>
      </w:pPr>
      <w:r w:rsidRPr="00E735B7">
        <w:t>–</w:t>
      </w:r>
      <w:r w:rsidRPr="00E735B7">
        <w:tab/>
        <w:t>ņemot vērā 2021. gada 30. novembrī publicēto EIB grupas Revīzijas komitejas rīcības kodeksu,</w:t>
      </w:r>
    </w:p>
    <w:p w:rsidR="00BC1DDC" w:rsidRPr="00E735B7" w:rsidRDefault="00BC1DDC" w:rsidP="00BC1DDC">
      <w:pPr>
        <w:pStyle w:val="NormalHanging12a"/>
      </w:pPr>
      <w:r w:rsidRPr="00E735B7">
        <w:t>–</w:t>
      </w:r>
      <w:r w:rsidRPr="00E735B7">
        <w:tab/>
        <w:t>ņemot vērā 2021. gada 14. oktobrī publicēto EIB grupas Vadības komitejas rīcības kodeksu,</w:t>
      </w:r>
    </w:p>
    <w:p w:rsidR="00BC1DDC" w:rsidRPr="00E735B7" w:rsidRDefault="00BC1DDC" w:rsidP="00BC1DDC">
      <w:pPr>
        <w:pStyle w:val="NormalHanging12a"/>
      </w:pPr>
      <w:r w:rsidRPr="00E735B7">
        <w:t>–</w:t>
      </w:r>
      <w:r w:rsidRPr="00E735B7">
        <w:tab/>
        <w:t xml:space="preserve">ņemot vērā EIB 2023. gada 27. novembra publikāciju "EIB grupas </w:t>
      </w:r>
      <w:r w:rsidRPr="00E735B7">
        <w:rPr>
          <w:i/>
          <w:iCs/>
        </w:rPr>
        <w:t>PATH</w:t>
      </w:r>
      <w:r w:rsidRPr="00E735B7">
        <w:t xml:space="preserve"> satvars — Versija 1.2., 2023. gada novembris, — "Atbalsta sniegšana darījumu partneriem virzībā uz atbilstības Parīzes nolīgumam panākšanu",</w:t>
      </w:r>
    </w:p>
    <w:p w:rsidR="00BC1DDC" w:rsidRPr="00E735B7" w:rsidRDefault="00BC1DDC" w:rsidP="00BC1DDC">
      <w:pPr>
        <w:pStyle w:val="NormalHanging12a"/>
      </w:pPr>
      <w:r w:rsidRPr="00E735B7">
        <w:t>–</w:t>
      </w:r>
      <w:r w:rsidRPr="00E735B7">
        <w:tab/>
        <w:t>ņemot vērā EIB Solidaritātes paketi Ukrainai, ko EIB valde apstiprināja 2022. gada 4. martā,</w:t>
      </w:r>
    </w:p>
    <w:p w:rsidR="00BC1DDC" w:rsidRPr="00E735B7" w:rsidRDefault="00BC1DDC" w:rsidP="00BC1DDC">
      <w:pPr>
        <w:pStyle w:val="NormalHanging12a"/>
      </w:pPr>
      <w:r w:rsidRPr="00E735B7">
        <w:lastRenderedPageBreak/>
        <w:t>–</w:t>
      </w:r>
      <w:r w:rsidRPr="00E735B7">
        <w:tab/>
        <w:t xml:space="preserve">ņemot vērā Komisijas 2020. gada 20. maija paziņojumu "ES </w:t>
      </w:r>
      <w:proofErr w:type="spellStart"/>
      <w:r w:rsidRPr="00E735B7">
        <w:t>Biodaudzveidības</w:t>
      </w:r>
      <w:proofErr w:type="spellEnd"/>
      <w:r w:rsidRPr="00E735B7">
        <w:t xml:space="preserve"> stratēģija 2030. gadam. Atgriezīsim savā dzīvē dabu" (COM(2020)0380),</w:t>
      </w:r>
    </w:p>
    <w:p w:rsidR="00BC1DDC" w:rsidRPr="00E735B7" w:rsidRDefault="00BC1DDC" w:rsidP="00BC1DDC">
      <w:pPr>
        <w:pStyle w:val="NormalHanging12a"/>
      </w:pPr>
      <w:r w:rsidRPr="00E735B7">
        <w:t>–</w:t>
      </w:r>
      <w:r w:rsidRPr="00E735B7">
        <w:tab/>
        <w:t>ņemot vērā Komisijas 2020. gada 20. maija paziņojumu "Stratēģija "No lauka līdz galdam". Taisnīgas, veselīgas un videi draudzīgas pārtikas sistēmas vārdā" (COM(2020)0381),</w:t>
      </w:r>
    </w:p>
    <w:p w:rsidR="00BC1DDC" w:rsidRPr="00E735B7" w:rsidRDefault="00BC1DDC" w:rsidP="00BC1DDC">
      <w:pPr>
        <w:pStyle w:val="NormalHanging12a"/>
      </w:pPr>
      <w:r w:rsidRPr="00E735B7">
        <w:t>–</w:t>
      </w:r>
      <w:r w:rsidRPr="00E735B7">
        <w:tab/>
        <w:t>ņemot vērā Komisijas 2021. gada 12. maija paziņojumu "Ceļš uz veselīgu planētu itin visiem. ES Gaisa, ūdens un augsnes nulles piesārņojuma rīcības plāns" (COM(2021)0400),</w:t>
      </w:r>
    </w:p>
    <w:p w:rsidR="00BC1DDC" w:rsidRPr="00E735B7" w:rsidRDefault="00BC1DDC" w:rsidP="00BC1DDC">
      <w:pPr>
        <w:pStyle w:val="NormalHanging12a"/>
      </w:pPr>
      <w:r w:rsidRPr="00E735B7">
        <w:t>–</w:t>
      </w:r>
      <w:r w:rsidRPr="00E735B7">
        <w:tab/>
        <w:t>ņemot vērā Komisijas 2023. gada 1. februāra paziņojumu "Zaļā kursa industriālais plāns neto nulles emisiju laikmetam" (COM(2023)0062),</w:t>
      </w:r>
    </w:p>
    <w:p w:rsidR="00BC1DDC" w:rsidRPr="00E735B7" w:rsidRDefault="00BC1DDC" w:rsidP="00BC1DDC">
      <w:pPr>
        <w:pStyle w:val="NormalHanging12a"/>
      </w:pPr>
      <w:r w:rsidRPr="00E735B7">
        <w:t>–</w:t>
      </w:r>
      <w:r w:rsidRPr="00E735B7">
        <w:tab/>
        <w:t>ņemot vērā Eiropas Parlamenta un Padomes 2021. gada 24. jūnija Regulu (ES) 2021/1056, ar ko izveido Taisnīgas pārkārtošanās fondu</w:t>
      </w:r>
      <w:r w:rsidRPr="00E735B7">
        <w:rPr>
          <w:rStyle w:val="FootnoteReference"/>
        </w:rPr>
        <w:footnoteReference w:id="1"/>
      </w:r>
      <w:r w:rsidRPr="00E735B7">
        <w:t>,</w:t>
      </w:r>
    </w:p>
    <w:p w:rsidR="00BC1DDC" w:rsidRPr="00E735B7" w:rsidRDefault="00BC1DDC" w:rsidP="00BC1DDC">
      <w:pPr>
        <w:pStyle w:val="NormalHanging12a"/>
      </w:pPr>
      <w:r w:rsidRPr="00E735B7">
        <w:t>–</w:t>
      </w:r>
      <w:r w:rsidRPr="00E735B7">
        <w:tab/>
        <w:t>ņemot vērā Eiropas Parlamenta un Padomes 2021. gada 14. jū</w:t>
      </w:r>
      <w:r w:rsidR="00BD4C55">
        <w:t>l</w:t>
      </w:r>
      <w:bookmarkStart w:id="8" w:name="_GoBack"/>
      <w:bookmarkEnd w:id="8"/>
      <w:r w:rsidRPr="00E735B7">
        <w:t>ija Regulu (ES) 2021/1229 par publiskā sektora aizdevumu mehānismu Taisnīgas pārkārtošanās mehānisma ietvaros</w:t>
      </w:r>
      <w:r w:rsidRPr="00E735B7">
        <w:rPr>
          <w:rStyle w:val="FootnoteReference"/>
        </w:rPr>
        <w:footnoteReference w:id="2"/>
      </w:r>
      <w:r w:rsidRPr="00E735B7">
        <w:t>,</w:t>
      </w:r>
    </w:p>
    <w:p w:rsidR="00BC1DDC" w:rsidRPr="00E735B7" w:rsidRDefault="00BC1DDC" w:rsidP="00BC1DDC">
      <w:pPr>
        <w:pStyle w:val="NormalHanging12a"/>
      </w:pPr>
      <w:r w:rsidRPr="00E735B7">
        <w:t>–</w:t>
      </w:r>
      <w:r w:rsidRPr="00E735B7">
        <w:tab/>
        <w:t>ņemot vērā ANO ilgtspējīgas attīstības mērķus,</w:t>
      </w:r>
    </w:p>
    <w:p w:rsidR="00BC1DDC" w:rsidRPr="00E735B7" w:rsidRDefault="00BC1DDC" w:rsidP="00BC1DDC">
      <w:pPr>
        <w:pStyle w:val="NormalHanging12a"/>
      </w:pPr>
      <w:r w:rsidRPr="00E735B7">
        <w:t>–</w:t>
      </w:r>
      <w:r w:rsidRPr="00E735B7">
        <w:tab/>
        <w:t>ņemot vērā trīspusējo nolīgumu starp Komisiju, Eiropas Revīzijas palātu un Eiropas Investīciju banku, kas stājās spēkā 2021. gada novembrī,</w:t>
      </w:r>
    </w:p>
    <w:p w:rsidR="00BC1DDC" w:rsidRPr="00E735B7" w:rsidRDefault="00BC1DDC" w:rsidP="00BC1DDC">
      <w:pPr>
        <w:pStyle w:val="NormalHanging12a"/>
      </w:pPr>
      <w:r w:rsidRPr="00E735B7">
        <w:t>–</w:t>
      </w:r>
      <w:r w:rsidRPr="00E735B7">
        <w:tab/>
        <w:t xml:space="preserve">ņemot vērā Eiropas </w:t>
      </w:r>
      <w:proofErr w:type="spellStart"/>
      <w:r w:rsidRPr="00E735B7">
        <w:t>Ombuda</w:t>
      </w:r>
      <w:proofErr w:type="spellEnd"/>
      <w:r w:rsidRPr="00E735B7">
        <w:t xml:space="preserve"> 2016. gada 22. jūlija vēstuli EIB priekšsēdētājam interešu konflikta jautājumā un EIB priekšsēdētāja 2017. gada 31. janvāra atbildi,</w:t>
      </w:r>
    </w:p>
    <w:p w:rsidR="00BC1DDC" w:rsidRPr="00E735B7" w:rsidRDefault="00BC1DDC" w:rsidP="00BC1DDC">
      <w:pPr>
        <w:pStyle w:val="NormalHanging12a"/>
      </w:pPr>
      <w:r w:rsidRPr="00E735B7">
        <w:t>–</w:t>
      </w:r>
      <w:r w:rsidRPr="00E735B7">
        <w:tab/>
        <w:t xml:space="preserve">ņemot vērā Eiropas </w:t>
      </w:r>
      <w:proofErr w:type="spellStart"/>
      <w:r w:rsidRPr="00E735B7">
        <w:t>Ombuda</w:t>
      </w:r>
      <w:proofErr w:type="spellEnd"/>
      <w:r w:rsidRPr="00E735B7">
        <w:t xml:space="preserve"> 2023. gada 20. novembra ieteikumus lietā 2252/2022/OAM,</w:t>
      </w:r>
    </w:p>
    <w:p w:rsidR="00BC1DDC" w:rsidRPr="00E735B7" w:rsidRDefault="00BC1DDC" w:rsidP="00BC1DDC">
      <w:pPr>
        <w:pStyle w:val="NormalHanging12a"/>
      </w:pPr>
      <w:r w:rsidRPr="00E735B7">
        <w:t>–</w:t>
      </w:r>
      <w:r w:rsidRPr="00E735B7">
        <w:tab/>
        <w:t xml:space="preserve">ņemot vērā Eiropas </w:t>
      </w:r>
      <w:proofErr w:type="spellStart"/>
      <w:r w:rsidRPr="00E735B7">
        <w:t>Ombuda</w:t>
      </w:r>
      <w:proofErr w:type="spellEnd"/>
      <w:r w:rsidRPr="00E735B7">
        <w:t xml:space="preserve"> 2022. gada 21. aprīļa ieteikumus lietā 1251/2020/PB,</w:t>
      </w:r>
    </w:p>
    <w:p w:rsidR="00BC1DDC" w:rsidRPr="00E735B7" w:rsidRDefault="00BC1DDC" w:rsidP="00BC1DDC">
      <w:pPr>
        <w:pStyle w:val="NormalHanging12a"/>
      </w:pPr>
      <w:r w:rsidRPr="00E735B7">
        <w:t>–</w:t>
      </w:r>
      <w:r w:rsidRPr="00E735B7">
        <w:tab/>
        <w:t xml:space="preserve">ņemot vērā Eiropas </w:t>
      </w:r>
      <w:proofErr w:type="spellStart"/>
      <w:r w:rsidRPr="00E735B7">
        <w:t>Ombuda</w:t>
      </w:r>
      <w:proofErr w:type="spellEnd"/>
      <w:r w:rsidRPr="00E735B7">
        <w:t xml:space="preserve"> 2022. gada 27. jūlija ieteikumus lietā 1016/2021/KR,</w:t>
      </w:r>
    </w:p>
    <w:p w:rsidR="00BC1DDC" w:rsidRPr="00E735B7" w:rsidRDefault="00BC1DDC" w:rsidP="00BC1DDC">
      <w:pPr>
        <w:pStyle w:val="NormalHanging12a"/>
      </w:pPr>
      <w:r w:rsidRPr="00E735B7">
        <w:t>–</w:t>
      </w:r>
      <w:r w:rsidRPr="00E735B7">
        <w:tab/>
        <w:t>ņemot vērā Reglamenta 54. pantu,</w:t>
      </w:r>
    </w:p>
    <w:p w:rsidR="00BC1DDC" w:rsidRPr="00E735B7" w:rsidRDefault="00BC1DDC" w:rsidP="00BC1DDC">
      <w:pPr>
        <w:pStyle w:val="NormalHanging12a"/>
      </w:pPr>
      <w:r w:rsidRPr="00E735B7">
        <w:t>–</w:t>
      </w:r>
      <w:r w:rsidRPr="00E735B7">
        <w:tab/>
        <w:t>ņemot vērā Budžeta komitejas ziņojumu (A9-0031/2024),</w:t>
      </w:r>
    </w:p>
    <w:p w:rsidR="00BC1DDC" w:rsidRPr="00E735B7" w:rsidRDefault="00BC1DDC" w:rsidP="00BC1DDC">
      <w:pPr>
        <w:pStyle w:val="NormalHanging12a"/>
      </w:pPr>
      <w:r w:rsidRPr="00E735B7">
        <w:t>A.</w:t>
      </w:r>
      <w:r w:rsidRPr="00E735B7">
        <w:tab/>
        <w:t>tā kā EIB grupu veido Eiropas Investīciju banka (EIB) un Eiropas Investīciju fonds (EIF) un tā ir lielākā daudzpusējā finanšu iestāde pasaulē un viena no lielākajām klimata finansējuma sniedzējām, kas darbojas starptautiskajos kapitāla tirgos, piedāvājot klientiem konkurētspējīgus noteikumus un labvēlīgus nosacījumus ES politikas un projektu atbalstam gan Savienībā, gan trešās valstīs;</w:t>
      </w:r>
    </w:p>
    <w:p w:rsidR="00BC1DDC" w:rsidRPr="00E735B7" w:rsidRDefault="00BC1DDC" w:rsidP="00BC1DDC">
      <w:pPr>
        <w:spacing w:after="240"/>
        <w:ind w:left="567" w:hanging="567"/>
      </w:pPr>
      <w:r w:rsidRPr="00E735B7">
        <w:t>B.</w:t>
      </w:r>
      <w:r w:rsidRPr="00E735B7">
        <w:tab/>
        <w:t>tā kā saskaņā ar LESD 309. pantu EIB uzdevums ir sniegt ieguldījumu ES mērķu sasniegšanā;</w:t>
      </w:r>
    </w:p>
    <w:p w:rsidR="00BC1DDC" w:rsidRPr="00E735B7" w:rsidRDefault="00BC1DDC" w:rsidP="00BC1DDC">
      <w:pPr>
        <w:spacing w:after="240"/>
        <w:ind w:left="567" w:hanging="567"/>
      </w:pPr>
      <w:r w:rsidRPr="00E735B7">
        <w:t>C.</w:t>
      </w:r>
      <w:r w:rsidRPr="00E735B7">
        <w:tab/>
        <w:t xml:space="preserve">tā kā, lai sasniegtu ES klimata </w:t>
      </w:r>
      <w:proofErr w:type="spellStart"/>
      <w:r w:rsidRPr="00E735B7">
        <w:t>mērķrādītājus</w:t>
      </w:r>
      <w:proofErr w:type="spellEnd"/>
      <w:r w:rsidRPr="00E735B7">
        <w:t xml:space="preserve">, ES ir nepieciešami ieguldījumi 1 triljona </w:t>
      </w:r>
      <w:r w:rsidRPr="00E735B7">
        <w:lastRenderedPageBreak/>
        <w:t>EUR apmērā gadā; tā kā EIB var palīdzēt nodrošināt trūkstošo finansējumu, piesaistot privāto kapitālu;</w:t>
      </w:r>
    </w:p>
    <w:p w:rsidR="00BC1DDC" w:rsidRPr="00E735B7" w:rsidRDefault="00BC1DDC" w:rsidP="00BC1DDC">
      <w:pPr>
        <w:pStyle w:val="NormalHanging12a"/>
      </w:pPr>
      <w:r w:rsidRPr="00E735B7">
        <w:t>D.</w:t>
      </w:r>
      <w:r w:rsidRPr="00E735B7">
        <w:tab/>
        <w:t xml:space="preserve">tā kā ir sagaidāms, ka laikposmā no 2021. līdz 2027. gadam </w:t>
      </w:r>
      <w:proofErr w:type="spellStart"/>
      <w:r w:rsidRPr="00E735B7">
        <w:rPr>
          <w:i/>
          <w:iCs/>
        </w:rPr>
        <w:t>InvestEU</w:t>
      </w:r>
      <w:proofErr w:type="spellEnd"/>
      <w:r w:rsidRPr="00E735B7">
        <w:t xml:space="preserve"> garantija 26,2 miljardu EUR apjomā, papildināta ar daudzgadu finanšu shēmas (DFS) un </w:t>
      </w:r>
      <w:proofErr w:type="spellStart"/>
      <w:r w:rsidRPr="00E735B7">
        <w:rPr>
          <w:i/>
          <w:iCs/>
        </w:rPr>
        <w:t>NextGenerationEU</w:t>
      </w:r>
      <w:proofErr w:type="spellEnd"/>
      <w:r w:rsidRPr="00E735B7">
        <w:rPr>
          <w:i/>
          <w:iCs/>
        </w:rPr>
        <w:t xml:space="preserve"> </w:t>
      </w:r>
      <w:r w:rsidRPr="00E735B7">
        <w:t xml:space="preserve">līdzekļiem, Eiropā mobilizēs papildu privātās un publiskās investīcijas vairāk nekā 372 miljardu EUR apjomā, galvenokārt tādās jomās kā ilgtspējīga infrastruktūra, pētniecība, inovācija un </w:t>
      </w:r>
      <w:proofErr w:type="spellStart"/>
      <w:r w:rsidRPr="00E735B7">
        <w:t>digitalizācija</w:t>
      </w:r>
      <w:proofErr w:type="spellEnd"/>
      <w:r w:rsidRPr="00E735B7">
        <w:t>, mazie un vidējie uzņēmumi (MVU), sociālās investīcijas un prasmes;</w:t>
      </w:r>
    </w:p>
    <w:p w:rsidR="00BC1DDC" w:rsidRPr="00E735B7" w:rsidRDefault="00BC1DDC" w:rsidP="00BC1DDC">
      <w:pPr>
        <w:pStyle w:val="NormalHanging12a"/>
      </w:pPr>
      <w:r w:rsidRPr="00E735B7">
        <w:rPr>
          <w:b/>
          <w:i/>
        </w:rPr>
        <w:t>Politikas un darbību pārskats</w:t>
      </w:r>
    </w:p>
    <w:p w:rsidR="00BC1DDC" w:rsidRPr="00E735B7" w:rsidRDefault="00BC1DDC" w:rsidP="00BC1DDC">
      <w:pPr>
        <w:pStyle w:val="NormalHanging12a"/>
      </w:pPr>
      <w:r w:rsidRPr="00E735B7">
        <w:t>1.</w:t>
      </w:r>
      <w:r w:rsidRPr="00E735B7">
        <w:tab/>
        <w:t xml:space="preserve">atkārtoti uzsver EIB kā ES publiskās bankas un vienīgās starptautiskās finanšu iestādes, kas pilnībā pieder dalībvalstīm, svarīgo lomu, tai pilnībā pamatojoties uz ES politiku un ievērojot atbilstību ES juridiskajiem standartiem, lai atbalstītu sociālo un ekonomikas atveseļošanu un nodrošinātu </w:t>
      </w:r>
      <w:proofErr w:type="spellStart"/>
      <w:r w:rsidRPr="00E735B7">
        <w:t>mērķorientētus</w:t>
      </w:r>
      <w:proofErr w:type="spellEnd"/>
      <w:r w:rsidRPr="00E735B7">
        <w:t xml:space="preserve"> ieguldījumus Savienības mērķu sasniegšanai;</w:t>
      </w:r>
    </w:p>
    <w:p w:rsidR="00BC1DDC" w:rsidRPr="00E735B7" w:rsidRDefault="00BC1DDC" w:rsidP="00BC1DDC">
      <w:pPr>
        <w:pStyle w:val="NormalHanging12a"/>
      </w:pPr>
      <w:r w:rsidRPr="00E735B7">
        <w:t>2.</w:t>
      </w:r>
      <w:r w:rsidRPr="00E735B7">
        <w:tab/>
        <w:t>atzinīgi vērtē to, ka EIB vienmēr ir gatava pielāgoties un pilnībā mainīties atbilstoši mainīgajām ES politikas prasībām, vienlaikus respektējot savus ilgtermiņa mērķus;</w:t>
      </w:r>
    </w:p>
    <w:p w:rsidR="00BC1DDC" w:rsidRPr="00E735B7" w:rsidRDefault="00BC1DDC" w:rsidP="00BC1DDC">
      <w:pPr>
        <w:pStyle w:val="NormalHanging12a"/>
      </w:pPr>
      <w:r w:rsidRPr="00E735B7">
        <w:t>3.</w:t>
      </w:r>
      <w:r w:rsidRPr="00E735B7">
        <w:tab/>
        <w:t xml:space="preserve">atkārtoti aicina palielināt kapitālu, lai EIB varētu piedāvāt lielāku ilgtermiņa atmaksājamu finansiālo atbalstu un inovatīvus instrumentus; norāda, ka tas ir nepieciešams, lai nodrošinātu taisnīgu, iekļaujošu ilgtspējīgu izaugsmi, atbalstot galvenos ieguldījumus reālajā ekonomikā, kas citādi netiktu veikti un kam ir potenciāls maksimāli palielināt inovācijas ieguvumus tādās svarīgās ES politikas jomās kā </w:t>
      </w:r>
      <w:proofErr w:type="spellStart"/>
      <w:r w:rsidRPr="00E735B7">
        <w:t>digitalizācija</w:t>
      </w:r>
      <w:proofErr w:type="spellEnd"/>
      <w:r w:rsidRPr="00E735B7">
        <w:t xml:space="preserve"> un zaļā pārkārtošanās; norāda, ka šiem ieguldījumiem būtu jāpalīdz mazināt konkurētspējas ierobežojumus, piemēram, augstas enerģijas cenas, prasmju trūkumu un nepietiekamus ieguldījumus inovācijā un jaunās tehnoloģijās, kā arī jāpalīdz īstenot Eiropas sociālo tiesību pīlāru un ANO ilgtspējīgas attīstības mērķus; sagaida, ka EIB nodrošinās, lai tās piešķirtais finansējums palīdzētu novērst tirgus nepilnības un neizspiestu citus tirgus dalībniekus, kā arī lai tas radītu izmērāmu ietekmi, nemazinot tās kopējā finansējuma piedāvājuma pievilcību;</w:t>
      </w:r>
    </w:p>
    <w:p w:rsidR="00BC1DDC" w:rsidRPr="00E735B7" w:rsidRDefault="00BC1DDC" w:rsidP="00BC1DDC">
      <w:pPr>
        <w:pStyle w:val="NormalHanging12a"/>
      </w:pPr>
      <w:r w:rsidRPr="00E735B7">
        <w:t>4.</w:t>
      </w:r>
      <w:r w:rsidRPr="00E735B7">
        <w:tab/>
        <w:t>uzsver, ka EIB ir jāsaglabā tās AAA kredītreitings un pilnīga kapitāla tirgu uzticēšanās tās darbībām;</w:t>
      </w:r>
    </w:p>
    <w:p w:rsidR="00BC1DDC" w:rsidRPr="00E735B7" w:rsidRDefault="00BC1DDC" w:rsidP="00BC1DDC">
      <w:pPr>
        <w:pStyle w:val="NormalHanging12a"/>
      </w:pPr>
      <w:r w:rsidRPr="00E735B7">
        <w:t>5.</w:t>
      </w:r>
      <w:r w:rsidRPr="00E735B7">
        <w:tab/>
        <w:t>norāda, ka EIB finansējumam ir arvien lielāka nozīme saistībā ar būtiskajām sociālajām un ekonomiskajām sekām, ko radīja Covid-19 krīze, kurai sekoja iebrukums Ukrainā, konkrētāk, inflācija, augstas procentu likmes un ierobežotas valstu finanses; turklāt norāda, ka EIB finansējumam ir lielāka nozīme saistībā ar sarežģītajām ekonomikas perspektīvām un pieaugošo globālo konkurenci, kas ietekmē arī notiekošos projektus;</w:t>
      </w:r>
    </w:p>
    <w:p w:rsidR="00BC1DDC" w:rsidRPr="00E735B7" w:rsidRDefault="00BC1DDC" w:rsidP="00BC1DDC">
      <w:pPr>
        <w:pStyle w:val="NormalHanging12a"/>
      </w:pPr>
      <w:r w:rsidRPr="00E735B7">
        <w:t>6.</w:t>
      </w:r>
      <w:r w:rsidRPr="00E735B7">
        <w:tab/>
        <w:t>uzskata, ka EIB varētu darīt vairāk, lai uzlabotu nozaru līdzsvaru un pielāgotos ES reģionālajai daudzveidībai nolūkā palielināt tās līdzekļu pievilcību;  aicina EIB novērst sistēmiskus trūkumus, kas atsevišķiem reģioniem vai valstīm neļauj pilnībā izmantot tās finansiālās darbības, vienlaikus ievērojot to, ka EIB finansēšanas darījumi ir atkarīgi no pieprasījuma;  aicina EIB novērtēt, vai</w:t>
      </w:r>
      <w:r w:rsidRPr="00E735B7">
        <w:rPr>
          <w:i/>
          <w:iCs/>
        </w:rPr>
        <w:t xml:space="preserve"> </w:t>
      </w:r>
      <w:proofErr w:type="spellStart"/>
      <w:r w:rsidRPr="00E735B7">
        <w:rPr>
          <w:i/>
          <w:iCs/>
        </w:rPr>
        <w:t>InvestEU</w:t>
      </w:r>
      <w:proofErr w:type="spellEnd"/>
      <w:r w:rsidRPr="00E735B7">
        <w:rPr>
          <w:i/>
          <w:iCs/>
        </w:rPr>
        <w:t xml:space="preserve"> </w:t>
      </w:r>
      <w:r w:rsidRPr="00E735B7">
        <w:t>finansējuma ģeogrāfiskais sadalījums ir līdzsvarots, it īpaši attiecībā uz mazākām dalībvalstīm;</w:t>
      </w:r>
    </w:p>
    <w:p w:rsidR="00BC1DDC" w:rsidRPr="00E735B7" w:rsidRDefault="00BC1DDC" w:rsidP="00BC1DDC">
      <w:pPr>
        <w:pStyle w:val="NormalHanging12a"/>
      </w:pPr>
      <w:r w:rsidRPr="00E735B7">
        <w:t>7.</w:t>
      </w:r>
      <w:r w:rsidRPr="00E735B7">
        <w:tab/>
        <w:t xml:space="preserve">aicina EIB atbalstīt projektus, kas palīdz īstenot Eiropas sociālo tiesību pīlāru un ANO ilgtspējīgas attīstības mērķus un veicina sociālo iekļaušanu un nevienlīdzības </w:t>
      </w:r>
      <w:r w:rsidRPr="00E735B7">
        <w:lastRenderedPageBreak/>
        <w:t xml:space="preserve">mazināšanu saskaņā ar vides un sociālajiem standartiem; aicina EIB uzņemties lielāku lomu, novērtējot un novēršot investīciju trūkumu tādās sociālās infrastruktūras un labklājības jomās kā izmaksu ziņā pieejami un energoefektīvi sociālie mājokļi, valsts veselības aprūpe, komunālie pakalpojumi, sabiedriskais transports, ilgtspējīgs transports un izglītība, vienlaikus nodrošinot </w:t>
      </w:r>
      <w:proofErr w:type="spellStart"/>
      <w:r w:rsidRPr="00E735B7">
        <w:t>papildināmību</w:t>
      </w:r>
      <w:proofErr w:type="spellEnd"/>
      <w:r w:rsidRPr="00E735B7">
        <w:t xml:space="preserve"> ar citiem publiskajiem fondiem un ar </w:t>
      </w:r>
      <w:proofErr w:type="spellStart"/>
      <w:r w:rsidRPr="00E735B7">
        <w:t>komercaizdevējiem</w:t>
      </w:r>
      <w:proofErr w:type="spellEnd"/>
      <w:r w:rsidRPr="00E735B7">
        <w:t>; aicina EIB palielināt sociālo ieguvumu svērumu projektu novērtēšanā, lai nodrošinātu cenas ziņā pieejamus ilgtermiņa risinājumus, ņemot vērā dzīves dārdzības krīzi un Eiropas Savienības mājsaimniecību problēmas, ko mājsaimniecībām Eiropas Savienībā rada vispārējās ekonomikas perspektīvas; prasa EIB uzņemties lielāku risku projektos, kas nodrošina pamatpakalpojumus, kuriem ilgtermiņā ir skaidri un izmērāmi ieguvumi; aicina EIB, kad vien iespējams, piešķirt finansiālu prioritāti projektiem, kuros iesaistīti neaizsargāti vai atstumti cilvēki, it īpaši jaunieši, un iedzīvotāju vadītiem projektiem;</w:t>
      </w:r>
    </w:p>
    <w:p w:rsidR="00BC1DDC" w:rsidRPr="00E735B7" w:rsidRDefault="00BC1DDC" w:rsidP="00BC1DDC">
      <w:pPr>
        <w:pStyle w:val="Normal12a24b"/>
        <w:spacing w:before="0"/>
        <w:rPr>
          <w:rStyle w:val="BoldItalic"/>
        </w:rPr>
      </w:pPr>
      <w:r w:rsidRPr="00E735B7">
        <w:rPr>
          <w:rStyle w:val="BoldItalic"/>
        </w:rPr>
        <w:t xml:space="preserve">ES klimata banka — </w:t>
      </w:r>
      <w:proofErr w:type="spellStart"/>
      <w:r w:rsidRPr="00E735B7">
        <w:rPr>
          <w:rStyle w:val="BoldItalic"/>
        </w:rPr>
        <w:t>klimatrīcības</w:t>
      </w:r>
      <w:proofErr w:type="spellEnd"/>
      <w:r w:rsidRPr="00E735B7">
        <w:rPr>
          <w:rStyle w:val="BoldItalic"/>
        </w:rPr>
        <w:t xml:space="preserve"> un vides ilgtspējas mērķi</w:t>
      </w:r>
    </w:p>
    <w:p w:rsidR="00BC1DDC" w:rsidRPr="00E735B7" w:rsidRDefault="00BC1DDC" w:rsidP="00BC1DDC">
      <w:pPr>
        <w:pStyle w:val="NormalHanging12a"/>
      </w:pPr>
      <w:r w:rsidRPr="00E735B7">
        <w:t>8.</w:t>
      </w:r>
      <w:r w:rsidRPr="00E735B7">
        <w:tab/>
        <w:t xml:space="preserve">pieņem zināšanai konstatējumus EIB 2022./2023. gada ziņojumā par investīcijām "Noturība un atjaunošana Eiropā", kurā analizētas investīcijas </w:t>
      </w:r>
      <w:proofErr w:type="spellStart"/>
      <w:r w:rsidRPr="00E735B7">
        <w:t>klimatrīcības</w:t>
      </w:r>
      <w:proofErr w:type="spellEnd"/>
      <w:r w:rsidRPr="00E735B7">
        <w:t xml:space="preserve"> jomā visā ES un investīciju nepietiekamība dažādās nozarēs; pieņem zināšanai arī EIB grupas darbības plānu 2023.–2025. gadam, kurā apstiprināta EIB saskaņotība ar ES politiskajām prioritātēm un tās apņemšanās pastiprināt savus mērķus digitālās un zaļās pārkārtošanās jomā; aicina Komisiju izstrādāt metodi, kā novērtēt zaļā finansējuma trūkumu ES, un novērtēt EIB iespējamo lomu šā finansējuma trūkuma novēršanā;</w:t>
      </w:r>
    </w:p>
    <w:p w:rsidR="00BC1DDC" w:rsidRPr="00E735B7" w:rsidRDefault="00BC1DDC" w:rsidP="00BC1DDC">
      <w:pPr>
        <w:pStyle w:val="NormalHanging12a"/>
      </w:pPr>
      <w:r w:rsidRPr="00E735B7">
        <w:t>9.</w:t>
      </w:r>
      <w:r w:rsidRPr="00E735B7">
        <w:tab/>
        <w:t xml:space="preserve">atgādina, ka EIB ir pasaulē lielākais zaļo obligāciju emitents vairākās valūtās; norāda, ka </w:t>
      </w:r>
      <w:proofErr w:type="spellStart"/>
      <w:r w:rsidRPr="00E735B7">
        <w:t>euro</w:t>
      </w:r>
      <w:proofErr w:type="spellEnd"/>
      <w:r w:rsidRPr="00E735B7">
        <w:t xml:space="preserve"> </w:t>
      </w:r>
      <w:proofErr w:type="spellStart"/>
      <w:r w:rsidRPr="00E735B7">
        <w:t>denominētu</w:t>
      </w:r>
      <w:proofErr w:type="spellEnd"/>
      <w:r w:rsidRPr="00E735B7">
        <w:t xml:space="preserve"> obligāciju īpatsvara palielināšana vēl vairāk stiprinātu </w:t>
      </w:r>
      <w:proofErr w:type="spellStart"/>
      <w:r w:rsidRPr="00E735B7">
        <w:t>euro</w:t>
      </w:r>
      <w:proofErr w:type="spellEnd"/>
      <w:r w:rsidRPr="00E735B7">
        <w:t xml:space="preserve"> starptautisko nozīmi;</w:t>
      </w:r>
    </w:p>
    <w:p w:rsidR="00BC1DDC" w:rsidRPr="00E735B7" w:rsidRDefault="00BC1DDC" w:rsidP="00BC1DDC">
      <w:pPr>
        <w:pStyle w:val="NormalHanging12a"/>
      </w:pPr>
      <w:r w:rsidRPr="00E735B7">
        <w:t>10.</w:t>
      </w:r>
      <w:r w:rsidRPr="00E735B7">
        <w:tab/>
        <w:t xml:space="preserve">atgādina, ka zaļās pārkārtošanās procesam ir jābūt iekļaujošam un taisnīgam, zaļajām investīcijām ir jābūt dzīvotspējīgām, un tāpēc sagaida, ka EIB savas aizdošanas operācijas, finanšu instrumentus, tehnisko palīdzību un konsultēšanas pakalpojumus maksimāli izmantos, lai atbalstītu iedzīvotājus un uzņēmumus, kas saskaras ar sociālām un ekonomiskām problēmām, kuras rodas no to centieniem vēlākais līdz 2050. gadam panākt </w:t>
      </w:r>
      <w:proofErr w:type="spellStart"/>
      <w:r w:rsidRPr="00E735B7">
        <w:t>klimatneitralitāti</w:t>
      </w:r>
      <w:proofErr w:type="spellEnd"/>
      <w:r w:rsidRPr="00E735B7">
        <w:t xml:space="preserve">; aicina EIB prioritāri atbalstīt projektus, kas nodrošina cenas ziņā pieņemamu piekļuvi </w:t>
      </w:r>
      <w:proofErr w:type="spellStart"/>
      <w:r w:rsidRPr="00E735B7">
        <w:t>atjaunīgai</w:t>
      </w:r>
      <w:proofErr w:type="spellEnd"/>
      <w:r w:rsidRPr="00E735B7">
        <w:t xml:space="preserve"> enerģijai, mājoklim un sabiedriskajiem pakalpojumiem, kopienu vadītas iniciatīvas un mazus projektus, kuros īpaša uzmanība veltīta enerģētiskās nabadzības apkarošanai;</w:t>
      </w:r>
    </w:p>
    <w:p w:rsidR="00BC1DDC" w:rsidRPr="00E735B7" w:rsidRDefault="00BC1DDC" w:rsidP="00BC1DDC">
      <w:pPr>
        <w:pStyle w:val="NormalHanging12a"/>
      </w:pPr>
      <w:r w:rsidRPr="00E735B7">
        <w:t>11.</w:t>
      </w:r>
      <w:r w:rsidRPr="00E735B7">
        <w:tab/>
        <w:t xml:space="preserve">atzinīgi vērtē to, ka EIB jau ir sasniegusi savu mērķi vismaz pusi no saviem resursiem veltīt </w:t>
      </w:r>
      <w:proofErr w:type="spellStart"/>
      <w:r w:rsidRPr="00E735B7">
        <w:t>klimatrīcībai</w:t>
      </w:r>
      <w:proofErr w:type="spellEnd"/>
      <w:r w:rsidRPr="00E735B7">
        <w:t xml:space="preserve"> un vides ilgtspējai un ka tā ir uz pareizā ceļa, lai sasniegtu savu mērķi līdz 2030. gadam atbalstīt zaļās investīcijas 1 triljona EUR apmērā; sagaida, ka Klimata bankas ceļveža pārskatīšana 2024. gadā ļaus EIB pilnvērtīgi strādāt nolūkā sasniegt 1,5 grādu </w:t>
      </w:r>
      <w:proofErr w:type="spellStart"/>
      <w:r w:rsidRPr="00E735B7">
        <w:t>mērķrādītāju</w:t>
      </w:r>
      <w:proofErr w:type="spellEnd"/>
      <w:r w:rsidRPr="00E735B7">
        <w:t xml:space="preserve"> un </w:t>
      </w:r>
      <w:proofErr w:type="spellStart"/>
      <w:r w:rsidRPr="00E735B7">
        <w:t>klimatneitralitātes</w:t>
      </w:r>
      <w:proofErr w:type="spellEnd"/>
      <w:r w:rsidRPr="00E735B7">
        <w:t xml:space="preserve"> mērķi vēlākais līdz 2050. gadam, vienlaikus nodrošinot taisnīgu pārkārtošanos visiem; uzskata, ka šo etalonu sasniegšanai jābūt visvērienīgākajai valsts banku praksei; atkārtoti aicina iekļaut CO2 emisiju ziņā mazāk intensīvu alternatīvu un 3. pakāpes emisiju pārliecinošu </w:t>
      </w:r>
      <w:proofErr w:type="spellStart"/>
      <w:r w:rsidRPr="00E735B7">
        <w:t>izvērtējumu</w:t>
      </w:r>
      <w:proofErr w:type="spellEnd"/>
      <w:r w:rsidRPr="00E735B7">
        <w:t xml:space="preserve"> attiecībā uz katru projektu;</w:t>
      </w:r>
    </w:p>
    <w:p w:rsidR="00BC1DDC" w:rsidRPr="00E735B7" w:rsidRDefault="00BC1DDC" w:rsidP="00BC1DDC">
      <w:pPr>
        <w:pStyle w:val="NormalHanging12a"/>
      </w:pPr>
      <w:r w:rsidRPr="00E735B7">
        <w:t>12.</w:t>
      </w:r>
      <w:r w:rsidRPr="00E735B7">
        <w:tab/>
        <w:t>atzinīgi vērtē satvaru, kurš paredz pielāgošanos Parīzes nolīgumam darījumos ar sadarbības partneriem (</w:t>
      </w:r>
      <w:r w:rsidRPr="00E735B7">
        <w:rPr>
          <w:i/>
          <w:iCs/>
        </w:rPr>
        <w:t>PATH</w:t>
      </w:r>
      <w:r w:rsidRPr="00E735B7">
        <w:t xml:space="preserve">) un sagaida, ka tas tiks pilnībā īstenots gan attiecībā uz emisiju maksimālu samazināšanu, gan </w:t>
      </w:r>
      <w:proofErr w:type="spellStart"/>
      <w:r w:rsidRPr="00E735B7">
        <w:t>klimatnoturības</w:t>
      </w:r>
      <w:proofErr w:type="spellEnd"/>
      <w:r w:rsidRPr="00E735B7">
        <w:t xml:space="preserve"> uzlabošanu; pieņem zināšanai EIB reakciju uz ārkārtas situāciju enerģētikas jomā ES, pielāgojot </w:t>
      </w:r>
      <w:r w:rsidRPr="00E735B7">
        <w:rPr>
          <w:i/>
          <w:iCs/>
        </w:rPr>
        <w:t>PATH</w:t>
      </w:r>
      <w:r w:rsidRPr="00E735B7">
        <w:t xml:space="preserve">; sagaida, ka </w:t>
      </w:r>
      <w:r w:rsidRPr="00E735B7">
        <w:lastRenderedPageBreak/>
        <w:t xml:space="preserve">atbrīvojumi, kas piešķirti saskaņā ar </w:t>
      </w:r>
      <w:r w:rsidRPr="00E735B7">
        <w:rPr>
          <w:i/>
          <w:iCs/>
        </w:rPr>
        <w:t xml:space="preserve">PATH </w:t>
      </w:r>
      <w:r w:rsidRPr="00E735B7">
        <w:t xml:space="preserve">satvaru </w:t>
      </w:r>
      <w:proofErr w:type="spellStart"/>
      <w:r w:rsidRPr="00E735B7">
        <w:rPr>
          <w:i/>
          <w:iCs/>
        </w:rPr>
        <w:t>REPowerEU</w:t>
      </w:r>
      <w:proofErr w:type="spellEnd"/>
      <w:r w:rsidRPr="00E735B7">
        <w:t xml:space="preserve"> atbalstam, būs ārkārtēji, pagaidu un pilnībā pamatoti, lai varētu paātrināt zaļo pārkārtošanos un izbeigt Eiropas atkarību no fosilā kurināmā importa, tai skaitā no Krievijas; šajā ziņā atzinīgi vērtē to, ka EIB palielinājusi atbalstu </w:t>
      </w:r>
      <w:proofErr w:type="spellStart"/>
      <w:r w:rsidRPr="00E735B7">
        <w:rPr>
          <w:i/>
          <w:iCs/>
        </w:rPr>
        <w:t>REPowerEU</w:t>
      </w:r>
      <w:proofErr w:type="spellEnd"/>
      <w:r w:rsidRPr="00E735B7">
        <w:t xml:space="preserve"> līdz 45 miljardiem EUR kā aizdevumus un pašu kapitāla finansējumu projektiem </w:t>
      </w:r>
      <w:proofErr w:type="spellStart"/>
      <w:r w:rsidRPr="00E735B7">
        <w:t>atjaunīgo</w:t>
      </w:r>
      <w:proofErr w:type="spellEnd"/>
      <w:r w:rsidRPr="00E735B7">
        <w:t xml:space="preserve"> energoresursu, energoefektivitātes, tīklu un uzglabāšanas, </w:t>
      </w:r>
      <w:proofErr w:type="spellStart"/>
      <w:r w:rsidRPr="00E735B7">
        <w:t>elektrotransportlīdzekļu</w:t>
      </w:r>
      <w:proofErr w:type="spellEnd"/>
      <w:r w:rsidRPr="00E735B7">
        <w:t xml:space="preserve"> uzlādes infrastruktūras un revolucionāru tehnoloģiju jomā turpmākajos gados; </w:t>
      </w:r>
    </w:p>
    <w:p w:rsidR="00BC1DDC" w:rsidRPr="00E735B7" w:rsidRDefault="00BC1DDC" w:rsidP="00BC1DDC">
      <w:pPr>
        <w:pStyle w:val="NormalHanging12a"/>
      </w:pPr>
      <w:r w:rsidRPr="00E735B7">
        <w:t>13.</w:t>
      </w:r>
      <w:r w:rsidRPr="00E735B7">
        <w:tab/>
        <w:t xml:space="preserve">atgādina, ka visiem EIB korporatīvajiem klientiem saskaņā ar līgumu ir jāizstrādā un jāpublicē ticama stratēģija darbības saskaņošanai ar Parīzes nolīgumu ("dekarbonizācijas plāns"), kurā būtu jāiekļauj vidēja termiņa, slīdošie un kvantitatīvie emisiju samazināšanas </w:t>
      </w:r>
      <w:proofErr w:type="spellStart"/>
      <w:r w:rsidRPr="00E735B7">
        <w:t>mērķrādītāji</w:t>
      </w:r>
      <w:proofErr w:type="spellEnd"/>
      <w:r w:rsidRPr="00E735B7">
        <w:t xml:space="preserve"> un izvēles iespējas ilgākā laikposmā, lai ne vēlāk kā līdz 2050. gadam panāktu </w:t>
      </w:r>
      <w:proofErr w:type="spellStart"/>
      <w:r w:rsidRPr="00E735B7">
        <w:t>oglekļneitralitāti</w:t>
      </w:r>
      <w:proofErr w:type="spellEnd"/>
      <w:r w:rsidRPr="00E735B7">
        <w:t xml:space="preserve">; sagaida, ka EIB pirms jebkādu jaunu finanšu saistību parakstīšanas sistemātiski izvērtēs šo plānu ticamību, piemērojot dekarbonizācijas kritērijus, kas ir saderīgi ar 1,5 grādu </w:t>
      </w:r>
      <w:proofErr w:type="spellStart"/>
      <w:r w:rsidRPr="00E735B7">
        <w:t>mērķrādītāju</w:t>
      </w:r>
      <w:proofErr w:type="spellEnd"/>
      <w:r w:rsidRPr="00E735B7">
        <w:t xml:space="preserve">; atkārtoti prasa EIB sadarboties tikai ar finanšu starpniekiem, kuriem ir ticams dekarbonizācijas plāns, tai skaitā īstermiņa </w:t>
      </w:r>
      <w:proofErr w:type="spellStart"/>
      <w:r w:rsidRPr="00E735B7">
        <w:t>mērķrādītāji</w:t>
      </w:r>
      <w:proofErr w:type="spellEnd"/>
      <w:r w:rsidRPr="00E735B7">
        <w:t>, kas ir saderīgi ar rīcības plānu 1,5 grādu mērķa sasniegšanai un kas tiks īstenoti pēc iespējas drīzāk un ne vēlāk kā līdz 2025. gadam; uzsver, ka šādas jaunas prasības nedrīkst ierobežot finansējuma pieejamību MVU;</w:t>
      </w:r>
    </w:p>
    <w:p w:rsidR="00BC1DDC" w:rsidRPr="00E735B7" w:rsidRDefault="00BC1DDC" w:rsidP="00BC1DDC">
      <w:pPr>
        <w:pStyle w:val="NormalHanging12a"/>
      </w:pPr>
      <w:r w:rsidRPr="00E735B7">
        <w:t>14.</w:t>
      </w:r>
      <w:r w:rsidRPr="00E735B7">
        <w:tab/>
        <w:t>uzsver EIB svarīgo lomu taisnīgas pārkārtošanās nodrošināšanā; aicina EIB samazināt minimālo aizdevuma summu atsevišķiem projektiem vai aizdevumu shēmām, kas palīdz īstenot taisnīgu pārkārtošanos; mudina EIB aktīvāk sadarboties ar valstu un reģionālajām finanšu iestādēm, lai nodrošinātu mērķtiecīgu finansējumu; šajā ziņā aicina EIB veicināt sieviešu un vīriešu līdztiesības jomā izvirzīto ES mērķu sasniegšanu; atzinīgi vērtē EIB iesaistīšanos ES Taisnīgas pārkārtošanās mehānismā nolūkā novērst sociālekonomisko ietekmi, ko rada pāreja uz neto nulles emisiju ekonomiku, un radīt jaunas ilgtspējīgas attīstības iespējas atbilstīgajos reģionos;</w:t>
      </w:r>
    </w:p>
    <w:p w:rsidR="00BC1DDC" w:rsidRPr="00E735B7" w:rsidRDefault="00BC1DDC" w:rsidP="00BC1DDC">
      <w:pPr>
        <w:pStyle w:val="NormalHanging12a"/>
      </w:pPr>
      <w:r w:rsidRPr="00E735B7">
        <w:t>15.</w:t>
      </w:r>
      <w:r w:rsidRPr="00E735B7">
        <w:tab/>
        <w:t xml:space="preserve">aicina EIB pielāgot savas riska mazināšanas darbības, kas privāto finansējumu novirzītu projektiem, kuriem ir augsts </w:t>
      </w:r>
      <w:proofErr w:type="spellStart"/>
      <w:r w:rsidRPr="00E735B7">
        <w:t>papildināmības</w:t>
      </w:r>
      <w:proofErr w:type="spellEnd"/>
      <w:r w:rsidRPr="00E735B7">
        <w:t xml:space="preserve"> līmenis un kuri veicina taisnīgu pārkārtošanos, neapdraudot tās portfeļa komerciālo dzīvotspēju; aicina EIB mācīties no pieredzes, kas gūta, īstenojot tādus produktus kā klimatam un infrastruktūrai paredzētais finansējums, tai skaitā ņemt vērā starpniecības kapitāla nozīmi un nepieciešamību uzlabot maza mēroga zaļās infrastruktūras projektu riska un peļņas attiecību;</w:t>
      </w:r>
    </w:p>
    <w:p w:rsidR="00BC1DDC" w:rsidRPr="00E735B7" w:rsidRDefault="00BC1DDC" w:rsidP="00BC1DDC">
      <w:pPr>
        <w:pStyle w:val="NormalHanging12a"/>
      </w:pPr>
      <w:r w:rsidRPr="00E735B7">
        <w:t>16.</w:t>
      </w:r>
      <w:r w:rsidRPr="00E735B7">
        <w:tab/>
        <w:t xml:space="preserve">atzinīgi vērtē palielinātās investīcijas ūdeņraža projektos; uzstāj, ka ūdeņraža projektu uzdevums ir veicināt pāreju uz </w:t>
      </w:r>
      <w:proofErr w:type="spellStart"/>
      <w:r w:rsidRPr="00E735B7">
        <w:t>klimatneitralitāti</w:t>
      </w:r>
      <w:proofErr w:type="spellEnd"/>
      <w:r w:rsidRPr="00E735B7">
        <w:t>, samazinot emisijas rūpniecības nozarēs, kurās ir grūti samazināt emisiju apjomu; sagaida, ka saskaņā ar attiecīgo deleģēto aktu</w:t>
      </w:r>
      <w:r w:rsidRPr="00E735B7">
        <w:rPr>
          <w:rStyle w:val="FootnoteReference"/>
        </w:rPr>
        <w:footnoteReference w:id="3"/>
      </w:r>
      <w:r w:rsidRPr="00E735B7">
        <w:t xml:space="preserve"> tiks nodrošināta </w:t>
      </w:r>
      <w:proofErr w:type="spellStart"/>
      <w:r w:rsidRPr="00E735B7">
        <w:t>papildināmība</w:t>
      </w:r>
      <w:proofErr w:type="spellEnd"/>
      <w:r w:rsidRPr="00E735B7">
        <w:t xml:space="preserve">, kas nepieļautu resursu novirzīšanu no esošās </w:t>
      </w:r>
      <w:proofErr w:type="spellStart"/>
      <w:r w:rsidRPr="00E735B7">
        <w:t>atjaunīgās</w:t>
      </w:r>
      <w:proofErr w:type="spellEnd"/>
      <w:r w:rsidRPr="00E735B7">
        <w:t xml:space="preserve"> elektroenerģijas projektiem; pauž bažas par ūdeņraža projektu iespējamo ietekmi uz ūdensapgādi konkrētos reģionos, kā arī uz </w:t>
      </w:r>
      <w:proofErr w:type="spellStart"/>
      <w:r w:rsidRPr="00E735B7">
        <w:t>biodaudzveidību</w:t>
      </w:r>
      <w:proofErr w:type="spellEnd"/>
      <w:r w:rsidRPr="00E735B7">
        <w:t>; aicina EIB uzlabot savu konsultatīvo kompetenci attiecībā uz ES ūdeņraža ekosistēmu un tirgu;</w:t>
      </w:r>
    </w:p>
    <w:p w:rsidR="00BC1DDC" w:rsidRPr="00E735B7" w:rsidRDefault="00BC1DDC" w:rsidP="00BC1DDC">
      <w:pPr>
        <w:pStyle w:val="NormalHanging12a"/>
      </w:pPr>
      <w:r w:rsidRPr="00E735B7">
        <w:lastRenderedPageBreak/>
        <w:t>17.</w:t>
      </w:r>
      <w:r w:rsidRPr="00E735B7">
        <w:tab/>
        <w:t xml:space="preserve">uzsver, ka EIB vides un sociālajā politikā ir pausta stingra apņemšanās sekmēt un īstenot Konvencijas par bioloģisko daudzveidību un globālā </w:t>
      </w:r>
      <w:proofErr w:type="spellStart"/>
      <w:r w:rsidRPr="00E735B7">
        <w:t>biodaudzveidības</w:t>
      </w:r>
      <w:proofErr w:type="spellEnd"/>
      <w:r w:rsidRPr="00E735B7">
        <w:t xml:space="preserve"> satvara laikposmam pēc 2020. gada mērķus, konkrētāk, prasību, ka finansētie projekti nerada būtisku kaitējumu </w:t>
      </w:r>
      <w:proofErr w:type="spellStart"/>
      <w:r w:rsidRPr="00E735B7">
        <w:t>biodaudzveidībai</w:t>
      </w:r>
      <w:proofErr w:type="spellEnd"/>
      <w:r w:rsidRPr="00E735B7">
        <w:t xml:space="preserve"> un ekosistēmām; atzinīgi vērtē pāreju no </w:t>
      </w:r>
      <w:proofErr w:type="spellStart"/>
      <w:r w:rsidRPr="00E735B7">
        <w:t>biodaudzveidības</w:t>
      </w:r>
      <w:proofErr w:type="spellEnd"/>
      <w:r w:rsidRPr="00E735B7">
        <w:t xml:space="preserve"> "bez neto zaudējumiem" uz </w:t>
      </w:r>
      <w:proofErr w:type="spellStart"/>
      <w:r w:rsidRPr="00E735B7">
        <w:t>biodaudzveidību</w:t>
      </w:r>
      <w:proofErr w:type="spellEnd"/>
      <w:r w:rsidRPr="00E735B7">
        <w:t xml:space="preserve"> "bez zaudējumiem"; tiecas uz EIB vides un sociālās politikas piemērošanu visā pilnībā, konkrētāk, </w:t>
      </w:r>
      <w:proofErr w:type="spellStart"/>
      <w:r w:rsidRPr="00E735B7">
        <w:t>atjaunīgās</w:t>
      </w:r>
      <w:proofErr w:type="spellEnd"/>
      <w:r w:rsidRPr="00E735B7">
        <w:t xml:space="preserve"> enerģijas projektos; mudina EIB pilnībā saskaņot savu vides un sociālo politiku ar globālo </w:t>
      </w:r>
      <w:proofErr w:type="spellStart"/>
      <w:r w:rsidRPr="00E735B7">
        <w:t>biodaudzveidības</w:t>
      </w:r>
      <w:proofErr w:type="spellEnd"/>
      <w:r w:rsidRPr="00E735B7">
        <w:t xml:space="preserve"> satvaru laikposmam pēc 2020. gada;</w:t>
      </w:r>
    </w:p>
    <w:p w:rsidR="00BC1DDC" w:rsidRPr="00E735B7" w:rsidRDefault="00BC1DDC" w:rsidP="00BC1DDC">
      <w:pPr>
        <w:pStyle w:val="NormalHanging12a"/>
      </w:pPr>
      <w:r w:rsidRPr="00E735B7">
        <w:t>18.</w:t>
      </w:r>
      <w:r w:rsidRPr="00E735B7">
        <w:tab/>
        <w:t xml:space="preserve">atzinīgi vērtē pirmos dabai labvēlīga finansējuma vispārējos principus, ko EIB kopā ar citām daudzpusējām attīstības bankām publicēja </w:t>
      </w:r>
      <w:r w:rsidRPr="00E735B7">
        <w:rPr>
          <w:i/>
          <w:iCs/>
        </w:rPr>
        <w:t>COP 28</w:t>
      </w:r>
      <w:r w:rsidRPr="00E735B7">
        <w:t xml:space="preserve">; sagaida, ka EIB aktīvāk veiks investīcijas, kas labvēlīgi ietekmē dabu un veicina bioloģisko daudzveidību, un darbosies nozarēs ar vislielākajiem papildu ieguvumiem </w:t>
      </w:r>
      <w:proofErr w:type="spellStart"/>
      <w:r w:rsidRPr="00E735B7">
        <w:t>biodaudzveidības</w:t>
      </w:r>
      <w:proofErr w:type="spellEnd"/>
      <w:r w:rsidRPr="00E735B7">
        <w:t xml:space="preserve"> ziņā, piemēram, ūdens resursu apsaimniekošanā, sanitārijā, mežsaimniecībā un okeānu pārvaldībā, nodrošinot visaugstāko integritātes un garantiju līmeni, it īpaši attiecībā uz vietējo kopienu tiesībām, un izmantojot Dabas kapitāla finansēšanas mehānisma īstenošanas gaitā gūto pieredzi; sagaida, ka EIB palielinās finansējumu risinājumiem, kas palīdzētu samazināt piesārņotību ar plastmasu; </w:t>
      </w:r>
    </w:p>
    <w:p w:rsidR="00BC1DDC" w:rsidRPr="00E735B7" w:rsidRDefault="00BC1DDC" w:rsidP="00BC1DDC">
      <w:pPr>
        <w:pStyle w:val="NormalHanging12a"/>
      </w:pPr>
      <w:r w:rsidRPr="00E735B7">
        <w:t>19.</w:t>
      </w:r>
      <w:r w:rsidRPr="00E735B7">
        <w:tab/>
        <w:t xml:space="preserve">sagaida pastiprinātus centienus integrēt dabas aspektus analīzēs un darbībās, kas novērtētu bioloģiskās daudzveidības zuduma radīto finansiālo risku darījumu partneru līmenī; sagaida, ka liela mēroga infrastruktūras projektos, it īpaši pilsētu teritorijās veiktajās investīcijās, sistemātiski tiks integrēti elementi, kas labvēlīgi ietekmē dabu; brīdina par projektiem, kas veicina klimata mērķu sasniegšanu un kas izraisa </w:t>
      </w:r>
      <w:proofErr w:type="spellStart"/>
      <w:r w:rsidRPr="00E735B7">
        <w:t>biodaudzveidības</w:t>
      </w:r>
      <w:proofErr w:type="spellEnd"/>
      <w:r w:rsidRPr="00E735B7">
        <w:t xml:space="preserve"> iznīcināšanu;</w:t>
      </w:r>
    </w:p>
    <w:p w:rsidR="00BC1DDC" w:rsidRPr="00E735B7" w:rsidRDefault="00BC1DDC" w:rsidP="00BC1DDC">
      <w:pPr>
        <w:pStyle w:val="NormalHanging12a"/>
      </w:pPr>
      <w:r w:rsidRPr="00E735B7">
        <w:t>20.</w:t>
      </w:r>
      <w:r w:rsidRPr="00E735B7">
        <w:tab/>
        <w:t xml:space="preserve">ņem vērā notiekošās sarunas par parādu atvieglošanu atbilstīgi īstenotajiem dabas aizsardzības pasākumiem; pauž bažas par šo mijmaiņas darījumu atbilstību attīstības un saglabāšanas principiem un to augstajām darījumu izmaksām, it īpaši tāpēc, ka iepriekšējie piemēri ir pierādījuši šo bažu pamatotību; uzsver, ka ir nepieciešams augsts </w:t>
      </w:r>
      <w:proofErr w:type="spellStart"/>
      <w:r w:rsidRPr="00E735B7">
        <w:t>pārredzamības</w:t>
      </w:r>
      <w:proofErr w:type="spellEnd"/>
      <w:r w:rsidRPr="00E735B7">
        <w:t xml:space="preserve"> un valstu </w:t>
      </w:r>
      <w:proofErr w:type="spellStart"/>
      <w:r w:rsidRPr="00E735B7">
        <w:t>pārskatatbildības</w:t>
      </w:r>
      <w:proofErr w:type="spellEnd"/>
      <w:r w:rsidRPr="00E735B7">
        <w:t xml:space="preserve"> līmenis; </w:t>
      </w:r>
    </w:p>
    <w:p w:rsidR="00BC1DDC" w:rsidRPr="00E735B7" w:rsidRDefault="00BC1DDC" w:rsidP="00BC1DDC">
      <w:pPr>
        <w:pStyle w:val="NormalHanging12a"/>
      </w:pPr>
      <w:r w:rsidRPr="00E735B7">
        <w:t>21.</w:t>
      </w:r>
      <w:r w:rsidRPr="00E735B7">
        <w:tab/>
        <w:t xml:space="preserve">sagaida, ka EIB turpinās piemērot stingrus ES dzīvnieku labturības standartus un piemērojamos tiesību aktus, tai skaitā attiecībā uz audzēšanas darbībām un zivju audzēšanā izmantoto barību, pamatojoties uz augstākajiem standartiem, ko noteikusi ES un daudzpusējas finanšu iestādes; </w:t>
      </w:r>
    </w:p>
    <w:p w:rsidR="00BC1DDC" w:rsidRPr="00E735B7" w:rsidRDefault="00BC1DDC" w:rsidP="00BC1DDC">
      <w:pPr>
        <w:pStyle w:val="NormalHanging12a"/>
      </w:pPr>
      <w:r w:rsidRPr="00E735B7">
        <w:t>22.</w:t>
      </w:r>
      <w:r w:rsidRPr="00E735B7">
        <w:tab/>
        <w:t xml:space="preserve">uzsver, ka kritiski svarīgu izejvielu (KSI) piegādes drošībai ir izšķiroša nozīme gan zaļās un digitālās pārkārtošanās īstenošanai, gan aizsardzības nozarei un ES rūpniecības bāzei kopumā; atgādina EIB lomu Eiropas Izejvielu aliansē un Savienības mērķi panākt lielāku autonomiju KSI piegādē; uzsver — lai mazinātu ES atkarību no </w:t>
      </w:r>
      <w:proofErr w:type="spellStart"/>
      <w:r w:rsidRPr="00E735B7">
        <w:t>trešām</w:t>
      </w:r>
      <w:proofErr w:type="spellEnd"/>
      <w:r w:rsidRPr="00E735B7">
        <w:t xml:space="preserve"> valstīm un palielinātu tās stratēģisko autonomiju, ir nepieciešama uz </w:t>
      </w:r>
      <w:proofErr w:type="spellStart"/>
      <w:r w:rsidRPr="00E735B7">
        <w:t>reciklēšanu</w:t>
      </w:r>
      <w:proofErr w:type="spellEnd"/>
      <w:r w:rsidRPr="00E735B7">
        <w:t xml:space="preserve"> un atkārtotu izmantošanu balstīta aprites ekonomikas pieeja KSI; tādēļ aicina EIB vairāk ieguldīt KSI nozarē, kas uzlabotu izejvielu noturību, īpašu uzmanību pievēršot otrreizējo izejvielu </w:t>
      </w:r>
      <w:proofErr w:type="spellStart"/>
      <w:r w:rsidRPr="00E735B7">
        <w:t>reciklēšanai</w:t>
      </w:r>
      <w:proofErr w:type="spellEnd"/>
      <w:r w:rsidRPr="00E735B7">
        <w:t>, un veicināt aprites ekonomikas risinājumus, kas palīdzētu dažādot piedāvājumu;</w:t>
      </w:r>
    </w:p>
    <w:p w:rsidR="00BC1DDC" w:rsidRPr="00E735B7" w:rsidRDefault="00BC1DDC" w:rsidP="00BC1DDC">
      <w:pPr>
        <w:pStyle w:val="NormalHanging12a"/>
        <w:rPr>
          <w:b/>
          <w:i/>
        </w:rPr>
      </w:pPr>
      <w:r w:rsidRPr="00E735B7">
        <w:rPr>
          <w:b/>
          <w:i/>
        </w:rPr>
        <w:t xml:space="preserve">Atbalsts inovācijai, maziem un vidējiem uzņēmumiem, rūpniecībai un </w:t>
      </w:r>
      <w:proofErr w:type="spellStart"/>
      <w:r w:rsidRPr="00E735B7">
        <w:rPr>
          <w:b/>
          <w:i/>
        </w:rPr>
        <w:t>digitalizācijai</w:t>
      </w:r>
      <w:proofErr w:type="spellEnd"/>
    </w:p>
    <w:p w:rsidR="00BC1DDC" w:rsidRPr="00E735B7" w:rsidRDefault="00BC1DDC" w:rsidP="00BC1DDC">
      <w:pPr>
        <w:pStyle w:val="NormalHanging12a"/>
      </w:pPr>
      <w:r w:rsidRPr="00E735B7">
        <w:t>23.</w:t>
      </w:r>
      <w:r w:rsidRPr="00E735B7">
        <w:tab/>
        <w:t xml:space="preserve">atgādina, ka MVU veido Eiropas ekonomikas pamatu; atgādina, ka ES 23 miljoni MVU veido 99 % no visiem uzņēmumiem, nodrošina aptuveni trīs ceturtdaļas no visām darbvietām un rada vairāk nekā 50 % no kopējās ES uzņēmumu radītās pievienotās </w:t>
      </w:r>
      <w:r w:rsidRPr="00E735B7">
        <w:lastRenderedPageBreak/>
        <w:t>vērtības; uzsver, ka atbalsts MVU ir viens no svarīgākajiem EIB grupas mērķiem; norāda, ka enerģētikas krīze un Krievijas Ukrainā īstenotā kara sekas rada papildu problēmas MVU, tāpat kā pieaugošās izejvielu cenas un procentu likmju pieaugums;</w:t>
      </w:r>
    </w:p>
    <w:p w:rsidR="00BC1DDC" w:rsidRPr="00E735B7" w:rsidRDefault="00BC1DDC" w:rsidP="00BC1DDC">
      <w:pPr>
        <w:spacing w:after="240"/>
        <w:ind w:left="567" w:hanging="567"/>
      </w:pPr>
      <w:r w:rsidRPr="00E735B7">
        <w:t>24.</w:t>
      </w:r>
      <w:r w:rsidRPr="00E735B7">
        <w:tab/>
        <w:t>atgādina, ka EIB grupa 2022. gadā ar savām investīcijām nodrošināja MVU un vidējas kapitalizācijas uzņēmumiem finansējumu 16,35 miljardu EUR apmērā; norāda, ka saskaņā ar EIB grupas novērtējumu laikposmā no 2010. gada līdz 2020. gadam to EIB grupas darījumu apmērs, ar kuriem tika sniegts parāda atbalsts MVU, bija gandrīz 20 miljardi EUR gadā neto parakstīto darījumu izteiksmē; aicina EIB grupu apsvērt veidus, kā vēl vairāk veicināt tās atbalsta sniegšanu MVU, konkrētāk, nelieliem finansēšanas projektiem;</w:t>
      </w:r>
    </w:p>
    <w:p w:rsidR="00BC1DDC" w:rsidRPr="00E735B7" w:rsidRDefault="00BC1DDC" w:rsidP="00BC1DDC">
      <w:pPr>
        <w:spacing w:after="240"/>
        <w:ind w:left="567" w:hanging="567"/>
      </w:pPr>
      <w:r w:rsidRPr="00E735B7">
        <w:t>25.</w:t>
      </w:r>
      <w:r w:rsidRPr="00E735B7">
        <w:tab/>
        <w:t xml:space="preserve">uzsver Eiropas Investīciju fonda nozīmi finansējuma pieejamības uzlabošanā mazākiem ES uzņēmumiem, vidējas kapitalizācijas uzņēmumiem un </w:t>
      </w:r>
      <w:proofErr w:type="spellStart"/>
      <w:r w:rsidRPr="00E735B7">
        <w:t>jaunuzņēmumiem</w:t>
      </w:r>
      <w:proofErr w:type="spellEnd"/>
      <w:r w:rsidRPr="00E735B7">
        <w:t xml:space="preserve"> un tādējādi atbalstu </w:t>
      </w:r>
      <w:proofErr w:type="spellStart"/>
      <w:r w:rsidRPr="00E735B7">
        <w:t>darījumdarbībai</w:t>
      </w:r>
      <w:proofErr w:type="spellEnd"/>
      <w:r w:rsidRPr="00E735B7">
        <w:t xml:space="preserve">, izaugsmei, inovācijai, pētniecībai un attīstībai un nodarbinātībai Savienībā; norāda, ka stabila energoapgāde un konkurētspējīgas cenas ir viens no sekmīgas rūpniecības politikas stūrakmeņiem, konkrētāk, attiecībā uz MVU; aicina EIB grupu nodrošināt papildu izaugsmes kapitālu, kas ļautu MVU paplašināt savas darbības; mudina EIB grupu palielināt atbalstu Eiropas </w:t>
      </w:r>
      <w:proofErr w:type="spellStart"/>
      <w:r w:rsidRPr="00E735B7">
        <w:t>jaunuzņēmumu</w:t>
      </w:r>
      <w:proofErr w:type="spellEnd"/>
      <w:r w:rsidRPr="00E735B7">
        <w:t xml:space="preserve"> paplašināšanai, tai skaitā uzņemoties lielāku risku attiecībā uz riska kapitāla izmaksāšanu, kas nodrošinātu Eiropas </w:t>
      </w:r>
      <w:proofErr w:type="spellStart"/>
      <w:r w:rsidRPr="00E735B7">
        <w:t>jaunuzņēmumiem</w:t>
      </w:r>
      <w:proofErr w:type="spellEnd"/>
      <w:r w:rsidRPr="00E735B7">
        <w:t xml:space="preserve"> iespēju izvērst darbību Eiropas Savienībā, nevis ārpus tās;</w:t>
      </w:r>
    </w:p>
    <w:p w:rsidR="00BC1DDC" w:rsidRPr="00E735B7" w:rsidRDefault="00BC1DDC" w:rsidP="00BC1DDC">
      <w:pPr>
        <w:spacing w:after="240"/>
        <w:ind w:left="567" w:hanging="567"/>
      </w:pPr>
      <w:r w:rsidRPr="00E735B7">
        <w:t>26.</w:t>
      </w:r>
      <w:r w:rsidRPr="00E735B7">
        <w:tab/>
        <w:t>uzsver, ka EIF īpaša uzmanība jāpievērš projektiem, kas rada un saglabā augstas kvalitātes darbvietas, tai skaitā projektiem, kuru mērķis ir risināt pieaugošo jauniešu bezdarba problēmu, piemēram, tā dēvēto duālās māceklības modeli, kas efektīvi un sekmīgi darbojas dažās dalībvalstīs, tiecoties radīt drošas un kvalitatīvas darbvietas;</w:t>
      </w:r>
    </w:p>
    <w:p w:rsidR="00BC1DDC" w:rsidRPr="00E735B7" w:rsidRDefault="00BC1DDC" w:rsidP="00BC1DDC">
      <w:pPr>
        <w:spacing w:after="240"/>
        <w:ind w:left="567" w:hanging="567"/>
      </w:pPr>
      <w:r w:rsidRPr="00E735B7">
        <w:t>27.</w:t>
      </w:r>
      <w:r w:rsidRPr="00E735B7">
        <w:tab/>
        <w:t>atzīst, ka neizdevīgāku banku aizdevumu noteikumu dēļ MVU biežāk nekā lieli uzņēmumi iztiek ar ierobežotiem administratīvajiem līdzekļiem un saskaras ar aizvien pieaugošām aizdevumu izmaksām, un uzskata, ka šiem uzņēmumiem obligāti jāpiedāvā vienkārši un viegli piekļūstami finansēšanas rīki; tādēļ stingri mudina EIB grupu izstrādāt savas programmas tā, lai vienkāršotu administratīvās procedūras, vienlaikus sniedzot nepieciešamo tehnisko palīdzību un pienācīgu finansējumu konsultāciju pakalpojumiem, tādējādi uzlabojot to pieejamību MVU;</w:t>
      </w:r>
    </w:p>
    <w:p w:rsidR="00BC1DDC" w:rsidRPr="00E735B7" w:rsidRDefault="00BC1DDC" w:rsidP="00BC1DDC">
      <w:pPr>
        <w:pStyle w:val="NormalHanging12a"/>
      </w:pPr>
      <w:r w:rsidRPr="00E735B7">
        <w:t>28.</w:t>
      </w:r>
      <w:r w:rsidRPr="00E735B7">
        <w:tab/>
        <w:t xml:space="preserve">atkārtoti aicina EIB grupu papildināt centienus veidot uz datiem balstītus risinājumus, īpašu uzmanību pievēršot MVU konkurētspējai, un koncentrēt savas investīcijas šajā jomā uz digitālās plaisas mazināšanu gan ES iekšienē, gan starp ES un citiem tehnoloģiski attīstītākiem pasaules reģioniem; aicina EIB grupu palielināt investīcijas </w:t>
      </w:r>
      <w:proofErr w:type="spellStart"/>
      <w:r w:rsidRPr="00E735B7">
        <w:t>digitalizācijā</w:t>
      </w:r>
      <w:proofErr w:type="spellEnd"/>
      <w:r w:rsidRPr="00E735B7">
        <w:t>, progresīvu tehnoloģiju, piemēram, mākslīgā intelekta, izstrādē un tādu darba ņēmēju kvalifikācijas celšanā un pārkvalificēšanā, kuriem ir būtiska nozīme spēcīgas rūpnieciskās bāzes izveidē;</w:t>
      </w:r>
    </w:p>
    <w:p w:rsidR="00BC1DDC" w:rsidRPr="00E735B7" w:rsidRDefault="00BC1DDC" w:rsidP="00BC1DDC">
      <w:pPr>
        <w:pStyle w:val="Normal12a24b"/>
        <w:spacing w:before="0"/>
        <w:rPr>
          <w:rStyle w:val="BoldItalic"/>
        </w:rPr>
      </w:pPr>
      <w:r w:rsidRPr="00E735B7">
        <w:rPr>
          <w:rStyle w:val="BoldItalic"/>
        </w:rPr>
        <w:t>Ukraina</w:t>
      </w:r>
    </w:p>
    <w:p w:rsidR="00BC1DDC" w:rsidRPr="00E735B7" w:rsidRDefault="00BC1DDC" w:rsidP="00BC1DDC">
      <w:pPr>
        <w:pStyle w:val="NormalHanging12a"/>
      </w:pPr>
      <w:r w:rsidRPr="00E735B7">
        <w:t>29.</w:t>
      </w:r>
      <w:r w:rsidRPr="00E735B7">
        <w:tab/>
        <w:t xml:space="preserve">atzinīgi vērtē iniciatīvu "ES — Ukrainai", ko EIB sāka 2023. gada martā nolūkā finansēt Ukrainas atjaunošanu un atveseļošanu, un kas iecerēta kā pagaidu shēma, kura ļaus EIB iesaistīties darbībās šajā valstī, līdz būs izveidots plānotais ES vidēja termiņa atbalsts; šajā kontekstā atgādina, cik nozīmīgs ir ES budžets kā EIB darbības garants, ja tas ir saistīts ar aizdevumu piešķiršanu ārpus ES nolūkā īstenot ES programmas; aicina palielināt no ES budžeta piešķirtās garantijas EIB, kas tai ļautu turpināt svarīgas </w:t>
      </w:r>
      <w:r w:rsidRPr="00E735B7">
        <w:lastRenderedPageBreak/>
        <w:t>publiskā un privātā sektora darbības Ukrainā un paplašināt savu darbību globālajos dienvidos; atzinīgi vērtē to, ka visas EIB darbības Ukrainā virza sociālās, ekonomiskās un vides atveseļošanas un atjaunošanas prioritātes saskaņā ar principu "atjaunot uzlabojot" un tiks pilnībā saskaņotas ar gaidāmo Ukrainas plānu; atzinīgi vērtē tehniskās palīdzības komponentu, kas nodrošinātu optimālu projektu sagatavošanu un īstenošanu, kā arī spēju veidošanas pasākumus; sagaida, ka plānotajā 3. ārkārtas postījumu vajadzību novērtējumā, ko Pasaules Banka veiks, saskaņojot ar Komisiju, EIB un Ukrainas valdību, tiks apzinātas ievērojami pieaugušās vajadzības; atzinīgi vērtē EIB centienus novērst un izmeklēt krāpšanu un korupciju un atturēt no tām saistībā ar tās projektiem Ukrainā;</w:t>
      </w:r>
    </w:p>
    <w:p w:rsidR="00BC1DDC" w:rsidRPr="00E735B7" w:rsidRDefault="00BC1DDC" w:rsidP="00BC1DDC">
      <w:pPr>
        <w:pStyle w:val="NormalHanging12a"/>
      </w:pPr>
      <w:r w:rsidRPr="00E735B7">
        <w:t>30.</w:t>
      </w:r>
      <w:r w:rsidRPr="00E735B7">
        <w:tab/>
        <w:t>uzsver, ka Krievijas agresijas karš ir ietekmējis arī ES reģionus un radījis ievērojamu ietekmi uz ekonomiku, it īpaši ES austrumu pierobežas valstīs un tās kaimiņvalstīs, kā arī smagu humanitāro krīzi; uzsver, ka turpmākajā investīciju plānošanā būtu jāņem vērā kara izraisītās pārmaiņas piegādes ķēdēs un tirdzniecības un ekonomiskajās attiecībās; aicina EIB ņemt vērā ģeopolitisko situāciju un nepieciešamās investīcijas pierobežas valstīs, tai skaitā infrastruktūras un robežu pārvaldības jomā;</w:t>
      </w:r>
    </w:p>
    <w:p w:rsidR="00BC1DDC" w:rsidRPr="00E735B7" w:rsidRDefault="00BC1DDC" w:rsidP="00BC1DDC">
      <w:pPr>
        <w:pStyle w:val="NormalHanging12a"/>
        <w:rPr>
          <w:iCs/>
        </w:rPr>
      </w:pPr>
      <w:r w:rsidRPr="00E735B7">
        <w:t>31.</w:t>
      </w:r>
      <w:r w:rsidRPr="00E735B7">
        <w:tab/>
        <w:t>atgādina, ka Krievijas agresijas karš pret Ukrainu būtiski maina situāciju, jo tas ir pilnībā mainījis Eiropas drošības vidi, un aicina palielināt gatavību aizsardzībai un līdz ar to nodrošināt pietiekamas investīcijas; uzsver nepieciešamību pēc iespējas efektīvāk izmantot visus EIB rīcībā esošos instrumentus; aicina EIB pastiprināt atbalstu stratēģiskajai Eiropas drošības iniciatīvai un Eiropas aizsardzības nozarei, tai skaitā MVU, konkrētāk, veicināt turpmāku atbalstu Ukrainai;</w:t>
      </w:r>
      <w:r w:rsidR="00D80FAA" w:rsidRPr="00E735B7">
        <w:t xml:space="preserve"> aicina EIB reformēt savu atbilstības sarakstu, lai munīcija un militārais ekipējums, kura izmantošana pārsniedz divējādu lietojumu, vairs netiktu izslēgti no EIB finansējuma;</w:t>
      </w:r>
    </w:p>
    <w:p w:rsidR="00BC1DDC" w:rsidRPr="00E735B7" w:rsidRDefault="00BC1DDC" w:rsidP="00BC1DDC">
      <w:pPr>
        <w:pStyle w:val="NormalHanging12a"/>
        <w:rPr>
          <w:rStyle w:val="BoldItalic"/>
        </w:rPr>
      </w:pPr>
      <w:r w:rsidRPr="00E735B7">
        <w:rPr>
          <w:rStyle w:val="BoldItalic"/>
        </w:rPr>
        <w:t>EIB visā pasaulē</w:t>
      </w:r>
    </w:p>
    <w:p w:rsidR="00BC1DDC" w:rsidRPr="00E735B7" w:rsidRDefault="00BC1DDC" w:rsidP="00BC1DDC">
      <w:pPr>
        <w:pStyle w:val="NormalHanging12a"/>
      </w:pPr>
      <w:r w:rsidRPr="00E735B7">
        <w:t>32.</w:t>
      </w:r>
      <w:r w:rsidRPr="00E735B7">
        <w:tab/>
        <w:t xml:space="preserve">sagaida, ka "EIB </w:t>
      </w:r>
      <w:proofErr w:type="spellStart"/>
      <w:r w:rsidRPr="00E735B7">
        <w:t>Global</w:t>
      </w:r>
      <w:proofErr w:type="spellEnd"/>
      <w:r w:rsidRPr="00E735B7">
        <w:t>" darbības arī turpmāk tiks saskaņotas ar ES stratēģiskajām interesēm un ārpolitikas mērķiem; atzinīgi vērtē EIB iesaistīšanos iniciatīvā "</w:t>
      </w:r>
      <w:proofErr w:type="spellStart"/>
      <w:r w:rsidRPr="00E735B7">
        <w:t>Global</w:t>
      </w:r>
      <w:proofErr w:type="spellEnd"/>
      <w:r w:rsidRPr="00E735B7">
        <w:t xml:space="preserve"> </w:t>
      </w:r>
      <w:proofErr w:type="spellStart"/>
      <w:r w:rsidRPr="00E735B7">
        <w:t>Gateway</w:t>
      </w:r>
      <w:proofErr w:type="spellEnd"/>
      <w:r w:rsidRPr="00E735B7">
        <w:t xml:space="preserve">", kas galvenokārt atbalstīs investīcijas infrastruktūrā un MVU, tādējādi palīdzot sasniegt ES mērķi uzlabot savu stratēģisko autonomiju; sagaida, ka "EIB </w:t>
      </w:r>
      <w:proofErr w:type="spellStart"/>
      <w:r w:rsidRPr="00E735B7">
        <w:t>Global</w:t>
      </w:r>
      <w:proofErr w:type="spellEnd"/>
      <w:r w:rsidRPr="00E735B7">
        <w:t xml:space="preserve">" nodrošinās, ka investīcijas ir papildinošas, ilgtermiņā rada pozitīvu ietekmi un nepārprotami nāk par labu saņēmējām kopienām, aizsargājot dabas un kultūras mantojumu, uzlabojot </w:t>
      </w:r>
      <w:proofErr w:type="spellStart"/>
      <w:r w:rsidRPr="00E735B7">
        <w:t>klimatnoturību</w:t>
      </w:r>
      <w:proofErr w:type="spellEnd"/>
      <w:r w:rsidRPr="00E735B7">
        <w:t>, radot darbvietas vietējā līmenī, paaugstinot dzīves līmeni un mazinot nabadzību; uzskata, ka ieinteresētās personas no saņēmējvalsts, piemēram, publiskās iestādes, pilsoniskā sabiedrība un sociālie partneri, jāiesaista lēmumu pieņemšanā par stratēģijas "</w:t>
      </w:r>
      <w:proofErr w:type="spellStart"/>
      <w:r w:rsidRPr="00E735B7">
        <w:t>Global</w:t>
      </w:r>
      <w:proofErr w:type="spellEnd"/>
      <w:r w:rsidRPr="00E735B7">
        <w:t xml:space="preserve"> </w:t>
      </w:r>
      <w:proofErr w:type="spellStart"/>
      <w:r w:rsidRPr="00E735B7">
        <w:t>Gateway</w:t>
      </w:r>
      <w:proofErr w:type="spellEnd"/>
      <w:r w:rsidRPr="00E735B7">
        <w:t xml:space="preserve">" projektiem un to īstenošanā; turklāt atgādina, ka sekmīgai "EIB </w:t>
      </w:r>
      <w:proofErr w:type="spellStart"/>
      <w:r w:rsidRPr="00E735B7">
        <w:t>Global</w:t>
      </w:r>
      <w:proofErr w:type="spellEnd"/>
      <w:r w:rsidRPr="00E735B7">
        <w:t xml:space="preserve">" darbībai ir nepieciešams pietiekams darbinieku, tai skaitā vietējo darbinieku, skaits; </w:t>
      </w:r>
    </w:p>
    <w:p w:rsidR="00BC1DDC" w:rsidRPr="00E735B7" w:rsidRDefault="00BC1DDC" w:rsidP="00BC1DDC">
      <w:pPr>
        <w:pStyle w:val="NormalHanging12a"/>
      </w:pPr>
      <w:r w:rsidRPr="00E735B7">
        <w:t>33.</w:t>
      </w:r>
      <w:r w:rsidRPr="00E735B7">
        <w:tab/>
        <w:t xml:space="preserve">norāda, ka kopš jaunās attīstības daļas izveidošanas "EIB </w:t>
      </w:r>
      <w:proofErr w:type="spellStart"/>
      <w:r w:rsidRPr="00E735B7">
        <w:t>Global</w:t>
      </w:r>
      <w:proofErr w:type="spellEnd"/>
      <w:r w:rsidRPr="00E735B7">
        <w:t>" rekordlielā apjomā izmantoja Kaimiņattiecību, attīstības sadarbības un starptautiskās sadarbības instrumenta "Eiropa pasaulē" nodrošināto īpašo investīciju logu, 2022. gadā piešķirot vairāk nekā 10 miljardus EUR, it īpaši Ukrainas un "</w:t>
      </w:r>
      <w:proofErr w:type="spellStart"/>
      <w:r w:rsidRPr="00E735B7">
        <w:t>Global</w:t>
      </w:r>
      <w:proofErr w:type="spellEnd"/>
      <w:r w:rsidRPr="00E735B7">
        <w:t xml:space="preserve"> </w:t>
      </w:r>
      <w:proofErr w:type="spellStart"/>
      <w:r w:rsidRPr="00E735B7">
        <w:t>Gateway</w:t>
      </w:r>
      <w:proofErr w:type="spellEnd"/>
      <w:r w:rsidRPr="00E735B7">
        <w:t xml:space="preserve">" atbalstam; ņem vērā "EIB </w:t>
      </w:r>
      <w:proofErr w:type="spellStart"/>
      <w:r w:rsidRPr="00E735B7">
        <w:t>Global</w:t>
      </w:r>
      <w:proofErr w:type="spellEnd"/>
      <w:r w:rsidRPr="00E735B7">
        <w:t xml:space="preserve">" stratēģisko ceļvedi un sagaida, ka tas ļaus piesaistīt vismaz vienu trešdaļu no investīcijām 300 miljardu EUR apmērā, kuras paredzēts radīt līdz 2027. gada beigām; atzinīgi vērtē 2025. gadam izvirzīto </w:t>
      </w:r>
      <w:proofErr w:type="spellStart"/>
      <w:r w:rsidRPr="00E735B7">
        <w:t>mērķrādītāju</w:t>
      </w:r>
      <w:proofErr w:type="spellEnd"/>
      <w:r w:rsidRPr="00E735B7">
        <w:t xml:space="preserve"> — vairāk nekā 50 % no aizdevumiem gadā novirzīt investīcijām </w:t>
      </w:r>
      <w:proofErr w:type="spellStart"/>
      <w:r w:rsidRPr="00E735B7">
        <w:t>klimatrīcībā</w:t>
      </w:r>
      <w:proofErr w:type="spellEnd"/>
      <w:r w:rsidRPr="00E735B7">
        <w:t xml:space="preserve"> un </w:t>
      </w:r>
      <w:proofErr w:type="spellStart"/>
      <w:r w:rsidRPr="00E735B7">
        <w:t>vidiskajā</w:t>
      </w:r>
      <w:proofErr w:type="spellEnd"/>
      <w:r w:rsidRPr="00E735B7">
        <w:t xml:space="preserve"> ilgtspējā; sagaida, ka finansējums palīdzēs visā pasaulē īstenot iekļaujošu un taisnīgu pārkārtošanos; turklāt sagaida, ka "EIB </w:t>
      </w:r>
      <w:proofErr w:type="spellStart"/>
      <w:r w:rsidRPr="00E735B7">
        <w:t>Global</w:t>
      </w:r>
      <w:proofErr w:type="spellEnd"/>
      <w:r w:rsidRPr="00E735B7">
        <w:t xml:space="preserve">" palīdzēs pilnvērtīgi sasniegt ES </w:t>
      </w:r>
      <w:proofErr w:type="spellStart"/>
      <w:r w:rsidRPr="00E735B7">
        <w:lastRenderedPageBreak/>
        <w:t>mērķrādītāju</w:t>
      </w:r>
      <w:proofErr w:type="spellEnd"/>
      <w:r w:rsidRPr="00E735B7">
        <w:t> — līdz 2025. gadam panākt, ka 85 % no visām jaunajām ārējām darbībām ir paredzētas dzimumu līdztiesības atbalstam; atzinīgi vērtē progresu, kas panākts, ar Eiropas Fonda ilgtspējīgai attīstībai plus garantiju, izveidojot "</w:t>
      </w:r>
      <w:proofErr w:type="spellStart"/>
      <w:r w:rsidRPr="00E735B7">
        <w:t>Global</w:t>
      </w:r>
      <w:proofErr w:type="spellEnd"/>
      <w:r w:rsidRPr="00E735B7">
        <w:t xml:space="preserve"> </w:t>
      </w:r>
      <w:proofErr w:type="spellStart"/>
      <w:r w:rsidRPr="00E735B7">
        <w:t>Gateway</w:t>
      </w:r>
      <w:proofErr w:type="spellEnd"/>
      <w:r w:rsidRPr="00E735B7">
        <w:t xml:space="preserve">" fondu, kar kuru paredzēts finansēt ietekmīgas privātā sektora investīcijas un nodrošināt pašu kapitāla un aizņēmuma finansējumu ietekmīgas infrastruktūras, tīras enerģijas un cilvēces attīstības projektiem visā pasaulē; pauž bažas par iekļaujošas un jēgpilnas apspriešanās trūkumu ar ieinteresētajām personām, kuras ietekmē "EIB </w:t>
      </w:r>
      <w:proofErr w:type="spellStart"/>
      <w:r w:rsidRPr="00E735B7">
        <w:t>Global</w:t>
      </w:r>
      <w:proofErr w:type="spellEnd"/>
      <w:r w:rsidRPr="00E735B7">
        <w:t>" darbības; aicina sniegt lielāku atbalstu projektiem ar ierobežotu rentabilitāti un augstu efektivitāti sabiedrības interesēs un pazemināt individuāliem projektiem paredzēto aizdevumu minimālo summu, it īpaši mazāk attīstītajās valstīs;</w:t>
      </w:r>
    </w:p>
    <w:p w:rsidR="00BC1DDC" w:rsidRPr="00E735B7" w:rsidRDefault="00BC1DDC" w:rsidP="00BC1DDC">
      <w:pPr>
        <w:pStyle w:val="NormalHanging12a"/>
      </w:pPr>
      <w:r w:rsidRPr="00E735B7">
        <w:t>34.</w:t>
      </w:r>
      <w:r w:rsidRPr="00E735B7">
        <w:tab/>
        <w:t xml:space="preserve">atkārtoti aicina "EIB </w:t>
      </w:r>
      <w:proofErr w:type="spellStart"/>
      <w:r w:rsidRPr="00E735B7">
        <w:t>Global</w:t>
      </w:r>
      <w:proofErr w:type="spellEnd"/>
      <w:r w:rsidRPr="00E735B7">
        <w:t>" finansējuma apvienošanas darbības veikt tikai tajās jomās, kurās tās var radīt pievienoto vērtību vietējā līmeņa ekonomikai, vienlaikus izvairoties no privātā kapitāla izspiešanas, un nodrošināt, ka apvienotais finansējums netiek izmantots būtiskiem sabiedriskajiem pakalpojumiem, it īpaši veselības, izglītības un sociālās aizsardzības jomā; atgādina, ka EIB investīcijas šajā jomā būtu jāvirza ES attīstības politikas mērķi un, konkrētāk, mērķis uzlabot vispārēju un cenas ziņā pieejamu piekļuvi veselības aprūpei, kas nodrošinātu labākus rezultātus veselības jomā visiem, it īpaši sievietēm;</w:t>
      </w:r>
    </w:p>
    <w:p w:rsidR="00BC1DDC" w:rsidRPr="00E735B7" w:rsidRDefault="00BC1DDC" w:rsidP="00BC1DDC">
      <w:pPr>
        <w:pStyle w:val="NormalHanging12a"/>
      </w:pPr>
      <w:r w:rsidRPr="00E735B7">
        <w:t>35.</w:t>
      </w:r>
      <w:r w:rsidRPr="00E735B7">
        <w:tab/>
        <w:t xml:space="preserve">pauž bažas par strauji augošo parādu apjomu un pieaugošajām aizņēmumu izmaksām </w:t>
      </w:r>
      <w:proofErr w:type="spellStart"/>
      <w:r w:rsidRPr="00E735B7">
        <w:t>jaunietekmes</w:t>
      </w:r>
      <w:proofErr w:type="spellEnd"/>
      <w:r w:rsidRPr="00E735B7">
        <w:t xml:space="preserve"> un jaunattīstības valstīs, jo saskaņā ar aplēsēm 60 % valstu ar zemiem ienākumiem jau nomāc valsts parāda slogs vai ir pakļautas augstam parādu grūtību riskam</w:t>
      </w:r>
      <w:r w:rsidRPr="00E735B7">
        <w:rPr>
          <w:vertAlign w:val="superscript"/>
        </w:rPr>
        <w:footnoteReference w:id="4"/>
      </w:r>
      <w:r w:rsidRPr="00E735B7">
        <w:t xml:space="preserve">; uzsver EIB un citu daudzpusējo iestāžu svarīgo lomu, piešķirot </w:t>
      </w:r>
      <w:proofErr w:type="spellStart"/>
      <w:r w:rsidRPr="00E735B7">
        <w:t>koncesiālu</w:t>
      </w:r>
      <w:proofErr w:type="spellEnd"/>
      <w:r w:rsidRPr="00E735B7">
        <w:t xml:space="preserve"> finansējumu, kas mazinātu neatmaksājamu parādu slogu;</w:t>
      </w:r>
    </w:p>
    <w:p w:rsidR="00BC1DDC" w:rsidRPr="00E735B7" w:rsidRDefault="00BC1DDC" w:rsidP="00BC1DDC">
      <w:pPr>
        <w:pStyle w:val="NormalHanging12a"/>
      </w:pPr>
      <w:r w:rsidRPr="00E735B7">
        <w:t>36.</w:t>
      </w:r>
      <w:r w:rsidRPr="00E735B7">
        <w:tab/>
        <w:t xml:space="preserve">uzskata, ka "EIB </w:t>
      </w:r>
      <w:proofErr w:type="spellStart"/>
      <w:r w:rsidRPr="00E735B7">
        <w:t>Global</w:t>
      </w:r>
      <w:proofErr w:type="spellEnd"/>
      <w:r w:rsidRPr="00E735B7">
        <w:t xml:space="preserve">" būtu jāuzņemas atbildība par Parīzes deklarācijā par palīdzības efektivitāti un </w:t>
      </w:r>
      <w:proofErr w:type="spellStart"/>
      <w:r w:rsidRPr="00E735B7">
        <w:t>Akras</w:t>
      </w:r>
      <w:proofErr w:type="spellEnd"/>
      <w:r w:rsidRPr="00E735B7">
        <w:t xml:space="preserve"> rīcības programmā noteikto principu (īpašumtiesības, vienošanās, saskaņošana, rezultātu pārvaldība un savstarpēja </w:t>
      </w:r>
      <w:proofErr w:type="spellStart"/>
      <w:r w:rsidRPr="00E735B7">
        <w:t>pārskatatbildība</w:t>
      </w:r>
      <w:proofErr w:type="spellEnd"/>
      <w:r w:rsidRPr="00E735B7">
        <w:t xml:space="preserve">) ievērošanu; šajā saistībā pauž nopietnas bažas par interešu konfliktu starp eksporta kredīta aģentūrām un "EIB </w:t>
      </w:r>
      <w:proofErr w:type="spellStart"/>
      <w:r w:rsidRPr="00E735B7">
        <w:t>Global</w:t>
      </w:r>
      <w:proofErr w:type="spellEnd"/>
      <w:r w:rsidRPr="00E735B7">
        <w:t xml:space="preserve">" attīstības finansējumu un par ietekmi uz šā konflikta skarto "EIB </w:t>
      </w:r>
      <w:proofErr w:type="spellStart"/>
      <w:r w:rsidRPr="00E735B7">
        <w:t>Global</w:t>
      </w:r>
      <w:proofErr w:type="spellEnd"/>
      <w:r w:rsidRPr="00E735B7">
        <w:t xml:space="preserve">" investīciju attīstības </w:t>
      </w:r>
      <w:proofErr w:type="spellStart"/>
      <w:r w:rsidRPr="00E735B7">
        <w:t>papildināmību</w:t>
      </w:r>
      <w:proofErr w:type="spellEnd"/>
      <w:r w:rsidRPr="00E735B7">
        <w:t>;</w:t>
      </w:r>
    </w:p>
    <w:p w:rsidR="00BC1DDC" w:rsidRPr="00E735B7" w:rsidRDefault="00BC1DDC" w:rsidP="00BC1DDC">
      <w:pPr>
        <w:pStyle w:val="NormalHanging12a"/>
      </w:pPr>
      <w:r w:rsidRPr="00E735B7">
        <w:t>37.</w:t>
      </w:r>
      <w:r w:rsidRPr="00E735B7">
        <w:tab/>
        <w:t xml:space="preserve">ņem vērā EIB informatīvo piezīmi, kurā apkopota tās pieeja cilvēktiesībām; atgādina EIB, ka ir svarīgi cilvēktiesības integrēt tās veiktajās uzticamības pārbaudes procedūrās, veikt ietekmes uz cilvēktiesībām novērtējumus, nostiprināt tās vispārējās saistības cilvēktiesību jomā un darboties, pilnībā ievērojot LESD 2. pantu; atkārtoti aicina izstrādāt skaidrus un saistošus noteikumus, kas papildinātu informatīvo piezīmi, kurā izklāstīta "EIB </w:t>
      </w:r>
      <w:proofErr w:type="spellStart"/>
      <w:r w:rsidRPr="00E735B7">
        <w:t>Global</w:t>
      </w:r>
      <w:proofErr w:type="spellEnd"/>
      <w:r w:rsidRPr="00E735B7">
        <w:t xml:space="preserve">" pieeja cilvēktiesību jautājumiem, konkrētāk, attiecībā uz novērtēšanu un izslēgšanu; pauž nopietnas bažas par to, ka kopš 2015. gada EIB nav prasījusi projektu virzītājiem veikt nekādus atsevišķus ietekmes uz cilvēktiesībām novērtējumus; tādēļ aicina EIB izstrādāt cilvēktiesību stratēģiju, kā arī novērtēt un izvērtēt savas programmas cilvēktiesību ziņā, arī attiecībā uz reālo situāciju saņēmējvalstīs, tādējādi nodrošinot, ka notiek apspriešanās ar vietējām kopienām un ka sistemātiski tiek īstenotas tiesības uz brīvu, iepriekšēju un apzinātu piekrišanu; turklāt aicina EIB izstrādāt īpašu politiku attiecībā uz cilvēktiesību aizstāvjiem un protokolus nolūkā reaģēt uz represiju risku; uzsver, ka būtu jāīsteno konkrēti pasākumi, </w:t>
      </w:r>
      <w:r w:rsidRPr="00E735B7">
        <w:lastRenderedPageBreak/>
        <w:t>apspriešanās procesā iesaistot pirmiedzīvotājus, sievietes, personas ar invaliditāti un citas neaizsargātas grupas;</w:t>
      </w:r>
    </w:p>
    <w:p w:rsidR="00BC1DDC" w:rsidRPr="00E735B7" w:rsidRDefault="00BC1DDC" w:rsidP="00BC1DDC">
      <w:pPr>
        <w:pStyle w:val="NormalHanging12a"/>
      </w:pPr>
      <w:r w:rsidRPr="00E735B7">
        <w:t>38.</w:t>
      </w:r>
      <w:r w:rsidRPr="00E735B7">
        <w:tab/>
        <w:t xml:space="preserve">atkārtoti aicina EIB nodrošināt, ka tās darbības sniedz labumu sievietēm un meitenēm, kā arī veicina sieviešu ekonomisko iespēju palielināšanu un nodarbinātību; uzskata, ka EIB būtu jāturpina palielināt </w:t>
      </w:r>
      <w:proofErr w:type="spellStart"/>
      <w:r w:rsidRPr="00E735B7">
        <w:t>mikrofinansēšanas</w:t>
      </w:r>
      <w:proofErr w:type="spellEnd"/>
      <w:r w:rsidRPr="00E735B7">
        <w:t xml:space="preserve"> aizdevumi uzņēmumiem, ko vada sievietes, kas joprojām saskaras ar diskrimināciju saistībā ar piekļuvi finansējumam;</w:t>
      </w:r>
    </w:p>
    <w:p w:rsidR="00BC1DDC" w:rsidRPr="00E735B7" w:rsidRDefault="00BC1DDC" w:rsidP="00BC1DDC">
      <w:pPr>
        <w:pStyle w:val="NormalHanging12a"/>
      </w:pPr>
      <w:r w:rsidRPr="00E735B7">
        <w:t>39.</w:t>
      </w:r>
      <w:r w:rsidRPr="00E735B7">
        <w:tab/>
        <w:t>aicina EIB sadarboties ar citām divpusējām un daudzpusējām iestādēm nolūkā izstrādāt vienotu metodiku, ko piemērot, analizējot ietekmi uz attīstību, un tādējādi ilgtermiņā nodrošinātu pozitīvu ietekmi ar pievienoto vērtību;</w:t>
      </w:r>
    </w:p>
    <w:p w:rsidR="00BC1DDC" w:rsidRPr="00E735B7" w:rsidRDefault="00BC1DDC" w:rsidP="00BC1DDC">
      <w:pPr>
        <w:pStyle w:val="Normal12a24b"/>
      </w:pPr>
      <w:proofErr w:type="spellStart"/>
      <w:r w:rsidRPr="00E735B7">
        <w:rPr>
          <w:rStyle w:val="BoldItalic"/>
        </w:rPr>
        <w:t>Pārredzamība</w:t>
      </w:r>
      <w:proofErr w:type="spellEnd"/>
      <w:r w:rsidRPr="00E735B7">
        <w:rPr>
          <w:rStyle w:val="BoldItalic"/>
        </w:rPr>
        <w:t xml:space="preserve"> un pārvaldība</w:t>
      </w:r>
    </w:p>
    <w:p w:rsidR="00BC1DDC" w:rsidRPr="00E735B7" w:rsidRDefault="00BC1DDC" w:rsidP="00BC1DDC">
      <w:pPr>
        <w:pStyle w:val="NormalHanging12a"/>
        <w:rPr>
          <w:snapToGrid/>
          <w:szCs w:val="24"/>
        </w:rPr>
      </w:pPr>
      <w:r w:rsidRPr="00E735B7">
        <w:t>40.</w:t>
      </w:r>
      <w:r w:rsidRPr="00E735B7">
        <w:tab/>
        <w:t xml:space="preserve">atgādina, ka EIB līdzekļi ir publiska nauda un ka to izmantošana vienmēr būtu jāpakļauj publiskai kontrolei un </w:t>
      </w:r>
      <w:proofErr w:type="spellStart"/>
      <w:r w:rsidRPr="00E735B7">
        <w:t>pārskatatbildībai</w:t>
      </w:r>
      <w:proofErr w:type="spellEnd"/>
      <w:r w:rsidRPr="00E735B7">
        <w:t xml:space="preserve">; atzīst, ka saskaņā ar 2023. gada ārvalstu tiešo ieguldījumu </w:t>
      </w:r>
      <w:proofErr w:type="spellStart"/>
      <w:r w:rsidRPr="00E735B7">
        <w:t>pārredzamības</w:t>
      </w:r>
      <w:proofErr w:type="spellEnd"/>
      <w:r w:rsidRPr="00E735B7">
        <w:t xml:space="preserve"> indeksu EIB tika iekļauta kategorijā "vidējs"; aicina EIB </w:t>
      </w:r>
      <w:proofErr w:type="spellStart"/>
      <w:r w:rsidRPr="00E735B7">
        <w:t>proaktīvi</w:t>
      </w:r>
      <w:proofErr w:type="spellEnd"/>
      <w:r w:rsidRPr="00E735B7">
        <w:t xml:space="preserve"> un savlaicīgi publicēt detalizētāku informāciju par projektiem, tai skaitā projektu pamatojumu un kontekstu, paskaidrojot, kā tie atbilst ES politikas mērķiem un veicina to sasniegšanu, un sagaida, ka EIB ierobežos informācijas neizpaušanu, attiecinot to tikai uz piemērojamiem izņēmumiem, kas uzskaitīti Regulā (EK) Nr. 1049/2001</w:t>
      </w:r>
      <w:r w:rsidRPr="00E735B7">
        <w:rPr>
          <w:rStyle w:val="FootnoteReference"/>
        </w:rPr>
        <w:footnoteReference w:id="5"/>
      </w:r>
      <w:r w:rsidRPr="00E735B7">
        <w:t xml:space="preserve"> un Regulā (EK) Nr. 1367/2006</w:t>
      </w:r>
      <w:r w:rsidRPr="00E735B7">
        <w:rPr>
          <w:rStyle w:val="FootnoteReference"/>
        </w:rPr>
        <w:footnoteReference w:id="6"/>
      </w:r>
      <w:r w:rsidRPr="00E735B7">
        <w:t xml:space="preserve">; mudina EIB īstenot Eiropas </w:t>
      </w:r>
      <w:proofErr w:type="spellStart"/>
      <w:r w:rsidRPr="00E735B7">
        <w:t>Ombuda</w:t>
      </w:r>
      <w:proofErr w:type="spellEnd"/>
      <w:r w:rsidRPr="00E735B7">
        <w:t xml:space="preserve"> 2023. gada 20. novembra ieteikumus lietā 2252/2022/OAM un 2022. gada 21. aprīļa ieteikumus lietā 1251/2020/PB, lai varētu jēgpilni novērtēt to projektu vides un sociālos aspektus, kurus tā plāno finansēt;</w:t>
      </w:r>
    </w:p>
    <w:p w:rsidR="00BC1DDC" w:rsidRPr="00E735B7" w:rsidRDefault="00BC1DDC" w:rsidP="00BC1DDC">
      <w:pPr>
        <w:pStyle w:val="NormalHanging12a"/>
      </w:pPr>
      <w:r w:rsidRPr="00E735B7">
        <w:t>41.</w:t>
      </w:r>
      <w:r w:rsidRPr="00E735B7">
        <w:tab/>
        <w:t xml:space="preserve">aicina palielināt EIB </w:t>
      </w:r>
      <w:proofErr w:type="spellStart"/>
      <w:r w:rsidRPr="00E735B7">
        <w:t>pārskatatbildību</w:t>
      </w:r>
      <w:proofErr w:type="spellEnd"/>
      <w:r w:rsidRPr="00E735B7">
        <w:t xml:space="preserve"> pret ES iestādēm, it īpaši pret Parlamentu, jo </w:t>
      </w:r>
      <w:proofErr w:type="spellStart"/>
      <w:r w:rsidRPr="00E735B7">
        <w:t>pārredzamība</w:t>
      </w:r>
      <w:proofErr w:type="spellEnd"/>
      <w:r w:rsidRPr="00E735B7">
        <w:t xml:space="preserve"> ir viens no demokrātijas stūrakmeņiem; tādēļ aicina EIB aktīvāk ziņot Parlamentam par saviem lēmumiem, sasniegto un aizdevumu darbību ietekmi, it īpaši izmantojot regulārus strukturētus dialogus starp Parlamentu un EIB; atkārtoti pieprasa noslēgt iestāžu nolīgumu starp Parlamentu un EIB, kas uzlabotu piekļuvi EIB dokumentiem un datiem un sekmētu demokrātisko </w:t>
      </w:r>
      <w:proofErr w:type="spellStart"/>
      <w:r w:rsidRPr="00E735B7">
        <w:t>pārskatatbildību</w:t>
      </w:r>
      <w:proofErr w:type="spellEnd"/>
      <w:r w:rsidRPr="00E735B7">
        <w:t>, tai skaitā iespēju iesniegt EIB jautājumus, uz kuriem jāatbild rakstiski, kā tas jau ir paredzēts attiecībā uz Eiropas Centrālo banku;</w:t>
      </w:r>
    </w:p>
    <w:p w:rsidR="00BC1DDC" w:rsidRPr="00E735B7" w:rsidRDefault="00BC1DDC" w:rsidP="00BC1DDC">
      <w:pPr>
        <w:pStyle w:val="NormalHanging12a"/>
      </w:pPr>
      <w:r w:rsidRPr="00E735B7">
        <w:t>42.</w:t>
      </w:r>
      <w:r w:rsidRPr="00E735B7">
        <w:tab/>
        <w:t>atkārtoti aicina EIB stiprināt savu politiku cīņai pret krāpšanu nodokļu jomā, izvairīšanos no nodokļu maksāšanas un nodokļu apiešanu, tai skaitā atturoties piešķirt finansējumu saņēmējiem vai finanšu starpniekiem, kuriem ir pierādīta slikta reputācija šajā jomā; aicina EIB īstenot preventīvus pasākumus un regulāru nodokļu novērtēšana attiecībā uz jurisdikcijām, kas nesadarbojas nodokļu jomā, kā arī pret krāpšanu nodokļu un fiskālajā jomā, izvairīšanos no nodokļu maksāšanas un nelikumīgu un agresīvu nodokļu apiešanu;</w:t>
      </w:r>
    </w:p>
    <w:p w:rsidR="00BC1DDC" w:rsidRPr="00E735B7" w:rsidRDefault="00BC1DDC" w:rsidP="00BC1DDC">
      <w:pPr>
        <w:pStyle w:val="NormalHanging12a"/>
      </w:pPr>
      <w:r w:rsidRPr="00E735B7">
        <w:lastRenderedPageBreak/>
        <w:t>43.</w:t>
      </w:r>
      <w:r w:rsidRPr="00E735B7">
        <w:tab/>
        <w:t xml:space="preserve">mudina EIB priekšsēdētāja vietniekus neiesaistīties projektu priekšlikumos no savām izcelsmes valstīm; aicina EIB pilnībā īstenot visus </w:t>
      </w:r>
      <w:proofErr w:type="spellStart"/>
      <w:r w:rsidRPr="00E735B7">
        <w:t>Ombuda</w:t>
      </w:r>
      <w:proofErr w:type="spellEnd"/>
      <w:r w:rsidRPr="00E735B7">
        <w:t xml:space="preserve"> 2022. gada 27. jūlija ieteikumus lietā 1016/2021/KR un 2023. gada 31. oktobra ieteikumus lietā </w:t>
      </w:r>
      <w:hyperlink r:id="rId9" w:history="1">
        <w:r w:rsidRPr="00E735B7">
          <w:rPr>
            <w:rStyle w:val="Hyperlink"/>
            <w:color w:val="auto"/>
            <w:u w:val="none"/>
            <w:shd w:val="clear" w:color="auto" w:fill="FFFFFF"/>
          </w:rPr>
          <w:t>611/2022/KR</w:t>
        </w:r>
      </w:hyperlink>
      <w:r w:rsidRPr="00E735B7">
        <w:t xml:space="preserve"> attiecībā uz tās Vadības komitejas bijušo locekļu darbību; aicina EIB Vadības komitejas locekļus publicēt grafiku sanāksmēm ar ārējām ieinteresētām personām un atkārto prasību sistemātiski publiskot EIB pārvaldes struktūru sanāksmju saturu, lai turpinātu uzlabot </w:t>
      </w:r>
      <w:proofErr w:type="spellStart"/>
      <w:r w:rsidRPr="00E735B7">
        <w:t>pārredzamību</w:t>
      </w:r>
      <w:proofErr w:type="spellEnd"/>
      <w:r w:rsidRPr="00E735B7">
        <w:t xml:space="preserve">; </w:t>
      </w:r>
    </w:p>
    <w:p w:rsidR="00BC1DDC" w:rsidRPr="00E735B7" w:rsidRDefault="00BC1DDC" w:rsidP="00BC1DDC">
      <w:pPr>
        <w:pStyle w:val="NormalHanging12a"/>
      </w:pPr>
      <w:r w:rsidRPr="00E735B7">
        <w:t>44.</w:t>
      </w:r>
      <w:r w:rsidRPr="00E735B7">
        <w:tab/>
      </w:r>
      <w:r w:rsidR="00D80FAA" w:rsidRPr="00E735B7">
        <w:t xml:space="preserve">norāda, ka EIB ir izdevies uzlabot darbaspēka dzimumu līdzsvaru, lai gan vadošajos amatos un galvenajās darbības jomās sievietes joprojām ir mazākumā; pauž nožēlu par to, ka EIB nav sasniegusi savus dzimumu līdztiesības </w:t>
      </w:r>
      <w:proofErr w:type="spellStart"/>
      <w:r w:rsidR="00D80FAA" w:rsidRPr="00E735B7">
        <w:t>mērķrādītājus</w:t>
      </w:r>
      <w:proofErr w:type="spellEnd"/>
      <w:r w:rsidR="00D80FAA" w:rsidRPr="00E735B7">
        <w:t>, kas dažādos līmeņos noteikti EIB Daudzveidības un iekļaušanas stratēģijā 2018.–2021. gadam; tādēļ aicina Banku pastiprināt centienus nolūkā panākt labāku dzimumu līdzsvaru uzlabot dzimumu pārstāvību un sasniegt dzimumu paritāti visās funkcijās un jo īpaši augsta līmeņa un vadošos amatos, vienlaikus saglabājot arī ģeogrāfisko līdzsvaru; aicina EIB savā organizācijā vēl vairāk veicināt visu veidu daudzveidību un iekļaušanu un noteikt vērienīgus mērķus</w:t>
      </w:r>
      <w:r w:rsidRPr="00E735B7">
        <w:t>;</w:t>
      </w:r>
    </w:p>
    <w:p w:rsidR="00BC1DDC" w:rsidRPr="00E735B7" w:rsidRDefault="00BC1DDC" w:rsidP="00BC1DDC">
      <w:pPr>
        <w:pStyle w:val="NormalCenter12a"/>
      </w:pPr>
      <w:r w:rsidRPr="00E735B7">
        <w:t>°</w:t>
      </w:r>
    </w:p>
    <w:p w:rsidR="00BC1DDC" w:rsidRPr="00E735B7" w:rsidRDefault="00BC1DDC" w:rsidP="00BC1DDC">
      <w:pPr>
        <w:pStyle w:val="NormalCenter12a"/>
      </w:pPr>
      <w:r w:rsidRPr="00E735B7">
        <w:t>°</w:t>
      </w:r>
      <w:r w:rsidRPr="00E735B7">
        <w:tab/>
        <w:t>°</w:t>
      </w:r>
    </w:p>
    <w:p w:rsidR="00BC1DDC" w:rsidRPr="00E735B7" w:rsidRDefault="00BC1DDC" w:rsidP="00BC1DDC">
      <w:pPr>
        <w:pStyle w:val="NormalHanging12a"/>
      </w:pPr>
      <w:r w:rsidRPr="00E735B7">
        <w:t>45.</w:t>
      </w:r>
      <w:r w:rsidRPr="00E735B7">
        <w:tab/>
        <w:t>uzdod priekšsēdētājai šo rezolūciju nosūtīt Padomei, Komisijai un Eiropas Investīciju bankai.</w:t>
      </w:r>
    </w:p>
    <w:p w:rsidR="00E365E1" w:rsidRPr="00E735B7" w:rsidRDefault="00E365E1" w:rsidP="004C3648">
      <w:bookmarkStart w:id="9" w:name="TextBodyEnd"/>
      <w:bookmarkEnd w:id="9"/>
    </w:p>
    <w:sectPr w:rsidR="00E365E1" w:rsidRPr="00E735B7" w:rsidSect="007E35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648" w:rsidRPr="007E354F" w:rsidRDefault="004C3648">
      <w:r w:rsidRPr="007E354F">
        <w:separator/>
      </w:r>
    </w:p>
  </w:endnote>
  <w:endnote w:type="continuationSeparator" w:id="0">
    <w:p w:rsidR="004C3648" w:rsidRPr="007E354F" w:rsidRDefault="004C3648">
      <w:r w:rsidRPr="007E3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648" w:rsidRPr="007E354F" w:rsidRDefault="004C3648">
      <w:r w:rsidRPr="007E354F">
        <w:separator/>
      </w:r>
    </w:p>
  </w:footnote>
  <w:footnote w:type="continuationSeparator" w:id="0">
    <w:p w:rsidR="004C3648" w:rsidRPr="007E354F" w:rsidRDefault="004C3648">
      <w:r w:rsidRPr="007E354F">
        <w:continuationSeparator/>
      </w:r>
    </w:p>
  </w:footnote>
  <w:footnote w:id="1">
    <w:p w:rsidR="00BC1DDC" w:rsidRPr="007E354F" w:rsidRDefault="00BC1DDC" w:rsidP="007E354F">
      <w:pPr>
        <w:pStyle w:val="FootnoteText"/>
        <w:ind w:left="567" w:hanging="567"/>
        <w:rPr>
          <w:color w:val="0000FF"/>
          <w:sz w:val="24"/>
          <w:u w:val="single" w:color="0000FF"/>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00F173FA" w:rsidRPr="00F83C11">
        <w:rPr>
          <w:sz w:val="24"/>
          <w:lang w:val="lv-LV"/>
        </w:rPr>
        <w:t>OV L 231, 30.6.2021., 1. lpp.</w:t>
      </w:r>
    </w:p>
  </w:footnote>
  <w:footnote w:id="2">
    <w:p w:rsidR="00BC1DDC" w:rsidRPr="007E354F" w:rsidRDefault="00BC1DDC" w:rsidP="007E354F">
      <w:pPr>
        <w:pStyle w:val="FootnoteText"/>
        <w:ind w:left="567" w:hanging="567"/>
        <w:rPr>
          <w:color w:val="0000FF"/>
          <w:sz w:val="24"/>
          <w:u w:val="single" w:color="0000FF"/>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00F173FA" w:rsidRPr="00F83C11">
        <w:rPr>
          <w:sz w:val="24"/>
          <w:lang w:val="lv-LV"/>
        </w:rPr>
        <w:t>OV L 274, 30.7.2021., 1. lpp.</w:t>
      </w:r>
    </w:p>
  </w:footnote>
  <w:footnote w:id="3">
    <w:p w:rsidR="00BC1DDC" w:rsidRPr="007E354F" w:rsidRDefault="00BC1DDC" w:rsidP="007E354F">
      <w:pPr>
        <w:pStyle w:val="FootnoteText"/>
        <w:ind w:left="567" w:hanging="567"/>
        <w:rPr>
          <w:sz w:val="24"/>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Pr="007E354F">
        <w:rPr>
          <w:sz w:val="24"/>
          <w:lang w:val="lv-LV"/>
        </w:rPr>
        <w:t xml:space="preserve">Komisijas Deleģētā regula (ES) 2023/1184 (2023. gada 10. februāris), ar ko Eiropas Parlamenta un Padomes Direktīvu (ES) 2018/2001 papildina, izveidojot Savienības metodiku, ar ko nosaka sīki izstrādātus noteikumus par nebioloģiskas izcelsmes </w:t>
      </w:r>
      <w:proofErr w:type="spellStart"/>
      <w:r w:rsidRPr="007E354F">
        <w:rPr>
          <w:sz w:val="24"/>
          <w:lang w:val="lv-LV"/>
        </w:rPr>
        <w:t>atjaunīgo</w:t>
      </w:r>
      <w:proofErr w:type="spellEnd"/>
      <w:r w:rsidRPr="007E354F">
        <w:rPr>
          <w:sz w:val="24"/>
          <w:lang w:val="lv-LV"/>
        </w:rPr>
        <w:t xml:space="preserve"> šķidro un gāzveida transporta degvielu ražošanu</w:t>
      </w:r>
      <w:r w:rsidR="00F173FA">
        <w:rPr>
          <w:sz w:val="24"/>
          <w:lang w:val="lv-LV"/>
        </w:rPr>
        <w:t xml:space="preserve"> (</w:t>
      </w:r>
      <w:r w:rsidRPr="007E354F">
        <w:rPr>
          <w:sz w:val="24"/>
          <w:lang w:val="lv-LV"/>
        </w:rPr>
        <w:t>OV L 157, 20.6.2023., 11. lpp.</w:t>
      </w:r>
      <w:r w:rsidR="00F173FA">
        <w:rPr>
          <w:sz w:val="24"/>
          <w:lang w:val="lv-LV"/>
        </w:rPr>
        <w:t>).</w:t>
      </w:r>
    </w:p>
  </w:footnote>
  <w:footnote w:id="4">
    <w:p w:rsidR="00BC1DDC" w:rsidRPr="007E354F" w:rsidRDefault="00BC1DDC" w:rsidP="007E354F">
      <w:pPr>
        <w:pStyle w:val="FootnoteText"/>
        <w:ind w:left="567" w:hanging="567"/>
        <w:rPr>
          <w:sz w:val="24"/>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Pr="007E354F">
        <w:rPr>
          <w:sz w:val="24"/>
          <w:lang w:val="lv-LV"/>
        </w:rPr>
        <w:t>Pasaules Bankas ziņojums "</w:t>
      </w:r>
      <w:proofErr w:type="spellStart"/>
      <w:r w:rsidRPr="007E354F">
        <w:rPr>
          <w:sz w:val="24"/>
          <w:lang w:val="lv-LV"/>
        </w:rPr>
        <w:t>Global</w:t>
      </w:r>
      <w:proofErr w:type="spellEnd"/>
      <w:r w:rsidRPr="007E354F">
        <w:rPr>
          <w:sz w:val="24"/>
          <w:lang w:val="lv-LV"/>
        </w:rPr>
        <w:t xml:space="preserve"> </w:t>
      </w:r>
      <w:proofErr w:type="spellStart"/>
      <w:r w:rsidRPr="007E354F">
        <w:rPr>
          <w:sz w:val="24"/>
          <w:lang w:val="lv-LV"/>
        </w:rPr>
        <w:t>Economic</w:t>
      </w:r>
      <w:proofErr w:type="spellEnd"/>
      <w:r w:rsidRPr="007E354F">
        <w:rPr>
          <w:sz w:val="24"/>
          <w:lang w:val="lv-LV"/>
        </w:rPr>
        <w:t xml:space="preserve"> </w:t>
      </w:r>
      <w:proofErr w:type="spellStart"/>
      <w:r w:rsidRPr="007E354F">
        <w:rPr>
          <w:sz w:val="24"/>
          <w:lang w:val="lv-LV"/>
        </w:rPr>
        <w:t>Prospects</w:t>
      </w:r>
      <w:proofErr w:type="spellEnd"/>
      <w:r w:rsidRPr="007E354F">
        <w:rPr>
          <w:sz w:val="24"/>
          <w:lang w:val="lv-LV"/>
        </w:rPr>
        <w:t>", 2024. gada janvāris, https://www.worldbank.org/en/publication/global-economic-prospects.</w:t>
      </w:r>
    </w:p>
  </w:footnote>
  <w:footnote w:id="5">
    <w:p w:rsidR="00BC1DDC" w:rsidRPr="007E354F" w:rsidRDefault="00BC1DDC" w:rsidP="007E354F">
      <w:pPr>
        <w:pStyle w:val="FootnoteText"/>
        <w:ind w:left="567" w:hanging="567"/>
        <w:rPr>
          <w:sz w:val="24"/>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Pr="007E354F">
        <w:rPr>
          <w:sz w:val="24"/>
          <w:lang w:val="lv-LV"/>
        </w:rPr>
        <w:t>Eiropas Parlamenta un Padomes 2001. gada 30. maija Regula (EK) Nr. 1049/2001 par publisku piekļuvi Eiropas Parlamenta, Padomes un Komisijas dokumentiem</w:t>
      </w:r>
      <w:r w:rsidR="00F173FA">
        <w:rPr>
          <w:sz w:val="24"/>
          <w:lang w:val="lv-LV"/>
        </w:rPr>
        <w:t xml:space="preserve"> (</w:t>
      </w:r>
      <w:r w:rsidRPr="007E354F">
        <w:rPr>
          <w:sz w:val="24"/>
          <w:lang w:val="lv-LV"/>
        </w:rPr>
        <w:t>OV L 145, 31.5.2001., 43. lpp.</w:t>
      </w:r>
      <w:r w:rsidR="00F173FA">
        <w:rPr>
          <w:sz w:val="24"/>
          <w:lang w:val="lv-LV"/>
        </w:rPr>
        <w:t>).</w:t>
      </w:r>
    </w:p>
  </w:footnote>
  <w:footnote w:id="6">
    <w:p w:rsidR="00BC1DDC" w:rsidRPr="007E354F" w:rsidRDefault="00BC1DDC" w:rsidP="007E354F">
      <w:pPr>
        <w:pStyle w:val="FootnoteText"/>
        <w:ind w:left="567" w:hanging="567"/>
        <w:rPr>
          <w:sz w:val="24"/>
          <w:lang w:val="lv-LV"/>
        </w:rPr>
      </w:pPr>
      <w:r w:rsidRPr="007E354F">
        <w:rPr>
          <w:rStyle w:val="FootnoteReference"/>
          <w:sz w:val="24"/>
          <w:lang w:val="lv-LV"/>
        </w:rPr>
        <w:footnoteRef/>
      </w:r>
      <w:r w:rsidR="007E354F" w:rsidRPr="007E354F">
        <w:rPr>
          <w:sz w:val="24"/>
          <w:lang w:val="lv-LV"/>
        </w:rPr>
        <w:t xml:space="preserve"> </w:t>
      </w:r>
      <w:r w:rsidR="007E354F" w:rsidRPr="007E354F">
        <w:rPr>
          <w:sz w:val="24"/>
          <w:lang w:val="lv-LV"/>
        </w:rPr>
        <w:tab/>
      </w:r>
      <w:r w:rsidRPr="007E354F">
        <w:rPr>
          <w:sz w:val="24"/>
          <w:lang w:val="lv-LV"/>
        </w:rPr>
        <w:t>Eiropas Parlamenta un Padomes Regula (EK) Nr. 1367/2006 (2006. gada 6. septembris) par to, kā Kopienas iestādēm un struktūrām piemērot Orhūsas Konvenciju par pieeju informācijai, sabiedrības dalību lēmumu pieņemšanā un iespēju griezties tiesu iestādēs saistībā ar vides jautājumiem</w:t>
      </w:r>
      <w:r w:rsidR="00F173FA">
        <w:rPr>
          <w:sz w:val="24"/>
          <w:lang w:val="lv-LV"/>
        </w:rPr>
        <w:t xml:space="preserve"> (</w:t>
      </w:r>
      <w:r w:rsidRPr="007E354F">
        <w:rPr>
          <w:sz w:val="24"/>
          <w:lang w:val="lv-LV"/>
        </w:rPr>
        <w:t>OV L 264, 25.9.2006., 13. lpp.</w:t>
      </w:r>
      <w:r w:rsidR="00F173FA">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LV"/>
    <w:docVar w:name="dvnumam" w:val="0"/>
    <w:docVar w:name="dvpe" w:val="757.274"/>
    <w:docVar w:name="dvrapporteur" w:val="Referents: "/>
    <w:docVar w:name="dvtitre" w:val="Eiropas Parlamenta 2024. gada XX. XXX  rezolūcija par Eiropas Investīciju bankas finanšu darbībām — 2023. gada ziņojums(2023/2229(INI))"/>
  </w:docVars>
  <w:rsids>
    <w:rsidRoot w:val="004C364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648"/>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54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DDC"/>
    <w:rsid w:val="00BD48FE"/>
    <w:rsid w:val="00BD4C55"/>
    <w:rsid w:val="00BD7BD8"/>
    <w:rsid w:val="00BE6ADC"/>
    <w:rsid w:val="00C05BFE"/>
    <w:rsid w:val="00C23CD4"/>
    <w:rsid w:val="00C61C0C"/>
    <w:rsid w:val="00C941CB"/>
    <w:rsid w:val="00CC2357"/>
    <w:rsid w:val="00CF071A"/>
    <w:rsid w:val="00D058B8"/>
    <w:rsid w:val="00D56C11"/>
    <w:rsid w:val="00D80FAA"/>
    <w:rsid w:val="00D834A0"/>
    <w:rsid w:val="00D872DF"/>
    <w:rsid w:val="00D91E21"/>
    <w:rsid w:val="00DA7FCD"/>
    <w:rsid w:val="00E365E1"/>
    <w:rsid w:val="00E735B7"/>
    <w:rsid w:val="00E820A4"/>
    <w:rsid w:val="00EB006A"/>
    <w:rsid w:val="00EB4772"/>
    <w:rsid w:val="00ED169E"/>
    <w:rsid w:val="00ED4235"/>
    <w:rsid w:val="00F04346"/>
    <w:rsid w:val="00F075DC"/>
    <w:rsid w:val="00F149E9"/>
    <w:rsid w:val="00F173FA"/>
    <w:rsid w:val="00F5134D"/>
    <w:rsid w:val="00F74202"/>
    <w:rsid w:val="00F83C1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40FDE"/>
  <w15:chartTrackingRefBased/>
  <w15:docId w15:val="{9388E865-DCB2-4572-ABDF-AE898ECDF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1DDC"/>
    <w:pPr>
      <w:spacing w:before="480" w:after="240"/>
    </w:pPr>
    <w:rPr>
      <w:snapToGrid w:val="0"/>
      <w:lang w:eastAsia="en-US"/>
    </w:rPr>
  </w:style>
  <w:style w:type="paragraph" w:customStyle="1" w:styleId="NormalBold">
    <w:name w:val="NormalBold"/>
    <w:basedOn w:val="Normal"/>
    <w:rsid w:val="00BC1DDC"/>
    <w:rPr>
      <w:b/>
      <w:snapToGrid w:val="0"/>
      <w:lang w:eastAsia="en-US"/>
    </w:rPr>
  </w:style>
  <w:style w:type="paragraph" w:customStyle="1" w:styleId="NormalHanging12a">
    <w:name w:val="NormalHanging12a"/>
    <w:basedOn w:val="Normal"/>
    <w:link w:val="NormalHanging12aChar"/>
    <w:rsid w:val="00BC1DDC"/>
    <w:pPr>
      <w:widowControl/>
      <w:spacing w:after="240"/>
      <w:ind w:left="567" w:hanging="567"/>
    </w:pPr>
    <w:rPr>
      <w:snapToGrid w:val="0"/>
      <w:lang w:eastAsia="en-US"/>
    </w:rPr>
  </w:style>
  <w:style w:type="paragraph" w:customStyle="1" w:styleId="NormalCenter12a">
    <w:name w:val="NormalCenter12a"/>
    <w:basedOn w:val="Normal"/>
    <w:rsid w:val="00BC1DDC"/>
    <w:pPr>
      <w:spacing w:after="240"/>
      <w:jc w:val="center"/>
    </w:pPr>
  </w:style>
  <w:style w:type="character" w:customStyle="1" w:styleId="BoldItalic">
    <w:name w:val="BoldItalic"/>
    <w:uiPriority w:val="1"/>
    <w:rsid w:val="00BC1DDC"/>
    <w:rPr>
      <w:b/>
      <w:i/>
      <w:u w:val="none"/>
    </w:rPr>
  </w:style>
  <w:style w:type="character" w:customStyle="1" w:styleId="Italic">
    <w:name w:val="Italic"/>
    <w:uiPriority w:val="1"/>
    <w:rsid w:val="00BC1DDC"/>
    <w:rPr>
      <w:i/>
    </w:rPr>
  </w:style>
  <w:style w:type="paragraph" w:customStyle="1" w:styleId="Normal12a24b">
    <w:name w:val="Normal12a24b"/>
    <w:basedOn w:val="Normal"/>
    <w:rsid w:val="00BC1DDC"/>
    <w:pPr>
      <w:spacing w:before="360" w:after="240"/>
    </w:pPr>
    <w:rPr>
      <w:snapToGrid w:val="0"/>
      <w:lang w:eastAsia="en-US"/>
    </w:rPr>
  </w:style>
  <w:style w:type="character" w:customStyle="1" w:styleId="NormalHanging12aChar">
    <w:name w:val="NormalHanging12a Char"/>
    <w:basedOn w:val="DefaultParagraphFont"/>
    <w:link w:val="NormalHanging12a"/>
    <w:rsid w:val="00BC1DDC"/>
    <w:rPr>
      <w:snapToGrid w:val="0"/>
      <w:sz w:val="24"/>
      <w:lang w:val="lv-LV" w:eastAsia="en-US"/>
    </w:rPr>
  </w:style>
  <w:style w:type="character" w:styleId="Hyperlink">
    <w:name w:val="Hyperlink"/>
    <w:basedOn w:val="DefaultParagraphFont"/>
    <w:uiPriority w:val="99"/>
    <w:unhideWhenUsed/>
    <w:rsid w:val="00BC1DDC"/>
    <w:rPr>
      <w:color w:val="0563C1" w:themeColor="hyperlink"/>
      <w:u w:val="single"/>
    </w:rPr>
  </w:style>
  <w:style w:type="paragraph" w:styleId="BalloonText">
    <w:name w:val="Balloon Text"/>
    <w:basedOn w:val="Normal"/>
    <w:link w:val="BalloonTextChar"/>
    <w:rsid w:val="00F173FA"/>
    <w:rPr>
      <w:rFonts w:ascii="Segoe UI" w:hAnsi="Segoe UI" w:cs="Segoe UI"/>
      <w:sz w:val="18"/>
      <w:szCs w:val="18"/>
    </w:rPr>
  </w:style>
  <w:style w:type="character" w:customStyle="1" w:styleId="BalloonTextChar">
    <w:name w:val="Balloon Text Char"/>
    <w:basedOn w:val="DefaultParagraphFont"/>
    <w:link w:val="BalloonText"/>
    <w:rsid w:val="00F173F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budsman.europa.eu/en/case/en/6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03A8C-0A4D-485D-AF62-4225CDB8F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4458</Words>
  <Characters>30044</Characters>
  <Application>Microsoft Office Word</Application>
  <DocSecurity>0</DocSecurity>
  <Lines>250</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2024-04-08T10:16:00Z</dcterms:created>
  <dcterms:modified xsi:type="dcterms:W3CDTF">2024-04-08T10:16:00Z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A9-0031/2024</vt:lpwstr>
  </property>
  <property fmtid="{D5CDD505-2E9C-101B-9397-08002B2CF9AE}" pid="4" name="&lt;Type&gt;">
    <vt:lpwstr>RR</vt:lpwstr>
  </property>
</Properties>
</file>