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60D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760DB" w:rsidRDefault="006142C1" w:rsidP="0010095E">
            <w:pPr>
              <w:pStyle w:val="EPName"/>
            </w:pPr>
            <w:r w:rsidRPr="00C760DB">
              <w:t>Parlament Europejski</w:t>
            </w:r>
          </w:p>
          <w:p w:rsidR="00751A4A" w:rsidRPr="00C760D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60D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760DB" w:rsidRDefault="00187494" w:rsidP="0010095E">
            <w:pPr>
              <w:pStyle w:val="EPLogo"/>
            </w:pPr>
            <w:r w:rsidRPr="00C760D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760DB" w:rsidRDefault="00D058B8" w:rsidP="004C5D52">
      <w:pPr>
        <w:pStyle w:val="LineTop"/>
      </w:pPr>
    </w:p>
    <w:p w:rsidR="00680577" w:rsidRPr="00C760DB" w:rsidRDefault="006142C1" w:rsidP="00680577">
      <w:pPr>
        <w:pStyle w:val="EPBodyTA1"/>
      </w:pPr>
      <w:r w:rsidRPr="00C760DB">
        <w:t>TEKSTY PRZYJĘTE</w:t>
      </w:r>
    </w:p>
    <w:p w:rsidR="00D058B8" w:rsidRPr="00C760DB" w:rsidRDefault="00D058B8" w:rsidP="00D058B8">
      <w:pPr>
        <w:pStyle w:val="LineBottom"/>
      </w:pPr>
    </w:p>
    <w:p w:rsidR="006142C1" w:rsidRPr="00C760DB" w:rsidRDefault="006142C1" w:rsidP="006142C1">
      <w:pPr>
        <w:pStyle w:val="ATHeading1"/>
      </w:pPr>
      <w:bookmarkStart w:id="0" w:name="TANumber"/>
      <w:r w:rsidRPr="00C760DB">
        <w:t>P9_TA(2024)0</w:t>
      </w:r>
      <w:bookmarkEnd w:id="0"/>
      <w:r w:rsidR="00ED542A">
        <w:t>107</w:t>
      </w:r>
    </w:p>
    <w:p w:rsidR="006142C1" w:rsidRPr="00A85B71" w:rsidRDefault="00A85B71" w:rsidP="006142C1">
      <w:pPr>
        <w:pStyle w:val="ATHeading2"/>
      </w:pPr>
      <w:r w:rsidRPr="00137D58">
        <w:t xml:space="preserve">Działalność finansowa Europejskiego Banku </w:t>
      </w:r>
      <w:proofErr w:type="spellStart"/>
      <w:r w:rsidRPr="00137D58">
        <w:t>Inwestycyjneg</w:t>
      </w:r>
      <w:proofErr w:type="spellEnd"/>
    </w:p>
    <w:p w:rsidR="006142C1" w:rsidRPr="00C760DB" w:rsidRDefault="006142C1" w:rsidP="006142C1">
      <w:pPr>
        <w:rPr>
          <w:i/>
          <w:vanish/>
        </w:rPr>
      </w:pPr>
      <w:r w:rsidRPr="00C760DB">
        <w:rPr>
          <w:i/>
        </w:rPr>
        <w:fldChar w:fldCharType="begin"/>
      </w:r>
      <w:r w:rsidRPr="00C760DB">
        <w:rPr>
          <w:i/>
        </w:rPr>
        <w:instrText xml:space="preserve"> TC"(</w:instrText>
      </w:r>
      <w:bookmarkStart w:id="1" w:name="DocNumber"/>
      <w:r w:rsidRPr="00C760DB">
        <w:rPr>
          <w:i/>
        </w:rPr>
        <w:instrText>A9-0031/2024</w:instrText>
      </w:r>
      <w:bookmarkEnd w:id="1"/>
      <w:r w:rsidRPr="00C760DB">
        <w:rPr>
          <w:i/>
        </w:rPr>
        <w:instrText xml:space="preserve"> - Sprawozdawca: David </w:instrText>
      </w:r>
      <w:proofErr w:type="spellStart"/>
      <w:r w:rsidRPr="00C760DB">
        <w:rPr>
          <w:i/>
        </w:rPr>
        <w:instrText>Cormand</w:instrText>
      </w:r>
      <w:proofErr w:type="spellEnd"/>
      <w:proofErr w:type="gramStart"/>
      <w:r w:rsidRPr="00C760DB">
        <w:rPr>
          <w:i/>
        </w:rPr>
        <w:instrText>)"\l</w:instrText>
      </w:r>
      <w:proofErr w:type="gramEnd"/>
      <w:r w:rsidRPr="00C760DB">
        <w:rPr>
          <w:i/>
        </w:rPr>
        <w:instrText xml:space="preserve">3 \n&gt; \* MERGEFORMAT </w:instrText>
      </w:r>
      <w:r w:rsidRPr="00C760DB">
        <w:rPr>
          <w:i/>
        </w:rPr>
        <w:fldChar w:fldCharType="end"/>
      </w:r>
    </w:p>
    <w:p w:rsidR="006142C1" w:rsidRPr="00C760DB" w:rsidRDefault="006142C1" w:rsidP="006142C1">
      <w:pPr>
        <w:rPr>
          <w:vanish/>
        </w:rPr>
      </w:pPr>
      <w:bookmarkStart w:id="2" w:name="Commission"/>
      <w:r w:rsidRPr="00C760DB">
        <w:rPr>
          <w:vanish/>
        </w:rPr>
        <w:t>Komisja Budżetowa</w:t>
      </w:r>
      <w:bookmarkEnd w:id="2"/>
    </w:p>
    <w:p w:rsidR="006142C1" w:rsidRPr="00C760DB" w:rsidRDefault="006142C1" w:rsidP="006142C1">
      <w:pPr>
        <w:rPr>
          <w:vanish/>
        </w:rPr>
      </w:pPr>
      <w:bookmarkStart w:id="3" w:name="PE"/>
      <w:r w:rsidRPr="00C760DB">
        <w:rPr>
          <w:vanish/>
        </w:rPr>
        <w:t>PE757.274</w:t>
      </w:r>
      <w:bookmarkEnd w:id="3"/>
    </w:p>
    <w:p w:rsidR="006142C1" w:rsidRPr="00C760DB" w:rsidRDefault="006142C1" w:rsidP="006142C1">
      <w:pPr>
        <w:pStyle w:val="ATHeading3"/>
      </w:pPr>
      <w:bookmarkStart w:id="4" w:name="Sujet"/>
      <w:r w:rsidRPr="00C760DB">
        <w:t xml:space="preserve">Rezolucja Parlamentu Europejskiego z dnia </w:t>
      </w:r>
      <w:r w:rsidR="00137D58">
        <w:t>28</w:t>
      </w:r>
      <w:r w:rsidR="00A85B71">
        <w:t xml:space="preserve"> lutego</w:t>
      </w:r>
      <w:r w:rsidRPr="00C760DB">
        <w:t xml:space="preserve"> 2024 r. w sprawie sprawozdania rocznego z działalności finansowej Europejskiego Banku Inwestycyjnego za rok 2023</w:t>
      </w:r>
      <w:bookmarkEnd w:id="4"/>
      <w:r w:rsidRPr="00C760DB">
        <w:t xml:space="preserve"> </w:t>
      </w:r>
      <w:bookmarkStart w:id="5" w:name="References"/>
      <w:r w:rsidRPr="00C760DB">
        <w:t>(2023/2229(INI))</w:t>
      </w:r>
      <w:bookmarkEnd w:id="5"/>
    </w:p>
    <w:p w:rsidR="006142C1" w:rsidRPr="00C760DB" w:rsidRDefault="006142C1" w:rsidP="006142C1"/>
    <w:p w:rsidR="00515BF6" w:rsidRPr="00C760DB" w:rsidRDefault="00515BF6" w:rsidP="00515BF6">
      <w:pPr>
        <w:pStyle w:val="EPComma"/>
      </w:pPr>
      <w:bookmarkStart w:id="6" w:name="TextBodyBegin"/>
      <w:bookmarkEnd w:id="6"/>
      <w:r w:rsidRPr="00C760DB">
        <w:rPr>
          <w:rStyle w:val="Italic"/>
        </w:rPr>
        <w:t>Parlament Europejski</w:t>
      </w:r>
      <w:r w:rsidRPr="00C760DB">
        <w:t>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art. 2 i 3 Traktatu o Unii Europejskiej,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art. 15, 126, 174, 175, 177, 208, 209, 271, 308 i 309 Traktatu o funkcjonowaniu Unii Europejs</w:t>
      </w:r>
      <w:r w:rsidR="00A85B71">
        <w:t>kiej (TFUE) oraz Protokół nr 5</w:t>
      </w:r>
      <w:r w:rsidRPr="00C760DB">
        <w:t xml:space="preserve"> w sprawie statutu Europejskiego Banku Inwestycyjnego (EBI),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art. 41–43 Traktatu ustanawiającego Europejską Wspólnotę Energii Atomowej,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komunikat prasowy EBI z </w:t>
      </w:r>
      <w:r w:rsidR="00A85B71">
        <w:t xml:space="preserve">dnia </w:t>
      </w:r>
      <w:r w:rsidRPr="00C760DB">
        <w:t>7 października 2016 r. w sprawie wyrażenia zgody na ratyfikowanie przez UE porozumienia paryskiego,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sprawozdanie z działalności EBI dotyczące oceny operacji za 2022 r. i program prac na lata 2023–2025, opublikowane 3 marca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procedury grupy EBI w ramach mechanizmu rozpatrywania skarg, opublikowane 13 listopada 2018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dokument EBI zatytułowany „EIB </w:t>
      </w:r>
      <w:proofErr w:type="spellStart"/>
      <w:r w:rsidRPr="00C760DB">
        <w:t>energy</w:t>
      </w:r>
      <w:proofErr w:type="spellEnd"/>
      <w:r w:rsidRPr="00C760DB">
        <w:t xml:space="preserve"> </w:t>
      </w:r>
      <w:proofErr w:type="spellStart"/>
      <w:r w:rsidRPr="00C760DB">
        <w:t>lending</w:t>
      </w:r>
      <w:proofErr w:type="spellEnd"/>
      <w:r w:rsidRPr="00C760DB">
        <w:t xml:space="preserve"> policy” [Polityka EBI w zakresie pożyczek energetycznych], opublikowany 8 maja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plan działania banku klimatycznego grupy EBI na lata 2021–2025 przyjęty 11 listopada 2020 r. przez Radę Dyrektorów EBI oraz strategię klimatyczną EBI z 15 listopada 2020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plan operacyjny grupy EBI na lata 2023–2025, opublikowany 2 lutego 2023 r.,</w:t>
      </w:r>
    </w:p>
    <w:p w:rsidR="00515BF6" w:rsidRPr="00C760DB" w:rsidRDefault="00515BF6" w:rsidP="00515BF6">
      <w:pPr>
        <w:pStyle w:val="NormalHanging12a"/>
      </w:pPr>
      <w:r w:rsidRPr="00C760DB">
        <w:lastRenderedPageBreak/>
        <w:t>–</w:t>
      </w:r>
      <w:r w:rsidRPr="00C760DB">
        <w:tab/>
        <w:t>uwzględniając sprawozdanie EBI dotyczące inwestycji za lata 2022–2023 zatytułowane „</w:t>
      </w:r>
      <w:proofErr w:type="spellStart"/>
      <w:r w:rsidRPr="00C760DB">
        <w:t>Resilience</w:t>
      </w:r>
      <w:proofErr w:type="spellEnd"/>
      <w:r w:rsidRPr="00C760DB">
        <w:t xml:space="preserve"> and </w:t>
      </w:r>
      <w:proofErr w:type="spellStart"/>
      <w:r w:rsidRPr="00C760DB">
        <w:t>renewal</w:t>
      </w:r>
      <w:proofErr w:type="spellEnd"/>
      <w:r w:rsidRPr="00C760DB">
        <w:t xml:space="preserve"> in Europe” [Odporność i odbudowa w Europie], opublikowane 28 lutego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sprawozdanie z działalności grupy EBI za 2022 r. zatytułowane „</w:t>
      </w:r>
      <w:proofErr w:type="spellStart"/>
      <w:r w:rsidRPr="00C760DB">
        <w:t>Secure</w:t>
      </w:r>
      <w:proofErr w:type="spellEnd"/>
      <w:r w:rsidRPr="00C760DB">
        <w:t xml:space="preserve"> Europe” [Bezpieczna Europa], opublikowane 2 lutego 2023 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przegląd działań EBI w dziedzinie klimatu i zrównoważenia środowiskowego za 2023 r., opublikowany 2 lutego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ramy środowiskowe EBI, opublikowane 14 listopada 2022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sprawozdanie grupy EBI dotyczące ładu korporacyjnego za 2022 r., opublikowane 8 września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publikację EBI z </w:t>
      </w:r>
      <w:r w:rsidR="00A85B71">
        <w:t xml:space="preserve">dnia </w:t>
      </w:r>
      <w:r w:rsidRPr="00C760DB">
        <w:t xml:space="preserve">29 listopada 2023 r. zatytułowaną „EIB Global Strategic </w:t>
      </w:r>
      <w:proofErr w:type="spellStart"/>
      <w:r w:rsidRPr="00C760DB">
        <w:t>Roadmap</w:t>
      </w:r>
      <w:proofErr w:type="spellEnd"/>
      <w:r w:rsidRPr="00C760DB">
        <w:t xml:space="preserve">: EU Finance for a </w:t>
      </w:r>
      <w:proofErr w:type="spellStart"/>
      <w:r w:rsidRPr="00C760DB">
        <w:t>Sustainable</w:t>
      </w:r>
      <w:proofErr w:type="spellEnd"/>
      <w:r w:rsidRPr="00C760DB">
        <w:t xml:space="preserve"> </w:t>
      </w:r>
      <w:proofErr w:type="spellStart"/>
      <w:r w:rsidRPr="00C760DB">
        <w:t>Future</w:t>
      </w:r>
      <w:proofErr w:type="spellEnd"/>
      <w:r w:rsidRPr="00C760DB">
        <w:t>” [Strategiczny plan działania EBI Global: finanse UE na rzecz zrównoważonej przyszłości],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podejście EBI Global do sprawiedliwej transformacji i sprawiedliwej odporności, opublikowane 27 listopada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sprawozdanie grupy EBI za 2022 r. dotyczące ujawniania informacji na temat zarządzania ryzykiem, opublikowane 9 sierpnia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badanie EBI dotyczące klimatu za lata 2022–2023,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ramy grupy EBI dotyczące zrównoważonego ekologicznie i społecznie rozwoju zatytułowane „The EIB </w:t>
      </w:r>
      <w:proofErr w:type="spellStart"/>
      <w:r w:rsidRPr="00C760DB">
        <w:t>Group</w:t>
      </w:r>
      <w:proofErr w:type="spellEnd"/>
      <w:r w:rsidRPr="00C760DB">
        <w:t xml:space="preserve"> </w:t>
      </w:r>
      <w:proofErr w:type="spellStart"/>
      <w:r w:rsidRPr="00C760DB">
        <w:t>Environmental</w:t>
      </w:r>
      <w:proofErr w:type="spellEnd"/>
      <w:r w:rsidRPr="00C760DB">
        <w:t xml:space="preserve"> and </w:t>
      </w:r>
      <w:proofErr w:type="spellStart"/>
      <w:r w:rsidRPr="00C760DB">
        <w:t>Social</w:t>
      </w:r>
      <w:proofErr w:type="spellEnd"/>
      <w:r w:rsidRPr="00C760DB">
        <w:t xml:space="preserve"> Policy” [Polityka środowiskowa i społeczna Grupy EBI], przyjęte 2 lutego 2022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publikację EBI z </w:t>
      </w:r>
      <w:r w:rsidR="00A85B71">
        <w:t xml:space="preserve">dnia </w:t>
      </w:r>
      <w:r w:rsidRPr="00C760DB">
        <w:t xml:space="preserve">10 lutego 2023 r. zatytułowane „EIB Global – </w:t>
      </w:r>
      <w:proofErr w:type="spellStart"/>
      <w:r w:rsidRPr="00C760DB">
        <w:t>partnership</w:t>
      </w:r>
      <w:proofErr w:type="spellEnd"/>
      <w:r w:rsidRPr="00C760DB">
        <w:t xml:space="preserve">, </w:t>
      </w:r>
      <w:proofErr w:type="spellStart"/>
      <w:r w:rsidRPr="00C760DB">
        <w:t>people</w:t>
      </w:r>
      <w:proofErr w:type="spellEnd"/>
      <w:r w:rsidRPr="00C760DB">
        <w:t xml:space="preserve">, </w:t>
      </w:r>
      <w:proofErr w:type="spellStart"/>
      <w:r w:rsidRPr="00C760DB">
        <w:t>impact</w:t>
      </w:r>
      <w:proofErr w:type="spellEnd"/>
      <w:r w:rsidRPr="00C760DB">
        <w:t>” [EBI Global – partnerstwo, ludzie, wpływ],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podejście EBI do praw człowieka, opublikowane 6 lutego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sprawozdanie EBI z 29 czerwca 2023 r. zatytułowane „EIB </w:t>
      </w:r>
      <w:proofErr w:type="spellStart"/>
      <w:r w:rsidRPr="00C760DB">
        <w:t>Group</w:t>
      </w:r>
      <w:proofErr w:type="spellEnd"/>
      <w:r w:rsidRPr="00C760DB">
        <w:t xml:space="preserve"> </w:t>
      </w:r>
      <w:proofErr w:type="spellStart"/>
      <w:r w:rsidRPr="00C760DB">
        <w:t>activities</w:t>
      </w:r>
      <w:proofErr w:type="spellEnd"/>
      <w:r w:rsidRPr="00C760DB">
        <w:t xml:space="preserve"> in EU </w:t>
      </w:r>
      <w:proofErr w:type="spellStart"/>
      <w:r w:rsidRPr="00C760DB">
        <w:t>cohesion</w:t>
      </w:r>
      <w:proofErr w:type="spellEnd"/>
      <w:r w:rsidRPr="00C760DB">
        <w:t xml:space="preserve"> regions in 2022” [Działania grupy EBI w regionach objętych polityką spójności UE w 2022 r.],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strategię grupy EBI na rzecz równouprawnienia płci i upodmiotowienia ekonomicznego kobiet oraz plan działania w sprawie równości płci,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kodeks postępowania pracowników grupy EBI, opublikowany 3 lutego 2023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kodeks postępowania Komitetu Kontroli i Audytu grupy EBI, opublikowany 30 listopada 2021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kodeks postępowania Komitetu Zarządzającego grupy EBI, opublikowany 14 października 2021 r.,</w:t>
      </w:r>
    </w:p>
    <w:p w:rsidR="00515BF6" w:rsidRPr="00C760DB" w:rsidRDefault="00515BF6" w:rsidP="00515BF6">
      <w:pPr>
        <w:pStyle w:val="NormalHanging12a"/>
      </w:pPr>
      <w:r w:rsidRPr="00C760DB">
        <w:lastRenderedPageBreak/>
        <w:t>–</w:t>
      </w:r>
      <w:r w:rsidRPr="00C760DB">
        <w:tab/>
        <w:t xml:space="preserve">uwzględniając publikację EBI z </w:t>
      </w:r>
      <w:r w:rsidR="00A85B71">
        <w:t xml:space="preserve">dnia </w:t>
      </w:r>
      <w:r w:rsidRPr="00C760DB">
        <w:t xml:space="preserve">27 listopada 2023 r. zatytułowaną „EIB </w:t>
      </w:r>
      <w:proofErr w:type="spellStart"/>
      <w:r w:rsidRPr="00C760DB">
        <w:t>Group</w:t>
      </w:r>
      <w:proofErr w:type="spellEnd"/>
      <w:r w:rsidRPr="00C760DB">
        <w:t xml:space="preserve"> PATH Framework – Version 1.2 </w:t>
      </w:r>
      <w:proofErr w:type="spellStart"/>
      <w:r w:rsidRPr="00C760DB">
        <w:t>November</w:t>
      </w:r>
      <w:proofErr w:type="spellEnd"/>
      <w:r w:rsidRPr="00C760DB">
        <w:t xml:space="preserve"> 2023 – </w:t>
      </w:r>
      <w:proofErr w:type="spellStart"/>
      <w:r w:rsidRPr="00C760DB">
        <w:t>Supporting</w:t>
      </w:r>
      <w:proofErr w:type="spellEnd"/>
      <w:r w:rsidRPr="00C760DB">
        <w:t xml:space="preserve"> </w:t>
      </w:r>
      <w:proofErr w:type="spellStart"/>
      <w:r w:rsidRPr="00C760DB">
        <w:t>counterparties</w:t>
      </w:r>
      <w:proofErr w:type="spellEnd"/>
      <w:r w:rsidRPr="00C760DB">
        <w:t xml:space="preserve"> on </w:t>
      </w:r>
      <w:proofErr w:type="spellStart"/>
      <w:r w:rsidRPr="00C760DB">
        <w:t>their</w:t>
      </w:r>
      <w:proofErr w:type="spellEnd"/>
      <w:r w:rsidRPr="00C760DB">
        <w:t xml:space="preserve"> </w:t>
      </w:r>
      <w:proofErr w:type="spellStart"/>
      <w:r w:rsidRPr="00C760DB">
        <w:t>pathways</w:t>
      </w:r>
      <w:proofErr w:type="spellEnd"/>
      <w:r w:rsidRPr="00C760DB">
        <w:t xml:space="preserve"> to </w:t>
      </w:r>
      <w:proofErr w:type="spellStart"/>
      <w:r w:rsidRPr="00C760DB">
        <w:t>align</w:t>
      </w:r>
      <w:proofErr w:type="spellEnd"/>
      <w:r w:rsidRPr="00C760DB">
        <w:t xml:space="preserve"> with the Paris Agreement” [Ramy PATH grupy EBI – wspieranie kontrahentów w dążeniu do dostosowania się do porozumienia paryskiego”, wersja 1.2 </w:t>
      </w:r>
      <w:proofErr w:type="gramStart"/>
      <w:r w:rsidRPr="00C760DB">
        <w:t>z</w:t>
      </w:r>
      <w:proofErr w:type="gramEnd"/>
      <w:r w:rsidRPr="00C760DB">
        <w:t xml:space="preserve"> listopada 2023 r.],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Pakiet Solidarnościowy EBI dla Ukrainy, zatwierdzony przez Radę EBI 4 marca 2022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komunikat Komisji z </w:t>
      </w:r>
      <w:r w:rsidR="00A85B71">
        <w:t xml:space="preserve">dnia </w:t>
      </w:r>
      <w:r w:rsidRPr="00C760DB">
        <w:t>20 maja 2020 r. zatytułowany „Unijna strategia na rzecz bioróżnorodności 2030 – Przywracanie przyrody do naszego życia” (COM(2020)0380),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komunikat Komisji z </w:t>
      </w:r>
      <w:r w:rsidR="00A85B71">
        <w:t xml:space="preserve">dnia </w:t>
      </w:r>
      <w:r w:rsidRPr="00C760DB">
        <w:t>20 maja 2020 r. zatytułowany „Strategia »od pola do stołu« na rzecz sprawiedliwego, zdrowego i przyjaznego dla środowiska systemu żywnościowego” (COM(2020)0381),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komunikat Komisji z </w:t>
      </w:r>
      <w:r w:rsidR="00A85B71">
        <w:t xml:space="preserve">dnia </w:t>
      </w:r>
      <w:r w:rsidRPr="00C760DB">
        <w:t xml:space="preserve">12 maja 2021 r. zatytułowany „Droga do zdrowej planety dla wszystkich – Plan działania </w:t>
      </w:r>
      <w:proofErr w:type="gramStart"/>
      <w:r w:rsidRPr="00C760DB">
        <w:t>UE:  na</w:t>
      </w:r>
      <w:proofErr w:type="gramEnd"/>
      <w:r w:rsidRPr="00C760DB">
        <w:t xml:space="preserve"> rzecz eliminacji zanieczyszczeń powietrza, wody i gleby” (COM(2021)0400),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komunikat Komisji z </w:t>
      </w:r>
      <w:r w:rsidR="00A85B71">
        <w:t xml:space="preserve">dnia </w:t>
      </w:r>
      <w:r w:rsidRPr="00C760DB">
        <w:t>1 lutego 2023 r. zatytułowany „Plan przemysłowy Zielonego Ładu na miarę epoki neutralności emisyjnej” (COM(2023)0062),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rozporządzenie Parlamentu Europejskiego i Rady (UE) 2021/1056 z dnia 24 czerwca 2021 r. ustanawiające Fundusz na rzecz Sprawiedliwej Transformacji</w:t>
      </w:r>
      <w:r w:rsidRPr="00C760DB">
        <w:rPr>
          <w:rStyle w:val="FootnoteReference"/>
        </w:rPr>
        <w:footnoteReference w:id="1"/>
      </w:r>
      <w:r w:rsidRPr="00C760DB">
        <w:t>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rozporządzenie Parlamentu Europejskiego i Rady (UE) 2021/1229 z dnia 14 lipca 2021 r. w sprawie instrumentu pożyczkowego na rzecz sektora publicznego w ramach mechanizmu sprawiedliwej transformacji</w:t>
      </w:r>
      <w:r w:rsidRPr="00C760DB">
        <w:rPr>
          <w:rStyle w:val="FootnoteReference"/>
        </w:rPr>
        <w:footnoteReference w:id="2"/>
      </w:r>
      <w:r w:rsidRPr="00C760DB">
        <w:t>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cele zrównoważonego rozwoju ONZ,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porozumienie trójstronne między Komisją, Europejskim Trybunałem Obrachunkowym i Europejskim Bankiem Inwestycyjnym, które weszło w życie w listopadzie 2021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 xml:space="preserve">uwzględniając pismo Europejskiego Rzecznika Praw Obywatelskich z </w:t>
      </w:r>
      <w:r w:rsidR="00A85B71">
        <w:t xml:space="preserve">dnia </w:t>
      </w:r>
      <w:r w:rsidRPr="00C760DB">
        <w:t>22 lipca 2016 r. do prezesa EBI w sprawie kwestii dotyczących konfliktu interesów oraz odpowiedź prezesa EBI z 31 stycznia 2017 r.,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zalecenia Europejskiego Rzecznika Praw Obywatelskich wydane 20 listopada 2023 r. w sprawie 2252/2022/OAM,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zalecenia Europejskiego Rzecznika Praw Obywatelskich wydane 21 kwietnia 2022 r. w sprawie 1251/2020/PB,</w:t>
      </w:r>
    </w:p>
    <w:p w:rsidR="00515BF6" w:rsidRPr="00C760DB" w:rsidRDefault="00515BF6" w:rsidP="00515BF6">
      <w:pPr>
        <w:pStyle w:val="NormalHanging12a"/>
      </w:pPr>
      <w:r w:rsidRPr="00C760DB">
        <w:lastRenderedPageBreak/>
        <w:t>–</w:t>
      </w:r>
      <w:r w:rsidRPr="00C760DB">
        <w:tab/>
        <w:t>uwzględniając zalecenia Europejskiego Rzecznika Praw Obywatelskich wydane 27 lipca 2022 r. w sprawie 1016/2021/KR,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art. 54 Regulaminu,</w:t>
      </w:r>
    </w:p>
    <w:p w:rsidR="00515BF6" w:rsidRPr="00C760DB" w:rsidRDefault="00515BF6" w:rsidP="00515BF6">
      <w:pPr>
        <w:pStyle w:val="NormalHanging12a"/>
      </w:pPr>
      <w:r w:rsidRPr="00C760DB">
        <w:t>–</w:t>
      </w:r>
      <w:r w:rsidRPr="00C760DB">
        <w:tab/>
        <w:t>uwzględniając sprawozdanie Komisji Budżetowej (A9-0031/2024),</w:t>
      </w:r>
    </w:p>
    <w:p w:rsidR="00515BF6" w:rsidRPr="00C760DB" w:rsidRDefault="00515BF6" w:rsidP="00515BF6">
      <w:pPr>
        <w:pStyle w:val="NormalHanging12a"/>
      </w:pPr>
      <w:r w:rsidRPr="00C760DB">
        <w:t>A.</w:t>
      </w:r>
      <w:r w:rsidRPr="00C760DB">
        <w:tab/>
      </w:r>
      <w:proofErr w:type="gramStart"/>
      <w:r w:rsidRPr="00C760DB">
        <w:t>mając</w:t>
      </w:r>
      <w:proofErr w:type="gramEnd"/>
      <w:r w:rsidRPr="00C760DB">
        <w:t xml:space="preserve"> na uwadze, że w skład grupy EBI wchodzą Europejski Bank Inwestycyjny (EBI) oraz Europejski Fundusz Inwestycyjny (EFI) oraz że jest ona największą wielostronną instytucją finansową na świecie i jednym z największych podmiotów zapewniających finansowanie działań związanych ze zmianą klimatu, prowadzącym działalność na międzynarodowych rynkach kapitałowych oraz oferującym klientom konkurencyjne i korzystne warunki w celu wspierania polityki i projektów UE, zarówno w Unii, jak i poza nią;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B.</w:t>
      </w:r>
      <w:r w:rsidRPr="00C760DB">
        <w:tab/>
        <w:t>mając na uwadze, że zgodnie z art. 309 TFUE zadaniem EBI jest przyczynianie się do osiągnięcia celów UE;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C.</w:t>
      </w:r>
      <w:r w:rsidRPr="00C760DB">
        <w:tab/>
      </w:r>
      <w:proofErr w:type="gramStart"/>
      <w:r w:rsidRPr="00C760DB">
        <w:t>mając</w:t>
      </w:r>
      <w:proofErr w:type="gramEnd"/>
      <w:r w:rsidRPr="00C760DB">
        <w:t xml:space="preserve"> na uwadze, że do osiągnięcia celów klimatycznych UE potrzebne są inwestycje w wysokości 1 bln EUR rocznie w UE; mając na uwadze, że EBI może pomóc w zniwelowaniu luki dzięki przyciągnięciu kapitału prywatnego;</w:t>
      </w:r>
    </w:p>
    <w:p w:rsidR="00515BF6" w:rsidRPr="00C760DB" w:rsidRDefault="00515BF6" w:rsidP="00515BF6">
      <w:pPr>
        <w:pStyle w:val="NormalHanging12a"/>
      </w:pPr>
      <w:r w:rsidRPr="00C760DB">
        <w:t>D.</w:t>
      </w:r>
      <w:r w:rsidRPr="00C760DB">
        <w:tab/>
      </w:r>
      <w:proofErr w:type="gramStart"/>
      <w:r w:rsidRPr="00C760DB">
        <w:t>mając</w:t>
      </w:r>
      <w:proofErr w:type="gramEnd"/>
      <w:r w:rsidRPr="00C760DB">
        <w:t xml:space="preserve"> na uwadze, że w latach 2021–2027 gwarancja </w:t>
      </w:r>
      <w:proofErr w:type="spellStart"/>
      <w:r w:rsidRPr="00C760DB">
        <w:t>InvestEU</w:t>
      </w:r>
      <w:proofErr w:type="spellEnd"/>
      <w:r w:rsidRPr="00C760DB">
        <w:t xml:space="preserve"> w wysokości 26,2 mld EUR, finansowana z wieloletnich ram finansowych (WRF) i </w:t>
      </w:r>
      <w:proofErr w:type="spellStart"/>
      <w:r w:rsidRPr="00C760DB">
        <w:t>NextGenerationEU</w:t>
      </w:r>
      <w:proofErr w:type="spellEnd"/>
      <w:r w:rsidRPr="00C760DB">
        <w:t>, ma zmobilizować dodatkowe inwestycje prywatne i publiczne w Europie o wartości ponad 372 mld EUR, głównie w dziedzinie zrównoważonej infrastruktury, badań, innowacji i cyfryzacji, małych i średnich przedsiębiorstw (MŚP) oraz inwestycji społecznych i umiejętności;</w:t>
      </w:r>
    </w:p>
    <w:p w:rsidR="00515BF6" w:rsidRPr="00C760DB" w:rsidRDefault="00515BF6" w:rsidP="00515BF6">
      <w:pPr>
        <w:pStyle w:val="NormalHanging12a"/>
      </w:pPr>
      <w:r w:rsidRPr="00C760DB">
        <w:rPr>
          <w:b/>
          <w:i/>
        </w:rPr>
        <w:t>Przegląd strategii politycznych i działalności</w:t>
      </w:r>
    </w:p>
    <w:p w:rsidR="00515BF6" w:rsidRPr="00C760DB" w:rsidRDefault="00515BF6" w:rsidP="00515BF6">
      <w:pPr>
        <w:pStyle w:val="NormalHanging12a"/>
      </w:pPr>
      <w:r w:rsidRPr="00C760DB">
        <w:t>1.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 xml:space="preserve"> o ważnej roli EBI jako unijnego banku publicznego i jedynej międzynarodowej instytucji finansowej będącej w całości własnością państw członkowskich, która działa w sposób w pełni zgodny ze strategiami politycznymi UE i podlega unijnym normom prawnym oraz ma wspierać odbudowę społeczną i ekonomiczną oraz ukierunkowane inwestycje przyczyniające się do osiągania celów Unii;</w:t>
      </w:r>
    </w:p>
    <w:p w:rsidR="00515BF6" w:rsidRPr="00C760DB" w:rsidRDefault="00515BF6" w:rsidP="00515BF6">
      <w:pPr>
        <w:pStyle w:val="NormalHanging12a"/>
      </w:pPr>
      <w:r w:rsidRPr="00C760DB">
        <w:t>2.</w:t>
      </w:r>
      <w:r w:rsidRPr="00C760DB">
        <w:tab/>
      </w:r>
      <w:proofErr w:type="gramStart"/>
      <w:r w:rsidRPr="00C760DB">
        <w:t>docenia</w:t>
      </w:r>
      <w:proofErr w:type="gramEnd"/>
      <w:r w:rsidRPr="00C760DB">
        <w:t>, że EBI jest zawsze gotowy dostosowywać się i zmieniać profil swojej działalności zgodnie ze zmieniającymi się wymogami polityki UE, jednocześnie mając na uwadze swoje długoterminowe cele;</w:t>
      </w:r>
    </w:p>
    <w:p w:rsidR="00515BF6" w:rsidRPr="00C760DB" w:rsidRDefault="00515BF6" w:rsidP="00515BF6">
      <w:pPr>
        <w:pStyle w:val="NormalHanging12a"/>
      </w:pPr>
      <w:r w:rsidRPr="00C760DB">
        <w:t>3.</w:t>
      </w:r>
      <w:r w:rsidRPr="00C760DB">
        <w:tab/>
      </w:r>
      <w:proofErr w:type="gramStart"/>
      <w:r w:rsidRPr="00C760DB">
        <w:t>ponawia</w:t>
      </w:r>
      <w:proofErr w:type="gramEnd"/>
      <w:r w:rsidRPr="00C760DB">
        <w:t xml:space="preserve"> apel o podwyższenie kapitału, aby umożliwić EBI proponowanie większego długoterminowego zwrotnego wsparcia finansowego i liczniejszych instrumentów innowacyjnych; zauważa, że jest to konieczne dla sprawiedliwego, trwałego wzrostu gospodarczego sprzyjającego włączeniu społecznemu, wspierającego kluczowe inwestycje w gospodarkę realną, które w przeciwnym razie nie zostałyby zrealizowane i które mogą zmaksymalizować korzyści z innowacji w kluczowych obszarach polityki UE, takich jak cyfryzacja i transformacja ekologiczna; zauważa, że inwestycje te powinny pomóc łagodzić skutki czynników ograniczających konkurencyjność, takich jak wysokie ceny energii, braki kwalifikacji oraz niewystarczające inwestycje w innowacje i nowe technologie, a także pomóc we wdrażaniu Europejskiego filaru praw </w:t>
      </w:r>
      <w:r w:rsidRPr="00C760DB">
        <w:lastRenderedPageBreak/>
        <w:t xml:space="preserve">socjalnych i celów zrównoważonego </w:t>
      </w:r>
      <w:proofErr w:type="gramStart"/>
      <w:r w:rsidRPr="00C760DB">
        <w:t>rozwoju</w:t>
      </w:r>
      <w:proofErr w:type="gramEnd"/>
      <w:r w:rsidRPr="00C760DB">
        <w:t xml:space="preserve"> ONZ; oczekuje, że EBI będzie pilnował, by jego finansowanie przyczyniało się do eliminowania niedoskonałości rynku i nie powodowało efektu wypierania oraz przynosiło wymierne skutki, bez zmniejszania ogólnej atrakcyjności oferty finansowej;</w:t>
      </w:r>
    </w:p>
    <w:p w:rsidR="00515BF6" w:rsidRPr="00C760DB" w:rsidRDefault="00515BF6" w:rsidP="00515BF6">
      <w:pPr>
        <w:pStyle w:val="NormalHanging12a"/>
      </w:pPr>
      <w:r w:rsidRPr="00C760DB">
        <w:t>4.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>, że EBI musi utrzymać swój rating kredytowy AAA i zachować pełne zaufanie rynków kapitałowych do swojej działalności;</w:t>
      </w:r>
    </w:p>
    <w:p w:rsidR="00515BF6" w:rsidRPr="00C760DB" w:rsidRDefault="00515BF6" w:rsidP="00515BF6">
      <w:pPr>
        <w:pStyle w:val="NormalHanging12a"/>
      </w:pPr>
      <w:r w:rsidRPr="00C760DB">
        <w:t>5.</w:t>
      </w:r>
      <w:r w:rsidRPr="00C760DB">
        <w:tab/>
      </w:r>
      <w:proofErr w:type="gramStart"/>
      <w:r w:rsidRPr="00C760DB">
        <w:t>zauważa</w:t>
      </w:r>
      <w:proofErr w:type="gramEnd"/>
      <w:r w:rsidRPr="00C760DB">
        <w:t>, że finansowanie EBI odgrywa coraz ważniejszą rolę w świetle poważnych skutków społecznych i gospodarczych kryzysu związanego z COVID-19, a następnie inwazji Rosji na Ukrainę, do których należą zwłaszcza inflacja, wysokie stopy procentowe i przeciążenie finansów publicznych; zwraca ponadto uwagę na większą rolę, jaką ogrywa finansowanie EBI przy mało optymistycznych perspektywach gospodarczych i zwiększonej globalnej konkurencji, co również wpływa na bieżące projekty;</w:t>
      </w:r>
    </w:p>
    <w:p w:rsidR="00515BF6" w:rsidRPr="00C760DB" w:rsidRDefault="00515BF6" w:rsidP="00515BF6">
      <w:pPr>
        <w:pStyle w:val="NormalHanging12a"/>
      </w:pPr>
      <w:r w:rsidRPr="00C760DB">
        <w:t>6.</w:t>
      </w:r>
      <w:r w:rsidRPr="00C760DB">
        <w:tab/>
      </w:r>
      <w:proofErr w:type="gramStart"/>
      <w:r w:rsidRPr="00C760DB">
        <w:t>uważa</w:t>
      </w:r>
      <w:proofErr w:type="gramEnd"/>
      <w:r w:rsidRPr="00C760DB">
        <w:t xml:space="preserve">, że EBI mógłby zrobić więcej, aby zwiększyć równowagę sektorową i dostosować się do różnorodności regionalnej UE, co pozwoliłoby zwiększyć atrakcyjność jego funduszy; wzywa EBI, aby zajął się kwestią systemowych niedociągnięć, które uniemożliwiają niektórym regionom lub krajom pełne wykorzystanie jego działań finansowych z poszanowaniem stymulowanego popytem charakteru operacji finansowych EBI; zwraca się do Komisji, aby oceniła w szczególności, czy rozkład geograficzny finansowania z programu </w:t>
      </w:r>
      <w:proofErr w:type="spellStart"/>
      <w:r w:rsidRPr="00C760DB">
        <w:t>InvestEU</w:t>
      </w:r>
      <w:proofErr w:type="spellEnd"/>
      <w:r w:rsidRPr="00C760DB">
        <w:t xml:space="preserve"> jest zrównoważony, zwłaszcza w odniesieniu do mniejszych państw członkowskich;</w:t>
      </w:r>
    </w:p>
    <w:p w:rsidR="00515BF6" w:rsidRPr="00C760DB" w:rsidRDefault="00515BF6" w:rsidP="00515BF6">
      <w:pPr>
        <w:pStyle w:val="NormalHanging12a"/>
      </w:pPr>
      <w:r w:rsidRPr="00C760DB">
        <w:t>7.</w:t>
      </w:r>
      <w:r w:rsidRPr="00C760DB">
        <w:tab/>
      </w:r>
      <w:proofErr w:type="gramStart"/>
      <w:r w:rsidRPr="00C760DB">
        <w:t>wzywa</w:t>
      </w:r>
      <w:proofErr w:type="gramEnd"/>
      <w:r w:rsidRPr="00C760DB">
        <w:t xml:space="preserve"> EBI, by wspierał projekty, które przyczyniają się do wdrożenia Europejskiego filaru praw socjalnych i realizacji celów zrównoważonego rozwoju ONZ, zwiększają włączenie społeczne oraz zmniejszają nierówności zgodnie z normami środowiskowymi i społecznymi; wzywa EBI, by odgrywał większą rolę w ocenianiu i wypełnianiu luk inwestycyjnych w zakresie infrastruktury społecznej i dobrobytu w sektorach takich jak przystępne cenowo i energooszczędne budownictwo socjalne, publiczna opieka zdrowotna, usługi użyteczności publicznej, transport publiczny, zrównoważony transport, kultura i edukacja, przy jednoczesnym zapewnieniu dodatkowości i komplementarności w stosunku do innych środków publicznych i kredytodawców komercyjnych; zachęca EBI, by zwiększył wagę korzyści społecznych w ocenie projektów, aby zapewnić </w:t>
      </w:r>
      <w:proofErr w:type="gramStart"/>
      <w:r w:rsidRPr="00C760DB">
        <w:t>długoterminowe</w:t>
      </w:r>
      <w:proofErr w:type="gramEnd"/>
      <w:r w:rsidRPr="00C760DB">
        <w:t>, przystępne cenowo rozwiązania w obliczu kryzysu kosztów utrzymania i wyzwań dla gospodarstw domowych powodowanych ogólną sytuacją gospodarczą; zwraca się do EBI o podejmowanie większego ryzyka w związku z projektami zapewniającymi podstawowe usługi, przynoszącymi długoterminowe, wyraźne i wymierne korzyści; wzywa EBI, by w miarę możliwości priorytetowo traktował finansowanie projektów, w których uczestniczą osoby znajdujące się w trudnej sytuacji lub zmarginalizowane, zwłaszcza młodzież, oraz projekty kierowane przez obywateli;</w:t>
      </w:r>
    </w:p>
    <w:p w:rsidR="00515BF6" w:rsidRPr="00C760DB" w:rsidRDefault="00515BF6" w:rsidP="00515BF6">
      <w:pPr>
        <w:pStyle w:val="Normal12a24b"/>
        <w:spacing w:before="0"/>
        <w:rPr>
          <w:rStyle w:val="BoldItalic"/>
        </w:rPr>
      </w:pPr>
      <w:r w:rsidRPr="00C760DB">
        <w:rPr>
          <w:rStyle w:val="BoldItalic"/>
        </w:rPr>
        <w:t>Europejski bank klimatyczny: działania w dziedzinie klimatu i cele w zakresie zrównoważonego środowiskowo rozwoju</w:t>
      </w:r>
    </w:p>
    <w:p w:rsidR="00515BF6" w:rsidRPr="00C760DB" w:rsidRDefault="00515BF6" w:rsidP="00515BF6">
      <w:pPr>
        <w:pStyle w:val="NormalHanging12a"/>
      </w:pPr>
      <w:r w:rsidRPr="00C760DB">
        <w:t>8.</w:t>
      </w:r>
      <w:r w:rsidRPr="00C760DB">
        <w:tab/>
      </w:r>
      <w:proofErr w:type="gramStart"/>
      <w:r w:rsidRPr="00C760DB">
        <w:t>odnotowuje</w:t>
      </w:r>
      <w:proofErr w:type="gramEnd"/>
      <w:r w:rsidRPr="00C760DB">
        <w:t xml:space="preserve"> ustalenia zawarte w sprawozdaniu EBI dotyczącym inwestycji za lata 2022–2023 zatytułowane „</w:t>
      </w:r>
      <w:proofErr w:type="spellStart"/>
      <w:r w:rsidRPr="00C760DB">
        <w:t>Resilience</w:t>
      </w:r>
      <w:proofErr w:type="spellEnd"/>
      <w:r w:rsidRPr="00C760DB">
        <w:t xml:space="preserve"> and </w:t>
      </w:r>
      <w:proofErr w:type="spellStart"/>
      <w:r w:rsidRPr="00C760DB">
        <w:t>renewal</w:t>
      </w:r>
      <w:proofErr w:type="spellEnd"/>
      <w:r w:rsidRPr="00C760DB">
        <w:t xml:space="preserve"> in Europe”, w którym przeanalizowano inwestycje w działania na rzecz klimatu w całej UE i luki inwestycyjne w różnych sektorach; odnotowuje również plan operacyjny grupy EBI na </w:t>
      </w:r>
      <w:r w:rsidRPr="00C760DB">
        <w:lastRenderedPageBreak/>
        <w:t>lata 2023–2025, który potwierdza, że EBI dostosowuje się do priorytetów politycznych UE oraz że zobowiązuje się zwiększyć ambicje w zakresie transformacji ekologicznej i cyfrowej; wzywa Komisję, by opracowała metody oceny luki w zielonym finansowaniu w UE oraz oceniła, jaką rolę EBI mógłby odegrać w niwelowaniu tej luki;</w:t>
      </w:r>
    </w:p>
    <w:p w:rsidR="00515BF6" w:rsidRPr="00C760DB" w:rsidRDefault="00515BF6" w:rsidP="00515BF6">
      <w:pPr>
        <w:pStyle w:val="NormalHanging12a"/>
      </w:pPr>
      <w:r w:rsidRPr="00C760DB">
        <w:t>9.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>, że EBI jest największym na świecie emitentem zielonych obligacji w wielu walutach; zwraca uwagę, że zwiększenie udziału obligacji denominowanych w euro jeszcze bardziej wzmocniłoby międzynarodową rolę euro;</w:t>
      </w:r>
    </w:p>
    <w:p w:rsidR="00515BF6" w:rsidRPr="00C760DB" w:rsidRDefault="00515BF6" w:rsidP="00515BF6">
      <w:pPr>
        <w:pStyle w:val="NormalHanging12a"/>
      </w:pPr>
      <w:r w:rsidRPr="00C760DB">
        <w:t>10.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>, że transformacja ekologiczna musi sprzyjać włączeniu społecznemu i być sprawiedliwa, a inwestycje ekologiczne muszą być rentowne oraz że oczekuje się, iż EBI będzie wykorzystać swoje pożyczki, instrumenty finansowe, pomoc techniczną i usługi doradcze do wspierania obywateli i przedsiębiorstw stojących przed wyzwaniami społeczno-gospodarczymi wynikającymi z działań na rzecz osiągnięcia neutralności klimatycznej najpóźniej do 2050 r.; zachęca EBI, by wspierał projekty, które zapewniają przystępny cenowo dostęp do energii ze źródeł odnawialnych, mieszkań i usług publicznych, a także by wspierał inicjatywy kierowane przez lokalną społeczność i małe projekty ukierunkowane zwłaszcza na zwalczanie ubóstwa energetycznego i traktował je jako priorytet;</w:t>
      </w:r>
    </w:p>
    <w:p w:rsidR="00515BF6" w:rsidRPr="00C760DB" w:rsidRDefault="00515BF6" w:rsidP="00515BF6">
      <w:pPr>
        <w:pStyle w:val="NormalHanging12a"/>
      </w:pPr>
      <w:r w:rsidRPr="00C760DB">
        <w:t>11.</w:t>
      </w:r>
      <w:r w:rsidRPr="00C760DB">
        <w:tab/>
      </w:r>
      <w:proofErr w:type="gramStart"/>
      <w:r w:rsidRPr="00C760DB">
        <w:t>z</w:t>
      </w:r>
      <w:proofErr w:type="gramEnd"/>
      <w:r w:rsidRPr="00C760DB">
        <w:t xml:space="preserve"> zadowoleniem przyjmuje fakt, że EBI zrealizował już cel polegający na przeznaczeniu co najmniej połowy swoich zasobów na działania w dziedzinie klimatu i zrównoważenia środowiskowego oraz że jest na dobrej drodze do osiągnięcia celu polegającego na przekazaniu inwestycjom ekologicznym wsparcia w wysokości 1 bln EUR do 2030 r.; oczekuje, że przegląd planu działania banku klimatycznego w 2024 r. zdecydowanie przybliży EBI do celu 1,5 stopnia i celu neutralności klimatycznej najpóźniej do 2050 r. oraz zapewni sprawiedliwą transformację dla wszystkich; uważa, że punktem odniesienia powinny być najbardziej ambitne praktyki bankowości publicznej; ponownie apeluje, by w każdym projekcie uwzględniano rzetelną ocenę rozwiązań alternatywnych o mniejszej intensywności emisji </w:t>
      </w:r>
      <w:proofErr w:type="gramStart"/>
      <w:r w:rsidRPr="00C760DB">
        <w:t>i</w:t>
      </w:r>
      <w:proofErr w:type="gramEnd"/>
      <w:r w:rsidRPr="00C760DB">
        <w:t xml:space="preserve"> emisji zakresu 3;</w:t>
      </w:r>
    </w:p>
    <w:p w:rsidR="00515BF6" w:rsidRPr="00C760DB" w:rsidRDefault="00515BF6" w:rsidP="00515BF6">
      <w:pPr>
        <w:pStyle w:val="NormalHanging12a"/>
      </w:pPr>
      <w:r w:rsidRPr="00C760DB">
        <w:t>12.</w:t>
      </w:r>
      <w:r w:rsidRPr="00C760DB">
        <w:tab/>
      </w:r>
      <w:proofErr w:type="gramStart"/>
      <w:r w:rsidRPr="00C760DB">
        <w:t>z</w:t>
      </w:r>
      <w:proofErr w:type="gramEnd"/>
      <w:r w:rsidRPr="00C760DB">
        <w:t xml:space="preserve"> zadowoleniem przyjmuje dostosowanie się kontrahentów do porozumienia paryskiego (PATH) i oczekuje, że zostanie w pełni wdrożone pod względem zarówno maksymalizacji redukcji emisji, jak i zwiększenia odporności na zmianę klimatu; odnotowuje reakcję EBI na nadzwyczajną sytuację energetyczną w UE, tj. dostosowanie ram PATH; oczekuje, że odstępstwa przyznane w ramach PATH, by wesprzeć </w:t>
      </w:r>
      <w:proofErr w:type="spellStart"/>
      <w:r w:rsidRPr="00C760DB">
        <w:t>REPowerEU</w:t>
      </w:r>
      <w:proofErr w:type="spellEnd"/>
      <w:r w:rsidRPr="00C760DB">
        <w:t xml:space="preserve">, będą wyjątkiem, wprowadzonym tymczasowo i z dobrych powodów, aby móc przyspieszyć transformację ekologiczną i zakończyć zależność Europy od importu paliw kopalnych, m.in. z Rosji; w tym kontekście z zadowoleniem przyjmuje zwiększenie przez EBI wsparcia </w:t>
      </w:r>
      <w:proofErr w:type="spellStart"/>
      <w:r w:rsidRPr="00C760DB">
        <w:t>REPowerEU</w:t>
      </w:r>
      <w:proofErr w:type="spellEnd"/>
      <w:r w:rsidRPr="00C760DB">
        <w:t xml:space="preserve"> do obecnego poziomu 45 mld EUR w pożyczkach i finansowaniu kapitałowym na </w:t>
      </w:r>
      <w:proofErr w:type="gramStart"/>
      <w:r w:rsidRPr="00C760DB">
        <w:t>projekty</w:t>
      </w:r>
      <w:proofErr w:type="gramEnd"/>
      <w:r w:rsidRPr="00C760DB">
        <w:t xml:space="preserve"> w dziedzinie odnawialnych źródeł energii, efektywności energetycznej, sieci i magazynowania, infrastruktury ładowania pojazdów elektrycznych oraz przełomowych technologii na kolejne lata; </w:t>
      </w:r>
    </w:p>
    <w:p w:rsidR="00515BF6" w:rsidRPr="00C760DB" w:rsidRDefault="00515BF6" w:rsidP="00515BF6">
      <w:pPr>
        <w:pStyle w:val="NormalHanging12a"/>
      </w:pPr>
      <w:r w:rsidRPr="00C760DB">
        <w:t>13.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 xml:space="preserve">, że wszyscy klienci korporacyjni korzystający z finansowania EBI mają umowny obowiązek tworzenia i publikowania wiarygodnej strategii dostosowywania się do porozumienia paryskiego („planu dekarbonizacji”), która zawiera średnioterminowe, stopniowe i ilościowe cele w zakresie redukcji emisji oraz ujęte w dłuższej perspektywie opcje osiągnięcia neutralności klimatycznej najpóźniej do 2050 r.; oczekuje od EBI, że przed podpisaniem jakiegokolwiek nowego zobowiązania </w:t>
      </w:r>
      <w:r w:rsidRPr="00C760DB">
        <w:lastRenderedPageBreak/>
        <w:t xml:space="preserve">finansowego będzie przeprowadzał systematyczną ocenę wiarygodności tych planów z zastosowaniem kryteriów dekarbonizacji zgodnych z celem 1,5 stopnia; ponawia apel, by EBI współpracował wyłącznie z pośrednikami finansowymi, którzy opracowali wiarygodne plany dekarbonizacji, w tym wyznaczyli cele krótkoterminowe zgodne ze ścieżką osiągania celu 1,5 stopnia i przewidziane do </w:t>
      </w:r>
      <w:proofErr w:type="gramStart"/>
      <w:r w:rsidRPr="00C760DB">
        <w:t>realizacji</w:t>
      </w:r>
      <w:proofErr w:type="gramEnd"/>
      <w:r w:rsidRPr="00C760DB">
        <w:t xml:space="preserve"> jak najszybciej, a najpóźniej do 2025 r.; podkreśla, że wprowadzenie takich nowych wymogów nie może odbywać się ze szkodą dla dostępu MŚP do finansowania;</w:t>
      </w:r>
    </w:p>
    <w:p w:rsidR="00515BF6" w:rsidRPr="00C760DB" w:rsidRDefault="00515BF6" w:rsidP="00515BF6">
      <w:pPr>
        <w:pStyle w:val="NormalHanging12a"/>
      </w:pPr>
      <w:r w:rsidRPr="00C760DB">
        <w:t>14.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 xml:space="preserve"> kluczową rolę, jaką EBI odgrywa w zapewnianiu sprawiedliwej transformacji; apeluje do EBI o obniżenie minimalnej wielkości pożyczki w przypadku indywidualnych projektów lub programów pożyczek przyczyniających się do sprawiedliwej transformacji; zachęca EBI do zintensyfikowania współpracy z krajowymi i regionalnymi instytucjami finansowymi z myślą o zapewnieniu ukierunkowanego finansowania; wzywa EBI, by przyczynił się w tym kontekście do osiągnięcia celów UE w zakresie równości kobiet i mężczyzn; z zadowoleniem przyjmuje zaangażowanie EBI w unijny mechanizm sprawiedliwej transformacji, co pozwoli zająć się społeczno-gospodarczymi skutkami przejścia na gospodarkę neutralną emisyjnie i stworzyć nowe możliwości zrównoważonego rozwoju w kwalifikujących się regionach;</w:t>
      </w:r>
    </w:p>
    <w:p w:rsidR="00515BF6" w:rsidRPr="00C760DB" w:rsidRDefault="00515BF6" w:rsidP="00515BF6">
      <w:pPr>
        <w:pStyle w:val="NormalHanging12a"/>
      </w:pPr>
      <w:r w:rsidRPr="00C760DB">
        <w:t>15.</w:t>
      </w:r>
      <w:r w:rsidRPr="00C760DB">
        <w:tab/>
      </w:r>
      <w:proofErr w:type="gramStart"/>
      <w:r w:rsidRPr="00C760DB">
        <w:t>wzywa</w:t>
      </w:r>
      <w:proofErr w:type="gramEnd"/>
      <w:r w:rsidRPr="00C760DB">
        <w:t xml:space="preserve"> EBI, by dostosował swoje działania zmniejszające ryzyko w celu ukierunkowania finansowania prywatnego na projekty charakteryzujące się wysokim poziomem dodatkowości i przyczyniające się do sprawiedliwej transformacji, przy czym nie powinno to zagrażać komercyjnej rentowności jego portfela; zachęca EBI do wyciągnięcia wniosków z wdrażania takich produktów jak fundusze klimatyczne i infrastrukturalne, w tym do uwzględnienia znaczenia kapitału dostępnego przy udziale pośredników i konieczności poprawienia stosunku ryzyka do zysku w przypadku projektów zielonej infrastruktury prowadzonych na mniejszą skalę;</w:t>
      </w:r>
    </w:p>
    <w:p w:rsidR="00515BF6" w:rsidRPr="00C760DB" w:rsidRDefault="00515BF6" w:rsidP="00515BF6">
      <w:pPr>
        <w:pStyle w:val="NormalHanging12a"/>
      </w:pPr>
      <w:r w:rsidRPr="00C760DB">
        <w:t>16.</w:t>
      </w:r>
      <w:r w:rsidRPr="00C760DB">
        <w:tab/>
      </w:r>
      <w:proofErr w:type="gramStart"/>
      <w:r w:rsidRPr="00C760DB">
        <w:t>z</w:t>
      </w:r>
      <w:proofErr w:type="gramEnd"/>
      <w:r w:rsidRPr="00C760DB">
        <w:t xml:space="preserve"> zadowoleniem odnotowuje zwiększone inwestycje w wodór; domaga się, aby rola wodoru polegała na wnoszeniu wkładu w osiągnięcie neutralności klimatycznej przez ograniczanie emisji z sektorów przemysłu, z których emisje trudno zredukować; oczekuje zapewnienia dodatkowości, aby uniknąć przekierowywania zasobów z istniejącej odnawialnej energii elektrycznej zgodnie z odpowiednim aktem delegowanym</w:t>
      </w:r>
      <w:r w:rsidRPr="00C760DB">
        <w:rPr>
          <w:rStyle w:val="FootnoteReference"/>
        </w:rPr>
        <w:footnoteReference w:id="3"/>
      </w:r>
      <w:r w:rsidRPr="00C760DB">
        <w:t>; wyraża zaniepokojenie możliwym wpływem projektów wodorowych na zaopatrzenie w wodę w pewnych regionach oraz na różnorodność biologiczną; zachęca EBI, aby poszerzył swoją specjalistyczną wiedzę doradczą na potrzeby unijnego ekosystemu wodorowego i rynku;</w:t>
      </w:r>
    </w:p>
    <w:p w:rsidR="00515BF6" w:rsidRPr="00C760DB" w:rsidRDefault="00515BF6" w:rsidP="00515BF6">
      <w:pPr>
        <w:pStyle w:val="NormalHanging12a"/>
      </w:pPr>
      <w:r w:rsidRPr="00C760DB">
        <w:t>17.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 xml:space="preserve">, że polityka środowiskowa i społeczna EBI wzmacnia zobowiązanie do promowania i wdrażania celów Konwencji o różnorodności biologicznej i globalnych ram różnorodności biologicznej na okres po 2020 r., w szczególności wymogu, aby finansowane projekty nie powodowały znaczących szkód dla różnorodności biologicznej i ekosystemów; z zadowoleniem przyjmuje zmianę z „zerowej utraty netto” na „zerową utratę” różnorodności biologicznej; dąży do pełnego stosowania </w:t>
      </w:r>
      <w:r w:rsidRPr="00C760DB">
        <w:lastRenderedPageBreak/>
        <w:t>polityki środowiskowej i społecznej EBI, w szczególności w projektach dotyczących energii odnawialnej; wzywa EBI, aby w pełni dostosował swoją politykę środowiskową i społeczną do globalnych ram różnorodności biologicznej na okres po 2020 r.;</w:t>
      </w:r>
    </w:p>
    <w:p w:rsidR="00515BF6" w:rsidRPr="00C760DB" w:rsidRDefault="00515BF6" w:rsidP="00515BF6">
      <w:pPr>
        <w:pStyle w:val="NormalHanging12a"/>
      </w:pPr>
      <w:r w:rsidRPr="00C760DB">
        <w:t>18.</w:t>
      </w:r>
      <w:r w:rsidRPr="00C760DB">
        <w:tab/>
      </w:r>
      <w:proofErr w:type="gramStart"/>
      <w:r w:rsidRPr="00C760DB">
        <w:t>z</w:t>
      </w:r>
      <w:proofErr w:type="gramEnd"/>
      <w:r w:rsidRPr="00C760DB">
        <w:t xml:space="preserve"> zadowoleniem przyjmuje pierwsze wspólne zasady finansowania przyjaznego dla przyrody opublikowane przez EBI wraz z innymi wielostronnymi bankami rozwoju podczas COP 28; oczekuje, że EBI będzie dalej aktywniej angażował się w inwestycje korzystne dla środowiska i zwiększające różnorodność biologiczną oraz w sektorach przynoszących największe dodatkowe korzyści dla różnorodności biologicznej, takich jak gospodarka wodna i sanitarna, leśnictwo i oceany, z zachowaniem najwyższego poziomu integralności i gwarancji, zwłaszcza w odniesieniu do praw społeczności lokalnych, oraz z uwzględnieniem wniosków wyciągniętych z mechanizmu finansowego na rzecz kapitału naturalnego; oczekuje, że EBI zwiększy finansowanie na rzecz rozwiązań zmniejszających zanieczyszczenie plastikiem; </w:t>
      </w:r>
    </w:p>
    <w:p w:rsidR="00515BF6" w:rsidRPr="00C760DB" w:rsidRDefault="00515BF6" w:rsidP="00515BF6">
      <w:pPr>
        <w:pStyle w:val="NormalHanging12a"/>
      </w:pPr>
      <w:r w:rsidRPr="00C760DB">
        <w:t>19.</w:t>
      </w:r>
      <w:r w:rsidRPr="00C760DB">
        <w:tab/>
      </w:r>
      <w:proofErr w:type="gramStart"/>
      <w:r w:rsidRPr="00C760DB">
        <w:t>oczekuje</w:t>
      </w:r>
      <w:proofErr w:type="gramEnd"/>
      <w:r w:rsidRPr="00C760DB">
        <w:t xml:space="preserve"> intensyfikacji działań na rzecz uwzględniania przyrody w analizach i operacjach oceniających ryzyko finansowe utraty różnorodności biologicznej na poziomie kontrahenta; oczekuje, że do dużych projektów infrastrukturalnych, zwłaszcza inwestycji miejskich, systematycznie włączane będą elementy przyjazne dla środowiska; ostrzega przed projektami, które przyczyniają się do osiągnięcia celów klimatycznych, ale niszczą różnorodność biologiczną;</w:t>
      </w:r>
    </w:p>
    <w:p w:rsidR="00515BF6" w:rsidRPr="00C760DB" w:rsidRDefault="00515BF6" w:rsidP="00515BF6">
      <w:pPr>
        <w:pStyle w:val="NormalHanging12a"/>
      </w:pPr>
      <w:r w:rsidRPr="00C760DB">
        <w:t>20.</w:t>
      </w:r>
      <w:r w:rsidRPr="00C760DB">
        <w:tab/>
      </w:r>
      <w:proofErr w:type="gramStart"/>
      <w:r w:rsidRPr="00C760DB">
        <w:t>odnotowuje</w:t>
      </w:r>
      <w:proofErr w:type="gramEnd"/>
      <w:r w:rsidRPr="00C760DB">
        <w:t xml:space="preserve"> trwające negocjacje w sprawie ekokonwersji długów; wyraża obawy co do rozwoju i adekwatności tej ekokonwersji w zakresie ochrony oraz jej wysokich kosztów transakcyjnych, zwłaszcza że wcześniejsze przypadki dowiodły zasadności takich obaw; podkreśla, że należy zapewnić wysoki poziom przejrzystości i odpowiedzialności krajowej; </w:t>
      </w:r>
    </w:p>
    <w:p w:rsidR="00515BF6" w:rsidRPr="00C760DB" w:rsidRDefault="00515BF6" w:rsidP="00515BF6">
      <w:pPr>
        <w:pStyle w:val="NormalHanging12a"/>
      </w:pPr>
      <w:r w:rsidRPr="00C760DB">
        <w:t>21.</w:t>
      </w:r>
      <w:r w:rsidRPr="00C760DB">
        <w:tab/>
      </w:r>
      <w:proofErr w:type="gramStart"/>
      <w:r w:rsidRPr="00C760DB">
        <w:t>oczekuje</w:t>
      </w:r>
      <w:proofErr w:type="gramEnd"/>
      <w:r w:rsidRPr="00C760DB">
        <w:t xml:space="preserve">, że EBI będzie w dalszym ciągu stosować rygorystyczne unijne normy dobrostanu zwierząt i właściwe przepisy, również w odniesieniu do działalności hodowlanej i pasz w hodowli ryb, w oparciu o najwyższe standardy ustanowione przez UE oraz wielostronne instytucje finansowe; </w:t>
      </w:r>
    </w:p>
    <w:p w:rsidR="00515BF6" w:rsidRPr="00C760DB" w:rsidRDefault="00515BF6" w:rsidP="00515BF6">
      <w:pPr>
        <w:pStyle w:val="NormalHanging12a"/>
      </w:pPr>
      <w:r w:rsidRPr="00C760DB">
        <w:t>22.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 xml:space="preserve">, że bezpieczeństwo dostaw krytycznych surowców ma kluczowe znaczenie dla transformacji ekologicznej i cyfrowej, sektora bezpieczeństwa oraz bazy przemysłowej UE w ogóle; przypomina o roli, jaką odgrywa EBI w unijnym sojuszu na rzecz surowców, oraz o celu Unii, jakim jest zapewnienie większej autonomii w zakresie dostaw surowców krytycznych; podkreśla, że w odniesieniu do surowców krytycznych należy przyjąć podejście oparte na gospodarce o obiegu zamkniętym, uwzględniające recykling i ponowne wykorzystanie, aby zmniejszyć zależność UE od państw trzecich i zwiększyć jej strategiczną autonomię; w związku z tym wzywa EBI do zwiększenia inwestycji w sektor surowców krytycznych, by poprawić odporność surowców, ze szczególnym </w:t>
      </w:r>
      <w:proofErr w:type="gramStart"/>
      <w:r w:rsidRPr="00C760DB">
        <w:t>uwzględnieniem</w:t>
      </w:r>
      <w:proofErr w:type="gramEnd"/>
      <w:r w:rsidRPr="00C760DB">
        <w:t xml:space="preserve"> recyklingu surowców wtórnych, oraz do wspierania rozwiązań na rzecz gospodarki o obiegu zamkniętym, by pomóc w dywersyfikacji dostaw;</w:t>
      </w:r>
    </w:p>
    <w:p w:rsidR="00515BF6" w:rsidRPr="00C760DB" w:rsidRDefault="00515BF6" w:rsidP="00515BF6">
      <w:pPr>
        <w:pStyle w:val="NormalHanging12a"/>
        <w:rPr>
          <w:b/>
          <w:i/>
        </w:rPr>
      </w:pPr>
      <w:r w:rsidRPr="00C760DB">
        <w:rPr>
          <w:b/>
          <w:i/>
        </w:rPr>
        <w:t>Wsparcie na rzecz innowacji, małych i średnich przedsiębiorstw, przemysłu i cyfryzacji</w:t>
      </w:r>
    </w:p>
    <w:p w:rsidR="00515BF6" w:rsidRPr="00C760DB" w:rsidRDefault="00515BF6" w:rsidP="00515BF6">
      <w:pPr>
        <w:pStyle w:val="NormalHanging12a"/>
      </w:pPr>
      <w:r w:rsidRPr="00C760DB">
        <w:t>23.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 xml:space="preserve">, że MŚP są podstawą gospodarki Europy; przypomina, że liczba MŚP u UE wynosi 23 miliony, stanowią one 99 % wszystkich przedsiębiorstw oraz zapewniają około trzech czwartych wszystkich miejsc pracy i 50 % łącznej wartości dodanej </w:t>
      </w:r>
      <w:r w:rsidRPr="00C760DB">
        <w:lastRenderedPageBreak/>
        <w:t>wytwarzanej przez unijne przedsiębiorstwa; podkreśla, że wspieranie MŚP jest jednym z zasadniczych celów grupy EBI; zwraca uwagę, że kryzys energetyczny i skutki rosyjskiej wojny w Ukrainie, jak również ceny surowców i coraz wyższe stopy procentowe, stawiają kolejne wyzwania przed MŚP;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24.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>, że w 2022 r. grupa EBI zapewniła finansowanie na łączną kwotę inwestycji w wysokości 16,35 mld EUR dla MŚP i spółek o średniej kapitalizacji; zauważa, że według oceny grupy EBI w latach 2010–2020 łączna wartość operacji tej grupy służących wsparciu dłużnemu MŚP wyniosła prawie 20 mld EUR w skali roku; wzywa grupę EBI, aby zastanowiła się nad sposobami dalszego ułatwiania wsparcia dla MŚP, zwłaszcza w przypadku mniejszych projektów finansowych;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25.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 xml:space="preserve"> rolę EFI w poprawie dostępu do finansowania dla mniejszych przedsiębiorstw, spółek o średniej kapitalizacji i przedsiębiorstw typu start-</w:t>
      </w:r>
      <w:proofErr w:type="spellStart"/>
      <w:r w:rsidRPr="00C760DB">
        <w:t>up</w:t>
      </w:r>
      <w:proofErr w:type="spellEnd"/>
      <w:r w:rsidRPr="00C760DB">
        <w:t xml:space="preserve"> w UE, a przez to jego wsparcia dla przedsiębiorczości, wzrostu, innowacji, badań i rozwoju oraz zatrudnienia w Unii; zwraca uwagę, że stabilne dostawy energii po konkurencyjnych cenach są jednym z fundamentów skutecznej polityki przemysłowej, w szczególności dla sukcesów MŚP; wzywa grupę EBI, by zapewniła dodatkowy kapitał wzrostu, aby umożliwić MŚP zwiększenie skali swojej działalności; wzywa grupę EBI, aby zwiększyła wsparcie dla rozwoju europejskich przedsiębiorstw typu start-</w:t>
      </w:r>
      <w:proofErr w:type="spellStart"/>
      <w:r w:rsidRPr="00C760DB">
        <w:t>up</w:t>
      </w:r>
      <w:proofErr w:type="spellEnd"/>
      <w:r w:rsidRPr="00C760DB">
        <w:t xml:space="preserve">, również dzięki podejmowaniu większego ryzyka przy wypłacaniu kapitału wysokiego ryzyka, co zapewni europejskim przedsiębiorstwom typu </w:t>
      </w:r>
      <w:proofErr w:type="gramStart"/>
      <w:r w:rsidRPr="00C760DB">
        <w:t>start-</w:t>
      </w:r>
      <w:proofErr w:type="spellStart"/>
      <w:r w:rsidRPr="00C760DB">
        <w:t>up</w:t>
      </w:r>
      <w:proofErr w:type="spellEnd"/>
      <w:proofErr w:type="gramEnd"/>
      <w:r w:rsidRPr="00C760DB">
        <w:t xml:space="preserve"> możliwość zwiększenia skali działalności w UE, zamiast poza nią;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26.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>, że EFI powinien położyć zdecydowany nacisk na projekty tworzące i utrzymujące miejsca pracy o wysokiej jakości, m.in. projekty mające na celu rozwiązanie rosnącego problemu bezrobocia młodzieży – w tym tzw. dualny system kształcenia zawodowego, który okazał się skuteczny i odniósł sukces w niektórych państwach członkowskich – z myślą o tworzeniu bezpiecznych miejsc pracy o wysokiej jakości;</w:t>
      </w:r>
    </w:p>
    <w:p w:rsidR="00515BF6" w:rsidRPr="00C760DB" w:rsidRDefault="00515BF6" w:rsidP="00515BF6">
      <w:pPr>
        <w:spacing w:after="240"/>
        <w:ind w:left="567" w:hanging="567"/>
      </w:pPr>
      <w:r w:rsidRPr="00C760DB">
        <w:t>27.</w:t>
      </w:r>
      <w:r w:rsidRPr="00C760DB">
        <w:tab/>
      </w:r>
      <w:proofErr w:type="gramStart"/>
      <w:r w:rsidRPr="00C760DB">
        <w:t>dostrzega</w:t>
      </w:r>
      <w:proofErr w:type="gramEnd"/>
      <w:r w:rsidRPr="00C760DB">
        <w:t>, że MŚP często borykają się z problemem ograniczonych zasobów administracyjnych i ponoszą wyższe koszty pożyczek niż duże korporacje z powodu mniej korzystnych warunków udzielania pożyczek oferowanych przez banki, oraz uważa, że niezbędne jest oferowanie im prostych i łatwo dostępnych narzędzi finansowych; w związku z tym zdecydowanie zachęca grupę EBI, by w swoich programach upraszczała procedury administracyjne oraz zapewniała niezbędną pomoc techniczną i odpowiednie finansowanie usług doradczych oraz zwiększała tym samym ich dostępność dla MŚP;</w:t>
      </w:r>
    </w:p>
    <w:p w:rsidR="00515BF6" w:rsidRPr="00C760DB" w:rsidRDefault="00515BF6" w:rsidP="00515BF6">
      <w:pPr>
        <w:pStyle w:val="NormalHanging12a"/>
      </w:pPr>
      <w:r w:rsidRPr="00C760DB">
        <w:t>28.</w:t>
      </w:r>
      <w:r w:rsidRPr="00C760DB">
        <w:tab/>
      </w:r>
      <w:proofErr w:type="gramStart"/>
      <w:r w:rsidRPr="00C760DB">
        <w:t>ponownie</w:t>
      </w:r>
      <w:proofErr w:type="gramEnd"/>
      <w:r w:rsidRPr="00C760DB">
        <w:t xml:space="preserve"> apeluje do grupy EBI, aby uzupełnił wysiłki służące budowie rozwiązań opartych na danych, ze szczególnym uwzględnieniem konkurencyjności MŚP, oraz ukierunkował inwestycje w tej dziedzinie na niwelowanie podziałów cyfrowych zarówno w UE, jak i między UE a innymi bardziej zaawansowanymi technologicznie regionami świata; wzywa grupę EBI, by zwiększyła inwestycje w cyfryzację, w rozwój najnowocześniejszych technologii, takich jak AI, oraz w podnoszenie i zmianę kwalifikacji pracowników o zasadniczym znaczeniu dla silnej bazy przemysłowej;</w:t>
      </w:r>
    </w:p>
    <w:p w:rsidR="00515BF6" w:rsidRPr="00C760DB" w:rsidRDefault="00515BF6" w:rsidP="00515BF6">
      <w:pPr>
        <w:pStyle w:val="Normal12a24b"/>
        <w:spacing w:before="0"/>
        <w:rPr>
          <w:rStyle w:val="BoldItalic"/>
        </w:rPr>
      </w:pPr>
      <w:r w:rsidRPr="00C760DB">
        <w:rPr>
          <w:rStyle w:val="BoldItalic"/>
        </w:rPr>
        <w:t>Ukraina</w:t>
      </w:r>
    </w:p>
    <w:p w:rsidR="00515BF6" w:rsidRPr="00C760DB" w:rsidRDefault="00515BF6" w:rsidP="00515BF6">
      <w:pPr>
        <w:pStyle w:val="NormalHanging12a"/>
      </w:pPr>
      <w:r w:rsidRPr="00C760DB">
        <w:lastRenderedPageBreak/>
        <w:t>29.</w:t>
      </w:r>
      <w:r w:rsidRPr="00C760DB">
        <w:tab/>
      </w:r>
      <w:proofErr w:type="gramStart"/>
      <w:r w:rsidRPr="00C760DB">
        <w:t>z</w:t>
      </w:r>
      <w:proofErr w:type="gramEnd"/>
      <w:r w:rsidRPr="00C760DB">
        <w:t xml:space="preserve"> zadowoleniem przyjmuje inicjatywę UE na rzecz Ukrainy, uruchomioną przez EBI w marcu 2023 r. w celu sfinansowania odbudowy i ożywienia gospodarczego w Ukrainie i pomyślaną jako tymczasowy program, który umożliwi dalsze zaangażowanie EBI w tym kraju do czasu wprowadzenia oczekiwanego średnioterminowego wsparcia UE; przypomina w tym kontekście o znaczeniu budżetu UE, dzięki któremu EBI może działać i udzielać pożyczki poza UE, co służy realizacji unijnych programów; apeluje o zwiększenie gwarancji udzielanych EBI z budżetu UE, aby umożliwić mu kontynuację istotnych operacji sektora publicznego i prywatnego w Ukrainie oraz rozszerzenie działalności na globalnym Południu; z zadowoleniem przyjmuje fakt, że wszystkie działania EBI w Ukrainie są ukierunkowane na priorytety odbudowy i ożywienia społecznego, ekonomicznego i środowiskowego zgodnie z zasadami „lepszego odbudowywania” oraz będą w pełni dostosowane do przygotowywanego planu dla Ukrainy; z zadowoleniem przyjmuje element pomocy technicznej zapewniający optymalne przygotowanie i realizację projektów, a także środki budowania potencjału; oczekuje, że w ramach planowanej szybkiej oceny szkód i potrzeb nr 3, którą Bank Światowy przeprowadzi we współpracy z Komisją, EBI i rządem ukraińskim, stwierdzone zostaną znacznie zwiększone potrzeby; z zadowoleniem przyjmuje działania EBI mające na celu zapobieganie nadużyciom finansowym i korupcji, ich powstrzymywanie oraz prowadzenie dochodzeń w sprawie nadużyć finansowych i korupcji w związku </w:t>
      </w:r>
      <w:proofErr w:type="gramStart"/>
      <w:r w:rsidRPr="00C760DB">
        <w:t>z</w:t>
      </w:r>
      <w:proofErr w:type="gramEnd"/>
      <w:r w:rsidRPr="00C760DB">
        <w:t xml:space="preserve"> projektami EBI w Ukrainie;</w:t>
      </w:r>
    </w:p>
    <w:p w:rsidR="00515BF6" w:rsidRPr="00C760DB" w:rsidRDefault="00515BF6" w:rsidP="00515BF6">
      <w:pPr>
        <w:pStyle w:val="NormalHanging12a"/>
      </w:pPr>
      <w:r w:rsidRPr="00C760DB">
        <w:t>30.</w:t>
      </w:r>
      <w:r w:rsidRPr="00C760DB">
        <w:tab/>
      </w:r>
      <w:proofErr w:type="gramStart"/>
      <w:r w:rsidRPr="00C760DB">
        <w:t>podkreśla</w:t>
      </w:r>
      <w:proofErr w:type="gramEnd"/>
      <w:r w:rsidRPr="00C760DB">
        <w:t>, że prowadzona przez Rosję wojna napastnicza wpłynęła również na regiony UE i spowodowała istotne skutki gospodarcze, zwłaszcza we wschodnich krajach granicznych UE i jej sąsiedztwo, oraz wywołała poważny kryzys humanitarny; podkreśla, że w planowaniu inwestycyjnym na przyszłość należy uwzględnić spowodowane wojną zmiany w łańcuchach dostaw oraz w stosunkach handlowych i gospodarczych; wzywa EBI, by wziął pod uwagę sytuację geopolityczną i inwestycje potrzebne w państwach pierwszej linii, m.in. inwestycje w infrastrukturę i zarządzanie granicami;</w:t>
      </w:r>
    </w:p>
    <w:p w:rsidR="00515BF6" w:rsidRPr="00C760DB" w:rsidRDefault="00515BF6" w:rsidP="00515BF6">
      <w:pPr>
        <w:pStyle w:val="NormalHanging12a"/>
        <w:rPr>
          <w:iCs/>
        </w:rPr>
      </w:pPr>
      <w:r w:rsidRPr="00C760DB">
        <w:t>31.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>, że rosyjska wojna napastnicza przeciwko Ukrainie ma przełomowe znaczenie, ponieważ diametralnie zmieniła europejskie środowisko bezpieczeństwa i wymaga zwiększenia gotowości obronnej, a tym samym wystarczających inwestycji; podkreśla, że należy jak najskuteczniej wykorzystywać wszystkie instrumenty, którymi dysponuje EBI; wzywa EBI, by zwiększył wsparcie dla inicjatywy strategicznej na rzecz bezpieczeństwa w Europie oraz dla europejskiego przemysłu obronnego, w tym MŚP, zwłaszcza aby przyczynić się do stałego wsparcia dla Ukrainy;</w:t>
      </w:r>
      <w:r w:rsidR="00ED542A">
        <w:t xml:space="preserve"> </w:t>
      </w:r>
      <w:r w:rsidR="00ED542A" w:rsidRPr="009C3CEA">
        <w:t>wzywa EBI do reformy listy kwalifikowalności, aby amunicja i sprzęt wojskowy, które wykraczają poza technologie podwójnego zastosowania, nie były już wyłączone z finansowania EBI;</w:t>
      </w:r>
    </w:p>
    <w:p w:rsidR="00515BF6" w:rsidRPr="00C760DB" w:rsidRDefault="00515BF6" w:rsidP="00515BF6">
      <w:pPr>
        <w:pStyle w:val="NormalHanging12a"/>
        <w:rPr>
          <w:rStyle w:val="BoldItalic"/>
        </w:rPr>
      </w:pPr>
      <w:r w:rsidRPr="00C760DB">
        <w:rPr>
          <w:rStyle w:val="BoldItalic"/>
        </w:rPr>
        <w:t>EBI Global</w:t>
      </w:r>
    </w:p>
    <w:p w:rsidR="00515BF6" w:rsidRPr="00C760DB" w:rsidRDefault="00515BF6" w:rsidP="00515BF6">
      <w:pPr>
        <w:pStyle w:val="NormalHanging12a"/>
      </w:pPr>
      <w:r w:rsidRPr="00C760DB">
        <w:t>32.</w:t>
      </w:r>
      <w:r w:rsidRPr="00C760DB">
        <w:tab/>
      </w:r>
      <w:proofErr w:type="gramStart"/>
      <w:r w:rsidRPr="00C760DB">
        <w:t>oczekuje</w:t>
      </w:r>
      <w:proofErr w:type="gramEnd"/>
      <w:r w:rsidRPr="00C760DB">
        <w:t xml:space="preserve">, że działania EBI Global będą nadal dostosowane do unijnych interesów strategicznych i celów polityki zewnętrznej; z zadowoleniem przyjmuje zaangażowanie EBI w inicjatywę Global Gateway, z której będą głównie wspierane inwestycje w infrastrukturę i MŚP, co przyczyni się do osiągnięcia celu UE, jakim jest zwiększenie jej strategicznej autonomii; oczekuje, że EBI Global zadba, aby inwestycje miały charakter jednoznacznie dodatkowy, generowały długoterminowe pozytywne skutki i przynosiły wyraźne korzyści społecznościom odbiorców poprzez ochronę dziedzictwa naturalnego i kulturowego, zwiększanie odporności na zmianę klimatu, tworzenie </w:t>
      </w:r>
      <w:r w:rsidRPr="00C760DB">
        <w:lastRenderedPageBreak/>
        <w:t xml:space="preserve">lokalnych miejsc pracy, podnoszenie poziomu życia i ograniczanie ubóstwa; uważa, że zainteresowane strony w krajach otrzymujących pomoc, takie jak </w:t>
      </w:r>
      <w:proofErr w:type="gramStart"/>
      <w:r w:rsidRPr="00C760DB">
        <w:t>władze</w:t>
      </w:r>
      <w:proofErr w:type="gramEnd"/>
      <w:r w:rsidRPr="00C760DB">
        <w:t xml:space="preserve"> publiczne, społeczeństwo obywatelskie i partnerzy społeczni, muszą być zaangażowane w podejmowanie decyzji w sprawie projektów Global Gateway i ich wdrażanie; przypomina ponadto, że pomyślne wdrożenie EBI Global wymaga odpowiedniej liczby pracowników w terenie, w tym pracowników lokalnych; </w:t>
      </w:r>
    </w:p>
    <w:p w:rsidR="00515BF6" w:rsidRPr="00C760DB" w:rsidRDefault="00515BF6" w:rsidP="00515BF6">
      <w:pPr>
        <w:pStyle w:val="NormalHanging12a"/>
      </w:pPr>
      <w:r w:rsidRPr="00C760DB">
        <w:t>33.</w:t>
      </w:r>
      <w:r w:rsidRPr="00C760DB">
        <w:tab/>
      </w:r>
      <w:proofErr w:type="gramStart"/>
      <w:r w:rsidRPr="00C760DB">
        <w:t>zauważa</w:t>
      </w:r>
      <w:proofErr w:type="gramEnd"/>
      <w:r w:rsidRPr="00C760DB">
        <w:t xml:space="preserve">, że od utworzenia nowego działu rozwoju EBI Global rekordowo wykorzystał specjalne okno inwestycyjne w ramach Instrumentu Sąsiedztwa oraz Współpracy Międzynarodowej i Rozwojowej – „Globalny wymiar Europy”, przekazując w 2022 r. ponad 10 mld EUR m.in. na wsparcie Ukrainy i strategii Global Gateway; przyjmuje do wiadomości strategiczny plan działania EBI Global oraz oczekiwanie, że umożliwi on realizację co najmniej jednej trzeciej z inwestycji o wartości 300 mld EUR, które mają zostać uruchomione do końca 2027 r.; z zadowoleniem przyjmuje cel na 2025 r. przewidujący przeznaczanie ponad 50 % rocznych pożyczek na inwestycje w działania w dziedzinie klimatu i zrównoważenia środowiskowego; oczekuje, że finansowanie to przyczyni się do </w:t>
      </w:r>
      <w:proofErr w:type="gramStart"/>
      <w:r w:rsidRPr="00C760DB">
        <w:t>sprzyjającej</w:t>
      </w:r>
      <w:proofErr w:type="gramEnd"/>
      <w:r w:rsidRPr="00C760DB">
        <w:t xml:space="preserve"> włączeniu społecznemu i sprawiedliwej transformacji na całym świecie; ponadto oczekuje, że EBI Global w znaczący sposób przyczyni się do osiągnięcia celu UE, jakim jest wspieranie równouprawnienia płci w 85 % wszystkich nowych działań zewnętrznych do 2025 r.; z zadowoleniem odnotowuje postępy poczynione pod względem tworzenia funduszu Global Gateway w ramach gwarancji Europejskiego Funduszu na rzecz Zrównoważonego Rozwoju Plus, który ma finansować inwestycje sektora prywatnego o dużym oddziaływaniu oraz zapewniać finansowanie kapitałowe i dłużne dla projektów o dużym oddziaływaniu z obszaru infrastruktury, czystej energii i rozwoju społecznego na całym świecie; wyraża zaniepokojenie brakiem włączających i znaczących konsultacji z zainteresowanymi stronami, na które wywierają </w:t>
      </w:r>
      <w:proofErr w:type="gramStart"/>
      <w:r w:rsidRPr="00C760DB">
        <w:t>wpływ</w:t>
      </w:r>
      <w:proofErr w:type="gramEnd"/>
      <w:r w:rsidRPr="00C760DB">
        <w:t xml:space="preserve"> jego działania; apeluje o większe wsparcie projektów o ograniczonej opłacalności i wysokich korzyściach publicznych, a także o obniżenie minimalnej wielkości pożyczki w przypadku indywidualnych projektów, w szczególności w krajach mniej rozwiniętych;</w:t>
      </w:r>
    </w:p>
    <w:p w:rsidR="00515BF6" w:rsidRPr="00C760DB" w:rsidRDefault="00515BF6" w:rsidP="00515BF6">
      <w:pPr>
        <w:pStyle w:val="NormalHanging12a"/>
      </w:pPr>
      <w:r w:rsidRPr="00C760DB">
        <w:t>34.</w:t>
      </w:r>
      <w:r w:rsidRPr="00C760DB">
        <w:tab/>
      </w:r>
      <w:proofErr w:type="gramStart"/>
      <w:r w:rsidRPr="00C760DB">
        <w:t>ponawia</w:t>
      </w:r>
      <w:proofErr w:type="gramEnd"/>
      <w:r w:rsidRPr="00C760DB">
        <w:t xml:space="preserve"> swój apel do EBI Global o ograniczenie działań łączonych do obszarów, na których mogą one zapewnić wartość dodaną dla lokalnej gospodarki, o unikanie wypierania kapitału prywatnego oraz o dopilnowanie, aby finansowanie mieszane nie było wykorzystywane na potrzeby podstawowych usług publicznych, zwłaszcza związanych ze zdrowiem, edukacją i ochroną socjalną; przypomina, że inwestycjom EBI w tej dziedzinie powinny przyświecać cele polityki rozwojowej UE, zwłaszcza zwiększenie dostępu do powszechnej i przystępnej cenowo opieki zdrowotnej, aby zapewnić lepszy stan zdrowia wszystkim, w szczególności kobietom;</w:t>
      </w:r>
    </w:p>
    <w:p w:rsidR="00515BF6" w:rsidRPr="00C760DB" w:rsidRDefault="00515BF6" w:rsidP="00515BF6">
      <w:pPr>
        <w:pStyle w:val="NormalHanging12a"/>
      </w:pPr>
      <w:r w:rsidRPr="00C760DB">
        <w:t>35.</w:t>
      </w:r>
      <w:r w:rsidRPr="00C760DB">
        <w:tab/>
      </w:r>
      <w:proofErr w:type="gramStart"/>
      <w:r w:rsidRPr="00C760DB">
        <w:t>wyraża</w:t>
      </w:r>
      <w:proofErr w:type="gramEnd"/>
      <w:r w:rsidRPr="00C760DB">
        <w:t xml:space="preserve"> zaniepokojenie szybko rosnącymi poziomami zadłużenia i wyższymi kosztami pożyczek w gospodarkach wschodzących i rozwijających się, przy czym szacuje się, że 60 % krajów o niskich dochodach jest już w trudnej sytuacji pod względem długu publicznego lub istnieje w ich przypadku wysokie ryzyko wystąpienia takiej sytuacji</w:t>
      </w:r>
      <w:r w:rsidRPr="00C760DB">
        <w:rPr>
          <w:vertAlign w:val="superscript"/>
        </w:rPr>
        <w:footnoteReference w:id="4"/>
      </w:r>
      <w:r w:rsidRPr="00C760DB">
        <w:t xml:space="preserve">; zwraca uwagę na ważną rolę EBI i innych instytucji wielostronnych pod względem </w:t>
      </w:r>
      <w:r w:rsidRPr="00C760DB">
        <w:lastRenderedPageBreak/>
        <w:t>finansowania na warunkach preferencyjnych w celu zmniejszenia niezrównoważonych poziomów zadłużenia;</w:t>
      </w:r>
    </w:p>
    <w:p w:rsidR="00515BF6" w:rsidRPr="00C760DB" w:rsidRDefault="00515BF6" w:rsidP="00515BF6">
      <w:pPr>
        <w:pStyle w:val="NormalHanging12a"/>
      </w:pPr>
      <w:r w:rsidRPr="00C760DB">
        <w:t>36.</w:t>
      </w:r>
      <w:r w:rsidRPr="00C760DB">
        <w:tab/>
      </w:r>
      <w:proofErr w:type="gramStart"/>
      <w:r w:rsidRPr="00C760DB">
        <w:t>jest</w:t>
      </w:r>
      <w:proofErr w:type="gramEnd"/>
      <w:r w:rsidRPr="00C760DB">
        <w:t xml:space="preserve"> zdania, że EBI Global powinien ponosić odpowiedzialność za przestrzeganie zasad określonych w Deklaracji paryskiej w sprawie skuteczności pomocy i Programie działania z Akry (podmiotowość, dostosowanie, harmonizacja, zarządzanie ukierunkowane na wyniki i wzajemna rozliczalność); w tym kontekście wyraża szczególne zaniepokojenie konfliktem interesów między agencjami kredytów eksportowych a finansowaniem rozwoju przez EBI Global oraz wpływem tego konfliktu na dodatkowość rozwojową inwestycji EBI Global, których to dotyczy;</w:t>
      </w:r>
    </w:p>
    <w:p w:rsidR="00515BF6" w:rsidRPr="00C760DB" w:rsidRDefault="00515BF6" w:rsidP="00515BF6">
      <w:pPr>
        <w:pStyle w:val="NormalHanging12a"/>
      </w:pPr>
      <w:r w:rsidRPr="00C760DB">
        <w:t>37.</w:t>
      </w:r>
      <w:r w:rsidRPr="00C760DB">
        <w:tab/>
      </w:r>
      <w:proofErr w:type="gramStart"/>
      <w:r w:rsidRPr="00C760DB">
        <w:t>zauważa</w:t>
      </w:r>
      <w:proofErr w:type="gramEnd"/>
      <w:r w:rsidRPr="00C760DB">
        <w:t xml:space="preserve"> notę informacyjną EBI podsumowującą jego podejście do praw człowieka; przypomina EBI, że powinien włączyć prawa człowieka do procedur należytej staranności, przeprowadzać oceny wpływu na prawa człowieka, wypełniać ogólne zobowiązanie w zakresie praw człowieka oraz działać w pełnej zgodności z art. 2 TFUE; ponawia swój apel o wprowadzenie jasnych i wiążących zasad uzupełniających notę informacyjną podsumowującą podejście EBI Global do praw człowieka, w szczególności w zakresie oceny i braku zaangażowania; wyraża szczególne zaniepokojenie faktem, że od 2015 r. EBI nie wymagał od promotorów projektów przeprowadzania odrębnych ocen wpływu na prawa człowieka; w związku z tym wzywa EBI, by przedstawił strategię w dziedzinie </w:t>
      </w:r>
      <w:proofErr w:type="gramStart"/>
      <w:r w:rsidRPr="00C760DB">
        <w:t>praw</w:t>
      </w:r>
      <w:proofErr w:type="gramEnd"/>
      <w:r w:rsidRPr="00C760DB">
        <w:t xml:space="preserve"> człowieka oraz oceny programów, również w terenie w krajach otrzymujących pomoc, z perspektywy praw człowieka, aby zagwarantować konsultacje ze społecznościami lokalnymi oraz systematyczne wdrażanie prawa do dobrowolnej, uprzedniej i świadomej zgody; wzywa ponadto EBI do opracowania konkretnych strategii politycznych dotyczących obrońców praw człowieka i protokołów w celu reagowania na ryzyko represji; podkreśla, że należy podjąć szczególne środki w celu włączenia w konsultacje ludności rdzennej, kobiet, osób z niepełnosprawnościami i innych grup szczególnie podatnych na zagrożenia;</w:t>
      </w:r>
    </w:p>
    <w:p w:rsidR="00515BF6" w:rsidRPr="00C760DB" w:rsidRDefault="00515BF6" w:rsidP="00515BF6">
      <w:pPr>
        <w:pStyle w:val="NormalHanging12a"/>
      </w:pPr>
      <w:r w:rsidRPr="00C760DB">
        <w:t>38.</w:t>
      </w:r>
      <w:r w:rsidRPr="00C760DB">
        <w:tab/>
      </w:r>
      <w:proofErr w:type="gramStart"/>
      <w:r w:rsidRPr="00C760DB">
        <w:t>ponownie</w:t>
      </w:r>
      <w:proofErr w:type="gramEnd"/>
      <w:r w:rsidRPr="00C760DB">
        <w:t xml:space="preserve"> apeluje do EBI, aby wszystkie jego operacje przynosiły korzyści kobietom i dziewczętom oraz przyczyniały się do wzmocnienia pozycji ekonomicznej i zatrudnienia kobiet; uważa, że EBI może jeszcze bardziej zwiększyć wartość pożyczek </w:t>
      </w:r>
      <w:proofErr w:type="spellStart"/>
      <w:r w:rsidRPr="00C760DB">
        <w:t>mikrofinansowych</w:t>
      </w:r>
      <w:proofErr w:type="spellEnd"/>
      <w:r w:rsidRPr="00C760DB">
        <w:t xml:space="preserve"> dla przedsiębiorstw prowadzonych przez kobiety, które nadal doświadczają dyskryminacji w dostępie do finansowania;</w:t>
      </w:r>
    </w:p>
    <w:p w:rsidR="00515BF6" w:rsidRPr="00C760DB" w:rsidRDefault="00515BF6" w:rsidP="00515BF6">
      <w:pPr>
        <w:pStyle w:val="NormalHanging12a"/>
      </w:pPr>
      <w:r w:rsidRPr="00C760DB">
        <w:t>39.</w:t>
      </w:r>
      <w:r w:rsidRPr="00C760DB">
        <w:tab/>
      </w:r>
      <w:proofErr w:type="gramStart"/>
      <w:r w:rsidRPr="00C760DB">
        <w:t>zwraca</w:t>
      </w:r>
      <w:proofErr w:type="gramEnd"/>
      <w:r w:rsidRPr="00C760DB">
        <w:t xml:space="preserve"> się do EBI, by we współpracy z innymi instytucjami dwustronnymi i wielostronnymi opracował i stosował wspólne metody analizy wpływu na rozwój, aby zapewnić długoterminowy pozytywny wpływ i wartość dodaną;</w:t>
      </w:r>
    </w:p>
    <w:p w:rsidR="00515BF6" w:rsidRPr="00C760DB" w:rsidRDefault="00515BF6" w:rsidP="00515BF6">
      <w:pPr>
        <w:pStyle w:val="Normal12a24b"/>
      </w:pPr>
      <w:r w:rsidRPr="00C760DB">
        <w:rPr>
          <w:rStyle w:val="BoldItalic"/>
        </w:rPr>
        <w:t>Przejrzystość i zarządzanie</w:t>
      </w:r>
    </w:p>
    <w:p w:rsidR="00515BF6" w:rsidRPr="00C760DB" w:rsidRDefault="00515BF6" w:rsidP="00515BF6">
      <w:pPr>
        <w:pStyle w:val="NormalHanging12a"/>
        <w:rPr>
          <w:snapToGrid/>
          <w:szCs w:val="24"/>
        </w:rPr>
      </w:pPr>
      <w:r w:rsidRPr="00C760DB">
        <w:t>40.</w:t>
      </w:r>
      <w:r w:rsidRPr="00C760DB">
        <w:tab/>
      </w:r>
      <w:proofErr w:type="gramStart"/>
      <w:r w:rsidRPr="00C760DB">
        <w:t>przypomina</w:t>
      </w:r>
      <w:proofErr w:type="gramEnd"/>
      <w:r w:rsidRPr="00C760DB">
        <w:t xml:space="preserve">, że fundusze EBI są środkami publicznymi, a ich wykorzystanie zawsze powinno podlegać publicznej kontroli i rozliczalności; odnotowuje, że w rankingu przejrzystości bezpośrednich inwestycji zagranicznych za 2023 r. EBI otrzymał ocenę wystarczającą (fair); zachęca EBI, by proaktywnie i w odpowiednim czasie publikował bardziej szczegółowe informacje o projektach, w tym ich uzasadnienia i kontekst, aby pokazywać, w jaki sposób są one zgodne z celami polityki UE i przyczyniają się do ich realizacji, oraz oczekuje, że EBI ograniczy nieujawnianie informacji do mających </w:t>
      </w:r>
      <w:r w:rsidRPr="00C760DB">
        <w:lastRenderedPageBreak/>
        <w:t>zastosowanie wyjątków wymienionych w rozporządzeniu (WE) nr 1049/2001</w:t>
      </w:r>
      <w:r w:rsidRPr="00C760DB">
        <w:rPr>
          <w:rStyle w:val="FootnoteReference"/>
        </w:rPr>
        <w:footnoteReference w:id="5"/>
      </w:r>
      <w:r w:rsidRPr="00C760DB">
        <w:t xml:space="preserve"> i rozporządzeniu (WE) nr 1367/2006</w:t>
      </w:r>
      <w:r w:rsidRPr="00C760DB">
        <w:rPr>
          <w:rStyle w:val="FootnoteReference"/>
        </w:rPr>
        <w:footnoteReference w:id="6"/>
      </w:r>
      <w:r w:rsidRPr="00C760DB">
        <w:t xml:space="preserve">; domaga się, aby EBI wdrożył zalecenia Europejskiego Rzecznika Praw Obywatelskich </w:t>
      </w:r>
      <w:proofErr w:type="gramStart"/>
      <w:r w:rsidRPr="00C760DB">
        <w:t>z</w:t>
      </w:r>
      <w:proofErr w:type="gramEnd"/>
      <w:r w:rsidRPr="00C760DB">
        <w:t xml:space="preserve"> 20 listopada 2023 r. w sprawie 2252/2022/OAM i z 21 kwietnia 2022 r. w sprawie 1251/2020/PB, aby umożliwić rzetelną ocenę aspektów środowiskowych i społecznych projektów, których finansowanie rozważa;</w:t>
      </w:r>
    </w:p>
    <w:p w:rsidR="00515BF6" w:rsidRPr="00C760DB" w:rsidRDefault="00515BF6" w:rsidP="00515BF6">
      <w:pPr>
        <w:pStyle w:val="NormalHanging12a"/>
      </w:pPr>
      <w:r w:rsidRPr="00C760DB">
        <w:t>41.</w:t>
      </w:r>
      <w:r w:rsidRPr="00C760DB">
        <w:tab/>
      </w:r>
      <w:proofErr w:type="gramStart"/>
      <w:r w:rsidRPr="00C760DB">
        <w:t>apeluje</w:t>
      </w:r>
      <w:proofErr w:type="gramEnd"/>
      <w:r w:rsidRPr="00C760DB">
        <w:t xml:space="preserve"> o większą rozliczalność EIB wobec instytucji UE, zwłaszcza wobec Parlamentu, ponieważ przejrzystość jest jednym z fundamentów demokracji; w związku z tym wzywa EBI, by rozszerzył sprawozdawczość wobec Parlamentu na temat podejmowanych decyzji, osiąganych postępów i wpływu działalności pożyczkowej, w szczególności w drodze regularnego zorganizowanego dialogu między Parlamentem a EBI; ponownie przypomina o swoim wniosku dotyczącym zawarcia porozumienia międzyinstytucjonalnego między Parlamentem a EBI, aby poprawić dostęp do dokumentów i danych EBI oraz zwiększyć demokratyczną rozliczalność, przewidującym możliwość kierowania do EBI pytań wymagających odpowiedzi na piśmie, jak ma to miejsce w przypadku Europejskiego Banku Centralnego;</w:t>
      </w:r>
    </w:p>
    <w:p w:rsidR="00515BF6" w:rsidRPr="00C760DB" w:rsidRDefault="00515BF6" w:rsidP="00515BF6">
      <w:pPr>
        <w:pStyle w:val="NormalHanging12a"/>
      </w:pPr>
      <w:r w:rsidRPr="00C760DB">
        <w:t>42.</w:t>
      </w:r>
      <w:r w:rsidRPr="00C760DB">
        <w:tab/>
      </w:r>
      <w:proofErr w:type="gramStart"/>
      <w:r w:rsidRPr="00C760DB">
        <w:t>ponawia</w:t>
      </w:r>
      <w:proofErr w:type="gramEnd"/>
      <w:r w:rsidRPr="00C760DB">
        <w:t xml:space="preserve"> apel do EBI, aby zaostrzył politykę zwalczania oszustw podatkowych, uchylania się od opodatkowania i unikania opodatkowania, w tym by nie finansował beneficjentów ani pośredników finansowych, którzy mają udowodnioną złą reputację; wzywa EBI do egzekwowania środków zapobiegawczych i regularnych ocen podatkowych w odniesieniu do jurysdykcji podatkowych niechętnych współpracy, oszustw podatkowych, uchylania się od opodatkowania, a także nielegalnego i agresywnego unikania opodatkowania;</w:t>
      </w:r>
    </w:p>
    <w:p w:rsidR="00515BF6" w:rsidRPr="00C760DB" w:rsidRDefault="00515BF6" w:rsidP="00515BF6">
      <w:pPr>
        <w:pStyle w:val="NormalHanging12a"/>
      </w:pPr>
      <w:r w:rsidRPr="00C760DB">
        <w:t>43.</w:t>
      </w:r>
      <w:r w:rsidRPr="00C760DB">
        <w:tab/>
      </w:r>
      <w:proofErr w:type="gramStart"/>
      <w:r w:rsidRPr="00C760DB">
        <w:t>zachęca</w:t>
      </w:r>
      <w:proofErr w:type="gramEnd"/>
      <w:r w:rsidRPr="00C760DB">
        <w:t xml:space="preserve"> wiceprezesów EBI, aby nie angażowali się we wnioski projektowe z ich krajów pochodzenia; zwraca się do EBI, by w pełni wdrożył wszystkie zalecenia Rzecznika Praw Obywatelskich z 27 lipca 2022 r. w sprawie 1016/2021/KR i z 31 października 2023 r. w sprawie </w:t>
      </w:r>
      <w:hyperlink r:id="rId9" w:history="1">
        <w:r w:rsidRPr="00A85B71">
          <w:rPr>
            <w:rStyle w:val="Hyperlink"/>
            <w:color w:val="auto"/>
            <w:u w:val="none"/>
            <w:shd w:val="clear" w:color="auto" w:fill="FFFFFF"/>
          </w:rPr>
          <w:t>611/2022/KR</w:t>
        </w:r>
      </w:hyperlink>
      <w:r w:rsidRPr="00C760DB">
        <w:t xml:space="preserve"> w odniesieniu do działań byłych członków jego Komitetu Zarządzającego; zachęca członków Komitetu Zarządzającego EBI, by publikowali informacje o zaplanowanych spotkaniach z zewnętrznymi zainteresowanymi stronami, oraz ponawia apel o systematyczne publikowanie treści posiedzeń organów zarządzających EBI w celu dalszej poprawy przejrzystości; </w:t>
      </w:r>
    </w:p>
    <w:p w:rsidR="00515BF6" w:rsidRPr="00C760DB" w:rsidRDefault="00515BF6" w:rsidP="00515BF6">
      <w:pPr>
        <w:pStyle w:val="NormalHanging12a"/>
      </w:pPr>
      <w:r w:rsidRPr="00C760DB">
        <w:t>44.</w:t>
      </w:r>
      <w:r w:rsidRPr="00C760DB">
        <w:tab/>
      </w:r>
      <w:proofErr w:type="gramStart"/>
      <w:r w:rsidRPr="00C760DB">
        <w:t>odnotowuje</w:t>
      </w:r>
      <w:proofErr w:type="gramEnd"/>
      <w:r w:rsidRPr="00C760DB">
        <w:t xml:space="preserve"> postępy poczynione przez EBI pod względem zwiększania równowagi płci wśród pracowników, choć kobiety są nadal niedostatecznie reprezentowane na stanowiskach wyższego szczebla i w głównych obszarach działalności; ubolewa, że EBI nie osiągnął celów dotyczących zaangażowania kobiet na poszczególnych szczeblach, określonych w strategii EBI na rzecz różnorodności i włączenia społecznego na lata 2018–2021; w związku z tym wzywa EBI, by wzmógł wysiłki na rzecz </w:t>
      </w:r>
      <w:r w:rsidR="00ED542A" w:rsidRPr="009C3CEA">
        <w:t>zwiększenia różnorodności płci w celu</w:t>
      </w:r>
      <w:r w:rsidR="00ED542A" w:rsidRPr="005418B8">
        <w:rPr>
          <w:b/>
          <w:i/>
        </w:rPr>
        <w:t xml:space="preserve"> </w:t>
      </w:r>
      <w:r w:rsidRPr="00C760DB">
        <w:t xml:space="preserve">osiągnięcia </w:t>
      </w:r>
      <w:r w:rsidR="00ED542A" w:rsidRPr="009C3CEA">
        <w:t>parytetu płci i</w:t>
      </w:r>
      <w:r w:rsidR="00ED542A" w:rsidRPr="00ED542A">
        <w:t xml:space="preserve"> </w:t>
      </w:r>
      <w:r w:rsidRPr="00C760DB">
        <w:t xml:space="preserve">lepszej równowagi płci na </w:t>
      </w:r>
      <w:r w:rsidRPr="00C760DB">
        <w:lastRenderedPageBreak/>
        <w:t>wszystkich stanowiskach, w szczególności wyższych i kierowniczych, przy jednoczesnym zachowaniu równowagi geograficznej; wzywa EBI</w:t>
      </w:r>
      <w:r w:rsidR="00ED542A" w:rsidRPr="009C3CEA">
        <w:t>, aby intensywniej propagował w swojej strukturze wszelkie formy</w:t>
      </w:r>
      <w:r w:rsidR="00ED542A" w:rsidRPr="005418B8">
        <w:t xml:space="preserve"> </w:t>
      </w:r>
      <w:r w:rsidRPr="00C760DB">
        <w:t xml:space="preserve">różnorodności i włączenia </w:t>
      </w:r>
      <w:proofErr w:type="gramStart"/>
      <w:r w:rsidR="00ED542A" w:rsidRPr="009C3CEA">
        <w:t>oraz</w:t>
      </w:r>
      <w:proofErr w:type="gramEnd"/>
      <w:r w:rsidR="00ED542A" w:rsidRPr="009C3CEA">
        <w:t xml:space="preserve"> by wyznaczał ambitne cele</w:t>
      </w:r>
      <w:r w:rsidRPr="00C760DB">
        <w:t>;</w:t>
      </w:r>
    </w:p>
    <w:p w:rsidR="00515BF6" w:rsidRPr="00C760DB" w:rsidRDefault="00515BF6" w:rsidP="00515BF6">
      <w:pPr>
        <w:pStyle w:val="NormalCenter12a"/>
      </w:pPr>
      <w:r w:rsidRPr="00C760DB">
        <w:t>°</w:t>
      </w:r>
    </w:p>
    <w:p w:rsidR="00515BF6" w:rsidRPr="00C760DB" w:rsidRDefault="00515BF6" w:rsidP="00515BF6">
      <w:pPr>
        <w:pStyle w:val="NormalCenter12a"/>
      </w:pPr>
      <w:r w:rsidRPr="00C760DB">
        <w:t>°</w:t>
      </w:r>
      <w:r w:rsidRPr="00C760DB">
        <w:tab/>
        <w:t>°</w:t>
      </w:r>
    </w:p>
    <w:p w:rsidR="00515BF6" w:rsidRPr="00C760DB" w:rsidRDefault="00515BF6" w:rsidP="00515BF6">
      <w:pPr>
        <w:pStyle w:val="NormalHanging12a"/>
      </w:pPr>
      <w:r w:rsidRPr="00C760DB">
        <w:t>45.</w:t>
      </w:r>
      <w:r w:rsidRPr="00C760DB">
        <w:tab/>
      </w:r>
      <w:proofErr w:type="gramStart"/>
      <w:r w:rsidRPr="00C760DB">
        <w:t>zobowiązuje</w:t>
      </w:r>
      <w:proofErr w:type="gramEnd"/>
      <w:r w:rsidRPr="00C760DB">
        <w:t xml:space="preserve"> swoją przewodniczącą do przekazania niniejszej rezolucji Radzie i Komisji oraz Europejskiemu Bankowi Inwestycyjnemu.</w:t>
      </w:r>
    </w:p>
    <w:p w:rsidR="00515BF6" w:rsidRPr="00C760DB" w:rsidRDefault="00515BF6" w:rsidP="00515BF6"/>
    <w:p w:rsidR="00E365E1" w:rsidRPr="00C760DB" w:rsidRDefault="00E365E1" w:rsidP="006142C1">
      <w:bookmarkStart w:id="8" w:name="TextBodyEnd"/>
      <w:bookmarkEnd w:id="8"/>
    </w:p>
    <w:sectPr w:rsidR="00E365E1" w:rsidRPr="00C760DB" w:rsidSect="00C760D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2C1" w:rsidRPr="00C760DB" w:rsidRDefault="006142C1">
      <w:r w:rsidRPr="00C760DB">
        <w:separator/>
      </w:r>
    </w:p>
  </w:endnote>
  <w:endnote w:type="continuationSeparator" w:id="0">
    <w:p w:rsidR="006142C1" w:rsidRPr="00C760DB" w:rsidRDefault="006142C1">
      <w:r w:rsidRPr="00C760D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2C1" w:rsidRPr="00C760DB" w:rsidRDefault="006142C1">
      <w:r w:rsidRPr="00C760DB">
        <w:separator/>
      </w:r>
    </w:p>
  </w:footnote>
  <w:footnote w:type="continuationSeparator" w:id="0">
    <w:p w:rsidR="006142C1" w:rsidRPr="00C760DB" w:rsidRDefault="006142C1">
      <w:r w:rsidRPr="00C760DB">
        <w:continuationSeparator/>
      </w:r>
    </w:p>
  </w:footnote>
  <w:footnote w:id="1">
    <w:p w:rsidR="00515BF6" w:rsidRPr="009C3CEA" w:rsidRDefault="00515BF6" w:rsidP="00C760DB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C760DB">
        <w:rPr>
          <w:rStyle w:val="FootnoteReference"/>
          <w:sz w:val="24"/>
          <w:lang w:val="pl-PL"/>
        </w:rPr>
        <w:footnoteRef/>
      </w:r>
      <w:r w:rsidR="00C760DB" w:rsidRPr="00C760DB">
        <w:rPr>
          <w:sz w:val="24"/>
          <w:lang w:val="pl-PL"/>
        </w:rPr>
        <w:t xml:space="preserve"> </w:t>
      </w:r>
      <w:r w:rsidR="00C760DB" w:rsidRPr="00C760DB">
        <w:rPr>
          <w:sz w:val="24"/>
          <w:lang w:val="pl-PL"/>
        </w:rPr>
        <w:tab/>
      </w:r>
      <w:hyperlink r:id="rId1" w:history="1">
        <w:r w:rsidRPr="009C3CEA">
          <w:rPr>
            <w:color w:val="000000" w:themeColor="text1"/>
            <w:sz w:val="24"/>
            <w:lang w:val="pl-PL"/>
          </w:rPr>
          <w:t xml:space="preserve">Dz.U. L 231 z 30.6.2021, </w:t>
        </w:r>
        <w:proofErr w:type="gramStart"/>
        <w:r w:rsidRPr="009C3CEA">
          <w:rPr>
            <w:color w:val="000000" w:themeColor="text1"/>
            <w:sz w:val="24"/>
            <w:lang w:val="pl-PL"/>
          </w:rPr>
          <w:t>s</w:t>
        </w:r>
        <w:proofErr w:type="gramEnd"/>
        <w:r w:rsidRPr="009C3CEA">
          <w:rPr>
            <w:color w:val="000000" w:themeColor="text1"/>
            <w:sz w:val="24"/>
            <w:lang w:val="pl-PL"/>
          </w:rPr>
          <w:t>. 1.</w:t>
        </w:r>
      </w:hyperlink>
    </w:p>
  </w:footnote>
  <w:footnote w:id="2">
    <w:p w:rsidR="00515BF6" w:rsidRPr="009C3CEA" w:rsidRDefault="00515BF6" w:rsidP="00C760DB">
      <w:pPr>
        <w:pStyle w:val="FootnoteText"/>
        <w:ind w:left="567" w:hanging="567"/>
        <w:rPr>
          <w:color w:val="000000" w:themeColor="text1"/>
          <w:sz w:val="24"/>
          <w:lang w:val="pl-PL"/>
        </w:rPr>
      </w:pPr>
      <w:r w:rsidRPr="009C3CEA">
        <w:rPr>
          <w:rStyle w:val="FootnoteReference"/>
          <w:color w:val="000000" w:themeColor="text1"/>
          <w:sz w:val="24"/>
          <w:lang w:val="pl-PL"/>
        </w:rPr>
        <w:footnoteRef/>
      </w:r>
      <w:r w:rsidR="00C760DB" w:rsidRPr="009C3CEA">
        <w:rPr>
          <w:color w:val="000000" w:themeColor="text1"/>
          <w:sz w:val="24"/>
          <w:lang w:val="pl-PL"/>
        </w:rPr>
        <w:t xml:space="preserve"> </w:t>
      </w:r>
      <w:r w:rsidR="00C760DB" w:rsidRPr="009C3CEA">
        <w:rPr>
          <w:color w:val="000000" w:themeColor="text1"/>
          <w:sz w:val="24"/>
          <w:lang w:val="pl-PL"/>
        </w:rPr>
        <w:tab/>
      </w:r>
      <w:hyperlink r:id="rId2" w:history="1">
        <w:r w:rsidRPr="009C3CEA">
          <w:rPr>
            <w:color w:val="000000" w:themeColor="text1"/>
            <w:sz w:val="24"/>
            <w:lang w:val="pl-PL"/>
          </w:rPr>
          <w:t>Dz</w:t>
        </w:r>
        <w:bookmarkStart w:id="7" w:name="_GoBack"/>
        <w:bookmarkEnd w:id="7"/>
        <w:r w:rsidRPr="009C3CEA">
          <w:rPr>
            <w:color w:val="000000" w:themeColor="text1"/>
            <w:sz w:val="24"/>
            <w:lang w:val="pl-PL"/>
          </w:rPr>
          <w:t xml:space="preserve">.U. L 274 z 30.7.2021, </w:t>
        </w:r>
        <w:proofErr w:type="gramStart"/>
        <w:r w:rsidRPr="009C3CEA">
          <w:rPr>
            <w:color w:val="000000" w:themeColor="text1"/>
            <w:sz w:val="24"/>
            <w:lang w:val="pl-PL"/>
          </w:rPr>
          <w:t>s</w:t>
        </w:r>
        <w:proofErr w:type="gramEnd"/>
        <w:r w:rsidRPr="009C3CEA">
          <w:rPr>
            <w:color w:val="000000" w:themeColor="text1"/>
            <w:sz w:val="24"/>
            <w:lang w:val="pl-PL"/>
          </w:rPr>
          <w:t>. 1.</w:t>
        </w:r>
      </w:hyperlink>
    </w:p>
  </w:footnote>
  <w:footnote w:id="3">
    <w:p w:rsidR="00515BF6" w:rsidRPr="00C760DB" w:rsidRDefault="00515BF6" w:rsidP="00C760DB">
      <w:pPr>
        <w:pStyle w:val="FootnoteText"/>
        <w:ind w:left="567" w:hanging="567"/>
        <w:rPr>
          <w:sz w:val="24"/>
          <w:lang w:val="pl-PL"/>
        </w:rPr>
      </w:pPr>
      <w:r w:rsidRPr="00C760DB">
        <w:rPr>
          <w:rStyle w:val="FootnoteReference"/>
          <w:sz w:val="24"/>
          <w:lang w:val="pl-PL"/>
        </w:rPr>
        <w:footnoteRef/>
      </w:r>
      <w:r w:rsidR="00C760DB" w:rsidRPr="00C760DB">
        <w:rPr>
          <w:sz w:val="24"/>
          <w:lang w:val="pl-PL"/>
        </w:rPr>
        <w:t xml:space="preserve"> </w:t>
      </w:r>
      <w:r w:rsidR="00C760DB" w:rsidRPr="00C760DB">
        <w:rPr>
          <w:sz w:val="24"/>
          <w:lang w:val="pl-PL"/>
        </w:rPr>
        <w:tab/>
      </w:r>
      <w:r w:rsidRPr="00C760DB">
        <w:rPr>
          <w:sz w:val="24"/>
          <w:lang w:val="pl-PL"/>
        </w:rPr>
        <w:t xml:space="preserve">Rozporządzenie delegowane Komisji (UE) 2023/1184 z dnia 10 lutego 2023 r. uzupełniające dyrektywę Parlamentu Europejskiego i Rady (UE) 2018/2001 przez ustanowienie unijnej metodyki określającej szczegółowe zasady produkcji odnawialnych ciekłych i gazowych paliw transportowych pochodzenia </w:t>
      </w:r>
      <w:proofErr w:type="spellStart"/>
      <w:r w:rsidRPr="00C760DB">
        <w:rPr>
          <w:sz w:val="24"/>
          <w:lang w:val="pl-PL"/>
        </w:rPr>
        <w:t>niebiologicznego</w:t>
      </w:r>
      <w:proofErr w:type="spellEnd"/>
      <w:r w:rsidRPr="00C760DB">
        <w:rPr>
          <w:sz w:val="24"/>
          <w:lang w:val="pl-PL"/>
        </w:rPr>
        <w:t xml:space="preserve"> </w:t>
      </w:r>
      <w:r w:rsidR="00A85B71">
        <w:rPr>
          <w:sz w:val="24"/>
          <w:lang w:val="pl-PL"/>
        </w:rPr>
        <w:t>(</w:t>
      </w:r>
      <w:r w:rsidRPr="00C760DB">
        <w:rPr>
          <w:sz w:val="24"/>
          <w:lang w:val="pl-PL"/>
        </w:rPr>
        <w:t xml:space="preserve">Dz.U. L 157 z 20.6.2023, </w:t>
      </w:r>
      <w:proofErr w:type="gramStart"/>
      <w:r w:rsidRPr="00C760DB">
        <w:rPr>
          <w:sz w:val="24"/>
          <w:lang w:val="pl-PL"/>
        </w:rPr>
        <w:t>s</w:t>
      </w:r>
      <w:proofErr w:type="gramEnd"/>
      <w:r w:rsidRPr="00C760DB">
        <w:rPr>
          <w:sz w:val="24"/>
          <w:lang w:val="pl-PL"/>
        </w:rPr>
        <w:t>. 11</w:t>
      </w:r>
      <w:r w:rsidR="00A85B71">
        <w:rPr>
          <w:sz w:val="24"/>
          <w:lang w:val="pl-PL"/>
        </w:rPr>
        <w:t>)</w:t>
      </w:r>
      <w:r w:rsidRPr="00C760DB">
        <w:rPr>
          <w:sz w:val="24"/>
          <w:lang w:val="pl-PL"/>
        </w:rPr>
        <w:t>.</w:t>
      </w:r>
    </w:p>
  </w:footnote>
  <w:footnote w:id="4">
    <w:p w:rsidR="00515BF6" w:rsidRPr="00C760DB" w:rsidRDefault="00515BF6" w:rsidP="00C760DB">
      <w:pPr>
        <w:pStyle w:val="FootnoteText"/>
        <w:ind w:left="567" w:hanging="567"/>
        <w:rPr>
          <w:sz w:val="24"/>
          <w:lang w:val="pl-PL"/>
        </w:rPr>
      </w:pPr>
      <w:r w:rsidRPr="00C760DB">
        <w:rPr>
          <w:rStyle w:val="FootnoteReference"/>
          <w:sz w:val="24"/>
          <w:lang w:val="pl-PL"/>
        </w:rPr>
        <w:footnoteRef/>
      </w:r>
      <w:r w:rsidR="00C760DB" w:rsidRPr="00C760DB">
        <w:rPr>
          <w:sz w:val="24"/>
          <w:lang w:val="pl-PL"/>
        </w:rPr>
        <w:t xml:space="preserve"> </w:t>
      </w:r>
      <w:r w:rsidR="00C760DB" w:rsidRPr="00C760DB">
        <w:rPr>
          <w:sz w:val="24"/>
          <w:lang w:val="pl-PL"/>
        </w:rPr>
        <w:tab/>
      </w:r>
      <w:r w:rsidRPr="00C760DB">
        <w:rPr>
          <w:sz w:val="24"/>
          <w:lang w:val="pl-PL"/>
        </w:rPr>
        <w:t xml:space="preserve">Sprawozdanie Banku Światowego, „Global </w:t>
      </w:r>
      <w:proofErr w:type="spellStart"/>
      <w:r w:rsidRPr="00C760DB">
        <w:rPr>
          <w:sz w:val="24"/>
          <w:lang w:val="pl-PL"/>
        </w:rPr>
        <w:t>Economic</w:t>
      </w:r>
      <w:proofErr w:type="spellEnd"/>
      <w:r w:rsidRPr="00C760DB">
        <w:rPr>
          <w:sz w:val="24"/>
          <w:lang w:val="pl-PL"/>
        </w:rPr>
        <w:t xml:space="preserve"> </w:t>
      </w:r>
      <w:proofErr w:type="spellStart"/>
      <w:r w:rsidRPr="00C760DB">
        <w:rPr>
          <w:sz w:val="24"/>
          <w:lang w:val="pl-PL"/>
        </w:rPr>
        <w:t>Prospects</w:t>
      </w:r>
      <w:proofErr w:type="spellEnd"/>
      <w:r w:rsidRPr="00C760DB">
        <w:rPr>
          <w:sz w:val="24"/>
          <w:lang w:val="pl-PL"/>
        </w:rPr>
        <w:t>” [Globalne perspektywy gospodarcze], styczeń 2024 r., https</w:t>
      </w:r>
      <w:proofErr w:type="gramStart"/>
      <w:r w:rsidRPr="00C760DB">
        <w:rPr>
          <w:sz w:val="24"/>
          <w:lang w:val="pl-PL"/>
        </w:rPr>
        <w:t>://www</w:t>
      </w:r>
      <w:proofErr w:type="gramEnd"/>
      <w:r w:rsidRPr="00C760DB">
        <w:rPr>
          <w:sz w:val="24"/>
          <w:lang w:val="pl-PL"/>
        </w:rPr>
        <w:t>.</w:t>
      </w:r>
      <w:proofErr w:type="gramStart"/>
      <w:r w:rsidRPr="00C760DB">
        <w:rPr>
          <w:sz w:val="24"/>
          <w:lang w:val="pl-PL"/>
        </w:rPr>
        <w:t>worldbank</w:t>
      </w:r>
      <w:proofErr w:type="gramEnd"/>
      <w:r w:rsidRPr="00C760DB">
        <w:rPr>
          <w:sz w:val="24"/>
          <w:lang w:val="pl-PL"/>
        </w:rPr>
        <w:t>.</w:t>
      </w:r>
      <w:proofErr w:type="gramStart"/>
      <w:r w:rsidRPr="00C760DB">
        <w:rPr>
          <w:sz w:val="24"/>
          <w:lang w:val="pl-PL"/>
        </w:rPr>
        <w:t>org</w:t>
      </w:r>
      <w:proofErr w:type="gramEnd"/>
      <w:r w:rsidRPr="00C760DB">
        <w:rPr>
          <w:sz w:val="24"/>
          <w:lang w:val="pl-PL"/>
        </w:rPr>
        <w:t>/en/publication/global-economic-prospects.</w:t>
      </w:r>
    </w:p>
  </w:footnote>
  <w:footnote w:id="5">
    <w:p w:rsidR="00515BF6" w:rsidRPr="00C760DB" w:rsidRDefault="00515BF6" w:rsidP="00C760DB">
      <w:pPr>
        <w:pStyle w:val="FootnoteText"/>
        <w:ind w:left="567" w:hanging="567"/>
        <w:rPr>
          <w:sz w:val="24"/>
          <w:lang w:val="pl-PL"/>
        </w:rPr>
      </w:pPr>
      <w:r w:rsidRPr="00C760DB">
        <w:rPr>
          <w:rStyle w:val="FootnoteReference"/>
          <w:sz w:val="24"/>
          <w:lang w:val="pl-PL"/>
        </w:rPr>
        <w:footnoteRef/>
      </w:r>
      <w:r w:rsidR="00C760DB" w:rsidRPr="00C760DB">
        <w:rPr>
          <w:sz w:val="24"/>
          <w:lang w:val="pl-PL"/>
        </w:rPr>
        <w:t xml:space="preserve"> </w:t>
      </w:r>
      <w:r w:rsidR="00C760DB" w:rsidRPr="00C760DB">
        <w:rPr>
          <w:sz w:val="24"/>
          <w:lang w:val="pl-PL"/>
        </w:rPr>
        <w:tab/>
      </w:r>
      <w:r w:rsidRPr="00C760DB">
        <w:rPr>
          <w:sz w:val="24"/>
          <w:lang w:val="pl-PL"/>
        </w:rPr>
        <w:t>Rozporządzenie (WE) nr 1049/2001 Parlamentu Europejskiego i Rady z dnia 30 maja 2001 r. w sprawie publicznego dostępu do dokumentów Parlament</w:t>
      </w:r>
      <w:r w:rsidR="00A85B71">
        <w:rPr>
          <w:sz w:val="24"/>
          <w:lang w:val="pl-PL"/>
        </w:rPr>
        <w:t>u Europejskiego, Rady i Komisji</w:t>
      </w:r>
      <w:r w:rsidRPr="00C760DB">
        <w:rPr>
          <w:sz w:val="24"/>
          <w:lang w:val="pl-PL"/>
        </w:rPr>
        <w:t xml:space="preserve"> </w:t>
      </w:r>
      <w:r w:rsidR="00A85B71">
        <w:rPr>
          <w:sz w:val="24"/>
          <w:lang w:val="pl-PL"/>
        </w:rPr>
        <w:t>(</w:t>
      </w:r>
      <w:r w:rsidRPr="00C760DB">
        <w:rPr>
          <w:sz w:val="24"/>
          <w:lang w:val="pl-PL"/>
        </w:rPr>
        <w:t xml:space="preserve">Dz.U. L 145 z 31.5.2001, </w:t>
      </w:r>
      <w:proofErr w:type="gramStart"/>
      <w:r w:rsidRPr="00C760DB">
        <w:rPr>
          <w:sz w:val="24"/>
          <w:lang w:val="pl-PL"/>
        </w:rPr>
        <w:t>s</w:t>
      </w:r>
      <w:proofErr w:type="gramEnd"/>
      <w:r w:rsidRPr="00C760DB">
        <w:rPr>
          <w:sz w:val="24"/>
          <w:lang w:val="pl-PL"/>
        </w:rPr>
        <w:t>. 43</w:t>
      </w:r>
      <w:r w:rsidR="00A85B71">
        <w:rPr>
          <w:sz w:val="24"/>
          <w:lang w:val="pl-PL"/>
        </w:rPr>
        <w:t>)</w:t>
      </w:r>
      <w:r w:rsidRPr="00C760DB">
        <w:rPr>
          <w:sz w:val="24"/>
          <w:lang w:val="pl-PL"/>
        </w:rPr>
        <w:t>.</w:t>
      </w:r>
    </w:p>
  </w:footnote>
  <w:footnote w:id="6">
    <w:p w:rsidR="00515BF6" w:rsidRPr="00C760DB" w:rsidRDefault="00515BF6" w:rsidP="00C760DB">
      <w:pPr>
        <w:pStyle w:val="FootnoteText"/>
        <w:ind w:left="567" w:hanging="567"/>
        <w:rPr>
          <w:sz w:val="24"/>
          <w:lang w:val="pl-PL"/>
        </w:rPr>
      </w:pPr>
      <w:r w:rsidRPr="00C760DB">
        <w:rPr>
          <w:rStyle w:val="FootnoteReference"/>
          <w:sz w:val="24"/>
          <w:lang w:val="pl-PL"/>
        </w:rPr>
        <w:footnoteRef/>
      </w:r>
      <w:r w:rsidR="00C760DB" w:rsidRPr="00C760DB">
        <w:rPr>
          <w:sz w:val="24"/>
          <w:lang w:val="pl-PL"/>
        </w:rPr>
        <w:t xml:space="preserve"> </w:t>
      </w:r>
      <w:r w:rsidR="00C760DB" w:rsidRPr="00C760DB">
        <w:rPr>
          <w:sz w:val="24"/>
          <w:lang w:val="pl-PL"/>
        </w:rPr>
        <w:tab/>
      </w:r>
      <w:r w:rsidRPr="00C760DB">
        <w:rPr>
          <w:sz w:val="24"/>
          <w:lang w:val="pl-PL"/>
        </w:rPr>
        <w:t>Rozporządzenie (WE) nr 1367/2006 Parlamentu Europejskiego i Rady z dnia 6 września 2006 r. w sprawie zastosowania postanowień Konwencji z </w:t>
      </w:r>
      <w:proofErr w:type="spellStart"/>
      <w:r w:rsidRPr="00C760DB">
        <w:rPr>
          <w:sz w:val="24"/>
          <w:lang w:val="pl-PL"/>
        </w:rPr>
        <w:t>Aarhus</w:t>
      </w:r>
      <w:proofErr w:type="spellEnd"/>
      <w:r w:rsidRPr="00C760DB">
        <w:rPr>
          <w:sz w:val="24"/>
          <w:lang w:val="pl-PL"/>
        </w:rPr>
        <w:t xml:space="preserve"> o dostępie do informacji, udziale społeczeństwa w podejmowaniu decyzji oraz dostępie do sprawiedliwości w sprawach dotyczących środowiska do</w:t>
      </w:r>
      <w:r w:rsidR="00A85B71">
        <w:rPr>
          <w:sz w:val="24"/>
          <w:lang w:val="pl-PL"/>
        </w:rPr>
        <w:t xml:space="preserve"> instytucji i organów Wspólnoty</w:t>
      </w:r>
      <w:r w:rsidRPr="00C760DB">
        <w:rPr>
          <w:sz w:val="24"/>
          <w:lang w:val="pl-PL"/>
        </w:rPr>
        <w:t xml:space="preserve"> </w:t>
      </w:r>
      <w:r w:rsidR="00A85B71">
        <w:rPr>
          <w:sz w:val="24"/>
          <w:lang w:val="pl-PL"/>
        </w:rPr>
        <w:t>(</w:t>
      </w:r>
      <w:r w:rsidRPr="00C760DB">
        <w:rPr>
          <w:sz w:val="24"/>
          <w:lang w:val="pl-PL"/>
        </w:rPr>
        <w:t xml:space="preserve">Dz.U. L 264 z 25.9.2006, </w:t>
      </w:r>
      <w:proofErr w:type="gramStart"/>
      <w:r w:rsidRPr="00C760DB">
        <w:rPr>
          <w:sz w:val="24"/>
          <w:lang w:val="pl-PL"/>
        </w:rPr>
        <w:t>s</w:t>
      </w:r>
      <w:proofErr w:type="gramEnd"/>
      <w:r w:rsidRPr="00C760DB">
        <w:rPr>
          <w:sz w:val="24"/>
          <w:lang w:val="pl-PL"/>
        </w:rPr>
        <w:t>. 13</w:t>
      </w:r>
      <w:r w:rsidR="00A85B71">
        <w:rPr>
          <w:sz w:val="24"/>
          <w:lang w:val="pl-PL"/>
        </w:rPr>
        <w:t>)</w:t>
      </w:r>
      <w:r w:rsidRPr="00C760DB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760D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1/2024"/>
    <w:docVar w:name="dvlangue" w:val="PL"/>
    <w:docVar w:name="dvnumam" w:val="0"/>
    <w:docVar w:name="dvpe" w:val="757.274"/>
    <w:docVar w:name="dvrapporteur" w:val="Sprawozdawca: "/>
    <w:docVar w:name="dvstar" w:val="??"/>
    <w:docVar w:name="dvtitre" w:val="Rezolucja Parlamentu Europejskiego z dnia  2024 r. w sprawie sprawozdania rocznego z działalności finansowej Europejskiego Banku Inwestycyjnego za rok 2023(2023/2229(INI))"/>
  </w:docVars>
  <w:rsids>
    <w:rsidRoot w:val="006142C1"/>
    <w:rsid w:val="00002272"/>
    <w:rsid w:val="00064002"/>
    <w:rsid w:val="000677B9"/>
    <w:rsid w:val="000831BA"/>
    <w:rsid w:val="000A42CC"/>
    <w:rsid w:val="000E7DD9"/>
    <w:rsid w:val="0010095E"/>
    <w:rsid w:val="00125B37"/>
    <w:rsid w:val="00137D58"/>
    <w:rsid w:val="00187494"/>
    <w:rsid w:val="001F32AE"/>
    <w:rsid w:val="00251AE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15BF6"/>
    <w:rsid w:val="00545827"/>
    <w:rsid w:val="00560270"/>
    <w:rsid w:val="005C2568"/>
    <w:rsid w:val="006037C0"/>
    <w:rsid w:val="006142C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CEA"/>
    <w:rsid w:val="00A1687D"/>
    <w:rsid w:val="00A43E52"/>
    <w:rsid w:val="00A4678D"/>
    <w:rsid w:val="00A778C7"/>
    <w:rsid w:val="00A85B71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60D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42A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FCD40F-CA93-4218-9682-F591FDDBD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15BF6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515BF6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515BF6"/>
    <w:pPr>
      <w:spacing w:after="240"/>
      <w:jc w:val="center"/>
    </w:pPr>
  </w:style>
  <w:style w:type="character" w:customStyle="1" w:styleId="BoldItalic">
    <w:name w:val="BoldItalic"/>
    <w:uiPriority w:val="1"/>
    <w:rsid w:val="00515BF6"/>
    <w:rPr>
      <w:b/>
      <w:i/>
      <w:u w:val="none"/>
    </w:rPr>
  </w:style>
  <w:style w:type="character" w:customStyle="1" w:styleId="Italic">
    <w:name w:val="Italic"/>
    <w:uiPriority w:val="1"/>
    <w:rsid w:val="00515BF6"/>
    <w:rPr>
      <w:i/>
    </w:rPr>
  </w:style>
  <w:style w:type="paragraph" w:customStyle="1" w:styleId="Normal12a24b">
    <w:name w:val="Normal12a24b"/>
    <w:basedOn w:val="Normal"/>
    <w:rsid w:val="00515BF6"/>
    <w:pPr>
      <w:spacing w:before="360" w:after="240"/>
    </w:pPr>
    <w:rPr>
      <w:snapToGrid w:val="0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rsid w:val="00515BF6"/>
    <w:rPr>
      <w:snapToGrid w:val="0"/>
      <w:sz w:val="24"/>
      <w:lang w:val="pl-PL" w:eastAsia="en-US"/>
    </w:rPr>
  </w:style>
  <w:style w:type="character" w:styleId="Hyperlink">
    <w:name w:val="Hyperlink"/>
    <w:basedOn w:val="DefaultParagraphFont"/>
    <w:uiPriority w:val="99"/>
    <w:unhideWhenUsed/>
    <w:rsid w:val="00515BF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ED54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D542A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ombudsman.europa.eu/pl/case/pl/61380" TargetMode="Externa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r-lex.europa.eu/legal-content/PL/TXT/?uri=CELEX:32021R1229" TargetMode="External"/><Relationship Id="rId1" Type="http://schemas.openxmlformats.org/officeDocument/2006/relationships/hyperlink" Target="https://eur-lex.europa.eu/legal-content/PL/TXT/?uri=CELEX:32021R10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B4B27B-DDE0-4C57-834F-E8E5B29BF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5056</Words>
  <Characters>33689</Characters>
  <Application>Microsoft Office Word</Application>
  <DocSecurity>0</DocSecurity>
  <Lines>280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2024-02-29T09:32:00Z</dcterms:created>
  <dcterms:modified xsi:type="dcterms:W3CDTF">2024-02-29T09:32:00Z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A9-0031/2024</vt:lpwstr>
  </property>
  <property fmtid="{D5CDD505-2E9C-101B-9397-08002B2CF9AE}" pid="4" name="&lt;Type&gt;">
    <vt:lpwstr>RR</vt:lpwstr>
  </property>
</Properties>
</file>