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A94" w:rsidTr="0010095E">
        <w:trPr>
          <w:trHeight w:hRule="exact" w:val="1418"/>
        </w:trPr>
        <w:tc>
          <w:tcPr>
            <w:tcW w:w="6804" w:type="dxa"/>
            <w:shd w:val="clear" w:color="auto" w:fill="auto"/>
            <w:vAlign w:val="center"/>
          </w:tcPr>
          <w:p w:rsidR="00751A4A" w:rsidRPr="00AA5A94" w:rsidRDefault="006C2514" w:rsidP="0010095E">
            <w:pPr>
              <w:pStyle w:val="EPName"/>
            </w:pPr>
            <w:r w:rsidRPr="00AA5A94">
              <w:t>Parlamentul European</w:t>
            </w:r>
          </w:p>
          <w:p w:rsidR="00751A4A" w:rsidRPr="00AA5A94" w:rsidRDefault="00817416" w:rsidP="00756632">
            <w:pPr>
              <w:pStyle w:val="EPTerm"/>
              <w:rPr>
                <w:rStyle w:val="HideTWBExt"/>
                <w:noProof w:val="0"/>
                <w:vanish w:val="0"/>
                <w:color w:val="auto"/>
              </w:rPr>
            </w:pPr>
            <w:r w:rsidRPr="00AA5A94">
              <w:t>2019-2024</w:t>
            </w:r>
          </w:p>
        </w:tc>
        <w:tc>
          <w:tcPr>
            <w:tcW w:w="2268" w:type="dxa"/>
            <w:shd w:val="clear" w:color="auto" w:fill="auto"/>
          </w:tcPr>
          <w:p w:rsidR="00751A4A" w:rsidRPr="00AA5A94" w:rsidRDefault="00187494" w:rsidP="0010095E">
            <w:pPr>
              <w:pStyle w:val="EPLogo"/>
            </w:pPr>
            <w:r w:rsidRPr="00AA5A9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5A94" w:rsidRDefault="00D058B8" w:rsidP="004C5D52">
      <w:pPr>
        <w:pStyle w:val="LineTop"/>
      </w:pPr>
    </w:p>
    <w:p w:rsidR="00680577" w:rsidRPr="00AA5A94" w:rsidRDefault="006C2514" w:rsidP="00680577">
      <w:pPr>
        <w:pStyle w:val="EPBodyTA1"/>
      </w:pPr>
      <w:r w:rsidRPr="00AA5A94">
        <w:t>TEXTE ADOPTATE</w:t>
      </w:r>
    </w:p>
    <w:p w:rsidR="00D058B8" w:rsidRPr="00AA5A94" w:rsidRDefault="00D058B8" w:rsidP="00D058B8">
      <w:pPr>
        <w:pStyle w:val="LineBottom"/>
      </w:pPr>
    </w:p>
    <w:p w:rsidR="006C2514" w:rsidRPr="00AA5A94" w:rsidRDefault="006C2514" w:rsidP="006C2514">
      <w:pPr>
        <w:pStyle w:val="ATHeading1"/>
      </w:pPr>
      <w:bookmarkStart w:id="0" w:name="TANumber"/>
      <w:r w:rsidRPr="00AA5A94">
        <w:t>P9_TA(2024)</w:t>
      </w:r>
      <w:bookmarkEnd w:id="0"/>
      <w:r w:rsidR="00F466FE" w:rsidRPr="00AA5A94">
        <w:t>0107</w:t>
      </w:r>
    </w:p>
    <w:p w:rsidR="006C2514" w:rsidRPr="00AA5A94" w:rsidRDefault="00052A42" w:rsidP="006C2514">
      <w:pPr>
        <w:pStyle w:val="ATHeading2"/>
      </w:pPr>
      <w:bookmarkStart w:id="1" w:name="title"/>
      <w:r w:rsidRPr="00AA5A94">
        <w:rPr>
          <w:bCs/>
        </w:rPr>
        <w:t>Activitățile financiare ale Băncii Europene de Investiții - raportul anual 2023</w:t>
      </w:r>
      <w:bookmarkEnd w:id="1"/>
    </w:p>
    <w:p w:rsidR="006C2514" w:rsidRPr="00AA5A94" w:rsidRDefault="006C2514" w:rsidP="006C2514">
      <w:pPr>
        <w:rPr>
          <w:i/>
          <w:vanish/>
        </w:rPr>
      </w:pPr>
      <w:r w:rsidRPr="00AA5A94">
        <w:rPr>
          <w:i/>
        </w:rPr>
        <w:fldChar w:fldCharType="begin"/>
      </w:r>
      <w:r w:rsidRPr="00AA5A94">
        <w:rPr>
          <w:i/>
        </w:rPr>
        <w:instrText xml:space="preserve"> TC"(</w:instrText>
      </w:r>
      <w:bookmarkStart w:id="2" w:name="DocNumber"/>
      <w:r w:rsidRPr="00AA5A94">
        <w:rPr>
          <w:i/>
        </w:rPr>
        <w:instrText>A9-0031/2024</w:instrText>
      </w:r>
      <w:bookmarkEnd w:id="2"/>
      <w:r w:rsidRPr="00AA5A94">
        <w:rPr>
          <w:i/>
        </w:rPr>
        <w:instrText xml:space="preserve"> - Raportor: David Cormand)"\l3 \n&gt; \* MERGEFORMAT </w:instrText>
      </w:r>
      <w:r w:rsidRPr="00AA5A94">
        <w:rPr>
          <w:i/>
        </w:rPr>
        <w:fldChar w:fldCharType="end"/>
      </w:r>
    </w:p>
    <w:p w:rsidR="006C2514" w:rsidRPr="00AA5A94" w:rsidRDefault="006C2514" w:rsidP="006C2514">
      <w:pPr>
        <w:rPr>
          <w:vanish/>
        </w:rPr>
      </w:pPr>
      <w:bookmarkStart w:id="3" w:name="Commission"/>
      <w:r w:rsidRPr="00AA5A94">
        <w:rPr>
          <w:vanish/>
        </w:rPr>
        <w:t>Comisia pentru bugete</w:t>
      </w:r>
      <w:bookmarkEnd w:id="3"/>
    </w:p>
    <w:p w:rsidR="006C2514" w:rsidRPr="00AA5A94" w:rsidRDefault="006C2514" w:rsidP="006C2514">
      <w:pPr>
        <w:rPr>
          <w:vanish/>
        </w:rPr>
      </w:pPr>
      <w:bookmarkStart w:id="4" w:name="PE"/>
      <w:r w:rsidRPr="00AA5A94">
        <w:rPr>
          <w:vanish/>
        </w:rPr>
        <w:t>PE757.274</w:t>
      </w:r>
      <w:bookmarkEnd w:id="4"/>
    </w:p>
    <w:p w:rsidR="006C2514" w:rsidRPr="00AA5A94" w:rsidRDefault="006C2514" w:rsidP="006C2514">
      <w:pPr>
        <w:pStyle w:val="ATHeading3"/>
      </w:pPr>
      <w:bookmarkStart w:id="5" w:name="Sujet"/>
      <w:r w:rsidRPr="00AA5A94">
        <w:t xml:space="preserve">Rezoluția Parlamentului European din </w:t>
      </w:r>
      <w:r w:rsidR="00052A42" w:rsidRPr="00AA5A94">
        <w:t>28 februarie</w:t>
      </w:r>
      <w:r w:rsidRPr="00AA5A94">
        <w:t xml:space="preserve"> 2024 referitor la activitățile financiare ale Băncii Europene de Investiții – raportul anual p</w:t>
      </w:r>
      <w:bookmarkStart w:id="6" w:name="_GoBack"/>
      <w:bookmarkEnd w:id="6"/>
      <w:r w:rsidRPr="00AA5A94">
        <w:t>e 2023</w:t>
      </w:r>
      <w:bookmarkEnd w:id="5"/>
      <w:r w:rsidRPr="00AA5A94">
        <w:t xml:space="preserve"> </w:t>
      </w:r>
      <w:bookmarkStart w:id="7" w:name="References"/>
      <w:r w:rsidRPr="00AA5A94">
        <w:t>(2023/2229(INI))</w:t>
      </w:r>
      <w:bookmarkEnd w:id="7"/>
    </w:p>
    <w:p w:rsidR="00450EE1" w:rsidRPr="00AA5A94" w:rsidRDefault="00450EE1" w:rsidP="00450EE1">
      <w:pPr>
        <w:pStyle w:val="EPComma"/>
      </w:pPr>
      <w:bookmarkStart w:id="8" w:name="TextBodyBegin"/>
      <w:bookmarkEnd w:id="8"/>
      <w:r w:rsidRPr="00AA5A94">
        <w:rPr>
          <w:rStyle w:val="Italic"/>
        </w:rPr>
        <w:t>Parlamentul European</w:t>
      </w:r>
      <w:r w:rsidRPr="00AA5A94">
        <w:t>,</w:t>
      </w:r>
    </w:p>
    <w:p w:rsidR="00450EE1" w:rsidRPr="00AA5A94" w:rsidRDefault="00450EE1" w:rsidP="00052A42">
      <w:pPr>
        <w:pStyle w:val="NormalHanging12a"/>
      </w:pPr>
      <w:r w:rsidRPr="00AA5A94">
        <w:t>–</w:t>
      </w:r>
      <w:r w:rsidRPr="00AA5A94">
        <w:tab/>
        <w:t>având în vedere articolul 2 și articolul 3 din Tratatul privind Uniunea Europeană,</w:t>
      </w:r>
    </w:p>
    <w:p w:rsidR="00450EE1" w:rsidRPr="00AA5A94" w:rsidRDefault="00450EE1" w:rsidP="00052A42">
      <w:pPr>
        <w:pStyle w:val="NormalHanging12a"/>
      </w:pPr>
      <w:r w:rsidRPr="00AA5A94">
        <w:t>–</w:t>
      </w:r>
      <w:r w:rsidRPr="00AA5A94">
        <w:tab/>
        <w:t>având în vedere articolele 15, 126, 174, 175, 177, 208, 209, 271, 308 și 309 din Tratatul privind funcționarea Uniunii Europene (TFUE) și Protocolul nr. 5 la tratate privind Statutul Băncii Europene de Investiții (BEI),</w:t>
      </w:r>
    </w:p>
    <w:p w:rsidR="00450EE1" w:rsidRPr="00AA5A94" w:rsidRDefault="00450EE1" w:rsidP="00052A42">
      <w:pPr>
        <w:pStyle w:val="NormalHanging12a"/>
      </w:pPr>
      <w:r w:rsidRPr="00AA5A94">
        <w:t>–</w:t>
      </w:r>
      <w:r w:rsidRPr="00AA5A94">
        <w:tab/>
        <w:t>având în vedere articolele 41-43 din Tratatul de instituire a Comunității Europene a Energiei Atomice,</w:t>
      </w:r>
    </w:p>
    <w:p w:rsidR="00450EE1" w:rsidRPr="00AA5A94" w:rsidRDefault="00450EE1" w:rsidP="00052A42">
      <w:pPr>
        <w:pStyle w:val="NormalHanging12a"/>
      </w:pPr>
      <w:r w:rsidRPr="00AA5A94">
        <w:t>–</w:t>
      </w:r>
      <w:r w:rsidRPr="00AA5A94">
        <w:tab/>
        <w:t>având în vedere comunicatul de presă al BEI din 7 octombrie 2016, în care aprobă ratificarea Acordului de la Paris de către UE,</w:t>
      </w:r>
    </w:p>
    <w:p w:rsidR="00450EE1" w:rsidRPr="00AA5A94" w:rsidRDefault="00450EE1" w:rsidP="00052A42">
      <w:pPr>
        <w:pStyle w:val="NormalHanging12a"/>
      </w:pPr>
      <w:r w:rsidRPr="00AA5A94">
        <w:t>–</w:t>
      </w:r>
      <w:r w:rsidRPr="00AA5A94">
        <w:tab/>
        <w:t>având în vedere Raportul de activitate pe 2022 privind evaluarea operațiunilor BEI și programul de lucru în perioada 2023-2025, publicat la 3 martie 2023,</w:t>
      </w:r>
    </w:p>
    <w:p w:rsidR="00450EE1" w:rsidRPr="00AA5A94" w:rsidRDefault="00450EE1" w:rsidP="00052A42">
      <w:pPr>
        <w:pStyle w:val="NormalHanging12a"/>
      </w:pPr>
      <w:r w:rsidRPr="00AA5A94">
        <w:t>–</w:t>
      </w:r>
      <w:r w:rsidRPr="00AA5A94">
        <w:tab/>
        <w:t>având în vedere procedurile Grupului BEI pentru mecanismul de depunere a plângerilor, publicate la 13 noiembrie 2018,</w:t>
      </w:r>
    </w:p>
    <w:p w:rsidR="00450EE1" w:rsidRPr="00AA5A94" w:rsidRDefault="00450EE1" w:rsidP="00052A42">
      <w:pPr>
        <w:pStyle w:val="NormalHanging12a"/>
      </w:pPr>
      <w:r w:rsidRPr="00AA5A94">
        <w:t>–</w:t>
      </w:r>
      <w:r w:rsidRPr="00AA5A94">
        <w:tab/>
        <w:t>având în vedere publicația BEI intitulată „Politica BEI de creditare în domeniul energiei”, publicată la 8 mai 2023,</w:t>
      </w:r>
    </w:p>
    <w:p w:rsidR="00450EE1" w:rsidRPr="00AA5A94" w:rsidRDefault="00450EE1" w:rsidP="00052A42">
      <w:pPr>
        <w:pStyle w:val="NormalHanging12a"/>
      </w:pPr>
      <w:r w:rsidRPr="00AA5A94">
        <w:t>–</w:t>
      </w:r>
      <w:r w:rsidRPr="00AA5A94">
        <w:tab/>
        <w:t>având în vedere Foaia de parcurs a Băncii pentru climă a Grupului BEI pentru 2021-2025 a Grupului BEI, adoptată de Consiliul de administrație al BEI la 11 noiembrie 2020 și noua strategie a BEI privind clima din 15 noiembrie 2020,</w:t>
      </w:r>
    </w:p>
    <w:p w:rsidR="00450EE1" w:rsidRPr="00AA5A94" w:rsidRDefault="00450EE1" w:rsidP="00052A42">
      <w:pPr>
        <w:pStyle w:val="NormalHanging12a"/>
      </w:pPr>
      <w:r w:rsidRPr="00AA5A94">
        <w:t>–</w:t>
      </w:r>
      <w:r w:rsidRPr="00AA5A94">
        <w:tab/>
        <w:t>având în vedere Planul de operațiuni 2023-2025 al Grupului BEI, publicat la 2 februarie 2023,</w:t>
      </w:r>
    </w:p>
    <w:p w:rsidR="00450EE1" w:rsidRPr="00AA5A94" w:rsidRDefault="00450EE1" w:rsidP="00052A42">
      <w:pPr>
        <w:pStyle w:val="NormalHanging12a"/>
      </w:pPr>
      <w:r w:rsidRPr="00AA5A94">
        <w:t>–</w:t>
      </w:r>
      <w:r w:rsidRPr="00AA5A94">
        <w:tab/>
        <w:t>având în vedere raportul BEI privind investițiile 2022/2023 intitulat „Resilience and Renewal in Europe” (Reziliența și reînnoirea în Europa), publicat la 28 februarie 2023,</w:t>
      </w:r>
    </w:p>
    <w:p w:rsidR="00450EE1" w:rsidRPr="00AA5A94" w:rsidRDefault="00450EE1" w:rsidP="00052A42">
      <w:pPr>
        <w:pStyle w:val="NormalHanging12a"/>
      </w:pPr>
      <w:r w:rsidRPr="00AA5A94">
        <w:lastRenderedPageBreak/>
        <w:t>–</w:t>
      </w:r>
      <w:r w:rsidRPr="00AA5A94">
        <w:tab/>
        <w:t>având în vedere raportul de activitate pe 2022 al Grupului BEI intitulat „O Europă sigură”, publicat la 2 februarie 2023,</w:t>
      </w:r>
    </w:p>
    <w:p w:rsidR="00450EE1" w:rsidRPr="00AA5A94" w:rsidRDefault="00450EE1" w:rsidP="00052A42">
      <w:pPr>
        <w:pStyle w:val="NormalHanging12a"/>
      </w:pPr>
      <w:r w:rsidRPr="00AA5A94">
        <w:t>–</w:t>
      </w:r>
      <w:r w:rsidRPr="00AA5A94">
        <w:tab/>
        <w:t>având în vedere raportul de sinteză pe 2023 al Grupului BEI privind acțiunea pentru climă și sustenabilitatea ecologică, publicat la 2 februarie 2023,</w:t>
      </w:r>
    </w:p>
    <w:p w:rsidR="00450EE1" w:rsidRPr="00AA5A94" w:rsidRDefault="00450EE1" w:rsidP="00052A42">
      <w:pPr>
        <w:pStyle w:val="NormalHanging12a"/>
      </w:pPr>
      <w:r w:rsidRPr="00AA5A94">
        <w:t>–</w:t>
      </w:r>
      <w:r w:rsidRPr="00AA5A94">
        <w:tab/>
        <w:t>având în vedere „Cadrul de mediu al BEI”, publicat la 14 noiembrie 2022,</w:t>
      </w:r>
    </w:p>
    <w:p w:rsidR="00450EE1" w:rsidRPr="00AA5A94" w:rsidRDefault="00450EE1" w:rsidP="00052A42">
      <w:pPr>
        <w:pStyle w:val="NormalHanging12a"/>
      </w:pPr>
      <w:r w:rsidRPr="00AA5A94">
        <w:t>–</w:t>
      </w:r>
      <w:r w:rsidRPr="00AA5A94">
        <w:tab/>
        <w:t>având în vedere raportul pe 2022 al Grupului BEI privind guvernanța corporatistă, publicat la 8 septembrie 2023,</w:t>
      </w:r>
    </w:p>
    <w:p w:rsidR="00450EE1" w:rsidRPr="00AA5A94" w:rsidRDefault="00450EE1" w:rsidP="00052A42">
      <w:pPr>
        <w:pStyle w:val="NormalHanging12a"/>
      </w:pPr>
      <w:r w:rsidRPr="00AA5A94">
        <w:t>–</w:t>
      </w:r>
      <w:r w:rsidRPr="00AA5A94">
        <w:tab/>
        <w:t>având în vedere publicația BEI din 29 noiembrie 2023 intitulată „Foaia de parcurs a BEI Global: Finanțarea UE pentru un viitor durabil”,</w:t>
      </w:r>
    </w:p>
    <w:p w:rsidR="00450EE1" w:rsidRPr="00AA5A94" w:rsidRDefault="00450EE1" w:rsidP="00052A42">
      <w:pPr>
        <w:pStyle w:val="NormalHanging12a"/>
      </w:pPr>
      <w:r w:rsidRPr="00AA5A94">
        <w:t>–</w:t>
      </w:r>
      <w:r w:rsidRPr="00AA5A94">
        <w:tab/>
        <w:t>având în vedere abordarea BEI Global privind o tranziție justă și o reziliență justă, publicată la 27 noiembrie 2023,</w:t>
      </w:r>
    </w:p>
    <w:p w:rsidR="00450EE1" w:rsidRPr="00AA5A94" w:rsidRDefault="00450EE1" w:rsidP="00052A42">
      <w:pPr>
        <w:pStyle w:val="NormalHanging12a"/>
      </w:pPr>
      <w:r w:rsidRPr="00AA5A94">
        <w:t>–</w:t>
      </w:r>
      <w:r w:rsidRPr="00AA5A94">
        <w:tab/>
        <w:t>având în vedere raportul de informare al Grupului BEI privind gestionarea riscurilor pe 2022, publicat la 9 august 2023,</w:t>
      </w:r>
    </w:p>
    <w:p w:rsidR="00450EE1" w:rsidRPr="00AA5A94" w:rsidRDefault="00450EE1" w:rsidP="00052A42">
      <w:pPr>
        <w:pStyle w:val="NormalHanging12a"/>
      </w:pPr>
      <w:r w:rsidRPr="00AA5A94">
        <w:t>–</w:t>
      </w:r>
      <w:r w:rsidRPr="00AA5A94">
        <w:tab/>
        <w:t>având în vedere Ancheta BEI privind clima pentru perioada 2022-2023,</w:t>
      </w:r>
    </w:p>
    <w:p w:rsidR="00450EE1" w:rsidRPr="00AA5A94" w:rsidRDefault="00450EE1" w:rsidP="00052A42">
      <w:pPr>
        <w:pStyle w:val="NormalHanging12a"/>
      </w:pPr>
      <w:r w:rsidRPr="00AA5A94">
        <w:t>–</w:t>
      </w:r>
      <w:r w:rsidRPr="00AA5A94">
        <w:tab/>
        <w:t>având în vedere Cadrul Grupului BEI pentru sustenabilitatea ecologică și socială, intitulat „Politica de mediu și socială a Grupului BEI”, adoptat la 2 februarie 2022,</w:t>
      </w:r>
    </w:p>
    <w:p w:rsidR="00450EE1" w:rsidRPr="00AA5A94" w:rsidRDefault="00450EE1" w:rsidP="00052A42">
      <w:pPr>
        <w:pStyle w:val="NormalHanging12a"/>
      </w:pPr>
      <w:r w:rsidRPr="00AA5A94">
        <w:t>–</w:t>
      </w:r>
      <w:r w:rsidRPr="00AA5A94">
        <w:tab/>
        <w:t>având în vedere publicația BEI din 10 februarie 2023 intitulată „BEI Global – parteneriat, oameni, impact”,</w:t>
      </w:r>
    </w:p>
    <w:p w:rsidR="00450EE1" w:rsidRPr="00AA5A94" w:rsidRDefault="00450EE1" w:rsidP="00052A42">
      <w:pPr>
        <w:pStyle w:val="NormalHanging12a"/>
      </w:pPr>
      <w:r w:rsidRPr="00AA5A94">
        <w:t>–</w:t>
      </w:r>
      <w:r w:rsidRPr="00AA5A94">
        <w:tab/>
        <w:t>având în vedere abordarea BEI privind drepturile omului, publicată la 6 februarie 2023,</w:t>
      </w:r>
    </w:p>
    <w:p w:rsidR="00450EE1" w:rsidRPr="00AA5A94" w:rsidRDefault="00450EE1" w:rsidP="00052A42">
      <w:pPr>
        <w:pStyle w:val="NormalHanging12a"/>
      </w:pPr>
      <w:r w:rsidRPr="00AA5A94">
        <w:t>–</w:t>
      </w:r>
      <w:r w:rsidRPr="00AA5A94">
        <w:tab/>
        <w:t>având în vedere raportul BEI din 29 iunie 2023 intitulat „Activitățile Grupului BEI în regiunile de coeziune ale UE în 2022”,</w:t>
      </w:r>
    </w:p>
    <w:p w:rsidR="00450EE1" w:rsidRPr="00AA5A94" w:rsidRDefault="00450EE1" w:rsidP="00052A42">
      <w:pPr>
        <w:pStyle w:val="NormalHanging12a"/>
      </w:pPr>
      <w:r w:rsidRPr="00AA5A94">
        <w:t>–</w:t>
      </w:r>
      <w:r w:rsidRPr="00AA5A94">
        <w:tab/>
        <w:t>având în vedere strategia Grupului BEI privind egalitatea de gen și împuternicirea economică a femeilor, precum și planul său de acțiune privind genurile,</w:t>
      </w:r>
    </w:p>
    <w:p w:rsidR="00450EE1" w:rsidRPr="00AA5A94" w:rsidRDefault="00450EE1" w:rsidP="00052A42">
      <w:pPr>
        <w:pStyle w:val="NormalHanging12a"/>
      </w:pPr>
      <w:r w:rsidRPr="00AA5A94">
        <w:t>–</w:t>
      </w:r>
      <w:r w:rsidRPr="00AA5A94">
        <w:tab/>
        <w:t>având în vedere codul de conduită al personalului Grupului BEI, publicat la 3 februarie 2023,</w:t>
      </w:r>
    </w:p>
    <w:p w:rsidR="00450EE1" w:rsidRPr="00AA5A94" w:rsidRDefault="00450EE1" w:rsidP="00052A42">
      <w:pPr>
        <w:pStyle w:val="NormalHanging12a"/>
      </w:pPr>
      <w:r w:rsidRPr="00AA5A94">
        <w:t>–</w:t>
      </w:r>
      <w:r w:rsidRPr="00AA5A94">
        <w:tab/>
        <w:t>având în vedere codul de conduită al Comitetului de audit al Grupului BEI, publicat la 30 noiembrie 2021,</w:t>
      </w:r>
    </w:p>
    <w:p w:rsidR="00450EE1" w:rsidRPr="00AA5A94" w:rsidRDefault="00450EE1" w:rsidP="00052A42">
      <w:pPr>
        <w:pStyle w:val="NormalHanging12a"/>
      </w:pPr>
      <w:r w:rsidRPr="00AA5A94">
        <w:t>–</w:t>
      </w:r>
      <w:r w:rsidRPr="00AA5A94">
        <w:tab/>
        <w:t>având în vedere codul de conduită al Comitetului de direcție al Grupului BEI, publicat la 14 octombrie 2021,</w:t>
      </w:r>
    </w:p>
    <w:p w:rsidR="00450EE1" w:rsidRPr="00AA5A94" w:rsidRDefault="00450EE1" w:rsidP="00052A42">
      <w:pPr>
        <w:pStyle w:val="NormalHanging12a"/>
      </w:pPr>
      <w:r w:rsidRPr="00AA5A94">
        <w:t>–</w:t>
      </w:r>
      <w:r w:rsidRPr="00AA5A94">
        <w:tab/>
        <w:t>având în vedere publicația BEI din 27 noiembrie 2023 intitulată „Cadrul PATH al Grupului BEI – Versiunea 1.2 noiembrie 2023 – Sprijinirea contrapărților în demersurile lor de aliniere la Acordul de la Paris”,</w:t>
      </w:r>
    </w:p>
    <w:p w:rsidR="00450EE1" w:rsidRPr="00AA5A94" w:rsidRDefault="00450EE1" w:rsidP="00052A42">
      <w:pPr>
        <w:pStyle w:val="NormalHanging12a"/>
      </w:pPr>
      <w:r w:rsidRPr="00AA5A94">
        <w:t>–</w:t>
      </w:r>
      <w:r w:rsidRPr="00AA5A94">
        <w:tab/>
        <w:t>având în vedere pachetul de solidaritate al BEI pentru Ucraina, aprobat de Consiliul de administrație al BEI la 4 martie 2022,</w:t>
      </w:r>
    </w:p>
    <w:p w:rsidR="00450EE1" w:rsidRPr="00AA5A94" w:rsidRDefault="00450EE1" w:rsidP="00052A42">
      <w:pPr>
        <w:pStyle w:val="NormalHanging12a"/>
      </w:pPr>
      <w:r w:rsidRPr="00AA5A94">
        <w:lastRenderedPageBreak/>
        <w:t>–</w:t>
      </w:r>
      <w:r w:rsidRPr="00AA5A94">
        <w:tab/>
        <w:t>având în vedere comunicarea Comisiei din 20 mai 2020 intitulată „Strategia UE privind biodiversitatea pentru 2030 – Readucerea naturii în viețile noastre” (COM(2020)0380),</w:t>
      </w:r>
    </w:p>
    <w:p w:rsidR="00450EE1" w:rsidRPr="00AA5A94" w:rsidRDefault="00450EE1" w:rsidP="00052A42">
      <w:pPr>
        <w:pStyle w:val="NormalHanging12a"/>
      </w:pPr>
      <w:r w:rsidRPr="00AA5A94">
        <w:t>–</w:t>
      </w:r>
      <w:r w:rsidRPr="00AA5A94">
        <w:tab/>
        <w:t>având în vedere comunicarea Comisiei din 20 mai 2020 intitulată „O Strategie «De la fermă la consumator» pentru un sistem alimentar echitabil, sănătos și ecologic” (COM(2020)0381),</w:t>
      </w:r>
    </w:p>
    <w:p w:rsidR="00450EE1" w:rsidRPr="00AA5A94" w:rsidRDefault="00450EE1" w:rsidP="00052A42">
      <w:pPr>
        <w:pStyle w:val="NormalHanging12a"/>
      </w:pPr>
      <w:r w:rsidRPr="00AA5A94">
        <w:t>–</w:t>
      </w:r>
      <w:r w:rsidRPr="00AA5A94">
        <w:tab/>
        <w:t>având în vedere comunicarea Comisiei din 12 mai 2021 intitulată „Calea către o planetă sănătoasă pentru toți – Plan de acțiune al UE: „Către reducerea la zero a poluării aerului, apei și solului”, (COM(2021)0400),</w:t>
      </w:r>
    </w:p>
    <w:p w:rsidR="00450EE1" w:rsidRPr="00AA5A94" w:rsidRDefault="00450EE1" w:rsidP="00052A42">
      <w:pPr>
        <w:pStyle w:val="NormalHanging12a"/>
      </w:pPr>
      <w:r w:rsidRPr="00AA5A94">
        <w:t>–</w:t>
      </w:r>
      <w:r w:rsidRPr="00AA5A94">
        <w:tab/>
        <w:t>având în vedere comunicarea Comisiei din 1 februarie 2023 intitulată „Un Plan industrial al Pactului verde pentru era cu zero emisii nete” (COM(2023)0062),</w:t>
      </w:r>
    </w:p>
    <w:p w:rsidR="00450EE1" w:rsidRPr="00AA5A94" w:rsidRDefault="00450EE1" w:rsidP="00052A42">
      <w:pPr>
        <w:pStyle w:val="NormalHanging12a"/>
      </w:pPr>
      <w:r w:rsidRPr="00AA5A94">
        <w:t>–</w:t>
      </w:r>
      <w:r w:rsidRPr="00AA5A94">
        <w:tab/>
        <w:t>având în vedere Regulamentul (UE) 2021/1056 al Parlamentului European și al Consiliului din 24 iunie 2021 de instituire a Fondului pentru o tranziție justă</w:t>
      </w:r>
      <w:r w:rsidRPr="00AA5A94">
        <w:rPr>
          <w:rStyle w:val="FootnoteReference"/>
        </w:rPr>
        <w:footnoteReference w:id="1"/>
      </w:r>
      <w:r w:rsidRPr="00AA5A94">
        <w:t>,</w:t>
      </w:r>
    </w:p>
    <w:p w:rsidR="00450EE1" w:rsidRPr="00AA5A94" w:rsidRDefault="00450EE1" w:rsidP="00052A42">
      <w:pPr>
        <w:pStyle w:val="NormalHanging12a"/>
      </w:pPr>
      <w:r w:rsidRPr="00AA5A94">
        <w:t>–</w:t>
      </w:r>
      <w:r w:rsidRPr="00AA5A94">
        <w:tab/>
        <w:t>având în vedere Regulamentul (UE) 2021/1229 al Parlamentului European și al Consiliului din 14 iulie 2021 privind facilitatea de împrumut pentru sectorul public din cadrul Mecanismului pentru o tranziție justă</w:t>
      </w:r>
      <w:r w:rsidRPr="00AA5A94">
        <w:rPr>
          <w:rStyle w:val="FootnoteReference"/>
        </w:rPr>
        <w:footnoteReference w:id="2"/>
      </w:r>
      <w:r w:rsidRPr="00AA5A94">
        <w:t>,</w:t>
      </w:r>
    </w:p>
    <w:p w:rsidR="00450EE1" w:rsidRPr="00AA5A94" w:rsidRDefault="00450EE1" w:rsidP="00052A42">
      <w:pPr>
        <w:pStyle w:val="NormalHanging12a"/>
      </w:pPr>
      <w:r w:rsidRPr="00AA5A94">
        <w:t>–</w:t>
      </w:r>
      <w:r w:rsidRPr="00AA5A94">
        <w:tab/>
        <w:t>având în vedere obiectivele de dezvoltare durabilă ale ONU,</w:t>
      </w:r>
    </w:p>
    <w:p w:rsidR="00450EE1" w:rsidRPr="00AA5A94" w:rsidRDefault="00450EE1" w:rsidP="00052A42">
      <w:pPr>
        <w:pStyle w:val="NormalHanging12a"/>
      </w:pPr>
      <w:r w:rsidRPr="00AA5A94">
        <w:t>–</w:t>
      </w:r>
      <w:r w:rsidRPr="00AA5A94">
        <w:tab/>
        <w:t>având în vedere Acordul tripartit între Comisia Europeană, Curtea Europeană de Conturi și Banca Europeană de Investiții, care a intrat în vigoare în noiembrie 2021,</w:t>
      </w:r>
    </w:p>
    <w:p w:rsidR="00450EE1" w:rsidRPr="00AA5A94" w:rsidRDefault="00450EE1" w:rsidP="00052A42">
      <w:pPr>
        <w:pStyle w:val="NormalHanging12a"/>
      </w:pPr>
      <w:r w:rsidRPr="00AA5A94">
        <w:t>–</w:t>
      </w:r>
      <w:r w:rsidRPr="00AA5A94">
        <w:tab/>
        <w:t>având în vedere scrisoarea Ombudsmanului din 22 iulie 2016 adresată Președintelui BEI cu privire la conflictele de interese și răspunsul Președintelui BEI din 31 ianuarie 2017,</w:t>
      </w:r>
    </w:p>
    <w:p w:rsidR="00450EE1" w:rsidRPr="00AA5A94" w:rsidRDefault="00450EE1" w:rsidP="00052A42">
      <w:pPr>
        <w:pStyle w:val="NormalHanging12a"/>
      </w:pPr>
      <w:r w:rsidRPr="00AA5A94">
        <w:t>–</w:t>
      </w:r>
      <w:r w:rsidRPr="00AA5A94">
        <w:tab/>
        <w:t>având în vedere recomandările Ombudsmanului European emise la 20 noiembrie 2023 în cauza 2252/2022/OAM,</w:t>
      </w:r>
    </w:p>
    <w:p w:rsidR="00450EE1" w:rsidRPr="00AA5A94" w:rsidRDefault="00450EE1" w:rsidP="00052A42">
      <w:pPr>
        <w:pStyle w:val="NormalHanging12a"/>
      </w:pPr>
      <w:r w:rsidRPr="00AA5A94">
        <w:t>–</w:t>
      </w:r>
      <w:r w:rsidRPr="00AA5A94">
        <w:tab/>
        <w:t>având în vedere recomandările Ombudsmanului European emise la 21 aprilie 2022 în cauza 1251/2020/PB,</w:t>
      </w:r>
    </w:p>
    <w:p w:rsidR="00450EE1" w:rsidRPr="00AA5A94" w:rsidRDefault="00450EE1" w:rsidP="00052A42">
      <w:pPr>
        <w:pStyle w:val="NormalHanging12a"/>
      </w:pPr>
      <w:r w:rsidRPr="00AA5A94">
        <w:t>–</w:t>
      </w:r>
      <w:r w:rsidRPr="00AA5A94">
        <w:tab/>
        <w:t>având în vedere recomandările Ombudsmanului European emise la 27 iulie 2022 în cauza 1016/2021/KR,</w:t>
      </w:r>
    </w:p>
    <w:p w:rsidR="00450EE1" w:rsidRPr="00AA5A94" w:rsidRDefault="00450EE1" w:rsidP="00052A42">
      <w:pPr>
        <w:pStyle w:val="NormalHanging12a"/>
      </w:pPr>
      <w:r w:rsidRPr="00AA5A94">
        <w:t>–</w:t>
      </w:r>
      <w:r w:rsidRPr="00AA5A94">
        <w:tab/>
        <w:t>având în vedere articolul 54 din Regulamentul său de procedură,</w:t>
      </w:r>
    </w:p>
    <w:p w:rsidR="00450EE1" w:rsidRPr="00AA5A94" w:rsidRDefault="00450EE1" w:rsidP="00052A42">
      <w:pPr>
        <w:pStyle w:val="NormalHanging12a"/>
      </w:pPr>
      <w:r w:rsidRPr="00AA5A94">
        <w:t>–</w:t>
      </w:r>
      <w:r w:rsidRPr="00AA5A94">
        <w:tab/>
        <w:t>având în vedere raportul Comisiei pentru bugete (A9-0031/2024),</w:t>
      </w:r>
    </w:p>
    <w:p w:rsidR="00450EE1" w:rsidRPr="00AA5A94" w:rsidRDefault="00450EE1" w:rsidP="00052A42">
      <w:pPr>
        <w:pStyle w:val="NormalHanging12a"/>
      </w:pPr>
      <w:r w:rsidRPr="00AA5A94">
        <w:t>A.</w:t>
      </w:r>
      <w:r w:rsidRPr="00AA5A94">
        <w:tab/>
        <w:t>întrucât Grupul BEI este format din Banca Europeană de Investiții (BEI) și Fondul European de Investiții (FEI) și este cea mai mare instituție financiară multilaterală din lume și unul dintre cei mai mari furnizori de finanțare a combaterii schimbărilor climatice, care își desfășoară activitatea pe piețele internaționale de capital, oferind clienților condiții competitive și condiții favorabile pentru a sprijini politicile și proiectele UE, atât din Uniune, cât și din afara acesteia;</w:t>
      </w:r>
    </w:p>
    <w:p w:rsidR="00450EE1" w:rsidRPr="00AA5A94" w:rsidRDefault="00450EE1" w:rsidP="00052A42">
      <w:pPr>
        <w:widowControl/>
        <w:spacing w:after="240"/>
        <w:ind w:left="567" w:hanging="567"/>
      </w:pPr>
      <w:r w:rsidRPr="00AA5A94">
        <w:lastRenderedPageBreak/>
        <w:t>B.</w:t>
      </w:r>
      <w:r w:rsidRPr="00AA5A94">
        <w:tab/>
        <w:t>întrucât, în temeiul articolului 309 din TFUE, BEI are sarcina de a contribui la realizarea obiectivelor UE;</w:t>
      </w:r>
    </w:p>
    <w:p w:rsidR="00450EE1" w:rsidRPr="00AA5A94" w:rsidRDefault="00450EE1" w:rsidP="00052A42">
      <w:pPr>
        <w:widowControl/>
        <w:spacing w:after="240"/>
        <w:ind w:left="567" w:hanging="567"/>
      </w:pPr>
      <w:r w:rsidRPr="00AA5A94">
        <w:t>C.</w:t>
      </w:r>
      <w:r w:rsidRPr="00AA5A94">
        <w:tab/>
        <w:t>întrucât, pentru a atinge obiectivele climatice ale UE, sunt necesare investiții de o mie de miliarde EUR pe an în UE; întrucât BEI poate contribui la reducerea decalajului prin atragerea de capital privat,</w:t>
      </w:r>
    </w:p>
    <w:p w:rsidR="00450EE1" w:rsidRPr="00AA5A94" w:rsidRDefault="00450EE1" w:rsidP="00052A42">
      <w:pPr>
        <w:pStyle w:val="NormalHanging12a"/>
      </w:pPr>
      <w:r w:rsidRPr="00AA5A94">
        <w:t>D.</w:t>
      </w:r>
      <w:r w:rsidRPr="00AA5A94">
        <w:tab/>
        <w:t>întrucât, în perioada 2021-2027, se preconizează că garanția InvestEU în valoare de 26,2 miliarde EUR, cu provizionare din cadrul financiar multianual și NextGenerationEU, va mobiliza investiții private și publice suplimentare de peste 372 de miliarde EUR în Europa, în special pentru infrastructura sustenabilă, cercetare, inovare și digitalizare, întreprinderi mici și mijlocii (IMM), precum și pentru investiții sociale și competențe;</w:t>
      </w:r>
    </w:p>
    <w:p w:rsidR="00450EE1" w:rsidRPr="00AA5A94" w:rsidRDefault="00450EE1" w:rsidP="00052A42">
      <w:pPr>
        <w:pStyle w:val="NormalHanging12a"/>
      </w:pPr>
      <w:r w:rsidRPr="00AA5A94">
        <w:rPr>
          <w:b/>
          <w:i/>
        </w:rPr>
        <w:t>Prezentare generală a politicilor și a operațiunilor</w:t>
      </w:r>
    </w:p>
    <w:p w:rsidR="00450EE1" w:rsidRPr="00AA5A94" w:rsidRDefault="00450EE1" w:rsidP="00052A42">
      <w:pPr>
        <w:pStyle w:val="NormalHanging12a"/>
      </w:pPr>
      <w:r w:rsidRPr="00AA5A94">
        <w:t>1.</w:t>
      </w:r>
      <w:r w:rsidRPr="00AA5A94">
        <w:tab/>
        <w:t>reiterează rolul important jucat de BEI în calitate de bancă publică a UE și de unică instituție financiară internațională deținută în întregime de statele membre, ghidată pe deplin de politicile UE și supusă standardelor juridice ale UE, cu scopul de a sprijini redresarea socială și economică și de a direcționa investițiile necesare pentru îndeplinirea obiectivelor Uniunii;</w:t>
      </w:r>
    </w:p>
    <w:p w:rsidR="00450EE1" w:rsidRPr="00AA5A94" w:rsidRDefault="00450EE1" w:rsidP="00052A42">
      <w:pPr>
        <w:pStyle w:val="NormalHanging12a"/>
      </w:pPr>
      <w:r w:rsidRPr="00AA5A94">
        <w:t>2.</w:t>
      </w:r>
      <w:r w:rsidRPr="00AA5A94">
        <w:tab/>
        <w:t>apreciază faptul că BEI este întotdeauna pregătită să se adapteze și să se reinventeze în conformitate cu cerințele de politică ale UE, respectând în același timp obiectivele sale pe termen lung;</w:t>
      </w:r>
    </w:p>
    <w:p w:rsidR="00450EE1" w:rsidRPr="00AA5A94" w:rsidRDefault="00450EE1" w:rsidP="00052A42">
      <w:pPr>
        <w:pStyle w:val="NormalHanging12a"/>
      </w:pPr>
      <w:r w:rsidRPr="00AA5A94">
        <w:t>3.</w:t>
      </w:r>
      <w:r w:rsidRPr="00AA5A94">
        <w:tab/>
        <w:t>solicită din nou o majorare de capital pentru a permite BEI să ofere un sprijin financiar rambursabil pe termen lung și instrumente inovatoare; constată că acest lucru este necesar pentru o creștere sustenabilă echitabilă și favorabilă incluziunii în sprijinul investițiilor esențiale în economia reală care altfel nu ar fi realizate și care au potențialul de a maximiza câștigurile în materie de inovare în domenii-cheie de politică ale UE, cum ar fi digitalizarea și tranziția verde; observă că aceste investiții ar trebui să contribuie la atenuarea constrângerilor asupra competitivității, cum ar fi prețurile ridicate la energie, lacunele în materie de competențe și investițiile insuficiente în inovare și în noile tehnologii, și să contribuie la punerea în aplicare a Pilonului european al drepturilor sociale și a obiectivelor de dezvoltare durabilă ale ONU; se așteaptă ca BEI să se asigure că finanțarea sa contribuie la remedierea disfuncționalităților pieței, evită efectele de excludere și are un impact măsurabil, fără a compromite atractivitatea globală a ofertei sale financiare;</w:t>
      </w:r>
    </w:p>
    <w:p w:rsidR="00450EE1" w:rsidRPr="00AA5A94" w:rsidRDefault="00450EE1" w:rsidP="00052A42">
      <w:pPr>
        <w:pStyle w:val="NormalHanging12a"/>
      </w:pPr>
      <w:r w:rsidRPr="00AA5A94">
        <w:t>4.</w:t>
      </w:r>
      <w:r w:rsidRPr="00AA5A94">
        <w:tab/>
        <w:t>subliniază că BEI trebuie să își mențină ratingul de credit AAA și să păstreze încrederea deplină a piețelor de capital în activitățile sale;</w:t>
      </w:r>
    </w:p>
    <w:p w:rsidR="00450EE1" w:rsidRPr="00AA5A94" w:rsidRDefault="00450EE1" w:rsidP="00052A42">
      <w:pPr>
        <w:pStyle w:val="NormalHanging12a"/>
      </w:pPr>
      <w:r w:rsidRPr="00AA5A94">
        <w:t>5.</w:t>
      </w:r>
      <w:r w:rsidRPr="00AA5A94">
        <w:tab/>
        <w:t>observă că finanțarea BEI joacă un rol din ce în ce mai important în contextul consecințelor sociale și economice considerabile care decurg din criza provocată de pandemia de COVID-19, urmată de invadarea Ucrainei, în special inflația, ratele ridicate ale dobânzilor și finanțele publice tensionate; ia act, de asemenea, de rolul mai important pe care îl joacă finanțarea BEI în contextul unor perspective economice dificile și al creșterii concurenței la nivel mondial, care au, de asemenea, un impact asupra proiectelor în curs;</w:t>
      </w:r>
    </w:p>
    <w:p w:rsidR="00450EE1" w:rsidRPr="00AA5A94" w:rsidRDefault="00450EE1" w:rsidP="00052A42">
      <w:pPr>
        <w:pStyle w:val="NormalHanging12a"/>
      </w:pPr>
      <w:r w:rsidRPr="00AA5A94">
        <w:lastRenderedPageBreak/>
        <w:t>6.</w:t>
      </w:r>
      <w:r w:rsidRPr="00AA5A94">
        <w:tab/>
        <w:t>consideră că BEI ar putea să depună mai multe eforturi pentru a întări echilibrul sectorial și a se adapta la diversitatea regională a UE cu scopul de a crește atractivitatea fondurilor sale; invită BEI să remedieze deficiențele sistemice care împiedică anumite regiuni sau țări să beneficieze pe deplin de activitățile sale financiare, respectând în același timp natura bazată pe cerere a operațiunilor de finanțare ale BEI; invită Comisia să evalueze dacă distribuția geografică a finanțării în cadrul InvestEU este echilibrată, în special în ceea ce privește statele membre mai mici;</w:t>
      </w:r>
    </w:p>
    <w:p w:rsidR="00450EE1" w:rsidRPr="00AA5A94" w:rsidRDefault="00450EE1" w:rsidP="00052A42">
      <w:pPr>
        <w:pStyle w:val="NormalHanging12a"/>
      </w:pPr>
      <w:r w:rsidRPr="00AA5A94">
        <w:t>7.</w:t>
      </w:r>
      <w:r w:rsidRPr="00AA5A94">
        <w:tab/>
        <w:t>invită BEI să sprijine proiectele care contribuie la punerea în aplicare a Pilonului european al drepturilor sociale și a obiectivelor de dezvoltare durabilă ale ONU și care consolidează incluziunea socială și reducerea inegalităților în conformitate cu standardele sociale și de mediu; invită BEI să își extindă rolul în evaluarea și eliminarea decalajelor în materie de investiții în infrastructură socială și protecție socială, precum locuințele sociale accesibile ca preț și eficiente din punct de vedere energetic, sistemele publice de sănătate, utilitățile, transportul public, transportul sustenabil, cultura și educația, asigurând, în același timp, adiționalitatea și complementaritatea cu alte fonduri publice și cu creditorii comerciali; invită BEI să mărească ponderea beneficiilor sociale în evaluările proiectelor pentru a oferi soluții accesibile pe termen lung, în contextul unei crize a costului vieții și al provocărilor cu care se confruntă gospodăriile din Uniunea Europeană ca urmare a perspectivelor economice generale; solicită BEI să mărească gradul de asumare a riscurilor pentru proiectele care furnizează servicii esențiale cu beneficii clare și măsurabile pe termen lung; invită BEI să acorde prioritate financiară proiectelor la care participă persoane vulnerabile sau marginalizate, în special tineri, și proiectelor conduse de cetățeni, ori de câte ori este posibil;</w:t>
      </w:r>
    </w:p>
    <w:p w:rsidR="00450EE1" w:rsidRPr="00AA5A94" w:rsidRDefault="00450EE1" w:rsidP="00F466FE">
      <w:pPr>
        <w:pStyle w:val="Normal12a24b"/>
        <w:widowControl/>
        <w:spacing w:before="0"/>
        <w:rPr>
          <w:rStyle w:val="BoldItalic"/>
          <w:snapToGrid/>
          <w:lang w:eastAsia="en-GB"/>
        </w:rPr>
      </w:pPr>
      <w:r w:rsidRPr="00AA5A94">
        <w:rPr>
          <w:rStyle w:val="BoldItalic"/>
        </w:rPr>
        <w:t>Banca pentru climă a UE obiectivele de combatere a schimbărilor climatice și de durabilitate a mediului</w:t>
      </w:r>
    </w:p>
    <w:p w:rsidR="00450EE1" w:rsidRPr="00AA5A94" w:rsidRDefault="00450EE1" w:rsidP="00052A42">
      <w:pPr>
        <w:pStyle w:val="NormalHanging12a"/>
      </w:pPr>
      <w:r w:rsidRPr="00AA5A94">
        <w:t>8.</w:t>
      </w:r>
      <w:r w:rsidRPr="00AA5A94">
        <w:tab/>
        <w:t>ia act de constatările din raportul BEI privind investițiile 2022/2023 intitulat „Reziliența și reînnoirea în Europa”, care analizează investițiile în acțiunile climatice în întreaga UE și lacunele în materie de investiții din diferite sectoare; ia act, de asemenea, de Planul de operațiuni 2023-2025 al Grupului BEI, care confirmă alinierea BEI la prioritățile politice ale UE și angajamentul său de a-și mări nivelul de ambiție în ceea ce privește tranziția verde și tranziția digitală; invită Comisia să elaboreze o metodă de evaluare a deficitului de finanțare ecologică în UE și să evalueze rolul potențial al BEI în reducerea acestui deficit;</w:t>
      </w:r>
    </w:p>
    <w:p w:rsidR="00450EE1" w:rsidRPr="00AA5A94" w:rsidRDefault="00450EE1" w:rsidP="00052A42">
      <w:pPr>
        <w:pStyle w:val="NormalHanging12a"/>
      </w:pPr>
      <w:r w:rsidRPr="00AA5A94">
        <w:t>9.</w:t>
      </w:r>
      <w:r w:rsidRPr="00AA5A94">
        <w:tab/>
        <w:t>reamintește că BEI este cel mai mare emitent de obligațiuni ecologice în valute multiple din lume; subliniază că creșterea ponderii obligațiunilor exprimate în euro ar conferi un rol internațional și mai proeminent monedei euro;</w:t>
      </w:r>
    </w:p>
    <w:p w:rsidR="00450EE1" w:rsidRPr="00AA5A94" w:rsidRDefault="00450EE1" w:rsidP="00052A42">
      <w:pPr>
        <w:pStyle w:val="NormalHanging12a"/>
      </w:pPr>
      <w:r w:rsidRPr="00AA5A94">
        <w:t>10.</w:t>
      </w:r>
      <w:r w:rsidRPr="00AA5A94">
        <w:tab/>
        <w:t>reamintește că tranziția verde trebuie să fie favorabilă incluziunii și echitabilă și că investițiile verzi trebuie să fie viabile și se așteaptă, astfel, ca BEI să își mobilizeze împrumuturile, instrumentele financiare, asistența tehnică și serviciile de consiliere pentru a sprijini cetățenii și întreprinderile care se confruntă cu provocări socioeconomice care decurg din eforturile lor de a realiza neutralitatea climatică până cel târziu în 2050; invită BEI să sprijine proiecte care oferă acces la prețuri accesibile la energie din surse regenerabile, locuințe și servicii publice, inițiative coordonate de comunități și proiecte mici, cu un accent deosebit asupra combaterii sărăciei energetice în mod prioritar;</w:t>
      </w:r>
    </w:p>
    <w:p w:rsidR="00450EE1" w:rsidRPr="00AA5A94" w:rsidRDefault="00450EE1" w:rsidP="00052A42">
      <w:pPr>
        <w:pStyle w:val="NormalHanging12a"/>
      </w:pPr>
      <w:r w:rsidRPr="00AA5A94">
        <w:lastRenderedPageBreak/>
        <w:t>11.</w:t>
      </w:r>
      <w:r w:rsidRPr="00AA5A94">
        <w:tab/>
        <w:t>salută faptul că BEI și-a îndeplinit deja obiectivul de a aloca cel puțin jumătate din resursele sale acțiunilor climatice și sustenabilității mediului și că este pe cale să își îndeplinească obiectivul de a sprijini investiții verzi în valoare de o mie de miliarde EUR până în 2030; se așteaptă ca revizuirea foii de parcurs a Băncii pentru climă în 2024 să alinieze pe deplin BEI la traiectoria de 1,5 grade și la obiectivul neutralității climatice până cel târziu în 2050, asigurând în același timp o tranziție justă pentru toți; consideră că criteriul de referință ar trebui să fie cele mai ambițioase practici bancare publice; își reiterează apelul de a include o evaluare solidă a alternativelor cu emisii mai scăzute de dioxid de carbon și a emisiilor „din domeniul de aplicare 3” pentru fiecare proiect;</w:t>
      </w:r>
    </w:p>
    <w:p w:rsidR="00450EE1" w:rsidRPr="00AA5A94" w:rsidRDefault="00450EE1" w:rsidP="00052A42">
      <w:pPr>
        <w:pStyle w:val="NormalHanging12a"/>
      </w:pPr>
      <w:r w:rsidRPr="00AA5A94">
        <w:t>12.</w:t>
      </w:r>
      <w:r w:rsidRPr="00AA5A94">
        <w:tab/>
        <w:t xml:space="preserve">salută cadrul de aliniere la Acordul de la Paris pentru contrapărți (PATH) și se așteaptă să fie pus pe deplin în aplicare, atât în ceea ce privește maximizarea reducerii emisiilor, cât și consolidarea rezilienței la schimbările climatice; ia act de răspunsul BEI la situația energetică de urgență din UE prin adaptarea PATH; se așteaptă ca derogările acordate în temeiul PATH în sprijinul REPowerEU să fie excepționale, temporare și pe deplin justificate pentru a putea accelera tranziția verde și a pune capăt dependenței Europei de importurile de combustibili fosili, inclusiv din Rusia; felicită, în acest context, mărirea sprijinului BEI pentru planul REPowerEU cu o sumă de 45 de miliarde EUR în următorii ani sub formă de împrumuturi și finanțare prin participare la capital pentru proiecte din domenii precum sursele regenerabile de energie, eficiența energetică, rețelele și stocarea, infrastructura de încărcare a vehiculelor electrice și tehnologiile revoluționare; </w:t>
      </w:r>
    </w:p>
    <w:p w:rsidR="00450EE1" w:rsidRPr="00AA5A94" w:rsidRDefault="00450EE1" w:rsidP="00052A42">
      <w:pPr>
        <w:pStyle w:val="NormalHanging12a"/>
      </w:pPr>
      <w:r w:rsidRPr="00AA5A94">
        <w:t>13.</w:t>
      </w:r>
      <w:r w:rsidRPr="00AA5A94">
        <w:tab/>
        <w:t>reamintește că toți clienții corporativi ai finanțării BEI au obligația contractuală de a crea și de a publica o strategie credibilă de aliniere la Acordul de la Paris („planuri de decarbonizare”), care să cuprindă obiective evolutive și cantitative de reducere a emisiilor pe termen mediu și opțiuni pe o perioadă mai lungă de timp pentru a atinge neutralitatea climatică cel târziu până în 2050; se așteaptă ca BEI să evalueze sistematic credibilitatea acestor planuri, aplicând criterii de decarbonizare compatibile cu ținta de 1,5 grade înainte de a semna orice nou angajament financiar; îndeamnă încă o dată BEI să colaboreze numai cu intermediari financiari care au un plan credibil de decarbonizare, inclusiv obiective pe termen scurt compatibile cu ținta de 1,5 grade, care va fi pusă în practică cât mai curând posibil, cel târziu până în 2025; subliniază că aceste noi cerințe nu trebuie să fie în detrimentul accesului la finanțare al IMM-urilor;</w:t>
      </w:r>
    </w:p>
    <w:p w:rsidR="00450EE1" w:rsidRPr="00AA5A94" w:rsidRDefault="00450EE1" w:rsidP="00052A42">
      <w:pPr>
        <w:pStyle w:val="NormalHanging12a"/>
      </w:pPr>
      <w:r w:rsidRPr="00AA5A94">
        <w:t>14.</w:t>
      </w:r>
      <w:r w:rsidRPr="00AA5A94">
        <w:tab/>
        <w:t>subliniază rolul-cheie al BEI în asigurarea unei tranziții juste; invită BEI să reducă valoarea minimă a împrumuturilor pentru proiectele individuale sau schemele de împrumuturi care contribuie la tranziția justă; încurajează BEI să intensifice cooperarea cu instituțiile financiare naționale și regionale pentru a furniza finanțare adaptată nevoilor; invită BEI să contribuie la realizarea obiectivelor UE privind egalitatea între femei și bărbați în acest context; salută implicarea BEI în Mecanismul pentru o tranziție justă al UE pentru a aborda impactul socioeconomic al tranziției către o economie cu zero emisii nete de dioxid de carbon și pentru a genera noi oportunități de dezvoltare durabilă în regiunile eligibile;</w:t>
      </w:r>
    </w:p>
    <w:p w:rsidR="00450EE1" w:rsidRPr="00AA5A94" w:rsidRDefault="00450EE1" w:rsidP="00052A42">
      <w:pPr>
        <w:pStyle w:val="NormalHanging12a"/>
      </w:pPr>
      <w:r w:rsidRPr="00AA5A94">
        <w:t>15.</w:t>
      </w:r>
      <w:r w:rsidRPr="00AA5A94">
        <w:tab/>
        <w:t xml:space="preserve">invită BEI să își adapteze activitățile de reducere a riscurilor pentru a orienta finanțarea privată către proiecte care au un nivel ridicat de adiționalitate și contribuie la o tranziție justă, fără a pune în pericol viabilitatea comercială a portofoliului său; invită BEI să tragă învățăminte din implementarea unor produse precum fondurile pentru climă și infrastructură, inclusiv relevanța capitalurilor proprii intermediate și nevoia de </w:t>
      </w:r>
      <w:r w:rsidRPr="00AA5A94">
        <w:lastRenderedPageBreak/>
        <w:t>îmbunătățire a raportului risc-recompensă în proiecte de infrastructură ecologică la scară mai mică;</w:t>
      </w:r>
    </w:p>
    <w:p w:rsidR="00450EE1" w:rsidRPr="00AA5A94" w:rsidRDefault="00450EE1" w:rsidP="00052A42">
      <w:pPr>
        <w:pStyle w:val="NormalHanging12a"/>
      </w:pPr>
      <w:r w:rsidRPr="00AA5A94">
        <w:t>16.</w:t>
      </w:r>
      <w:r w:rsidRPr="00AA5A94">
        <w:tab/>
        <w:t>salută investițiile mai mari în hidrogen; insistă asupra faptului că rolul hidrogenului este de a contribui la tranziția către neutralitatea climatică prin reducerea emisiilor din sectoarele industriale în care emisiile sunt greu de redus; se așteaptă să se asigure adiționalitatea, astfel încât să se evite deturnarea resurselor de la energia electrică din surse regenerabile existentă, conform actului delegat relevant</w:t>
      </w:r>
      <w:r w:rsidRPr="00AA5A94">
        <w:rPr>
          <w:rStyle w:val="FootnoteReference"/>
        </w:rPr>
        <w:footnoteReference w:id="3"/>
      </w:r>
      <w:r w:rsidRPr="00AA5A94">
        <w:t>; este preocupat de impactul potențial al proiectelor privind hidrogenul asupra aprovizionării cu apă în anumite regiuni, precum și asupra biodiversității; invită BEI să își îmbunătățească consultanța de specialitate pentru ecosistemul și piața hidrogenului din UE;</w:t>
      </w:r>
    </w:p>
    <w:p w:rsidR="00450EE1" w:rsidRPr="00AA5A94" w:rsidRDefault="00450EE1" w:rsidP="00052A42">
      <w:pPr>
        <w:pStyle w:val="NormalHanging12a"/>
      </w:pPr>
      <w:r w:rsidRPr="00AA5A94">
        <w:t>17.</w:t>
      </w:r>
      <w:r w:rsidRPr="00AA5A94">
        <w:tab/>
        <w:t>subliniază că politica socială și de mediu a BEI consolidează angajamentul de a promova și de a pune în aplicare obiectivele Convenției privind diversitatea biologică și ale Cadrului global post-2020 pentru biodiversitate, în special cerința ca proiectele finanțate să nu aducă prejudicii semnificative biodiversității și ecosistemelor; salută trecerea de la „nicio pierdere netă” la „nicio pierdere” a biodiversității; depune eforturi în vederea aplicării depline a politicii sociale și de mediu a BEI, în special în proiectele privind energia din surse regenerabile; îndeamnă BEI să își alinieze pe deplin politica socială și de mediu la Cadrul global post-2020 pentru biodiversitate;</w:t>
      </w:r>
    </w:p>
    <w:p w:rsidR="00450EE1" w:rsidRPr="00AA5A94" w:rsidRDefault="00450EE1" w:rsidP="00052A42">
      <w:pPr>
        <w:pStyle w:val="NormalHanging12a"/>
      </w:pPr>
      <w:r w:rsidRPr="00AA5A94">
        <w:t>18.</w:t>
      </w:r>
      <w:r w:rsidRPr="00AA5A94">
        <w:tab/>
        <w:t xml:space="preserve">salută primele principii comune pentru finanțarea favorabilă naturii publicate de BEI împreună cu alte bănci multilaterale de dezvoltare în cadrul COP28; se așteaptă ca BEI să se implice în continuare mai activ în investiții pozitive pentru natură și de consolidare a biodiversității și în sectoare cu cele mai mari beneficii conexe pentru biodiversitate, cum ar fi gestionarea apei, salubritatea, silvicultura și oceanele, cu cel mai înalt nivel de integritate și de asigurare, în special în ceea ce privește drepturile comunităților locale, și integrând învățămintele desprinse din Mecanismul de finanțare a capitalului natural; se așteaptă ca BEI să majoreze finanțarea pentru soluții de reducere a poluării cu materiale plastice; </w:t>
      </w:r>
    </w:p>
    <w:p w:rsidR="00450EE1" w:rsidRPr="00AA5A94" w:rsidRDefault="00450EE1" w:rsidP="00052A42">
      <w:pPr>
        <w:pStyle w:val="NormalHanging12a"/>
      </w:pPr>
      <w:r w:rsidRPr="00AA5A94">
        <w:t>19.</w:t>
      </w:r>
      <w:r w:rsidRPr="00AA5A94">
        <w:tab/>
        <w:t>se așteaptă la eforturi mai mari de integrare a naturii în analizele și operațiunile de evaluare a riscului financiar al pierderii biodiversității la nivel de contraparte; se așteaptă ca elementele pozitive legate de natură să fie integrate în mod sistematic în proiectele de infrastructură la scară largă, în special pentru investițiile urbane; avertizează cu privire la proiectele care contribuie la obiectivele climatice care duc la distrugerea biodiversității;</w:t>
      </w:r>
    </w:p>
    <w:p w:rsidR="00450EE1" w:rsidRPr="00AA5A94" w:rsidRDefault="00450EE1" w:rsidP="00052A42">
      <w:pPr>
        <w:pStyle w:val="NormalHanging12a"/>
      </w:pPr>
      <w:r w:rsidRPr="00AA5A94">
        <w:t>20.</w:t>
      </w:r>
      <w:r w:rsidRPr="00AA5A94">
        <w:tab/>
        <w:t xml:space="preserve">ia act de negocierile în curs pentru schimburile de tipul datorie externă contra investiții în protecția mediului; este preocupat de caracterul adecvat al dezvoltării și conservării acestor schimburi și de costurile lor ridicate de tranzacționare, în special deoarece exemplele anterioare au demonstrat că aceste motive de îngrijorare sunt valabile; subliniază că sunt necesare niveluri ridicate de transparență și de asumare a responsabilității la nivel național; </w:t>
      </w:r>
    </w:p>
    <w:p w:rsidR="00450EE1" w:rsidRPr="00AA5A94" w:rsidRDefault="00450EE1" w:rsidP="00052A42">
      <w:pPr>
        <w:pStyle w:val="NormalHanging12a"/>
      </w:pPr>
      <w:r w:rsidRPr="00AA5A94">
        <w:lastRenderedPageBreak/>
        <w:t>21.</w:t>
      </w:r>
      <w:r w:rsidRPr="00AA5A94">
        <w:tab/>
        <w:t xml:space="preserve">se așteaptă ca BEI să aplice în continuare standarde stricte și legislația în vigoare în materie de bunăstare a animalelor, inclusiv în ceea ce privește activitățile de creștere și alimentația în piscicultură, pe baza celor mai înalte standarde stabilite de UE și instituțiile financiare multilaterale; </w:t>
      </w:r>
    </w:p>
    <w:p w:rsidR="00450EE1" w:rsidRPr="00AA5A94" w:rsidRDefault="00450EE1" w:rsidP="00052A42">
      <w:pPr>
        <w:pStyle w:val="NormalHanging12a"/>
      </w:pPr>
      <w:r w:rsidRPr="00AA5A94">
        <w:t>22.</w:t>
      </w:r>
      <w:r w:rsidRPr="00AA5A94">
        <w:tab/>
        <w:t>subliniază că securitatea aprovizionării cu materii prime de importanță critică este fundamentală pentru tranziția verde și cea digitală, pentru sectorul apărării și pentru baza industrială a UE, în general; reamintește rolul jucat de BEI în Alianța UE pentru materii prime și scopul Uniunii de a deveni mai autonomă în aprovizionarea cu materii prime de importanță critică; subliniază importanța unei abordări bazate pe economia circulară a materiilor prime de importanță critică, bazată pe reciclare și reutilizare, pentru a reduce dependența UE de țările terțe și a întări autonomia sa strategică; invită, prin urmare, BEI să investească mai mult în sectorul materiilor prime de importanță critică pentru a crește reziliența în acest domeniu, cu un accent deosebit pe reciclarea materiilor prime secundare, și să promoveze soluții de economie circulară pentru a contribui la diversificarea aprovizionării;</w:t>
      </w:r>
    </w:p>
    <w:p w:rsidR="00450EE1" w:rsidRPr="00AA5A94" w:rsidRDefault="00450EE1" w:rsidP="00052A42">
      <w:pPr>
        <w:pStyle w:val="NormalHanging12a"/>
        <w:rPr>
          <w:b/>
          <w:i/>
        </w:rPr>
      </w:pPr>
      <w:r w:rsidRPr="00AA5A94">
        <w:rPr>
          <w:b/>
          <w:i/>
        </w:rPr>
        <w:t>Sprijin pentru inovare, întreprinderi mici și mijlocii, industrie și digitalizare</w:t>
      </w:r>
    </w:p>
    <w:p w:rsidR="00450EE1" w:rsidRPr="00AA5A94" w:rsidRDefault="00450EE1" w:rsidP="00052A42">
      <w:pPr>
        <w:pStyle w:val="NormalHanging12a"/>
      </w:pPr>
      <w:r w:rsidRPr="00AA5A94">
        <w:t>23.</w:t>
      </w:r>
      <w:r w:rsidRPr="00AA5A94">
        <w:tab/>
        <w:t>reamintește că IMM-urile reprezintă temelia economiei europene; reamintește că cele 23 de milioane de IMM-uri din UE reprezintă 99 % din totalul întreprinderilor, asigură cam trei sferturi din totalul locurilor de muncă și generează peste 50 % din valoarea adăugată total produsă de întreprinderile din UE; subliniază că sprijinirea IMM-urilor este un obiectiv-cheie pentru Grupul BEI; constată că criza energetică și consecințele războiului Rusiei din Ucraina reprezintă dificultăți suplimentare pentru IMM-uri, la fel ca creșterea prețurilor materiilor prime și a ratelor dobânzilor;</w:t>
      </w:r>
    </w:p>
    <w:p w:rsidR="00450EE1" w:rsidRPr="00AA5A94" w:rsidRDefault="00450EE1" w:rsidP="00052A42">
      <w:pPr>
        <w:widowControl/>
        <w:spacing w:after="240"/>
        <w:ind w:left="567" w:hanging="567"/>
      </w:pPr>
      <w:r w:rsidRPr="00AA5A94">
        <w:t>24.</w:t>
      </w:r>
      <w:r w:rsidRPr="00AA5A94">
        <w:tab/>
        <w:t>reamintește că în 2022 Grupul BEI a oferit finanțare în valoare totală de 16,35 miliarde EUR pentru IMM-uri și întreprinderile cu capitalizare medie; ia act de faptul că, potrivit evaluării Grupului BEI, operațiunile Grupului BEI prin care se oferă IMM-urilor sprijin în creditare au totalizat aproape 20 de miliarde EUR în împrumuturi nete anuale semnate între 2010 și 2020; invită Grupul BEI să reflecteze asupra unor modalități prin care să acorde și mai mult sprijin pentru IMM-uri, în special pentru proiectele de finanțare mai mici;</w:t>
      </w:r>
    </w:p>
    <w:p w:rsidR="00450EE1" w:rsidRPr="00AA5A94" w:rsidRDefault="00450EE1" w:rsidP="00052A42">
      <w:pPr>
        <w:widowControl/>
        <w:spacing w:after="240"/>
        <w:ind w:left="567" w:hanging="567"/>
      </w:pPr>
      <w:r w:rsidRPr="00AA5A94">
        <w:t>25.</w:t>
      </w:r>
      <w:r w:rsidRPr="00AA5A94">
        <w:tab/>
        <w:t>accentuează rolul FEI în îmbunătățirea accesului la finanțare pentru întreprinderile mai mici, întreprinderile cu capitalizare medie și întreprinderile nou-înființate din UE și, prin urmare, pentru a sprijini antreprenoriatul, creșterea economică, inovarea, cercetarea și dezvoltarea și ocuparea forței de muncă în Uniune; subliniază că o aprovizionare stabilă cu energie la prețuri competitive reprezintă unul dintre fundamentele unei politici industriale de succes, în special a unor IMM-uri de succes; îndeamnă Grupul BEI să asigure un capital de creștere suplimentar pentru a permite IMM-urilor să își extindă operațiunile; îndeamnă Grupul BEI să acorde mai mult sprijin dezvoltării întreprinderilor nou-înființate europene, cum ar fi prin asumarea unor riscuri mai mari în acordarea de capital de risc pentru a se asigura că acestea sunt în măsură să se dezvolte în UE, mai degrabă decât în afara acesteia;</w:t>
      </w:r>
    </w:p>
    <w:p w:rsidR="00450EE1" w:rsidRPr="00AA5A94" w:rsidRDefault="00450EE1" w:rsidP="00052A42">
      <w:pPr>
        <w:widowControl/>
        <w:spacing w:after="240"/>
        <w:ind w:left="567" w:hanging="567"/>
      </w:pPr>
      <w:r w:rsidRPr="00AA5A94">
        <w:t>26.</w:t>
      </w:r>
      <w:r w:rsidRPr="00AA5A94">
        <w:tab/>
        <w:t xml:space="preserve">subliniază că FEI trebuie să acorde o atenție deosebită proiectelor care creează și mențin locuri de muncă de calitate, inclusiv proiectelor care se ocupă de problema tot mai spinoasă a șomajului în rândul tinerilor, cum ar fi așa-numitul model dual de ucenicie </w:t>
      </w:r>
      <w:r w:rsidRPr="00AA5A94">
        <w:lastRenderedPageBreak/>
        <w:t>care s-a dovedit eficace și de succes în unele state membre, cu scopul de a crea locuri de muncă sigure și de înaltă calitate;</w:t>
      </w:r>
    </w:p>
    <w:p w:rsidR="00450EE1" w:rsidRPr="00AA5A94" w:rsidRDefault="00450EE1" w:rsidP="00052A42">
      <w:pPr>
        <w:widowControl/>
        <w:spacing w:after="240"/>
        <w:ind w:left="567" w:hanging="567"/>
      </w:pPr>
      <w:r w:rsidRPr="00AA5A94">
        <w:t>27.</w:t>
      </w:r>
      <w:r w:rsidRPr="00AA5A94">
        <w:tab/>
        <w:t>recunoaște că IMM-urile se confruntă adesea cu resurse administrative limitate și cu costuri mai mari ale îndatorării decât marile corporații din cauza unor condiții de creditare bancare mai puțin favorabile și consideră că este imperativ să li se ofere instrumente de finanțare simple și ușor accesibile; încurajează ferm, prin urmare, Grupul BEI să își conceapă programele astfel încât să simplifice procedurile administrative, oferind, în același timp, asistența tehnică necesară și finanțarea adecvată pentru serviciile de consiliere, ceea ce le va face mai accesibile pentru IMM-uri;</w:t>
      </w:r>
    </w:p>
    <w:p w:rsidR="00450EE1" w:rsidRPr="00AA5A94" w:rsidRDefault="00450EE1" w:rsidP="00052A42">
      <w:pPr>
        <w:pStyle w:val="NormalHanging12a"/>
      </w:pPr>
      <w:r w:rsidRPr="00AA5A94">
        <w:t>28.</w:t>
      </w:r>
      <w:r w:rsidRPr="00AA5A94">
        <w:tab/>
        <w:t>solicită din nou Grupului BEI să își completeze eforturile vizând conceperea de soluții bazate pe date, punând un accent deosebit pe competitivitatea IMM-urilor, și să își concentreze investițiile în acest domeniu pe reducerea decalajelor digitale atât în cadrul UE, cât și între UE și alte regiuni ale lumii mai avansate din punct de vedere tehnologic; invită Grupul BEI să intensifice investițiile în digitalizare, în dezvoltarea tehnologiilor de vârf, cum ar fi IA, și în perfecționarea și recalificarea lucrătorilor, care sunt esențiale pentru o bază industrială puternică;</w:t>
      </w:r>
    </w:p>
    <w:p w:rsidR="00450EE1" w:rsidRPr="00AA5A94" w:rsidRDefault="00450EE1" w:rsidP="00052A42">
      <w:pPr>
        <w:pStyle w:val="Normal12a24b"/>
        <w:widowControl/>
        <w:spacing w:before="0"/>
        <w:ind w:left="567" w:hanging="567"/>
        <w:rPr>
          <w:rStyle w:val="BoldItalic"/>
        </w:rPr>
      </w:pPr>
      <w:r w:rsidRPr="00AA5A94">
        <w:rPr>
          <w:rStyle w:val="BoldItalic"/>
        </w:rPr>
        <w:t>Ucraina</w:t>
      </w:r>
    </w:p>
    <w:p w:rsidR="00450EE1" w:rsidRPr="00AA5A94" w:rsidRDefault="00450EE1" w:rsidP="00052A42">
      <w:pPr>
        <w:pStyle w:val="NormalHanging12a"/>
      </w:pPr>
      <w:r w:rsidRPr="00AA5A94">
        <w:t>29.</w:t>
      </w:r>
      <w:r w:rsidRPr="00AA5A94">
        <w:tab/>
        <w:t>salută inițiativa „UE pentru Ucraina” lansată de BEI în martie 2023 pentru a finanța reconstrucția și redresarea Ucrainei, concepută ca un mecanism temporar care va permite BEI să își continue angajamentul în această țară, în timp ce se pune în aplicare sprijinul preconizat pe termen mediu din partea UE; reamintește, în acest context, importanța bugetului UE ca garant pentru activitatea BEI atunci când aceasta presupune acordarea de împrumuturi în afara UE pentru implementarea programelor UE; solicită majorarea garanțiilor acordate BEI din bugetul UE pentru a permite BEI să continue să furnizeze operațiuni vitale pentru sectorul public și privat în Ucraina și să își extindă activitățile în sudul global; salută faptul că toate acțiunile BEI în Ucraina sunt ghidate de prioritățile de redresare și reconstrucție socială, economică și de mediu în conformitate cu principiul „a reconstrui mai bine”, și vor fi pe deplin aliniate la viitorul plan pentru Ucraina; salută componenta de asistență tehnică pentru a asigura pregătirea și punerea în aplicare optimă a proiectelor, precum și măsurile de consolidare a capacităților; se așteaptă ca viitoarea a treia evaluare rapidă a nevoilor în materie de daune, efectuată de Banca Mondială în coordonare cu Comisia, BEI și guvernul ucrainean, să identifice nevoile din ce în ce mai mari; salută eforturile BEI de a preveni, descuraja și investiga frauda și corupția legate de proiectele sale în Ucraina;</w:t>
      </w:r>
    </w:p>
    <w:p w:rsidR="00450EE1" w:rsidRPr="00AA5A94" w:rsidRDefault="00450EE1" w:rsidP="00052A42">
      <w:pPr>
        <w:pStyle w:val="NormalHanging12a"/>
      </w:pPr>
      <w:r w:rsidRPr="00AA5A94">
        <w:t>30.</w:t>
      </w:r>
      <w:r w:rsidRPr="00AA5A94">
        <w:tab/>
        <w:t>subliniază că războiul de agresiune al Rusiei a afectat, de asemenea, regiunile din UE și a provocat un impact economic considerabil, în special în țările de la frontiera estică a UE și în vecinătatea ei, precum și o gravă criză umanitară; subliniază că schimbările din lanțurile de aprovizionare și din relațiile comerciale și economice cauzate de război ar trebui să fie avute în considerare în planificarea investițiilor viitoare; solicită BEI să ia în considerare situația geopolitică și investițiile necesare în țările din prima linie, inclusiv infrastructura și gestionarea frontierelor;</w:t>
      </w:r>
    </w:p>
    <w:p w:rsidR="00450EE1" w:rsidRPr="00AA5A94" w:rsidRDefault="00450EE1" w:rsidP="00052A42">
      <w:pPr>
        <w:pStyle w:val="NormalHanging12a"/>
        <w:rPr>
          <w:iCs/>
        </w:rPr>
      </w:pPr>
      <w:r w:rsidRPr="00AA5A94">
        <w:t>31.</w:t>
      </w:r>
      <w:r w:rsidRPr="00AA5A94">
        <w:tab/>
        <w:t xml:space="preserve">reamintește că războiul de agresiune al Rusiei împotriva Ucrainei este un factor de schimbare, deoarece a modificat în mod fundamental mediul european de securitate și necesită o mai bună pregătire pentru apărare și, prin urmare, investiții suficiente; subliniază că este necesar să se utilizeze cât mai eficient toate instrumentele aflate la </w:t>
      </w:r>
      <w:r w:rsidRPr="00AA5A94">
        <w:lastRenderedPageBreak/>
        <w:t>dispoziția BEI; invită BEI să își consolideze sprijinul acordat Inițiativei strategice pentru securitatea europeană și industriei europene de apărare, inclusiv IMM-urilor, în special pentru a contribui la menținerea sprijinului pentru Ucraina;</w:t>
      </w:r>
      <w:r w:rsidR="00F466FE" w:rsidRPr="00AA5A94">
        <w:t xml:space="preserve"> invită BEI să își reformeze lista de eligibilitate, astfel încât muniția și echipamentele militare care depășesc aplicațiile cu dublă utilizare să nu mai fie excluse de la finanțarea BEI;</w:t>
      </w:r>
    </w:p>
    <w:p w:rsidR="00450EE1" w:rsidRPr="00AA5A94" w:rsidRDefault="00450EE1" w:rsidP="00052A42">
      <w:pPr>
        <w:pStyle w:val="NormalHanging12a"/>
        <w:rPr>
          <w:rStyle w:val="BoldItalic"/>
        </w:rPr>
      </w:pPr>
      <w:r w:rsidRPr="00AA5A94">
        <w:rPr>
          <w:rStyle w:val="BoldItalic"/>
        </w:rPr>
        <w:t>BEI Global</w:t>
      </w:r>
    </w:p>
    <w:p w:rsidR="00450EE1" w:rsidRPr="00AA5A94" w:rsidRDefault="00450EE1" w:rsidP="00052A42">
      <w:pPr>
        <w:pStyle w:val="NormalHanging12a"/>
      </w:pPr>
      <w:r w:rsidRPr="00AA5A94">
        <w:t>32.</w:t>
      </w:r>
      <w:r w:rsidRPr="00AA5A94">
        <w:tab/>
        <w:t xml:space="preserve">se așteaptă ca activitățile derulate de BEI Global să rămână aliniate la interesele strategice și la obiectivele de politică externă ale UE; salută implicarea BEI în inițiativa Global Gateway, care va sprijini în principal investițiile în infrastructură și în IMM-uri, contribuind astfel la obiectivul UE de a-și consolida autonomia strategică; se așteaptă ca BEI Global să se asigure că investițiile sunt în mod clar adiționale, creează efecte pozitive pe termen lung și aduc avantaje comunităților beneficiare, prin protejarea patrimoniului natural și cultural, consolidarea rezilienței la schimbările climatice, crearea de locuri de muncă la nivel local, creșterea nivelului de trai și reducerea sărăciei; consideră că părțile interesate din țările beneficiare, cum ar fi autoritățile publice, societatea civilă și partenerii sociali, trebuie să fie implicate în luarea deciziilor privind proiectele legate de inițiativa „Global Gateway” și în punerea lor în aplicare; reamintește, în plus, că succesul BEI Global depinde de un efectiv adecvat de personal la fața locului, inclusiv lucrători locali; </w:t>
      </w:r>
    </w:p>
    <w:p w:rsidR="00450EE1" w:rsidRPr="00AA5A94" w:rsidRDefault="00450EE1" w:rsidP="00052A42">
      <w:pPr>
        <w:pStyle w:val="NormalHanging12a"/>
      </w:pPr>
      <w:r w:rsidRPr="00AA5A94">
        <w:t>33.</w:t>
      </w:r>
      <w:r w:rsidRPr="00AA5A94">
        <w:tab/>
        <w:t>observă că de la înființarea noii direcții pentru dezvoltare, BEI Global a utilizat la un nivel record componenta de investiții dedicată oferită de Instrumentul de vecinătate, cooperare pentru dezvoltare și cooperare internațională – „Europa globală”, furnizând peste 10 miliarde EUR în 2022, în special în sprijinul Ucrainei și al Global Gateway; ia act de foaia de parcurs strategică a BEI Global și de speranța că aceasta va facilita cel puțin o treime din investițiile în valoare de 300 de miliarde EUR prevăzute a fi generate până la sfârșitul anului 2027; salută obiectivul pentru 2025 ca peste 50 % din împrumuturile anuale să fie destinate investițiilor în combaterea schimbărilor climatice și sustenabilitatea mediului; se așteaptă ca finanțarea să contribuie la o tranziție incluzivă și justă la nivel mondial; în plus, se așteaptă ca BEI Global să contribuie în mod semnificativ la obiectivul UE ca 85 % din toate acțiunile externe noi să sprijine egalitatea de gen până în 2025; salută progresele înregistrate în ceea ce privește instituirea Fondului Global Gateway în cadrul garanției Fondului european pentru dezvoltare durabilă Plus, care se preconizează că va finanța investiții cu impact puternic în sectorul privat și va furniza finanțare prin capitaluri proprii și prin îndatorare pentru proiecte de infrastructură cu impact ridicat, energie curată și dezvoltare umană în întreaga lume; își exprimă îngrijorarea cu privire la lipsa unor consultări incluzive și semnificative cu părțile interesate care sunt afectate de operațiunile sale; solicită mai mult sprijin pentru proiectele cu rentabilitate financiară limitată și cu un randament public ridicat și reducerea valorii minime a împrumuturilor acordate proiectelor individuale, în special în țări mai puțin dezvoltate;</w:t>
      </w:r>
    </w:p>
    <w:p w:rsidR="00450EE1" w:rsidRPr="00AA5A94" w:rsidRDefault="00450EE1" w:rsidP="00052A42">
      <w:pPr>
        <w:pStyle w:val="NormalHanging12a"/>
      </w:pPr>
      <w:r w:rsidRPr="00AA5A94">
        <w:t>34.</w:t>
      </w:r>
      <w:r w:rsidRPr="00AA5A94">
        <w:tab/>
        <w:t xml:space="preserve">își reiterează apelul adresat BEI Global de a limita operațiunile de finanțare mixtă la domeniile în care acestea pot adăuga valoare economiei locale, evitând totodată excluderea capitalului privat și de a se asigura că finanțarea mixtă nu este utilizată pentru servicii publice esențiale, în special pentru sănătate, educație și protecția socială; reamintește că obiectivele politicii de dezvoltare a UE, în special obiectivul de a îmbunătăți accesul universal și la prețuri accesibile la asistență medicală, ar trebui să </w:t>
      </w:r>
      <w:r w:rsidRPr="00AA5A94">
        <w:lastRenderedPageBreak/>
        <w:t>ghideze investițiile BEI în domeniu, pentru a asigura rezultate mai bune în materie de sănătate pentru toți, în special pentru femei;</w:t>
      </w:r>
    </w:p>
    <w:p w:rsidR="00450EE1" w:rsidRPr="00AA5A94" w:rsidRDefault="00450EE1" w:rsidP="00052A42">
      <w:pPr>
        <w:pStyle w:val="NormalHanging12a"/>
      </w:pPr>
      <w:r w:rsidRPr="00AA5A94">
        <w:t>35.</w:t>
      </w:r>
      <w:r w:rsidRPr="00AA5A94">
        <w:tab/>
        <w:t>este preocupat de creșterea rapidă a nivelurilor datoriei și de creșterea costurilor îndatorării în economiile emergente și în curs de dezvoltare, estimându-se că 60 % dintre țările cu venituri mici se află deja în dificultate în ceea ce privește datoria publică sau sunt expuse unui risc ridicat de îndatorare excesivă</w:t>
      </w:r>
      <w:r w:rsidRPr="00AA5A94">
        <w:rPr>
          <w:vertAlign w:val="superscript"/>
        </w:rPr>
        <w:footnoteReference w:id="4"/>
      </w:r>
      <w:r w:rsidRPr="00AA5A94">
        <w:t>; subliniază rolul important al BEI și al altor instituții multilaterale în furnizarea de finanțare în condiții avantajoase pentru a reduce povara datoriei nesustenabile;</w:t>
      </w:r>
    </w:p>
    <w:p w:rsidR="00450EE1" w:rsidRPr="00AA5A94" w:rsidRDefault="00450EE1" w:rsidP="00052A42">
      <w:pPr>
        <w:pStyle w:val="NormalHanging12a"/>
      </w:pPr>
      <w:r w:rsidRPr="00AA5A94">
        <w:t>36.</w:t>
      </w:r>
      <w:r w:rsidRPr="00AA5A94">
        <w:tab/>
        <w:t>consideră că BEI Global ar trebui să fie responsabilă pentru respectarea principiilor stabilite în Declarația de la Paris privind eficacitatea ajutorului și în agenda de acțiune de la Accra (implicarea locală, alinierea, armonizarea, gestionarea orientată spre rezultate și răspunderea reciprocă); este deosebit de preocupat, în acest context, de conflictul de interese dintre agențiile de credit la export și finanțarea pentru dezvoltare a BEI Global și de impactul investițiilor afectate ale BEI Global asupra adiționalității dezvoltării;</w:t>
      </w:r>
    </w:p>
    <w:p w:rsidR="00450EE1" w:rsidRPr="00AA5A94" w:rsidRDefault="00450EE1" w:rsidP="00052A42">
      <w:pPr>
        <w:pStyle w:val="NormalHanging12a"/>
      </w:pPr>
      <w:r w:rsidRPr="00AA5A94">
        <w:t>37.</w:t>
      </w:r>
      <w:r w:rsidRPr="00AA5A94">
        <w:tab/>
        <w:t>ia act de nota de informare a BEI care sintetizează abordarea sa cu privire la drepturile omului; reamintește BEI că este important să integreze drepturile omului în procedurile sale de diligență necesară, să efectueze evaluări ale impactului asupra drepturilor omului, să își ancoreze angajamentul său general privind drepturile omului și să acționeze în deplină conformitate cu articolul 2 din TFUE; își reiterează apelul pentru norme clare și obligatorii care să completeze nota de informare care sintetizează abordarea BEI Global cu privire la drepturile omului, în special în ceea ce privește evaluarea și dezangajarea; își exprimă îngrijorarea deosebită cu privire la faptul că, din 2015, BEI nu a solicitat promotorilor de proiecte să efectueze evaluări independente ale impactului asupra drepturilor omului; invită, prin urmare, BEI să prezinte o strategie privind drepturile omului, precum și evaluări ale drepturilor omului și evaluări ale programelor sale, inclusiv ale situației reale de pe teren în țările beneficiare, pentru a se asigura că comunitățile locale sunt consultate și că dreptul la consimțământ liber, prealabil și în cunoștință de cauză este respectat în mod sistematic; invită, de asemenea, BEI să elaboreze politici special concepute privind apărătorii drepturilor omului și protocoale pentru a răspunde riscurilor de represalii; subliniază că ar trebui luate măsuri concepute anume pentru a coopta popoarele indigene, femeile, persoanele cu dizabilități și alte grupuri vulnerabile în cadrul consultărilor;</w:t>
      </w:r>
    </w:p>
    <w:p w:rsidR="00450EE1" w:rsidRPr="00AA5A94" w:rsidRDefault="00450EE1" w:rsidP="00052A42">
      <w:pPr>
        <w:pStyle w:val="NormalHanging12a"/>
      </w:pPr>
      <w:r w:rsidRPr="00AA5A94">
        <w:t>38.</w:t>
      </w:r>
      <w:r w:rsidRPr="00AA5A94">
        <w:tab/>
        <w:t>își reiterează apelul adresat BEI de a se asigura că operațiunile sale sunt în beneficiul femeilor și fetelor și al promovării emancipării economice și a ocupării forței de muncă în rândul femeilor; consideră că BEI ar putea majora și mai mult creditele de microfinanțare acordate întreprinderilor conduse de femei, care se confruntă în continuare cu discriminare în ceea ce privește accesul la finanțare;</w:t>
      </w:r>
    </w:p>
    <w:p w:rsidR="00450EE1" w:rsidRPr="00AA5A94" w:rsidRDefault="00450EE1" w:rsidP="00052A42">
      <w:pPr>
        <w:pStyle w:val="NormalHanging12a"/>
      </w:pPr>
      <w:r w:rsidRPr="00AA5A94">
        <w:t>39.</w:t>
      </w:r>
      <w:r w:rsidRPr="00AA5A94">
        <w:tab/>
        <w:t>solicită BEI să colaboreze cu alte instituții bilaterale și multilaterale pentru a elabora și aplica metodologii comune pentru analiza impactului asupra dezvoltării, cu scopul de a asigura efecte pozitive pe termen lung și o valoare adăugată;</w:t>
      </w:r>
    </w:p>
    <w:p w:rsidR="00450EE1" w:rsidRPr="00AA5A94" w:rsidRDefault="00450EE1" w:rsidP="00052A42">
      <w:pPr>
        <w:pStyle w:val="Normal12a24b"/>
        <w:widowControl/>
        <w:spacing w:before="0"/>
        <w:ind w:left="567" w:hanging="567"/>
      </w:pPr>
      <w:r w:rsidRPr="00AA5A94">
        <w:rPr>
          <w:rStyle w:val="BoldItalic"/>
        </w:rPr>
        <w:lastRenderedPageBreak/>
        <w:t>Transparență și guvernanță</w:t>
      </w:r>
    </w:p>
    <w:p w:rsidR="00450EE1" w:rsidRPr="00AA5A94" w:rsidRDefault="00450EE1" w:rsidP="00052A42">
      <w:pPr>
        <w:pStyle w:val="NormalHanging12a"/>
        <w:rPr>
          <w:snapToGrid/>
          <w:szCs w:val="24"/>
        </w:rPr>
      </w:pPr>
      <w:r w:rsidRPr="00AA5A94">
        <w:t>40.</w:t>
      </w:r>
      <w:r w:rsidRPr="00AA5A94">
        <w:tab/>
        <w:t>reamintește că fondurile BEI sunt fonduri publice și că utilizarea lor ar trebui să facă întotdeauna obiectul controlului public și răspunderii; recunoaște că BEI a obținut doar calificativul „suficient” („fair”) în indicele din 2023 privind transparența investițiilor străine directe; invită BEI să publice în mod proactiv, în timp util, informații mai detaliate cu privire la proiecte, inclusiv justificarea și contextul proiectelor, explicând modul în care acestea se aliniază la obiectivele de politică ale UE și le promovează și se așteaptă ca BEI să limiteze nedivulgarea la excepțiile aplicabile enumerate în Regulamentul (CE) nr. 1049/2001</w:t>
      </w:r>
      <w:r w:rsidRPr="00AA5A94">
        <w:rPr>
          <w:rStyle w:val="FootnoteReference"/>
        </w:rPr>
        <w:footnoteReference w:id="5"/>
      </w:r>
      <w:r w:rsidRPr="00AA5A94">
        <w:t xml:space="preserve"> și în Regulamentul (CE) nr. 1367/2006</w:t>
      </w:r>
      <w:r w:rsidRPr="00AA5A94">
        <w:rPr>
          <w:rStyle w:val="FootnoteReference"/>
        </w:rPr>
        <w:footnoteReference w:id="6"/>
      </w:r>
      <w:r w:rsidRPr="00AA5A94">
        <w:t>; îndeamnă BEI să pună în aplicare recomandările Ombudsmanului European din 20 noiembrie 2023 din cauza 2252/2022/OAM și din 21 aprilie 2022 din cauza 1251/2020/PB pentru a permite o evaluare semnificativă a aspectelor sociale și de mediu ale proiectelor pe care intenționează să le finanțeze;</w:t>
      </w:r>
    </w:p>
    <w:p w:rsidR="00450EE1" w:rsidRPr="00AA5A94" w:rsidRDefault="00450EE1" w:rsidP="00052A42">
      <w:pPr>
        <w:pStyle w:val="NormalHanging12a"/>
      </w:pPr>
      <w:r w:rsidRPr="00AA5A94">
        <w:t>41.</w:t>
      </w:r>
      <w:r w:rsidRPr="00AA5A94">
        <w:tab/>
        <w:t>solicită creșterea responsabilității BEI față de instituțiile UE, în special față de Parlament, întrucât transparența este una dintre pietrele de temelie ale democrației; invită, așadar, BEI să își intensifice raportarea către Parlament cu privire la deciziile sale, progresele realizate și impactul activităților sale de creditare, în special prin dialoguri structurate periodice între Parlament și BEI; reamintește solicitarea sa de a încheia un acord interinstituțional între Parlament și BEI cu scopul de a îmbunătăți accesul la documentele și datele BEI și de a întări răspunderea democratică, în care să intre și posibilitatea de a adresa BEI întrebări cu solicitare de răspuns scris, astfel cum este deja cazul pentru Banca Centrală Europeană;</w:t>
      </w:r>
    </w:p>
    <w:p w:rsidR="00450EE1" w:rsidRPr="00AA5A94" w:rsidRDefault="00450EE1" w:rsidP="00052A42">
      <w:pPr>
        <w:pStyle w:val="NormalHanging12a"/>
      </w:pPr>
      <w:r w:rsidRPr="00AA5A94">
        <w:t>42.</w:t>
      </w:r>
      <w:r w:rsidRPr="00AA5A94">
        <w:tab/>
        <w:t>invită din nou BEI să își înăsprească politica de combatere a fraudei fiscale, a evaziunii fiscale și a evitării obligațiilor fiscale, inclusiv prin decizia de a nu finanța beneficiari sau intermediari financiari care au un istoric negativ dovedit; invită BEI să aplice măsuri de prevenire și evaluări fiscale periodice în raport cu jurisdicțiile fiscale necooperante, precum și cu frauda fiscală, evaziunea fiscală, și eludarea ilegală și agresivă a obligațiilor fiscale;</w:t>
      </w:r>
    </w:p>
    <w:p w:rsidR="00450EE1" w:rsidRPr="00AA5A94" w:rsidRDefault="00450EE1" w:rsidP="00052A42">
      <w:pPr>
        <w:pStyle w:val="NormalHanging12a"/>
      </w:pPr>
      <w:r w:rsidRPr="00AA5A94">
        <w:t>43.</w:t>
      </w:r>
      <w:r w:rsidRPr="00AA5A94">
        <w:tab/>
        <w:t xml:space="preserve">îi încurajează pe vicepreședinții BEI să evite să se implice în propuneri de proiecte din țările lor de origine; invită BEI să pună pe deplin în aplicare toate recomandările Ombudsmanului din 27 iulie 2022 din cauza 1016/2021/KR și din 31 octombrie 2023 din cauza </w:t>
      </w:r>
      <w:hyperlink r:id="rId9" w:history="1">
        <w:r w:rsidRPr="00AA5A94">
          <w:rPr>
            <w:rStyle w:val="Hyperlink"/>
            <w:color w:val="auto"/>
            <w:u w:val="none"/>
            <w:shd w:val="clear" w:color="auto" w:fill="FFFFFF"/>
          </w:rPr>
          <w:t>611/2022/KR</w:t>
        </w:r>
      </w:hyperlink>
      <w:r w:rsidRPr="00AA5A94">
        <w:t xml:space="preserve"> în ceea ce privește activitățile foștilor membri ai Comitetului său de direcție; invită membrii Comitetului de direcție al BEI să își publice reuniunile programate cu părțile interesate externe și își reiterează solicitarea de a publica sistematic conținutul reuniunilor organelor de conducere ale BEI pentru a îmbunătăți și mai mult transparența; </w:t>
      </w:r>
    </w:p>
    <w:p w:rsidR="00A11401" w:rsidRPr="00AA5A94" w:rsidRDefault="00450EE1" w:rsidP="00F466FE">
      <w:pPr>
        <w:pStyle w:val="NormalHanging12a"/>
      </w:pPr>
      <w:r w:rsidRPr="00AA5A94">
        <w:lastRenderedPageBreak/>
        <w:t>44.</w:t>
      </w:r>
      <w:r w:rsidRPr="00AA5A94">
        <w:tab/>
      </w:r>
      <w:r w:rsidR="00F466FE" w:rsidRPr="00AA5A94">
        <w:t xml:space="preserve">ia act de faptul că BEI a înregistrat progrese în ceea ce privește obținerea unei forțe de muncă mai echilibrate din punctul de vedere al genului, deși femeile sunt în continuare subreprezentate în posturile de conducere și în principalele domenii de activitate; regretă că BEI nu și-a atins obiectivele de gen stabilite pentru femei la diferite niveluri în strategia sa privind diversitatea și incluziunea pentru perioada 2018-2021; invită, prin urmare, banca să își intensifice eforturile de creștere a diversității de gen pentru a realiza paritatea de gen și un </w:t>
      </w:r>
      <w:r w:rsidR="00837FE0" w:rsidRPr="00AA5A94">
        <w:t xml:space="preserve">mai bun </w:t>
      </w:r>
      <w:r w:rsidR="00F466FE" w:rsidRPr="00AA5A94">
        <w:t xml:space="preserve">echilibru </w:t>
      </w:r>
      <w:r w:rsidR="00D43AFC" w:rsidRPr="00AA5A94">
        <w:t>de</w:t>
      </w:r>
      <w:r w:rsidR="00F466FE" w:rsidRPr="00AA5A94">
        <w:t xml:space="preserve"> gen în toate funcțiile, menținând, în același timp, echilibrul geografic; invită BEI să consolideze în continuare </w:t>
      </w:r>
      <w:r w:rsidR="00D43AFC" w:rsidRPr="00AA5A94">
        <w:t>promovarea tuturor</w:t>
      </w:r>
      <w:r w:rsidR="00F466FE" w:rsidRPr="00AA5A94">
        <w:t xml:space="preserve"> formel</w:t>
      </w:r>
      <w:r w:rsidR="00D43AFC" w:rsidRPr="00AA5A94">
        <w:t>or</w:t>
      </w:r>
      <w:r w:rsidR="00F466FE" w:rsidRPr="00AA5A94">
        <w:t xml:space="preserve"> de diversitate și incluziune în cadrul organizației sale și să stabilească obiective ambițioase;</w:t>
      </w:r>
    </w:p>
    <w:p w:rsidR="00450EE1" w:rsidRPr="00AA5A94" w:rsidRDefault="00450EE1" w:rsidP="00AA5A94">
      <w:pPr>
        <w:pStyle w:val="NormalHanging12a"/>
        <w:jc w:val="center"/>
      </w:pPr>
      <w:r w:rsidRPr="00AA5A94">
        <w:t>°</w:t>
      </w:r>
    </w:p>
    <w:p w:rsidR="00450EE1" w:rsidRPr="00AA5A94" w:rsidRDefault="00450EE1" w:rsidP="00052A42">
      <w:pPr>
        <w:pStyle w:val="NormalCenter12a"/>
        <w:widowControl/>
        <w:ind w:left="567" w:hanging="567"/>
      </w:pPr>
      <w:r w:rsidRPr="00AA5A94">
        <w:t>°</w:t>
      </w:r>
      <w:r w:rsidRPr="00AA5A94">
        <w:tab/>
        <w:t>°</w:t>
      </w:r>
    </w:p>
    <w:p w:rsidR="00450EE1" w:rsidRPr="00AA5A94" w:rsidRDefault="00450EE1" w:rsidP="00052A42">
      <w:pPr>
        <w:pStyle w:val="NormalHanging12a"/>
      </w:pPr>
      <w:r w:rsidRPr="00AA5A94">
        <w:t>45.</w:t>
      </w:r>
      <w:r w:rsidRPr="00AA5A94">
        <w:tab/>
        <w:t>încredințează Președintei sarcina de a transmite prezenta rezoluție Consiliului, Comisiei și Băncii Europene de Investiții.</w:t>
      </w:r>
    </w:p>
    <w:p w:rsidR="00450EE1" w:rsidRPr="00AA5A94" w:rsidRDefault="00450EE1" w:rsidP="00052A42">
      <w:pPr>
        <w:widowControl/>
        <w:spacing w:after="240"/>
        <w:ind w:left="567" w:hanging="567"/>
      </w:pPr>
    </w:p>
    <w:p w:rsidR="00E365E1" w:rsidRPr="00AA5A94" w:rsidRDefault="00E365E1" w:rsidP="00052A42">
      <w:pPr>
        <w:widowControl/>
        <w:spacing w:after="240"/>
        <w:ind w:left="567" w:hanging="567"/>
      </w:pPr>
      <w:bookmarkStart w:id="9" w:name="TextBodyEnd"/>
      <w:bookmarkEnd w:id="9"/>
    </w:p>
    <w:sectPr w:rsidR="00E365E1" w:rsidRPr="00AA5A94" w:rsidSect="007C615F">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514" w:rsidRPr="007C615F" w:rsidRDefault="006C2514">
      <w:r w:rsidRPr="007C615F">
        <w:separator/>
      </w:r>
    </w:p>
  </w:endnote>
  <w:endnote w:type="continuationSeparator" w:id="0">
    <w:p w:rsidR="006C2514" w:rsidRPr="007C615F" w:rsidRDefault="006C2514">
      <w:r w:rsidRPr="007C6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514" w:rsidRPr="007C615F" w:rsidRDefault="006C2514">
      <w:r w:rsidRPr="007C615F">
        <w:separator/>
      </w:r>
    </w:p>
  </w:footnote>
  <w:footnote w:type="continuationSeparator" w:id="0">
    <w:p w:rsidR="006C2514" w:rsidRPr="007C615F" w:rsidRDefault="006C2514">
      <w:r w:rsidRPr="007C615F">
        <w:continuationSeparator/>
      </w:r>
    </w:p>
  </w:footnote>
  <w:footnote w:id="1">
    <w:p w:rsidR="00450EE1" w:rsidRPr="00AA5A94" w:rsidRDefault="00450EE1" w:rsidP="007C615F">
      <w:pPr>
        <w:pStyle w:val="FootnoteText"/>
        <w:ind w:left="567" w:hanging="567"/>
        <w:rPr>
          <w:sz w:val="24"/>
          <w:u w:val="single" w:color="0000FF"/>
          <w:lang w:val="ro-RO"/>
        </w:rPr>
      </w:pPr>
      <w:r w:rsidRPr="007C615F">
        <w:rPr>
          <w:rStyle w:val="FootnoteReference"/>
          <w:sz w:val="24"/>
          <w:lang w:val="ro-RO"/>
        </w:rPr>
        <w:footnoteRef/>
      </w:r>
      <w:r w:rsidR="007C615F" w:rsidRPr="007C615F">
        <w:rPr>
          <w:sz w:val="24"/>
          <w:lang w:val="ro-RO"/>
        </w:rPr>
        <w:t xml:space="preserve"> </w:t>
      </w:r>
      <w:r w:rsidR="007C615F" w:rsidRPr="007C615F">
        <w:rPr>
          <w:sz w:val="24"/>
          <w:lang w:val="ro-RO"/>
        </w:rPr>
        <w:tab/>
      </w:r>
      <w:r w:rsidR="00A11401" w:rsidRPr="007C615F">
        <w:rPr>
          <w:color w:val="0000FF"/>
          <w:sz w:val="24"/>
          <w:u w:val="single" w:color="0000FF"/>
          <w:lang w:val="ro-RO"/>
        </w:rPr>
        <w:t>JO L 231, 30.6.2021, p. 1</w:t>
      </w:r>
      <w:r w:rsidR="00A11401" w:rsidRPr="00AA5A94">
        <w:rPr>
          <w:sz w:val="24"/>
          <w:u w:val="single" w:color="0000FF"/>
          <w:lang w:val="ro-RO"/>
        </w:rPr>
        <w:t>.</w:t>
      </w:r>
    </w:p>
  </w:footnote>
  <w:footnote w:id="2">
    <w:p w:rsidR="00450EE1" w:rsidRPr="00AA5A94" w:rsidRDefault="00450EE1" w:rsidP="007C615F">
      <w:pPr>
        <w:pStyle w:val="FootnoteText"/>
        <w:ind w:left="567" w:hanging="567"/>
        <w:rPr>
          <w:sz w:val="24"/>
          <w:u w:val="single" w:color="0000FF"/>
          <w:lang w:val="ro-RO"/>
        </w:rPr>
      </w:pPr>
      <w:r w:rsidRPr="00A11401">
        <w:rPr>
          <w:rStyle w:val="FootnoteReference"/>
          <w:sz w:val="24"/>
          <w:lang w:val="ro-RO"/>
        </w:rPr>
        <w:footnoteRef/>
      </w:r>
      <w:r w:rsidR="007C615F" w:rsidRPr="00A11401">
        <w:rPr>
          <w:sz w:val="24"/>
          <w:lang w:val="ro-RO"/>
        </w:rPr>
        <w:t xml:space="preserve"> </w:t>
      </w:r>
      <w:r w:rsidR="007C615F" w:rsidRPr="00A11401">
        <w:rPr>
          <w:sz w:val="24"/>
          <w:lang w:val="ro-RO"/>
        </w:rPr>
        <w:tab/>
      </w:r>
      <w:r w:rsidR="00A11401" w:rsidRPr="00AA5A94">
        <w:rPr>
          <w:sz w:val="24"/>
          <w:u w:val="single" w:color="0000FF"/>
          <w:lang w:val="ro-RO"/>
        </w:rPr>
        <w:t>JO L 274, 30.7.2021, p. 1.</w:t>
      </w:r>
    </w:p>
  </w:footnote>
  <w:footnote w:id="3">
    <w:p w:rsidR="00450EE1" w:rsidRPr="007C615F" w:rsidRDefault="00450EE1" w:rsidP="007C615F">
      <w:pPr>
        <w:pStyle w:val="FootnoteText"/>
        <w:ind w:left="567" w:hanging="567"/>
        <w:rPr>
          <w:sz w:val="24"/>
          <w:lang w:val="ro-RO"/>
        </w:rPr>
      </w:pPr>
      <w:r w:rsidRPr="007C615F">
        <w:rPr>
          <w:rStyle w:val="FootnoteReference"/>
          <w:sz w:val="24"/>
          <w:lang w:val="ro-RO"/>
        </w:rPr>
        <w:footnoteRef/>
      </w:r>
      <w:r w:rsidR="007C615F" w:rsidRPr="007C615F">
        <w:rPr>
          <w:sz w:val="24"/>
          <w:lang w:val="ro-RO"/>
        </w:rPr>
        <w:t xml:space="preserve"> </w:t>
      </w:r>
      <w:r w:rsidR="007C615F" w:rsidRPr="007C615F">
        <w:rPr>
          <w:sz w:val="24"/>
          <w:lang w:val="ro-RO"/>
        </w:rPr>
        <w:tab/>
      </w:r>
      <w:r w:rsidRPr="007C615F">
        <w:rPr>
          <w:sz w:val="24"/>
          <w:lang w:val="ro-RO"/>
        </w:rPr>
        <w:t>Regulamentul delegat (UE) 2023/1184 al Comisiei din 10 februarie 2023 de completare a Directivei (UE) 2018/2001 a Parlamentului European și a Consiliului prin instituirea unei metodologii a Uniunii de stabilire a unor norme detaliate pentru producția de combustibili lichizi și gazoși de origine nebiologică obținuți din surse regenerabil</w:t>
      </w:r>
      <w:r w:rsidR="003C3060">
        <w:rPr>
          <w:sz w:val="24"/>
          <w:lang w:val="ro-RO"/>
        </w:rPr>
        <w:t xml:space="preserve">e și utilizați în transporturi </w:t>
      </w:r>
      <w:r w:rsidR="001B7CCB">
        <w:rPr>
          <w:sz w:val="24"/>
          <w:lang w:val="ro-RO"/>
        </w:rPr>
        <w:t>(</w:t>
      </w:r>
      <w:r w:rsidR="003C3060">
        <w:rPr>
          <w:sz w:val="24"/>
          <w:lang w:val="ro-RO"/>
        </w:rPr>
        <w:t>J</w:t>
      </w:r>
      <w:r w:rsidRPr="007C615F">
        <w:rPr>
          <w:sz w:val="24"/>
          <w:lang w:val="ro-RO"/>
        </w:rPr>
        <w:t>O L 157, 20.6.2023, p. 11</w:t>
      </w:r>
      <w:r w:rsidR="001B7CCB">
        <w:rPr>
          <w:sz w:val="24"/>
          <w:lang w:val="ro-RO"/>
        </w:rPr>
        <w:t>).</w:t>
      </w:r>
    </w:p>
  </w:footnote>
  <w:footnote w:id="4">
    <w:p w:rsidR="00450EE1" w:rsidRPr="007C615F" w:rsidRDefault="00450EE1" w:rsidP="007C615F">
      <w:pPr>
        <w:pStyle w:val="FootnoteText"/>
        <w:ind w:left="567" w:hanging="567"/>
        <w:rPr>
          <w:sz w:val="24"/>
          <w:lang w:val="ro-RO"/>
        </w:rPr>
      </w:pPr>
      <w:r w:rsidRPr="007C615F">
        <w:rPr>
          <w:rStyle w:val="FootnoteReference"/>
          <w:sz w:val="24"/>
          <w:lang w:val="ro-RO"/>
        </w:rPr>
        <w:footnoteRef/>
      </w:r>
      <w:r w:rsidR="007C615F" w:rsidRPr="007C615F">
        <w:rPr>
          <w:sz w:val="24"/>
          <w:lang w:val="ro-RO"/>
        </w:rPr>
        <w:t xml:space="preserve"> </w:t>
      </w:r>
      <w:r w:rsidR="007C615F" w:rsidRPr="007C615F">
        <w:rPr>
          <w:sz w:val="24"/>
          <w:lang w:val="ro-RO"/>
        </w:rPr>
        <w:tab/>
      </w:r>
      <w:r w:rsidRPr="007C615F">
        <w:rPr>
          <w:sz w:val="24"/>
          <w:lang w:val="ro-RO"/>
        </w:rPr>
        <w:t>Raportul Băncii Mondiale, „Global Economic Prospects” (Perspective economice globale), ianuarie 2024, https://www.worldbank.org/en/publication/global-economic-prospects.</w:t>
      </w:r>
    </w:p>
  </w:footnote>
  <w:footnote w:id="5">
    <w:p w:rsidR="00450EE1" w:rsidRPr="007C615F" w:rsidRDefault="00450EE1" w:rsidP="007C615F">
      <w:pPr>
        <w:pStyle w:val="FootnoteText"/>
        <w:ind w:left="567" w:hanging="567"/>
        <w:rPr>
          <w:sz w:val="24"/>
          <w:lang w:val="ro-RO"/>
        </w:rPr>
      </w:pPr>
      <w:r w:rsidRPr="007C615F">
        <w:rPr>
          <w:rStyle w:val="FootnoteReference"/>
          <w:sz w:val="24"/>
          <w:lang w:val="ro-RO"/>
        </w:rPr>
        <w:footnoteRef/>
      </w:r>
      <w:r w:rsidR="007C615F" w:rsidRPr="007C615F">
        <w:rPr>
          <w:sz w:val="24"/>
          <w:lang w:val="ro-RO"/>
        </w:rPr>
        <w:t xml:space="preserve"> </w:t>
      </w:r>
      <w:r w:rsidR="007C615F" w:rsidRPr="007C615F">
        <w:rPr>
          <w:sz w:val="24"/>
          <w:lang w:val="ro-RO"/>
        </w:rPr>
        <w:tab/>
      </w:r>
      <w:r w:rsidRPr="007C615F">
        <w:rPr>
          <w:sz w:val="24"/>
          <w:lang w:val="ro-RO"/>
        </w:rPr>
        <w:t xml:space="preserve">Regulamentul (CE) nr. 1049/2001 al Parlamentului European și al Consiliului din 30 mai 2001 privind accesul public la documentele Parlamentului European, ale Consiliului și ale Comisiei </w:t>
      </w:r>
      <w:r w:rsidR="001B7CCB">
        <w:rPr>
          <w:sz w:val="24"/>
          <w:lang w:val="ro-RO"/>
        </w:rPr>
        <w:t>(</w:t>
      </w:r>
      <w:r w:rsidRPr="007C615F">
        <w:rPr>
          <w:sz w:val="24"/>
          <w:lang w:val="ro-RO"/>
        </w:rPr>
        <w:t>JO L 145, 31.5.2001, p. 43</w:t>
      </w:r>
      <w:r w:rsidR="001B7CCB">
        <w:rPr>
          <w:sz w:val="24"/>
          <w:lang w:val="ro-RO"/>
        </w:rPr>
        <w:t>).</w:t>
      </w:r>
    </w:p>
  </w:footnote>
  <w:footnote w:id="6">
    <w:p w:rsidR="00450EE1" w:rsidRPr="007C615F" w:rsidRDefault="00450EE1" w:rsidP="007C615F">
      <w:pPr>
        <w:pStyle w:val="FootnoteText"/>
        <w:ind w:left="567" w:hanging="567"/>
        <w:rPr>
          <w:sz w:val="24"/>
          <w:lang w:val="ro-RO"/>
        </w:rPr>
      </w:pPr>
      <w:r w:rsidRPr="007C615F">
        <w:rPr>
          <w:rStyle w:val="FootnoteReference"/>
          <w:sz w:val="24"/>
          <w:lang w:val="ro-RO"/>
        </w:rPr>
        <w:footnoteRef/>
      </w:r>
      <w:r w:rsidR="007C615F" w:rsidRPr="007C615F">
        <w:rPr>
          <w:sz w:val="24"/>
          <w:lang w:val="ro-RO"/>
        </w:rPr>
        <w:t xml:space="preserve"> </w:t>
      </w:r>
      <w:r w:rsidR="007C615F" w:rsidRPr="007C615F">
        <w:rPr>
          <w:sz w:val="24"/>
          <w:lang w:val="ro-RO"/>
        </w:rPr>
        <w:tab/>
      </w:r>
      <w:r w:rsidRPr="007C615F">
        <w:rPr>
          <w:sz w:val="24"/>
          <w:lang w:val="ro-RO"/>
        </w:rPr>
        <w:t xml:space="preserve">Regulamentul (CE) nr. 1367/2006 al Parlamentului European și al Consiliului din 6 septembrie 2006 privind aplicarea, pentru instituțiile și organismele comunitare, a dispozițiilor Convenției de la Aarhus privind accesul la informație, participarea publicului la luarea deciziilor și accesul la justiție în domeniul mediului </w:t>
      </w:r>
      <w:r w:rsidR="001B7CCB">
        <w:rPr>
          <w:sz w:val="24"/>
          <w:lang w:val="ro-RO"/>
        </w:rPr>
        <w:t>(</w:t>
      </w:r>
      <w:r w:rsidRPr="007C615F">
        <w:rPr>
          <w:sz w:val="24"/>
          <w:lang w:val="ro-RO"/>
        </w:rPr>
        <w:t>JO L 264, 25.9.2006, p. 13</w:t>
      </w:r>
      <w:r w:rsidR="001B7CCB">
        <w:rPr>
          <w:sz w:val="24"/>
          <w:lang w:val="ro-RO"/>
        </w:rPr>
        <w:t>)</w:t>
      </w:r>
      <w:r w:rsidRPr="007C615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1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RO"/>
    <w:docVar w:name="dvnumam" w:val="0"/>
    <w:docVar w:name="dvpe" w:val="757.274"/>
    <w:docVar w:name="dvrapporteur" w:val="Raportor: "/>
    <w:docVar w:name="dvtitre" w:val="Rezoluția Parlamentului European din ... 2024 referitor la activitățile financiare ale Băncii Europene de Investiții – raportul anual pe 2023(2023/2229(INI))"/>
  </w:docVars>
  <w:rsids>
    <w:rsidRoot w:val="006C2514"/>
    <w:rsid w:val="00002272"/>
    <w:rsid w:val="00052A42"/>
    <w:rsid w:val="00064002"/>
    <w:rsid w:val="000677B9"/>
    <w:rsid w:val="000831BA"/>
    <w:rsid w:val="000A42CC"/>
    <w:rsid w:val="000E7DD9"/>
    <w:rsid w:val="0010095E"/>
    <w:rsid w:val="00125B37"/>
    <w:rsid w:val="00187494"/>
    <w:rsid w:val="001B7CCB"/>
    <w:rsid w:val="001F32AE"/>
    <w:rsid w:val="002767FF"/>
    <w:rsid w:val="002B18FE"/>
    <w:rsid w:val="002B5493"/>
    <w:rsid w:val="00343214"/>
    <w:rsid w:val="00361C00"/>
    <w:rsid w:val="00395FA1"/>
    <w:rsid w:val="003C3060"/>
    <w:rsid w:val="003E15D4"/>
    <w:rsid w:val="00411CCE"/>
    <w:rsid w:val="0041666E"/>
    <w:rsid w:val="00421060"/>
    <w:rsid w:val="00450EE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2514"/>
    <w:rsid w:val="006F74FA"/>
    <w:rsid w:val="00731ADD"/>
    <w:rsid w:val="00734777"/>
    <w:rsid w:val="00747932"/>
    <w:rsid w:val="00751A4A"/>
    <w:rsid w:val="00756632"/>
    <w:rsid w:val="00762C74"/>
    <w:rsid w:val="00786EC0"/>
    <w:rsid w:val="007C615F"/>
    <w:rsid w:val="007D1690"/>
    <w:rsid w:val="007E22AD"/>
    <w:rsid w:val="00817416"/>
    <w:rsid w:val="00837FE0"/>
    <w:rsid w:val="00842779"/>
    <w:rsid w:val="00865F67"/>
    <w:rsid w:val="00881A7B"/>
    <w:rsid w:val="008840E5"/>
    <w:rsid w:val="00887B3E"/>
    <w:rsid w:val="008C2AC6"/>
    <w:rsid w:val="00930C23"/>
    <w:rsid w:val="0093193B"/>
    <w:rsid w:val="009509D8"/>
    <w:rsid w:val="00950B64"/>
    <w:rsid w:val="00981893"/>
    <w:rsid w:val="00A11401"/>
    <w:rsid w:val="00A1687D"/>
    <w:rsid w:val="00A43E52"/>
    <w:rsid w:val="00A4678D"/>
    <w:rsid w:val="00A778C7"/>
    <w:rsid w:val="00AA5A9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AF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6F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AC456"/>
  <w15:chartTrackingRefBased/>
  <w15:docId w15:val="{6C0CDF1B-7906-4E2E-9487-492C4BDC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0EE1"/>
    <w:pPr>
      <w:spacing w:before="480" w:after="240"/>
    </w:pPr>
    <w:rPr>
      <w:snapToGrid w:val="0"/>
      <w:lang w:eastAsia="en-US"/>
    </w:rPr>
  </w:style>
  <w:style w:type="paragraph" w:customStyle="1" w:styleId="NormalHanging12a">
    <w:name w:val="NormalHanging12a"/>
    <w:basedOn w:val="Normal"/>
    <w:link w:val="NormalHanging12aChar"/>
    <w:rsid w:val="00450EE1"/>
    <w:pPr>
      <w:widowControl/>
      <w:spacing w:after="240"/>
      <w:ind w:left="567" w:hanging="567"/>
    </w:pPr>
    <w:rPr>
      <w:snapToGrid w:val="0"/>
      <w:lang w:eastAsia="en-US"/>
    </w:rPr>
  </w:style>
  <w:style w:type="paragraph" w:customStyle="1" w:styleId="NormalCenter12a">
    <w:name w:val="NormalCenter12a"/>
    <w:basedOn w:val="Normal"/>
    <w:rsid w:val="00450EE1"/>
    <w:pPr>
      <w:spacing w:after="240"/>
      <w:jc w:val="center"/>
    </w:pPr>
  </w:style>
  <w:style w:type="character" w:customStyle="1" w:styleId="BoldItalic">
    <w:name w:val="BoldItalic"/>
    <w:uiPriority w:val="1"/>
    <w:rsid w:val="00450EE1"/>
    <w:rPr>
      <w:b/>
      <w:i/>
      <w:u w:val="none"/>
    </w:rPr>
  </w:style>
  <w:style w:type="character" w:customStyle="1" w:styleId="Italic">
    <w:name w:val="Italic"/>
    <w:uiPriority w:val="1"/>
    <w:rsid w:val="00450EE1"/>
    <w:rPr>
      <w:i/>
    </w:rPr>
  </w:style>
  <w:style w:type="paragraph" w:customStyle="1" w:styleId="Normal12a24b">
    <w:name w:val="Normal12a24b"/>
    <w:basedOn w:val="Normal"/>
    <w:rsid w:val="00450EE1"/>
    <w:pPr>
      <w:spacing w:before="360" w:after="240"/>
    </w:pPr>
    <w:rPr>
      <w:snapToGrid w:val="0"/>
      <w:lang w:eastAsia="en-US"/>
    </w:rPr>
  </w:style>
  <w:style w:type="character" w:customStyle="1" w:styleId="NormalHanging12aChar">
    <w:name w:val="NormalHanging12a Char"/>
    <w:basedOn w:val="DefaultParagraphFont"/>
    <w:link w:val="NormalHanging12a"/>
    <w:rsid w:val="00450EE1"/>
    <w:rPr>
      <w:snapToGrid w:val="0"/>
      <w:sz w:val="24"/>
      <w:lang w:val="ro-RO" w:eastAsia="en-US"/>
    </w:rPr>
  </w:style>
  <w:style w:type="character" w:styleId="Hyperlink">
    <w:name w:val="Hyperlink"/>
    <w:basedOn w:val="DefaultParagraphFont"/>
    <w:uiPriority w:val="99"/>
    <w:unhideWhenUsed/>
    <w:rsid w:val="00450EE1"/>
    <w:rPr>
      <w:color w:val="0563C1" w:themeColor="hyperlink"/>
      <w:u w:val="single"/>
    </w:rPr>
  </w:style>
  <w:style w:type="paragraph" w:styleId="BalloonText">
    <w:name w:val="Balloon Text"/>
    <w:basedOn w:val="Normal"/>
    <w:link w:val="BalloonTextChar"/>
    <w:rsid w:val="00F466FE"/>
    <w:rPr>
      <w:rFonts w:ascii="Segoe UI" w:hAnsi="Segoe UI" w:cs="Segoe UI"/>
      <w:sz w:val="18"/>
      <w:szCs w:val="18"/>
    </w:rPr>
  </w:style>
  <w:style w:type="character" w:customStyle="1" w:styleId="BalloonTextChar">
    <w:name w:val="Balloon Text Char"/>
    <w:basedOn w:val="DefaultParagraphFont"/>
    <w:link w:val="BalloonText"/>
    <w:rsid w:val="00F466F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ro/case/ro/6138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F95D-29ED-4CEB-A704-8B0D02866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5771</Words>
  <Characters>33243</Characters>
  <Application>Microsoft Office Word</Application>
  <DocSecurity>0</DocSecurity>
  <Lines>1072</Lines>
  <Paragraphs>609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OBADA Liliana</cp:lastModifiedBy>
  <cp:revision>2</cp:revision>
  <cp:lastPrinted>2004-11-19T15:42:00Z</cp:lastPrinted>
  <dcterms:created xsi:type="dcterms:W3CDTF">2024-03-22T12:47:00Z</dcterms:created>
  <dcterms:modified xsi:type="dcterms:W3CDTF">2024-03-22T12:47:00Z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A9-0031/2024</vt:lpwstr>
  </property>
  <property fmtid="{D5CDD505-2E9C-101B-9397-08002B2CF9AE}" pid="4" name="&lt;Type&gt;">
    <vt:lpwstr>RR</vt:lpwstr>
  </property>
</Properties>
</file>