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2AA9" w:rsidTr="0010095E">
        <w:trPr>
          <w:trHeight w:hRule="exact" w:val="1418"/>
        </w:trPr>
        <w:tc>
          <w:tcPr>
            <w:tcW w:w="6804" w:type="dxa"/>
            <w:shd w:val="clear" w:color="auto" w:fill="auto"/>
            <w:vAlign w:val="center"/>
          </w:tcPr>
          <w:p w:rsidR="00751A4A" w:rsidRPr="00BF2AA9" w:rsidRDefault="00E10D3A" w:rsidP="0010095E">
            <w:pPr>
              <w:pStyle w:val="EPName"/>
            </w:pPr>
            <w:r w:rsidRPr="00BF2AA9">
              <w:t>Europaparlamentet</w:t>
            </w:r>
          </w:p>
          <w:p w:rsidR="00751A4A" w:rsidRPr="00BF2AA9" w:rsidRDefault="00817416" w:rsidP="00756632">
            <w:pPr>
              <w:pStyle w:val="EPTerm"/>
              <w:rPr>
                <w:rStyle w:val="HideTWBExt"/>
                <w:noProof w:val="0"/>
                <w:vanish w:val="0"/>
                <w:color w:val="auto"/>
              </w:rPr>
            </w:pPr>
            <w:r w:rsidRPr="00BF2AA9">
              <w:t>2019-2024</w:t>
            </w:r>
          </w:p>
        </w:tc>
        <w:tc>
          <w:tcPr>
            <w:tcW w:w="2268" w:type="dxa"/>
            <w:shd w:val="clear" w:color="auto" w:fill="auto"/>
          </w:tcPr>
          <w:p w:rsidR="00751A4A" w:rsidRPr="00BF2AA9" w:rsidRDefault="00187494" w:rsidP="0010095E">
            <w:pPr>
              <w:pStyle w:val="EPLogo"/>
            </w:pPr>
            <w:r w:rsidRPr="00BF2A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2AA9" w:rsidRDefault="00D058B8" w:rsidP="004C5D52">
      <w:pPr>
        <w:pStyle w:val="LineTop"/>
      </w:pPr>
    </w:p>
    <w:p w:rsidR="00680577" w:rsidRPr="00BF2AA9" w:rsidRDefault="00E10D3A" w:rsidP="00680577">
      <w:pPr>
        <w:pStyle w:val="EPBodyTA1"/>
      </w:pPr>
      <w:r w:rsidRPr="00BF2AA9">
        <w:t>ANTAGNA TEXTER</w:t>
      </w:r>
    </w:p>
    <w:p w:rsidR="00D058B8" w:rsidRPr="00BF2AA9" w:rsidRDefault="00D058B8" w:rsidP="00D058B8">
      <w:pPr>
        <w:pStyle w:val="LineBottom"/>
      </w:pPr>
    </w:p>
    <w:p w:rsidR="00E10D3A" w:rsidRPr="00BF2AA9" w:rsidRDefault="00E10D3A" w:rsidP="00E10D3A">
      <w:pPr>
        <w:pStyle w:val="ATHeading1"/>
      </w:pPr>
      <w:bookmarkStart w:id="0" w:name="TANumber"/>
      <w:r w:rsidRPr="00BF2AA9">
        <w:t>P9_TA(2024)</w:t>
      </w:r>
      <w:bookmarkEnd w:id="0"/>
      <w:r w:rsidR="00601EC8" w:rsidRPr="00BF2AA9">
        <w:t>0107</w:t>
      </w:r>
    </w:p>
    <w:p w:rsidR="00E10D3A" w:rsidRPr="00BF2AA9" w:rsidRDefault="00E10D3A" w:rsidP="00E10D3A">
      <w:pPr>
        <w:pStyle w:val="ATHeading2"/>
      </w:pPr>
      <w:bookmarkStart w:id="1" w:name="title"/>
      <w:r w:rsidRPr="00BF2AA9">
        <w:t>Europeiska investeringsbankens finansiella verksamhet – årsrapport 2023</w:t>
      </w:r>
      <w:bookmarkEnd w:id="1"/>
    </w:p>
    <w:p w:rsidR="00E10D3A" w:rsidRPr="00BF2AA9" w:rsidRDefault="00E10D3A" w:rsidP="00E10D3A">
      <w:pPr>
        <w:rPr>
          <w:i/>
          <w:vanish/>
        </w:rPr>
      </w:pPr>
      <w:r w:rsidRPr="00BF2AA9">
        <w:rPr>
          <w:i/>
        </w:rPr>
        <w:fldChar w:fldCharType="begin"/>
      </w:r>
      <w:r w:rsidRPr="00BF2AA9">
        <w:rPr>
          <w:i/>
        </w:rPr>
        <w:instrText xml:space="preserve"> TC"(</w:instrText>
      </w:r>
      <w:bookmarkStart w:id="2" w:name="DocNumber"/>
      <w:r w:rsidRPr="00BF2AA9">
        <w:rPr>
          <w:i/>
        </w:rPr>
        <w:instrText>A9-0031/2024</w:instrText>
      </w:r>
      <w:bookmarkEnd w:id="2"/>
      <w:r w:rsidRPr="00BF2AA9">
        <w:rPr>
          <w:i/>
        </w:rPr>
        <w:instrText xml:space="preserve"> - Föredragande: David Cormand)"\l3 \n&gt; \* MERGEFORMAT </w:instrText>
      </w:r>
      <w:r w:rsidRPr="00BF2AA9">
        <w:rPr>
          <w:i/>
        </w:rPr>
        <w:fldChar w:fldCharType="end"/>
      </w:r>
    </w:p>
    <w:p w:rsidR="00E10D3A" w:rsidRPr="00BF2AA9" w:rsidRDefault="00E10D3A" w:rsidP="00E10D3A">
      <w:pPr>
        <w:rPr>
          <w:vanish/>
        </w:rPr>
      </w:pPr>
      <w:bookmarkStart w:id="3" w:name="Commission"/>
      <w:r w:rsidRPr="00BF2AA9">
        <w:rPr>
          <w:vanish/>
        </w:rPr>
        <w:t>Budgetutskottet</w:t>
      </w:r>
      <w:bookmarkEnd w:id="3"/>
    </w:p>
    <w:p w:rsidR="00E10D3A" w:rsidRPr="00BF2AA9" w:rsidRDefault="00E10D3A" w:rsidP="00E10D3A">
      <w:pPr>
        <w:rPr>
          <w:vanish/>
        </w:rPr>
      </w:pPr>
      <w:bookmarkStart w:id="4" w:name="PE"/>
      <w:r w:rsidRPr="00BF2AA9">
        <w:rPr>
          <w:vanish/>
        </w:rPr>
        <w:t>PE757.274</w:t>
      </w:r>
      <w:bookmarkEnd w:id="4"/>
    </w:p>
    <w:p w:rsidR="00E10D3A" w:rsidRPr="00BF2AA9" w:rsidRDefault="00E10D3A" w:rsidP="004B6F3F">
      <w:pPr>
        <w:pStyle w:val="ATHeading3"/>
      </w:pPr>
      <w:bookmarkStart w:id="5" w:name="Sujet"/>
      <w:r w:rsidRPr="00BF2AA9">
        <w:t xml:space="preserve">Europaparlamentets resolution av den </w:t>
      </w:r>
      <w:r w:rsidR="00601EC8" w:rsidRPr="00BF2AA9">
        <w:t xml:space="preserve">28 </w:t>
      </w:r>
      <w:r w:rsidR="007C7705" w:rsidRPr="00BF2AA9">
        <w:t xml:space="preserve">februari </w:t>
      </w:r>
      <w:r w:rsidRPr="00BF2AA9">
        <w:t>2024 om Europeiska investeringsbankens finansiella verksamhet – årsrapport 2023</w:t>
      </w:r>
      <w:bookmarkEnd w:id="5"/>
      <w:r w:rsidRPr="00BF2AA9">
        <w:t xml:space="preserve"> </w:t>
      </w:r>
      <w:bookmarkStart w:id="6" w:name="References"/>
      <w:r w:rsidRPr="00BF2AA9">
        <w:t>(2023/2229(INI))</w:t>
      </w:r>
      <w:bookmarkEnd w:id="6"/>
    </w:p>
    <w:p w:rsidR="00B7300B" w:rsidRPr="00BF2AA9" w:rsidRDefault="00B7300B" w:rsidP="00B7300B">
      <w:pPr>
        <w:pStyle w:val="EPComma"/>
      </w:pPr>
      <w:bookmarkStart w:id="7" w:name="TextBodyBegin"/>
      <w:bookmarkEnd w:id="7"/>
      <w:r w:rsidRPr="00BF2AA9">
        <w:rPr>
          <w:rStyle w:val="Italic"/>
        </w:rPr>
        <w:t>Europaparlamentet utfärdar denna resolution</w:t>
      </w:r>
      <w:r w:rsidRPr="00BF2AA9">
        <w:t xml:space="preserve"> </w:t>
      </w:r>
    </w:p>
    <w:p w:rsidR="00B7300B" w:rsidRPr="00BF2AA9" w:rsidRDefault="00B7300B" w:rsidP="00B7300B">
      <w:pPr>
        <w:pStyle w:val="NormalHanging12a"/>
      </w:pPr>
      <w:r w:rsidRPr="00BF2AA9">
        <w:t>–</w:t>
      </w:r>
      <w:r w:rsidRPr="00BF2AA9">
        <w:tab/>
        <w:t>med beaktande av artiklarna 2 och 3 i fördraget om Europeiska unionen,</w:t>
      </w:r>
    </w:p>
    <w:p w:rsidR="00B7300B" w:rsidRPr="00BF2AA9" w:rsidRDefault="00B7300B" w:rsidP="00B7300B">
      <w:pPr>
        <w:pStyle w:val="NormalHanging12a"/>
      </w:pPr>
      <w:r w:rsidRPr="00BF2AA9">
        <w:t>–</w:t>
      </w:r>
      <w:r w:rsidRPr="00BF2AA9">
        <w:tab/>
        <w:t>med beaktande av artiklarna 15, 126, 174, 175, 177, 208, 209, 271, 308 och 309 i fördraget om Europeiska unionens funktionssätt (EUF-fördraget) och dess protokoll nr 5 om Europeiska investeringsbankens stadga (EIB),</w:t>
      </w:r>
    </w:p>
    <w:p w:rsidR="00B7300B" w:rsidRPr="00BF2AA9" w:rsidRDefault="00B7300B" w:rsidP="00B7300B">
      <w:pPr>
        <w:pStyle w:val="NormalHanging12a"/>
      </w:pPr>
      <w:r w:rsidRPr="00BF2AA9">
        <w:t>–</w:t>
      </w:r>
      <w:r w:rsidRPr="00BF2AA9">
        <w:tab/>
        <w:t>med beaktande av artiklarna 41–43 i fördraget om upprättandet av Europeiska atomenergigemenskapen,</w:t>
      </w:r>
    </w:p>
    <w:p w:rsidR="00B7300B" w:rsidRPr="00BF2AA9" w:rsidRDefault="00B7300B" w:rsidP="00B7300B">
      <w:pPr>
        <w:pStyle w:val="NormalHanging12a"/>
      </w:pPr>
      <w:r w:rsidRPr="00BF2AA9">
        <w:t>–</w:t>
      </w:r>
      <w:r w:rsidRPr="00BF2AA9">
        <w:tab/>
        <w:t>med beaktande av EIB:s pressmeddelande av den 7 oktober 2016, där bifall uttrycktes för EU:s ratificering av Parisavtalet,</w:t>
      </w:r>
    </w:p>
    <w:p w:rsidR="00B7300B" w:rsidRPr="00BF2AA9" w:rsidRDefault="00B7300B" w:rsidP="00B7300B">
      <w:pPr>
        <w:pStyle w:val="NormalHanging12a"/>
      </w:pPr>
      <w:r w:rsidRPr="00BF2AA9">
        <w:t>–</w:t>
      </w:r>
      <w:r w:rsidRPr="00BF2AA9">
        <w:tab/>
        <w:t>med beaktande av EIB:s verksamhetsutvärderingsrapport 2022 och arbetsprogrammet för 2023–2025, som offentliggjordes den 3 mars 2023,</w:t>
      </w:r>
    </w:p>
    <w:p w:rsidR="00B7300B" w:rsidRPr="00BF2AA9" w:rsidRDefault="00B7300B" w:rsidP="00B7300B">
      <w:pPr>
        <w:pStyle w:val="NormalHanging12a"/>
      </w:pPr>
      <w:r w:rsidRPr="00BF2AA9">
        <w:t>–</w:t>
      </w:r>
      <w:r w:rsidRPr="00BF2AA9">
        <w:tab/>
        <w:t>med beaktande av förfarandena för EIB:s mekanism för klagomålshantering, som offentliggjordes den 13 november 2018,</w:t>
      </w:r>
    </w:p>
    <w:p w:rsidR="00B7300B" w:rsidRPr="00BF2AA9" w:rsidRDefault="00B7300B" w:rsidP="00B7300B">
      <w:pPr>
        <w:pStyle w:val="NormalHanging12a"/>
      </w:pPr>
      <w:r w:rsidRPr="00BF2AA9">
        <w:t>–</w:t>
      </w:r>
      <w:r w:rsidRPr="00BF2AA9">
        <w:tab/>
        <w:t xml:space="preserve">med beaktande av EIB:s publikation </w:t>
      </w:r>
      <w:r w:rsidRPr="00BF2AA9">
        <w:rPr>
          <w:i/>
          <w:iCs/>
        </w:rPr>
        <w:t>EIB energy lending policy</w:t>
      </w:r>
      <w:r w:rsidRPr="00BF2AA9">
        <w:t>, som offentliggjordes den 8 maj 2023,</w:t>
      </w:r>
    </w:p>
    <w:p w:rsidR="00B7300B" w:rsidRPr="00BF2AA9" w:rsidRDefault="00B7300B" w:rsidP="00B7300B">
      <w:pPr>
        <w:pStyle w:val="NormalHanging12a"/>
      </w:pPr>
      <w:r w:rsidRPr="00BF2AA9">
        <w:t>–</w:t>
      </w:r>
      <w:r w:rsidRPr="00BF2AA9">
        <w:tab/>
        <w:t xml:space="preserve">med beaktande av EIB-gruppens klimatbanksfärdplan </w:t>
      </w:r>
      <w:r w:rsidRPr="00BF2AA9">
        <w:rPr>
          <w:i/>
          <w:iCs/>
        </w:rPr>
        <w:t>Climate Bank Roadmap 2021</w:t>
      </w:r>
      <w:r w:rsidRPr="00BF2AA9">
        <w:rPr>
          <w:i/>
          <w:iCs/>
        </w:rPr>
        <w:noBreakHyphen/>
        <w:t>2025</w:t>
      </w:r>
      <w:r w:rsidRPr="00BF2AA9">
        <w:t>, som EIB:s styrelse antog den 11 november 2020, och av EIB:s klimatstrategi av den 15 november 2020,</w:t>
      </w:r>
    </w:p>
    <w:p w:rsidR="00B7300B" w:rsidRPr="00BF2AA9" w:rsidRDefault="00B7300B" w:rsidP="00B7300B">
      <w:pPr>
        <w:pStyle w:val="NormalHanging12a"/>
      </w:pPr>
      <w:r w:rsidRPr="00BF2AA9">
        <w:t>–</w:t>
      </w:r>
      <w:r w:rsidRPr="00BF2AA9">
        <w:tab/>
        <w:t>med beaktande av EIB-gruppens verksamhetsplan 2023–2025, som offentliggjordes den 2 februari 2023,</w:t>
      </w:r>
    </w:p>
    <w:p w:rsidR="00B7300B" w:rsidRPr="00BF2AA9" w:rsidRDefault="00B7300B" w:rsidP="00B7300B">
      <w:pPr>
        <w:pStyle w:val="NormalHanging12a"/>
      </w:pPr>
      <w:r w:rsidRPr="00BF2AA9">
        <w:t>–</w:t>
      </w:r>
      <w:r w:rsidRPr="00BF2AA9">
        <w:tab/>
        <w:t xml:space="preserve">med beaktande av EIB:s investeringsrapport för 2022/2023 </w:t>
      </w:r>
      <w:r w:rsidRPr="00BF2AA9">
        <w:rPr>
          <w:i/>
          <w:iCs/>
        </w:rPr>
        <w:t>Resilience and renewal in Europe</w:t>
      </w:r>
      <w:r w:rsidRPr="00BF2AA9">
        <w:t>, som offentliggjordes den 28 februari 2023,</w:t>
      </w:r>
    </w:p>
    <w:p w:rsidR="00B7300B" w:rsidRPr="00BF2AA9" w:rsidRDefault="00B7300B" w:rsidP="00B7300B">
      <w:pPr>
        <w:pStyle w:val="NormalHanging12a"/>
      </w:pPr>
      <w:r w:rsidRPr="00BF2AA9">
        <w:lastRenderedPageBreak/>
        <w:t>–</w:t>
      </w:r>
      <w:r w:rsidRPr="00BF2AA9">
        <w:tab/>
        <w:t xml:space="preserve">med beaktande av EIB-gruppens verksamhetsberättelse för 2022 </w:t>
      </w:r>
      <w:r w:rsidRPr="00BF2AA9">
        <w:rPr>
          <w:i/>
          <w:iCs/>
        </w:rPr>
        <w:t>Secure Europe</w:t>
      </w:r>
      <w:r w:rsidRPr="00BF2AA9">
        <w:t>, som offentliggjordes den 2 februari 2023,</w:t>
      </w:r>
    </w:p>
    <w:p w:rsidR="00B7300B" w:rsidRPr="00BF2AA9" w:rsidRDefault="00B7300B" w:rsidP="00B7300B">
      <w:pPr>
        <w:pStyle w:val="NormalHanging12a"/>
      </w:pPr>
      <w:r w:rsidRPr="00BF2AA9">
        <w:t>–</w:t>
      </w:r>
      <w:r w:rsidRPr="00BF2AA9">
        <w:tab/>
        <w:t>med beaktande av EIB:s översikt över klimatåtgärder och miljömässig hållbarhet 2023, som offentliggjordes den 2 februari 2023,</w:t>
      </w:r>
    </w:p>
    <w:p w:rsidR="00B7300B" w:rsidRPr="00BF2AA9" w:rsidRDefault="00B7300B" w:rsidP="00B7300B">
      <w:pPr>
        <w:pStyle w:val="NormalHanging12a"/>
      </w:pPr>
      <w:r w:rsidRPr="00BF2AA9">
        <w:t>–</w:t>
      </w:r>
      <w:r w:rsidRPr="00BF2AA9">
        <w:tab/>
        <w:t xml:space="preserve">med beaktande av EIB:s miljöram </w:t>
      </w:r>
      <w:r w:rsidRPr="00BF2AA9">
        <w:rPr>
          <w:i/>
          <w:iCs/>
        </w:rPr>
        <w:t>EIB Environment Framework</w:t>
      </w:r>
      <w:r w:rsidRPr="00BF2AA9">
        <w:t>, som antogs den 14 november 2022,</w:t>
      </w:r>
    </w:p>
    <w:p w:rsidR="00B7300B" w:rsidRPr="00BF2AA9" w:rsidRDefault="00B7300B" w:rsidP="00B7300B">
      <w:pPr>
        <w:pStyle w:val="NormalHanging12a"/>
      </w:pPr>
      <w:r w:rsidRPr="00BF2AA9">
        <w:t>–</w:t>
      </w:r>
      <w:r w:rsidRPr="00BF2AA9">
        <w:tab/>
        <w:t>med beaktande av EIB-gruppens rapport om verksamhetsstyrningen 2022 (</w:t>
      </w:r>
      <w:r w:rsidRPr="00BF2AA9">
        <w:rPr>
          <w:i/>
          <w:iCs/>
        </w:rPr>
        <w:t>EIB Group Corporate Governance Report 2022</w:t>
      </w:r>
      <w:r w:rsidRPr="00BF2AA9">
        <w:t>), som offentliggjordes den 8 september 2023,</w:t>
      </w:r>
    </w:p>
    <w:p w:rsidR="00B7300B" w:rsidRPr="00BF2AA9" w:rsidRDefault="00B7300B" w:rsidP="00B7300B">
      <w:pPr>
        <w:pStyle w:val="NormalHanging12a"/>
      </w:pPr>
      <w:r w:rsidRPr="00BF2AA9">
        <w:t>–</w:t>
      </w:r>
      <w:r w:rsidRPr="00BF2AA9">
        <w:tab/>
        <w:t xml:space="preserve">med beaktande av EIB:s publikation av den 29 november 2023 </w:t>
      </w:r>
      <w:r w:rsidRPr="00BF2AA9">
        <w:rPr>
          <w:i/>
          <w:iCs/>
        </w:rPr>
        <w:t>EIB Global Strategic Roadmap: EU Finance for a Sustainable Future</w:t>
      </w:r>
      <w:r w:rsidRPr="00BF2AA9">
        <w:t>,</w:t>
      </w:r>
    </w:p>
    <w:p w:rsidR="00B7300B" w:rsidRPr="00BF2AA9" w:rsidRDefault="00B7300B" w:rsidP="00B7300B">
      <w:pPr>
        <w:pStyle w:val="NormalHanging12a"/>
      </w:pPr>
      <w:r w:rsidRPr="00BF2AA9">
        <w:t>–</w:t>
      </w:r>
      <w:r w:rsidRPr="00BF2AA9">
        <w:tab/>
        <w:t>med beaktande av EIB Globals strategi för en rättvis omställning och rättvis resiliens (</w:t>
      </w:r>
      <w:r w:rsidRPr="00BF2AA9">
        <w:rPr>
          <w:i/>
          <w:iCs/>
        </w:rPr>
        <w:t>EIB Global’s approach to a just transition and just resilience</w:t>
      </w:r>
      <w:r w:rsidRPr="00BF2AA9">
        <w:t>), som offentliggjordes den 27 november 2023,</w:t>
      </w:r>
    </w:p>
    <w:p w:rsidR="00B7300B" w:rsidRPr="00BF2AA9" w:rsidRDefault="00B7300B" w:rsidP="00B7300B">
      <w:pPr>
        <w:pStyle w:val="NormalHanging12a"/>
      </w:pPr>
      <w:r w:rsidRPr="00BF2AA9">
        <w:t>–</w:t>
      </w:r>
      <w:r w:rsidRPr="00BF2AA9">
        <w:tab/>
        <w:t>med beaktande av EIB-gruppens riskhanteringsrapport (</w:t>
      </w:r>
      <w:r w:rsidRPr="00BF2AA9">
        <w:rPr>
          <w:i/>
          <w:iCs/>
        </w:rPr>
        <w:t>EIB Group Risk Management Disclosure Report 2022</w:t>
      </w:r>
      <w:r w:rsidRPr="00BF2AA9">
        <w:t>), som offentliggjordes den 9 augusti 2023,</w:t>
      </w:r>
    </w:p>
    <w:p w:rsidR="00B7300B" w:rsidRPr="00BF2AA9" w:rsidRDefault="00B7300B" w:rsidP="00B7300B">
      <w:pPr>
        <w:pStyle w:val="NormalHanging12a"/>
      </w:pPr>
      <w:r w:rsidRPr="00BF2AA9">
        <w:t>–</w:t>
      </w:r>
      <w:r w:rsidRPr="00BF2AA9">
        <w:tab/>
        <w:t>med beaktande av EIB:s klimatundersökning (</w:t>
      </w:r>
      <w:r w:rsidRPr="00BF2AA9">
        <w:rPr>
          <w:i/>
          <w:iCs/>
        </w:rPr>
        <w:t>EIB Climate Survey</w:t>
      </w:r>
      <w:r w:rsidRPr="00BF2AA9">
        <w:t>) för 2022–2023,</w:t>
      </w:r>
    </w:p>
    <w:p w:rsidR="00B7300B" w:rsidRPr="00BF2AA9" w:rsidRDefault="00B7300B" w:rsidP="00B7300B">
      <w:pPr>
        <w:pStyle w:val="NormalHanging12a"/>
      </w:pPr>
      <w:r w:rsidRPr="00BF2AA9">
        <w:t>–</w:t>
      </w:r>
      <w:r w:rsidRPr="00BF2AA9">
        <w:tab/>
        <w:t>med beaktande av EIB-gruppens ram för miljömässig och social hållbarhet (</w:t>
      </w:r>
      <w:r w:rsidRPr="00BF2AA9">
        <w:rPr>
          <w:i/>
          <w:iCs/>
        </w:rPr>
        <w:t>The EIB Group Environmental and Social Policy</w:t>
      </w:r>
      <w:r w:rsidRPr="00BF2AA9">
        <w:t>), som antogs den 2 februari 2022,</w:t>
      </w:r>
    </w:p>
    <w:p w:rsidR="00B7300B" w:rsidRPr="00BF2AA9" w:rsidRDefault="00B7300B" w:rsidP="00B7300B">
      <w:pPr>
        <w:pStyle w:val="NormalHanging12a"/>
      </w:pPr>
      <w:r w:rsidRPr="00BF2AA9">
        <w:t>–</w:t>
      </w:r>
      <w:r w:rsidRPr="00BF2AA9">
        <w:tab/>
        <w:t xml:space="preserve">med beaktande av EIB:s publikation av den 10 februari 2023 </w:t>
      </w:r>
      <w:r w:rsidRPr="00BF2AA9">
        <w:rPr>
          <w:i/>
          <w:iCs/>
        </w:rPr>
        <w:t>EIB Global – partnership, people, impact</w:t>
      </w:r>
      <w:r w:rsidRPr="00BF2AA9">
        <w:t>,</w:t>
      </w:r>
    </w:p>
    <w:p w:rsidR="00B7300B" w:rsidRPr="00BF2AA9" w:rsidRDefault="00B7300B" w:rsidP="00B7300B">
      <w:pPr>
        <w:pStyle w:val="NormalHanging12a"/>
      </w:pPr>
      <w:r w:rsidRPr="00BF2AA9">
        <w:t>–</w:t>
      </w:r>
      <w:r w:rsidRPr="00BF2AA9">
        <w:tab/>
        <w:t>med beaktande av EIB:s människorättsstrategi, som offentliggjordes den 6 februari 2023,</w:t>
      </w:r>
    </w:p>
    <w:p w:rsidR="00B7300B" w:rsidRPr="00BF2AA9" w:rsidRDefault="00B7300B" w:rsidP="00B7300B">
      <w:pPr>
        <w:pStyle w:val="NormalHanging12a"/>
      </w:pPr>
      <w:r w:rsidRPr="00BF2AA9">
        <w:t>–</w:t>
      </w:r>
      <w:r w:rsidRPr="00BF2AA9">
        <w:tab/>
        <w:t xml:space="preserve">med beaktande av EIB:s rapport av den 29 juni 2023 om verksamheten i sammanhållningsregioner </w:t>
      </w:r>
      <w:r w:rsidRPr="00BF2AA9">
        <w:rPr>
          <w:i/>
          <w:iCs/>
        </w:rPr>
        <w:t>EIB Group activities in EU cohesion regions in 2022</w:t>
      </w:r>
      <w:r w:rsidRPr="00BF2AA9">
        <w:t>,</w:t>
      </w:r>
    </w:p>
    <w:p w:rsidR="00B7300B" w:rsidRPr="00BF2AA9" w:rsidRDefault="00B7300B" w:rsidP="00B7300B">
      <w:pPr>
        <w:pStyle w:val="NormalHanging12a"/>
      </w:pPr>
      <w:r w:rsidRPr="00BF2AA9">
        <w:t>–</w:t>
      </w:r>
      <w:r w:rsidRPr="00BF2AA9">
        <w:tab/>
        <w:t>med beaktande av EIB-gruppens strategi om jämställdhet och kvinnors ekonomiska egenmakt samt handlingsplanen för jämställdhet.</w:t>
      </w:r>
    </w:p>
    <w:p w:rsidR="00B7300B" w:rsidRPr="00BF2AA9" w:rsidRDefault="00B7300B" w:rsidP="00B7300B">
      <w:pPr>
        <w:pStyle w:val="NormalHanging12a"/>
      </w:pPr>
      <w:r w:rsidRPr="00BF2AA9">
        <w:t>–</w:t>
      </w:r>
      <w:r w:rsidRPr="00BF2AA9">
        <w:tab/>
        <w:t>med beaktande av uppförandekoden för EIB-gruppens personal, som offentliggjordes den 3 februari 2023,</w:t>
      </w:r>
    </w:p>
    <w:p w:rsidR="00B7300B" w:rsidRPr="00BF2AA9" w:rsidRDefault="00B7300B" w:rsidP="00B7300B">
      <w:pPr>
        <w:pStyle w:val="NormalHanging12a"/>
      </w:pPr>
      <w:r w:rsidRPr="00BF2AA9">
        <w:t>–</w:t>
      </w:r>
      <w:r w:rsidRPr="00BF2AA9">
        <w:tab/>
        <w:t>med beaktande av uppförandekoden för EIB-gruppens revisionskommitté, som offentliggjordes den 30 november 2021,</w:t>
      </w:r>
    </w:p>
    <w:p w:rsidR="00B7300B" w:rsidRPr="00BF2AA9" w:rsidRDefault="00B7300B" w:rsidP="00B7300B">
      <w:pPr>
        <w:pStyle w:val="NormalHanging12a"/>
      </w:pPr>
      <w:r w:rsidRPr="00BF2AA9">
        <w:t>–</w:t>
      </w:r>
      <w:r w:rsidRPr="00BF2AA9">
        <w:tab/>
        <w:t>med beaktande av uppförandekoden för EIB-gruppens direktion, som offentliggjordes den 14 oktober 2021,</w:t>
      </w:r>
    </w:p>
    <w:p w:rsidR="00B7300B" w:rsidRPr="00BF2AA9" w:rsidRDefault="00B7300B" w:rsidP="00B7300B">
      <w:pPr>
        <w:pStyle w:val="NormalHanging12a"/>
        <w:rPr>
          <w:lang w:val="en-GB"/>
        </w:rPr>
      </w:pPr>
      <w:r w:rsidRPr="00BF2AA9">
        <w:rPr>
          <w:lang w:val="en-GB"/>
        </w:rPr>
        <w:t>–</w:t>
      </w:r>
      <w:r w:rsidRPr="00BF2AA9">
        <w:rPr>
          <w:lang w:val="en-GB"/>
        </w:rPr>
        <w:tab/>
        <w:t>med beaktande av EIB:s publikation av den 27 november 2023</w:t>
      </w:r>
      <w:r w:rsidRPr="00BF2AA9">
        <w:rPr>
          <w:i/>
          <w:iCs/>
          <w:lang w:val="en-GB"/>
        </w:rPr>
        <w:t xml:space="preserve"> EIB Group PATH Framework – Version 1.2 November 2023 – Supporting counterparties on their pathways to align with the Paris Agreement</w:t>
      </w:r>
      <w:r w:rsidRPr="00BF2AA9">
        <w:rPr>
          <w:lang w:val="en-GB"/>
        </w:rPr>
        <w:t>,</w:t>
      </w:r>
    </w:p>
    <w:p w:rsidR="00B7300B" w:rsidRPr="00BF2AA9" w:rsidRDefault="00B7300B" w:rsidP="00B7300B">
      <w:pPr>
        <w:pStyle w:val="NormalHanging12a"/>
      </w:pPr>
      <w:r w:rsidRPr="00BF2AA9">
        <w:lastRenderedPageBreak/>
        <w:t>–</w:t>
      </w:r>
      <w:r w:rsidRPr="00BF2AA9">
        <w:tab/>
        <w:t>med beaktande av EIB:s solidaritetspaket för Ukraina, som godkändes av EIB:s styrelse den 4 mars 2022,</w:t>
      </w:r>
    </w:p>
    <w:p w:rsidR="00B7300B" w:rsidRPr="00BF2AA9" w:rsidRDefault="00B7300B" w:rsidP="00B7300B">
      <w:pPr>
        <w:pStyle w:val="NormalHanging12a"/>
      </w:pPr>
      <w:r w:rsidRPr="00BF2AA9">
        <w:t>–</w:t>
      </w:r>
      <w:r w:rsidRPr="00BF2AA9">
        <w:tab/>
        <w:t>med beaktande av kommissionens meddelande av den 20 maj 2020</w:t>
      </w:r>
      <w:r w:rsidRPr="00BF2AA9">
        <w:rPr>
          <w:i/>
          <w:iCs/>
        </w:rPr>
        <w:t xml:space="preserve"> EU:s strategi för biologisk mångfald för 2030 – Ge naturen större plats i våra liv</w:t>
      </w:r>
      <w:r w:rsidRPr="00BF2AA9">
        <w:t xml:space="preserve"> (COM(2020)0380),</w:t>
      </w:r>
    </w:p>
    <w:p w:rsidR="00B7300B" w:rsidRPr="00BF2AA9" w:rsidRDefault="00B7300B" w:rsidP="00B7300B">
      <w:pPr>
        <w:pStyle w:val="NormalHanging12a"/>
      </w:pPr>
      <w:r w:rsidRPr="00BF2AA9">
        <w:t>–</w:t>
      </w:r>
      <w:r w:rsidRPr="00BF2AA9">
        <w:tab/>
        <w:t xml:space="preserve">med beaktande av kommissionens meddelande av den 20 maj 2020 </w:t>
      </w:r>
      <w:r w:rsidRPr="00BF2AA9">
        <w:rPr>
          <w:i/>
          <w:iCs/>
        </w:rPr>
        <w:t>Från jord till bord-strategin för ett rättvisare, hälsosammare och miljövänligare livsmedelssystem</w:t>
      </w:r>
      <w:r w:rsidRPr="00BF2AA9">
        <w:t xml:space="preserve"> (COM(2020)0381),</w:t>
      </w:r>
    </w:p>
    <w:p w:rsidR="00B7300B" w:rsidRPr="00BF2AA9" w:rsidRDefault="00B7300B" w:rsidP="00B7300B">
      <w:pPr>
        <w:pStyle w:val="NormalHanging12a"/>
      </w:pPr>
      <w:r w:rsidRPr="00BF2AA9">
        <w:t>–</w:t>
      </w:r>
      <w:r w:rsidRPr="00BF2AA9">
        <w:tab/>
        <w:t xml:space="preserve">med beaktande av kommissionens meddelande av den 12 maj 2021 </w:t>
      </w:r>
      <w:r w:rsidRPr="00BF2AA9">
        <w:rPr>
          <w:i/>
          <w:iCs/>
        </w:rPr>
        <w:t>Vägen till en frisk planet för alla – EU-handlingsplan:</w:t>
      </w:r>
      <w:r w:rsidRPr="00BF2AA9">
        <w:t xml:space="preserve"> </w:t>
      </w:r>
      <w:r w:rsidRPr="00BF2AA9">
        <w:rPr>
          <w:i/>
          <w:iCs/>
        </w:rPr>
        <w:t>Med sikte på nollförorening av luft, vatten och mark</w:t>
      </w:r>
      <w:r w:rsidRPr="00BF2AA9">
        <w:t xml:space="preserve"> (COM(2021)0400),</w:t>
      </w:r>
    </w:p>
    <w:p w:rsidR="00B7300B" w:rsidRPr="00BF2AA9" w:rsidRDefault="00B7300B" w:rsidP="00B7300B">
      <w:pPr>
        <w:pStyle w:val="NormalHanging12a"/>
      </w:pPr>
      <w:r w:rsidRPr="00BF2AA9">
        <w:t>–</w:t>
      </w:r>
      <w:r w:rsidRPr="00BF2AA9">
        <w:tab/>
        <w:t xml:space="preserve">med beaktande av kommissionens meddelande av den 1 februari 2023 </w:t>
      </w:r>
      <w:r w:rsidRPr="00BF2AA9">
        <w:rPr>
          <w:i/>
          <w:iCs/>
        </w:rPr>
        <w:t>En industriplan i den gröna given för nettonollåldern</w:t>
      </w:r>
      <w:r w:rsidRPr="00BF2AA9">
        <w:t xml:space="preserve"> (COM(2023)0062),</w:t>
      </w:r>
    </w:p>
    <w:p w:rsidR="00B7300B" w:rsidRPr="00BF2AA9" w:rsidRDefault="00B7300B" w:rsidP="00B7300B">
      <w:pPr>
        <w:pStyle w:val="NormalHanging12a"/>
      </w:pPr>
      <w:r w:rsidRPr="00BF2AA9">
        <w:t>–</w:t>
      </w:r>
      <w:r w:rsidRPr="00BF2AA9">
        <w:tab/>
        <w:t>med beaktande av Europaparlamentets och rådets förordning (EU) 2021/1056 av den 24 juni 2021 om inrättande av Fonden för en rättvis omställning</w:t>
      </w:r>
      <w:r w:rsidRPr="00BF2AA9">
        <w:rPr>
          <w:rStyle w:val="FootnoteReference"/>
        </w:rPr>
        <w:footnoteReference w:id="1"/>
      </w:r>
      <w:r w:rsidRPr="00BF2AA9">
        <w:t>,</w:t>
      </w:r>
    </w:p>
    <w:p w:rsidR="00B7300B" w:rsidRPr="00BF2AA9" w:rsidRDefault="00B7300B" w:rsidP="00B7300B">
      <w:pPr>
        <w:pStyle w:val="NormalHanging12a"/>
      </w:pPr>
      <w:r w:rsidRPr="00BF2AA9">
        <w:t>–</w:t>
      </w:r>
      <w:r w:rsidRPr="00BF2AA9">
        <w:tab/>
        <w:t>med beaktande av Europaparlamentets och rådets förordning (EU) 2021/1229 av den 14 juli 2021 om lånefaciliteten för den offentliga sektorn inom mekanismen för en rättvis omställning</w:t>
      </w:r>
      <w:r w:rsidRPr="00BF2AA9">
        <w:rPr>
          <w:rStyle w:val="FootnoteReference"/>
        </w:rPr>
        <w:footnoteReference w:id="2"/>
      </w:r>
      <w:r w:rsidRPr="00BF2AA9">
        <w:t>,</w:t>
      </w:r>
    </w:p>
    <w:p w:rsidR="00B7300B" w:rsidRPr="00BF2AA9" w:rsidRDefault="00B7300B" w:rsidP="00B7300B">
      <w:pPr>
        <w:pStyle w:val="NormalHanging12a"/>
      </w:pPr>
      <w:r w:rsidRPr="00BF2AA9">
        <w:t>–</w:t>
      </w:r>
      <w:r w:rsidRPr="00BF2AA9">
        <w:tab/>
        <w:t>med beaktande av FN:s mål för hållbar utveckling,</w:t>
      </w:r>
    </w:p>
    <w:p w:rsidR="00B7300B" w:rsidRPr="00BF2AA9" w:rsidRDefault="00B7300B" w:rsidP="00B7300B">
      <w:pPr>
        <w:pStyle w:val="NormalHanging12a"/>
      </w:pPr>
      <w:r w:rsidRPr="00BF2AA9">
        <w:t>–</w:t>
      </w:r>
      <w:r w:rsidRPr="00BF2AA9">
        <w:tab/>
        <w:t>med beaktande av trepartsavtalet mellan Europeiska kommissionen, Europeiska revisionsrätten och Europeiska investeringsbanken, vilket trädde i kraft i november 2021,</w:t>
      </w:r>
    </w:p>
    <w:p w:rsidR="00B7300B" w:rsidRPr="00BF2AA9" w:rsidRDefault="00B7300B" w:rsidP="00B7300B">
      <w:pPr>
        <w:pStyle w:val="NormalHanging12a"/>
      </w:pPr>
      <w:r w:rsidRPr="00BF2AA9">
        <w:t>–</w:t>
      </w:r>
      <w:r w:rsidRPr="00BF2AA9">
        <w:tab/>
        <w:t>med beaktande av Europeiska ombudsmannens skrivelse av den 22</w:t>
      </w:r>
      <w:bookmarkStart w:id="8" w:name="_GoBack"/>
      <w:bookmarkEnd w:id="8"/>
      <w:r w:rsidRPr="00BF2AA9">
        <w:t xml:space="preserve"> juli 2016 till EIB:s ordförande om intressekonflikter och av svaret från EIB:s ordförande av den 31 januari 2017,</w:t>
      </w:r>
    </w:p>
    <w:p w:rsidR="00B7300B" w:rsidRPr="00BF2AA9" w:rsidRDefault="00B7300B" w:rsidP="00B7300B">
      <w:pPr>
        <w:pStyle w:val="NormalHanging12a"/>
      </w:pPr>
      <w:r w:rsidRPr="00BF2AA9">
        <w:t>–</w:t>
      </w:r>
      <w:r w:rsidRPr="00BF2AA9">
        <w:tab/>
        <w:t>med beaktande av Europeiska ombudsmannens rekommendationer, som utfärdades den 20 november 2023 i ärende 2252/2022/OAM,</w:t>
      </w:r>
    </w:p>
    <w:p w:rsidR="00B7300B" w:rsidRPr="00BF2AA9" w:rsidRDefault="00B7300B" w:rsidP="00B7300B">
      <w:pPr>
        <w:pStyle w:val="NormalHanging12a"/>
      </w:pPr>
      <w:r w:rsidRPr="00BF2AA9">
        <w:t>–</w:t>
      </w:r>
      <w:r w:rsidRPr="00BF2AA9">
        <w:tab/>
        <w:t>med beaktande av Europeiska ombudsmannens rekommendationer, som utfärdades den 21 april 202</w:t>
      </w:r>
      <w:r w:rsidR="00EB48C8" w:rsidRPr="00BF2AA9">
        <w:t>2</w:t>
      </w:r>
      <w:r w:rsidRPr="00BF2AA9">
        <w:t xml:space="preserve"> i ärende 1251/2020/PB,</w:t>
      </w:r>
    </w:p>
    <w:p w:rsidR="00B7300B" w:rsidRPr="00BF2AA9" w:rsidRDefault="00B7300B" w:rsidP="00B7300B">
      <w:pPr>
        <w:pStyle w:val="NormalHanging12a"/>
      </w:pPr>
      <w:r w:rsidRPr="00BF2AA9">
        <w:t>–</w:t>
      </w:r>
      <w:r w:rsidRPr="00BF2AA9">
        <w:tab/>
        <w:t>med beaktande av Europeiska ombudsmannens rekommendationer, som utfärdades den 27 juli 2022 i ärende 1016/2021/KR,</w:t>
      </w:r>
    </w:p>
    <w:p w:rsidR="00B7300B" w:rsidRPr="00BF2AA9" w:rsidRDefault="00B7300B" w:rsidP="00B7300B">
      <w:pPr>
        <w:pStyle w:val="NormalHanging12a"/>
      </w:pPr>
      <w:r w:rsidRPr="00BF2AA9">
        <w:t>–</w:t>
      </w:r>
      <w:r w:rsidRPr="00BF2AA9">
        <w:tab/>
        <w:t>med beaktande av artikel 54 i arbetsordningen,</w:t>
      </w:r>
    </w:p>
    <w:p w:rsidR="00B7300B" w:rsidRPr="00BF2AA9" w:rsidRDefault="00B7300B" w:rsidP="00B7300B">
      <w:pPr>
        <w:pStyle w:val="NormalHanging12a"/>
      </w:pPr>
      <w:r w:rsidRPr="00BF2AA9">
        <w:t>–</w:t>
      </w:r>
      <w:r w:rsidRPr="00BF2AA9">
        <w:tab/>
        <w:t>med beaktande av betänkandet från budgetutskottet (A9-0031/2024), och av följande skäl:</w:t>
      </w:r>
    </w:p>
    <w:p w:rsidR="00B7300B" w:rsidRPr="00BF2AA9" w:rsidRDefault="00B7300B" w:rsidP="00B7300B">
      <w:pPr>
        <w:pStyle w:val="NormalHanging12a"/>
      </w:pPr>
      <w:r w:rsidRPr="00BF2AA9">
        <w:lastRenderedPageBreak/>
        <w:t>A.</w:t>
      </w:r>
      <w:r w:rsidRPr="00BF2AA9">
        <w:tab/>
        <w:t>EIB-gruppen består av Europeiska investeringsbanken (EIB) och Europeiska investeringsfonden (EIF) och är det största multilaterala finansinstitutet i världen och en av de största leverantörerna av klimatfinansiering. EIB-gruppen verkar på internationella kapitalmarknader och erbjuder konkurrenskraftiga villkor för kunder och gynnsamma förutsättningar för att stödja EU:s politik och projekt såväl inom som utanför unionen.</w:t>
      </w:r>
    </w:p>
    <w:p w:rsidR="00B7300B" w:rsidRPr="00BF2AA9" w:rsidRDefault="00B7300B" w:rsidP="00B7300B">
      <w:pPr>
        <w:spacing w:after="240"/>
        <w:ind w:left="567" w:hanging="567"/>
      </w:pPr>
      <w:r w:rsidRPr="00BF2AA9">
        <w:t>B.</w:t>
      </w:r>
      <w:r w:rsidRPr="00BF2AA9">
        <w:tab/>
        <w:t>Enligt artikel 309 i EUF-fördraget har EIB till uppgift att bidra till att nå EU:s mål.</w:t>
      </w:r>
    </w:p>
    <w:p w:rsidR="00B7300B" w:rsidRPr="00BF2AA9" w:rsidRDefault="00B7300B" w:rsidP="00B7300B">
      <w:pPr>
        <w:spacing w:after="240"/>
        <w:ind w:left="567" w:hanging="567"/>
      </w:pPr>
      <w:r w:rsidRPr="00BF2AA9">
        <w:t>C.</w:t>
      </w:r>
      <w:r w:rsidRPr="00BF2AA9">
        <w:tab/>
        <w:t>För att nå EU:s klimatmål behövs investeringar på 1 biljon EUR per år i EU. EIB kan bidra till att överbrygga gapet genom att uppbåda privat kapital.</w:t>
      </w:r>
    </w:p>
    <w:p w:rsidR="00B7300B" w:rsidRPr="00BF2AA9" w:rsidRDefault="00B7300B" w:rsidP="00B7300B">
      <w:pPr>
        <w:pStyle w:val="NormalHanging12a"/>
      </w:pPr>
      <w:r w:rsidRPr="00BF2AA9">
        <w:t>D.</w:t>
      </w:r>
      <w:r w:rsidRPr="00BF2AA9">
        <w:tab/>
        <w:t>Under perioden 2021–2027 förväntas InvestEU-garantin på 26,2 miljarder EUR, med avsättningar från den fleråriga budgetramen och NextGenerationEU, mobilisera mer än 372 miljarder EUR i ytterligare privata och offentliga investeringar i Europa, främst för hållbar infrastruktur, forskning, innovation och digitalisering, små och medelstora företag, sociala investeringar och kompetens.</w:t>
      </w:r>
    </w:p>
    <w:p w:rsidR="00B7300B" w:rsidRPr="00BF2AA9" w:rsidRDefault="00B7300B" w:rsidP="00B7300B">
      <w:pPr>
        <w:pStyle w:val="NormalHanging12a"/>
      </w:pPr>
      <w:r w:rsidRPr="00BF2AA9">
        <w:rPr>
          <w:b/>
          <w:i/>
        </w:rPr>
        <w:t>Översikt över politikområden och verksamhet</w:t>
      </w:r>
    </w:p>
    <w:p w:rsidR="00B7300B" w:rsidRPr="00BF2AA9" w:rsidRDefault="00B7300B" w:rsidP="00B7300B">
      <w:pPr>
        <w:pStyle w:val="NormalHanging12a"/>
      </w:pPr>
      <w:r w:rsidRPr="00BF2AA9">
        <w:t>1.</w:t>
      </w:r>
      <w:r w:rsidRPr="00BF2AA9">
        <w:tab/>
        <w:t>Europaparlamentet upprepar att EIB spelar en viktig roll som EU:s offentliga bank och som det enda internationella finansinstitut som helt ägs av medlemsstaterna, som fullt ut vägleds av EU:s politik och omfattas av EU:s rättsliga standarder med målet att stödja den sociala och ekonomiska återhämtningen och fånga upp de investeringar som krävs för att unionen ska uppnå sina mål.</w:t>
      </w:r>
    </w:p>
    <w:p w:rsidR="00B7300B" w:rsidRPr="00BF2AA9" w:rsidRDefault="00B7300B" w:rsidP="00B7300B">
      <w:pPr>
        <w:pStyle w:val="NormalHanging12a"/>
      </w:pPr>
      <w:r w:rsidRPr="00BF2AA9">
        <w:t>2.</w:t>
      </w:r>
      <w:r w:rsidRPr="00BF2AA9">
        <w:tab/>
        <w:t>Europaparlamentet värdesätter att EIB alltid är redo att anpassa och förnya sig i enlighet med EU:s föränderliga politiska krav samtidigt som dess långsiktiga mål respekteras.</w:t>
      </w:r>
    </w:p>
    <w:p w:rsidR="00B7300B" w:rsidRPr="00BF2AA9" w:rsidRDefault="00B7300B" w:rsidP="00B7300B">
      <w:pPr>
        <w:pStyle w:val="NormalHanging12a"/>
      </w:pPr>
      <w:r w:rsidRPr="00BF2AA9">
        <w:t>3.</w:t>
      </w:r>
      <w:r w:rsidRPr="00BF2AA9">
        <w:tab/>
        <w:t>Europaparlamentet upprepar sitt krav på en kapitalökning för att göra det möjligt för EIB att tillhandahålla mer långsiktigt och återbetalningspliktigt finansiellt stöd och innovativa instrument. Parlamentet noterar att detta behövs för en rättvis, inkluderande och hållbar tillväxt som stöder sådana viktiga investeringar i den reala ekonomin som annars inte skulle göras och som har potential att maximera innovationsvinsterna inom viktiga EU-politikområden, såsom digitalisering och den gröna omställningen. Parlamentet noterar att dessa investeringar bör bidra till att minska begränsningarna för konkurrenskraften, såsom höga energipriser, kompetensgap och otillräckliga investeringar i innovation och ny teknik samt bidra till genomförandet av den europeiska pelaren för sociala rättigheter och FN:s mål för hållbar utveckling. Parlamentet förväntar sig att EIB säkerställer att dess finansiering bidrar till att få bukt med marknadsmisslyckanden och att utträngningseffekter undviks, och att den ger mätbara effekter utan att äventyra den övergripande attraktionskraften hos dess finansiella erbjudande.</w:t>
      </w:r>
    </w:p>
    <w:p w:rsidR="00B7300B" w:rsidRPr="00BF2AA9" w:rsidRDefault="00B7300B" w:rsidP="00B7300B">
      <w:pPr>
        <w:pStyle w:val="NormalHanging12a"/>
      </w:pPr>
      <w:r w:rsidRPr="00BF2AA9">
        <w:t>4.</w:t>
      </w:r>
      <w:r w:rsidRPr="00BF2AA9">
        <w:tab/>
        <w:t>Europaparlamentet betonar att EIB måste upprätthålla sitt kreditbetyg AAA och behålla kapitalmarknadernas fulla förtroende för sin verksamhet.</w:t>
      </w:r>
    </w:p>
    <w:p w:rsidR="00B7300B" w:rsidRPr="00BF2AA9" w:rsidRDefault="00B7300B" w:rsidP="00B7300B">
      <w:pPr>
        <w:pStyle w:val="NormalHanging12a"/>
      </w:pPr>
      <w:r w:rsidRPr="00BF2AA9">
        <w:t>5.</w:t>
      </w:r>
      <w:r w:rsidRPr="00BF2AA9">
        <w:tab/>
        <w:t xml:space="preserve">Europaparlamentet noterar att EIB:s finansiering spelar en allt viktigare roll mot bakgrund av de betydande sociala och ekonomiska konsekvenserna av covid-19-krisen, och därefter invasionen av Ukraina, särskilt inflation, höga räntor och ansträngda offentliga finanser. Parlamentet noterar vidare den större roll som EIB:s finansiering </w:t>
      </w:r>
      <w:r w:rsidRPr="00BF2AA9">
        <w:lastRenderedPageBreak/>
        <w:t>spelar i ljuset av utmanande ekonomiska utsikter och ökad global konkurrens, vilket också påverkar pågående projekt.</w:t>
      </w:r>
    </w:p>
    <w:p w:rsidR="00B7300B" w:rsidRPr="00BF2AA9" w:rsidRDefault="00B7300B" w:rsidP="00B7300B">
      <w:pPr>
        <w:pStyle w:val="NormalHanging12a"/>
      </w:pPr>
      <w:r w:rsidRPr="00BF2AA9">
        <w:t>6.</w:t>
      </w:r>
      <w:r w:rsidRPr="00BF2AA9">
        <w:tab/>
        <w:t>Europaparlamentet anser att EIB skulle kunna göra mer för att förbättra den sektoriella balansen och anpassa sig till EU:s regionala mångfald för att göra finansieringen attraktivare. Parlamentet uppmanar EIB att ta itu med systembrister som hindrar vissa regioner eller länder från att dra full nytta av dess finansiella verksamhet, samtidigt som den efterfrågestyrda karaktären i EIB-finansieringen respekteras. Parlamentet uppmanar kommissionen att bedöma om den geografiska fördelningen av finansieringen inom ramen för InvestEU är balanserad, särskilt när det gäller mindre medlemsstater.</w:t>
      </w:r>
    </w:p>
    <w:p w:rsidR="00B7300B" w:rsidRPr="00BF2AA9" w:rsidRDefault="00B7300B" w:rsidP="00B7300B">
      <w:pPr>
        <w:pStyle w:val="NormalHanging12a"/>
      </w:pPr>
      <w:r w:rsidRPr="00BF2AA9">
        <w:t>7.</w:t>
      </w:r>
      <w:r w:rsidRPr="00BF2AA9">
        <w:tab/>
        <w:t>Europaparlamentet uppmanar EIB att stödja projekt som bidrar till genomförandet av den europeiska pelaren för sociala rättigheter och FN:s mål för hållbar utveckling, och som ökar den sociala inkluderingen och minskar ojämlikheter i linje med miljömässiga och sociala standarder. Parlamentet uppmanar EIB att utöka sin roll när det gäller att bedöma och åtgärda investeringsgap inom social infrastruktur och välfärd, såsom överkomligt och energieffektivt subventionerat boende, offentlig hälso- och sjukvård, allmännyttiga tjänster, kollektivtrafik, hållbara transporter, kultur och utbildning, samtidigt som man säkerställer additionalitet och komplementaritet med andra offentliga medel och med kommersiella långivare. Parlamentet uppmanar EIB att öka viktningen av sociala förmåner i projektbedömningarna för att tillhandahålla långsiktiga lösningar till överkomliga priser mot bakgrund av levnadskostnadskrisen och de utmaningar de allmänna ekonomiska utsikterna för med sig för hushåll i Europeiska unionen. Parlamentet uppmanar EIB att öka risktagandet för projekt som tillhandahåller grundläggande tjänster med långsiktiga tydliga och mätbara fördelar. Parlamentet uppmanar EIB att när så är möjligt ge finansiell prioritet åt projekt som involverar utsatta eller marginaliserade personer, särskilt ungdomar, och medborgarledda projekt.</w:t>
      </w:r>
    </w:p>
    <w:p w:rsidR="00B7300B" w:rsidRPr="00BF2AA9" w:rsidRDefault="00B7300B" w:rsidP="00B7300B">
      <w:pPr>
        <w:pStyle w:val="Normal12a24b"/>
        <w:spacing w:before="0"/>
        <w:rPr>
          <w:rStyle w:val="BoldItalic"/>
        </w:rPr>
      </w:pPr>
      <w:r w:rsidRPr="00BF2AA9">
        <w:rPr>
          <w:rStyle w:val="BoldItalic"/>
        </w:rPr>
        <w:t>EU:s klimatbank: klimatåtgärder och mål för miljömässig hållbarhet</w:t>
      </w:r>
    </w:p>
    <w:p w:rsidR="00B7300B" w:rsidRPr="00BF2AA9" w:rsidRDefault="00B7300B" w:rsidP="00B7300B">
      <w:pPr>
        <w:pStyle w:val="NormalHanging12a"/>
      </w:pPr>
      <w:r w:rsidRPr="00BF2AA9">
        <w:t>8.</w:t>
      </w:r>
      <w:r w:rsidRPr="00BF2AA9">
        <w:tab/>
        <w:t xml:space="preserve">Europaparlamentet noterar slutsatserna i EIB:s investeringsrapport för 2022/2023 </w:t>
      </w:r>
      <w:r w:rsidRPr="00BF2AA9">
        <w:rPr>
          <w:i/>
          <w:iCs/>
        </w:rPr>
        <w:t>Resilience and renewal in Europe</w:t>
      </w:r>
      <w:r w:rsidRPr="00BF2AA9">
        <w:t>, som analyserar investeringarna i klimatåtgärder runt om i EU och investeringsgap inom olika sektorer. Parlamentet noterar också EIB-gruppens verksamhetsplan 2023–2025 som bekräftar EIB:s anpassning till EU:s politiska prioriteringar och dess åtagande att höja sin ambitionsnivå när det gäller den digitala och gröna omställningen. Parlamentet uppmanar kommissionen att utarbeta en metod för att bedöma det gröna finansieringsgapet i EU och att bedöma EIB:s potentiella roll när det gäller att överbrygga detta finansieringsgap.</w:t>
      </w:r>
    </w:p>
    <w:p w:rsidR="00B7300B" w:rsidRPr="00BF2AA9" w:rsidRDefault="00B7300B" w:rsidP="00B7300B">
      <w:pPr>
        <w:pStyle w:val="NormalHanging12a"/>
      </w:pPr>
      <w:r w:rsidRPr="00BF2AA9">
        <w:t>9.</w:t>
      </w:r>
      <w:r w:rsidRPr="00BF2AA9">
        <w:tab/>
        <w:t>Europaparlamentet påminner om att EIB är världens största emittent av gröna obligationer i flera valutor. Parlamentet påpekar att en ökning av andelen eurodenominerade obligationer ytterligare skulle stärka eurons internationella roll.</w:t>
      </w:r>
    </w:p>
    <w:p w:rsidR="00B7300B" w:rsidRPr="00BF2AA9" w:rsidRDefault="00B7300B" w:rsidP="00B7300B">
      <w:pPr>
        <w:pStyle w:val="NormalHanging12a"/>
      </w:pPr>
      <w:r w:rsidRPr="00BF2AA9">
        <w:t>10.</w:t>
      </w:r>
      <w:r w:rsidRPr="00BF2AA9">
        <w:tab/>
        <w:t>Europaparlamentet påminner om att den gröna omställningen måste vara inkluderande och rättvis, att gröna investeringar måste vara bärkraftiga och förväntar sig därför att EIB utnyttjar sin utlåning, sina finansiella instrument, sitt tekniska stöd och sina rådgivningstjänster till att stödja medborgare och företag som står inför socioekonomiska utmaningar till följd av sina ansträngningar att uppnå klimatneutralitet senast 2050. Parlamentet uppmanar EIB att stödja projekt som ger överkomlig tillgång till förnybar energi, bostäder och offentliga tjänster, lokalt ledda initiativ och små projekt, med särskilt fokus på kampen mot energifattigdom som en prioritet.</w:t>
      </w:r>
    </w:p>
    <w:p w:rsidR="00B7300B" w:rsidRPr="00BF2AA9" w:rsidRDefault="00B7300B" w:rsidP="00B7300B">
      <w:pPr>
        <w:pStyle w:val="NormalHanging12a"/>
      </w:pPr>
      <w:r w:rsidRPr="00BF2AA9">
        <w:lastRenderedPageBreak/>
        <w:t>11.</w:t>
      </w:r>
      <w:r w:rsidRPr="00BF2AA9">
        <w:tab/>
        <w:t>Europaparlamentet välkomnar att EIB redan har uppnått sitt mål att avsätta minst hälften av sina resurser till klimatåtgärder och miljömässig hållbarhet och att EIB är på god väg att uppnå sitt mål att stödja 1 biljon EUR i gröna investeringar senast 2030. Parlamentet förväntar sig att 2024 års översyn av klimatbanksfärdplanen ska bringa EIB i full överensstämmelse med 1,5-gradersmålet och målet om klimatneutralitet senast 2050, samtidigt som en rättvis omställning för alla säkerställs. Parlamentet anser att ambitiösast möjliga offentliga bankpraxis bör vara riktmärket. Parlamentet upprepar sin uppmaning att inkludera en gedigen bedömning av mindre koldioxidintensiva alternativ och scope 3-utsläpp för varje projekt.</w:t>
      </w:r>
    </w:p>
    <w:p w:rsidR="00B7300B" w:rsidRPr="00BF2AA9" w:rsidRDefault="00B7300B" w:rsidP="00B7300B">
      <w:pPr>
        <w:pStyle w:val="NormalHanging12a"/>
      </w:pPr>
      <w:r w:rsidRPr="00BF2AA9">
        <w:t>12.</w:t>
      </w:r>
      <w:r w:rsidRPr="00BF2AA9">
        <w:tab/>
        <w:t xml:space="preserve">Europaparlamentet välkomnar ramen för motparternas anpassning till Parisavtalet (PATH) och förväntar sig att den genomförs fullt ut, både när det gäller att maximera utsläppsminskningarna och öka klimatresiliensen. Parlamentet noterar att EIB som svar på den akuta energisituationen i EU anpassade PATH. Parlamentet förväntar sig att det undantag som gjordes inom PATH-ramen till stöd för REPowerEU-planen är exceptionella, tillfälliga och fullt motiverade, så att man kan skynda på den gröna omställningen och få ett slut på Europas beroende av import av fossila bränslen, inbegripet från Ryssland. Parlamentet välkomnar i detta sammanhang EIB:s ökning av stödet till REPowerEU-planen till 45 miljarder EUR i lån och finansiering med eget kapital för projekt på området förnybar energi, energieffektivitet, energinät och energilagring, infrastruktur för laddning av elfordon och banbrytande teknik under de kommande åren. </w:t>
      </w:r>
    </w:p>
    <w:p w:rsidR="00B7300B" w:rsidRPr="00BF2AA9" w:rsidRDefault="00B7300B" w:rsidP="00B7300B">
      <w:pPr>
        <w:pStyle w:val="NormalHanging12a"/>
      </w:pPr>
      <w:r w:rsidRPr="00BF2AA9">
        <w:t>13.</w:t>
      </w:r>
      <w:r w:rsidRPr="00BF2AA9">
        <w:tab/>
        <w:t>Parlamentet påminner om att alla företagskunder som erhåller EIB-finansiering enligt avtal är skyldiga att inrätta och offentliggöra en trovärdig strategi för anpassning till Parisavtalet (planer för utfasning av fossila bränslen), med omfattande kvantitativa mål och alternativ för utsläppsminskningar på medellång sikt enligt ett rullande schema över en längre tidshorisont för att uppnå koldioxidneutralitet senast 2050. Parlamentet förväntar sig att EIB systematiskt bedömer trovärdigheten i dessa planer genom att tillämpa sådana kriterier för utfasning av fossila bränslen som är förenliga med 1,5</w:t>
      </w:r>
      <w:r w:rsidRPr="00BF2AA9">
        <w:noBreakHyphen/>
        <w:t>gradersmålet innan några nya finansiella åtaganden ingås. Parlamentet upprepar sin uppmaning till EIB att endast samarbeta med finansiella intermediärer som har en trovärdig plan för utfasning av fossila bränslen, inbegripet mål på kort sikt som är förenliga med 1,5-gradersmålet och som kommer att fastställas snarast möjligt men senast 2025. Parlamentet betonar att sådana nya krav inte får missgynna små och medelstora företags tillgång till finansiering.</w:t>
      </w:r>
    </w:p>
    <w:p w:rsidR="00B7300B" w:rsidRPr="00BF2AA9" w:rsidRDefault="00B7300B" w:rsidP="00B7300B">
      <w:pPr>
        <w:pStyle w:val="NormalHanging12a"/>
      </w:pPr>
      <w:r w:rsidRPr="00BF2AA9">
        <w:t>14.</w:t>
      </w:r>
      <w:r w:rsidRPr="00BF2AA9">
        <w:tab/>
        <w:t>Europaparlamentet betonar den centrala roll som EIB spelar för att säkerställa en rättvis omställning. Parlamentet uppmanar EIB att sänka det lägsta lånebeloppet för enskilda projekt eller lånesystem som bidrar till en rättvis omställning. Parlamentet uppmuntrar EIB att intensifiera samarbetet med nationella och regionala finansinstitut för att tillhandahålla riktad finansiering. Parlamentet uppmanar i detta sammanhang EIB att bidra till att uppnå EU:s mål om jämställdhet mellan kvinnor och män. Parlamentet välkomnar EIB:s deltagande i EU:s mekanism för en rättvis omställning för att ta itu med de socioekonomiska konsekvenserna av omställningen till en klimatneutral ekonomi och skapa nya möjligheter till hållbar utveckling i stödberättigade regioner.</w:t>
      </w:r>
    </w:p>
    <w:p w:rsidR="00B7300B" w:rsidRPr="00BF2AA9" w:rsidRDefault="00B7300B" w:rsidP="00B7300B">
      <w:pPr>
        <w:pStyle w:val="NormalHanging12a"/>
      </w:pPr>
      <w:r w:rsidRPr="00BF2AA9">
        <w:t>15.</w:t>
      </w:r>
      <w:r w:rsidRPr="00BF2AA9">
        <w:tab/>
        <w:t xml:space="preserve">Europaparlamentet uppmanar EIB att anpassa sin riskminskningsverksamhet för att styra privat finansiering mot projekt som har en hög additionalitetsnivå och bidrar till en rättvis omställning, utan att man äventyrar sin portföljs kommersiella bärkraft. Parlamentet uppmanar EIB att dra lärdomar av genomförandet av produkter såsom </w:t>
      </w:r>
      <w:r w:rsidRPr="00BF2AA9">
        <w:lastRenderedPageBreak/>
        <w:t>klimat- och infrastrukturfonder, inbegripet betydelsen av eget kapital genom intermediärer och behovet av att förbättra förhållandet mellan risk och avkastning för investeringar i småskaliga projekt för grön infrastruktur.</w:t>
      </w:r>
    </w:p>
    <w:p w:rsidR="00B7300B" w:rsidRPr="00BF2AA9" w:rsidRDefault="00B7300B" w:rsidP="00B7300B">
      <w:pPr>
        <w:pStyle w:val="NormalHanging12a"/>
      </w:pPr>
      <w:r w:rsidRPr="00BF2AA9">
        <w:t>16.</w:t>
      </w:r>
      <w:r w:rsidRPr="00BF2AA9">
        <w:tab/>
        <w:t>Europaparlamentet välkomnar de ökade investeringarna i vätgas. Parlamentet insisterar på att vätgasens roll är att bidra till omställningen till klimatneutralitet genom att minska utsläppen från industrisektorer där det är svårt att uppnå utsläppsminskningar. Parlamentet förväntar sig att additionalitet säkerställs för att undvika att resurser avleds från befintlig förnybar el, såsom anges i den relevanta delegerade akten</w:t>
      </w:r>
      <w:r w:rsidRPr="00BF2AA9">
        <w:rPr>
          <w:rStyle w:val="FootnoteReference"/>
        </w:rPr>
        <w:footnoteReference w:id="3"/>
      </w:r>
      <w:r w:rsidRPr="00BF2AA9">
        <w:t>. Parlamentet är bekymrat över vätgasprojektens potentiella inverkan på vattenförsörjningen i vissa regioner, liksom på den biologiska mångfalden. Parlamentet uppmanar EIB att stärka sin rådgivande expertis till förmån för EU:s vätgasekosystem och vätgasmarknad.</w:t>
      </w:r>
    </w:p>
    <w:p w:rsidR="00B7300B" w:rsidRPr="00BF2AA9" w:rsidRDefault="00B7300B" w:rsidP="00B7300B">
      <w:pPr>
        <w:pStyle w:val="NormalHanging12a"/>
      </w:pPr>
      <w:r w:rsidRPr="00BF2AA9">
        <w:t>17.</w:t>
      </w:r>
      <w:r w:rsidRPr="00BF2AA9">
        <w:tab/>
        <w:t>Europaparlamentet understryker att EIB:s miljö- och socialpolitik stärker åtagandet att främja och genomföra målen i konventionen om biologisk mångfald och den globala ramen för biologisk mångfald efter 2020, särskilt kravet att finansierade projekt inte ska orsaka någon betydande skada på den biologiska mångfalden och ekosystemen. Parlamentet välkomnar ändringen från ”ingen nettoförlust” till ”ingen förlust” av biologisk mångfald. Parlamentet strävar efter att EIB:s miljö- och socialpolitik ska tillämpas fullt ut, särskilt i projekt för förnybar energi. Parlamentet uppmanar enträget EIB att fullt ut anpassa sin miljö- och socialpolitik till den globala ramen för biologisk mångfald efter 2020.</w:t>
      </w:r>
    </w:p>
    <w:p w:rsidR="00B7300B" w:rsidRPr="00BF2AA9" w:rsidRDefault="00B7300B" w:rsidP="00B7300B">
      <w:pPr>
        <w:pStyle w:val="NormalHanging12a"/>
      </w:pPr>
      <w:r w:rsidRPr="00BF2AA9">
        <w:t>18.</w:t>
      </w:r>
      <w:r w:rsidRPr="00BF2AA9">
        <w:tab/>
        <w:t xml:space="preserve">Europaparlamentet välkomnar de första gemensamma principerna för naturpositiv finansiering, som EIB tillsammans med andra multilaterala utvecklingsbanker offentliggjorde vid COP28. Parlamentet förväntar sig att EIB fortsätter att engagera sig mer aktivt i naturpositiva investeringar och investeringar som ökar den biologiska mångfalden, samt i de sektorer som har störst sidovinster för biologisk mångfald, såsom vattenförvaltning, sanitet, skogsbruk och hav, med största möjliga integritet och garantier, i synnerhet med avseende på lokalsamhällens rättigheter, och med beaktande av lärdomarna från finansieringsmekanismen för naturkapital. Parlamentet förväntar sig att EIB ökar finansieringen för lösningar för att minska plastföroreningarna. </w:t>
      </w:r>
    </w:p>
    <w:p w:rsidR="00B7300B" w:rsidRPr="00BF2AA9" w:rsidRDefault="00B7300B" w:rsidP="00B7300B">
      <w:pPr>
        <w:pStyle w:val="NormalHanging12a"/>
      </w:pPr>
      <w:r w:rsidRPr="00BF2AA9">
        <w:t>19.</w:t>
      </w:r>
      <w:r w:rsidRPr="00BF2AA9">
        <w:tab/>
        <w:t>Europaparlamentet förväntar sig ökade ansträngningar för att integrera naturen i analyser och verksamhet som bedömer den finansiella risken för förlust av biologisk mångfald på motpartsnivå. Parlamentet förväntar sig att naturpositiva inslag systematiskt ska inkorporeras i storskaliga infrastrukturprojekt, särskilt för investeringar i stadsmiljö. Parlamentet varnar för projekt som bidrar till klimatmål som leder till förstörelse av den biologiska mångfalden.</w:t>
      </w:r>
    </w:p>
    <w:p w:rsidR="00B7300B" w:rsidRPr="00BF2AA9" w:rsidRDefault="00B7300B" w:rsidP="00B7300B">
      <w:pPr>
        <w:pStyle w:val="NormalHanging12a"/>
      </w:pPr>
      <w:r w:rsidRPr="00BF2AA9">
        <w:t>20.</w:t>
      </w:r>
      <w:r w:rsidRPr="00BF2AA9">
        <w:tab/>
        <w:t xml:space="preserve">Europaparlamentet noterar de pågående förhandlingarna om avskrivningar på utlandsskuld i utbyte mot miljöåtgärder (debt-for-nature swaps). Parlamentet är oroat över huruvida dessa swappar verkligen är lämpliga för att åstadkomma utveckling och naturskydd och över deras höga transaktionskostnader, särskilt eftersom tidigare </w:t>
      </w:r>
      <w:r w:rsidRPr="00BF2AA9">
        <w:lastRenderedPageBreak/>
        <w:t xml:space="preserve">exempel har visat att denna oro är befogad. Parlamentet betonar behovet av hög grad av transparens och ländernas egenansvar. </w:t>
      </w:r>
    </w:p>
    <w:p w:rsidR="00B7300B" w:rsidRPr="00BF2AA9" w:rsidRDefault="00B7300B" w:rsidP="00B7300B">
      <w:pPr>
        <w:pStyle w:val="NormalHanging12a"/>
      </w:pPr>
      <w:r w:rsidRPr="00BF2AA9">
        <w:t>21.</w:t>
      </w:r>
      <w:r w:rsidRPr="00BF2AA9">
        <w:tab/>
        <w:t xml:space="preserve">Europaparlamentet förväntar sig att EIB fortsätter att tillämpa stränga standarder och tillämplig lagstiftning för djurskydd, inbegripet för avel och foder i fiskodling, på grundval av den högsta standard som fastställts av EU och multilaterala finansinstitut. </w:t>
      </w:r>
    </w:p>
    <w:p w:rsidR="00B7300B" w:rsidRPr="00BF2AA9" w:rsidRDefault="00B7300B" w:rsidP="00B7300B">
      <w:pPr>
        <w:pStyle w:val="NormalHanging12a"/>
      </w:pPr>
      <w:r w:rsidRPr="00BF2AA9">
        <w:t>22.</w:t>
      </w:r>
      <w:r w:rsidRPr="00BF2AA9">
        <w:tab/>
        <w:t>Europaparlamentet betonar att försörjningstryggheten för kritiska råvaror är avgörande för den gröna och digitala omställningen, försvarssektorn och EU:s industriella bas i allmänhet. Parlamentet påminner om EIB:s roll i europeiska råvarualliansen och unionens mål att bli mer autonom när det gäller tillgången på kritiska råvaror. Parlamentet betonar behovet av en cirkulärekonomisk strategi för kritiska råvaror, baserad på återvinning och återanvändning, för att minska EU:s beroende av tredjeländer och stärka unionens strategiska autonomi. Parlamentet uppmanar därför EIB att investera mer i sektorn för kritiska råvaror för att öka resiliensen för råvaror, med särskilt fokus på återvinning av returråvaror, och att främja cirkulärekonomiska lösningar för att bidra till att diversifiera försörjningen.</w:t>
      </w:r>
    </w:p>
    <w:p w:rsidR="00B7300B" w:rsidRPr="00BF2AA9" w:rsidRDefault="00B7300B" w:rsidP="00B7300B">
      <w:pPr>
        <w:pStyle w:val="NormalHanging12a"/>
        <w:rPr>
          <w:b/>
          <w:i/>
        </w:rPr>
      </w:pPr>
      <w:r w:rsidRPr="00BF2AA9">
        <w:rPr>
          <w:b/>
          <w:i/>
        </w:rPr>
        <w:t>Stöd till innovation, små och medelstora företag, industri och digitalisering</w:t>
      </w:r>
    </w:p>
    <w:p w:rsidR="00B7300B" w:rsidRPr="00BF2AA9" w:rsidRDefault="00B7300B" w:rsidP="00B7300B">
      <w:pPr>
        <w:pStyle w:val="NormalHanging12a"/>
      </w:pPr>
      <w:r w:rsidRPr="00BF2AA9">
        <w:t>23.</w:t>
      </w:r>
      <w:r w:rsidRPr="00BF2AA9">
        <w:tab/>
        <w:t>Europaparlamentet påminner om att de små och medelstora företagen är ryggraden i den europeiska ekonomin. Parlamentet påminner om att EU:s 23 miljoner små och medelstora företag utgör 99 % av alla företag, står för omkring tre fjärdedelar av alla arbetstillfällen och genererar över 50 % av det totala förädlingsvärdet bland EU:s företag. Parlamentet understryker att stöd till små och medelstora företag är ett centralt mål för EIB-gruppen. Parlamentet påpekar att energikrisen och konsekvenserna av Rysslands krig i Ukraina innebär ytterligare utmaningar för små och medelstora företag, liksom stigande råvarupriser och räntor.</w:t>
      </w:r>
    </w:p>
    <w:p w:rsidR="00B7300B" w:rsidRPr="00BF2AA9" w:rsidRDefault="00B7300B" w:rsidP="00B7300B">
      <w:pPr>
        <w:spacing w:after="240"/>
        <w:ind w:left="567" w:hanging="567"/>
      </w:pPr>
      <w:r w:rsidRPr="00BF2AA9">
        <w:t>24.</w:t>
      </w:r>
      <w:r w:rsidRPr="00BF2AA9">
        <w:tab/>
        <w:t>Europaparlamentet påminner om att EIB-gruppen under 2022 tillhandahöll finansiering som motsvarade investeringar på 16,35 miljarder EUR för små och medelstora företag och midcap-bolag. Parlamentet noterar att enligt EIB-gruppens bedömning uppgick EIB-gruppens transaktioner med lånestöd till små och medelstora företag till nästan 20 miljarder EUR i tecknade nettolån per år mellan 2010 och 2020. Parlamentet uppmanar EIB-gruppen att överväga olika sätt att ytterligare underlätta sitt stöd till små och medelstora företag, särskilt för mindre finansieringsprojekt.</w:t>
      </w:r>
    </w:p>
    <w:p w:rsidR="00B7300B" w:rsidRPr="00BF2AA9" w:rsidRDefault="00B7300B" w:rsidP="00B7300B">
      <w:pPr>
        <w:spacing w:after="240"/>
        <w:ind w:left="567" w:hanging="567"/>
      </w:pPr>
      <w:r w:rsidRPr="00BF2AA9">
        <w:t>25.</w:t>
      </w:r>
      <w:r w:rsidRPr="00BF2AA9">
        <w:tab/>
        <w:t>Europaparlamentet betonar den roll som EIF spelar för att förbättra tillgången till finansiering för EU:s mindre företag, midcap-bolag och startup-företag och därmed dess stöd till entreprenörskap, tillväxt, innovation, forskning och utveckling samt sysselsättning i unionen. Parlamentet påpekar att en stabil energiförsörjning till konkurrenskraftiga priser är en av grundvalarna för en framgångsrik industripolitik, särskilt för framgångsrika små och medelstora företag. Parlamentet uppmanar EIB att tillhandahålla ytterligare tillväxtkapital för att göra det möjligt för små och medelstora företag att utöka sin verksamhet. Parlamentet uppmanar EIB-gruppen med eftertryck att öka stödet till att skala upp europeiska startup-företag, bland annat genom att ta större risker vid tilldelningen av riskkapital för att säkerställa att europeiska startup-företag har möjlighet att skala upp inom snarare än utanför EU.</w:t>
      </w:r>
    </w:p>
    <w:p w:rsidR="00B7300B" w:rsidRPr="00BF2AA9" w:rsidRDefault="00B7300B" w:rsidP="00B7300B">
      <w:pPr>
        <w:spacing w:after="240"/>
        <w:ind w:left="567" w:hanging="567"/>
      </w:pPr>
      <w:r w:rsidRPr="00BF2AA9">
        <w:t>26.</w:t>
      </w:r>
      <w:r w:rsidRPr="00BF2AA9">
        <w:tab/>
        <w:t xml:space="preserve">Europaparlamentet betonar att EIF behöver ha ett starkt fokus på projekt som skapar jobb av hög kvalitet som sedan behålls, inbegripet projekt inriktade på att åtgärda det </w:t>
      </w:r>
      <w:r w:rsidRPr="00BF2AA9">
        <w:lastRenderedPageBreak/>
        <w:t>växande problemet med ungdomsarbetslöshet, t.ex. det system där yrkesutbildning varvas med praktik som visat sig vara verkningsfullt och framgångsrikt i vissa medlemsstater, i syfte att skapa trygga jobb av hög kvalitet.</w:t>
      </w:r>
    </w:p>
    <w:p w:rsidR="00B7300B" w:rsidRPr="00BF2AA9" w:rsidRDefault="00B7300B" w:rsidP="00B7300B">
      <w:pPr>
        <w:spacing w:after="240"/>
        <w:ind w:left="567" w:hanging="567"/>
      </w:pPr>
      <w:r w:rsidRPr="00BF2AA9">
        <w:t>27.</w:t>
      </w:r>
      <w:r w:rsidRPr="00BF2AA9">
        <w:tab/>
        <w:t>Europaparlamentet inser att små och medelstora företag ofta har begränsade administrativa resurser och högre lånekostnader än stora företag på grund av mindre förmånliga villkor för banklån, och anser att det är absolut nödvändigt att erbjuda dem finansieringsverktyg som är enkla och lättillgängliga. Parlamentet uppmanar därför med kraft EIB-gruppen att utforma sina program på ett sätt som förenklar de administrativa förfarandena samtidigt som nödvändigt tekniskt stöd och tillräcklig finansiering för rådgivningstjänster tillhandahålls, och därigenom göra programmen mer tillgängliga för små och medelstora företag.</w:t>
      </w:r>
    </w:p>
    <w:p w:rsidR="00B7300B" w:rsidRPr="00BF2AA9" w:rsidRDefault="00B7300B" w:rsidP="00B7300B">
      <w:pPr>
        <w:pStyle w:val="NormalHanging12a"/>
      </w:pPr>
      <w:r w:rsidRPr="00BF2AA9">
        <w:t>28.</w:t>
      </w:r>
      <w:r w:rsidRPr="00BF2AA9">
        <w:tab/>
        <w:t>Europaparlamentet upprepar sin uppmaning till EIB att komplettera insatserna för att skapa datadrivna lösningar, med särskilt fokus på små och medelstora företags konkurrenskraft och att fokusera sina investeringar inom detta område på att överbrygga digitala klyftor både inom EU och mellan EU och andra tekniskt mer avancerade regioner i världen. Parlamentet uppmanar EIB-gruppen att öka investeringarna i digitalisering, i utvecklingen av spetsteknik såsom AI och i kompetenshöjning och omskolning av arbetstagare, som är avgörande för en stark industriell bas.</w:t>
      </w:r>
    </w:p>
    <w:p w:rsidR="00B7300B" w:rsidRPr="00BF2AA9" w:rsidRDefault="00B7300B" w:rsidP="00B7300B">
      <w:pPr>
        <w:pStyle w:val="Normal12a24b"/>
        <w:spacing w:before="0"/>
        <w:rPr>
          <w:rStyle w:val="BoldItalic"/>
        </w:rPr>
      </w:pPr>
      <w:r w:rsidRPr="00BF2AA9">
        <w:rPr>
          <w:rStyle w:val="BoldItalic"/>
        </w:rPr>
        <w:t>Ukraina</w:t>
      </w:r>
    </w:p>
    <w:p w:rsidR="00B7300B" w:rsidRPr="00BF2AA9" w:rsidRDefault="00B7300B" w:rsidP="00B7300B">
      <w:pPr>
        <w:pStyle w:val="NormalHanging12a"/>
      </w:pPr>
      <w:r w:rsidRPr="00BF2AA9">
        <w:t>29.</w:t>
      </w:r>
      <w:r w:rsidRPr="00BF2AA9">
        <w:tab/>
        <w:t>Europaparlamentet välkomnar initiativet EU för Ukraina, som EIB lanserade i mars 2023 för att finansiera återuppbyggnad och återhämtning i Ukraina och som utformats som ett temporärt system som kommer att göra det möjligt för EIB att fortsätta sitt engagemang i landet fram tills det förväntade EU-stödet på medellång sikt kommer på plats. Parlamentet påminner i detta sammanhang om vikten av EU-budgeten som garant för EIB:s verksamhet när det gäller att tillhandahålla lån utanför EU för genomförande av EU-program. Parlamentet efterlyser en ökning av de garantier som beviljas EIB från EU:s budget så att EIB kan fortsätta med sina livsviktiga insatser i den offentliga och den privata sektorn i Ukraina och fortsätta att utvidga sin verksamhet i det globala Syd. Parlamentet välkomnar att alla EIB:s åtgärder i Ukraina styrs av prioriteringarna för social, ekonomisk och miljömässig återhämtning och återuppbyggnad i linje med principerna för förbättrande återuppbyggnad och kommer att ligga helt i linje med den kommande planen för Ukraina. Parlamentet välkomnar komponenten för tekniskt stöd för att säkerställa optimal förberedelse och genomförande av projekt samt kapacitetsuppbyggnadsåtgärder. Parlamentet förväntar sig att man i den kommande tredje skade- och behovsbedömningen (</w:t>
      </w:r>
      <w:r w:rsidRPr="00BF2AA9">
        <w:rPr>
          <w:i/>
          <w:iCs/>
        </w:rPr>
        <w:t>Rapid Damage Needs Assessment 3</w:t>
      </w:r>
      <w:r w:rsidRPr="00BF2AA9">
        <w:t>), som Världsbanken tar fram i samordning med kommissionen, EIB och Ukrainas regering, kommer att identifiera avsevärt ökade behov. Parlamentet välkomnar EIB:s insatser för att förebygga, avskräcka och utreda bedrägerier och korruption i samband med sina projekt i Ukraina.</w:t>
      </w:r>
    </w:p>
    <w:p w:rsidR="00B7300B" w:rsidRPr="00BF2AA9" w:rsidRDefault="00B7300B" w:rsidP="00B7300B">
      <w:pPr>
        <w:pStyle w:val="NormalHanging12a"/>
      </w:pPr>
      <w:r w:rsidRPr="00BF2AA9">
        <w:t>30.</w:t>
      </w:r>
      <w:r w:rsidRPr="00BF2AA9">
        <w:tab/>
        <w:t xml:space="preserve">Europaparlamentet understryker det faktum att Rysslands anfallskrig också har påverkat regioner i EU och orsakat både betydande ekonomiska konsekvenser, särskilt i länderna vid EU:s östra gräns och dess närområde, och en allvarlig humanitär kris. Parlamentet betonar att förändringarna i leveranskedjorna och handeln och de ekonomiska förbindelserna till följd av kriget bör beaktas i framtida investeringsplanering. Parlamentet uppmanar EIB att ta hänsyn till den geopolitiska situationen och behoven </w:t>
      </w:r>
      <w:r w:rsidRPr="00BF2AA9">
        <w:lastRenderedPageBreak/>
        <w:t>av investeringar i länder som ligger i frontlinjen, inbegripet infrastruktur och gränsförvaltning</w:t>
      </w:r>
    </w:p>
    <w:p w:rsidR="00B7300B" w:rsidRPr="00BF2AA9" w:rsidRDefault="004B6F3F" w:rsidP="00B7300B">
      <w:pPr>
        <w:pStyle w:val="NormalHanging12a"/>
        <w:rPr>
          <w:iCs/>
        </w:rPr>
      </w:pPr>
      <w:r w:rsidRPr="00BF2AA9">
        <w:rPr>
          <w:snapToGrid/>
          <w:szCs w:val="24"/>
        </w:rPr>
        <w:t>31.</w:t>
      </w:r>
      <w:r w:rsidRPr="00BF2AA9">
        <w:rPr>
          <w:snapToGrid/>
          <w:szCs w:val="24"/>
        </w:rPr>
        <w:tab/>
        <w:t xml:space="preserve">Europaparlamentet påminner om att Rysslands anfallskrig mot Ukraina har lett till en helt ny situation där det europeiska säkerhetsläget förändrats i grunden och där ökad försvarsberedskap nu krävs och därmed tillräckliga investeringar. Parlamentet betonar att det är viktigt att använda alla de instrument som EIB förfogar över så effektivt som möjligt. Parlamentet uppmanar EIB att öka sitt stöd till det strategiska europeiska säkerhetsinitiativet och till den europeiska försvarsindustrin, inbegripet små och medelstora företag, särskilt för att bidra till fortsatt stöd till Ukraina. </w:t>
      </w:r>
      <w:r w:rsidRPr="00BF2AA9">
        <w:rPr>
          <w:b/>
          <w:i/>
          <w:snapToGrid/>
          <w:szCs w:val="24"/>
        </w:rPr>
        <w:t>Parlamentet uppmanar EIB att reformera sin förteckning för stödberättigande så att ammunition och militär utrustning som går utöver dubbla användningsområden inte längre utesluts från EIB</w:t>
      </w:r>
      <w:r w:rsidRPr="00BF2AA9">
        <w:rPr>
          <w:b/>
          <w:i/>
          <w:snapToGrid/>
          <w:szCs w:val="24"/>
        </w:rPr>
        <w:noBreakHyphen/>
        <w:t>finansiering.</w:t>
      </w:r>
    </w:p>
    <w:p w:rsidR="00B7300B" w:rsidRPr="00BF2AA9" w:rsidRDefault="00B7300B" w:rsidP="00B7300B">
      <w:pPr>
        <w:pStyle w:val="NormalHanging12a"/>
        <w:rPr>
          <w:rStyle w:val="BoldItalic"/>
        </w:rPr>
      </w:pPr>
      <w:r w:rsidRPr="00BF2AA9">
        <w:rPr>
          <w:rStyle w:val="BoldItalic"/>
        </w:rPr>
        <w:t>EIB Global</w:t>
      </w:r>
    </w:p>
    <w:p w:rsidR="00B7300B" w:rsidRPr="00BF2AA9" w:rsidRDefault="00B7300B" w:rsidP="00B7300B">
      <w:pPr>
        <w:pStyle w:val="NormalHanging12a"/>
      </w:pPr>
      <w:r w:rsidRPr="00BF2AA9">
        <w:t>32.</w:t>
      </w:r>
      <w:r w:rsidRPr="00BF2AA9">
        <w:tab/>
        <w:t xml:space="preserve">Europaparlamentet förväntar sig att EIB Globals verksamhet även i fortsättningen anpassas till EU:s strategiska intressen och utrikespolitiska mål. Parlamentet välkomnar EIB:s deltagande i Global Gateway-initiativet, som främst kommer att stödja investeringar i infrastruktur och små och medelstora företag och därigenom bidra till EU:s mål att stärka sitt strategiska oberoende. Parlamentet förväntar sig att EIB Global säkerställer att investeringarna har tydlig additionalitet, att de skapar positiva effekter på lång sikt och att de gynnar mottagarsamhällena genom att skydda natur- och kulturarvet, öka klimatresiliensen, skapa jobb på lokal nivå och minska fattigdomen. Parlamentet anser att berörda parter i mottagarländerna, såsom offentliga myndigheter, det civila samhället och arbetsmarknadens parter, måste involveras i beslutet om och genomförandet av Global Gateway-projekt. Parlamentet påminner dessutom om att EIB Globals framgång hänger på att det finns tillräckligt med personal på fältet, inbegripet lokala arbetstagare. </w:t>
      </w:r>
    </w:p>
    <w:p w:rsidR="00B7300B" w:rsidRPr="00BF2AA9" w:rsidRDefault="00B7300B" w:rsidP="00B7300B">
      <w:pPr>
        <w:pStyle w:val="NormalHanging12a"/>
      </w:pPr>
      <w:r w:rsidRPr="00BF2AA9">
        <w:t>33.</w:t>
      </w:r>
      <w:r w:rsidRPr="00BF2AA9">
        <w:tab/>
        <w:t>Europaparlamentet noterar att EIB Global, sedan det nya utvecklingsdirektoratet inrättades, i rekordomfattning har använt sig av det särskilda investeringsfönster som tillhandahålls genom instrumentet för grannskapet, utvecklingssamarbete och internationellt samarbete – Europa i världen, och betalat ut över 10 miljarder EUR 2022, främst till stöd för Ukraina och Global Gateway. Parlamentet noterar EIB Globals strategiska färdplan och att den förväntas bidra till minst en tredjedel av de 300 miljarder EUR i investeringar som ska ha genererats senast i slutet av 2027. Parlamentet välkomnar målet för 2025 att mer än 50 % av den årliga utlåningen ska gå till investeringar i klimatåtgärder och miljömässig hållbarhet. Parlamentet förväntar sig att finansieringen bidrar till en inkluderande och rättvis omställning globalt. Parlamentet förväntar sig dessutom att EIB Global på ett meningsfullt sätt bidrar till EU:s mål att 85 % av alla nya externa åtgärder ska stödja jämställdhet senast 2025. Parlamentet välkomnar de framsteg som gjorts för att inrätta Global Gateway-fonden inom ramen för garantin inom Europeiska fonden för hållbar utveckling plus, som förväntas finansiera investeringar från den privata sektorn med stor genomslagskraft och tillhandahålla finansiering med eget kapital och lån för projekt för infrastruktur med stort genomslag, ren energi och mänsklig utveckling runt om i världen. Parlamentet uttrycker oro över bristen på inkluderande och meningsfulla samråd med berörda parter som påverkas av dess verksamhet. Parlamentet efterlyser mer stöd till projekt med begränsad bankmässighet och hög offentlig avkastning, och en minskning av det minsta lånebeloppet för enskilda projekt, särskilt i mindre utvecklade länder.</w:t>
      </w:r>
    </w:p>
    <w:p w:rsidR="00B7300B" w:rsidRPr="00BF2AA9" w:rsidRDefault="00B7300B" w:rsidP="00B7300B">
      <w:pPr>
        <w:pStyle w:val="NormalHanging12a"/>
      </w:pPr>
      <w:r w:rsidRPr="00BF2AA9">
        <w:lastRenderedPageBreak/>
        <w:t>34.</w:t>
      </w:r>
      <w:r w:rsidRPr="00BF2AA9">
        <w:tab/>
        <w:t>Europaparlamentet upprepar sin uppmaning till EIB Global att begränsa blandfinansieringsinsatser till områden där de kan tillföra ett mervärde till den lokala ekonomin utan att tränga ut privat kapital, och att säkerställa att blandfinansiering inte används för grundläggande offentliga tjänster, i synnerhet inte för hälso- och sjukvård, utbildning och socialt skydd. Parlamentet påminner om att EU:s utvecklingspolitiska mål, särskilt målet att förbättra allmän och överkomlig tillgång till hälso- och sjukvård, bör vägleda EIB:s investeringar på området för att säkerställa bättre hälsoresultat för alla, särskilt kvinnor.</w:t>
      </w:r>
    </w:p>
    <w:p w:rsidR="00B7300B" w:rsidRPr="00BF2AA9" w:rsidRDefault="00B7300B" w:rsidP="00B7300B">
      <w:pPr>
        <w:pStyle w:val="NormalHanging12a"/>
      </w:pPr>
      <w:r w:rsidRPr="00BF2AA9">
        <w:t>35.</w:t>
      </w:r>
      <w:r w:rsidRPr="00BF2AA9">
        <w:tab/>
        <w:t>Europaparlamentet är bekymrat över de snabbt stigande skuldnivåerna och de högre lånekostnaderna i tillväxt- och utvecklingsekonomier, där uppskattningsvis 60 % av låginkomstländerna redan har problem med statsskulden eller löper stor risk att drabbas av skuldproblem</w:t>
      </w:r>
      <w:r w:rsidRPr="00BF2AA9">
        <w:rPr>
          <w:vertAlign w:val="superscript"/>
        </w:rPr>
        <w:footnoteReference w:id="4"/>
      </w:r>
      <w:r w:rsidRPr="00BF2AA9">
        <w:t>. Parlamentet betonar den viktiga roll som EIB och andra multilaterala institutioner spelar när det gäller att tillhandahålla finansiering till förmånliga villkor för att minska ohållbara skuldbördor.</w:t>
      </w:r>
    </w:p>
    <w:p w:rsidR="00B7300B" w:rsidRPr="00BF2AA9" w:rsidRDefault="00B7300B" w:rsidP="00B7300B">
      <w:pPr>
        <w:pStyle w:val="NormalHanging12a"/>
      </w:pPr>
      <w:r w:rsidRPr="00BF2AA9">
        <w:t>36.</w:t>
      </w:r>
      <w:r w:rsidRPr="00BF2AA9">
        <w:tab/>
        <w:t>Europaparlamentet anser att EIB Global bör vara ansvarigt för efterlevnaden av principerna i Parisförklaringen om biståndseffektivitet och Accra-handlingsplanen (egenansvar, anpassning, harmonisering, resultatorienterad förvaltning och ömsesidigt ansvar). Parlamentet är i detta sammanhang särskilt oroat över en intressekonflikt mellan exportkreditinstitut och EIB Globals utvecklingsfinansiering och över inverkan på utvecklingsadditionaliteten hos EIB Globals berörda investeringar.</w:t>
      </w:r>
    </w:p>
    <w:p w:rsidR="00B7300B" w:rsidRPr="00BF2AA9" w:rsidRDefault="00B7300B" w:rsidP="00B7300B">
      <w:pPr>
        <w:pStyle w:val="NormalHanging12a"/>
      </w:pPr>
      <w:r w:rsidRPr="00BF2AA9">
        <w:t>37.</w:t>
      </w:r>
      <w:r w:rsidRPr="00BF2AA9">
        <w:tab/>
        <w:t>Europaparlamentet noterar EIB:s informerande not som sammanfattar dess strategi för mänskliga rättigheter. Parlamentet påminner EIB om vikten av att integrera mänskliga rättigheter i sina förfaranden för tillbörlig aktsamhet, genomföra konsekvensbedömningar avseende mänskliga rättigheter, förankra sitt allmänna åtagande om mänskliga rättigheter och verka i full överensstämmelse med artikel 2 i EUF-fördraget. Parlamentet upprepar sin efterlysning av tydliga och bindande regler för att komplettera den informerande not som sammanfattar EIB Globals strategi för mänskliga rättigheter, särskilt i fråga om bedömningar och tillbakadraganden. Parlamentet uttrycker särskild oro över att EIB sedan 2015 inte har krävt att projektansvariga genomför några oberoende konsekvensbedömningar avseende mänskliga rättigheter. Parlamentet uppmanar därför EIB att ta fram en människorättsstrategi samt gör människorättsbedömningar och människorättsutvärderingar av sina program, inbegripet av den verkliga situationen på plats i mottagarländerna, för att säkerställa att lokalsamhällen rådfrågas och att rätten till fritt, på förhand inhämtat och välinformerat samtycke systematiskt respekteras. Parlamentet uppmanar vidare EIB att utveckla särskilda strategier för människorättsförsvarare och protokoll för att bemöta risken för repressalier. Parlamentet understryker att särskilda åtgärder bör vidtas för att inkludera urbefolkningar, kvinnor, personer med funktionsnedsättning och andra utsatta grupper i samråden.</w:t>
      </w:r>
    </w:p>
    <w:p w:rsidR="00B7300B" w:rsidRPr="00BF2AA9" w:rsidRDefault="00B7300B" w:rsidP="00B7300B">
      <w:pPr>
        <w:pStyle w:val="NormalHanging12a"/>
      </w:pPr>
      <w:r w:rsidRPr="00BF2AA9">
        <w:t>38.</w:t>
      </w:r>
      <w:r w:rsidRPr="00BF2AA9">
        <w:tab/>
        <w:t xml:space="preserve">Europaparlamentet upprepar sin uppmaning till EIB att se till att dess verksamhet gynnar kvinnor och flickor och främjar kvinnors ekonomiska egenmakt och sysselsättning Parlamentet anser att EIB ytterligare skulle kunna öka </w:t>
      </w:r>
      <w:r w:rsidRPr="00BF2AA9">
        <w:lastRenderedPageBreak/>
        <w:t>mikrofinansieringslånen till kvinnoledda företag, som fortfarande utsätts för diskriminering när det gäller tillgång till finansiering.</w:t>
      </w:r>
    </w:p>
    <w:p w:rsidR="00B7300B" w:rsidRPr="00BF2AA9" w:rsidRDefault="00B7300B" w:rsidP="00B7300B">
      <w:pPr>
        <w:pStyle w:val="NormalHanging12a"/>
      </w:pPr>
      <w:r w:rsidRPr="00BF2AA9">
        <w:t>39.</w:t>
      </w:r>
      <w:r w:rsidRPr="00BF2AA9">
        <w:tab/>
        <w:t>Europaparlamentet uppmanar EIB att samarbeta med andra bilaterala och multilaterala institutioner för att utveckla och tillämpa gemensamma metoder för utvecklingskonsekvensanalyser, i syfte att säkerställa långsiktiga positiva effekter och mervärde.</w:t>
      </w:r>
    </w:p>
    <w:p w:rsidR="00B7300B" w:rsidRPr="00BF2AA9" w:rsidRDefault="00B7300B" w:rsidP="00B7300B">
      <w:pPr>
        <w:pStyle w:val="Normal12a24b"/>
      </w:pPr>
      <w:r w:rsidRPr="00BF2AA9">
        <w:rPr>
          <w:rStyle w:val="BoldItalic"/>
        </w:rPr>
        <w:t>Transparens och styrning</w:t>
      </w:r>
    </w:p>
    <w:p w:rsidR="00B7300B" w:rsidRPr="00BF2AA9" w:rsidRDefault="00B7300B" w:rsidP="00B7300B">
      <w:pPr>
        <w:pStyle w:val="NormalHanging12a"/>
        <w:rPr>
          <w:snapToGrid/>
          <w:szCs w:val="24"/>
        </w:rPr>
      </w:pPr>
      <w:r w:rsidRPr="00BF2AA9">
        <w:t>40.</w:t>
      </w:r>
      <w:r w:rsidRPr="00BF2AA9">
        <w:tab/>
        <w:t>Europaparlamentet påminner om att EIB:s medel är offentliga pengar och att användningen av dem alltid bör vara föremål för offentlig granskning och ansvarsskyldighet. Parlamentet konstaterar att EIB klassas som godtagbar (fair) i 2023 års transparensindex för utländska direktinvesteringar. Parlamentet uppmanar EIB att proaktivt och i god tid offentliggöra mer detaljerad information om projekt, inbegripet motiven och sammanhangen bakom projekten, och förklara hur de överensstämmer med och främjar EU:s politiska mål, och förväntar sig att EIB begränsar sekretessen till de tillämpliga undantag som förtecknas i förordning (EG) nr 1049/2001</w:t>
      </w:r>
      <w:r w:rsidRPr="00BF2AA9">
        <w:rPr>
          <w:rStyle w:val="FootnoteReference"/>
        </w:rPr>
        <w:footnoteReference w:id="5"/>
      </w:r>
      <w:r w:rsidRPr="00BF2AA9">
        <w:t xml:space="preserve"> och förordning (EG) nr 1367/2006</w:t>
      </w:r>
      <w:r w:rsidRPr="00BF2AA9">
        <w:rPr>
          <w:rStyle w:val="FootnoteReference"/>
        </w:rPr>
        <w:footnoteReference w:id="6"/>
      </w:r>
      <w:r w:rsidRPr="00BF2AA9">
        <w:t>. Parlamentet uppmanar enträget EIB att genomföra Europeiska ombudsmannens rekommendationer av den 20 november 2023 i ärende 2252/2022/OAM och av den 21 april 2022 från ärende 1251/2020/PB för att möjliggöra en meningsfull bedömning av de miljömässiga och sociala aspekterna av projekt som EIB överväger att finansiera.</w:t>
      </w:r>
    </w:p>
    <w:p w:rsidR="00B7300B" w:rsidRPr="00BF2AA9" w:rsidRDefault="00B7300B" w:rsidP="00B7300B">
      <w:pPr>
        <w:pStyle w:val="NormalHanging12a"/>
      </w:pPr>
      <w:r w:rsidRPr="00BF2AA9">
        <w:t>41.</w:t>
      </w:r>
      <w:r w:rsidRPr="00BF2AA9">
        <w:tab/>
        <w:t>Europaparlamentet efterlyser en ökad ansvarsskyldighet från EIB:s sida gentemot EU</w:t>
      </w:r>
      <w:r w:rsidRPr="00BF2AA9">
        <w:noBreakHyphen/>
        <w:t>institutionerna, särskilt gentemot parlamentet, eftersom transparens är en av demokratins hörnstenar. Parlamentet uppmanar därför EIB att öka sin rapportering till parlamentet om sina beslut, framsteg som gjorts och effekterna av sin utlåningsverksamhet, särskilt genom regelbundna strukturerade dialoger mellan parlamentet och EIB. Parlamentet upprepar sin begäran om ett interinstitutionellt avtal mellan parlamentet och EIB för att förbättra tillgången till EIB:s handlingar och uppgifter och öka den demokratiska ansvarsskyldigheten, inbegripet möjligheten att ställa frågor för skriftligt besvarande till EIB, vilket redan sker med Europeiska centralbanken.</w:t>
      </w:r>
    </w:p>
    <w:p w:rsidR="00B7300B" w:rsidRPr="00BF2AA9" w:rsidRDefault="00B7300B" w:rsidP="00B7300B">
      <w:pPr>
        <w:pStyle w:val="NormalHanging12a"/>
      </w:pPr>
      <w:r w:rsidRPr="00BF2AA9">
        <w:t>42.</w:t>
      </w:r>
      <w:r w:rsidRPr="00BF2AA9">
        <w:tab/>
        <w:t>Europaparlamentet upprepar sin uppmaning till EIB att stärka sin policy mot skattebedrägeri, skatteundandragande och skatteflykt, bland annat genom att avstå från att finansiera stödmottagare eller finansiella intermediärer som har en dokumenterat negativ historik. Parlamentet uppmanar EIB att genomdriva förebyggande åtgärder och regelbundna skattebedömningar av icke samarbetsvilliga skattejurisdiktioner samt mot skattebedrägeri, skatteundandragande och olaglig och aggressiv skatteflykt.</w:t>
      </w:r>
    </w:p>
    <w:p w:rsidR="00B7300B" w:rsidRPr="00BF2AA9" w:rsidRDefault="00B7300B" w:rsidP="00B7300B">
      <w:pPr>
        <w:pStyle w:val="NormalHanging12a"/>
      </w:pPr>
      <w:r w:rsidRPr="00BF2AA9">
        <w:lastRenderedPageBreak/>
        <w:t>43.</w:t>
      </w:r>
      <w:r w:rsidRPr="00BF2AA9">
        <w:tab/>
        <w:t xml:space="preserve">Europaparlamentet uppmuntrar EIB:s vice ordförande att undvika inblandning i projektförslag från sina hemländer. Parlamentet uppmanar EIB att fullt ut genomföra alla ombudsmannens rekommendationer av den 27 juli 2022 från ärende 1016/2021/KR och av den 31 oktober 2023 från ärende </w:t>
      </w:r>
      <w:hyperlink r:id="rId9" w:history="1">
        <w:r w:rsidRPr="00BF2AA9">
          <w:rPr>
            <w:rStyle w:val="Hyperlink"/>
            <w:color w:val="auto"/>
            <w:u w:val="none"/>
            <w:shd w:val="clear" w:color="auto" w:fill="FFFFFF"/>
          </w:rPr>
          <w:t>611/2022/KR</w:t>
        </w:r>
      </w:hyperlink>
      <w:r w:rsidRPr="00BF2AA9">
        <w:t xml:space="preserve"> när det gäller verksamheten för tidigare ledamöter av EIB:s direktion. Parlamentet uppmanar ledamöterna i EIB:s direktion att offentliggöra sina planerade möten med externa intressenter och upprepar sin begäran om att systematiskt offentliggöra innehållet från EIB:s styrande organs möten för att ytterligare förbättra transparensen. </w:t>
      </w:r>
    </w:p>
    <w:p w:rsidR="00B7300B" w:rsidRPr="00BF2AA9" w:rsidRDefault="00B8612C" w:rsidP="00B7300B">
      <w:pPr>
        <w:pStyle w:val="NormalHanging12a"/>
      </w:pPr>
      <w:r w:rsidRPr="00BF2AA9">
        <w:rPr>
          <w:snapToGrid/>
          <w:szCs w:val="24"/>
        </w:rPr>
        <w:t>44.</w:t>
      </w:r>
      <w:r w:rsidRPr="00BF2AA9">
        <w:rPr>
          <w:snapToGrid/>
          <w:szCs w:val="24"/>
        </w:rPr>
        <w:tab/>
        <w:t xml:space="preserve">Europaparlamentet noterar att EIB har gjort framsteg när det gäller att uppnå en jämnare könsfördelning i personalstyrkan, även om kvinnor fortfarande är underrepresenterade på högre befattningar och inom centrala verksamhetsområden. Parlamentet beklagar att EIB inte uppnådde sina jämställdhetsmål för kvinnor på olika nivåer i EIB:s strategi för mångfald och inkludering 2018–2021. Parlamentet uppmanar därför EIB att öka sina ansträngningar för att </w:t>
      </w:r>
      <w:r w:rsidRPr="00BF2AA9">
        <w:rPr>
          <w:b/>
          <w:i/>
          <w:snapToGrid/>
          <w:szCs w:val="24"/>
        </w:rPr>
        <w:t xml:space="preserve">öka könsmångfalden i syfte att </w:t>
      </w:r>
      <w:r w:rsidRPr="00BF2AA9">
        <w:rPr>
          <w:snapToGrid/>
          <w:szCs w:val="24"/>
        </w:rPr>
        <w:t>uppnå</w:t>
      </w:r>
      <w:r w:rsidRPr="00BF2AA9">
        <w:rPr>
          <w:b/>
          <w:i/>
          <w:snapToGrid/>
          <w:szCs w:val="24"/>
        </w:rPr>
        <w:t xml:space="preserve"> en jämn könsfördelning och</w:t>
      </w:r>
      <w:r w:rsidRPr="00BF2AA9">
        <w:rPr>
          <w:snapToGrid/>
          <w:szCs w:val="24"/>
        </w:rPr>
        <w:t xml:space="preserve"> en bättre balans mellan könen inom alla funktioner, särskilt i seniora befattningar och chefsbefattningar, samtidigt som den geografiska balansen upprätthålls. Parlamentet uppmanar EIB att ytterligare </w:t>
      </w:r>
      <w:r w:rsidRPr="00BF2AA9">
        <w:rPr>
          <w:b/>
          <w:i/>
          <w:snapToGrid/>
          <w:szCs w:val="24"/>
        </w:rPr>
        <w:t>främja alla former av mångfald</w:t>
      </w:r>
      <w:r w:rsidRPr="00BF2AA9">
        <w:rPr>
          <w:snapToGrid/>
          <w:szCs w:val="24"/>
        </w:rPr>
        <w:t xml:space="preserve"> och </w:t>
      </w:r>
      <w:r w:rsidRPr="00BF2AA9">
        <w:rPr>
          <w:b/>
          <w:i/>
          <w:snapToGrid/>
          <w:szCs w:val="24"/>
        </w:rPr>
        <w:t>inkludering inom sin organisation och att fastställa ambitiösa mål</w:t>
      </w:r>
      <w:r w:rsidRPr="00BF2AA9">
        <w:rPr>
          <w:snapToGrid/>
          <w:szCs w:val="24"/>
        </w:rPr>
        <w:t>.</w:t>
      </w:r>
    </w:p>
    <w:p w:rsidR="00B7300B" w:rsidRPr="00BF2AA9" w:rsidRDefault="00B7300B" w:rsidP="00B7300B">
      <w:pPr>
        <w:pStyle w:val="NormalCenter12a"/>
      </w:pPr>
      <w:r w:rsidRPr="00BF2AA9">
        <w:t>°</w:t>
      </w:r>
    </w:p>
    <w:p w:rsidR="00B7300B" w:rsidRPr="00BF2AA9" w:rsidRDefault="00B7300B" w:rsidP="00B7300B">
      <w:pPr>
        <w:pStyle w:val="NormalCenter12a"/>
      </w:pPr>
      <w:r w:rsidRPr="00BF2AA9">
        <w:t>°</w:t>
      </w:r>
      <w:r w:rsidRPr="00BF2AA9">
        <w:tab/>
        <w:t>°</w:t>
      </w:r>
    </w:p>
    <w:p w:rsidR="00B7300B" w:rsidRPr="00704A4F" w:rsidRDefault="00B7300B" w:rsidP="00B7300B">
      <w:pPr>
        <w:pStyle w:val="NormalHanging12a"/>
      </w:pPr>
      <w:r w:rsidRPr="00BF2AA9">
        <w:t>45.</w:t>
      </w:r>
      <w:r w:rsidRPr="00BF2AA9">
        <w:tab/>
        <w:t>Europaparlamentet uppdrar åt talmannen att översända denna resolution till rådet och kommissionen samt till Europeiska investeringsbanken.</w:t>
      </w:r>
    </w:p>
    <w:p w:rsidR="00B7300B" w:rsidRPr="00704A4F" w:rsidRDefault="00B7300B" w:rsidP="00B7300B"/>
    <w:sectPr w:rsidR="00B7300B" w:rsidRPr="00704A4F" w:rsidSect="00704A4F">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D3A" w:rsidRPr="00704A4F" w:rsidRDefault="00E10D3A">
      <w:r w:rsidRPr="00704A4F">
        <w:separator/>
      </w:r>
    </w:p>
  </w:endnote>
  <w:endnote w:type="continuationSeparator" w:id="0">
    <w:p w:rsidR="00E10D3A" w:rsidRPr="00704A4F" w:rsidRDefault="00E10D3A">
      <w:r w:rsidRPr="00704A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A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A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A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D3A" w:rsidRPr="00704A4F" w:rsidRDefault="00E10D3A">
      <w:r w:rsidRPr="00704A4F">
        <w:separator/>
      </w:r>
    </w:p>
  </w:footnote>
  <w:footnote w:type="continuationSeparator" w:id="0">
    <w:p w:rsidR="00E10D3A" w:rsidRPr="00704A4F" w:rsidRDefault="00E10D3A">
      <w:r w:rsidRPr="00704A4F">
        <w:continuationSeparator/>
      </w:r>
    </w:p>
  </w:footnote>
  <w:footnote w:id="1">
    <w:p w:rsidR="00B7300B" w:rsidRPr="00BF2AA9" w:rsidRDefault="00B7300B" w:rsidP="00704A4F">
      <w:pPr>
        <w:pStyle w:val="FootnoteText"/>
        <w:ind w:left="567" w:hanging="567"/>
        <w:rPr>
          <w:sz w:val="24"/>
          <w:szCs w:val="24"/>
          <w:u w:color="0000FF"/>
        </w:rPr>
      </w:pPr>
      <w:r w:rsidRPr="00BF2AA9">
        <w:rPr>
          <w:rStyle w:val="FootnoteReference"/>
          <w:sz w:val="24"/>
          <w:lang w:val="sv-SE"/>
        </w:rPr>
        <w:footnoteRef/>
      </w:r>
      <w:r w:rsidR="00704A4F" w:rsidRPr="00BF2AA9">
        <w:rPr>
          <w:sz w:val="24"/>
        </w:rPr>
        <w:t xml:space="preserve"> </w:t>
      </w:r>
      <w:r w:rsidR="00704A4F" w:rsidRPr="00BF2AA9">
        <w:rPr>
          <w:sz w:val="24"/>
        </w:rPr>
        <w:tab/>
      </w:r>
      <w:hyperlink r:id="rId1" w:history="1">
        <w:r w:rsidRPr="00BF2AA9">
          <w:rPr>
            <w:sz w:val="24"/>
            <w:szCs w:val="24"/>
            <w:u w:color="0000FF"/>
          </w:rPr>
          <w:t>EUT L 231, 30.6.2021, s. 1.</w:t>
        </w:r>
      </w:hyperlink>
    </w:p>
  </w:footnote>
  <w:footnote w:id="2">
    <w:p w:rsidR="00B7300B" w:rsidRPr="00BF2AA9" w:rsidRDefault="00B7300B" w:rsidP="00704A4F">
      <w:pPr>
        <w:pStyle w:val="FootnoteText"/>
        <w:ind w:left="567" w:hanging="567"/>
        <w:rPr>
          <w:sz w:val="24"/>
          <w:szCs w:val="24"/>
          <w:u w:color="0000FF"/>
        </w:rPr>
      </w:pPr>
      <w:r w:rsidRPr="00BF2AA9">
        <w:rPr>
          <w:rStyle w:val="FootnoteReference"/>
          <w:sz w:val="24"/>
          <w:szCs w:val="24"/>
          <w:lang w:val="sv-SE"/>
        </w:rPr>
        <w:footnoteRef/>
      </w:r>
      <w:r w:rsidR="00704A4F" w:rsidRPr="00BF2AA9">
        <w:rPr>
          <w:sz w:val="24"/>
          <w:szCs w:val="24"/>
        </w:rPr>
        <w:t xml:space="preserve"> </w:t>
      </w:r>
      <w:r w:rsidR="00704A4F" w:rsidRPr="00BF2AA9">
        <w:rPr>
          <w:sz w:val="24"/>
          <w:szCs w:val="24"/>
        </w:rPr>
        <w:tab/>
      </w:r>
      <w:hyperlink r:id="rId2" w:history="1">
        <w:r w:rsidRPr="00BF2AA9">
          <w:rPr>
            <w:sz w:val="24"/>
            <w:szCs w:val="24"/>
            <w:u w:color="0000FF"/>
          </w:rPr>
          <w:t>EUT L 274, 30.7.2021, s. 1.</w:t>
        </w:r>
      </w:hyperlink>
    </w:p>
  </w:footnote>
  <w:footnote w:id="3">
    <w:p w:rsidR="00B7300B" w:rsidRPr="00BF2AA9" w:rsidRDefault="00B7300B" w:rsidP="00704A4F">
      <w:pPr>
        <w:pStyle w:val="FootnoteText"/>
        <w:ind w:left="567" w:hanging="567"/>
        <w:rPr>
          <w:sz w:val="24"/>
          <w:lang w:val="sv-SE"/>
        </w:rPr>
      </w:pPr>
      <w:r w:rsidRPr="00BF2AA9">
        <w:rPr>
          <w:rStyle w:val="FootnoteReference"/>
          <w:sz w:val="24"/>
          <w:lang w:val="sv-SE"/>
        </w:rPr>
        <w:footnoteRef/>
      </w:r>
      <w:r w:rsidR="00704A4F" w:rsidRPr="00BF2AA9">
        <w:rPr>
          <w:sz w:val="24"/>
          <w:lang w:val="sv-SE"/>
        </w:rPr>
        <w:t xml:space="preserve"> </w:t>
      </w:r>
      <w:r w:rsidR="00704A4F" w:rsidRPr="00BF2AA9">
        <w:rPr>
          <w:sz w:val="24"/>
          <w:lang w:val="sv-SE"/>
        </w:rPr>
        <w:tab/>
      </w:r>
      <w:r w:rsidRPr="00BF2AA9">
        <w:rPr>
          <w:sz w:val="24"/>
          <w:lang w:val="sv-SE"/>
        </w:rPr>
        <w:t xml:space="preserve">Kommissionens delegerade förordning (EU) 2023/1184 av den 10 februari 2023 om komplettering av Europaparlamentets och rådets direktiv (EU) 2018/2001 genom fastställande av en unionsmetod med närmare regler för produktion av förnybara flytande och gasformiga drivmedel av icke-biologiskt ursprung </w:t>
      </w:r>
      <w:r w:rsidR="00B611AF" w:rsidRPr="00BF2AA9">
        <w:rPr>
          <w:sz w:val="24"/>
          <w:lang w:val="sv-SE"/>
        </w:rPr>
        <w:t>(</w:t>
      </w:r>
      <w:r w:rsidRPr="00BF2AA9">
        <w:rPr>
          <w:sz w:val="24"/>
          <w:lang w:val="sv-SE"/>
        </w:rPr>
        <w:t>EUT L 157, 20.6.2023, s. 11</w:t>
      </w:r>
      <w:r w:rsidR="00B611AF" w:rsidRPr="00BF2AA9">
        <w:rPr>
          <w:sz w:val="24"/>
          <w:lang w:val="sv-SE"/>
        </w:rPr>
        <w:t>)</w:t>
      </w:r>
      <w:r w:rsidRPr="00BF2AA9">
        <w:rPr>
          <w:sz w:val="24"/>
          <w:lang w:val="sv-SE"/>
        </w:rPr>
        <w:t>.</w:t>
      </w:r>
    </w:p>
  </w:footnote>
  <w:footnote w:id="4">
    <w:p w:rsidR="00B7300B" w:rsidRPr="00BF2AA9" w:rsidRDefault="00B7300B" w:rsidP="00704A4F">
      <w:pPr>
        <w:pStyle w:val="FootnoteText"/>
        <w:ind w:left="567" w:hanging="567"/>
        <w:rPr>
          <w:sz w:val="24"/>
          <w:lang w:val="sv-SE"/>
        </w:rPr>
      </w:pPr>
      <w:r w:rsidRPr="00BF2AA9">
        <w:rPr>
          <w:rStyle w:val="FootnoteReference"/>
          <w:sz w:val="24"/>
          <w:lang w:val="sv-SE"/>
        </w:rPr>
        <w:footnoteRef/>
      </w:r>
      <w:r w:rsidR="00704A4F" w:rsidRPr="00BF2AA9">
        <w:rPr>
          <w:sz w:val="24"/>
          <w:lang w:val="sv-SE"/>
        </w:rPr>
        <w:t xml:space="preserve"> </w:t>
      </w:r>
      <w:r w:rsidR="00704A4F" w:rsidRPr="00BF2AA9">
        <w:rPr>
          <w:sz w:val="24"/>
          <w:lang w:val="sv-SE"/>
        </w:rPr>
        <w:tab/>
      </w:r>
      <w:r w:rsidRPr="00BF2AA9">
        <w:rPr>
          <w:sz w:val="24"/>
          <w:lang w:val="sv-SE"/>
        </w:rPr>
        <w:t xml:space="preserve">Världsbankens rapport </w:t>
      </w:r>
      <w:r w:rsidRPr="00BF2AA9">
        <w:rPr>
          <w:i/>
          <w:iCs/>
          <w:sz w:val="24"/>
          <w:lang w:val="sv-SE"/>
        </w:rPr>
        <w:t>Global Economic Prospects</w:t>
      </w:r>
      <w:r w:rsidRPr="00BF2AA9">
        <w:rPr>
          <w:sz w:val="24"/>
          <w:lang w:val="sv-SE"/>
        </w:rPr>
        <w:t xml:space="preserve">, januari 2024, </w:t>
      </w:r>
      <w:hyperlink r:id="rId3" w:history="1">
        <w:r w:rsidRPr="00BF2AA9">
          <w:rPr>
            <w:rStyle w:val="Hyperlink"/>
            <w:color w:val="auto"/>
            <w:sz w:val="24"/>
            <w:lang w:val="sv-SE"/>
          </w:rPr>
          <w:t>https://www.worldbank.org/en/pu</w:t>
        </w:r>
        <w:r w:rsidRPr="00BF2AA9">
          <w:rPr>
            <w:rStyle w:val="Hyperlink"/>
            <w:color w:val="auto"/>
            <w:sz w:val="24"/>
            <w:lang w:val="sv-SE"/>
          </w:rPr>
          <w:t>b</w:t>
        </w:r>
        <w:r w:rsidRPr="00BF2AA9">
          <w:rPr>
            <w:rStyle w:val="Hyperlink"/>
            <w:color w:val="auto"/>
            <w:sz w:val="24"/>
            <w:lang w:val="sv-SE"/>
          </w:rPr>
          <w:t>lication/global-economic-prospects</w:t>
        </w:r>
      </w:hyperlink>
      <w:r w:rsidRPr="00BF2AA9">
        <w:rPr>
          <w:sz w:val="24"/>
          <w:lang w:val="sv-SE"/>
        </w:rPr>
        <w:t>.</w:t>
      </w:r>
    </w:p>
  </w:footnote>
  <w:footnote w:id="5">
    <w:p w:rsidR="00B7300B" w:rsidRPr="00BF2AA9" w:rsidRDefault="00B7300B" w:rsidP="00704A4F">
      <w:pPr>
        <w:pStyle w:val="FootnoteText"/>
        <w:ind w:left="567" w:hanging="567"/>
        <w:rPr>
          <w:sz w:val="24"/>
          <w:lang w:val="sv-SE"/>
        </w:rPr>
      </w:pPr>
      <w:r w:rsidRPr="00BF2AA9">
        <w:rPr>
          <w:rStyle w:val="FootnoteReference"/>
          <w:sz w:val="24"/>
          <w:lang w:val="sv-SE"/>
        </w:rPr>
        <w:footnoteRef/>
      </w:r>
      <w:r w:rsidR="00704A4F" w:rsidRPr="00BF2AA9">
        <w:rPr>
          <w:sz w:val="24"/>
          <w:lang w:val="sv-SE"/>
        </w:rPr>
        <w:t xml:space="preserve"> </w:t>
      </w:r>
      <w:r w:rsidR="00704A4F" w:rsidRPr="00BF2AA9">
        <w:rPr>
          <w:sz w:val="24"/>
          <w:lang w:val="sv-SE"/>
        </w:rPr>
        <w:tab/>
      </w:r>
      <w:r w:rsidRPr="00BF2AA9">
        <w:rPr>
          <w:sz w:val="24"/>
          <w:lang w:val="sv-SE"/>
        </w:rPr>
        <w:t xml:space="preserve">Europaparlamentets och rådets förordning (EG) nr 1049/2001 av den 30 maj 2001 om allmänhetens tillgång till Europaparlamentets, rådets och kommissionens handlingar </w:t>
      </w:r>
      <w:r w:rsidR="00B611AF" w:rsidRPr="00BF2AA9">
        <w:rPr>
          <w:sz w:val="24"/>
          <w:lang w:val="sv-SE"/>
        </w:rPr>
        <w:t>(</w:t>
      </w:r>
      <w:r w:rsidRPr="00BF2AA9">
        <w:rPr>
          <w:sz w:val="24"/>
          <w:lang w:val="sv-SE"/>
        </w:rPr>
        <w:t>EUT L 145, 31.5.2001, s. 43</w:t>
      </w:r>
      <w:r w:rsidR="00B611AF" w:rsidRPr="00BF2AA9">
        <w:rPr>
          <w:sz w:val="24"/>
          <w:lang w:val="sv-SE"/>
        </w:rPr>
        <w:t>)</w:t>
      </w:r>
      <w:r w:rsidRPr="00BF2AA9">
        <w:rPr>
          <w:sz w:val="24"/>
          <w:lang w:val="sv-SE"/>
        </w:rPr>
        <w:t>.</w:t>
      </w:r>
    </w:p>
  </w:footnote>
  <w:footnote w:id="6">
    <w:p w:rsidR="00B7300B" w:rsidRPr="00704A4F" w:rsidRDefault="00B7300B" w:rsidP="00704A4F">
      <w:pPr>
        <w:pStyle w:val="FootnoteText"/>
        <w:ind w:left="567" w:hanging="567"/>
        <w:rPr>
          <w:sz w:val="24"/>
          <w:lang w:val="sv-SE"/>
        </w:rPr>
      </w:pPr>
      <w:r w:rsidRPr="00BF2AA9">
        <w:rPr>
          <w:rStyle w:val="FootnoteReference"/>
          <w:sz w:val="24"/>
          <w:lang w:val="sv-SE"/>
        </w:rPr>
        <w:footnoteRef/>
      </w:r>
      <w:r w:rsidR="00704A4F" w:rsidRPr="00BF2AA9">
        <w:rPr>
          <w:sz w:val="24"/>
          <w:lang w:val="sv-SE"/>
        </w:rPr>
        <w:t xml:space="preserve"> </w:t>
      </w:r>
      <w:r w:rsidR="00704A4F" w:rsidRPr="00BF2AA9">
        <w:rPr>
          <w:sz w:val="24"/>
          <w:lang w:val="sv-SE"/>
        </w:rPr>
        <w:tab/>
      </w:r>
      <w:r w:rsidRPr="00BF2AA9">
        <w:rPr>
          <w:sz w:val="24"/>
          <w:lang w:val="sv-SE"/>
        </w:rPr>
        <w:t xml:space="preserve">Europaparlamentets och rådets förordning (EG) nr 1367/2006 av den 6 september 2006 om tillämpning av bestämmelserna i Århuskonventionen om tillgång till information, allmänhetens deltagande i beslutsprocesser och tillgång till rättslig prövning i miljöfrågor på gemenskapens institutioner och organ </w:t>
      </w:r>
      <w:r w:rsidR="00B611AF" w:rsidRPr="00BF2AA9">
        <w:rPr>
          <w:sz w:val="24"/>
          <w:lang w:val="sv-SE"/>
        </w:rPr>
        <w:t>(</w:t>
      </w:r>
      <w:r w:rsidRPr="00BF2AA9">
        <w:rPr>
          <w:sz w:val="24"/>
          <w:lang w:val="sv-SE"/>
        </w:rPr>
        <w:t>EUT L 264, 25.9.2006, s. 13</w:t>
      </w:r>
      <w:r w:rsidR="00B611AF" w:rsidRPr="00BF2AA9">
        <w:rPr>
          <w:sz w:val="24"/>
          <w:lang w:val="sv-SE"/>
        </w:rPr>
        <w:t>)</w:t>
      </w:r>
      <w:r w:rsidRPr="00BF2AA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A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A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4A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1/2024"/>
    <w:docVar w:name="dvlangue" w:val="SV"/>
    <w:docVar w:name="dvnumam" w:val="0"/>
    <w:docVar w:name="dvpe" w:val="757.274"/>
    <w:docVar w:name="dvrapporteur" w:val="Föredragande: "/>
    <w:docVar w:name="dvtitre" w:val="Europaparlamentets resolution av den xx xx 2024 om Europeiska investeringsbankens finansiella verksamhet – årsrapport 2023(2023/2229(INI))"/>
  </w:docVars>
  <w:rsids>
    <w:rsidRoot w:val="00E10D3A"/>
    <w:rsid w:val="00002272"/>
    <w:rsid w:val="00064002"/>
    <w:rsid w:val="000677B9"/>
    <w:rsid w:val="000831BA"/>
    <w:rsid w:val="000A42CC"/>
    <w:rsid w:val="000E7944"/>
    <w:rsid w:val="000E7DD9"/>
    <w:rsid w:val="0010095E"/>
    <w:rsid w:val="00125B37"/>
    <w:rsid w:val="00187494"/>
    <w:rsid w:val="001F32AE"/>
    <w:rsid w:val="002767FF"/>
    <w:rsid w:val="002B18FE"/>
    <w:rsid w:val="002B5493"/>
    <w:rsid w:val="00343214"/>
    <w:rsid w:val="00361C00"/>
    <w:rsid w:val="00395FA1"/>
    <w:rsid w:val="003E15D4"/>
    <w:rsid w:val="003F43FA"/>
    <w:rsid w:val="00411CCE"/>
    <w:rsid w:val="0041666E"/>
    <w:rsid w:val="00421060"/>
    <w:rsid w:val="00471C19"/>
    <w:rsid w:val="004867E3"/>
    <w:rsid w:val="00494A28"/>
    <w:rsid w:val="004B6F3F"/>
    <w:rsid w:val="004C0004"/>
    <w:rsid w:val="004C5D52"/>
    <w:rsid w:val="0050519A"/>
    <w:rsid w:val="005072A1"/>
    <w:rsid w:val="00514517"/>
    <w:rsid w:val="00545827"/>
    <w:rsid w:val="00557577"/>
    <w:rsid w:val="00560270"/>
    <w:rsid w:val="005C2568"/>
    <w:rsid w:val="00601EC8"/>
    <w:rsid w:val="006037C0"/>
    <w:rsid w:val="006631B6"/>
    <w:rsid w:val="00680577"/>
    <w:rsid w:val="006F74FA"/>
    <w:rsid w:val="00704A4F"/>
    <w:rsid w:val="00731ADD"/>
    <w:rsid w:val="00734777"/>
    <w:rsid w:val="00747932"/>
    <w:rsid w:val="00751A4A"/>
    <w:rsid w:val="00756632"/>
    <w:rsid w:val="00762C74"/>
    <w:rsid w:val="00786EC0"/>
    <w:rsid w:val="007C7705"/>
    <w:rsid w:val="007D1690"/>
    <w:rsid w:val="007E22AD"/>
    <w:rsid w:val="00817416"/>
    <w:rsid w:val="00842779"/>
    <w:rsid w:val="00865F67"/>
    <w:rsid w:val="00881A7B"/>
    <w:rsid w:val="008840E5"/>
    <w:rsid w:val="00887B3E"/>
    <w:rsid w:val="008C2AC6"/>
    <w:rsid w:val="00930C23"/>
    <w:rsid w:val="0093193B"/>
    <w:rsid w:val="009509D8"/>
    <w:rsid w:val="00950B64"/>
    <w:rsid w:val="009561A8"/>
    <w:rsid w:val="00956F90"/>
    <w:rsid w:val="00981893"/>
    <w:rsid w:val="00A1687D"/>
    <w:rsid w:val="00A43E52"/>
    <w:rsid w:val="00A4678D"/>
    <w:rsid w:val="00A778C7"/>
    <w:rsid w:val="00AB441E"/>
    <w:rsid w:val="00AB6293"/>
    <w:rsid w:val="00AE0928"/>
    <w:rsid w:val="00AF3B82"/>
    <w:rsid w:val="00B12E95"/>
    <w:rsid w:val="00B22876"/>
    <w:rsid w:val="00B558F0"/>
    <w:rsid w:val="00B611AF"/>
    <w:rsid w:val="00B7300B"/>
    <w:rsid w:val="00B8612C"/>
    <w:rsid w:val="00BD48FE"/>
    <w:rsid w:val="00BD7BD8"/>
    <w:rsid w:val="00BE6ADC"/>
    <w:rsid w:val="00BF2AA9"/>
    <w:rsid w:val="00C05BFE"/>
    <w:rsid w:val="00C23CD4"/>
    <w:rsid w:val="00C61C0C"/>
    <w:rsid w:val="00C941CB"/>
    <w:rsid w:val="00CC2357"/>
    <w:rsid w:val="00CF071A"/>
    <w:rsid w:val="00D058B8"/>
    <w:rsid w:val="00D56C11"/>
    <w:rsid w:val="00D834A0"/>
    <w:rsid w:val="00D872DF"/>
    <w:rsid w:val="00D91E21"/>
    <w:rsid w:val="00DA7FCD"/>
    <w:rsid w:val="00E10D3A"/>
    <w:rsid w:val="00E365E1"/>
    <w:rsid w:val="00E820A4"/>
    <w:rsid w:val="00EB006A"/>
    <w:rsid w:val="00EB4772"/>
    <w:rsid w:val="00EB48C8"/>
    <w:rsid w:val="00EB4FB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D487D7-47E4-4AC2-991C-AC3BC2B0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300B"/>
    <w:pPr>
      <w:spacing w:before="480" w:after="240"/>
    </w:pPr>
    <w:rPr>
      <w:snapToGrid w:val="0"/>
      <w:lang w:eastAsia="en-US"/>
    </w:rPr>
  </w:style>
  <w:style w:type="paragraph" w:customStyle="1" w:styleId="NormalHanging12a">
    <w:name w:val="NormalHanging12a"/>
    <w:basedOn w:val="Normal"/>
    <w:link w:val="NormalHanging12aChar"/>
    <w:rsid w:val="00B7300B"/>
    <w:pPr>
      <w:widowControl/>
      <w:spacing w:after="240"/>
      <w:ind w:left="567" w:hanging="567"/>
    </w:pPr>
    <w:rPr>
      <w:snapToGrid w:val="0"/>
      <w:lang w:eastAsia="en-US"/>
    </w:rPr>
  </w:style>
  <w:style w:type="paragraph" w:customStyle="1" w:styleId="NormalCenter12a">
    <w:name w:val="NormalCenter12a"/>
    <w:basedOn w:val="Normal"/>
    <w:rsid w:val="00B7300B"/>
    <w:pPr>
      <w:spacing w:after="240"/>
      <w:jc w:val="center"/>
    </w:pPr>
  </w:style>
  <w:style w:type="character" w:customStyle="1" w:styleId="BoldItalic">
    <w:name w:val="BoldItalic"/>
    <w:uiPriority w:val="1"/>
    <w:rsid w:val="00B7300B"/>
    <w:rPr>
      <w:b/>
      <w:i/>
      <w:u w:val="none"/>
    </w:rPr>
  </w:style>
  <w:style w:type="character" w:customStyle="1" w:styleId="Italic">
    <w:name w:val="Italic"/>
    <w:uiPriority w:val="1"/>
    <w:rsid w:val="00B7300B"/>
    <w:rPr>
      <w:i/>
    </w:rPr>
  </w:style>
  <w:style w:type="paragraph" w:customStyle="1" w:styleId="Normal12a24b">
    <w:name w:val="Normal12a24b"/>
    <w:basedOn w:val="Normal"/>
    <w:rsid w:val="00B7300B"/>
    <w:pPr>
      <w:spacing w:before="360" w:after="240"/>
    </w:pPr>
    <w:rPr>
      <w:snapToGrid w:val="0"/>
      <w:lang w:eastAsia="en-US"/>
    </w:rPr>
  </w:style>
  <w:style w:type="character" w:customStyle="1" w:styleId="NormalHanging12aChar">
    <w:name w:val="NormalHanging12a Char"/>
    <w:basedOn w:val="DefaultParagraphFont"/>
    <w:link w:val="NormalHanging12a"/>
    <w:rsid w:val="00B7300B"/>
    <w:rPr>
      <w:snapToGrid w:val="0"/>
      <w:sz w:val="24"/>
      <w:lang w:val="sv-SE" w:eastAsia="en-US"/>
    </w:rPr>
  </w:style>
  <w:style w:type="character" w:styleId="Hyperlink">
    <w:name w:val="Hyperlink"/>
    <w:basedOn w:val="DefaultParagraphFont"/>
    <w:uiPriority w:val="99"/>
    <w:unhideWhenUsed/>
    <w:rsid w:val="00B7300B"/>
    <w:rPr>
      <w:color w:val="0563C1" w:themeColor="hyperlink"/>
      <w:u w:val="single"/>
    </w:rPr>
  </w:style>
  <w:style w:type="paragraph" w:styleId="BalloonText">
    <w:name w:val="Balloon Text"/>
    <w:basedOn w:val="Normal"/>
    <w:link w:val="BalloonTextChar"/>
    <w:rsid w:val="007C7705"/>
    <w:rPr>
      <w:rFonts w:ascii="Segoe UI" w:hAnsi="Segoe UI" w:cs="Segoe UI"/>
      <w:sz w:val="18"/>
      <w:szCs w:val="18"/>
    </w:rPr>
  </w:style>
  <w:style w:type="character" w:customStyle="1" w:styleId="BalloonTextChar">
    <w:name w:val="Balloon Text Char"/>
    <w:basedOn w:val="DefaultParagraphFont"/>
    <w:link w:val="BalloonText"/>
    <w:rsid w:val="007C7705"/>
    <w:rPr>
      <w:rFonts w:ascii="Segoe UI" w:hAnsi="Segoe UI" w:cs="Segoe UI"/>
      <w:sz w:val="18"/>
      <w:szCs w:val="18"/>
      <w:lang w:val="sv-SE"/>
    </w:rPr>
  </w:style>
  <w:style w:type="character" w:styleId="FollowedHyperlink">
    <w:name w:val="FollowedHyperlink"/>
    <w:basedOn w:val="DefaultParagraphFont"/>
    <w:rsid w:val="005575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mbudsman.europa.eu/en/case/sv/6138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worldbank.org/en/publication/global-economic-prospects" TargetMode="External"/><Relationship Id="rId2" Type="http://schemas.openxmlformats.org/officeDocument/2006/relationships/hyperlink" Target="https://eur-lex.europa.eu/legal-content/SV/TXT/?uri=uriserv:OJ.L_.2021.274.01.0001.01.ENG" TargetMode="External"/><Relationship Id="rId1" Type="http://schemas.openxmlformats.org/officeDocument/2006/relationships/hyperlink" Target="https://eur-lex.europa.eu/legal-content/SV/TXT/?uri=uriserv:OJ.L_.2021.231.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DB1F9-6003-4DFE-8254-849C01E73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5118</Words>
  <Characters>33223</Characters>
  <Application>Microsoft Office Word</Application>
  <DocSecurity>0</DocSecurity>
  <Lines>276</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2024-02-29T10:11:00Z</dcterms:created>
  <dcterms:modified xsi:type="dcterms:W3CDTF">2024-02-29T10:11:00Z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A9-0031/2024</vt:lpwstr>
  </property>
  <property fmtid="{D5CDD505-2E9C-101B-9397-08002B2CF9AE}" pid="4" name="&lt;Type&gt;">
    <vt:lpwstr>RR</vt:lpwstr>
  </property>
</Properties>
</file>