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C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1C7E" w:rsidRDefault="0075362F" w:rsidP="0010095E">
            <w:pPr>
              <w:pStyle w:val="EPName"/>
            </w:pPr>
            <w:r w:rsidRPr="00F11C7E">
              <w:t>Parlament Europejski</w:t>
            </w:r>
          </w:p>
          <w:p w:rsidR="00751A4A" w:rsidRPr="00F11C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C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1C7E" w:rsidRDefault="00187494" w:rsidP="0010095E">
            <w:pPr>
              <w:pStyle w:val="EPLogo"/>
            </w:pPr>
            <w:r w:rsidRPr="00F11C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1C7E" w:rsidRDefault="00D058B8" w:rsidP="004C5D52">
      <w:pPr>
        <w:pStyle w:val="LineTop"/>
      </w:pPr>
    </w:p>
    <w:p w:rsidR="00680577" w:rsidRPr="00F11C7E" w:rsidRDefault="0075362F" w:rsidP="00680577">
      <w:pPr>
        <w:pStyle w:val="EPBodyTA1"/>
      </w:pPr>
      <w:r w:rsidRPr="00F11C7E">
        <w:t>TEKSTY PRZYJĘTE</w:t>
      </w:r>
    </w:p>
    <w:p w:rsidR="00D058B8" w:rsidRPr="00F11C7E" w:rsidRDefault="00D058B8" w:rsidP="00D058B8">
      <w:pPr>
        <w:pStyle w:val="LineBottom"/>
      </w:pPr>
    </w:p>
    <w:p w:rsidR="0075362F" w:rsidRPr="00F11C7E" w:rsidRDefault="0075362F" w:rsidP="0075362F">
      <w:pPr>
        <w:pStyle w:val="ATHeading1"/>
      </w:pPr>
      <w:bookmarkStart w:id="0" w:name="TANumber"/>
      <w:r w:rsidRPr="00F11C7E">
        <w:t>P9_TA(2024)0</w:t>
      </w:r>
      <w:r w:rsidR="00417CA2">
        <w:t>108</w:t>
      </w:r>
      <w:bookmarkEnd w:id="0"/>
    </w:p>
    <w:p w:rsidR="0075362F" w:rsidRPr="00F11C7E" w:rsidRDefault="0075362F" w:rsidP="0075362F">
      <w:pPr>
        <w:pStyle w:val="ATHeading2"/>
      </w:pPr>
      <w:bookmarkStart w:id="1" w:name="title"/>
      <w:r w:rsidRPr="00F11C7E">
        <w:t>Sprawozdanie w sprawie sprawozdania Komisji na temat praworządności z 2023 r.</w:t>
      </w:r>
      <w:bookmarkEnd w:id="1"/>
    </w:p>
    <w:p w:rsidR="0075362F" w:rsidRPr="00F11C7E" w:rsidRDefault="0075362F" w:rsidP="0075362F">
      <w:pPr>
        <w:rPr>
          <w:i/>
          <w:vanish/>
        </w:rPr>
      </w:pPr>
      <w:r w:rsidRPr="00F11C7E">
        <w:rPr>
          <w:i/>
        </w:rPr>
        <w:fldChar w:fldCharType="begin"/>
      </w:r>
      <w:r w:rsidRPr="00F11C7E">
        <w:rPr>
          <w:i/>
        </w:rPr>
        <w:instrText xml:space="preserve"> TC"(</w:instrText>
      </w:r>
      <w:bookmarkStart w:id="2" w:name="DocNumber"/>
      <w:r w:rsidRPr="00F11C7E">
        <w:rPr>
          <w:i/>
        </w:rPr>
        <w:instrText>A9-0025/2024</w:instrText>
      </w:r>
      <w:bookmarkEnd w:id="2"/>
      <w:r w:rsidRPr="00F11C7E">
        <w:rPr>
          <w:i/>
        </w:rPr>
        <w:instrText xml:space="preserve"> - Sprawozdawca: Sophia in 't Veld)"\l3 \n&gt; \* MERGEFORMAT </w:instrText>
      </w:r>
      <w:r w:rsidRPr="00F11C7E">
        <w:rPr>
          <w:i/>
        </w:rPr>
        <w:fldChar w:fldCharType="end"/>
      </w:r>
    </w:p>
    <w:p w:rsidR="0075362F" w:rsidRPr="00F11C7E" w:rsidRDefault="0075362F" w:rsidP="0075362F">
      <w:pPr>
        <w:rPr>
          <w:vanish/>
        </w:rPr>
      </w:pPr>
      <w:bookmarkStart w:id="3" w:name="Commission"/>
      <w:r w:rsidRPr="00F11C7E">
        <w:rPr>
          <w:vanish/>
        </w:rPr>
        <w:t>Komisja Wolności Obywatelskich, Sprawiedliwości i Spraw Wewnętrznych</w:t>
      </w:r>
      <w:bookmarkEnd w:id="3"/>
    </w:p>
    <w:p w:rsidR="0075362F" w:rsidRPr="00F11C7E" w:rsidRDefault="0075362F" w:rsidP="0075362F">
      <w:pPr>
        <w:rPr>
          <w:vanish/>
        </w:rPr>
      </w:pPr>
      <w:bookmarkStart w:id="4" w:name="PE"/>
      <w:r w:rsidRPr="00F11C7E">
        <w:rPr>
          <w:vanish/>
        </w:rPr>
        <w:t>PE754.695</w:t>
      </w:r>
      <w:bookmarkEnd w:id="4"/>
    </w:p>
    <w:p w:rsidR="0075362F" w:rsidRPr="00F11C7E" w:rsidRDefault="0075362F" w:rsidP="0075362F">
      <w:pPr>
        <w:pStyle w:val="ATHeading3"/>
      </w:pPr>
      <w:bookmarkStart w:id="5" w:name="Sujet"/>
      <w:r w:rsidRPr="00F11C7E">
        <w:t xml:space="preserve">Rezolucja Parlamentu Europejskiego z dnia </w:t>
      </w:r>
      <w:r w:rsidR="00417CA2">
        <w:t>28 lutego</w:t>
      </w:r>
      <w:r w:rsidRPr="00F11C7E">
        <w:t xml:space="preserve"> 2024 r. Sprawozdanie w sprawie sprawozdania Komisji na temat praworządności z 2023 r.</w:t>
      </w:r>
      <w:bookmarkEnd w:id="5"/>
      <w:r w:rsidRPr="00F11C7E">
        <w:t xml:space="preserve"> </w:t>
      </w:r>
      <w:bookmarkStart w:id="6" w:name="References"/>
      <w:r w:rsidRPr="00F11C7E">
        <w:t>(2023/2113(INI))</w:t>
      </w:r>
      <w:bookmarkEnd w:id="6"/>
    </w:p>
    <w:p w:rsidR="00D7295C" w:rsidRPr="00F11C7E" w:rsidRDefault="00D7295C" w:rsidP="00D7295C">
      <w:pPr>
        <w:pStyle w:val="EPComma"/>
      </w:pPr>
      <w:bookmarkStart w:id="7" w:name="TextBodyBegin"/>
      <w:bookmarkEnd w:id="7"/>
      <w:r w:rsidRPr="00F11C7E">
        <w:rPr>
          <w:rStyle w:val="Italic"/>
        </w:rPr>
        <w:t>Parlament Europejski</w:t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Traktat o Unii Europejskiej (TUE), w szczególności jego art. 2, art. 3 ust. 1, art. 3 ust. 3 akapit drugi, art. 4 ust. 3 oraz art. 5, 6, 7, 11, 19 i 49,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Traktat o funkcjonowaniu Unii Europejskiej (TFUE), w szczególności artykuły dotyczące poszanowania, ochrony i wspierania demokracji, praworządności i praw podstawowych w Unii, w tym art. 70, 258, 259, 260, 263, 265 i 267,</w:t>
      </w:r>
    </w:p>
    <w:p w:rsidR="00D7295C" w:rsidRPr="00F11C7E" w:rsidRDefault="00D7295C" w:rsidP="00805512">
      <w:pPr>
        <w:pStyle w:val="NormalHanging12a"/>
        <w:spacing w:before="240"/>
      </w:pPr>
      <w:r w:rsidRPr="00F11C7E">
        <w:t>–</w:t>
      </w:r>
      <w:r w:rsidRPr="00F11C7E">
        <w:tab/>
        <w:t>uwzględniając Kartę praw podstawowych Unii Europejskiej</w:t>
      </w:r>
      <w:r w:rsidR="00805512">
        <w:t xml:space="preserve"> (zwaną</w:t>
      </w:r>
      <w:r w:rsidR="00805512" w:rsidRPr="00805512">
        <w:t xml:space="preserve"> dalej „kartą”</w:t>
      </w:r>
      <w:r w:rsidR="00805512">
        <w:t>)</w:t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orzecznictwo Trybunału Sprawiedliwości Unii Europejskiej</w:t>
      </w:r>
      <w:r w:rsidR="00805512">
        <w:t xml:space="preserve"> (TSUE)</w:t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komunikat Komisji z dnia 5 lipca 2023 r. pt. „Sprawozdanie na temat praworządności z 2023 r. – Sytuacja w zakresie praworządności w Unii Europejskiej” (COM(2023)0800),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 xml:space="preserve">uwzględniając rozporządzenie Parlamentu Europejskiego i Rady (UE, </w:t>
      </w:r>
      <w:proofErr w:type="spellStart"/>
      <w:r w:rsidRPr="00F11C7E">
        <w:t>Euratom</w:t>
      </w:r>
      <w:proofErr w:type="spellEnd"/>
      <w:r w:rsidRPr="00F11C7E">
        <w:t>) 2020/2092 z dnia 16 grudnia 2020 r. w sprawie ogólnego systemu warunkowości służącego ochronie budżetu Unii</w:t>
      </w:r>
      <w:r w:rsidRPr="00F11C7E">
        <w:rPr>
          <w:rStyle w:val="FootnoteReference"/>
        </w:rPr>
        <w:footnoteReference w:id="1"/>
      </w:r>
      <w:r w:rsidRPr="00F11C7E">
        <w:t xml:space="preserve"> (rozporządzenie dotyczące warunkowości w zakresie praworządności),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 xml:space="preserve">uwzględniając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</w:t>
      </w:r>
      <w:r w:rsidRPr="00F11C7E">
        <w:lastRenderedPageBreak/>
        <w:t>Bezpieczeństwa Wewnętrznego i Instrumentu Wsparcia Finansowego na rzecz Zarządzania Granicami i Polityki Wizowej</w:t>
      </w:r>
      <w:r w:rsidRPr="00F11C7E">
        <w:rPr>
          <w:rStyle w:val="FootnoteReference"/>
        </w:rPr>
        <w:footnoteReference w:id="2"/>
      </w:r>
      <w:r w:rsidRPr="00F11C7E">
        <w:t xml:space="preserve"> (rozporządzenie w sprawie wspólnych przepisów),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rozporządzenie Parlamentu Europejskiego i Rady (UE) 2021/692 z dnia 28 kwietnia 2021 r. ustanawiające program „Obywatele, równość, prawa i wartości” oraz uchylające rozporządzenie Parlamentu Europejskiego i Rady (UE) nr 1381/2013 i rozporządzenie Rady (UE) nr 390/2014</w:t>
      </w:r>
      <w:r w:rsidRPr="00F11C7E">
        <w:rPr>
          <w:rStyle w:val="FootnoteReference"/>
        </w:rPr>
        <w:footnoteReference w:id="3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Powszechną deklarację praw człowieka,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instrumenty ONZ dotyczące ochrony praw człowieka i podstawowych wolności oraz zalecenia i sprawozdania z powszechnego okresowego przeglądu praw człowieka ONZ, a także orzecznictwo organów traktatowych ONZ i specjalne procedury Rady Praw Człowieka,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europejską konwencję praw człowieka oraz Europejską kartę społeczną, orzecznictwo Europejskiego Trybunału Praw Człowieka oraz Europejskiego Komitetu Praw Społecznych, konwencje, zalecenia, rezolucje, opinie i sprawozdania Zgromadzenia Parlamentarnego, Komitetu Ministrów, Komisarza Praw Człowieka, Europejskiej Komisji przeciwko Rasizmowi i Nietolerancji, Komitetu Sterującego ds. Przeciwdziałania Dyskryminacji, Różnorodności i Włączenia Społecznego, Komisji Weneckiej oraz innych organów Rady Europy,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protokół ustaleń między Radą Europy a Unią Europejską z 23 maja 2007 r. oraz konkluzje Rady z dnia 30 stycznia 2023 r. w sprawie priorytetów UE w dziedzinie współpracy z Radą Europy w latach 2023–2024,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uzasadniony wniosek Komisji z dnia 20 grudnia 2017 r. dotyczący decyzji Rady w sprawie stwierdzenia wyraźnego ryzyka poważnego naruszenia przez Rzeczpospolitą Polską zasady praworządności (COM</w:t>
      </w:r>
      <w:proofErr w:type="gramStart"/>
      <w:r w:rsidRPr="00F11C7E">
        <w:t>(2017)0835), wydany</w:t>
      </w:r>
      <w:proofErr w:type="gramEnd"/>
      <w:r w:rsidRPr="00F11C7E">
        <w:t xml:space="preserve"> zgodnie z art. 7 ust. 1 TUE,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 xml:space="preserve">uwzględniając sprawozdania: Agencji Praw Podstawowych Unii Europejskiej (FRA) z dnia 19 lipca 2022 r. zatytułowane „Europejskie społeczeństwo obywatelskie </w:t>
      </w:r>
      <w:proofErr w:type="spellStart"/>
      <w:r w:rsidRPr="00F11C7E">
        <w:t>still</w:t>
      </w:r>
      <w:proofErr w:type="spellEnd"/>
      <w:r w:rsidRPr="00F11C7E">
        <w:t xml:space="preserve"> </w:t>
      </w:r>
      <w:proofErr w:type="spellStart"/>
      <w:r w:rsidRPr="00F11C7E">
        <w:t>under</w:t>
      </w:r>
      <w:proofErr w:type="spellEnd"/>
      <w:r w:rsidRPr="00F11C7E">
        <w:t xml:space="preserve"> </w:t>
      </w:r>
      <w:proofErr w:type="spellStart"/>
      <w:r w:rsidRPr="00F11C7E">
        <w:t>pressure</w:t>
      </w:r>
      <w:proofErr w:type="spellEnd"/>
      <w:r w:rsidRPr="00F11C7E">
        <w:t>” [„Europejskie społeczeństwo obywatelskie – nadal pod presją”], z dni 8 czerwca 2022 r. pt. „</w:t>
      </w:r>
      <w:proofErr w:type="spellStart"/>
      <w:r w:rsidRPr="00F11C7E">
        <w:t>Fundamental</w:t>
      </w:r>
      <w:proofErr w:type="spellEnd"/>
      <w:r w:rsidRPr="00F11C7E">
        <w:t xml:space="preserve"> </w:t>
      </w:r>
      <w:proofErr w:type="spellStart"/>
      <w:r w:rsidRPr="00F11C7E">
        <w:t>Rights</w:t>
      </w:r>
      <w:proofErr w:type="spellEnd"/>
      <w:r w:rsidRPr="00F11C7E">
        <w:t xml:space="preserve"> Report 2022” [„Sprawozdanie na temat praw podstawowych z 2022 r.”], 19 sierpnia 2022 r. pt. „</w:t>
      </w:r>
      <w:proofErr w:type="spellStart"/>
      <w:r w:rsidRPr="00F11C7E">
        <w:t>Protecting</w:t>
      </w:r>
      <w:proofErr w:type="spellEnd"/>
      <w:r w:rsidRPr="00F11C7E">
        <w:t xml:space="preserve"> </w:t>
      </w:r>
      <w:proofErr w:type="spellStart"/>
      <w:r w:rsidRPr="00F11C7E">
        <w:t>civic</w:t>
      </w:r>
      <w:proofErr w:type="spellEnd"/>
      <w:r w:rsidRPr="00F11C7E">
        <w:t xml:space="preserve"> </w:t>
      </w:r>
      <w:proofErr w:type="spellStart"/>
      <w:r w:rsidRPr="00F11C7E">
        <w:t>space</w:t>
      </w:r>
      <w:proofErr w:type="spellEnd"/>
      <w:r w:rsidRPr="00F11C7E">
        <w:t xml:space="preserve"> in the EU” [„Ochrona przestrzeni obywatelskiej w UE”] oraz 3 listopada 2022 r. pt. „</w:t>
      </w:r>
      <w:proofErr w:type="spellStart"/>
      <w:r w:rsidRPr="00F11C7E">
        <w:t>Antisemitism</w:t>
      </w:r>
      <w:proofErr w:type="spellEnd"/>
      <w:r w:rsidRPr="00F11C7E">
        <w:t xml:space="preserve"> – </w:t>
      </w:r>
      <w:proofErr w:type="spellStart"/>
      <w:r w:rsidRPr="00F11C7E">
        <w:t>Overview</w:t>
      </w:r>
      <w:proofErr w:type="spellEnd"/>
      <w:r w:rsidRPr="00F11C7E">
        <w:t xml:space="preserve"> of </w:t>
      </w:r>
      <w:proofErr w:type="spellStart"/>
      <w:r w:rsidRPr="00F11C7E">
        <w:t>antisemitic</w:t>
      </w:r>
      <w:proofErr w:type="spellEnd"/>
      <w:r w:rsidRPr="00F11C7E">
        <w:t xml:space="preserve"> </w:t>
      </w:r>
      <w:proofErr w:type="spellStart"/>
      <w:r w:rsidRPr="00F11C7E">
        <w:t>incidents</w:t>
      </w:r>
      <w:proofErr w:type="spellEnd"/>
      <w:r w:rsidRPr="00F11C7E">
        <w:t xml:space="preserve"> </w:t>
      </w:r>
      <w:proofErr w:type="spellStart"/>
      <w:r w:rsidRPr="00F11C7E">
        <w:t>recorded</w:t>
      </w:r>
      <w:proofErr w:type="spellEnd"/>
      <w:r w:rsidRPr="00F11C7E">
        <w:t xml:space="preserve"> in the </w:t>
      </w:r>
      <w:proofErr w:type="spellStart"/>
      <w:r w:rsidRPr="00F11C7E">
        <w:t>European</w:t>
      </w:r>
      <w:proofErr w:type="spellEnd"/>
      <w:r w:rsidRPr="00F11C7E">
        <w:t xml:space="preserve"> Union 2011-2021” [„Antysemityzm – Ogólne informacje na temat incydentów antysemickich odnotowanych w Unii Europejskiej w latach 2011–2021”] i jej inne sprawozdania, dane i narzędzia, w szczególności system informacji Unii Europejskiej o prawach podstawowych (EFRIS),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 dnia 25 października 2016 r. zawierającą zalecenia dla Komisji w kwestii utworzenia unijnego mechanizmu dotyczącego demokracji, praworządności i praw podstawowych</w:t>
      </w:r>
      <w:r w:rsidRPr="00F11C7E">
        <w:rPr>
          <w:rStyle w:val="FootnoteReference"/>
        </w:rPr>
        <w:footnoteReference w:id="4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 marca 2018 r. w sprawie decyzji Komisji o zastosowaniu art. 7 ust. 1 TUE w związku z sytuacją w Polsce</w:t>
      </w:r>
      <w:r w:rsidRPr="00F11C7E">
        <w:rPr>
          <w:rStyle w:val="FootnoteReference"/>
        </w:rPr>
        <w:footnoteReference w:id="5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19 kwietnia 2018 r. w sprawie konieczności ustanowienia instrumentu na rzecz wartości europejskich wspierającego organizacje społeczeństwa obywatelskiego, które propagują wartości podstawowe w Unii Europejskiej na poziomie lokalnym i krajowym</w:t>
      </w:r>
      <w:r w:rsidRPr="00F11C7E">
        <w:rPr>
          <w:rStyle w:val="FootnoteReference"/>
        </w:rPr>
        <w:footnoteReference w:id="6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12 września 2018 r. w sprawie wniosku wzywającego Radę do stwierdzenia, zgodnie z art. 7 ust. 1 Traktatu o Unii Europejskiej, istnienia wyraźnego ryzyka poważnego naruszenia przez Węgry wartości, na których opiera się Unia</w:t>
      </w:r>
      <w:r w:rsidRPr="00F11C7E">
        <w:rPr>
          <w:rStyle w:val="FootnoteReference"/>
        </w:rPr>
        <w:footnoteReference w:id="7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13 listopada 2018 r. w sprawie norm minimalnych dla mniejszości w UE</w:t>
      </w:r>
      <w:r w:rsidRPr="00F11C7E">
        <w:rPr>
          <w:rStyle w:val="FootnoteReference"/>
        </w:rPr>
        <w:footnoteReference w:id="8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14 listopada 2018 r. w sprawie potrzeby utworzenia kompleksowego mechanizmu UE na rzecz ochrony demokracji, praworządności i praw podstawowych</w:t>
      </w:r>
      <w:r w:rsidRPr="00F11C7E">
        <w:rPr>
          <w:rStyle w:val="FootnoteReference"/>
        </w:rPr>
        <w:footnoteReference w:id="9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 dnia 7 października 2020 r. w sprawie ustanowienia unijnego mechanizmu na rzecz demokracji, praworządności i praw podstawowych</w:t>
      </w:r>
      <w:r w:rsidRPr="00F11C7E">
        <w:rPr>
          <w:rStyle w:val="FootnoteReference"/>
        </w:rPr>
        <w:footnoteReference w:id="10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13 listopada 2020 r. w sprawie wpływu środków stosowanych w odpowiedzi na pandemię COVID-19 na demokrację, praworządność i prawa podstawowe</w:t>
      </w:r>
      <w:r w:rsidRPr="00F11C7E">
        <w:rPr>
          <w:rStyle w:val="FootnoteReference"/>
        </w:rPr>
        <w:footnoteReference w:id="11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dnia 17 grudnia 2020 r. w sprawie europejskiej inicjatywy obywatelskiej „</w:t>
      </w:r>
      <w:proofErr w:type="spellStart"/>
      <w:r w:rsidRPr="00F11C7E">
        <w:t>Minority</w:t>
      </w:r>
      <w:proofErr w:type="spellEnd"/>
      <w:r w:rsidRPr="00F11C7E">
        <w:t xml:space="preserve"> </w:t>
      </w:r>
      <w:proofErr w:type="spellStart"/>
      <w:r w:rsidRPr="00F11C7E">
        <w:t>SafePack</w:t>
      </w:r>
      <w:proofErr w:type="spellEnd"/>
      <w:r w:rsidRPr="00F11C7E">
        <w:t xml:space="preserve"> – milion podpisów za różnorodnością w Europie”</w:t>
      </w:r>
      <w:r w:rsidRPr="00F11C7E">
        <w:rPr>
          <w:rStyle w:val="FootnoteReference"/>
        </w:rPr>
        <w:footnoteReference w:id="12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 xml:space="preserve">uwzględniając swoją rezolucję z dnia 10 czerwca 2021 r. w sprawie sytuacji w zakresie praworządności w Unii Europejskiej i stosowania rozporządzenia (UE, </w:t>
      </w:r>
      <w:proofErr w:type="spellStart"/>
      <w:r w:rsidRPr="00F11C7E">
        <w:t>Euratom</w:t>
      </w:r>
      <w:proofErr w:type="spellEnd"/>
      <w:r w:rsidRPr="00F11C7E">
        <w:t>) 2020/2092 w sprawie warunkowości</w:t>
      </w:r>
      <w:r w:rsidRPr="00F11C7E">
        <w:rPr>
          <w:rStyle w:val="FootnoteReference"/>
        </w:rPr>
        <w:footnoteReference w:id="13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 dnia 24 czerwca 2021 r. w sprawie sprawozdania Komisji na temat praworządności z 2020 r.</w:t>
      </w:r>
      <w:r w:rsidRPr="00F11C7E">
        <w:rPr>
          <w:rStyle w:val="FootnoteReference"/>
        </w:rPr>
        <w:footnoteReference w:id="14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8 lipca 2021 r. w sprawie opracowania wytycznych dotyczących stosowania ogólnego systemu warunkowości służącego ochronie budżetu Unii</w:t>
      </w:r>
      <w:r w:rsidRPr="00F11C7E">
        <w:rPr>
          <w:rStyle w:val="FootnoteReference"/>
        </w:rPr>
        <w:footnoteReference w:id="15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dnia 16 września 2021 r. zawierającą zalecenia dla Komisji w sprawie uznania przemocy ze względu na płeć za nową dziedzinę przestępczości wymienioną w art. 83 ust. 1 TFUE</w:t>
      </w:r>
      <w:r w:rsidRPr="00F11C7E">
        <w:rPr>
          <w:vertAlign w:val="superscript"/>
        </w:rPr>
        <w:footnoteReference w:id="16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11 listopada 2021 r. w sprawie wzmocnienia demokracji oraz wolności i pluralizmu mediów w UE – niewłaściwe wykorzystywanie postępowań cywilnych i karnych do uciszania dziennikarzy, organizacji pozarządowych i społeczeństwa obywatelskiego</w:t>
      </w:r>
      <w:r w:rsidRPr="00F11C7E">
        <w:rPr>
          <w:rStyle w:val="FootnoteReference"/>
        </w:rPr>
        <w:footnoteReference w:id="17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15 grudnia 2021 r. w sprawie oceny środków mających na celu zapobieganie korupcji, nieprawidłowym wydatkom i niewłaściwemu wykorzystywaniu funduszy unijnych i krajowych w przypadku funduszy pomocy w sytuacjach nadzwyczajnych i obszarów wydatków kryzysowych</w:t>
      </w:r>
      <w:r w:rsidRPr="00F11C7E">
        <w:rPr>
          <w:rStyle w:val="FootnoteReference"/>
        </w:rPr>
        <w:footnoteReference w:id="18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8 marca 2022 r. w sprawie kurczącej się przestrzeni działania społeczeństwa obywatelskiego w Europie</w:t>
      </w:r>
      <w:r w:rsidRPr="00F11C7E">
        <w:rPr>
          <w:rStyle w:val="FootnoteReference"/>
        </w:rPr>
        <w:footnoteReference w:id="19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10 marca 2022 r. w sprawie praworządności i konsekwencji wyroku TSUE</w:t>
      </w:r>
      <w:r w:rsidRPr="00F11C7E">
        <w:rPr>
          <w:rStyle w:val="FootnoteReference"/>
        </w:rPr>
        <w:footnoteReference w:id="20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 dnia 19 maja 2022 r. w sprawie sprawozdania Komisji na temat praworządności z 2021 r.</w:t>
      </w:r>
      <w:r w:rsidRPr="00F11C7E">
        <w:rPr>
          <w:rStyle w:val="FootnoteReference"/>
        </w:rPr>
        <w:footnoteReference w:id="21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9 czerwca 2022 r. w sprawie praworządności i ewentualnego zatwierdzenia polskiego krajowego planu odbudowy (RRF)</w:t>
      </w:r>
      <w:r w:rsidRPr="00F11C7E">
        <w:rPr>
          <w:rStyle w:val="FootnoteReference"/>
        </w:rPr>
        <w:footnoteReference w:id="22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15 września 2022 r. w sprawie sytuacji w zakresie praw podstawowych w Unii Europejskiej w latach 2020–2021</w:t>
      </w:r>
      <w:r w:rsidRPr="00F11C7E">
        <w:rPr>
          <w:rStyle w:val="FootnoteReference"/>
        </w:rPr>
        <w:footnoteReference w:id="23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 xml:space="preserve">uwzględniając swoją rezolucję z dnia 20 października 2022 r. w sprawie praworządności na Malcie pięć lat po zabójstwie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rPr>
          <w:rStyle w:val="FootnoteReference"/>
        </w:rPr>
        <w:footnoteReference w:id="24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 xml:space="preserve">uwzględniając swoją rezolucję z dnia 20 października 2022 r. w sprawie wzrostu liczby zbrodni popełnianych z nienawiści do osób LGBTIQ+ w całej Europie, w świetle niedawnego morderstwa </w:t>
      </w:r>
      <w:proofErr w:type="spellStart"/>
      <w:r w:rsidRPr="00F11C7E">
        <w:t>homofobicznego</w:t>
      </w:r>
      <w:proofErr w:type="spellEnd"/>
      <w:r w:rsidRPr="00F11C7E">
        <w:t xml:space="preserve"> w Słowacji</w:t>
      </w:r>
      <w:r w:rsidRPr="00F11C7E">
        <w:rPr>
          <w:rStyle w:val="FootnoteReference"/>
        </w:rPr>
        <w:footnoteReference w:id="25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10 listopada 2022 r. w sprawie sprawiedliwości rasowej, niedyskryminacji i przeciwdziałania rasizmowi w UE</w:t>
      </w:r>
      <w:r w:rsidRPr="00F11C7E">
        <w:rPr>
          <w:rStyle w:val="FootnoteReference"/>
        </w:rPr>
        <w:footnoteReference w:id="26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24 listopada 2022 r. w sprawie oceny przestrzegania przez Węgry warunków dotyczących praworządności na mocy rozporządzenia w sprawie warunkowości oraz stanu prac nad węgierskim planem odbudowy i zwiększania odporności</w:t>
      </w:r>
      <w:r w:rsidRPr="00F11C7E">
        <w:rPr>
          <w:rStyle w:val="FootnoteReference"/>
        </w:rPr>
        <w:footnoteReference w:id="27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swoją rezolucję z dnia 30 marca 2023 r. w sprawie sprawozdania na temat praworządności z 2022 r. – Sytuacja w zakresie praworządności w Unii Europejskiej</w:t>
      </w:r>
      <w:r w:rsidRPr="00F11C7E">
        <w:rPr>
          <w:rStyle w:val="FootnoteReference"/>
        </w:rPr>
        <w:footnoteReference w:id="28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dnia 1 czerwca 2023 r. w sprawie naruszania zasad państwa prawnego i praw podstawowych na Węgrzech oraz zamrożonych funduszy UE</w:t>
      </w:r>
      <w:r w:rsidRPr="00F11C7E">
        <w:rPr>
          <w:rStyle w:val="FootnoteReference"/>
        </w:rPr>
        <w:footnoteReference w:id="29"/>
      </w:r>
      <w:r w:rsidRPr="00F11C7E">
        <w:t>,</w:t>
      </w:r>
    </w:p>
    <w:p w:rsidR="00D7295C" w:rsidRPr="00F11C7E" w:rsidRDefault="00D7295C" w:rsidP="00D7295C">
      <w:pPr>
        <w:pStyle w:val="NormalHanging12a"/>
        <w:rPr>
          <w:snapToGrid/>
        </w:rPr>
      </w:pPr>
      <w:r w:rsidRPr="00F11C7E">
        <w:t>–</w:t>
      </w:r>
      <w:r w:rsidRPr="00F11C7E">
        <w:tab/>
        <w:t xml:space="preserve">uwzględniając swoje zalecenie z dnia 15 czerwca 2023 r. dla Rady i Komisji w następstwie dochodzenia w sprawie zarzutów naruszenia prawa Unii i niewłaściwego administrowania w jego stosowaniu w odniesieniu do oprogramowania </w:t>
      </w:r>
      <w:proofErr w:type="spellStart"/>
      <w:r w:rsidRPr="00F11C7E">
        <w:t>Pegasus</w:t>
      </w:r>
      <w:proofErr w:type="spellEnd"/>
      <w:r w:rsidRPr="00F11C7E">
        <w:t xml:space="preserve"> i równoważnego oprogramowania szpiegowskiego</w:t>
      </w:r>
      <w:r w:rsidRPr="00F11C7E">
        <w:rPr>
          <w:rStyle w:val="FootnoteReference"/>
        </w:rPr>
        <w:footnoteReference w:id="30"/>
      </w:r>
      <w:r w:rsidRPr="00F11C7E">
        <w:t xml:space="preserve"> oraz sprawozdanie swojej komisji śledczej ds. zbadania stosowania oprogramowania </w:t>
      </w:r>
      <w:proofErr w:type="spellStart"/>
      <w:r w:rsidRPr="00F11C7E">
        <w:t>Pegasus</w:t>
      </w:r>
      <w:proofErr w:type="spellEnd"/>
      <w:r w:rsidRPr="00F11C7E">
        <w:t xml:space="preserve"> i równoważnego oprogramowania szpiegowskiego służącego inwigilacji z dnia 22 maja 2023 r.,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dnia 11 lipca 2023 r. w sprawie prawa wyborczego, komisji śledczej i praworządności w Polsce</w:t>
      </w:r>
      <w:r w:rsidRPr="00F11C7E">
        <w:rPr>
          <w:rStyle w:val="FootnoteReference"/>
        </w:rPr>
        <w:footnoteReference w:id="31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 xml:space="preserve">uwzględniając swoją rezolucję z dnia 19 października 2023 r. w sprawie praworządności na Malcie: sytuacja sześć lat po zabójstwie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t xml:space="preserve"> i potrzeba ochrony dziennikarzy</w:t>
      </w:r>
      <w:r w:rsidRPr="00F11C7E">
        <w:rPr>
          <w:rStyle w:val="FootnoteReference"/>
        </w:rPr>
        <w:footnoteReference w:id="32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swoją rezolucję z dnia 18 stycznia 2024 r. w sprawie sytuacji w zakresie praw podstawowych w Unii Europejskiej – sprawozdanie roczne za lata 2022–2023</w:t>
      </w:r>
      <w:r w:rsidRPr="00F11C7E">
        <w:rPr>
          <w:vertAlign w:val="superscript"/>
        </w:rPr>
        <w:footnoteReference w:id="33"/>
      </w:r>
      <w:r w:rsidRPr="00F11C7E">
        <w:t>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>uwzględniając rezolucję 2262 (2019) Zgromadzenia Parlamentarnego Rady Europy w sprawie promowania praw osób należących do mniejszości narodowych,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–</w:t>
      </w:r>
      <w:r w:rsidRPr="00F11C7E">
        <w:tab/>
        <w:t xml:space="preserve">uwzględniając zalecenia i sprawozdania Biura Instytucji Demokratycznych i Praw Człowieka, Wysokiego Komisarza ds. Mniejszości Narodowych, Przedstawiciela ds. Wolności Mediów oraz innych organów Organizacji Bezpieczeństwa i Współpracy w Europie (OBWE), a także współpracę między UE a OBWE w zakresie demokratyzacji, rozwoju instytucjonalnego i praw człowieka oraz coroczne sprawozdanie OBWE w sprawie przestępstw z nienawiści, w którym uczestniczące strony zobowiązały się do przyjęcia ustawodawstwa przewidującego kary uwzględniające wagę przestępstwa z nienawiści, do podjęcia działań w celu przeciwdziałania niskiemu poziomowi zgłaszania oraz wprowadzenia lub do dalszego rozwoju działań w zakresie budowania zdolności dla funkcjonariuszy organów ścigania, prokuratury i sądownictwa w celu zapobiegania </w:t>
      </w:r>
      <w:proofErr w:type="gramStart"/>
      <w:r w:rsidRPr="00F11C7E">
        <w:t>przestępstwom</w:t>
      </w:r>
      <w:proofErr w:type="gramEnd"/>
      <w:r w:rsidRPr="00F11C7E">
        <w:t xml:space="preserve"> z nienawiści, ich dochodzenia i ścigania,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sprawozdanie komisji śledczej PEGA oraz rezolucję i zalecenia, które powstały na jego podstawie</w:t>
      </w:r>
      <w:r w:rsidRPr="00F11C7E">
        <w:rPr>
          <w:rStyle w:val="FootnoteReference"/>
        </w:rPr>
        <w:footnoteReference w:id="34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sprawozdania zawierające informacje zwrotne, sprawozdania z delegacji pytania wymagające odpowiedzi na piśmie i odpowiedzi Grupy ds. Monitorowania Demokracji, Praworządności i Praw Podstawowych (DRFMG)</w:t>
      </w:r>
      <w:r w:rsidRPr="00F11C7E">
        <w:rPr>
          <w:rStyle w:val="FootnoteReference"/>
        </w:rPr>
        <w:footnoteReference w:id="35"/>
      </w:r>
      <w:r w:rsidRPr="00F11C7E">
        <w:t>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art. 54 Regulaminu,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opinię przedstawioną przez Komisję Prawną,</w:t>
      </w:r>
    </w:p>
    <w:p w:rsidR="00D7295C" w:rsidRPr="00F11C7E" w:rsidRDefault="00D7295C" w:rsidP="00D7295C">
      <w:pPr>
        <w:pStyle w:val="NormalHanging12a"/>
      </w:pPr>
      <w:r w:rsidRPr="00F11C7E">
        <w:t>–</w:t>
      </w:r>
      <w:r w:rsidRPr="00F11C7E">
        <w:tab/>
        <w:t>uwzględniając sprawozdanie Komisji Wolności Obywatelskich, Sprawiedliwości i Spraw Wewnętrznych (A9-0025/2024),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A.</w:t>
      </w:r>
      <w:r w:rsidRPr="00F11C7E">
        <w:tab/>
      </w:r>
      <w:proofErr w:type="gramStart"/>
      <w:r w:rsidRPr="00F11C7E">
        <w:t>mając</w:t>
      </w:r>
      <w:proofErr w:type="gramEnd"/>
      <w:r w:rsidRPr="00F11C7E">
        <w:t xml:space="preserve"> na uwadze, że Unia opiera się na wspólnych wartościach zapisanych w art. 2 TUE, którymi są poszanowanie godności osoby ludzkiej, wolność, demokracja, równość, praworządność oraz poszanowanie praw człowieka, w tym praw osób należących do mniejszości; są one wspólne dla państw członkowskich UE, a kraje kandydujące muszą ich przestrzegać, aby przystąpić do UE, ponieważ są one częścią kryteriów kopenhaskich, których nie można pomijać ani zmieniać ich interpretacji po przystąpieniu; mając na uwadze, że demokracja, praworządność i prawa podstawowe to wartości, które się wzajemnie umacniają, a ich podważanie może stanowić systemowe zagrożenie dla Unii oraz dla praw i wolności jej obywateli; mając </w:t>
      </w:r>
      <w:proofErr w:type="gramStart"/>
      <w:r w:rsidRPr="00F11C7E">
        <w:t>na</w:t>
      </w:r>
      <w:proofErr w:type="gramEnd"/>
      <w:r w:rsidRPr="00F11C7E">
        <w:t xml:space="preserve"> uwadze, że poszanowanie praworządności jest wiążące dla całej Unii i jej państw członkowskich na wszystkich szczeblach władzy, w tym dla władz lokalnych;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B.</w:t>
      </w:r>
      <w:r w:rsidRPr="00F11C7E">
        <w:tab/>
        <w:t>mając na uwadze, że podczas Konferencji w sprawie przyszłości Europy wyraźnie wyrażono pragnienie, aby UE w sposób systemowy stała na straży praworządności we wszystkich państwach członkowskich, aby chroniła podstawowe prawa obywateli i aby zachowała wiarygodność przy promowaniu własnych wartości na terytorium UE i za granicą;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C.</w:t>
      </w:r>
      <w:r w:rsidRPr="00F11C7E">
        <w:tab/>
      </w:r>
      <w:proofErr w:type="gramStart"/>
      <w:r w:rsidRPr="00F11C7E">
        <w:t>mając</w:t>
      </w:r>
      <w:proofErr w:type="gramEnd"/>
      <w:r w:rsidRPr="00F11C7E">
        <w:t xml:space="preserve"> na uwadze, że zasada lojalnej współpracy określona w art. 4 ust. 3 TUE nakłada na Unię i państwa członkowskie obowiązek wzajemnego wspierania się w wykonywaniu zobowiązań wynikających z Traktatów, a same państwa członkowskie zobowiązuje do przyjmowania wszelkich właściwych środków ogólnych lub szczególnych w celu zapewnienia wykonania zobowiązań wynikających z Traktatów lub aktów instytucji Unii;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D.</w:t>
      </w:r>
      <w:r w:rsidRPr="00F11C7E">
        <w:tab/>
      </w:r>
      <w:proofErr w:type="gramStart"/>
      <w:r w:rsidRPr="00F11C7E">
        <w:t>mając</w:t>
      </w:r>
      <w:proofErr w:type="gramEnd"/>
      <w:r w:rsidRPr="00F11C7E">
        <w:t xml:space="preserve"> na uwadze, że konieczne jest wzmocnienie i usprawnienie istniejących mechanizmów oraz opracowanie jednolitego i kompleksowego unijnego mechanizmu skutecznej ochrony demokracji, praworządności i praw podstawowych; trzeba także zapewnić przestrzeganie wartości określonych w art. 2 TUE w całej Unii oraz ich promowanie w krajach kandydujących, aby zapobiec tworzeniu przez państwa członkowskie UE prawa krajowego z naruszeniem ochrony przewidzianej w art. 2 TUE;</w:t>
      </w:r>
    </w:p>
    <w:p w:rsidR="00D7295C" w:rsidRDefault="00D7295C" w:rsidP="00D7295C">
      <w:pPr>
        <w:pStyle w:val="NormalHanging12a"/>
      </w:pPr>
      <w:r w:rsidRPr="00F11C7E">
        <w:t>E.</w:t>
      </w:r>
      <w:r w:rsidRPr="00F11C7E">
        <w:tab/>
      </w:r>
      <w:proofErr w:type="gramStart"/>
      <w:r w:rsidRPr="00F11C7E">
        <w:t>mając</w:t>
      </w:r>
      <w:proofErr w:type="gramEnd"/>
      <w:r w:rsidRPr="00F11C7E">
        <w:t xml:space="preserve"> na uwadze, że przy różnych okazjach Parlament zajmował się w swoich rezolucjach sytuacją w zakresie praworządności w Bułgarii, na Malcie, w Polsce, Rumunii, Słowacji, Słowenii i na Węgrzech; mając na uwadze, że grupa monitorująca ds. demokracji, praworządności i praw podstawowych (DRFMG) przy Komisji Wolności Obywatelskich, Sprawiedliwości i Spraw Wewnętrznych Parlamentu Europejskiego monitorowała również niektóre kwestie w Belgii, Bułgarii, Czechach, Francji, Grecji, Hiszpanii, na Malcie, w Polsce, Słowacji i Słowenii;</w:t>
      </w:r>
    </w:p>
    <w:p w:rsidR="00417CA2" w:rsidRPr="00F11C7E" w:rsidRDefault="00417CA2" w:rsidP="00D7295C">
      <w:pPr>
        <w:pStyle w:val="NormalHanging12a"/>
        <w:rPr>
          <w:szCs w:val="24"/>
        </w:rPr>
      </w:pPr>
      <w:r>
        <w:rPr>
          <w:szCs w:val="24"/>
        </w:rPr>
        <w:t>F</w:t>
      </w:r>
      <w:r w:rsidRPr="00417CA2">
        <w:rPr>
          <w:szCs w:val="24"/>
        </w:rPr>
        <w:t>.</w:t>
      </w:r>
      <w:r w:rsidRPr="00417CA2">
        <w:rPr>
          <w:szCs w:val="24"/>
        </w:rPr>
        <w:tab/>
      </w:r>
      <w:proofErr w:type="gramStart"/>
      <w:r w:rsidRPr="00417CA2">
        <w:rPr>
          <w:szCs w:val="24"/>
        </w:rPr>
        <w:t>mając</w:t>
      </w:r>
      <w:proofErr w:type="gramEnd"/>
      <w:r w:rsidRPr="00417CA2">
        <w:rPr>
          <w:szCs w:val="24"/>
        </w:rPr>
        <w:t xml:space="preserve"> na uwadze, że w październiku 2023 r. w Polsce odbyły się wybory parlamentarne, w wyniku których rząd Prawa i Sprawiedliwości stracił władzę; mając na uwadze, że nowy rząd, reprezentujący szeroką koalicję demokratyczną, zdecydowanie zobowiązał się do przywrócenia praworządności i niezależności sądownictwa w Polsce i współpracuje w tym celu z Komisją i Radą UE;</w:t>
      </w:r>
    </w:p>
    <w:p w:rsidR="00D7295C" w:rsidRPr="00F11C7E" w:rsidRDefault="00417CA2" w:rsidP="00D7295C">
      <w:pPr>
        <w:pStyle w:val="NormalHanging12a"/>
        <w:rPr>
          <w:szCs w:val="24"/>
        </w:rPr>
      </w:pPr>
      <w:r>
        <w:t>G</w:t>
      </w:r>
      <w:r w:rsidR="00D7295C" w:rsidRPr="00F11C7E">
        <w:t>.</w:t>
      </w:r>
      <w:r w:rsidR="00D7295C" w:rsidRPr="00F11C7E">
        <w:tab/>
        <w:t>mając na uwadze, że Komisja zasugerowała utworzenie międzyinstytucjonalnej grupy kontaktowej ds. praworządności; mając na uwadze, że Parlament przyjął tę sugestię i zaproponował Komisji i Radzie utworzenie międzyinstytucjonalnego projektu pilotażowego w sprawie demokracji, praworządności i praw podstawowych; mając na uwadze, że w odpowiedzi prezydencja Rady stwierdziła, że może to rozważyć po swojej ocenie dialogu na temat praworządności, natomiast Komisja potwierdziła gotowość do rozmów o utworzeniu nieformalnej grupy kontaktowej ds. praworządności;</w:t>
      </w:r>
    </w:p>
    <w:p w:rsidR="00D7295C" w:rsidRPr="00F11C7E" w:rsidRDefault="00417CA2" w:rsidP="00D7295C">
      <w:pPr>
        <w:pStyle w:val="NormalHanging12a"/>
        <w:rPr>
          <w:szCs w:val="24"/>
        </w:rPr>
      </w:pPr>
      <w:r>
        <w:t>H</w:t>
      </w:r>
      <w:r w:rsidR="00D7295C" w:rsidRPr="00F11C7E">
        <w:t xml:space="preserve">. </w:t>
      </w:r>
      <w:r w:rsidR="00D7295C" w:rsidRPr="00F11C7E">
        <w:tab/>
        <w:t>mając na uwadze, że niestety rządy kilku państw członkowskich nie zgłosiły swojej dostępności na potrzeby wymiany poglądów w DRFMG oraz nie udzieliły odpowiedzi na jej pytania na piśmie ani nie spotkały się z jej członkami podczas delegacji do państw członkowskich; mając jednak na uwadze, że inne państwa zgłosiły swoją dostępność na potrzeby sesji, pytań i delegacji DRFMG w ramach wspólnej odpowiedzialności za ochronę wartości UE;</w:t>
      </w:r>
    </w:p>
    <w:p w:rsidR="00D7295C" w:rsidRPr="00F11C7E" w:rsidRDefault="00D7295C" w:rsidP="00D7295C">
      <w:pPr>
        <w:pStyle w:val="NormalHanging12a"/>
        <w:rPr>
          <w:b/>
          <w:i/>
          <w:szCs w:val="24"/>
        </w:rPr>
      </w:pPr>
      <w:r w:rsidRPr="00F11C7E">
        <w:rPr>
          <w:b/>
          <w:i/>
        </w:rPr>
        <w:t>Systemy wymiaru sprawiedliwości i prokuratury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1.</w:t>
      </w:r>
      <w:r w:rsidRPr="00F11C7E">
        <w:tab/>
      </w:r>
      <w:proofErr w:type="gramStart"/>
      <w:r w:rsidRPr="00F11C7E">
        <w:t>przypomina</w:t>
      </w:r>
      <w:proofErr w:type="gramEnd"/>
      <w:r w:rsidRPr="00F11C7E">
        <w:t xml:space="preserve">, że niezależne sądownictwo to podstawa praworządności, ponieważ jest ono warunkiem wstępnym skutecznego środka odwoławczego w przypadku nierespektowania lub naruszania przepisów, praw i wolności oraz zasad demokratycznych; podkreśla, że niezależne i skuteczne sądownictwo ma zasadnicze znaczenie nie tylko dla utrzymania praworządności i demokracji w państwach członkowskich i w Unii, lecz także jest kluczowe dla wdrażania prawa UE, ponieważ w egzekwowaniu prawa UE Komisja polega na krajowych organach sądowych; podkreśla znaczenie wzajemnego zaufania, a jednocześnie zaznacza, że Komisja nie może ignorować niedociągnięć krajowych organów sądowych w niektórych państwach członkowskich ani zakładać, że wszystkie te organy są w stanie zapewnić skuteczne środki </w:t>
      </w:r>
      <w:proofErr w:type="gramStart"/>
      <w:r w:rsidRPr="00F11C7E">
        <w:t>odwoławcze</w:t>
      </w:r>
      <w:proofErr w:type="gramEnd"/>
      <w:r w:rsidRPr="00F11C7E">
        <w:t>; z niepokojem zauważa, że chociaż niektóre systemy sądowe mogą wydawać się solidne i zadowalające na papierze, czasem nie są odporne na zawłaszczanie państwa, ingerencję polityczną czy nepotyzm; jest świadomy faktu, że trudno jest o to podczas zwykłej oceny struktur formalnych; w związku z tym apeluje do Komisji o przeprowadzenie analizy o bardziej jakościowym charakterze, obejmującej elementy kontekstowe, w szczególności na temat długoterminowego wdrażania;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2.</w:t>
      </w:r>
      <w:r w:rsidRPr="00F11C7E">
        <w:tab/>
      </w:r>
      <w:proofErr w:type="gramStart"/>
      <w:r w:rsidRPr="00F11C7E">
        <w:t>zauważa</w:t>
      </w:r>
      <w:proofErr w:type="gramEnd"/>
      <w:r w:rsidRPr="00F11C7E">
        <w:t>, że Komisja stwierdza znaczne różnice między państwami członkowskimi UE pod względem niezależności sądów i związanych z nią gwarancji; zauważa, że w sprawozdaniu wspomniano o szeregu pozytywnych inicjatyw i bieżących wydarzeń dotyczących rad sądownictwa, zwłaszcza w Luksemburgu, Niderlandach, Portugalii, we Włoszech, w Szwecji, Finlandii i na Węgrzech</w:t>
      </w:r>
      <w:r w:rsidRPr="00F11C7E">
        <w:rPr>
          <w:vertAlign w:val="superscript"/>
        </w:rPr>
        <w:footnoteReference w:id="36"/>
      </w:r>
      <w:r w:rsidRPr="00F11C7E">
        <w:t xml:space="preserve">; </w:t>
      </w:r>
      <w:r w:rsidR="00417CA2" w:rsidRPr="00417CA2">
        <w:t>zauważa, że zdaniem Komisji nadal należy zająć się problemami dotyczącymi rad sądownictwa w Polsce, Słowacji, Bułgarii, Hiszpanii i na Cyprze; z zaniepokojeniem odnotowuje, że postępowania dyscyplinarne mogą służyć jako narzędzie do ograniczania niezależności sądów, jak ma to miejsce w Bułgarii i jak miało miejsce w Polsce pod rządami Sprawa i Sprawiedliwości; zauważa, że Komisja wreszcie pozwała Polskę do Trybunału Sprawiedliwości Unii Europejskiej (TSUE) w związku z naruszeniem prawa UE przez Trybunał Konstytucyjny; zauważa, że obecny minister sprawiedliwości Rzeczypospolitej Polskiej zobowiązał się usunąć niezgodność z prawem systemu odpowiedzialności dyscyplinarnej sędziów w Polsce, zgodnie z orzeczeniami TSUE i Europejskiego Trybunału Praw Człowieka;</w:t>
      </w:r>
    </w:p>
    <w:p w:rsidR="00D7295C" w:rsidRPr="00F11C7E" w:rsidRDefault="00D7295C" w:rsidP="00D7295C">
      <w:pPr>
        <w:pStyle w:val="NormalHanging12a"/>
      </w:pPr>
      <w:r w:rsidRPr="00F11C7E">
        <w:t>3.</w:t>
      </w:r>
      <w:r w:rsidRPr="00F11C7E">
        <w:tab/>
      </w:r>
      <w:proofErr w:type="gramStart"/>
      <w:r w:rsidRPr="00F11C7E">
        <w:t>zauważa</w:t>
      </w:r>
      <w:proofErr w:type="gramEnd"/>
      <w:r w:rsidRPr="00F11C7E">
        <w:t xml:space="preserve">, że Komisja stwierdza, iż wprawdzie niektóre państwa członkowskie, w tym Finlandia, Austria, Słowenia, Cypr, Szwecja i Węgry, podjęły lub zapowiedziały inicjatywy służące poprawie procesów mianowania sędziów i funkcjonowania sądów wyższego szczebla, jednak nadal istnieją wyzwania związane z mianowaniem sędziów wysokiego szczebla na Malcie, w Grecji, na Litwie, Łotwie i w Irlandii; podkreśla, że Komisja stwierdziła, iż w Polsce utrzymują się poważne zastrzeżenia dotyczące uprzednio mianowanych sędziów Sądu Najwyższego, w tym pierwszej prezes Sądu Najwyższego, oraz ciągłego niewykonania orzeczenia w trybie prejudycjalnym TSUE w sprawie powołania sędziów do Izby Kontroli Nadzwyczajnej; zauważa, że Komisja stwierdza, iż w Słowacji zastrzeżenia nadal </w:t>
      </w:r>
      <w:proofErr w:type="gramStart"/>
      <w:r w:rsidRPr="00F11C7E">
        <w:t>budzi</w:t>
      </w:r>
      <w:proofErr w:type="gramEnd"/>
      <w:r w:rsidRPr="00F11C7E">
        <w:t xml:space="preserve"> pociąganie sędziów do odpowiedzialności karnej z tytułu nadużycia prawa przy wydawaniu orzeczeń sądowych, ponieważ ma negatywny wpływ psychologiczny na sędziów i jest uciążliwe dla organów śledczych; podkreśla, że na Węgrzech utrzymują się poważne zastrzeżenia dotyczące niezależności sądów, co jest sprzeczne z nadrzędnymi kamieniami milowymi Komisji, w tym przeszkody w składaniu wniosków o wydanie orzeczenia w trybie prejudycjalnym, problemy z przydzielaniem spraw w Sądzie Najwyższym (</w:t>
      </w:r>
      <w:proofErr w:type="spellStart"/>
      <w:r w:rsidRPr="00F11C7E">
        <w:t>Kúria</w:t>
      </w:r>
      <w:proofErr w:type="spellEnd"/>
      <w:r w:rsidRPr="00F11C7E">
        <w:t>) oraz wadliwy system mianowania prezesa Sądu Najwyższego;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na sądownictwo należy przeznaczać wystarczające środki, aby było prawdziwie dostępne i mogło zapewniać obywatelom skuteczne środki odwoławcze; zauważa, że według Komisji zwiększone zasoby na rzecz sądownictwa i inne środki podejmowane przez Maltę, Cypr i Grecję nie skutkowały jeszcze skróceniem czasu trwania postępowań, a zaległości w rozpatrywaniu spraw nadal stanowią poważne wyzwanie; mając na uwadze, że w Chorwacji, we Włoszech i w Portugalii podjęto pewne kroki w dobrym kierunku, ale dopiero okaże się, czy reformy będą skuteczne; odnotowuje, że Komisja wezwała Niemcy do zapewnienia odpowiednich zasobów dla systemu wymiaru sprawiedliwości, w tym na poziomie wynagrodzeń dla sędziów, z uwzględnieniem </w:t>
      </w:r>
      <w:proofErr w:type="gramStart"/>
      <w:r w:rsidRPr="00F11C7E">
        <w:t>europejskich</w:t>
      </w:r>
      <w:proofErr w:type="gramEnd"/>
      <w:r w:rsidRPr="00F11C7E">
        <w:t xml:space="preserve"> norm dotyczących zasobów i wynagrodzeń dla systemu wymiaru sprawiedliwości; wzywa Niemcy do dalszego wdrażania „paktu na rzecz praworządności” oraz zapewnienia wystarczających zasobów dla systemu wymiaru sprawiedliwości przez zwiększenie liczby sędziów w celu wzmocnienia federalnego systemu wymiaru sprawiedliwości; dostrzega, że Komisja stwierdza pewne postępy we wdrażaniu zalecenia zawartego w sprawozdaniu na temat praworządności z 2022 r. na temat wydajności systemu wymiaru sprawiedliwości, w tym na Malcie i w Hiszpanii;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5.</w:t>
      </w:r>
      <w:r w:rsidRPr="00F11C7E">
        <w:tab/>
      </w:r>
      <w:proofErr w:type="gramStart"/>
      <w:r w:rsidRPr="00F11C7E">
        <w:t>z</w:t>
      </w:r>
      <w:proofErr w:type="gramEnd"/>
      <w:r w:rsidRPr="00F11C7E">
        <w:t xml:space="preserve"> zadowoleniem przyjmuje finansowanie z programu „Sprawiedliwość” na wsparcie współpracy sądowej w sprawach cywilnych i karnych oraz na przyczynienie się do dalszego rozwoju europejskiego wymiaru sprawiedliwości;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6.</w:t>
      </w:r>
      <w:r w:rsidRPr="00F11C7E">
        <w:tab/>
      </w:r>
      <w:proofErr w:type="gramStart"/>
      <w:r w:rsidRPr="00F11C7E">
        <w:t>uważa</w:t>
      </w:r>
      <w:proofErr w:type="gramEnd"/>
      <w:r w:rsidRPr="00F11C7E">
        <w:t>, że aby obywatele mieli skuteczny dostęp do wymiaru sprawiedliwości (zwłaszcza ci, których na niego nie stać), państwa członkowskie powinny uczynić więcej w celu zapewnienia bezpłatnej lub przystępnej cenowo pomocy prawnej oraz powinny dodatkowo ułatwiać dostęp do adwokata; zauważa, że Komisja odnotowuje wysiłki podejmowane w celu zajęcia się kwestiami dostępu do wymiaru sprawiedliwości i pomocy prawnej w Hiszpanii, we Francji, w Finlandii, Bułgarii, na Malcie i Litwie oraz utrzymujące się problemy w Irlandii, Danii, Luksemburgu i na Węgrzech; zauważa także, że Komisja dostrzega trwające działania zmierzające do zapewnienia prawa do dostępu do adwokata w kilku państwach członkowskich, w tym w Hiszpanii, we Francji, w Finlandii, Bułgarii i na Malcie, natomiast w innych państwach członkowskich, takich jak Litwa, Irlandia, Dania, Luksemburg i Węgry, nadal oczekiwana jest poprawa; w tym kontekście wzywa Komisję do uwzględnienia w następnym sprawozdaniu na temat praworządności ocen stosowania dorobku prawnego UE w zakresie pomocy prawnej w sprawach cywilnych i karnych, takich jak dyrektywa Rady 2002/8/WE</w:t>
      </w:r>
      <w:r w:rsidRPr="00F11C7E">
        <w:rPr>
          <w:rStyle w:val="FootnoteReference"/>
        </w:rPr>
        <w:footnoteReference w:id="37"/>
      </w:r>
      <w:r w:rsidRPr="00F11C7E">
        <w:t xml:space="preserve"> z dnia 27 stycznia 2003 r. w sprawie usprawnienia dostępu do wymiaru sprawiedliwości w sporach transgranicznych poprzez ustanowienie minimalnych wspólnych zasad odnoszących się do pomocy prawnej w takich sporach, ponieważ – jak wynika z orzecznictwa TSUE – nadal istnieją wątpliwości co do jej wykładni;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7.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 ważną rolę rad sądownictwa w ochronie niezależności sądów; uważa za konieczne dokonanie oceny reform, które są obecnie przyjmowane w różnych państwach członkowskich, i zachęca do dostosowania składu i sposobu funkcjonowania tych organów do standardów ustanowionych przez Komisję i Radę Europy, które zostały zatwierdzone przez TSUE;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8.</w:t>
      </w:r>
      <w:r w:rsidRPr="00F11C7E">
        <w:tab/>
      </w:r>
      <w:proofErr w:type="gramStart"/>
      <w:r w:rsidRPr="00F11C7E">
        <w:t>zwraca</w:t>
      </w:r>
      <w:proofErr w:type="gramEnd"/>
      <w:r w:rsidRPr="00F11C7E">
        <w:t xml:space="preserve"> uwagę, że prokuratura jest kluczowym elementem zdolności sądownictwa do zwalczania przestępczości i korupcji; podkreśla znaczenie zagwarantowania autonomii i rozliczalności prokuratury; podkreśla potrzebę wprowadzenia gwarancji, które pomogą zachować autonomię i rozliczalność prokuratury, w tym dopilnowania, aby była ona wolna od nadmiernych nacisków politycznych, zwłaszcza ze strony rządu;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9.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wszystkie państwa członkowskie do przyjęcia kodeksu postępowania sędziów, zgodnie z zaleceniami Grupy Państw przeciwko Korupcji (GRECO) i biorąc pod uwagę, że kodeksy takie mają zastosowanie w Europejskim Trybunale Praw Człowieka (ETPC) i TSUE, do stworzenia niezależnych mechanizmów prowadzenia dochodzeń w sprawie zarzutów naruszenia kodeksu postępowania i innych przepisów, do poprawy ujawniania informacji i przejrzystości w odniesieniu do konfliktów interesów i prezentów otrzymywanych przez wymiar sprawiedliwości, do zajęcia się kwestią efektu „drzwi obrotowych”, a także wymagania od sędziów publicznego wyjaśniania decyzji w sprawie usunięcia ze stanowiska;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10.</w:t>
      </w:r>
      <w:r w:rsidRPr="00F11C7E">
        <w:tab/>
      </w:r>
      <w:proofErr w:type="gramStart"/>
      <w:r w:rsidRPr="00F11C7E">
        <w:t>wyraża</w:t>
      </w:r>
      <w:proofErr w:type="gramEnd"/>
      <w:r w:rsidRPr="00F11C7E">
        <w:t xml:space="preserve"> zaniepokojenie istotnymi przetasowaniami kadrowymi i zapowiedziami znacznych zmian strukturalnych i organizacyjnych w słowackiej policji i innych niezależnych instytucjach demokratycznych, w tym wśród śledczych pracujących nad sprawami poważnych przestępstw i korupcji na wysokim szczeblu w słowackiej Narodowej Agencji ds. Przestępczości (NAKA), co budzi wątpliwości co do powodów takich zmian; wyraża głębokie zaniepokojenie nieuzasadnionym prowadzeniem przez rząd słowacki przyspieszonego procesu legislacyjnego, w szczególności w odniesieniu do proponowanych zmian w kodeksie karnym i rozwiązania Prokuratury Specjalnej, które zagrażają integralności postępowań sądowych, podważają walkę UE z nadużyciami finansowymi oraz stawiają pod znakiem zapytania ochronę interesów finansowych UE i środowiska naturalnego w Słowacji; wzywa </w:t>
      </w:r>
      <w:proofErr w:type="gramStart"/>
      <w:r w:rsidRPr="00F11C7E">
        <w:t>rząd</w:t>
      </w:r>
      <w:proofErr w:type="gramEnd"/>
      <w:r w:rsidRPr="00F11C7E">
        <w:t xml:space="preserve"> Słowacji do ponownego rozważenia tych zmian w świetle ich potencjalnych skutków dla praworządności, interesów finansowych Unii, a także unijnych ram antykorupcyjnych; przypomina, że każda reforma prawa karnego musi obejmować wystarczające i odpowiednie zabezpieczenia, aby zapewnić kontynuację i skuteczność nowych i toczących się postepowań w sprawach karnych, zwłaszcza w odniesieniu do korupcji na wysokim szczeblu, oraz zagwarantować niezależność sądownictwa i autonomię prokuratury zgodnie z zaleceniami Komisji zawartymi w późniejszych sprawozdaniach na temat praworządności; wyraża zaniepokojenie, że ponowne przydzielenie spraw Prokuratury Specjalnej doprowadzi do znacznych opóźnień oraz że niektóre sprawy mogą ulec przedawnieniu;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11.</w:t>
      </w:r>
      <w:r w:rsidRPr="00F11C7E">
        <w:tab/>
      </w:r>
      <w:proofErr w:type="gramStart"/>
      <w:r w:rsidRPr="00F11C7E">
        <w:t>odnotowuje</w:t>
      </w:r>
      <w:proofErr w:type="gramEnd"/>
      <w:r w:rsidRPr="00F11C7E">
        <w:t xml:space="preserve"> działania rządu hiszpańskiego związane z jego niedawnym zaprzysiężeniem, w tym przyjęcie w przyszłości ustawy o amnestii; uznaje pytania, opinie i obawy wyrażane w odpowiedzi na te wydarzenia przez różne zainteresowane strony, w tym przez stowarzyszenia sędziów, prokuratorów, prawników, naukowców, społeczeństwo obywatelskie i ogół społeczeństwa; zauważa, że Komisja wystosowała również pismo do rządu hiszpańskiego z prośbą o wyjaśnienia; podkreśla, że sytuacja ta zasługuje na niezależną ocenę; w związku z tym wzywa rząd hiszpański do zapewnienia instytucjom europejskim pełnej przejrzystości w odniesieniu do tej ustawy o amnestii i zauważa, że Senat Hiszpanii zwrócił się do Komisji Weneckiej o opinię na temat </w:t>
      </w:r>
      <w:proofErr w:type="gramStart"/>
      <w:r w:rsidRPr="00F11C7E">
        <w:t>jej</w:t>
      </w:r>
      <w:proofErr w:type="gramEnd"/>
      <w:r w:rsidRPr="00F11C7E">
        <w:t xml:space="preserve"> konstytucyjności i zgodności z europejskimi zasadami i normami; ubolewa również nad utrzymującą się od dawna blokadą Rady Sądownictwa, w sprawie której Komisja sformułowała konkretne zalecenia dla władz hiszpańskich w sprawozdaniu na temat praworządności;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>Korupcja</w:t>
      </w:r>
    </w:p>
    <w:p w:rsidR="00D7295C" w:rsidRPr="00F11C7E" w:rsidRDefault="00D7295C" w:rsidP="00D7295C">
      <w:pPr>
        <w:pStyle w:val="NormalHanging12a"/>
      </w:pPr>
      <w:r w:rsidRPr="00F11C7E">
        <w:t>12.</w:t>
      </w:r>
      <w:r w:rsidRPr="00F11C7E">
        <w:tab/>
      </w:r>
      <w:proofErr w:type="gramStart"/>
      <w:r w:rsidRPr="00F11C7E">
        <w:t>przypomina</w:t>
      </w:r>
      <w:proofErr w:type="gramEnd"/>
      <w:r w:rsidRPr="00F11C7E">
        <w:t>, że korupcja stanowi poważne zagrożenie dla praworządności i podkopuje zaufanie do demokracji i równości wobec prawa; apeluje do państw członkowskich i Komisji o podjęcie większych wysiłków w celu wyeliminowania korupcji;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13.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badania Eurobarometru dotyczące korupcji z 2022 r. pokazują, że korupcja pozostaje poważnym problemem dla obywateli i przedsiębiorstw w UE, przy czym duża część Europejczyków uważa, iż w ich kraju korupcja jest powszechna (68 %), a poziom korupcji wzrósł (41 %); docenia, że wszystkie państwa członkowskie wprowadziły już strategie antykorupcyjne, które podlegają regularnym ocenom i przeglądom; przypomina, że do wyeliminowania praktyk korupcyjnych potrzebne są nie tylko solidne ramy prawne, lecz także ich skuteczne wdrażanie oraz że zapobieganie takim praktykom wymaga również przejrzystych i odpowiedzialnych ram zarządzania i uczciwości;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14.</w:t>
      </w:r>
      <w:r w:rsidRPr="00F11C7E">
        <w:tab/>
      </w:r>
      <w:proofErr w:type="gramStart"/>
      <w:r w:rsidRPr="00F11C7E">
        <w:t>ubolewa</w:t>
      </w:r>
      <w:proofErr w:type="gramEnd"/>
      <w:r w:rsidRPr="00F11C7E">
        <w:t>, że – pomimo obowiązywania strategii antykorupcyjnych we wszystkich państwach członkowskich – istnieją znaczne różnice w postrzeganiu korupcji w UE, przy czym wśród najmniej skorumpowanych państw plasują się Dania, Finlandia, Szwecja i Niderlandy, natomiast niepokojące są postrzegane poziomy korupcji w Bułgarii, na Malcie, Węgrzech, w Grecji i Słowenii</w:t>
      </w:r>
      <w:r w:rsidRPr="00F11C7E">
        <w:rPr>
          <w:vertAlign w:val="superscript"/>
        </w:rPr>
        <w:t>29</w:t>
      </w:r>
      <w:r w:rsidRPr="00F11C7E">
        <w:t xml:space="preserve">; zauważa, również z zaniepokojeniem, że Komisja stwierdza, iż niektóre państwa członkowskie, takie jak Bułgaria, Malta, Węgry, Grecja i Słowenia, nie osiągnęły jeszcze solidnych wyników w prowadzeniu dochodzeń i ściganiu spraw dotyczących korupcji na wysokim szczeblu, skutkujących prawomocnymi wyrokami skazującymi, które mają skutek odstraszający; odnotowuje niedawno opublikowane sprawozdanie GRECO w sprawie Cypru, w którym zwrócono </w:t>
      </w:r>
      <w:proofErr w:type="gramStart"/>
      <w:r w:rsidRPr="00F11C7E">
        <w:t>uwagę</w:t>
      </w:r>
      <w:proofErr w:type="gramEnd"/>
      <w:r w:rsidRPr="00F11C7E">
        <w:t xml:space="preserve"> na brak faktycznej skuteczności przepisów antykorupcyjnych i wskazano szczególne zagrożenia w organach ścigania</w:t>
      </w:r>
      <w:r w:rsidRPr="00F11C7E">
        <w:rPr>
          <w:vertAlign w:val="superscript"/>
        </w:rPr>
        <w:footnoteReference w:id="38"/>
      </w:r>
      <w:r w:rsidRPr="00F11C7E">
        <w:t xml:space="preserve">; </w:t>
      </w:r>
    </w:p>
    <w:p w:rsidR="00D7295C" w:rsidRPr="00F11C7E" w:rsidRDefault="00D7295C" w:rsidP="00D7295C">
      <w:pPr>
        <w:pStyle w:val="NormalHanging12a"/>
        <w:rPr>
          <w:b/>
          <w:i/>
        </w:rPr>
      </w:pPr>
      <w:r w:rsidRPr="00F11C7E">
        <w:t>15.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urzędnicy państwowi w państwach członkowskich oraz unijni urzędnicy, politycy, wybrani przedstawiciele i przywódcy powinni dawać przykład, nie dopuszczając się żadnych praktyk korupcyjnych, oraz że w dochodzeniach dotyczących korupcji nie powinny mieć miejsca ingerencje rządowe ani polityczne; wzywa grupę monitorującą ds. demokracji, praworządności i praw podstawowych do wykonywania zaleceń wynikających z rezolucji Parlamentu w sprawie praworządności, aby pomagać w zwalczaniu bezkarności za korupcję; zwraca uwagę, że unijni urzędnicy, politycy, wybrani przedstawiciele i przywódcy mogą być również uwikłani w korupcję, czego dowodzi </w:t>
      </w:r>
      <w:proofErr w:type="spellStart"/>
      <w:r w:rsidRPr="00F11C7E">
        <w:t>Katargate</w:t>
      </w:r>
      <w:proofErr w:type="spellEnd"/>
      <w:r w:rsidRPr="00F11C7E">
        <w:t>; w związku z tym ponownie domaga się, aby sprawozdanie roczne obejmowało również instytucje UE; ponawia apel do Komisji o jak najszybsze zakończenie negocjacji w sprawie pełnego członkostwa UE w GRECO;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16.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obywatelom i przedsiębiorstwom należy zapewnić poczucie bezpieczeństwa w zgłaszaniu przypadków korupcji, zwłaszcza przez sygnalizowanie nieprawidłowości; zauważa, że według Komisji nadal występują duże przeszkody w całej UE w sygnalizowaniu nieprawidłowości, chociaż niektóre państwa członkowskie takie jak Słowacja, Cypr, Dania i Malta podjęły kroki stanowiące próbę poprawy tej sytuacji; wzywa rząd Słowacji, aby przestrzegał wiążących zasad unijnej dyrektywy o ochronie sygnalistów</w:t>
      </w:r>
      <w:r w:rsidRPr="00F11C7E">
        <w:rPr>
          <w:rStyle w:val="FootnoteReference"/>
        </w:rPr>
        <w:footnoteReference w:id="39"/>
      </w:r>
      <w:r w:rsidRPr="00F11C7E">
        <w:t xml:space="preserve"> oraz ponownie rozważył proponowane zmiany w zakresie ochrony sygnalistów w tym kraju; wyraża szczególne zaniepokojenie faktem, że sygnalistów pozbawia się ochrony z mocą wsteczną, co skutkuje brakiem pewności prawa; zauważa, że słowacki Urząd Ochrony Sygnalistów zwracał uwagę Komisji na </w:t>
      </w:r>
      <w:proofErr w:type="gramStart"/>
      <w:r w:rsidRPr="00F11C7E">
        <w:t>te</w:t>
      </w:r>
      <w:proofErr w:type="gramEnd"/>
      <w:r w:rsidRPr="00F11C7E">
        <w:t xml:space="preserve"> kwestie;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17.</w:t>
      </w:r>
      <w:r w:rsidRPr="00F11C7E">
        <w:tab/>
      </w:r>
      <w:proofErr w:type="gramStart"/>
      <w:r w:rsidRPr="00F11C7E">
        <w:t>potępia</w:t>
      </w:r>
      <w:proofErr w:type="gramEnd"/>
      <w:r w:rsidRPr="00F11C7E">
        <w:t xml:space="preserve"> fakt, że Malta nadal prowadzi swój program obywatelstwa dla inwestorów (CBI), który niesie za sobą poważne zagrożenie korupcją i innymi przestępstwami, zwłaszcza w świetle kroków podjętych przez szereg innych państw członkowskich w celu zniesienia takich programów; zwraca uwagę na toczące się przed TSUE postępowanie wszczęte przez Komisję przeciwko Malcie w związku z jej programem CBI i potwierdza swoje stanowisko, zgodnie z którym Komisja powinna skorzystać z przysługującego jej uprawnienia do proponowania przepisów i zainicjować unijny zakaz legislacyjny w odniesieniu do wszystkich programów CBI w UE;</w:t>
      </w:r>
    </w:p>
    <w:p w:rsidR="00D7295C" w:rsidRPr="00F11C7E" w:rsidRDefault="00D7295C" w:rsidP="00D7295C">
      <w:pPr>
        <w:pStyle w:val="NormalHanging12a"/>
      </w:pPr>
      <w:r w:rsidRPr="00F11C7E">
        <w:t>18.</w:t>
      </w:r>
      <w:r w:rsidRPr="00F11C7E">
        <w:tab/>
      </w:r>
      <w:proofErr w:type="gramStart"/>
      <w:r w:rsidRPr="00F11C7E">
        <w:t>uznaje</w:t>
      </w:r>
      <w:proofErr w:type="gramEnd"/>
      <w:r w:rsidRPr="00F11C7E">
        <w:t xml:space="preserve"> ważną rolę Prokuratury Europejskiej (EPPO) w ochronie praworządności i walce z korupcją w Unii oraz zachęca Komisję, by w kolejnych sprawozdaniach ściśle monitorowała poziom współpracy państw członkowskich z EPPO; wzywa państwa członkowskie, które jeszcze tego nie uczyniły, by przystąpiły do EPPO; </w:t>
      </w:r>
      <w:r w:rsidR="00417CA2" w:rsidRPr="00417CA2">
        <w:t>z zadowoleniem odnotowuje, że Polska rozpoczęła procedurę przystąpienia do Prokuratury Europejskiej, co świadczy o zdecydowanym zaangażowaniu nowego rządu w ochronę interesów finansowych UE i skuteczne zwalczanie korupcji;</w:t>
      </w:r>
      <w:r w:rsidR="00417CA2">
        <w:t xml:space="preserve"> </w:t>
      </w:r>
      <w:r w:rsidRPr="00F11C7E">
        <w:t>uważa, że warunkiem wstępnym otrzymania funduszy UE powinno być członkostwo w EPPO; ponawia apel o rozszerzenie mandatu EPPO;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19.</w:t>
      </w:r>
      <w:r w:rsidRPr="00F11C7E">
        <w:tab/>
      </w:r>
      <w:proofErr w:type="gramStart"/>
      <w:r w:rsidRPr="00F11C7E">
        <w:t>jest</w:t>
      </w:r>
      <w:proofErr w:type="gramEnd"/>
      <w:r w:rsidRPr="00F11C7E">
        <w:t xml:space="preserve"> zdania, że Europol, </w:t>
      </w:r>
      <w:proofErr w:type="spellStart"/>
      <w:r w:rsidRPr="00F11C7E">
        <w:t>Eurojust</w:t>
      </w:r>
      <w:proofErr w:type="spellEnd"/>
      <w:r w:rsidRPr="00F11C7E">
        <w:t>, Europejski Trybunał Obrachunkowy, EPPO i Europejski Urząd ds. Zwalczania Nadużyć Finansowych (OLAF) powinny skuteczniej współpracować w celu zapobiegania korupcji zarówno w państwach członkowskich UE, jak i w instytucjach unijnych; w tym kontekście apeluje również o utworzenie skutecznego unijnego organu ds. etyki;</w:t>
      </w:r>
    </w:p>
    <w:p w:rsidR="00D7295C" w:rsidRPr="00F11C7E" w:rsidRDefault="00D7295C" w:rsidP="00D7295C">
      <w:pPr>
        <w:pStyle w:val="NormalHanging12a"/>
      </w:pPr>
      <w:r w:rsidRPr="00F11C7E">
        <w:t>20.</w:t>
      </w:r>
      <w:r w:rsidRPr="00F11C7E">
        <w:tab/>
      </w:r>
      <w:proofErr w:type="gramStart"/>
      <w:r w:rsidRPr="00F11C7E">
        <w:t>zauważa</w:t>
      </w:r>
      <w:proofErr w:type="gramEnd"/>
      <w:r w:rsidRPr="00F11C7E">
        <w:t xml:space="preserve">, że korupcja może obejmować organy krajowe, w tym organy sądowe i policyjne, które same mają za zadanie ją zwalczać; w tym kontekście nadal wyraża zaniepokojenie powolnymi i ograniczonymi postępami w eliminowaniu kultury bezkarności na najwyższym szczeblu na Malcie, ujawnionej przez niezależne dochodzenie publiczne w sprawie zabójstwa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t xml:space="preserve">; uważa, że organy UE, takie jak Europol, odgrywają ważną rolę w prowadzeniu dochodzeń w sprawie korupcji i gromadzeniu dowodów, ale na przeszkodzie staje wymóg krajowej zgody na udział Europolu; apeluje o zwiększenie mandatu Europolu, aby umożliwić mu prowadzenie dochodzeń w przypadkach korupcji opisanych powyżej; podkreśla znaczenie zagwarantowania nadzoru nad Europolem </w:t>
      </w:r>
      <w:proofErr w:type="gramStart"/>
      <w:r w:rsidRPr="00F11C7E">
        <w:t>na</w:t>
      </w:r>
      <w:proofErr w:type="gramEnd"/>
      <w:r w:rsidRPr="00F11C7E">
        <w:t xml:space="preserve"> szczeblu UE, wzmocnienia niezależnych unijnych mechanizmów rozliczalności, organów i agencji oraz poprawy demokratycznej kontroli działalności Europolu, w tym przez grupę ds. wspólnej kontroli parlamentarnej, obejmującej systematyczną ocenę wszystkich działań agencji i przestrzegania jej mandatu, a także obowiązku podejmowania działań następczych w związku z zaleceniami wydanymi agencji przez Parlament;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21.</w:t>
      </w:r>
      <w:r w:rsidRPr="00F11C7E">
        <w:tab/>
      </w:r>
      <w:proofErr w:type="gramStart"/>
      <w:r w:rsidRPr="00F11C7E">
        <w:t>z</w:t>
      </w:r>
      <w:proofErr w:type="gramEnd"/>
      <w:r w:rsidRPr="00F11C7E">
        <w:t xml:space="preserve"> zadowoleniem przyjmuje wnioski Komisji dotyczące walki z korupcją, które stanowią odpowiedź na apel Parlamentu o nasilenie walki z korupcją; zauważa, że Komisja zamierza uwzględniać aspekt korupcji w opracowywaniu polityk i programów UE oraz aktywnie wspierać wysiłki państw członkowskich na rzecz wdrożenia solidnych polityk i przepisów antykorupcyjnych; z zadowoleniem przyjmuje gotowość do zajęcia się transgranicznym wymiarem korupcji poprzez kryminalizację przestępstw korupcyjnych i harmonizację kar w całej UE;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22.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korupcja i pranie pieniędzy są ze sobą nierozerwalnie powiązane oraz że pranie pieniędzy jest jednym z najważniejszych czynników umożliwiających nielegalną działalność w ramach przestępczości zorganizowanej (a tym samym atak na praworządność), poprzez którą przestępcy przekazują dochody z przestępstwa do legalnej gospodarki; jest świadomy, że nadużycia finansowe na szkodę budżetu UE mogą również być wstępem do prania pieniędzy; potwierdza swoje głębokie przekonanie, że tylko poprzez wzmocnienie unijnej struktury zwalczania nadużyć finansowych i zwiększenie przejrzystości w instytucjach europejskich można skutecznie i wydajnie realizować i wzmacniać ochronę interesów finansowych UE, przezwyciężając nieodłączne ograniczenia systemów krajowych, które nie są wystarczające do przeciwdziałania </w:t>
      </w:r>
      <w:proofErr w:type="gramStart"/>
      <w:r w:rsidRPr="00F11C7E">
        <w:t>atakom</w:t>
      </w:r>
      <w:proofErr w:type="gramEnd"/>
      <w:r w:rsidRPr="00F11C7E">
        <w:t xml:space="preserve"> na interesy finansowe Unii o coraz bardziej transnarodowym charakterze;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>Niezależne organy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23.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mechanizmy kontroli i równowagi mogą funkcjonować tylko wtedy, gdy trybunały konstytucyjne, rzecznicy praw obywatelskich, krajowe instytucje praw człowieka, firmy audytorskie, organy ds. równości i wszystkie inne niezależne organy są w stanie funkcjonować i mają wystarczająco szerokie uprawnienia, niezależność, uczciwość i odpowiednie finansowanie;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24.</w:t>
      </w:r>
      <w:r w:rsidRPr="00F11C7E">
        <w:tab/>
      </w:r>
      <w:proofErr w:type="gramStart"/>
      <w:r w:rsidRPr="00F11C7E">
        <w:t>zauważa</w:t>
      </w:r>
      <w:proofErr w:type="gramEnd"/>
      <w:r w:rsidRPr="00F11C7E">
        <w:t xml:space="preserve">, że według Komisji sytuacja w państwach członkowskich dotycząca rzeczników praw obywatelskich, krajowych instytucji praw człowieka, organów ds. równości i innych niezależnych organów – na Cyprze, w Słowacji, Luksemburgu, Portugalii, Słowenii i Polsce zaszły pewne zmiany we właściwym kierunku, na Litwie, Węgrzech i w Chorwacji wciąż są pewne wyzwania, we Włoszech, w Czechach, na Malcie i w Rumunii w ogóle nie utworzono krajowej instytucji praw człowieka zgodnie z zasadami paryskimi ONZ, w Bułgarii, Hiszpanii i Austrii wystąpiły opóźnienia w powoływaniu na stanowiska w różnych niezależnych organach, a w Polsce zagrożone jest skuteczne funkcjonowanie Najwyższej Izby Kontroli; z wielkim zaniepokojeniem odnotowuje niedawne </w:t>
      </w:r>
      <w:proofErr w:type="gramStart"/>
      <w:r w:rsidRPr="00F11C7E">
        <w:t>wydarzenia</w:t>
      </w:r>
      <w:proofErr w:type="gramEnd"/>
      <w:r w:rsidRPr="00F11C7E">
        <w:t xml:space="preserve"> w Grecji, gdzie niezależne organy, takie jak grecki Urząd ds. Bezpieczeństwa Komunikacji i Prywatności (ADAE) i grecki Urząd Ochrony Danych, są pod coraz większą presją ze względu na ich prace związane z nielegalnym stosowaniem oprogramowania szpiegowskiego, a członkowie zarządu ADAE zostali niedawno ostatnio pospiesznie zastąpieni na skutek decyzji greckiego parlamentu, najwyraźniej ze względu na zbliżającą się decyzję ADAE o nałożeniu grzywny na grecką agencję wywiadowczą;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>Pluralizm mediów i wolność mediów</w:t>
      </w:r>
    </w:p>
    <w:p w:rsidR="00D7295C" w:rsidRPr="00F11C7E" w:rsidRDefault="00D7295C" w:rsidP="00D7295C">
      <w:pPr>
        <w:pStyle w:val="NormalHanging12a"/>
      </w:pPr>
      <w:r w:rsidRPr="00F11C7E">
        <w:t>25.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bez pluralizmu mediów i wolności mediów życie demokratyczne i praworządność nie mogą przetrwać;</w:t>
      </w:r>
    </w:p>
    <w:p w:rsidR="00D7295C" w:rsidRPr="00F11C7E" w:rsidRDefault="00D7295C" w:rsidP="00D7295C">
      <w:pPr>
        <w:pStyle w:val="NormalHanging12a"/>
      </w:pPr>
      <w:r w:rsidRPr="00F11C7E">
        <w:t>26.</w:t>
      </w:r>
      <w:r w:rsidRPr="00F11C7E">
        <w:tab/>
      </w:r>
      <w:proofErr w:type="gramStart"/>
      <w:r w:rsidRPr="00F11C7E">
        <w:t>uważa</w:t>
      </w:r>
      <w:proofErr w:type="gramEnd"/>
      <w:r w:rsidRPr="00F11C7E">
        <w:t>, że przejrzysta własność mediów stanowi podstawowe minimum dla zachowania pluralizmu mediów; zauważa stwierdzenie Komisji, że od czasu opublikowania sprawozdania na temat praworządności z 2022 r. w Grecji, Luksemburgu i Szwecji przyjęto nowe przepisy zwiększające przejrzystość własności mediów lub poprawiające publiczną dostępność informacji o własności mediów oraz że takie przepisy wzmocniono na Cyprze; zauważa, że w Bułgarii, Czechach i Francji zmiany jeszcze nie nastąpiły; zachęca instytucje europejskie, aby wreszcie przyjęły solidny i ambitny akt o wolności mediów, aby zapewnić harmonizację przejrzystości przepisów w sprawie własności mediów na szczeblu UE;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27.</w:t>
      </w:r>
      <w:r w:rsidRPr="00F11C7E">
        <w:tab/>
      </w:r>
      <w:proofErr w:type="gramStart"/>
      <w:r w:rsidR="00417CA2" w:rsidRPr="00417CA2">
        <w:t>zauważa</w:t>
      </w:r>
      <w:proofErr w:type="gramEnd"/>
      <w:r w:rsidR="00417CA2" w:rsidRPr="00417CA2">
        <w:t>, że Komisja stwierdza, iż organy regulacyjne ds. mediów nie są chronione wystarczającymi zabezpieczeniami przed nadmiernymi naciskami politycznymi (np. na Węgrzech i w Słowenii, a do niedawna w Polsce – za poprzedniego rządu, kierowanego przez Prawo i Sprawiedliwość) oraz że organom brakuje zasobów (zwłaszcza w Grecji i Rumunii); wzywa Komisję do podjęcia wszystkich koniecznych środków i zapewnienia skutecznego wdrażania art. 30 dyrektywy o audiowizualnych usługach medialnych</w:t>
      </w:r>
      <w:r w:rsidRPr="00F11C7E">
        <w:rPr>
          <w:rStyle w:val="FootnoteReference"/>
        </w:rPr>
        <w:footnoteReference w:id="40"/>
      </w:r>
      <w:r w:rsidRPr="00F11C7E">
        <w:t>, zawierającego wymóg dotyczący zabezpieczeń niezależności krajowych władz regulacyjnych;</w:t>
      </w:r>
    </w:p>
    <w:p w:rsidR="00D7295C" w:rsidRPr="00F11C7E" w:rsidRDefault="00D7295C" w:rsidP="00D7295C">
      <w:pPr>
        <w:pStyle w:val="NormalHanging12a"/>
      </w:pPr>
      <w:r w:rsidRPr="00F11C7E">
        <w:t>28.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 znaczenie niezależności redakcyjnej mediów publicznych oraz obowiązek przestrzegania tej zasady przez wszystkie państwa członkowskie; podkreśla potrzebę ustanowienia gwarancji przeciwko ingerencjom wewnętrznym i zewnętrznym; uważa, że należy chronić media publiczne przed naciskami politycznymi, w tym nieuzasadnionymi zwolnieniami, oraz należy wdrożyć gwarancje swobodnego podejmowania decyzji redakcyjnych; zauważa, że według Komisji Luksemburg, Słowenia, Niemcy, Estonia, Słowacja i Czechy podjęły inicjatywy na rzecz wzmocnienia gwarancji prawnych lub środków budżetowych, aby zwiększyć niezależność krajowych nadawców publicznych, podczas gdy Cypr, </w:t>
      </w:r>
      <w:r w:rsidR="00417CA2" w:rsidRPr="00417CA2">
        <w:t xml:space="preserve">Irlandia i Szwecja również omawiają reformy, natomiast w Rumunii, na Malcie i na Węgrzech brak jest takich środków; odnotowuje wysiłki nowego polskiego rządu na rzecz </w:t>
      </w:r>
      <w:proofErr w:type="gramStart"/>
      <w:r w:rsidR="00417CA2" w:rsidRPr="00417CA2">
        <w:t>przywrócenia</w:t>
      </w:r>
      <w:proofErr w:type="gramEnd"/>
      <w:r w:rsidR="00417CA2" w:rsidRPr="00417CA2">
        <w:t xml:space="preserve"> niezależności nadawcy publicznego; zauważa, że w najnowszym Monitorze Pluralizmu Mediów ryzyko dla autonomii redakcyjnej i niezależności politycznej na Malcie oceniono jako „wysokie” i zmieniono ocenę ogólnego ryzyka dla pluralizmu mediów ze „średniego” na „wysokie”;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29.</w:t>
      </w:r>
      <w:r w:rsidRPr="00F11C7E">
        <w:tab/>
      </w:r>
      <w:proofErr w:type="gramStart"/>
      <w:r w:rsidRPr="00F11C7E">
        <w:t>z</w:t>
      </w:r>
      <w:proofErr w:type="gramEnd"/>
      <w:r w:rsidRPr="00F11C7E">
        <w:t xml:space="preserve"> zaniepokojeniem odnotowuje planowaną restrukturyzację Słowackiego Radia i Telewizji (RTVS), głównego nadawcy publicznego w tym kraju; podkreśla, jak ważne jest zachowanie wolnych i niezależnych mediów jako fundamentu demokratycznego społeczeństwa; ubolewa nad decyzją słowackiego premiera i kilku urzędników rządowych o wstrzymaniu komunikacji z kluczowymi mediami i uznaje ją za istotną przeszkodę dla prawa obywateli do otrzymywania odpowiednich informacji od rządu; podkreśla, że takie działania ograniczają wolność i przejrzystość mediów oraz przyczyniają się do rozpowszechniania manipulacyjnej dezinformacji w przestrzeni publicznej;</w:t>
      </w:r>
    </w:p>
    <w:p w:rsidR="00D7295C" w:rsidRPr="00F11C7E" w:rsidRDefault="00D7295C" w:rsidP="00D7295C">
      <w:pPr>
        <w:pStyle w:val="NormalHanging12a"/>
      </w:pPr>
      <w:r w:rsidRPr="00F11C7E">
        <w:t>30.</w:t>
      </w:r>
      <w:r w:rsidRPr="00F11C7E">
        <w:tab/>
      </w:r>
      <w:proofErr w:type="gramStart"/>
      <w:r w:rsidRPr="00F11C7E">
        <w:t>apeluje</w:t>
      </w:r>
      <w:proofErr w:type="gramEnd"/>
      <w:r w:rsidRPr="00F11C7E">
        <w:t xml:space="preserve"> do Rady i Komisji o zapewnienie odpowiedniego finansowania z przeznaczeniem na niezależne, ogólnoeuropejskie dziennikarstwo wysokiej jakości na szczeblu krajowym, regionalnym i lokalnym;</w:t>
      </w:r>
    </w:p>
    <w:p w:rsidR="00D7295C" w:rsidRPr="00F11C7E" w:rsidRDefault="00D7295C" w:rsidP="00D7295C">
      <w:pPr>
        <w:pStyle w:val="Normal12a24b"/>
      </w:pPr>
      <w:bookmarkStart w:id="8" w:name="_Toc137561359"/>
      <w:bookmarkStart w:id="9" w:name="_Toc151369981"/>
      <w:r w:rsidRPr="00F11C7E">
        <w:rPr>
          <w:rStyle w:val="BoldItalic"/>
        </w:rPr>
        <w:t>Ochrona dziennikarzy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31.</w:t>
      </w:r>
      <w:r w:rsidRPr="00F11C7E">
        <w:tab/>
      </w:r>
      <w:proofErr w:type="gramStart"/>
      <w:r w:rsidRPr="00F11C7E">
        <w:t>przypomina</w:t>
      </w:r>
      <w:proofErr w:type="gramEnd"/>
      <w:r w:rsidRPr="00F11C7E">
        <w:t>, że niezależne dziennikarstwo jest kluczowym elementem demokratycznej praworządności w ramach podstawowych mechanizmów kontroli i równowagi, a także elementem kontroli publicznej; wyraża zaniepokojenie podejmowanymi przez niektóre rządy i siły gospodarcze celowymi próbami uciszenia dziennikarzy, którzy ujawniają nadużycia; podkreśla, że bezpodstawne ingerencje i naciski, strach oraz autocenzura wywierają efekt mrożący wobec korzystania z dziennikarskiej wolności wypowiedzi;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32.</w:t>
      </w:r>
      <w:r w:rsidRPr="00F11C7E">
        <w:tab/>
      </w:r>
      <w:proofErr w:type="gramStart"/>
      <w:r w:rsidRPr="00F11C7E">
        <w:t>ubolewa</w:t>
      </w:r>
      <w:proofErr w:type="gramEnd"/>
      <w:r w:rsidRPr="00F11C7E">
        <w:t xml:space="preserve"> nad niepokojącymi tendencjami dotyczącymi bezpieczeństwa dziennikarzy w niektórych państwach członkowskich; zauważa, że od 2015 r. platforma Rady Europy propagująca ochronę dziennikarstwa i bezpieczeństwo dziennikarzy zarejestrowała ponad 1600 ostrzeżeń o groźbach; ubolewa nad zastraszaniem dziennikarzy podczas kampanii wyborczych, co ostatnio miało miejsce podczas wyborów w Słowacji; ubolewa nad brakiem poprawy warunków pracy dziennikarzy na Malcie od czasu zabójstwa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t xml:space="preserve">, w tym brakiem skutecznego wdrożenia zaleceń zawartych w sprawozdaniu z dochodzenia publicznego z 29 lipca 2021 r.; wzywa słowackich urzędników rządowych do powstrzymania się od ataków werbalnych na osoby fizyczne; podkreśla, że urzędnicy publiczni i rządowi mają obowiązek służyć wszystkim obywatelom, zwłaszcza w </w:t>
      </w:r>
      <w:proofErr w:type="gramStart"/>
      <w:r w:rsidRPr="00F11C7E">
        <w:t>kraju</w:t>
      </w:r>
      <w:proofErr w:type="gramEnd"/>
      <w:r w:rsidRPr="00F11C7E">
        <w:t>, w którym doszło do przestępstw z nienawiści i do zabójstwa dziennikarza;</w:t>
      </w:r>
    </w:p>
    <w:p w:rsidR="00D7295C" w:rsidRPr="00F11C7E" w:rsidRDefault="00D7295C" w:rsidP="00D7295C">
      <w:pPr>
        <w:pStyle w:val="NormalHanging12a"/>
      </w:pPr>
      <w:r w:rsidRPr="00F11C7E">
        <w:t>33.</w:t>
      </w:r>
      <w:r w:rsidRPr="00F11C7E">
        <w:tab/>
      </w:r>
      <w:proofErr w:type="gramStart"/>
      <w:r w:rsidRPr="00F11C7E">
        <w:t>jest</w:t>
      </w:r>
      <w:proofErr w:type="gramEnd"/>
      <w:r w:rsidRPr="00F11C7E">
        <w:t xml:space="preserve"> zaniepokojony ciągłym stosowaniem powództw SLAPP w całej Unii Europejskiej; wzywa państwa członkowskie do wdrożenia zalecenia Komisji </w:t>
      </w:r>
      <w:r w:rsidRPr="00F11C7E">
        <w:rPr>
          <w:shd w:val="clear" w:color="auto" w:fill="FFFFFF"/>
        </w:rPr>
        <w:t>(UE) 2022/758</w:t>
      </w:r>
      <w:r w:rsidRPr="00F11C7E">
        <w:rPr>
          <w:rStyle w:val="FootnoteReference"/>
          <w:bCs/>
          <w:szCs w:val="24"/>
          <w:shd w:val="clear" w:color="auto" w:fill="FFFFFF"/>
        </w:rPr>
        <w:footnoteReference w:id="41"/>
      </w:r>
      <w:r w:rsidRPr="00F11C7E">
        <w:rPr>
          <w:shd w:val="clear" w:color="auto" w:fill="FFFFFF"/>
        </w:rPr>
        <w:t xml:space="preserve"> </w:t>
      </w:r>
      <w:r w:rsidRPr="00F11C7E">
        <w:t xml:space="preserve">oraz do przyjęcia krajowych środków przeciwdziałających SLAPP w celu ochrony dziennikarzy i obrońców praw człowieka, którzy uczestniczą w debacie publicznej, przed ewidentnie bezpodstawnymi lub stanowiącymi nadużycie postępowaniami sądowymi; zauważa, że można to osiągnąć przez likwidację kar pozbawienia wolności za zniesławienie, depenalizację zniesławienia i preferowanie zamiast tego postępowań cywilnych lub administracyjnych; z zadowoleniem przyjmuje porozumienie polityczne między </w:t>
      </w:r>
      <w:proofErr w:type="spellStart"/>
      <w:r w:rsidRPr="00F11C7E">
        <w:t>współprawodawcami</w:t>
      </w:r>
      <w:proofErr w:type="spellEnd"/>
      <w:r w:rsidRPr="00F11C7E">
        <w:t xml:space="preserve"> UE w sprawie dyrektywy w sprawie przeciwdziałania SLAPP</w:t>
      </w:r>
      <w:r w:rsidRPr="00F11C7E">
        <w:rPr>
          <w:rStyle w:val="FootnoteReference"/>
        </w:rPr>
        <w:footnoteReference w:id="42"/>
      </w:r>
      <w:r w:rsidRPr="00F11C7E">
        <w:t xml:space="preserve">; wzywa Komisję, aby przeanalizowała możliwość zaproponowania dalszych przepisów w celu objęcia nimi wszystkich przypadków SLAPP, w tym </w:t>
      </w:r>
      <w:proofErr w:type="gramStart"/>
      <w:r w:rsidRPr="00F11C7E">
        <w:t>przypadków</w:t>
      </w:r>
      <w:proofErr w:type="gramEnd"/>
      <w:r w:rsidRPr="00F11C7E">
        <w:t xml:space="preserve"> krajowych; ubolewa, że pomimo zastrzeżeń zgłoszonych przez różne organizacje międzynarodowe zaproponowane przez Maltę przepisy przeciwdziałające strategicznym powództwom zmierzającym do stłumienia debaty publicznej (SLAPP) najwyraźniej nie chronią wystarczająco pracy dziennikarzy</w:t>
      </w:r>
      <w:r w:rsidRPr="00F11C7E">
        <w:rPr>
          <w:vertAlign w:val="superscript"/>
        </w:rPr>
        <w:footnoteReference w:id="43"/>
      </w:r>
      <w:r w:rsidRPr="00F11C7E">
        <w:t xml:space="preserve">; ponawia apel do niektórych maltańskich polityków, w tym byłego premiera Malty, o wycofanie spraw o zniesławienie odziedziczonych przez spadkobierców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t>, które nadal trwają po kilku latach od jej zabójstwa;</w:t>
      </w:r>
    </w:p>
    <w:bookmarkEnd w:id="8"/>
    <w:bookmarkEnd w:id="9"/>
    <w:p w:rsidR="00D7295C" w:rsidRPr="00F11C7E" w:rsidRDefault="00D7295C" w:rsidP="00417CA2">
      <w:pPr>
        <w:pStyle w:val="NormalHanging12a"/>
        <w:rPr>
          <w:szCs w:val="24"/>
        </w:rPr>
      </w:pPr>
      <w:r w:rsidRPr="00F11C7E">
        <w:t>34.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rząd grecki, aby zajął się poważnymi problemami wskazanymi przez mechanizm szybkiego reagowania w kwestii wolności mediów (MFRR) – sojusz, który śledzi i monitoruje naruszenia wolności prasy i mediów oraz reaguje na nie, w szczególności w związku z arbitralną inwigilacją, przestępstwami wobec dziennikarzy i bezkarnością tych przestępstw, powództwami SLAPP oraz niezależnością i pluralizmem mediów</w:t>
      </w:r>
      <w:r w:rsidRPr="00F11C7E">
        <w:rPr>
          <w:vertAlign w:val="superscript"/>
        </w:rPr>
        <w:footnoteReference w:id="44"/>
      </w:r>
      <w:r w:rsidRPr="00F11C7E">
        <w:t xml:space="preserve">; </w:t>
      </w:r>
      <w:r w:rsidR="00417CA2">
        <w:t>z zadowoleniem przyjmuje utworzenie grupy zadaniowej ds. ochrony i bezpieczeństwa dziennikarzy i innych pracowników sektora mediów oraz wzmocnienia ich pozycji, której celem jest zwiększenie bezpieczeństwa i niezależności dziennikarzy i innych pracowników mediów, podnoszenie świadomości, a także monitorowanie bezpieczeństwa dziennikarzy, rozpoczęte przez grupę zadaniową zgodnie z zaleceniem Komisji (UE) 2021/1534 z dnia 16 września 2021 r. w sprawie zapewnienia ochrony i bezpieczeństwa dziennikarzom i innym pracownikom sektora mediów oraz wzmocnienia ich pozycji w Unii Europejskiej</w:t>
      </w:r>
      <w:r w:rsidR="00417CA2">
        <w:rPr>
          <w:rStyle w:val="FootnoteReference"/>
        </w:rPr>
        <w:footnoteReference w:id="45"/>
      </w:r>
      <w:r w:rsidR="00417CA2">
        <w:t xml:space="preserve">; z wielkim zaniepokojeniem odnotowuje niedawne zatrzymanie reporterki przez władze francuskie, najwyraźniej w celu ujawnienia jej źródeł, a także nielegalne podsłuchiwanie holenderskiego dziennikarza pracującego dla „De </w:t>
      </w:r>
      <w:proofErr w:type="spellStart"/>
      <w:r w:rsidR="00417CA2">
        <w:t>Correspondent</w:t>
      </w:r>
      <w:proofErr w:type="spellEnd"/>
      <w:r w:rsidR="00417CA2">
        <w:t>”;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35.</w:t>
      </w:r>
      <w:r w:rsidRPr="00F11C7E">
        <w:tab/>
      </w:r>
      <w:proofErr w:type="gramStart"/>
      <w:r w:rsidRPr="00F11C7E">
        <w:t>stanowczo</w:t>
      </w:r>
      <w:proofErr w:type="gramEnd"/>
      <w:r w:rsidRPr="00F11C7E">
        <w:t xml:space="preserve"> potępia brak decydującego przełomu w śledztwie w sprawie zamordowania </w:t>
      </w:r>
      <w:proofErr w:type="spellStart"/>
      <w:r w:rsidRPr="00F11C7E">
        <w:t>Giorgosa</w:t>
      </w:r>
      <w:proofErr w:type="spellEnd"/>
      <w:r w:rsidRPr="00F11C7E">
        <w:t xml:space="preserve"> </w:t>
      </w:r>
      <w:proofErr w:type="spellStart"/>
      <w:r w:rsidRPr="00F11C7E">
        <w:t>Karaivaza</w:t>
      </w:r>
      <w:proofErr w:type="spellEnd"/>
      <w:r w:rsidRPr="00F11C7E">
        <w:t xml:space="preserve">; zauważa, że dwóch domniemanych sprawców aresztowano ponad dwa lata po morderstwie na podstawie dowodów, którymi, jak się okazuje, policja dysponowała od początku; uważa, że osoba, która zleciła to morderstwo, nadal nie została zidentyfikowana; zauważa, że </w:t>
      </w:r>
      <w:proofErr w:type="spellStart"/>
      <w:r w:rsidRPr="00F11C7E">
        <w:t>Giorgos</w:t>
      </w:r>
      <w:proofErr w:type="spellEnd"/>
      <w:r w:rsidRPr="00F11C7E">
        <w:t xml:space="preserve"> </w:t>
      </w:r>
      <w:proofErr w:type="spellStart"/>
      <w:r w:rsidRPr="00F11C7E">
        <w:t>Karaivaz</w:t>
      </w:r>
      <w:proofErr w:type="spellEnd"/>
      <w:r w:rsidRPr="00F11C7E">
        <w:t xml:space="preserve"> – podobnie jak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Caruana</w:t>
      </w:r>
      <w:proofErr w:type="spellEnd"/>
      <w:r w:rsidRPr="00F11C7E">
        <w:t xml:space="preserve"> </w:t>
      </w:r>
      <w:proofErr w:type="spellStart"/>
      <w:r w:rsidRPr="00F11C7E">
        <w:t>Galizia</w:t>
      </w:r>
      <w:proofErr w:type="spellEnd"/>
      <w:r w:rsidRPr="00F11C7E">
        <w:t xml:space="preserve"> i </w:t>
      </w:r>
      <w:proofErr w:type="spellStart"/>
      <w:r w:rsidRPr="00F11C7E">
        <w:t>Ján</w:t>
      </w:r>
      <w:proofErr w:type="spellEnd"/>
      <w:r w:rsidRPr="00F11C7E">
        <w:t xml:space="preserve"> </w:t>
      </w:r>
      <w:proofErr w:type="spellStart"/>
      <w:r w:rsidRPr="00F11C7E">
        <w:t>Kuciak</w:t>
      </w:r>
      <w:proofErr w:type="spellEnd"/>
      <w:r w:rsidRPr="00F11C7E">
        <w:t xml:space="preserve"> – prowadził śledztwa w sprawie korupcji i przestępczości oraz że być może miał wysoko postawionych wrogów, w tym w kręgach politycznych; zwraca uwagę, że osoba podejrzana o zlecenie morderstwa </w:t>
      </w:r>
      <w:proofErr w:type="spellStart"/>
      <w:r w:rsidRPr="00F11C7E">
        <w:t>Daphne</w:t>
      </w:r>
      <w:proofErr w:type="spellEnd"/>
      <w:r w:rsidRPr="00F11C7E">
        <w:t xml:space="preserve"> </w:t>
      </w:r>
      <w:proofErr w:type="spellStart"/>
      <w:r w:rsidRPr="00F11C7E">
        <w:t>Caruany</w:t>
      </w:r>
      <w:proofErr w:type="spellEnd"/>
      <w:r w:rsidRPr="00F11C7E">
        <w:t xml:space="preserve"> </w:t>
      </w:r>
      <w:proofErr w:type="spellStart"/>
      <w:r w:rsidRPr="00F11C7E">
        <w:t>Galizii</w:t>
      </w:r>
      <w:proofErr w:type="spellEnd"/>
      <w:r w:rsidRPr="00F11C7E">
        <w:t xml:space="preserve"> nadal nie została skazana, a władze nie zajęły się odpowiednio wszystkimi </w:t>
      </w:r>
      <w:proofErr w:type="gramStart"/>
      <w:r w:rsidRPr="00F11C7E">
        <w:t>przypadkami</w:t>
      </w:r>
      <w:proofErr w:type="gramEnd"/>
      <w:r w:rsidRPr="00F11C7E">
        <w:t xml:space="preserve"> korupcji i przestępstw, które dziennikarka badała;</w:t>
      </w:r>
    </w:p>
    <w:p w:rsidR="00D7295C" w:rsidRPr="00F11C7E" w:rsidRDefault="00D7295C" w:rsidP="00D7295C">
      <w:pPr>
        <w:pStyle w:val="NormalHanging12a"/>
      </w:pPr>
      <w:r w:rsidRPr="00F11C7E">
        <w:t>36.</w:t>
      </w:r>
      <w:r w:rsidRPr="00F11C7E">
        <w:tab/>
      </w:r>
      <w:proofErr w:type="gramStart"/>
      <w:r w:rsidRPr="00F11C7E">
        <w:t>potępia</w:t>
      </w:r>
      <w:proofErr w:type="gramEnd"/>
      <w:r w:rsidRPr="00F11C7E">
        <w:t xml:space="preserve"> nielegalną inwigilację dziennikarzy, w szczególności za pomocą oprogramowania szpiegowskiego; jest zbulwersowany odmową wdrożenia przez Komisję Europejską wszystkich zaleceń specjalnej komisji śledczej ds. oprogramowania </w:t>
      </w:r>
      <w:proofErr w:type="spellStart"/>
      <w:r w:rsidRPr="00F11C7E">
        <w:t>Pegasus</w:t>
      </w:r>
      <w:proofErr w:type="spellEnd"/>
      <w:r w:rsidRPr="00F11C7E">
        <w:t xml:space="preserve"> i uważa, że stanowi to zaniechanie z jej strony; ponownie apeluje do Komisji, aby oceniła spełnienie określonych w zaleceniu warunków szczegółowych dotyczących Cypru, Grecji, Węgier, Polski i Hiszpanii, na co przewidziany był termin 30 listopada 2023 r.;</w:t>
      </w:r>
      <w:r w:rsidR="00CC0AE4" w:rsidRPr="00CC0AE4">
        <w:t xml:space="preserve"> z zadowoleniem przyjmuje utworzenie w polskim Sejmie specjalnej komisji śledczej posiadającej uprawnienia śledcze; apeluje o przeprowadzenie szczegółowego dochodzenia w sprawie zarzutów poważnych naruszeń przepisów krajowych i unijnych, dotyczących prowadzenia przez rząd Prawa i Sprawiedliwości bezprawnej inwigilacji w celach politycznych; jest </w:t>
      </w:r>
      <w:proofErr w:type="gramStart"/>
      <w:r w:rsidR="00CC0AE4" w:rsidRPr="00CC0AE4">
        <w:t>zaniepokojony</w:t>
      </w:r>
      <w:proofErr w:type="gramEnd"/>
      <w:r w:rsidR="00CC0AE4" w:rsidRPr="00CC0AE4">
        <w:t xml:space="preserve"> faktem, że lista ofiar ma być bardzo długa i że ma być na niej wielu polityków, prawników, prokuratorów, dziennikarzy, przedsiębiorców, aktywistów i inne osoby;</w:t>
      </w:r>
      <w:r w:rsidRPr="00F11C7E">
        <w:t xml:space="preserve"> zwraca uwagę, że sprawiedliwości nie wymierzono w żadnym z licznych przypadków nadużywania oprogramowania szpiegowskiego przeciwko dziennikarzom, działaczom, politykom, prawnikom i innym osobom stanowiącym cel polityczny; w związku z tym stwierdza, że wbrew temu, co zakłada Komisja, wiele organów krajowych nie chce ani nie jest w stanie zająć się tą sprawą, co sprawia, że ofiary są pozbawione skutecznego środka prawnego, a demokracja nie jest chroniona; jest głęboko zaniepokojony mrożącym efektem bezkarności nadużywania oprogramowania szpiegowskiego wobec dziennikarzy </w:t>
      </w:r>
      <w:proofErr w:type="gramStart"/>
      <w:r w:rsidRPr="00F11C7E">
        <w:t>i</w:t>
      </w:r>
      <w:proofErr w:type="gramEnd"/>
      <w:r w:rsidRPr="00F11C7E">
        <w:t xml:space="preserve"> ich źródeł; podkreśla, że bezprawne wykorzystywanie oprogramowania szpiegowskiego przez rządy krajowe bezpośrednio i pośrednio wpływa na uczciwość podejmowania decyzji, podważając tym samym demokrację w Unii Europejskiej, i wskazuje na pilną potrzebę większej przejrzystości i rozliczalności prawnej sektora nadzoru;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37.</w:t>
      </w:r>
      <w:r w:rsidRPr="00F11C7E">
        <w:tab/>
      </w:r>
      <w:proofErr w:type="gramStart"/>
      <w:r w:rsidRPr="00F11C7E">
        <w:t>przypomina</w:t>
      </w:r>
      <w:proofErr w:type="gramEnd"/>
      <w:r w:rsidRPr="00F11C7E">
        <w:t xml:space="preserve">, że handel oprogramowaniem szpiegowskim i jego stosowanie muszą być ściśle uregulowane, że stosowanie oprogramowania szpiegowskiego przez państwa członkowskie musi być proporcjonalne i nie może być arbitralne oraz że inwigilacja może być dozwolona tylko w nielicznych z góry określonych sytuacjach; uważa, że skuteczne mechanizmy ex </w:t>
      </w:r>
      <w:proofErr w:type="spellStart"/>
      <w:r w:rsidRPr="00F11C7E">
        <w:t>ante</w:t>
      </w:r>
      <w:proofErr w:type="spellEnd"/>
      <w:r w:rsidRPr="00F11C7E">
        <w:t xml:space="preserve"> zapewniające nadzór sądowy mają kluczowe znaczenie dla ochrony wolności jednostki; potwierdza, że zezwalanie na nieograniczone możliwości nadzoru nie może zagrażać indywidualnym prawom; podkreśla, że ważna jest również zdolność wymiaru sprawiedliwości do sprawowania znaczącego i skutecznego nadzoru ex post w dziedzinie wniosków o nadzór nad bezpieczeństwem narodowym, aby zapewnić możliwość kwestionowania nieproporcjonalnego korzystania z oprogramowania </w:t>
      </w:r>
      <w:proofErr w:type="gramStart"/>
      <w:r w:rsidRPr="00F11C7E">
        <w:t>szpiegowskiego</w:t>
      </w:r>
      <w:proofErr w:type="gramEnd"/>
      <w:r w:rsidRPr="00F11C7E">
        <w:t xml:space="preserve"> przez rządy;</w:t>
      </w:r>
    </w:p>
    <w:p w:rsidR="00D7295C" w:rsidRPr="00F11C7E" w:rsidRDefault="00D7295C" w:rsidP="00D7295C">
      <w:pPr>
        <w:pStyle w:val="NormalHanging12a"/>
      </w:pPr>
      <w:r w:rsidRPr="00F11C7E">
        <w:t>38.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skutki bezprawnego stosowania oprogramowania szpiegowskiego są znacznie dotkliwsze w państwach członkowskich, gdzie organy, do których normalnie należałoby prowadzenie dochodzeń, gwarantowanie zadośćuczynienia osobom będącym celem inwigilacji i zapewnianie rozliczalności, są zawłaszczane przez państwo i gdzie trwa kryzys praworządności i zagrożona jest niezależność wymiaru sprawiedliwości, przez co nie można polegać na organach krajowych; w związku z tym apeluje do Komisji, aby sprawozdanie na temat praworządności obejmowało specjalne monitorowanie i zalecenia w odniesieniu do poszczególnych państw członkowskich w związku z bezprawnym wykorzystywaniem przez nie oprogramowania szpiegowskiego, wraz z oceną zdolności instytucji państwowych do reagowania w celu zapewnienia zadośćuczynienia dotkniętym osobom;</w:t>
      </w:r>
    </w:p>
    <w:p w:rsidR="00D7295C" w:rsidRPr="00F11C7E" w:rsidRDefault="00D7295C" w:rsidP="00D7295C">
      <w:pPr>
        <w:pStyle w:val="Normal12a24b"/>
      </w:pPr>
      <w:r w:rsidRPr="00F11C7E">
        <w:rPr>
          <w:rStyle w:val="BoldItalic"/>
        </w:rPr>
        <w:t>Przejrzystość i dostęp do informacji</w:t>
      </w:r>
    </w:p>
    <w:p w:rsidR="00D7295C" w:rsidRPr="00F11C7E" w:rsidRDefault="00D7295C" w:rsidP="00D7295C">
      <w:pPr>
        <w:pStyle w:val="NormalHanging12a"/>
      </w:pPr>
      <w:r w:rsidRPr="00F11C7E">
        <w:t>39.</w:t>
      </w:r>
      <w:r w:rsidRPr="00F11C7E">
        <w:tab/>
      </w:r>
      <w:proofErr w:type="gramStart"/>
      <w:r w:rsidRPr="00F11C7E">
        <w:t>ubolewa</w:t>
      </w:r>
      <w:proofErr w:type="gramEnd"/>
      <w:r w:rsidRPr="00F11C7E">
        <w:t xml:space="preserve"> nad ciągłymi trudnościami w uzyskiwaniu informacji i dostępie do dokumentów napotykanymi przez wielu obywateli, dziennikarzy i parlamentarzystów w wielu państwach członkowskich; podkreśla, że zbyt często organy publiczne celowo udaremniają dostęp do informacji i dokumentów, na przykład nieproporcjonalnie opóźniając decyzje lub udzielając tylko pozornego dostępu przez jedynie częściowe udostępnianie informacji; zauważa, że według ustaleń Komisji niektóre państwa członkowskie, takie jak Czechy, Litwa i Słowacja, podjęły inicjatywy w celu lepszego uregulowania dostępu do informacji, zaś inne, takie jak Niemcy, Hiszpania, Chorwacja, Luksemburg i Węgry, pracują nad poprawą sytuacji w tym obszarze; zauważa jednak, że niektóre państwa, takie jak Malta, Austria i Finlandia, nadal nie w pełni zajmują się tymi problemami; ponawia apel do rządu maltańskiego o wycofanie </w:t>
      </w:r>
      <w:proofErr w:type="spellStart"/>
      <w:r w:rsidRPr="00F11C7E">
        <w:t>odwołań</w:t>
      </w:r>
      <w:proofErr w:type="spellEnd"/>
      <w:r w:rsidRPr="00F11C7E">
        <w:t xml:space="preserve"> od szeregu wniosków o udzielenie wolności informacji złożonych przez serwis informacyjny </w:t>
      </w:r>
      <w:r w:rsidRPr="00F11C7E">
        <w:rPr>
          <w:i/>
          <w:iCs/>
        </w:rPr>
        <w:t xml:space="preserve">The </w:t>
      </w:r>
      <w:proofErr w:type="spellStart"/>
      <w:r w:rsidRPr="00F11C7E">
        <w:rPr>
          <w:i/>
          <w:iCs/>
        </w:rPr>
        <w:t>Shift</w:t>
      </w:r>
      <w:proofErr w:type="spellEnd"/>
      <w:r w:rsidRPr="00F11C7E">
        <w:rPr>
          <w:i/>
          <w:iCs/>
        </w:rPr>
        <w:t xml:space="preserve"> News</w:t>
      </w:r>
      <w:r w:rsidRPr="00F11C7E">
        <w:t>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40.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instytucje UE, by dawały przykład pod względem dostępu do informacji i dokumentów; w związku z tym odnotowuje sprawozdanie specjalne Europejskiego Rzecznika Praw Obywatelskich dotyczące czasu rozpatrywania przez Komisję Europejską wniosków o publiczny dostęp do dokumentów, opracowane w następstwie dochodzenia strategicznego w tej sprawie, w którym stwierdzono niewłaściwe administrowanie, gdyż Komisja dopuszczała się systematycznych i znacznych opóźnień w zatwierdzaniu wniosków</w:t>
      </w:r>
      <w:r w:rsidRPr="00F11C7E">
        <w:rPr>
          <w:vertAlign w:val="superscript"/>
        </w:rPr>
        <w:footnoteReference w:id="46"/>
      </w:r>
      <w:r w:rsidRPr="00F11C7E">
        <w:t xml:space="preserve">; wzywa Komisję do definitywnego rozwiązania tego powtarzającego się problemu; 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41.</w:t>
      </w:r>
      <w:r w:rsidRPr="00F11C7E">
        <w:tab/>
      </w:r>
      <w:proofErr w:type="gramStart"/>
      <w:r w:rsidRPr="00F11C7E">
        <w:t>zachęca</w:t>
      </w:r>
      <w:proofErr w:type="gramEnd"/>
      <w:r w:rsidRPr="00F11C7E">
        <w:t xml:space="preserve"> państwa członkowskie do uregulowania działalności lobbingowej przez wprowadzenie krajowych obowiązkowych rejestrów służących przejrzystości dla wszystkich polityków oraz członków i urzędników rządów, organów i agencji; wzywa polityków, członków rządów oraz urzędników organów i agencji, aby podawali wykazy wszystkich swoich spotkań do wiadomości publicznej;</w:t>
      </w:r>
    </w:p>
    <w:p w:rsidR="00D7295C" w:rsidRPr="00F11C7E" w:rsidRDefault="00D7295C" w:rsidP="00D7295C">
      <w:pPr>
        <w:pStyle w:val="NormalHanging12a"/>
        <w:rPr>
          <w:b/>
          <w:i/>
          <w:szCs w:val="24"/>
        </w:rPr>
      </w:pPr>
      <w:r w:rsidRPr="00F11C7E">
        <w:rPr>
          <w:b/>
          <w:i/>
        </w:rPr>
        <w:t>Wymiar gospodarczy praworządności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42.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do wzmocnienia zasady praworządności na rynku wewnętrznym; podkreśla, że niezawodne i stabilne struktury praworządności są kluczowymi filarami inwestycji i handlu, o zasadniczym znaczeniu dla konkurencyjności, a tym samym dla zdolności systemu ochrony socjalnej i rynku pracy w Unii Europejskiej; ubolewa nad podejmowanymi przez państwa członkowskie w tej dziedzinie środkami naruszającymi prawo Unii, takimi jak niektóre środki protekcjonistyczne;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43.</w:t>
      </w:r>
      <w:r w:rsidRPr="00F11C7E">
        <w:tab/>
      </w:r>
      <w:proofErr w:type="gramStart"/>
      <w:r w:rsidRPr="00F11C7E">
        <w:t>domaga</w:t>
      </w:r>
      <w:proofErr w:type="gramEnd"/>
      <w:r w:rsidRPr="00F11C7E">
        <w:t xml:space="preserve"> się ściślejszego monitorowania gospodarczego wymiaru praworządności; wzywa Komisję, aby sprawozdaniu na temat praworządności, w związku z jego poszerzonym zakresem, położyła większy nacisk i zwróciła szczególną uwagę na wymiar gospodarczy;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44.</w:t>
      </w:r>
      <w:r w:rsidRPr="00F11C7E">
        <w:tab/>
      </w:r>
      <w:proofErr w:type="gramStart"/>
      <w:r w:rsidRPr="00F11C7E">
        <w:t>ponownie</w:t>
      </w:r>
      <w:proofErr w:type="gramEnd"/>
      <w:r w:rsidRPr="00F11C7E">
        <w:t xml:space="preserve"> potępia zgłaszane systemowe dyskryminujące, nieprzejrzyste i nieuczciwe praktyki wobec przedsiębiorstw w niektórych sektorach na Węgrzech oraz wykorzystywanie unijnych środków finansowych do wzbogacania sojuszników politycznych rządu, co jest sprzeczne z unijnymi przepisami dotyczącymi konkurencji i zamówień publicznych; wyraża głębokie zaniepokojenie coraz większą koncentracją przedsiębiorstw w rękach oligarchów posiadających powiązania z obecnym rządem, którzy publicznie zasygnalizowali chęć dokonania zakupów w tych kluczowych sektorach, a także działaniami ukierunkowanymi na konkurentów tych przedsiębiorstw;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45.</w:t>
      </w:r>
      <w:r w:rsidRPr="00F11C7E">
        <w:tab/>
      </w:r>
      <w:proofErr w:type="gramStart"/>
      <w:r w:rsidRPr="00F11C7E">
        <w:t>przypomina</w:t>
      </w:r>
      <w:proofErr w:type="gramEnd"/>
      <w:r w:rsidRPr="00F11C7E">
        <w:t xml:space="preserve">, że w zakresie stosowania Traktatów wszelka dyskryminacja ze względu na przynależność państwową jest zakazana zgodnie z </w:t>
      </w:r>
      <w:r w:rsidR="00805512">
        <w:t>kartą</w:t>
      </w:r>
      <w:r w:rsidRPr="00F11C7E">
        <w:t xml:space="preserve"> oraz że swoboda przedsiębiorczości, swoboda świadczenia usług i swoboda przepływu kapitału maja podstawowe znaczenie dla jednolitego rynku; podkreśla, że przepisy dotyczące równego traktowania zakazują jawnej i ukrytej dyskryminacji ze względu na przynależność państwową lub, w przypadku przedsiębiorstwa, siedzibę; podkreśla, że właściwe wdrożenie zasad konkurencji i zamówień publicznych leży również w interesie węgierskich przedsiębiorstw;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46.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wszystkie państwa członkowskie, by dowiodły swojego zobowiązania do zachowania praworządności przed społecznością międzynarodową oraz dokładnie i spójnie wdrożyły wszystkie przyjęte unijne środki ograniczające; wzywa Komisję do uważnego monitorowania tych działań;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>Przestrzeń społeczeństwa obywatelskiego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47.</w:t>
      </w:r>
      <w:r w:rsidRPr="00F11C7E">
        <w:tab/>
      </w:r>
      <w:proofErr w:type="gramStart"/>
      <w:r w:rsidRPr="00F11C7E">
        <w:t>uznaje</w:t>
      </w:r>
      <w:proofErr w:type="gramEnd"/>
      <w:r w:rsidRPr="00F11C7E">
        <w:t xml:space="preserve"> kluczową rolę społeczeństwa obywatelskiego i zdrowej przestrzeni obywatelskiej w utrzymywaniu i ochronie praworządności oraz ponawia swój apel o poświęcenie osobnego rozdziału sytuacji społeczeństwa obywatelskiego w państwach członkowskich; zauważa, że według Komisji Malta, Irlandia, Bułgaria, Litwa i Niemcy ogłosiły lub rozpoczęły działania na rzecz poprawy ram dotyczących społeczeństwa obywatelskiego oraz że społeczeństwo obywatelskie stoi w obliczu szczególnych wyzwań na Cyprze, w Grecji, w Hiszpanii, we Włoszech i we Francji, a w obliczu stałych autorytarnych i poważnych ograniczeń systemowych na Węgrzech i w Polsce</w:t>
      </w:r>
      <w:r w:rsidR="00CC0AE4">
        <w:t xml:space="preserve"> </w:t>
      </w:r>
      <w:r w:rsidR="00CC0AE4" w:rsidRPr="00BA135F">
        <w:t>za poprzedniego rządu pod przewodnictwem Prawa i Sprawiedliwości</w:t>
      </w:r>
      <w:r w:rsidRPr="00BA135F">
        <w:t>;</w:t>
      </w:r>
      <w:bookmarkStart w:id="10" w:name="_GoBack"/>
      <w:bookmarkEnd w:id="10"/>
      <w:r w:rsidRPr="00F11C7E">
        <w:t xml:space="preserve"> wzywa wszystkie państwa członkowskie, aby zaakceptowały organizacje społeczeństwa obywatelskiego </w:t>
      </w:r>
      <w:proofErr w:type="gramStart"/>
      <w:r w:rsidRPr="00F11C7E">
        <w:t>jako</w:t>
      </w:r>
      <w:proofErr w:type="gramEnd"/>
      <w:r w:rsidRPr="00F11C7E">
        <w:t xml:space="preserve"> ważne zainteresowane strony w życiu demokratycznym oraz stworzyły sprzyjające warunki dla społeczeństwa obywatelskiego;</w:t>
      </w:r>
    </w:p>
    <w:p w:rsidR="00D7295C" w:rsidRPr="00F11C7E" w:rsidRDefault="00D7295C" w:rsidP="00D7295C">
      <w:pPr>
        <w:pStyle w:val="NormalHanging12a"/>
      </w:pPr>
      <w:r w:rsidRPr="00F11C7E">
        <w:t>48.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Komisję, aby nadal inwestowała, z wykorzystaniem specjalnych środków finansowych, w budowanie zdolności organizacji społeczeństwa obywatelskiego do monitorowania stanu praworządności w państwach członkowskich i do sprawozdawczości na ten temat, np. za pośrednictwem programu „Obywatele, równość, prawa i wartości”, i aby zapewniła odpowiednią ochronę organizacjom społeczeństwa obywatelskiego zaangażowanym w ten proces; z zaniepokojeniem odnotowuje, że stronniczy podział finansowania w niektórych państwach wpływa na organizacje społeczeństwa obywatelskiego propagujące prawa słabszych grup społecznych lub działające ogólnie na rzecz spraw, na które rządy nie przeznaczają wsparcia; zachęca do dogłębnej oceny tych kwestii we wszystkich państwach objętych zakresem sprawozdania i podkreśla, że należy opracować zalecenia </w:t>
      </w:r>
      <w:proofErr w:type="gramStart"/>
      <w:r w:rsidRPr="00F11C7E">
        <w:t>dla</w:t>
      </w:r>
      <w:proofErr w:type="gramEnd"/>
      <w:r w:rsidRPr="00F11C7E">
        <w:t xml:space="preserve"> poszczególnych krajów dotyczące tych kwestii; wzywa Komisję, aby rozważyła bezpośrednie zarządzanie funduszami UE, tak by zagwarantować, że kwalifikujący się beneficjenci, w tym organizacje społeczeństwa obywatelskiego, przedsiębiorstwa i organy lokalne, otrzymają przeznaczone dla nich unijne środki finansowe;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49.</w:t>
      </w:r>
      <w:r w:rsidRPr="00F11C7E">
        <w:tab/>
        <w:t>z zadowoleniem przyjmuje wniosek Komisji dotyczący dyrektywy w sprawie europejskich stowarzyszeń transgranicznych (COM</w:t>
      </w:r>
      <w:proofErr w:type="gramStart"/>
      <w:r w:rsidRPr="00F11C7E">
        <w:t>(2023)0516) oraz</w:t>
      </w:r>
      <w:proofErr w:type="gramEnd"/>
      <w:r w:rsidRPr="00F11C7E">
        <w:t xml:space="preserve"> zobowiązuje się do priorytetowego traktowania jej przyjęcia; apeluje ponadto do Komisji, aby ustanowiła strategię przewidującą minimalne normy ochrony organizacji społeczeństwa obywatelskiego we wszystkich państwach członkowskich, tak by promować środowisko regulacyjne i polityczne wolne od zagrożeń i ataków oraz zapewniać tym organizacjom zrównoważony i niedyskryminacyjny dostęp do zasobów, a zarazem wspierać i promować ich zaangażowanie w dialog obywatelski i udział w kształtowaniu polityki;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50.</w:t>
      </w:r>
      <w:r w:rsidRPr="00F11C7E">
        <w:tab/>
      </w:r>
      <w:proofErr w:type="gramStart"/>
      <w:r w:rsidRPr="00F11C7E">
        <w:t>jest</w:t>
      </w:r>
      <w:proofErr w:type="gramEnd"/>
      <w:r w:rsidRPr="00F11C7E">
        <w:t xml:space="preserve"> głęboko zaniepokojony zapowiedzianymi przez rząd Słowacji planami przyjęcia przepisów, które osłabiłyby przestrzeń społeczeństwa obywatelskiego, w tym przez ograniczenie pracy organizacji pozarządowych i stygmatyzację organizacji otrzymujących finansowanie z zagranicy;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51.</w:t>
      </w:r>
      <w:r w:rsidRPr="00F11C7E">
        <w:tab/>
      </w:r>
      <w:proofErr w:type="gramStart"/>
      <w:r w:rsidRPr="00F11C7E">
        <w:t>ubolewa</w:t>
      </w:r>
      <w:proofErr w:type="gramEnd"/>
      <w:r w:rsidRPr="00F11C7E">
        <w:t>, że w ostatnich latach dochodzi do stałego pogorszenia sytuacji obrońców praw człowieka w UE; wzywa Komisję i państwa członkowskie, aby podjęły niezbędne środki w celu zapewnienia obrońcom praw człowieka możliwości pracy wolnej od przeszkód i niepewności;</w:t>
      </w:r>
    </w:p>
    <w:p w:rsidR="00D7295C" w:rsidRPr="00F11C7E" w:rsidRDefault="00D7295C" w:rsidP="00D7295C">
      <w:pPr>
        <w:pStyle w:val="NormalHanging12a"/>
        <w:ind w:left="0" w:firstLine="0"/>
        <w:rPr>
          <w:b/>
          <w:i/>
          <w:szCs w:val="24"/>
        </w:rPr>
      </w:pPr>
      <w:r w:rsidRPr="00F11C7E">
        <w:rPr>
          <w:b/>
          <w:i/>
        </w:rPr>
        <w:t>Legalne użycie siły przez policję zgodnie z zasadami praworządności, a także wolność słowa i pokojowych zgromadzeń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52.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egzekwowanie prawa odgrywa zasadniczą rolę w utrzymywaniu praworządności, stwarzaniu bezpiecznego środowiska dla ludzi i umożliwianiu im korzystania z praw podstawowych; ubolewa, że zgodnie ze sprawozdaniem Komisji na temat praworządności z 2023 r. w wielu państwach członkowskich, w tym w Belgii, na Cyprze, w Portugalii i w Słowacji, organy ścigania nie dysponują wystarczającymi zasobami, aby skutecznie wykonywać obowiązki, takie jak walka z korupcją; wzywa państwa członkowskie do zapewnienia policji i innym organom ścigania odpowiedniego finansowania, szkolenia i zasobów kadrowych;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53.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>, że uprawnienie do użycia siły należy traktować z ogromną ostrożnością, i podkreśla, że państwa członkowskie muszą zapewniać, by policja używała siły tylko wówczas, gdy jest to zdecydowanie konieczne i tylko w zakresie wymaganym do osiągnięcia uzasadnionego celu; przypomina, że policja musi wykonywać swoje zadania zgodnie z zasadą bezstronności i niedyskryminacji; wzywa państwa członkowskie do prowadzenia wnikliwych dochodzeń w sprawach nadmiernego użycia siły lub dyskryminacyjnego traktowania przez organy ścigania oraz zapewnienia gwarancji systemowych przeciwko takim nadużyciom;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54.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państwa członkowskie do uwzględniania kodeksu etyki policyjnej Rady Europy w tym zakresie; uważa, że funkcjonariusze policji powinni być przeszkoleni w zakresie stosowania alternatywnych praktyk utrzymywania porządku publicznego, które nie zagrażają życiu manifestantów ani zatrzymanych; wzywa państwa członkowskie, aby w oparciu o normy, zalecenia i wytyczne ONZ opracowały </w:t>
      </w:r>
      <w:proofErr w:type="spellStart"/>
      <w:r w:rsidRPr="00F11C7E">
        <w:t>ogólnounijne</w:t>
      </w:r>
      <w:proofErr w:type="spellEnd"/>
      <w:r w:rsidRPr="00F11C7E">
        <w:t xml:space="preserve"> wytyczne dotyczące przejrzystego, niezależnego i spójnego procesu wyboru, testowania i wypróbowywania broni używanej przez funkcjonariuszy organów ścigania; zauważa, że w ocenie tej należałoby określić zgodność z międzynarodowymi normami i prawem w zakresie praw człowieka przed rozpoczęciem procesu wyboru i rozmieszczenia; wzywa państwa członkowskie, aby gromadziły dane dotyczące wszystkich przypadków użycia siły, </w:t>
      </w:r>
      <w:proofErr w:type="gramStart"/>
      <w:r w:rsidRPr="00F11C7E">
        <w:t>tak</w:t>
      </w:r>
      <w:proofErr w:type="gramEnd"/>
      <w:r w:rsidRPr="00F11C7E">
        <w:t xml:space="preserve"> by umożliwić dokumentowanie używania i nadużywania siły, jego nieoczekiwanych konsekwencji, a także przypadków obrażeń i śmierci oraz ich przyczyn; z zaniepokojeniem odnotowuje stosowanie nadmiernej siły przez organy ścigania we Francji; podkreśla, że francuska policja jest mocniej uzbrojona niż większość sił policyjnych w UE; wyraża zaniepokojenie faktem, że organy ścigania we Francji prowadzą również arbitralne zatrzymania manifestantów, co stanowi naruszenie ich prawa do wolności, gdyż większość zatrzymanych jest zwalnianych w ciągu kilku godzin bez jakichkolwiek zarzutów;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55.</w:t>
      </w:r>
      <w:r w:rsidRPr="00F11C7E">
        <w:tab/>
      </w:r>
      <w:proofErr w:type="gramStart"/>
      <w:r w:rsidRPr="00F11C7E">
        <w:t>z</w:t>
      </w:r>
      <w:proofErr w:type="gramEnd"/>
      <w:r w:rsidRPr="00F11C7E">
        <w:t xml:space="preserve"> głębokim zaniepokojeniem odnotowuje, że w całej UE nadal zgłaszane są liczne przypadki nieproporcjonalnego użycia siły przeciwko pokojowym manifestantom, w tym ich pobicia; zauważa, że organy ścigania w niektórych państwach członkowskich coraz częściej używają „broni nieśmiercionośnej” do kontrolowania lub rozpraszania manifestantów, w wyniku czego wiele osób w ostatnich latach odniosło poważne rany, dlatego konieczne są jasne wytyczne dotyczące stosowania tej broni;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56.</w:t>
      </w:r>
      <w:r w:rsidRPr="00F11C7E">
        <w:tab/>
      </w:r>
      <w:proofErr w:type="gramStart"/>
      <w:r w:rsidRPr="00F11C7E">
        <w:t>uważa</w:t>
      </w:r>
      <w:proofErr w:type="gramEnd"/>
      <w:r w:rsidRPr="00F11C7E">
        <w:t xml:space="preserve">, że w niektórych miejscach w UE warunki dotyczące wolności wypowiedzi i zgromadzeń są niepokojące; zaznacza, że ograniczenia prawa do pokojowych zgromadzeń nie mogą co do zasady opierać się na treści przekazu uczestników protestu, gdyż prawo do pokojowych zgromadzeń jest ściśle powiązane z prawem do wolności wypowiedzi, z wyjątkiem zgromadzeń mających na celu podżeganie do przemocy; nalega, by ustawy i praktyki dotyczące zgromadzeń zawsze były zgodne z międzynarodowymi standardami praw człowieka dotyczącymi wolności zgromadzeń i działań policyjnych wobec demonstracji, łącznie z zapewnianiem gruntownych szkoleń dotyczących praw człowieka dla funkcjonariuszy policji; wzywa państwa członkowskie, aby nie przyjmowały ustaw lub praktyk, które </w:t>
      </w:r>
      <w:proofErr w:type="gramStart"/>
      <w:r w:rsidRPr="00F11C7E">
        <w:t>w</w:t>
      </w:r>
      <w:proofErr w:type="gramEnd"/>
      <w:r w:rsidRPr="00F11C7E">
        <w:t xml:space="preserve"> sposób prewencyjny ograniczałyby prawo do pokojowego zgromadzania się lub penalizowałyby demonstrantów z wyprzedzeniem bez nadzoru sądowego;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57.</w:t>
      </w:r>
      <w:r w:rsidRPr="00F11C7E">
        <w:tab/>
      </w:r>
      <w:proofErr w:type="gramStart"/>
      <w:r w:rsidRPr="00F11C7E">
        <w:t>wyraża</w:t>
      </w:r>
      <w:proofErr w:type="gramEnd"/>
      <w:r w:rsidRPr="00F11C7E">
        <w:t xml:space="preserve"> głębokie zaniepokojenie licznymi przypadkami, w których policja nadużywała siły wobec grup mniejszościowych, np. Romów, do czego dochodziło w różnych państwach członkowskich; wzywa władze państw członkowskich, aby w pełni i niezależnie zbadały wszystkie takie przypadki; z głębokim zaniepokojeniem odnotowuje, że w ciągu trzech lat w Grecji zabitych zostało trzech młodych Romów i że nie przeprowadzono szczegółowych dochodzeń w tych sprawach;</w:t>
      </w:r>
    </w:p>
    <w:p w:rsidR="00D7295C" w:rsidRPr="00F11C7E" w:rsidRDefault="00D7295C" w:rsidP="00D7295C">
      <w:pPr>
        <w:pStyle w:val="NormalHanging12a"/>
        <w:rPr>
          <w:b/>
          <w:i/>
          <w:szCs w:val="24"/>
        </w:rPr>
      </w:pPr>
      <w:r w:rsidRPr="00F11C7E">
        <w:rPr>
          <w:b/>
          <w:i/>
        </w:rPr>
        <w:t>Równość, niedyskryminacja i pluralizm</w:t>
      </w:r>
    </w:p>
    <w:p w:rsidR="00D7295C" w:rsidRPr="00F11C7E" w:rsidRDefault="00D7295C" w:rsidP="00D7295C">
      <w:pPr>
        <w:pStyle w:val="NormalHanging12a"/>
      </w:pPr>
      <w:r w:rsidRPr="00F11C7E">
        <w:t>58.</w:t>
      </w:r>
      <w:r w:rsidRPr="00F11C7E">
        <w:tab/>
      </w:r>
      <w:proofErr w:type="gramStart"/>
      <w:r w:rsidRPr="00F11C7E">
        <w:t>zauważa</w:t>
      </w:r>
      <w:proofErr w:type="gramEnd"/>
      <w:r w:rsidRPr="00F11C7E">
        <w:t>, że erozja demokracji i praworządności oraz podważanie praw mniejszości często idą w parze, i ponownie podkreśla, że w przyszłych sprawozdaniach potrzebne jest kompleksowe podejście do monitorowania demokracji, praworządności i praw podstawowych; ubolewa nad brakiem postępów w zakresie ochrony mniejszości w całej UE; potępia mowę nienawiści wobec grup mniejszościowych, w tym ze strony osób urzędników państwowych i osób pełniących funkcje polityczne;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59.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trzeba zwalczać wszelkiego rodzaju dyskryminację, mowę nienawiści i przestępstwa ukierunkowane konkretnie na grupy mniejszościowe oraz członków mniejszości narodowych, etnicznych, językowych i religijnych; wzywa Komisję, aby w następnym sprawozdaniu uwzględniła nowy specjalny filar dotyczący tej sprawy, obejmujący wszystkie formy ksenofobii, rasizmu, antysemityzmu, islamofobii, </w:t>
      </w:r>
      <w:proofErr w:type="spellStart"/>
      <w:r w:rsidRPr="00F11C7E">
        <w:t>antycyganizmu</w:t>
      </w:r>
      <w:proofErr w:type="spellEnd"/>
      <w:r w:rsidRPr="00F11C7E">
        <w:t>, fobii wobec osób LGBTIQ, mowy nienawiści i dyskryminacji we wszystkich państwach członkowskich;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60.</w:t>
      </w:r>
      <w:r w:rsidRPr="00F11C7E">
        <w:tab/>
      </w:r>
      <w:proofErr w:type="gramStart"/>
      <w:r w:rsidRPr="00F11C7E">
        <w:t>jest</w:t>
      </w:r>
      <w:proofErr w:type="gramEnd"/>
      <w:r w:rsidRPr="00F11C7E">
        <w:t xml:space="preserve"> zaniepokojony niedawnym gwałtownym wzrostem antysemityzmu, w tym aktami przemocy, zastraszaniem i symbolami nienawiści eksponowanymi w przestrzeni publicznej;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61.</w:t>
      </w:r>
      <w:r w:rsidRPr="00F11C7E">
        <w:tab/>
      </w:r>
      <w:proofErr w:type="gramStart"/>
      <w:r w:rsidRPr="00F11C7E">
        <w:t>jest</w:t>
      </w:r>
      <w:proofErr w:type="gramEnd"/>
      <w:r w:rsidRPr="00F11C7E">
        <w:t xml:space="preserve"> również zaniepokojony poziomem islamofobii w UE, w tym kampaniami oszczerstw i dezinformacją;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62.</w:t>
      </w:r>
      <w:r w:rsidRPr="00F11C7E">
        <w:tab/>
      </w:r>
      <w:proofErr w:type="gramStart"/>
      <w:r w:rsidRPr="00F11C7E">
        <w:t>wyraża</w:t>
      </w:r>
      <w:proofErr w:type="gramEnd"/>
      <w:r w:rsidRPr="00F11C7E">
        <w:t xml:space="preserve"> rozczarowanie powolnym rozwiązywaniem przez Komisję problemu nieprzestrzegania przez państwa członkowskie przepisów i orzeczeń dotyczących praw podstawowych; apeluje do Komisji, która stoi na straży Traktatów, aby wywiązywała się z obowiązku egzekwowania prawa UE dotyczącego praw człowieka i nie polegała tylko na występowaniu do sądów przez samych obywateli domagających się stosowania prawa UE; zaleca Komisji, aby w szczególności podejmowała działania w związku z niewykonywaniem wyroków TSUE na podstawie art. 260 ust. 2 TFUE i rozporządzenia dotyczącego warunkowości w zakresie praworządności, w przypadkach nieprzestrzegania prawa;</w:t>
      </w:r>
    </w:p>
    <w:p w:rsidR="00D7295C" w:rsidRPr="00F11C7E" w:rsidRDefault="00D7295C" w:rsidP="00D7295C">
      <w:pPr>
        <w:pStyle w:val="NormalHanging12a"/>
      </w:pPr>
      <w:r w:rsidRPr="00F11C7E">
        <w:t>63.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państwa członkowskie UE, aby uczyniły ochronę praw osób LGBTIQ+ rzeczywistym i przekrojowym priorytetem we wszystkich obszarach polityki; wzywa Komisję, aby wykorzystała wszelkie dostępne środki w celu zapewnienia poszanowania praw osób LGBTIQ w całej UE, w tym wszczynała przeciwko państwom członkowskim postępowania w sprawie uchybienia zobowiązaniom państwa członkowskiego; wzywa państwa członkowskie, aby uwzględniły 12 zaleceń Komitetu Sterującego Rady Europy ds. Walki z Dyskryminacją, Różnorodności i Włączenia Społecznego dotyczących zwalczania przestępstw z nienawiści przeciwko osobom LGBTIQ+, a także zalecenia Europejskiej Komisji przeciwko Rasizmowi i Nietolerancji</w:t>
      </w:r>
      <w:r w:rsidRPr="00F11C7E">
        <w:rPr>
          <w:vertAlign w:val="superscript"/>
        </w:rPr>
        <w:footnoteReference w:id="47"/>
      </w:r>
      <w:r w:rsidRPr="00F11C7E">
        <w:t xml:space="preserve">; odnotowuje niedawny rumuński projekt ustawy mający na celu zastosowanie się do wyroku TSUE w sprawie </w:t>
      </w:r>
      <w:proofErr w:type="spellStart"/>
      <w:r w:rsidRPr="00F11C7E">
        <w:t>Coman</w:t>
      </w:r>
      <w:proofErr w:type="spellEnd"/>
      <w:r w:rsidRPr="00F11C7E">
        <w:t xml:space="preserve"> z 2018 </w:t>
      </w:r>
      <w:proofErr w:type="gramStart"/>
      <w:r w:rsidRPr="00F11C7E">
        <w:t>r</w:t>
      </w:r>
      <w:proofErr w:type="gramEnd"/>
      <w:r w:rsidRPr="00F11C7E">
        <w:t>.</w:t>
      </w:r>
      <w:r w:rsidRPr="00F11C7E">
        <w:rPr>
          <w:vertAlign w:val="superscript"/>
        </w:rPr>
        <w:footnoteReference w:id="48"/>
      </w:r>
      <w:r w:rsidRPr="00F11C7E">
        <w:t>, a także odnotowuje, że ten projekt ustawy krytykowano za to, że wykonuje ten wyrok jedynie bardzo wąsko i nie gwarantuje równych praw parom osób tej samej płci</w:t>
      </w:r>
      <w:r w:rsidRPr="00F11C7E">
        <w:rPr>
          <w:vertAlign w:val="superscript"/>
        </w:rPr>
        <w:footnoteReference w:id="49"/>
      </w:r>
      <w:r w:rsidRPr="00F11C7E">
        <w:t>; wzywa wszystkie inne państwa członkowskie, które nie uznają prawnie związków osób tej samej płci, takie jak Bułgaria, Litwa, Polska, Rumunia i Słowacja, aby zagwarantowały prawną możliwość zawierania takich związków;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64.</w:t>
      </w:r>
      <w:r w:rsidRPr="00F11C7E">
        <w:tab/>
      </w:r>
      <w:proofErr w:type="gramStart"/>
      <w:r w:rsidRPr="00F11C7E">
        <w:t>głęboko</w:t>
      </w:r>
      <w:proofErr w:type="gramEnd"/>
      <w:r w:rsidRPr="00F11C7E">
        <w:t xml:space="preserve"> ubolewa, że w niektórych państwach członkowskich nadal nie jest możliwe prawne uzgodnienie płci poprzez zmianę aktu stanu cywilnego; ubolewa, że rząd Bułgarii nie podejmuje wysiłków, by opracować wiarygodny plan działania w celu wykonania wyroku Europejskiego Trybunału Praw Człowieka z dnia 9 lipca 2020 r. w sprawie Y.T. przeciwko Bułgarii; przypomina, że Bułgarii ciągle nie wykonała wyroku TSUE w sprawie Sary (C-490/20);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65.</w:t>
      </w:r>
      <w:r w:rsidRPr="00F11C7E">
        <w:tab/>
      </w:r>
      <w:proofErr w:type="gramStart"/>
      <w:r w:rsidRPr="00F11C7E">
        <w:t>wzywa</w:t>
      </w:r>
      <w:proofErr w:type="gramEnd"/>
      <w:r w:rsidRPr="00F11C7E">
        <w:t xml:space="preserve"> do włączenia względów orientacji seksualnej, tożsamości płciowej, ekspresji płciowej i cech płciowych do unijnych ram prawnych przeciwdziałania dyskryminacji, w oparciu o szeroką interpretację względów orientacji seksualnej i płci oraz zasadę równości kobiet i mężczyzn ustanowioną w Traktatach; zauważa, że zagwarantuje to wszystkim obywatelom Unii pewność prawa i kompleksowość ochrony oraz że ta interpretacja została już uzgodniona przez </w:t>
      </w:r>
      <w:proofErr w:type="spellStart"/>
      <w:r w:rsidRPr="00F11C7E">
        <w:t>współprawodawców</w:t>
      </w:r>
      <w:proofErr w:type="spellEnd"/>
      <w:r w:rsidRPr="00F11C7E">
        <w:t xml:space="preserve"> we wniosku dotyczącym dyrektywy w sprawie norm dla organów ds. równości w dziedzinie równego traktowania i równości szans kobiet i mężczyzn w zakresie zatrudnienia i pracy (COM(2022)0688);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66.</w:t>
      </w:r>
      <w:r w:rsidRPr="00F11C7E">
        <w:tab/>
        <w:t>domaga się europejskiego zakazu „praktyk konwersyjnych”; domaga się zakazu okaleczania narządów płciowych, którego doświadczają również osoby interseksualne; domaga się zakazu przymusowych aborcji i przymusowej sterylizacji, które stanowią formę przemocy ze względu na płeć i szczególnie dotykają osoby z niepełnosprawnościami; podkreśla znaczenie poszanowania samostanowienia i autonomii oraz promowania zdrowia fizycznego i psychicznego osób LGBTIQ+; podkreśla, że zgodnie ze stanowiskiem Parlamentu w sprawie wniosku dotyczącego dyrektywy w sprawie zwalczania przemocy wobec kobiet i przemocy domowej (COM</w:t>
      </w:r>
      <w:proofErr w:type="gramStart"/>
      <w:r w:rsidRPr="00F11C7E">
        <w:t>(2022)0105) do</w:t>
      </w:r>
      <w:proofErr w:type="gramEnd"/>
      <w:r w:rsidRPr="00F11C7E">
        <w:t xml:space="preserve"> wykazu przestępstw zwalczanych na szczeblu UE należy dodać okaleczanie żeńskich narządów płciowych, okaleczanie narządów płciowych osób interseksualnych i przymusową sterylizację;</w:t>
      </w:r>
    </w:p>
    <w:p w:rsidR="00D7295C" w:rsidRPr="00F11C7E" w:rsidRDefault="00D7295C" w:rsidP="00D7295C">
      <w:pPr>
        <w:pStyle w:val="NormalHanging12a"/>
      </w:pPr>
      <w:r w:rsidRPr="00F11C7E">
        <w:t>67.</w:t>
      </w:r>
      <w:r w:rsidRPr="00F11C7E">
        <w:tab/>
      </w:r>
      <w:proofErr w:type="gramStart"/>
      <w:r w:rsidRPr="00F11C7E">
        <w:t>ponownie</w:t>
      </w:r>
      <w:proofErr w:type="gramEnd"/>
      <w:r w:rsidRPr="00F11C7E">
        <w:t xml:space="preserve"> podkreśla, że prawa kobiet są prawami człowieka i że nic nie uzasadnia regresu praw i autonomii kobiet; potępia w szczególności atak na zdrowie seksualne i reprodukcyjne oraz prawa kobiet i dziewcząt w niektórych państwach członkowskich; uważa, że prawo do bezpiecznej i legalnej aborcji powinno być zapisane w </w:t>
      </w:r>
      <w:r w:rsidR="00805512">
        <w:t>karcie</w:t>
      </w:r>
      <w:r w:rsidRPr="00F11C7E">
        <w:t>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68.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przemoc ze względu na płeć, zarówno w </w:t>
      </w:r>
      <w:proofErr w:type="spellStart"/>
      <w:r w:rsidRPr="00F11C7E">
        <w:t>internecie</w:t>
      </w:r>
      <w:proofErr w:type="spellEnd"/>
      <w:r w:rsidRPr="00F11C7E">
        <w:t xml:space="preserve">, jak i poza nim, jest szczególnie poważnym przestępstwem i powszechnie występującym pogwałceniem praw podstawowych i wolności w Unii, któremu należy skuteczniej i z większą determinacją przeciwdziałać w oparciu o wspólną podstawę; podkreśla, że przemoc ze względu na płeć jest wynikiem mających wymiar transgraniczny społecznych i systemowych różnic w traktowaniu kobiet i mężczyzn; zwraca w szczególności uwagę na rosnącą liczbę dobrze zorganizowanych i mających charakter transgraniczny ruchów </w:t>
      </w:r>
      <w:proofErr w:type="spellStart"/>
      <w:r w:rsidRPr="00F11C7E">
        <w:t>antygenderowych</w:t>
      </w:r>
      <w:proofErr w:type="spellEnd"/>
      <w:r w:rsidRPr="00F11C7E">
        <w:t xml:space="preserve">, antyfeministycznych i skierowanych przeciw osobom LGBTIQ+; uważa ponadto, że wymiar transgraniczny cyberprzemocy ze względu na płeć oraz ogromne skutki indywidualne, gospodarcze i społeczne </w:t>
      </w:r>
      <w:proofErr w:type="gramStart"/>
      <w:r w:rsidRPr="00F11C7E">
        <w:t>przemocy</w:t>
      </w:r>
      <w:proofErr w:type="gramEnd"/>
      <w:r w:rsidRPr="00F11C7E">
        <w:t xml:space="preserve"> ze względu na płeć we wszystkich państwach członkowskich potwierdzają potrzebę zwalczania przemocy ze względu na płeć w jej wielu wymiarach w oparciu o wspólną unijną podstawę;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69.</w:t>
      </w:r>
      <w:r w:rsidRPr="00F11C7E">
        <w:tab/>
      </w:r>
      <w:proofErr w:type="gramStart"/>
      <w:r w:rsidRPr="00F11C7E">
        <w:t>podkreśla</w:t>
      </w:r>
      <w:proofErr w:type="gramEnd"/>
      <w:r w:rsidRPr="00F11C7E">
        <w:t xml:space="preserve">, że brak wspólnego trybu zwalczania przemocy wobec kobiet i dziewcząt oraz innych form przemocy ze względu na płeć wynika również z braku minimalnych zasad dotyczących definicji przestępstw i kar; zauważa, że obejmuje to wspólną definicję przemocy ze względu na płeć oraz minimalne zasady dotyczące kluczowych kwestii takich jak zapobieganie, niski poziom zgłaszania, ochrona i wspieranie ofiar oraz zadośćuczynienia dla ofiar, a także ściganie sprawców; podkreśla, że przyjęte podejścia i poziomy zaangażowania państw członkowskich w zapobieganie przemocy ze względu na płeć i jej zwalczania znacznie się różnią, w związku z czym wspólne podejście przyczyniłoby się również do ścigania przestępstw w </w:t>
      </w:r>
      <w:proofErr w:type="gramStart"/>
      <w:r w:rsidRPr="00F11C7E">
        <w:t>operacjach</w:t>
      </w:r>
      <w:proofErr w:type="gramEnd"/>
      <w:r w:rsidRPr="00F11C7E">
        <w:t xml:space="preserve"> transgranicznych;</w:t>
      </w:r>
    </w:p>
    <w:p w:rsidR="00D7295C" w:rsidRPr="00F11C7E" w:rsidRDefault="00D7295C" w:rsidP="00D7295C">
      <w:pPr>
        <w:pStyle w:val="NormalHanging12a"/>
        <w:rPr>
          <w:szCs w:val="24"/>
        </w:rPr>
      </w:pPr>
      <w:r w:rsidRPr="00F11C7E">
        <w:t>70.</w:t>
      </w:r>
      <w:r w:rsidRPr="00F11C7E">
        <w:tab/>
      </w:r>
      <w:proofErr w:type="gramStart"/>
      <w:r w:rsidRPr="00F11C7E">
        <w:t>uważa</w:t>
      </w:r>
      <w:proofErr w:type="gramEnd"/>
      <w:r w:rsidRPr="00F11C7E">
        <w:t>, że wprawdzie krajowe ordynacje wyborcze nie podlegają kompetencji Unii, jednak wszystkie organy wybieralne w Unii Europejskiej powinny reprezentować zróżnicowane głosy elektoratu; wyraża głębokie zaniepokojenie niektórymi systemami wyborczymi w całej Unii, które tłumią pluralizm, np. przez wprowadzenie wysokiego progu wyborczego; zachęca do krajowych reform wyborczych w przypadkach, w których duże części ludności nie są reprezentowane;</w:t>
      </w:r>
    </w:p>
    <w:p w:rsidR="00D7295C" w:rsidRDefault="00D7295C" w:rsidP="00D7295C">
      <w:pPr>
        <w:pStyle w:val="NormalHanging12a"/>
      </w:pPr>
      <w:r w:rsidRPr="00F11C7E">
        <w:t>71.</w:t>
      </w:r>
      <w:r w:rsidRPr="00F11C7E">
        <w:tab/>
      </w:r>
      <w:proofErr w:type="gramStart"/>
      <w:r w:rsidRPr="00F11C7E">
        <w:t>głęboko</w:t>
      </w:r>
      <w:proofErr w:type="gramEnd"/>
      <w:r w:rsidRPr="00F11C7E">
        <w:t xml:space="preserve"> ubolewa nad licznymi przypadkami śmierci uchodźców i migrantów na morzu, którzy często są ofiarami handlu ludźmi oraz doświadczają nieludzkiego i poniżającego traktowania bez poszanowania ich bezpieczeństwa lub praw podstawowych; przypomina państwom członkowskim, że na mocy międzynarodowego prawa morskiego spoczywa na nich obowiązek udzielania pomocy osobom znajdującym się w niebezpieczeństwie, i wzywa do ustanowienia kompleksowej unijnej misji poszukiwawczo-ratowniczej realizowanej przez właściwe organy państw członkowskich i </w:t>
      </w:r>
      <w:proofErr w:type="spellStart"/>
      <w:r w:rsidRPr="00F11C7E">
        <w:t>Frontex</w:t>
      </w:r>
      <w:proofErr w:type="spellEnd"/>
      <w:r w:rsidRPr="00F11C7E">
        <w:t xml:space="preserve">; odnotowuje pracę </w:t>
      </w:r>
      <w:proofErr w:type="spellStart"/>
      <w:r w:rsidRPr="00F11C7E">
        <w:t>Frontexu</w:t>
      </w:r>
      <w:proofErr w:type="spellEnd"/>
      <w:r w:rsidRPr="00F11C7E">
        <w:t xml:space="preserve"> i jego urzędnika ds. praw podstawowych, a także Agencji UE ds. Azylu; zaznacza, że potrzebny jest skutecznego unijny system azylowy respektujący prawa człowieka; odnotowuje postęp w odniesieniu do nowego paktu o </w:t>
      </w:r>
      <w:proofErr w:type="gramStart"/>
      <w:r w:rsidRPr="00F11C7E">
        <w:t>migracji</w:t>
      </w:r>
      <w:proofErr w:type="gramEnd"/>
      <w:r w:rsidRPr="00F11C7E">
        <w:t xml:space="preserve"> i azylu, umożliwiający jego przyjęcie przed końcem obecnej kadencji parlamentarnej;</w:t>
      </w:r>
    </w:p>
    <w:p w:rsidR="00CC0AE4" w:rsidRPr="00F11C7E" w:rsidRDefault="00CC0AE4" w:rsidP="00D7295C">
      <w:pPr>
        <w:pStyle w:val="NormalHanging12a"/>
        <w:rPr>
          <w:szCs w:val="24"/>
        </w:rPr>
      </w:pPr>
      <w:r>
        <w:rPr>
          <w:szCs w:val="24"/>
        </w:rPr>
        <w:t>72</w:t>
      </w:r>
      <w:r w:rsidRPr="00CC0AE4">
        <w:rPr>
          <w:szCs w:val="24"/>
        </w:rPr>
        <w:t>.</w:t>
      </w:r>
      <w:r w:rsidRPr="00CC0AE4">
        <w:rPr>
          <w:szCs w:val="24"/>
        </w:rPr>
        <w:tab/>
      </w:r>
      <w:proofErr w:type="gramStart"/>
      <w:r w:rsidRPr="00CC0AE4">
        <w:rPr>
          <w:szCs w:val="24"/>
        </w:rPr>
        <w:t>z</w:t>
      </w:r>
      <w:proofErr w:type="gramEnd"/>
      <w:r w:rsidRPr="00CC0AE4">
        <w:rPr>
          <w:szCs w:val="24"/>
        </w:rPr>
        <w:t xml:space="preserve"> zadowoleniem przyjmuje fakt, że 15 lutego 2024 r. Grecja stała się szesnastym krajem </w:t>
      </w:r>
      <w:r>
        <w:rPr>
          <w:szCs w:val="24"/>
        </w:rPr>
        <w:t>członkowskim</w:t>
      </w:r>
      <w:r w:rsidRPr="00CC0AE4">
        <w:rPr>
          <w:szCs w:val="24"/>
        </w:rPr>
        <w:t>, który ustanowił przepisy dotyczące równości małżeńskiej: grecki parlament przyjął przełomową ustawę legalizującą małżeństwa osób tej samej płci i przyznającą pełne prawa rodzicielskie parom tej samej płci;</w:t>
      </w:r>
    </w:p>
    <w:p w:rsidR="00D7295C" w:rsidRPr="00F11C7E" w:rsidRDefault="00D7295C" w:rsidP="00D7295C">
      <w:pPr>
        <w:pStyle w:val="NormalHanging12a"/>
        <w:ind w:left="0" w:firstLine="0"/>
        <w:rPr>
          <w:b/>
          <w:i/>
          <w:szCs w:val="24"/>
        </w:rPr>
      </w:pPr>
      <w:r w:rsidRPr="00F11C7E">
        <w:rPr>
          <w:b/>
          <w:i/>
        </w:rPr>
        <w:t>Przekrojowe ustalenia dotyczące stanu demokracji, praworządności i praw podstawowych w całej UE</w:t>
      </w:r>
    </w:p>
    <w:p w:rsidR="00D7295C" w:rsidRPr="00F11C7E" w:rsidRDefault="00CC0AE4" w:rsidP="00D7295C">
      <w:pPr>
        <w:pStyle w:val="NormalHanging12a"/>
      </w:pPr>
      <w:r>
        <w:t>73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w</w:t>
      </w:r>
      <w:proofErr w:type="gramEnd"/>
      <w:r w:rsidR="00D7295C" w:rsidRPr="00F11C7E">
        <w:t xml:space="preserve"> związku z powyższym wyraża głębokie zaniepokojenie erozją demokracji, praworządności i praw podstawowych w całej UE; podkreśla, że choć już stan rzeczy przedstawiony w sprawozdaniu Komisji na temat praworządności świadczy o licznych problematycznych zjawiskach, sytuacja wydaje się jeszcze bardziej niepokojąca, jeśli uwzględnić inne niezależne sprawozdania i źródła; podkreśla, że erozja tych wartości w państwach członkowskich zagraża instytucjom UE i sytuacji w UE jako całości, nawet jeśli niektóre państwa członkowskie wzorową chronią i promują te wartości;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74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podkreśla</w:t>
      </w:r>
      <w:proofErr w:type="gramEnd"/>
      <w:r w:rsidR="00D7295C" w:rsidRPr="00F11C7E">
        <w:t xml:space="preserve">, że nie jest to jedynie abstrakcyjny wniosek, lecz że ten stan rzeczy wpływa na codzienne życie obywateli i funkcjonowanie przedsiębiorstw w UE, mierzących się na przykład z problemem niewydajnego lub zależnego sądownictwa i szerzącej się korupcji oraz braku dostępu do niezależnego i wysokiej jakości dziennikarstwa; podkreśla, że podważa to zaufanie do naszego systemu demokratycznego opartego na praworządności; uważa, że przywrócenie poszanowania wartości UE w państwach członkowskich ma zasadnicze znaczenie dla zapobieżenia dezintegracji naszych społeczeństw i Unii; wzywa Komisję, Radę i Radę Europejską do pełnego przyznania, że demokracja, praworządność i prawa podstawowe nie są sprawami wyłącznie krajowymi, lecz są bezpośrednio </w:t>
      </w:r>
      <w:proofErr w:type="gramStart"/>
      <w:r w:rsidR="00D7295C" w:rsidRPr="00F11C7E">
        <w:t>istotne</w:t>
      </w:r>
      <w:proofErr w:type="gramEnd"/>
      <w:r w:rsidR="00D7295C" w:rsidRPr="00F11C7E">
        <w:t xml:space="preserve"> dla Unii Europejskiej i jej instytucji;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75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wzywa</w:t>
      </w:r>
      <w:proofErr w:type="gramEnd"/>
      <w:r w:rsidR="00D7295C" w:rsidRPr="00F11C7E">
        <w:t xml:space="preserve"> państwa członkowskie do pełnego przestrzegania wartości, na których opiera się Unia, zapisanych w art. 2 TUE; w związku z tym wzywa państwa członkowskie, aby respektowały zasady legalności i pewności prawa, zapobiegały nadużywaniu władzy oraz zapewniły równość wobec prawa i niedyskryminację, dostęp do wymiaru sprawiedliwości, podział władzy, niezależność wymiaru sprawiedliwości oraz ochronę praw człowieka, ponieważ są to kluczowe zasady prawidłowego funkcjonowania mechanizmów kontroli i równowagi w każdej zdrowej demokracji; wzywa Komisję do niezależnego przeanalizowania, czy zasady te są przestrzegane we wszystkich państwach członkowskich;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>Egzekwowanie prawa UE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76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zauważa</w:t>
      </w:r>
      <w:proofErr w:type="gramEnd"/>
      <w:r w:rsidR="00D7295C" w:rsidRPr="00F11C7E">
        <w:t>, że zasadniczym warunkiem praworządności w UE jest właściwe egzekwowanie całego jej prawa; potępia niekiedy otwarte i nieskrywane nieprzestrzeganie przez niektóre państwa członkowskie prawa UE w różnych dziedzinach, takich jak prawo do skutecznej ochrony sądowej, przepisy antykorupcyjne, azyl, wykonywanie sankcji i prawo dotyczące praw człowieka; podkreśla, że grozi to uczynieniem UE strefą bezprawia, w której niektóre państwa członkowskie uważałyby się za stojące ponad innymi, a prawa i wolności obywateli UE nie byłyby chronione w równym stopniu;</w:t>
      </w:r>
    </w:p>
    <w:p w:rsidR="00D7295C" w:rsidRPr="00F11C7E" w:rsidRDefault="00CC0AE4" w:rsidP="00D7295C">
      <w:pPr>
        <w:pStyle w:val="NormalHanging12a"/>
      </w:pPr>
      <w:r>
        <w:t>77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przypomina</w:t>
      </w:r>
      <w:proofErr w:type="gramEnd"/>
      <w:r w:rsidR="00D7295C" w:rsidRPr="00F11C7E">
        <w:t xml:space="preserve"> Komisji, że jej nadrzędnym zadaniem jest stać na straży Traktatów; podkreśla, że przedstawienie sprawozdania nie wystarczy, aby wzmocnić praworządność w Unii, lecz że sprawozdanie to powinno prowadzić do konkretnych działań w zakresie egzekwowania prawa, zwłaszcza gdy zalecenia nie są w pełni przestrzegane;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78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głęboko</w:t>
      </w:r>
      <w:proofErr w:type="gramEnd"/>
      <w:r w:rsidR="00D7295C" w:rsidRPr="00F11C7E">
        <w:t xml:space="preserve"> ubolewa, że Komisja nie podejmuje bardziej zdecydowanych działań w celu egzekwowania prawa UE; w związku z tym wzywa Komisję, aby wszczynała więcej nowych postępowań w sprawie uchybienia zobowiązaniom państwa członkowskiego, a w już toczących się postępowaniach działała odważniej i szybciej; wzywa Komisję do systematycznego korzystania z procedur przyspieszonych i wniosków o środki tymczasowe przed TSUE; wzywa Komisję, aby nie wykorzystywała „dialogu” z państwami członkowskimi ani procedury EU Pilot jako elastycznego środka pozwalającego uniknąć wszczynania faktycznych postępowań w sprawie uchybienia zobowiązaniom państwa członkowskiego; wzywa Komisję, aby zrewidowała swoją politykę – określoną w komunikacie z 2022 r. w sprawie egzekwowania prawa UE – niewszczynania </w:t>
      </w:r>
      <w:proofErr w:type="gramStart"/>
      <w:r w:rsidR="00D7295C" w:rsidRPr="00F11C7E">
        <w:t>postępowań</w:t>
      </w:r>
      <w:proofErr w:type="gramEnd"/>
      <w:r w:rsidR="00D7295C" w:rsidRPr="00F11C7E">
        <w:t xml:space="preserve"> w sprawie uchybienia zobowiązaniom państwa członkowskiego w przypadkach roszczeń „indywidualnych”, ponieważ powoduje ona, że obywatele w całej UE są w poważnym stopniu pozbawieni praw, zwłaszcza gdy ich rządy odmawiają przestrzegania prawa UE lub wyroków TSUE, również dlatego, że większość tych spraw nie ma charakteru wyłącznie indywidualnego, lecz dotyczy kwestii strategicznych i podstawowych;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79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zauważa</w:t>
      </w:r>
      <w:proofErr w:type="gramEnd"/>
      <w:r w:rsidR="00D7295C" w:rsidRPr="00F11C7E">
        <w:t xml:space="preserve"> utrzymujący się problem niepełnego wykonywania wyroków ETPC, a także decyzje Komitetu Ministrów Rady Europy; z zadowoleniem odnotowuje, że od 2022 r. sprawozdanie na temat praworządności zawiera systemowe wskaźniki wdrożenia wyroków wiodących ETPC; wzywa jednak Komisję, aby opracowała tablicę wyników służącą monitorowaniu wdrażania każdego wyroku TSUE i ETPC dotyczącego demokracji, praworządności i praw podstawowych oraz w całości ujmowała ją w sprawozdaniu rocznym na temat praworządności; wzywa państwa członkowskie, aby bezzwłocznie wykonały zaległe wyroki, a także wzywa Komisję, aby oceniła konsekwencje pod względem zgodności z prawem UE i w razie potrzeby wszczęła postępowania sprawie uchybienia zobowiązaniom państwa członkowskiego;</w:t>
      </w:r>
    </w:p>
    <w:p w:rsidR="00D7295C" w:rsidRPr="00F11C7E" w:rsidRDefault="00D7295C" w:rsidP="00D7295C">
      <w:pPr>
        <w:pStyle w:val="NormalHanging12a"/>
        <w:rPr>
          <w:rStyle w:val="BoldItalic"/>
        </w:rPr>
      </w:pPr>
      <w:r w:rsidRPr="00F11C7E">
        <w:rPr>
          <w:rStyle w:val="BoldItalic"/>
        </w:rPr>
        <w:t>Sprawozdanie na temat praworządności jako narzędzie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80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</w:t>
      </w:r>
      <w:proofErr w:type="gramEnd"/>
      <w:r w:rsidR="00D7295C" w:rsidRPr="00F11C7E">
        <w:t xml:space="preserve"> zadowoleniem przyjmuje sprawozdanie na temat praworządności jako kluczowy fundament zestawu instrumentów na rzecz praworządności w UE i pochwala Komisję za dostarczenie dobrze napisanego sprawozdania opartego na dokładnych badaniach; przypomina, że roczne sprawozdanie na temat praworządności wprowadzono w odpowiedzi na rezolucję Parlamentu przyjętą na podstawie sprawozdania ustawodawczego z własnej inicjatywy z 2016 r.</w:t>
      </w:r>
      <w:r w:rsidR="00D7295C" w:rsidRPr="00F11C7E">
        <w:rPr>
          <w:vertAlign w:val="superscript"/>
        </w:rPr>
        <w:footnoteReference w:id="50"/>
      </w:r>
      <w:r w:rsidR="00D7295C" w:rsidRPr="00F11C7E">
        <w:t>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81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uznaje</w:t>
      </w:r>
      <w:proofErr w:type="gramEnd"/>
      <w:r w:rsidR="00D7295C" w:rsidRPr="00F11C7E">
        <w:t>, że sprawozdanie na temat praworządności stało się punktem odniesienia dla prac instytucji unijnych nad kwestiami praworządności w UE i w poszczególnych państwach członkowskich; dostrzega ciągłe zobowiązanie Komisji na przestrzeni lat do zwiększenia istotności sprawozdania, na przykład włączenie zaleceń dla poszczególnych krajów do poprzedniego sprawozdania oraz ocenę ich wypełnienia w obecnym sprawozdaniu;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82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przyznaje</w:t>
      </w:r>
      <w:proofErr w:type="gramEnd"/>
      <w:r w:rsidR="00D7295C" w:rsidRPr="00F11C7E">
        <w:t xml:space="preserve">, że sprawozdanie Komisji na temat praworządności stało się bardziej kompleksowe niż początkowo (2020 r.); ubolewa jednak, że zasadnicze elementy rezolucji Parlamentu z 2016 r. nie zostały jeszcze wdrożone i że Komisja nie zastosowała się w pełni do zaleceń sformułowanych przez Parlament w poprzednich rezolucjach; zachęca Komisję do podjęcia działań w celu rozwiązania tego problemu; ubolewa w szczególności, że w 2023 r. sprawozdanie nie zostało znacząco rozszerzone przez dodanie nowego kompleksowego filaru; apeluje o uwzględnienie w sprawozdaniu rocznym brakujących istotnych elementów listy kontrolnej Komisji Weneckiej z 2016 r. dotyczącej praworządności, takich jak zapobieganie nadużywaniu władzy, równość wobec prawa i niedyskryminacja; podtrzymuje swoje stanowisko, że </w:t>
      </w:r>
      <w:proofErr w:type="gramStart"/>
      <w:r w:rsidR="00D7295C" w:rsidRPr="00F11C7E">
        <w:t>sprawozdanie</w:t>
      </w:r>
      <w:proofErr w:type="gramEnd"/>
      <w:r w:rsidR="00D7295C" w:rsidRPr="00F11C7E">
        <w:t xml:space="preserve"> powinno obejmować pełny zakres wartości określonych w art. 2 TUE, ponieważ nie można ich rozpatrywać oddzielnie; wzywa Komisję, aby w przyszłym roku rozszerzyła zakres sprawozdania;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83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</w:t>
      </w:r>
      <w:proofErr w:type="gramEnd"/>
      <w:r w:rsidR="00D7295C" w:rsidRPr="00F11C7E">
        <w:t xml:space="preserve"> zaniepokojeniem zauważa, że Komisja, dążąc do rzeczowości i obiektywności, niekiedy staje się zbyt dyplomatyczna i nieprecyzyjna przy identyfikowaniu problemów związanych z praworządnością w państwach członkowskich; ubolewa, że eufemistyczny język oraz sztucznie równa liczba konkluzji i zaleceń dotyczących poszczególnych państw członkowskich ukrywają rzeczywiste różnice między państwami członkowskimi; ponawia zalecenie rozróżnienia między naruszeniami systemowymi a indywidualnymi, aby uniknąć ryzyka bagatelizowania najpoważniejszych naruszeń praworządności; wzywa Komisję do wyraźnego zaznaczenia, że państwa członkowskie, które systematycznie, celowo i poważnie naruszają wartości określone w art. 2 TUE przez pewien czas, mogą nie spełniać wszystkich kryteriów demokracji; uważa, że ocena realizacji zaleceń powinna być bardziej precyzyjna i </w:t>
      </w:r>
      <w:proofErr w:type="gramStart"/>
      <w:r w:rsidR="00D7295C" w:rsidRPr="00F11C7E">
        <w:t>jakościowa</w:t>
      </w:r>
      <w:proofErr w:type="gramEnd"/>
      <w:r w:rsidR="00D7295C" w:rsidRPr="00F11C7E">
        <w:t xml:space="preserve"> oraz powinna opierać się nie tylko na zmianach legislacyjnych, lecz także na rzeczywistych i niezależnych dowodach ich wdrożenia w praktyce; przypomina o konieczności opracowania harmonogramu, celów i konkretnych działań na potrzeby wdrażania zaleceń oraz wyszczególnienia możliwych konsekwencji w przypadku ich niewykonania; odnotowuje niekiedy rażące różnice między streszczeniami rozdziałów dotyczących poszczególnych krajów a szczegółową treścią samych rozdziałów i sugeruje interwencję redakcyjną;</w:t>
      </w:r>
    </w:p>
    <w:p w:rsidR="00D7295C" w:rsidRPr="00F11C7E" w:rsidRDefault="00CC0AE4" w:rsidP="00D7295C">
      <w:pPr>
        <w:pStyle w:val="NormalHanging12a"/>
      </w:pPr>
      <w:r>
        <w:t>84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potwierdza</w:t>
      </w:r>
      <w:proofErr w:type="gramEnd"/>
      <w:r w:rsidR="00D7295C" w:rsidRPr="00F11C7E">
        <w:t>, że wiele z tych problemów można rozwiązać przez zaangażowanie niezależnego zespołu ekspertów w przygotowanie sprawozdania, ponieważ będą oni mniej związani względami dyplomatycznymi; wzywa Komisję, aby przemyślała swoje stanowisko w tej kwestii i rozważyła wszystkie możliwości zaangażowania niezależnych ekspertów w pracę nad kolejnymi sprawozdaniami na temat praworządności; ponownie wzywa Komisję, aby zwróciła się do Agencji Praw Podstawowych o doradztwo metodyczne i przeprowadzenie badań porównawczych w celu doprecyzowania kluczowych obszarów sprawozdania rocznego, z uwagi na ścisły związek między prawami podstawowymi a praworządnością;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85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dostrzega</w:t>
      </w:r>
      <w:proofErr w:type="gramEnd"/>
      <w:r w:rsidR="00D7295C" w:rsidRPr="00F11C7E">
        <w:t xml:space="preserve"> wysiłki Komisji na rzecz prowadzenia różnorodnych konsultacji i zbierania różnego rodzaju uwag w każdym państwie członkowskim, w tym od organów krajowych i organizacji społeczeństwa obywatelskiego; wzywa Komisję, aby rozszerzyła te działania oraz, na ile to możliwe, prowadziła wizyty na miejscu w państwach członkowskich, a nie wizyty wirtualne, gdyż może to zapewnić pełniejszy i bardziej kontekstowy obraz sytuacji lokalnej; przypomina w szczególności o znaczeniu konsultacji z przedstawicielami zawodów prawniczych, np. za pośrednictwem izb adwokackich i stowarzyszeń sędziowskich;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86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dostrzega</w:t>
      </w:r>
      <w:proofErr w:type="gramEnd"/>
      <w:r w:rsidR="00D7295C" w:rsidRPr="00F11C7E">
        <w:t xml:space="preserve"> rolę notariuszy w licznych państwach członkowskich, którzy faktycznie wykonują zadania sądów; uważa, że w kolejnych sprawozdaniach na temat praworządności w odpowiednich rozdziałach dotyczących poszczególnych krajów należy uwzględnić wkład notariuszy w standardy praworządności;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87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</w:t>
      </w:r>
      <w:proofErr w:type="gramEnd"/>
      <w:r w:rsidR="00D7295C" w:rsidRPr="00F11C7E">
        <w:t xml:space="preserve"> zadowoleniem przyjmuje decyzję Komisji o rozszerzeniu zakresu geograficznego przyszłych sprawozdań na temat praworządności, aby objąć nimi kraje kandydujące, zgodnie z wcześniejszymi apelami Parlamentu</w:t>
      </w:r>
      <w:r w:rsidR="00D7295C" w:rsidRPr="00F11C7E">
        <w:rPr>
          <w:vertAlign w:val="superscript"/>
        </w:rPr>
        <w:footnoteReference w:id="51"/>
      </w:r>
      <w:r w:rsidR="00D7295C" w:rsidRPr="00F11C7E">
        <w:t>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88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uważa</w:t>
      </w:r>
      <w:proofErr w:type="gramEnd"/>
      <w:r w:rsidR="00D7295C" w:rsidRPr="00F11C7E">
        <w:t>, że aby zapewnić stałe znaczenie i wpływ sprawozdania, najlepszym sposobem jest stałe i ambitne poszerzanie jego zakresu, nieunikanie trudnych kwestii i egzekwowanie zaleceń;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89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apeluje</w:t>
      </w:r>
      <w:proofErr w:type="gramEnd"/>
      <w:r w:rsidR="00D7295C" w:rsidRPr="00F11C7E">
        <w:t xml:space="preserve"> do Komisji o większe inwestycje w upowszechnianie wiedzy na temat wartości Unii i stosowanych narzędzi, w tym sprawozdania rocznego, w szczególności w państwach, w których sytuacja budzi poważne zaniepokojenie;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90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potwierdza</w:t>
      </w:r>
      <w:proofErr w:type="gramEnd"/>
      <w:r w:rsidR="00D7295C" w:rsidRPr="00F11C7E">
        <w:t>, że monitorowanie sytuacji nie wystarcza, zatem sprawozdanie roczne na temat praworządności nie jest celem samym w sobie, lecz powinno prowadzić do konkretnych działań w zakresie egzekwowania prawa w odniesieniu do stwierdzonych niedociągnięć; wzywa zatem Komisję do zapewnienia, by to sprawozdanie na temat praworządności stanowiło faktycznie nieodłączną część całego procesu w ramach mechanizmu praworządności jako całości, oraz do zagwarantowania pełnego wykorzystania kompletnego zestawu instrumentów na rzecz praworządności, jakim dysponuje, w tym art. 7 TUE w przypadkach, w których w sprawozdaniu na temat praworządności rok po roku stwierdza się ciągłe naruszenia w danym państwie członkowskim;</w:t>
      </w:r>
    </w:p>
    <w:p w:rsidR="00D7295C" w:rsidRPr="00F11C7E" w:rsidRDefault="00D7295C" w:rsidP="00D7295C">
      <w:pPr>
        <w:pStyle w:val="NormalHanging12a"/>
      </w:pPr>
      <w:r w:rsidRPr="00F11C7E">
        <w:rPr>
          <w:rStyle w:val="BoldItalic"/>
        </w:rPr>
        <w:t xml:space="preserve">Współpraca międzyinstytucjonalna i procedury dotyczące praworządności 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91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odnotowuje</w:t>
      </w:r>
      <w:proofErr w:type="gramEnd"/>
      <w:r w:rsidR="00D7295C" w:rsidRPr="00F11C7E">
        <w:t xml:space="preserve"> ocenę dialogu na temat praworządności przeprowadzoną przez Radę oraz ogłoszone stanowisko Rady, zgodnie z którym rozważy ona dalszą ewentualną współpracę międzyinstytucjonalną w tym kontekście; wzywa Radę, aby zadbała o większy pluralizm dialogu na temat praworządności, zapraszając na swoje sesje przedstawicieli innych instytucji i zainteresowanych stron, w szczególności organów Rady Europy, takich jak Komisja Wenecka, Komisarz ds. Praw Człowieka, a także przedstawicieli Parlamentu Europejskiego;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92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ubolewa</w:t>
      </w:r>
      <w:proofErr w:type="gramEnd"/>
      <w:r w:rsidR="00D7295C" w:rsidRPr="00F11C7E">
        <w:t>, że Komisja i Rada dotychczas odrzucały propozycję Parlamentu dotyczącą zawarcia porozumienia międzyinstytucjonalnego w sprawie demokracji, praworządności i praw podstawowych; potwierdza swoją gotowość do wznowienia rozmów na temat tego porozumienia;</w:t>
      </w:r>
    </w:p>
    <w:p w:rsidR="00D7295C" w:rsidRPr="00F11C7E" w:rsidRDefault="00CC0AE4" w:rsidP="00D7295C">
      <w:pPr>
        <w:pStyle w:val="NormalHanging12a"/>
      </w:pPr>
      <w:r>
        <w:t>93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w</w:t>
      </w:r>
      <w:proofErr w:type="gramEnd"/>
      <w:r w:rsidR="00D7295C" w:rsidRPr="00F11C7E">
        <w:t xml:space="preserve"> międzyczasie wzywa pozostałe instytucje, aby przynajmniej rozważyły dalszą współpracę w kontekście proponowanego międzyinstytucjonalnego projektu pilotażowego dotyczącego demokracji, praworządności i praw podstawowych, co pomogłoby w budowaniu zaufania między instytucjami w praktyce, w szczególności przez wymianę praktyk w zakresie monitorowania, dialogu i spotkań;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94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wobec</w:t>
      </w:r>
      <w:proofErr w:type="gramEnd"/>
      <w:r w:rsidR="00D7295C" w:rsidRPr="00F11C7E">
        <w:t xml:space="preserve"> niechęci Komisji i Rady zwraca się do Prezydium o zorganizowanie procedury udzielania zamówień publicznych, aby utworzyć tymczasowy zespół niezależnych ekspertów pod auspicjami Parlamentu, w myśl zobowiązania podjętego we wcześniejszych rezolucjach; zespół taki doradzałby Parlamentowi w kwestii przestrzegania wartości zapisanych w art. 2 TUE w poszczególnych państwach członkowskich, a także dałby przykład funkcjonowania takiego zespołu w praktyce;</w:t>
      </w:r>
    </w:p>
    <w:p w:rsidR="00D7295C" w:rsidRPr="00F11C7E" w:rsidRDefault="00CC0AE4" w:rsidP="00D7295C">
      <w:pPr>
        <w:pStyle w:val="NormalHanging12a"/>
      </w:pPr>
      <w:r>
        <w:t>95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potępia</w:t>
      </w:r>
      <w:proofErr w:type="gramEnd"/>
      <w:r w:rsidR="00D7295C" w:rsidRPr="00F11C7E">
        <w:t xml:space="preserve"> całkowity brak postępów w toczących się procedurach na podstawie art. 7 ust. 1 TUE; wzywa Radę do zajęcia się każdym nowym zdarzeniem mającym wpływ na praworządność, demokrację i prawa podstawowe; ponownie zwraca się do Rady, aby uwzględniła zalecenia w ramach tej procedury, podkreślając, że dalsze zwlekanie z podjęciem takich działań będzie oznaczać naruszenie zasady praworządności przez samą Radę; domaga się poszanowania roli i kompetencji Parlamentu;</w:t>
      </w:r>
    </w:p>
    <w:p w:rsidR="00D7295C" w:rsidRPr="00F11C7E" w:rsidRDefault="00CC0AE4" w:rsidP="00D7295C">
      <w:pPr>
        <w:pStyle w:val="NormalHanging12a"/>
        <w:rPr>
          <w:szCs w:val="24"/>
        </w:rPr>
      </w:pPr>
      <w:r>
        <w:t>96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wzywa</w:t>
      </w:r>
      <w:proofErr w:type="gramEnd"/>
      <w:r w:rsidR="00D7295C" w:rsidRPr="00F11C7E">
        <w:t xml:space="preserve"> Komisję, aby we wszystkich instrumentach i procesach budżetowych uwzględniała, ściśle monitorowała i gwarantowała warunki dotyczące demokracji, praworządności i praw podstawowych; potwierdza poważne zaniepokojenie decyzją Komisji uznającą, że horyzontalny warunek podstawowy dotyczący Karty został spełniony w odniesieniu do niezależności sądów, co umożliwiło władzom węgierskim składanie wniosków o zwrot kosztów w wysokości do 10,2 mld EUR, mimo że nawet pod niedawnych reformach Węgry nie spełniają standardów niezależności wymiaru sprawiedliwości określonych w Karcie; wzywa Komisję i Radę, aby w razie potrzeby nadal niezwłocznie stosowały rozporządzenie w sprawie warunkowości w zakresie praworządności i nie uchylały środków przyjętych w przypadku Węgier, dopóki wszystkie warunki wstępne </w:t>
      </w:r>
      <w:proofErr w:type="gramStart"/>
      <w:r w:rsidR="00D7295C" w:rsidRPr="00F11C7E">
        <w:t>i</w:t>
      </w:r>
      <w:proofErr w:type="gramEnd"/>
      <w:r w:rsidR="00D7295C" w:rsidRPr="00F11C7E">
        <w:t xml:space="preserve"> kamienie milowe nie zostaną skutecznie spełnione; wzywa Komisję, aby rygorystycznie sprawdzała, czy w planach odbudowy i zwiększania odporności poszczególnych państw członkowskich spełnione są kamienie milowe związane z praworządnością, stanowiące warunek wypłat środków finansowych, o które zwracają się państwa członkowskie; wzywa Komisję, aby powierzyła główną odpowiedzialność za stosowanie tych warunków komisarzom odpowiedzialnym za praworządność;</w:t>
      </w:r>
    </w:p>
    <w:p w:rsidR="00D7295C" w:rsidRPr="00F11C7E" w:rsidRDefault="00D7295C" w:rsidP="00D7295C">
      <w:pPr>
        <w:pStyle w:val="NormalHanging12a"/>
        <w:jc w:val="center"/>
      </w:pPr>
      <w:r w:rsidRPr="00F11C7E">
        <w:t>°</w:t>
      </w:r>
    </w:p>
    <w:p w:rsidR="00D7295C" w:rsidRPr="00F11C7E" w:rsidRDefault="00D7295C" w:rsidP="00D7295C">
      <w:pPr>
        <w:pStyle w:val="NormalCenter12a"/>
      </w:pPr>
      <w:r w:rsidRPr="00F11C7E">
        <w:t>°</w:t>
      </w:r>
      <w:r w:rsidRPr="00F11C7E">
        <w:tab/>
        <w:t>°</w:t>
      </w:r>
    </w:p>
    <w:p w:rsidR="00E365E1" w:rsidRPr="00F11C7E" w:rsidRDefault="00CC0AE4" w:rsidP="002B785F">
      <w:pPr>
        <w:pStyle w:val="NormalHanging12a"/>
      </w:pPr>
      <w:r>
        <w:t>97</w:t>
      </w:r>
      <w:r w:rsidR="00D7295C" w:rsidRPr="00F11C7E">
        <w:t>.</w:t>
      </w:r>
      <w:r w:rsidR="00D7295C" w:rsidRPr="00F11C7E">
        <w:tab/>
      </w:r>
      <w:proofErr w:type="gramStart"/>
      <w:r w:rsidR="00D7295C" w:rsidRPr="00F11C7E">
        <w:t>zobowiązuje</w:t>
      </w:r>
      <w:proofErr w:type="gramEnd"/>
      <w:r w:rsidR="00D7295C" w:rsidRPr="00F11C7E">
        <w:t xml:space="preserve"> swoją przewodniczącą do przekazania niniejszej rezolucji Radzie, rządom państw członkowskich i Komisji. </w:t>
      </w:r>
      <w:bookmarkStart w:id="11" w:name="TextBodyEnd"/>
      <w:bookmarkEnd w:id="11"/>
    </w:p>
    <w:sectPr w:rsidR="00E365E1" w:rsidRPr="00F11C7E" w:rsidSect="00F11C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62F" w:rsidRPr="00F11C7E" w:rsidRDefault="0075362F">
      <w:r w:rsidRPr="00F11C7E">
        <w:separator/>
      </w:r>
    </w:p>
  </w:endnote>
  <w:endnote w:type="continuationSeparator" w:id="0">
    <w:p w:rsidR="0075362F" w:rsidRPr="00F11C7E" w:rsidRDefault="0075362F">
      <w:r w:rsidRPr="00F11C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62F" w:rsidRPr="00F11C7E" w:rsidRDefault="0075362F">
      <w:r w:rsidRPr="00F11C7E">
        <w:separator/>
      </w:r>
    </w:p>
  </w:footnote>
  <w:footnote w:type="continuationSeparator" w:id="0">
    <w:p w:rsidR="0075362F" w:rsidRPr="00F11C7E" w:rsidRDefault="0075362F">
      <w:r w:rsidRPr="00F11C7E">
        <w:continuationSeparator/>
      </w:r>
    </w:p>
  </w:footnote>
  <w:footnote w:id="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L 433 I z 22.12.2020,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1.</w:t>
      </w:r>
    </w:p>
  </w:footnote>
  <w:footnote w:id="2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L 231 z 30.6.2021,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 xml:space="preserve">. 159. </w:t>
      </w:r>
    </w:p>
  </w:footnote>
  <w:footnote w:id="3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L 156 z 5.5.2021,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1.</w:t>
      </w:r>
    </w:p>
  </w:footnote>
  <w:footnote w:id="4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215 z 19.6.2018,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162.</w:t>
      </w:r>
    </w:p>
  </w:footnote>
  <w:footnote w:id="5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129 z 5.4.2019,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13.</w:t>
      </w:r>
    </w:p>
  </w:footnote>
  <w:footnote w:id="6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390 z 18.11.2019,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117.</w:t>
      </w:r>
    </w:p>
  </w:footnote>
  <w:footnote w:id="7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433 z 23.12.2019,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66.</w:t>
      </w:r>
    </w:p>
  </w:footnote>
  <w:footnote w:id="8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363 z 28.10.2020,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13.</w:t>
      </w:r>
    </w:p>
  </w:footnote>
  <w:footnote w:id="9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363 z 28.10.2020,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45.</w:t>
      </w:r>
    </w:p>
  </w:footnote>
  <w:footnote w:id="10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395 z 29.9.2021,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2.</w:t>
      </w:r>
    </w:p>
  </w:footnote>
  <w:footnote w:id="1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415 z 13.10.2021,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36.</w:t>
      </w:r>
    </w:p>
  </w:footnote>
  <w:footnote w:id="12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445 z 29.10.2021,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70.</w:t>
      </w:r>
    </w:p>
  </w:footnote>
  <w:footnote w:id="13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67 z 8.2.2022,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86.</w:t>
      </w:r>
    </w:p>
  </w:footnote>
  <w:footnote w:id="14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81 z 18.2.2022,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27.</w:t>
      </w:r>
    </w:p>
  </w:footnote>
  <w:footnote w:id="15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99 z 1.3.2022,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146.</w:t>
      </w:r>
    </w:p>
  </w:footnote>
  <w:footnote w:id="16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117 z 11.3.2022,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88.</w:t>
      </w:r>
    </w:p>
  </w:footnote>
  <w:footnote w:id="17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205 z 20.5.2022,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2.</w:t>
      </w:r>
    </w:p>
  </w:footnote>
  <w:footnote w:id="18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251 z 30.6.2022,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48.</w:t>
      </w:r>
    </w:p>
  </w:footnote>
  <w:footnote w:id="19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347 z 9.9.2022,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2.</w:t>
      </w:r>
    </w:p>
  </w:footnote>
  <w:footnote w:id="20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347 z 9.9.2022,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168.</w:t>
      </w:r>
    </w:p>
  </w:footnote>
  <w:footnote w:id="2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479 z 16.12.2022,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18.</w:t>
      </w:r>
    </w:p>
  </w:footnote>
  <w:footnote w:id="22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493 z 27.12.2022,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108.</w:t>
      </w:r>
    </w:p>
  </w:footnote>
  <w:footnote w:id="23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125 z 5.4.2023,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80.</w:t>
      </w:r>
    </w:p>
  </w:footnote>
  <w:footnote w:id="24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149 z 28.4.2023,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15.</w:t>
      </w:r>
    </w:p>
  </w:footnote>
  <w:footnote w:id="25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149 z 28.4.2023,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22.</w:t>
      </w:r>
    </w:p>
  </w:footnote>
  <w:footnote w:id="26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161 z 5.5.2023,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10.</w:t>
      </w:r>
    </w:p>
  </w:footnote>
  <w:footnote w:id="27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167 z 11.5.2023,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74.</w:t>
      </w:r>
    </w:p>
  </w:footnote>
  <w:footnote w:id="28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C 341 z 27.9.2023,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2.</w:t>
      </w:r>
    </w:p>
  </w:footnote>
  <w:footnote w:id="29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Dz.U. C, C/2023/1223 z 21.12.2023.</w:t>
      </w:r>
    </w:p>
  </w:footnote>
  <w:footnote w:id="30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Dz.U. C, C/2024/494 z 23.1.2024.</w:t>
      </w:r>
    </w:p>
  </w:footnote>
  <w:footnote w:id="3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Teksty przyjęte, P9_TA(2023)0268.</w:t>
      </w:r>
    </w:p>
  </w:footnote>
  <w:footnote w:id="32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Teksty przyjęte, P9_TA(2023)0374.</w:t>
      </w:r>
    </w:p>
  </w:footnote>
  <w:footnote w:id="33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Teksty przyjęte, P9_TA(2024)0050.</w:t>
      </w:r>
    </w:p>
  </w:footnote>
  <w:footnote w:id="34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Teksty przyjęte, P9_TA(2023)0244.</w:t>
      </w:r>
    </w:p>
  </w:footnote>
  <w:footnote w:id="35">
    <w:p w:rsidR="00D7295C" w:rsidRPr="00F11C7E" w:rsidRDefault="00D7295C" w:rsidP="00F11C7E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="00BA135F">
        <w:fldChar w:fldCharType="begin"/>
      </w:r>
      <w:r w:rsidR="00BA135F" w:rsidRPr="00BA135F">
        <w:rPr>
          <w:lang w:val="pl-PL"/>
        </w:rPr>
        <w:instrText xml:space="preserve"> HYPERLINK "file:///C:\\Users\\ldermigny\\Downloads\\Informacje%20na%20temat%20wszystkich%20działań%20monitorujących%20tej%20grupy%20można%20znaleźć%20na%20stronie:%20https:\\www.europarl.europa.eu\\committees\\en\\li</w:instrText>
      </w:r>
      <w:r w:rsidR="00BA135F" w:rsidRPr="00BA135F">
        <w:rPr>
          <w:lang w:val="pl-PL"/>
        </w:rPr>
        <w:instrText xml:space="preserve">be-democracy-rule-of-law-and-fundament\\product-details\\20190103CDT02662" </w:instrText>
      </w:r>
      <w:r w:rsidR="00BA135F">
        <w:fldChar w:fldCharType="separate"/>
      </w:r>
      <w:r w:rsidRPr="00F11C7E">
        <w:rPr>
          <w:rStyle w:val="Hyperlink"/>
          <w:sz w:val="24"/>
          <w:u w:color="0000FF"/>
          <w:lang w:val="pl-PL"/>
        </w:rPr>
        <w:t>Informacje na temat wszystkich działań monitorujących tej grupy można znaleźć na stronie</w:t>
      </w:r>
      <w:proofErr w:type="gramStart"/>
      <w:r w:rsidRPr="00F11C7E">
        <w:rPr>
          <w:rStyle w:val="Hyperlink"/>
          <w:sz w:val="24"/>
          <w:u w:color="0000FF"/>
          <w:lang w:val="pl-PL"/>
        </w:rPr>
        <w:t>:</w:t>
      </w:r>
      <w:r w:rsidR="00BA135F">
        <w:rPr>
          <w:rStyle w:val="Hyperlink"/>
          <w:sz w:val="24"/>
          <w:u w:color="0000FF"/>
          <w:lang w:val="pl-PL"/>
        </w:rPr>
        <w:fldChar w:fldCharType="end"/>
      </w:r>
      <w:r w:rsidRPr="00F11C7E">
        <w:fldChar w:fldCharType="begin"/>
      </w:r>
      <w:r w:rsidRPr="00F11C7E">
        <w:rPr>
          <w:sz w:val="24"/>
          <w:lang w:val="pl-PL"/>
        </w:rPr>
        <w:instrText xml:space="preserve"> HYPERLINK "file:///C:\\Users\\ldermigny\\Downloads\\Informacje%20na%20temat%20wszystkich%20działań%20monitorujących%20</w:instrText>
      </w:r>
      <w:proofErr w:type="gramEnd"/>
      <w:r w:rsidRPr="00F11C7E">
        <w:rPr>
          <w:sz w:val="24"/>
          <w:lang w:val="pl-PL"/>
        </w:rPr>
        <w:instrText xml:space="preserve">tej%20grupy%20można%20znaleźć%20na%20stronie:%20https:\\www.europarl.europa.eu\\committees\\en\\libe-democracy-rule-of-law-and-fundament\\product-details\\20190103CDT02662" </w:instrText>
      </w:r>
      <w:r w:rsidRPr="00F11C7E">
        <w:fldChar w:fldCharType="separate"/>
      </w:r>
      <w:r w:rsidRPr="00F11C7E">
        <w:rPr>
          <w:rStyle w:val="Hyperlink"/>
          <w:sz w:val="24"/>
          <w:u w:color="0000FF"/>
          <w:lang w:val="pl-PL"/>
        </w:rPr>
        <w:t xml:space="preserve"> https://www.europarl.europa.eu/committees/en/libe-democracy-rule-of-law-and-fundament/product-details/20190103CDT02662.</w:t>
      </w:r>
      <w:r w:rsidRPr="00F11C7E">
        <w:rPr>
          <w:rStyle w:val="Hyperlink"/>
          <w:color w:val="auto"/>
          <w:sz w:val="24"/>
          <w:u w:val="none" w:color="0000FF"/>
          <w:lang w:val="pl-PL"/>
        </w:rPr>
        <w:fldChar w:fldCharType="end"/>
      </w:r>
    </w:p>
  </w:footnote>
  <w:footnote w:id="36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Węgierski Komitet Helsiński, </w:t>
      </w:r>
      <w:proofErr w:type="spellStart"/>
      <w:r w:rsidRPr="00F11C7E">
        <w:rPr>
          <w:sz w:val="24"/>
          <w:lang w:val="pl-PL"/>
        </w:rPr>
        <w:t>Fundamental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deficiencies</w:t>
      </w:r>
      <w:proofErr w:type="spellEnd"/>
      <w:r w:rsidRPr="00F11C7E">
        <w:rPr>
          <w:sz w:val="24"/>
          <w:lang w:val="pl-PL"/>
        </w:rPr>
        <w:t xml:space="preserve"> of the </w:t>
      </w:r>
      <w:proofErr w:type="spellStart"/>
      <w:r w:rsidRPr="00F11C7E">
        <w:rPr>
          <w:sz w:val="24"/>
          <w:lang w:val="pl-PL"/>
        </w:rPr>
        <w:t>Hungarian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judicial</w:t>
      </w:r>
      <w:proofErr w:type="spellEnd"/>
      <w:r w:rsidRPr="00F11C7E">
        <w:rPr>
          <w:sz w:val="24"/>
          <w:lang w:val="pl-PL"/>
        </w:rPr>
        <w:t xml:space="preserve"> reform [Fundamentalne niedociągnięcia węgierskiej reformy sądownictwa], 31 października 2023 r.</w:t>
      </w:r>
    </w:p>
  </w:footnote>
  <w:footnote w:id="37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Dz.U. L 26 z 31.1.2003,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41.</w:t>
      </w:r>
    </w:p>
  </w:footnote>
  <w:footnote w:id="38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GRECO, </w:t>
      </w:r>
      <w:proofErr w:type="spellStart"/>
      <w:r w:rsidRPr="00F11C7E">
        <w:rPr>
          <w:sz w:val="24"/>
          <w:lang w:val="pl-PL"/>
        </w:rPr>
        <w:t>Fifth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evaluation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round</w:t>
      </w:r>
      <w:proofErr w:type="spellEnd"/>
      <w:r w:rsidRPr="00F11C7E">
        <w:rPr>
          <w:sz w:val="24"/>
          <w:lang w:val="pl-PL"/>
        </w:rPr>
        <w:t xml:space="preserve">, </w:t>
      </w:r>
      <w:proofErr w:type="spellStart"/>
      <w:r w:rsidRPr="00F11C7E">
        <w:rPr>
          <w:sz w:val="24"/>
          <w:lang w:val="pl-PL"/>
        </w:rPr>
        <w:t>Preventing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corruption</w:t>
      </w:r>
      <w:proofErr w:type="spellEnd"/>
      <w:r w:rsidRPr="00F11C7E">
        <w:rPr>
          <w:sz w:val="24"/>
          <w:lang w:val="pl-PL"/>
        </w:rPr>
        <w:t xml:space="preserve"> and </w:t>
      </w:r>
      <w:proofErr w:type="spellStart"/>
      <w:r w:rsidRPr="00F11C7E">
        <w:rPr>
          <w:sz w:val="24"/>
          <w:lang w:val="pl-PL"/>
        </w:rPr>
        <w:t>promoting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integrity</w:t>
      </w:r>
      <w:proofErr w:type="spellEnd"/>
      <w:r w:rsidRPr="00F11C7E">
        <w:rPr>
          <w:sz w:val="24"/>
          <w:lang w:val="pl-PL"/>
        </w:rPr>
        <w:t xml:space="preserve"> in central </w:t>
      </w:r>
      <w:proofErr w:type="spellStart"/>
      <w:r w:rsidRPr="00F11C7E">
        <w:rPr>
          <w:sz w:val="24"/>
          <w:lang w:val="pl-PL"/>
        </w:rPr>
        <w:t>governments</w:t>
      </w:r>
      <w:proofErr w:type="spellEnd"/>
      <w:r w:rsidRPr="00F11C7E">
        <w:rPr>
          <w:sz w:val="24"/>
          <w:lang w:val="pl-PL"/>
        </w:rPr>
        <w:t xml:space="preserve"> (top </w:t>
      </w:r>
      <w:proofErr w:type="spellStart"/>
      <w:r w:rsidRPr="00F11C7E">
        <w:rPr>
          <w:sz w:val="24"/>
          <w:lang w:val="pl-PL"/>
        </w:rPr>
        <w:t>executive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functions</w:t>
      </w:r>
      <w:proofErr w:type="spellEnd"/>
      <w:r w:rsidRPr="00F11C7E">
        <w:rPr>
          <w:sz w:val="24"/>
          <w:lang w:val="pl-PL"/>
        </w:rPr>
        <w:t xml:space="preserve">) and law </w:t>
      </w:r>
      <w:proofErr w:type="spellStart"/>
      <w:r w:rsidRPr="00F11C7E">
        <w:rPr>
          <w:sz w:val="24"/>
          <w:lang w:val="pl-PL"/>
        </w:rPr>
        <w:t>enforcement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agencies</w:t>
      </w:r>
      <w:proofErr w:type="spellEnd"/>
      <w:r w:rsidRPr="00F11C7E">
        <w:rPr>
          <w:sz w:val="24"/>
          <w:lang w:val="pl-PL"/>
        </w:rPr>
        <w:t xml:space="preserve">, Evaluation report [Piąta runda ocen – Zapobieganie korupcji i promowanie uczciwości w rządach centralnych (najwyższe funkcje wykonawcze) i organach ścigania – Sprawozdanie z oceny], Cypr, 2 października 2023 r. </w:t>
      </w:r>
    </w:p>
  </w:footnote>
  <w:footnote w:id="39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Dyrektywa Parlamentu Europejskiego i Rady (UE) 2019/1937 z dnia 23 października 2019 r. w sprawie ochrony osób zgłaszających naruszenia prawa Unii (Dz.U. L 305 z 26.11.2019,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17).</w:t>
      </w:r>
    </w:p>
  </w:footnote>
  <w:footnote w:id="40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Dyrektywa Parlamentu Europejskiego i Rady 2010/13/UE z dnia 10 marca 2010 r. w sprawie koordynacji niektórych przepisów ustawowych, wykonawczych i administracyjnych państw członkowskich dotyczących świadczenia audiowizualnych usług medialnych (dyrektywa o audiowizualnych usługach medialnych) (Dz.U. L 95 z 15.4.2010,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1).</w:t>
      </w:r>
    </w:p>
  </w:footnote>
  <w:footnote w:id="4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Zalecenie Komisji (UE) 2022/758 z dnia 27 kwietnia 2022 r. w sprawie ochrony dziennikarzy i obrońców praw człowieka, którzy angażują się w debatę publiczną, przed ewidentnie bezpodstawnymi lub stanowiącymi nadużycie postępowaniami sądowymi („strategiczne powództwa zmierzające do stłumienia debaty publicznej”), Dz.U. L 138 z 17.5.2022, </w:t>
      </w:r>
      <w:proofErr w:type="gramStart"/>
      <w:r w:rsidRPr="00F11C7E">
        <w:rPr>
          <w:sz w:val="24"/>
          <w:lang w:val="pl-PL"/>
        </w:rPr>
        <w:t>s</w:t>
      </w:r>
      <w:proofErr w:type="gramEnd"/>
      <w:r w:rsidRPr="00F11C7E">
        <w:rPr>
          <w:sz w:val="24"/>
          <w:lang w:val="pl-PL"/>
        </w:rPr>
        <w:t>. 30.</w:t>
      </w:r>
    </w:p>
  </w:footnote>
  <w:footnote w:id="42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shd w:val="clear" w:color="auto" w:fill="FFFFFF"/>
          <w:lang w:val="pl-PL"/>
        </w:rPr>
        <w:t xml:space="preserve"> </w:t>
      </w:r>
      <w:r w:rsidR="00F11C7E" w:rsidRPr="00F11C7E">
        <w:rPr>
          <w:sz w:val="24"/>
          <w:shd w:val="clear" w:color="auto" w:fill="FFFFFF"/>
          <w:lang w:val="pl-PL"/>
        </w:rPr>
        <w:tab/>
      </w:r>
      <w:r w:rsidRPr="00F11C7E">
        <w:rPr>
          <w:sz w:val="24"/>
          <w:shd w:val="clear" w:color="auto" w:fill="FFFFFF"/>
          <w:lang w:val="pl-PL"/>
        </w:rPr>
        <w:t>Wniosek dotyczący dyrektywy Parlamentu Europejskiego i Rady w sprawie ochrony osób, które angażują się w debatę publiczną, przed ewidentnie bezpodstawnymi lub stanowiącymi nadużycie postępowaniami sądowymi („strategiczne powództwa zmierzające do stłumienia debaty publicznej”) (COM(2022)0177).</w:t>
      </w:r>
    </w:p>
  </w:footnote>
  <w:footnote w:id="43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Komisarz Praw Człowieka Rady Europy, pismo do przewodniczącego parlamentu Malty, 26 września 2023 r.</w:t>
      </w:r>
    </w:p>
  </w:footnote>
  <w:footnote w:id="44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Międzynarodowy Instytut Prasowy, </w:t>
      </w:r>
      <w:proofErr w:type="spellStart"/>
      <w:r w:rsidRPr="00F11C7E">
        <w:rPr>
          <w:i/>
          <w:iCs/>
          <w:sz w:val="24"/>
          <w:lang w:val="pl-PL"/>
        </w:rPr>
        <w:t>Murdered</w:t>
      </w:r>
      <w:proofErr w:type="spellEnd"/>
      <w:r w:rsidRPr="00F11C7E">
        <w:rPr>
          <w:i/>
          <w:iCs/>
          <w:sz w:val="24"/>
          <w:lang w:val="pl-PL"/>
        </w:rPr>
        <w:t xml:space="preserve">, </w:t>
      </w:r>
      <w:proofErr w:type="spellStart"/>
      <w:r w:rsidRPr="00F11C7E">
        <w:rPr>
          <w:i/>
          <w:iCs/>
          <w:sz w:val="24"/>
          <w:lang w:val="pl-PL"/>
        </w:rPr>
        <w:t>surveilled</w:t>
      </w:r>
      <w:proofErr w:type="spellEnd"/>
      <w:r w:rsidRPr="00F11C7E">
        <w:rPr>
          <w:i/>
          <w:iCs/>
          <w:sz w:val="24"/>
          <w:lang w:val="pl-PL"/>
        </w:rPr>
        <w:t xml:space="preserve"> and </w:t>
      </w:r>
      <w:proofErr w:type="spellStart"/>
      <w:r w:rsidRPr="00F11C7E">
        <w:rPr>
          <w:i/>
          <w:iCs/>
          <w:sz w:val="24"/>
          <w:lang w:val="pl-PL"/>
        </w:rPr>
        <w:t>sued</w:t>
      </w:r>
      <w:proofErr w:type="spellEnd"/>
      <w:r w:rsidRPr="00F11C7E">
        <w:rPr>
          <w:i/>
          <w:iCs/>
          <w:sz w:val="24"/>
          <w:lang w:val="pl-PL"/>
        </w:rPr>
        <w:t>:</w:t>
      </w:r>
      <w:r w:rsidRPr="00F11C7E">
        <w:rPr>
          <w:i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decisive</w:t>
      </w:r>
      <w:proofErr w:type="spellEnd"/>
      <w:r w:rsidRPr="00F11C7E">
        <w:rPr>
          <w:i/>
          <w:iCs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action</w:t>
      </w:r>
      <w:proofErr w:type="spellEnd"/>
      <w:r w:rsidRPr="00F11C7E">
        <w:rPr>
          <w:i/>
          <w:iCs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needed</w:t>
      </w:r>
      <w:proofErr w:type="spellEnd"/>
      <w:r w:rsidRPr="00F11C7E">
        <w:rPr>
          <w:i/>
          <w:iCs/>
          <w:sz w:val="24"/>
          <w:lang w:val="pl-PL"/>
        </w:rPr>
        <w:t xml:space="preserve"> to </w:t>
      </w:r>
      <w:proofErr w:type="spellStart"/>
      <w:r w:rsidRPr="00F11C7E">
        <w:rPr>
          <w:i/>
          <w:iCs/>
          <w:sz w:val="24"/>
          <w:lang w:val="pl-PL"/>
        </w:rPr>
        <w:t>protect</w:t>
      </w:r>
      <w:proofErr w:type="spellEnd"/>
      <w:r w:rsidRPr="00F11C7E">
        <w:rPr>
          <w:i/>
          <w:iCs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journalists</w:t>
      </w:r>
      <w:proofErr w:type="spellEnd"/>
      <w:r w:rsidRPr="00F11C7E">
        <w:rPr>
          <w:i/>
          <w:iCs/>
          <w:sz w:val="24"/>
          <w:lang w:val="pl-PL"/>
        </w:rPr>
        <w:t xml:space="preserve"> and </w:t>
      </w:r>
      <w:proofErr w:type="spellStart"/>
      <w:r w:rsidRPr="00F11C7E">
        <w:rPr>
          <w:i/>
          <w:iCs/>
          <w:sz w:val="24"/>
          <w:lang w:val="pl-PL"/>
        </w:rPr>
        <w:t>salvage</w:t>
      </w:r>
      <w:proofErr w:type="spellEnd"/>
      <w:r w:rsidRPr="00F11C7E">
        <w:rPr>
          <w:i/>
          <w:iCs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press</w:t>
      </w:r>
      <w:proofErr w:type="spellEnd"/>
      <w:r w:rsidRPr="00F11C7E">
        <w:rPr>
          <w:i/>
          <w:iCs/>
          <w:sz w:val="24"/>
          <w:lang w:val="pl-PL"/>
        </w:rPr>
        <w:t xml:space="preserve"> </w:t>
      </w:r>
      <w:proofErr w:type="spellStart"/>
      <w:r w:rsidRPr="00F11C7E">
        <w:rPr>
          <w:i/>
          <w:iCs/>
          <w:sz w:val="24"/>
          <w:lang w:val="pl-PL"/>
        </w:rPr>
        <w:t>freedom</w:t>
      </w:r>
      <w:proofErr w:type="spellEnd"/>
      <w:r w:rsidRPr="00F11C7E">
        <w:rPr>
          <w:i/>
          <w:iCs/>
          <w:sz w:val="24"/>
          <w:lang w:val="pl-PL"/>
        </w:rPr>
        <w:t xml:space="preserve"> in Greece [Mordowani, inwigilowani i pozywani: potrzeba zdecydowanych działań, aby chronić dziennikarzy i uratować wolność prasy w Grecji]</w:t>
      </w:r>
      <w:r w:rsidRPr="00F11C7E">
        <w:rPr>
          <w:sz w:val="24"/>
          <w:lang w:val="pl-PL"/>
        </w:rPr>
        <w:t>, 27 września 2023 r.</w:t>
      </w:r>
    </w:p>
  </w:footnote>
  <w:footnote w:id="45">
    <w:p w:rsidR="00417CA2" w:rsidRPr="002B785F" w:rsidRDefault="00417CA2" w:rsidP="002B785F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2B785F">
        <w:rPr>
          <w:lang w:val="pl-PL"/>
        </w:rPr>
        <w:t xml:space="preserve"> </w:t>
      </w:r>
      <w:r>
        <w:rPr>
          <w:lang w:val="pl-PL"/>
        </w:rPr>
        <w:tab/>
      </w:r>
      <w:r w:rsidRPr="00417CA2">
        <w:rPr>
          <w:lang w:val="pl-PL"/>
        </w:rPr>
        <w:t xml:space="preserve">Dz.U. L 331 z 20.9.2021, </w:t>
      </w:r>
      <w:proofErr w:type="gramStart"/>
      <w:r w:rsidRPr="00417CA2">
        <w:rPr>
          <w:lang w:val="pl-PL"/>
        </w:rPr>
        <w:t>s</w:t>
      </w:r>
      <w:proofErr w:type="gramEnd"/>
      <w:r w:rsidRPr="00417CA2">
        <w:rPr>
          <w:lang w:val="pl-PL"/>
        </w:rPr>
        <w:t>. 8.</w:t>
      </w:r>
    </w:p>
  </w:footnote>
  <w:footnote w:id="46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Europejski Rzecznik Praw Obywatelskich, sprawozdanie specjalne z dochodzenia strategicznego dotyczącego czasu rozpatrywania przez Komisję Europejską wniosków o publiczny dostęp do dokumentów (OI/2/2022/OAM), 18 września 2023 r.</w:t>
      </w:r>
    </w:p>
  </w:footnote>
  <w:footnote w:id="47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>Rada Europy, Komitet Sterujący ds. Walki z Dyskryminacją, Różnorodności i Włączenia Społecznego, Przegląd tematyczny wdrożenia zalecenia CM/</w:t>
      </w:r>
      <w:proofErr w:type="spellStart"/>
      <w:r w:rsidRPr="00F11C7E">
        <w:rPr>
          <w:sz w:val="24"/>
          <w:lang w:val="pl-PL"/>
        </w:rPr>
        <w:t>Rec</w:t>
      </w:r>
      <w:proofErr w:type="spellEnd"/>
      <w:proofErr w:type="gramStart"/>
      <w:r w:rsidRPr="00F11C7E">
        <w:rPr>
          <w:sz w:val="24"/>
          <w:lang w:val="pl-PL"/>
        </w:rPr>
        <w:t>(2010)5, 14 września</w:t>
      </w:r>
      <w:proofErr w:type="gramEnd"/>
      <w:r w:rsidRPr="00F11C7E">
        <w:rPr>
          <w:sz w:val="24"/>
          <w:lang w:val="pl-PL"/>
        </w:rPr>
        <w:t xml:space="preserve"> 2023 r. Rada Europy, Europejska Komisja przeciwko Rasizmowi i Nietolerancji (ECRI), Zalecenie polityczne ECRI nr 17 w sprawie zapobiegania nietolerancji i dyskryminacji wobec osób LGBTI oraz zwalczania tych zjawisk, 28 września 2023 r.</w:t>
      </w:r>
    </w:p>
  </w:footnote>
  <w:footnote w:id="48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r w:rsidRPr="00F11C7E">
        <w:rPr>
          <w:sz w:val="24"/>
          <w:lang w:val="pl-PL"/>
        </w:rPr>
        <w:t xml:space="preserve">Wyrok Trybunału Sprawiedliwości z dnia 5 czerwca 2018 r., odesłanie prejudycjalne na podstawie art. 267 TFUE skierowane przez Curtea </w:t>
      </w:r>
      <w:proofErr w:type="spellStart"/>
      <w:r w:rsidRPr="00F11C7E">
        <w:rPr>
          <w:sz w:val="24"/>
          <w:lang w:val="pl-PL"/>
        </w:rPr>
        <w:t>Constituțională</w:t>
      </w:r>
      <w:proofErr w:type="spellEnd"/>
      <w:r w:rsidRPr="00F11C7E">
        <w:rPr>
          <w:sz w:val="24"/>
          <w:lang w:val="pl-PL"/>
        </w:rPr>
        <w:t xml:space="preserve"> (Trybunał Konstytucyjny Rumunii), ECLI</w:t>
      </w:r>
      <w:proofErr w:type="gramStart"/>
      <w:r w:rsidRPr="00F11C7E">
        <w:rPr>
          <w:sz w:val="24"/>
          <w:lang w:val="pl-PL"/>
        </w:rPr>
        <w:t>:EU</w:t>
      </w:r>
      <w:proofErr w:type="gramEnd"/>
      <w:r w:rsidRPr="00F11C7E">
        <w:rPr>
          <w:sz w:val="24"/>
          <w:lang w:val="pl-PL"/>
        </w:rPr>
        <w:t>:C:2018:385.</w:t>
      </w:r>
    </w:p>
  </w:footnote>
  <w:footnote w:id="49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sz w:val="24"/>
          <w:lang w:val="pl-PL"/>
        </w:rPr>
        <w:t xml:space="preserve"> </w:t>
      </w:r>
      <w:r w:rsidR="00F11C7E" w:rsidRPr="00F11C7E">
        <w:rPr>
          <w:sz w:val="24"/>
          <w:lang w:val="pl-PL"/>
        </w:rPr>
        <w:tab/>
      </w:r>
      <w:proofErr w:type="spellStart"/>
      <w:r w:rsidRPr="00F11C7E">
        <w:rPr>
          <w:sz w:val="24"/>
          <w:lang w:val="pl-PL"/>
        </w:rPr>
        <w:t>Euractiv</w:t>
      </w:r>
      <w:proofErr w:type="spellEnd"/>
      <w:r w:rsidRPr="00F11C7E">
        <w:rPr>
          <w:sz w:val="24"/>
          <w:lang w:val="pl-PL"/>
        </w:rPr>
        <w:t xml:space="preserve">, </w:t>
      </w:r>
      <w:proofErr w:type="spellStart"/>
      <w:r w:rsidRPr="00F11C7E">
        <w:rPr>
          <w:sz w:val="24"/>
          <w:lang w:val="pl-PL"/>
        </w:rPr>
        <w:t>Romanian</w:t>
      </w:r>
      <w:proofErr w:type="spellEnd"/>
      <w:r w:rsidRPr="00F11C7E">
        <w:rPr>
          <w:sz w:val="24"/>
          <w:lang w:val="pl-PL"/>
        </w:rPr>
        <w:t xml:space="preserve"> LGBTQ+ </w:t>
      </w:r>
      <w:proofErr w:type="spellStart"/>
      <w:r w:rsidRPr="00F11C7E">
        <w:rPr>
          <w:sz w:val="24"/>
          <w:lang w:val="pl-PL"/>
        </w:rPr>
        <w:t>community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wants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equal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rights</w:t>
      </w:r>
      <w:proofErr w:type="spellEnd"/>
      <w:r w:rsidRPr="00F11C7E">
        <w:rPr>
          <w:sz w:val="24"/>
          <w:lang w:val="pl-PL"/>
        </w:rPr>
        <w:t xml:space="preserve">, not </w:t>
      </w:r>
      <w:proofErr w:type="spellStart"/>
      <w:r w:rsidRPr="00F11C7E">
        <w:rPr>
          <w:sz w:val="24"/>
          <w:lang w:val="pl-PL"/>
        </w:rPr>
        <w:t>special</w:t>
      </w:r>
      <w:proofErr w:type="spellEnd"/>
      <w:r w:rsidRPr="00F11C7E">
        <w:rPr>
          <w:sz w:val="24"/>
          <w:lang w:val="pl-PL"/>
        </w:rPr>
        <w:t xml:space="preserve"> </w:t>
      </w:r>
      <w:proofErr w:type="spellStart"/>
      <w:r w:rsidRPr="00F11C7E">
        <w:rPr>
          <w:sz w:val="24"/>
          <w:lang w:val="pl-PL"/>
        </w:rPr>
        <w:t>conditions</w:t>
      </w:r>
      <w:proofErr w:type="spellEnd"/>
      <w:r w:rsidRPr="00F11C7E">
        <w:rPr>
          <w:sz w:val="24"/>
          <w:lang w:val="pl-PL"/>
        </w:rPr>
        <w:t xml:space="preserve"> [Rumuńska społeczność LGBTQ+ chce równych praw, a nie specjalnych warunków], 22 września 2023 r.</w:t>
      </w:r>
    </w:p>
  </w:footnote>
  <w:footnote w:id="50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rStyle w:val="Emphasis"/>
          <w:sz w:val="24"/>
          <w:shd w:val="clear" w:color="auto" w:fill="FFFFFF"/>
          <w:lang w:val="pl-PL"/>
        </w:rPr>
        <w:t xml:space="preserve"> </w:t>
      </w:r>
      <w:r w:rsidR="00F11C7E" w:rsidRPr="00F11C7E">
        <w:rPr>
          <w:rStyle w:val="Emphasis"/>
          <w:sz w:val="24"/>
          <w:shd w:val="clear" w:color="auto" w:fill="FFFFFF"/>
          <w:lang w:val="pl-PL"/>
        </w:rPr>
        <w:tab/>
      </w:r>
      <w:r w:rsidRPr="00F11C7E">
        <w:rPr>
          <w:rStyle w:val="Emphasis"/>
          <w:sz w:val="24"/>
          <w:shd w:val="clear" w:color="auto" w:fill="FFFFFF"/>
          <w:lang w:val="pl-PL"/>
        </w:rPr>
        <w:t xml:space="preserve">Dz.U. C 215 z 19.6.2018, </w:t>
      </w:r>
      <w:proofErr w:type="gramStart"/>
      <w:r w:rsidRPr="00F11C7E">
        <w:rPr>
          <w:rStyle w:val="Emphasis"/>
          <w:sz w:val="24"/>
          <w:shd w:val="clear" w:color="auto" w:fill="FFFFFF"/>
          <w:lang w:val="pl-PL"/>
        </w:rPr>
        <w:t>s</w:t>
      </w:r>
      <w:proofErr w:type="gramEnd"/>
      <w:r w:rsidRPr="00F11C7E">
        <w:rPr>
          <w:rStyle w:val="Emphasis"/>
          <w:sz w:val="24"/>
          <w:shd w:val="clear" w:color="auto" w:fill="FFFFFF"/>
          <w:lang w:val="pl-PL"/>
        </w:rPr>
        <w:t>. 162.</w:t>
      </w:r>
    </w:p>
  </w:footnote>
  <w:footnote w:id="51">
    <w:p w:rsidR="00D7295C" w:rsidRPr="00F11C7E" w:rsidRDefault="00D7295C" w:rsidP="00F11C7E">
      <w:pPr>
        <w:pStyle w:val="FootnoteText"/>
        <w:ind w:left="567" w:hanging="567"/>
        <w:rPr>
          <w:sz w:val="24"/>
          <w:lang w:val="pl-PL"/>
        </w:rPr>
      </w:pPr>
      <w:r w:rsidRPr="00F11C7E">
        <w:rPr>
          <w:rStyle w:val="FootnoteReference"/>
          <w:sz w:val="24"/>
          <w:lang w:val="pl-PL"/>
        </w:rPr>
        <w:footnoteRef/>
      </w:r>
      <w:r w:rsidR="00F11C7E" w:rsidRPr="00F11C7E">
        <w:rPr>
          <w:rStyle w:val="Emphasis"/>
          <w:sz w:val="24"/>
          <w:shd w:val="clear" w:color="auto" w:fill="FFFFFF"/>
          <w:lang w:val="pl-PL"/>
        </w:rPr>
        <w:t xml:space="preserve"> </w:t>
      </w:r>
      <w:r w:rsidR="00F11C7E" w:rsidRPr="00F11C7E">
        <w:rPr>
          <w:rStyle w:val="Emphasis"/>
          <w:sz w:val="24"/>
          <w:shd w:val="clear" w:color="auto" w:fill="FFFFFF"/>
          <w:lang w:val="pl-PL"/>
        </w:rPr>
        <w:tab/>
      </w:r>
      <w:r w:rsidRPr="00F11C7E">
        <w:rPr>
          <w:rStyle w:val="Emphasis"/>
          <w:sz w:val="24"/>
          <w:shd w:val="clear" w:color="auto" w:fill="FFFFFF"/>
          <w:lang w:val="pl-PL"/>
        </w:rPr>
        <w:t xml:space="preserve">Dz.U. C 341 z 27.9.2023, </w:t>
      </w:r>
      <w:proofErr w:type="gramStart"/>
      <w:r w:rsidRPr="00F11C7E">
        <w:rPr>
          <w:rStyle w:val="Emphasis"/>
          <w:sz w:val="24"/>
          <w:shd w:val="clear" w:color="auto" w:fill="FFFFFF"/>
          <w:lang w:val="pl-PL"/>
        </w:rPr>
        <w:t>s</w:t>
      </w:r>
      <w:proofErr w:type="gramEnd"/>
      <w:r w:rsidRPr="00F11C7E">
        <w:rPr>
          <w:rStyle w:val="Emphasis"/>
          <w:sz w:val="24"/>
          <w:shd w:val="clear" w:color="auto" w:fill="FFFFFF"/>
          <w:lang w:val="pl-PL"/>
        </w:rPr>
        <w:t>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C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5/2024"/>
    <w:docVar w:name="dvlangue" w:val="PL"/>
    <w:docVar w:name="dvnumam" w:val="0"/>
    <w:docVar w:name="dvpe" w:val="754.695"/>
    <w:docVar w:name="dvrapporteur" w:val="Sprawozdawca: "/>
    <w:docVar w:name="dvtitre" w:val="Rezolucja Parlamentu Europejskiego z dnia  2024 r. Sprawozdanie w sprawie sprawozdania Komisji na temat praworządności z 2023 r.(2023/2113(INI))"/>
  </w:docVars>
  <w:rsids>
    <w:rsidRoot w:val="007536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85F"/>
    <w:rsid w:val="00343214"/>
    <w:rsid w:val="00361C00"/>
    <w:rsid w:val="00395FA1"/>
    <w:rsid w:val="003E15D4"/>
    <w:rsid w:val="00411CCE"/>
    <w:rsid w:val="0041666E"/>
    <w:rsid w:val="00417CA2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62F"/>
    <w:rsid w:val="00756632"/>
    <w:rsid w:val="00762C74"/>
    <w:rsid w:val="00786EC0"/>
    <w:rsid w:val="007D1690"/>
    <w:rsid w:val="007E22AD"/>
    <w:rsid w:val="0080551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35F"/>
    <w:rsid w:val="00BD48FE"/>
    <w:rsid w:val="00BD7BD8"/>
    <w:rsid w:val="00BE6ADC"/>
    <w:rsid w:val="00C05BFE"/>
    <w:rsid w:val="00C23CD4"/>
    <w:rsid w:val="00C61C0C"/>
    <w:rsid w:val="00C941CB"/>
    <w:rsid w:val="00CC0AE4"/>
    <w:rsid w:val="00CC2357"/>
    <w:rsid w:val="00CF071A"/>
    <w:rsid w:val="00D058B8"/>
    <w:rsid w:val="00D56C11"/>
    <w:rsid w:val="00D7295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C7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FC5F9-7EF4-4F98-A6D1-342F551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295C"/>
    <w:pPr>
      <w:spacing w:before="480" w:after="24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D729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D7295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EPFooter">
    <w:name w:val="EPFooter"/>
    <w:basedOn w:val="Normal"/>
    <w:rsid w:val="00D7295C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D7295C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D7295C"/>
    <w:rPr>
      <w:snapToGrid w:val="0"/>
      <w:sz w:val="24"/>
      <w:lang w:val="pl-PL" w:eastAsia="en-US"/>
    </w:rPr>
  </w:style>
  <w:style w:type="paragraph" w:customStyle="1" w:styleId="NormalCenter12a">
    <w:name w:val="NormalCenter12a"/>
    <w:basedOn w:val="Normal"/>
    <w:rsid w:val="00D7295C"/>
    <w:pPr>
      <w:spacing w:after="240"/>
      <w:jc w:val="center"/>
    </w:pPr>
  </w:style>
  <w:style w:type="character" w:customStyle="1" w:styleId="BoldItalic">
    <w:name w:val="BoldItalic"/>
    <w:uiPriority w:val="1"/>
    <w:rsid w:val="00D7295C"/>
    <w:rPr>
      <w:b/>
      <w:i/>
      <w:u w:val="none"/>
    </w:rPr>
  </w:style>
  <w:style w:type="character" w:customStyle="1" w:styleId="Italic">
    <w:name w:val="Italic"/>
    <w:uiPriority w:val="1"/>
    <w:rsid w:val="00D7295C"/>
    <w:rPr>
      <w:i/>
    </w:rPr>
  </w:style>
  <w:style w:type="paragraph" w:customStyle="1" w:styleId="Normal12a24b">
    <w:name w:val="Normal12a24b"/>
    <w:basedOn w:val="Normal"/>
    <w:rsid w:val="00D7295C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7295C"/>
    <w:rPr>
      <w:snapToGrid w:val="0"/>
      <w:sz w:val="24"/>
      <w:lang w:val="pl-PL" w:eastAsia="en-US"/>
    </w:rPr>
  </w:style>
  <w:style w:type="character" w:styleId="Hyperlink">
    <w:name w:val="Hyperlink"/>
    <w:basedOn w:val="DefaultParagraphFont"/>
    <w:unhideWhenUsed/>
    <w:rsid w:val="00D7295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7295C"/>
    <w:rPr>
      <w:i/>
      <w:iCs/>
    </w:rPr>
  </w:style>
  <w:style w:type="paragraph" w:styleId="Footer">
    <w:name w:val="footer"/>
    <w:basedOn w:val="Normal"/>
    <w:link w:val="FooterChar"/>
    <w:rsid w:val="00F11C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11C7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D7C0-F2F9-4547-9B80-4A13EB1A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10739</Words>
  <Characters>72329</Characters>
  <Application>Microsoft Office Word</Application>
  <DocSecurity>0</DocSecurity>
  <Lines>602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2024-02-29T11:22:00Z</dcterms:created>
  <dcterms:modified xsi:type="dcterms:W3CDTF">2024-02-29T11:22:00Z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A9-0025/2024</vt:lpwstr>
  </property>
  <property fmtid="{D5CDD505-2E9C-101B-9397-08002B2CF9AE}" pid="4" name="&lt;Type&gt;">
    <vt:lpwstr>RR</vt:lpwstr>
  </property>
</Properties>
</file>