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P9_TA(2024)0108</w:t>
      </w:r>
      <w:bookmarkEnd w:id="1"/>
    </w:p>
    <w:p>
      <w:pPr>
        <w:pStyle w:val="ATHeading2"/>
      </w:pPr>
      <w:bookmarkStart w:id="2" w:name="title"/>
      <w:r>
        <w:t>Správa o správe Komisie o právnom štáte za rok 2023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A9-0025/2024</w:instrText>
      </w:r>
      <w:bookmarkEnd w:id="3"/>
      <w:r>
        <w:rPr>
          <w:i/>
        </w:rPr>
        <w:instrText xml:space="preserve"> - Spravodajkyňa: Sophia in 't Veld)"\l3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občianske slobody, spravodlivosť a vnútorné veci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PE754.695</w:t>
      </w:r>
      <w:bookmarkEnd w:id="5"/>
    </w:p>
    <w:p>
      <w:pPr>
        <w:pStyle w:val="ATHeading3"/>
      </w:pPr>
      <w:bookmarkStart w:id="6" w:name="Sujet"/>
      <w:r>
        <w:t>Uznesenie Európskeho parlamentu z 28. februára 2024 o správe Komisie o právnom štáte za rok 2023</w:t>
      </w:r>
      <w:bookmarkEnd w:id="6"/>
      <w:r>
        <w:t xml:space="preserve"> </w:t>
      </w:r>
      <w:bookmarkStart w:id="7" w:name="References"/>
      <w:r>
        <w:t>(2023/2113(INI))</w:t>
      </w:r>
      <w:bookmarkEnd w:id="7"/>
    </w:p>
    <w:p>
      <w:pPr>
        <w:pStyle w:val="EPComma"/>
      </w:pPr>
      <w:bookmarkStart w:id="8" w:name="TextBodyBegin"/>
      <w:bookmarkEnd w:id="8"/>
      <w:r>
        <w:rPr>
          <w:rStyle w:val="Italic"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Zmluvu o Európskej únii (ďalej len „Zmluva o EÚ“), najmä na jej článok 2, článok 3 ods. 1, článok 3 ods. 3 druhý </w:t>
      </w:r>
      <w:proofErr w:type="spellStart"/>
      <w:r>
        <w:t>pododsek</w:t>
      </w:r>
      <w:proofErr w:type="spellEnd"/>
      <w:r>
        <w:t>, článok 4 ods. 3 a články 5, 6, 7, 11, 19 a 49,</w:t>
      </w:r>
    </w:p>
    <w:p>
      <w:pPr>
        <w:pStyle w:val="NormalHanging12a"/>
      </w:pPr>
      <w:r>
        <w:t>–</w:t>
      </w:r>
      <w:r>
        <w:tab/>
        <w:t>so zreteľom na Zmluvu o fungovaní Európskej únie (ďalej len „ZFEÚ“), a najmä na jej články týkajúce sa rešpektovania, ochrany a podpory demokracie, právneho štátu a základných práv v Únii vrátane článkov 70, 258, 259, 260, 263, 265 a 267,</w:t>
      </w:r>
    </w:p>
    <w:p>
      <w:pPr>
        <w:pStyle w:val="NormalHanging12a"/>
      </w:pPr>
      <w:r>
        <w:t>–</w:t>
      </w:r>
      <w:r>
        <w:tab/>
        <w:t>so zreteľom na Chartu základných práv Európskej únie (ďalej len „charta“),</w:t>
      </w:r>
    </w:p>
    <w:p>
      <w:pPr>
        <w:pStyle w:val="NormalHanging12a"/>
      </w:pPr>
      <w:r>
        <w:t>–</w:t>
      </w:r>
      <w:r>
        <w:tab/>
        <w:t>so zreteľom na judikatúru Súdneho dvora Európskej únie (ďalej len „Súdny dvor“),</w:t>
      </w:r>
    </w:p>
    <w:p>
      <w:pPr>
        <w:pStyle w:val="NormalHanging12a"/>
      </w:pPr>
      <w:r>
        <w:t>–</w:t>
      </w:r>
      <w:r>
        <w:tab/>
        <w:t>so zreteľom na oznámenie Komisie z 5. júla 2023 s názvom Správa o právnom štáte 2023 – Situácia v oblasti právneho štátu v Európskej únii (COM(2023)0800),</w:t>
      </w:r>
    </w:p>
    <w:p>
      <w:pPr>
        <w:pStyle w:val="NormalHanging12a"/>
      </w:pPr>
      <w:r>
        <w:t>–</w:t>
      </w:r>
      <w:r>
        <w:tab/>
        <w:t xml:space="preserve">so zreteľom na nariadenie Európskeho parlamentu a Rady (EÚ, </w:t>
      </w:r>
      <w:proofErr w:type="spellStart"/>
      <w:r>
        <w:t>Euratom</w:t>
      </w:r>
      <w:proofErr w:type="spellEnd"/>
      <w:r>
        <w:t>) 2020/2092 zo 16. decembra 2020 o všeobecnom režime podmienenosti na ochranu rozpočtu Únie</w:t>
      </w:r>
      <w:r>
        <w:rPr>
          <w:rStyle w:val="FootnoteReference"/>
        </w:rPr>
        <w:footnoteReference w:id="1"/>
      </w:r>
      <w:r>
        <w:t xml:space="preserve"> (ďalej len „nariadenie o podmienenosti právnym štátom“),</w:t>
      </w:r>
    </w:p>
    <w:p>
      <w:pPr>
        <w:pStyle w:val="NormalHanging12a"/>
        <w:rPr>
          <w:szCs w:val="24"/>
        </w:rPr>
      </w:pPr>
      <w:r>
        <w:t>–</w:t>
      </w:r>
      <w:r>
        <w:tab/>
        <w:t xml:space="preserve">so zreteľom na nariadenie Európskeho parlamentu a Rady (EÚ) 2021/1060 z 24. júna 2021, ktorým sa stanovujú spoločné ustanovenia o Európskom fonde regionálneho rozvoja, Európskom sociálnom fonde plus, Kohéznom fonde, Fonde na spravodlivú transformáciu a Európskom námornom, rybolovnom a </w:t>
      </w:r>
      <w:proofErr w:type="spellStart"/>
      <w:r>
        <w:t>akvakultúrnom</w:t>
      </w:r>
      <w:proofErr w:type="spellEnd"/>
      <w:r>
        <w:t xml:space="preserve"> fonde a rozpočtové pravidlá pre uvedené fondy, ako aj pre Fond pre azyl, migráciu a integráciu, Fond pre vnútornú bezpečnosť a Nástroj finančnej podpory na riadenie hraníc a vízovú politiku</w:t>
      </w:r>
      <w:r>
        <w:rPr>
          <w:rStyle w:val="FootnoteReference"/>
        </w:rPr>
        <w:footnoteReference w:id="2"/>
      </w:r>
      <w:r>
        <w:t xml:space="preserve"> (ďalej len „nariadenie o spoločných ustanoveniach“),</w:t>
      </w:r>
    </w:p>
    <w:p>
      <w:pPr>
        <w:pStyle w:val="NormalHanging12a"/>
      </w:pPr>
      <w:r>
        <w:lastRenderedPageBreak/>
        <w:t>–</w:t>
      </w:r>
      <w:r>
        <w:tab/>
        <w:t>so zreteľom na nariadenie Európskeho parlamentu a Rady (EÚ) 2021/692 z 28. apríla 2021, ktorým sa zriaďuje program Občania, rovnosť, práva a hodnoty a zrušuje nariadenie Európskeho parlamentu a Rady (EÚ) č. 1381/2013 a nariadenie Rady (EÚ) č. 390/2014</w:t>
      </w:r>
      <w:r>
        <w:rPr>
          <w:rStyle w:val="FootnoteReference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  <w:t>so zreteľom na Všeobecnú deklaráciu ľudských práv,</w:t>
      </w:r>
    </w:p>
    <w:p>
      <w:pPr>
        <w:pStyle w:val="NormalHanging12a"/>
      </w:pPr>
      <w:r>
        <w:t>–</w:t>
      </w:r>
      <w:r>
        <w:tab/>
        <w:t>so zreteľom na nástroje OSN na ochranu ľudských práv a základných slobôd, odporúčania a správy zo všeobecného pravidelného preskúmania OSN, ako aj na judikatúru orgánov OSN monitorujúcich zmluvy a na osobitné postupy Rady pre ľudské práva,</w:t>
      </w:r>
    </w:p>
    <w:p>
      <w:pPr>
        <w:pStyle w:val="NormalHanging12a"/>
      </w:pPr>
      <w:r>
        <w:t>–</w:t>
      </w:r>
      <w:r>
        <w:tab/>
        <w:t>so zreteľom na Európsky dohovor o ľudských právach, Európsku sociálnu chartu, judikatúru Európskeho súdu pre ľudské práva a uznesenia Európskeho výboru pre sociálne práva a na dohovory, odporúčania, uznesenia, stanoviská a správy Parlamentného zhromaždenia, Výboru ministrov, komisára Rady Európy pre ľudské práva, Európskej komisie proti rasizmu a intolerancii, Riadiaceho výboru pre nediskrimináciu, rozmanitosť a začlenenie, Benátskej komisie a ďalších orgánov Rady Európy,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Memorandum o porozumení medzi Radou Európy a Európskou úniou z 23. mája 2007 a závery Rady z 30. januára 2023 o prioritách EÚ v oblasti spolupráce s Radou Európy na roky 2023 – 2024,</w:t>
      </w:r>
    </w:p>
    <w:p>
      <w:pPr>
        <w:pStyle w:val="NormalHanging12a"/>
      </w:pPr>
      <w:r>
        <w:t>–</w:t>
      </w:r>
      <w:r>
        <w:tab/>
        <w:t>so zreteľom na odôvodnený návrh Komisie z 20. decembra 2017 na rozhodnutie Rady o určení jasného rizika vážneho porušenia zásad právneho štátu zo strany Poľskej republiky (COM(2017)0835), vydaný v súlade s článkom 7 ods. 1 Zmluvy o EÚ,</w:t>
      </w:r>
    </w:p>
    <w:p>
      <w:pPr>
        <w:pStyle w:val="NormalHanging12a"/>
      </w:pPr>
      <w:r>
        <w:t>–</w:t>
      </w:r>
      <w:r>
        <w:tab/>
        <w:t>so zreteľom na správy Agentúry Európskej únie pre základné práva (ďalej len „FRA“) z 19. júla 2022 s názvom Európska občianska spoločnosť: stále pod tlakom“, z 8. júna 2022 s názvom Správa o základných právach za rok 2022, z 19. augusta 2022 s názvom Ochrana priestoru občianskej spoločnosti v EÚ a z 3. novembra 2022 s názvom Antisemitizmus – Prehľad antisemitských incidentov zaznamenaných v Európskej únii v rokoch 2011 – 2021 a na jej ďalšie správy, údaje a nástroje, najmä informačný systém Európskej únie pre základné práva (EFRIS),</w:t>
      </w:r>
    </w:p>
    <w:p>
      <w:pPr>
        <w:pStyle w:val="NormalHanging12a"/>
      </w:pPr>
      <w:r>
        <w:t>–</w:t>
      </w:r>
      <w:r>
        <w:tab/>
        <w:t>so zreteľom na svoje uznesenie z 25. októbra 2016 s odporúčaniami pre Komisiu o zriadení mechanizmu EÚ pre demokraciu, právny štát a základné práva</w:t>
      </w:r>
      <w:r>
        <w:rPr>
          <w:rStyle w:val="FootnoteReference"/>
        </w:rPr>
        <w:footnoteReference w:id="4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 1. marca 2018 o rozhodnutí Komisie aktivovať článok 7 ods. 1 Zmluvy o EÚ so zreteľom na situáciu v Poľsku</w:t>
      </w:r>
      <w:r>
        <w:rPr>
          <w:rStyle w:val="FootnoteReference"/>
        </w:rPr>
        <w:footnoteReference w:id="5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 19. apríla 2018 o potrebe vytvoriť nástroj európskych hodnôt na podporu organizácií občianskej spoločnosti, ktoré v Európskej únii na miestnej a vnútroštátnej úrovni presadzujú základné hodnoty</w:t>
      </w:r>
      <w:r>
        <w:rPr>
          <w:rStyle w:val="FootnoteReference"/>
        </w:rPr>
        <w:footnoteReference w:id="6"/>
      </w:r>
      <w:r>
        <w:t>,</w:t>
      </w:r>
    </w:p>
    <w:p>
      <w:pPr>
        <w:pStyle w:val="NormalHanging12a"/>
      </w:pPr>
      <w:r>
        <w:lastRenderedPageBreak/>
        <w:t>–</w:t>
      </w:r>
      <w:r>
        <w:tab/>
        <w:t>so zreteľom na svoje uznesenie z 12. septembra 2018 o návrhu, ktorým sa Rada vyzýva, aby podľa článku 7 ods. 1 Zmluvy o EÚ rozhodla, že existuje jasné riziko vážneho porušenia hodnôt, na ktorých je Únia založená, zo strany Maďarska</w:t>
      </w:r>
      <w:r>
        <w:rPr>
          <w:rStyle w:val="FootnoteReference"/>
        </w:rPr>
        <w:footnoteReference w:id="7"/>
      </w:r>
      <w:r>
        <w:t>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svoje uznesenie z 13. novembra 2018 o minimálnych normách pre menšiny v EÚ</w:t>
      </w:r>
      <w:r>
        <w:rPr>
          <w:rStyle w:val="FootnoteReference"/>
        </w:rPr>
        <w:footnoteReference w:id="8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zo 14. novembra 2018 o potrebe komplexného mechanizmu EÚ na ochranu demokracie, právneho štátu a základných práv</w:t>
      </w:r>
      <w:r>
        <w:rPr>
          <w:rStyle w:val="FootnoteReference"/>
        </w:rPr>
        <w:footnoteReference w:id="9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zo 7. októbra 2020 o zriadení mechanizmu EÚ pre demokraciu, právny štát a základné práva</w:t>
      </w:r>
      <w:r>
        <w:rPr>
          <w:rStyle w:val="FootnoteReference"/>
        </w:rPr>
        <w:footnoteReference w:id="10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 13. novembra 2020 o vplyve opatrení súvisiacich s pandémiou COVID-19 na demokraciu, právny štát a základné práva</w:t>
      </w:r>
      <w:r>
        <w:rPr>
          <w:rStyle w:val="FootnoteReference"/>
        </w:rPr>
        <w:footnoteReference w:id="11"/>
      </w:r>
      <w:r>
        <w:t>,</w:t>
      </w:r>
    </w:p>
    <w:p>
      <w:pPr>
        <w:pStyle w:val="NormalHanging12a"/>
        <w:rPr>
          <w:szCs w:val="24"/>
        </w:rPr>
      </w:pPr>
      <w:r>
        <w:t>–</w:t>
      </w:r>
      <w:r>
        <w:tab/>
        <w:t xml:space="preserve">so zreteľom na svoje uznesenie zo 17. decembra 2020 o európskej iniciatíve občanov „Minority </w:t>
      </w:r>
      <w:proofErr w:type="spellStart"/>
      <w:r>
        <w:t>SafePack</w:t>
      </w:r>
      <w:proofErr w:type="spellEnd"/>
      <w:r>
        <w:t xml:space="preserve"> – milión podpisov za rozmanitosť v Európe“</w:t>
      </w:r>
      <w:r>
        <w:rPr>
          <w:rStyle w:val="FootnoteReference"/>
        </w:rPr>
        <w:footnoteReference w:id="12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svoje uznesenie z 10. júna 2021 o situácii v oblasti právneho štátu v Európskej únii a o uplatňovaní nariadenia (EÚ, </w:t>
      </w:r>
      <w:proofErr w:type="spellStart"/>
      <w:r>
        <w:t>Euratom</w:t>
      </w:r>
      <w:proofErr w:type="spellEnd"/>
      <w:r>
        <w:t>) 2020/2092 o podmienenosti</w:t>
      </w:r>
      <w:r>
        <w:rPr>
          <w:rStyle w:val="FootnoteReference"/>
        </w:rPr>
        <w:footnoteReference w:id="13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 24. júna 2021 o správe Komisie o právnom štáte za rok 2020</w:t>
      </w:r>
      <w:r>
        <w:rPr>
          <w:rStyle w:val="FootnoteReference"/>
        </w:rPr>
        <w:footnoteReference w:id="14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 8. júla 2021 o vytvorení usmernení pre uplatňovanie všeobecného režimu podmienenosti na ochranu rozpočtu Únie</w:t>
      </w:r>
      <w:r>
        <w:rPr>
          <w:rStyle w:val="FootnoteReference"/>
        </w:rPr>
        <w:footnoteReference w:id="15"/>
      </w:r>
      <w:r>
        <w:t>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svoje uznesenie zo 16. septembra 2021 s odporúčaniami pre Komisiu o určení rodovo motivovaného násilia za novú oblasť trestnej činnosti uvedenú v článku 83 ods. 1 ZFEÚ</w:t>
      </w:r>
      <w:r>
        <w:rPr>
          <w:vertAlign w:val="superscript"/>
        </w:rPr>
        <w:footnoteReference w:id="16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 11. novembra 2021 k posilňovaniu demokracie a slobody a plurality médií v EÚ: nenáležité využívanie žalôb v rámci občianskeho a trestného práva na umlčanie novinárov, MVO a občianskej spoločnosti</w:t>
      </w:r>
      <w:r>
        <w:rPr>
          <w:rStyle w:val="FootnoteReference"/>
        </w:rPr>
        <w:footnoteReference w:id="17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svoje uznesenie z 15. decembra 2021 o hodnotení preventívnych opatrení na predchádzanie korupcii, neoprávneným výdavkom a zneužívaniu </w:t>
      </w:r>
      <w:r>
        <w:lastRenderedPageBreak/>
        <w:t>finančných prostriedkov EÚ a vnútroštátnych finančných prostriedkov v prípade pohotovostných fondov a krízových výdavkových oblastí</w:t>
      </w:r>
      <w:r>
        <w:rPr>
          <w:rStyle w:val="FootnoteReference"/>
        </w:rPr>
        <w:footnoteReference w:id="18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 8. marca 2022 o zmenšujúcom sa priestore pre občiansku spoločnosť v Európe</w:t>
      </w:r>
      <w:r>
        <w:rPr>
          <w:rStyle w:val="FootnoteReference"/>
        </w:rPr>
        <w:footnoteReference w:id="19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 10. marca 2022 o právnom štáte a dôsledkoch rozsudku Súdneho dvora EÚ</w:t>
      </w:r>
      <w:r>
        <w:rPr>
          <w:rStyle w:val="FootnoteReference"/>
        </w:rPr>
        <w:footnoteReference w:id="20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 19. mája 2022 o správe Komisie o právnom štáte za rok 2021</w:t>
      </w:r>
      <w:r>
        <w:rPr>
          <w:rStyle w:val="FootnoteReference"/>
        </w:rPr>
        <w:footnoteReference w:id="21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 9. júna 2022 o právnom štáte a potenciálnom schválení poľského národného plánu obnovy</w:t>
      </w:r>
      <w:r>
        <w:rPr>
          <w:rStyle w:val="FootnoteReference"/>
        </w:rPr>
        <w:footnoteReference w:id="22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 15. septembra 2022 o situácii v oblasti základných práv v Európskej únii v rokoch 2020 a 2021</w:t>
      </w:r>
      <w:r>
        <w:rPr>
          <w:rStyle w:val="FootnoteReference"/>
        </w:rPr>
        <w:footnoteReference w:id="23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svoje uznesenie z 20. októbra 2022 o právnom štáte na Malte päť rokov po vražde </w:t>
      </w:r>
      <w:proofErr w:type="spellStart"/>
      <w:r>
        <w:t>Daphne</w:t>
      </w:r>
      <w:proofErr w:type="spellEnd"/>
      <w:r>
        <w:t xml:space="preserve"> </w:t>
      </w:r>
      <w:proofErr w:type="spellStart"/>
      <w:r>
        <w:t>Caruanovej</w:t>
      </w:r>
      <w:proofErr w:type="spellEnd"/>
      <w:r>
        <w:t xml:space="preserve"> </w:t>
      </w:r>
      <w:proofErr w:type="spellStart"/>
      <w:r>
        <w:t>Galiziovej</w:t>
      </w:r>
      <w:proofErr w:type="spellEnd"/>
      <w:r>
        <w:rPr>
          <w:rStyle w:val="FootnoteReference"/>
        </w:rPr>
        <w:footnoteReference w:id="24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svoje uznesenie z 20. októbra 2022 o rastúcom počte trestných činov z nenávisti voči LGBTIQ+ osobám v celej Európe s ohľadom na nedávnu </w:t>
      </w:r>
      <w:proofErr w:type="spellStart"/>
      <w:r>
        <w:t>homofóbnu</w:t>
      </w:r>
      <w:proofErr w:type="spellEnd"/>
      <w:r>
        <w:t xml:space="preserve"> vraždu na Slovensku</w:t>
      </w:r>
      <w:r>
        <w:rPr>
          <w:rStyle w:val="FootnoteReference"/>
        </w:rPr>
        <w:footnoteReference w:id="25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 10. novembra 2022 o rasovej spravodlivosti, nediskriminácii a boji proti rasizmu v EÚ</w:t>
      </w:r>
      <w:r>
        <w:rPr>
          <w:rStyle w:val="FootnoteReference"/>
        </w:rPr>
        <w:footnoteReference w:id="26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 24. novembra 2022 o posúdení dodržiavania zásad právneho štátu Maďarskom podľa nariadenia o podmienenosti a o súčasnom stave maďarského plánu obnovy a odolnosti</w:t>
      </w:r>
      <w:r>
        <w:rPr>
          <w:rStyle w:val="FootnoteReference"/>
        </w:rPr>
        <w:footnoteReference w:id="27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 30. marca 2023 o správe o právnom štáte 2022 – situácia v oblasti právneho štátu v Európskej únii</w:t>
      </w:r>
      <w:r>
        <w:rPr>
          <w:rStyle w:val="FootnoteReference"/>
        </w:rPr>
        <w:footnoteReference w:id="28"/>
      </w:r>
      <w:r>
        <w:t>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svoje uznesenie z 1. júna 2023 o porušovaní zásad právneho štátu a základných práv v Maďarsku a o zmrazených finančných prostriedkoch EÚ</w:t>
      </w:r>
      <w:r>
        <w:rPr>
          <w:rStyle w:val="FootnoteReference"/>
        </w:rPr>
        <w:footnoteReference w:id="29"/>
      </w:r>
      <w:r>
        <w:t>,</w:t>
      </w:r>
    </w:p>
    <w:p>
      <w:pPr>
        <w:pStyle w:val="NormalHanging12a"/>
        <w:rPr>
          <w:snapToGrid/>
        </w:rPr>
      </w:pPr>
      <w:r>
        <w:t>–</w:t>
      </w:r>
      <w:r>
        <w:tab/>
        <w:t xml:space="preserve">so zreteľom na svoje odporúčanie z 15. júna 2023 Rade a Komisii v nadväznosti na vyšetrovanie údajného porušenia práva Únie a nesprávneho úradného postupu pri jeho </w:t>
      </w:r>
      <w:r>
        <w:lastRenderedPageBreak/>
        <w:t xml:space="preserve">uplatňovaní v súvislosti s používaním softvéru </w:t>
      </w:r>
      <w:proofErr w:type="spellStart"/>
      <w:r>
        <w:t>Pegasus</w:t>
      </w:r>
      <w:proofErr w:type="spellEnd"/>
      <w:r>
        <w:t xml:space="preserve"> a rovnocenného špionážneho softvéru</w:t>
      </w:r>
      <w:r>
        <w:rPr>
          <w:rStyle w:val="FootnoteReference"/>
        </w:rPr>
        <w:footnoteReference w:id="30"/>
      </w:r>
      <w:r>
        <w:t xml:space="preserve"> a správu svojho Vyšetrovacieho výboru na prešetrenie používania softvéru </w:t>
      </w:r>
      <w:proofErr w:type="spellStart"/>
      <w:r>
        <w:t>Pegasus</w:t>
      </w:r>
      <w:proofErr w:type="spellEnd"/>
      <w:r>
        <w:t xml:space="preserve"> a rovnocenného špionážneho softvéru z 22. mája 2023,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svoje uznesenie z 11. júla 2023 o volebnom zákone, vyšetrovacej komisii a právnom štáte v Poľsku</w:t>
      </w:r>
      <w:r>
        <w:rPr>
          <w:rStyle w:val="FootnoteReference"/>
        </w:rPr>
        <w:footnoteReference w:id="31"/>
      </w:r>
      <w:r>
        <w:t>,</w:t>
      </w:r>
    </w:p>
    <w:p>
      <w:pPr>
        <w:pStyle w:val="NormalHanging12a"/>
        <w:rPr>
          <w:szCs w:val="24"/>
        </w:rPr>
      </w:pPr>
      <w:r>
        <w:t>–</w:t>
      </w:r>
      <w:r>
        <w:tab/>
        <w:t xml:space="preserve">so zreteľom na svoje uznesenie z 19. októbra 2023 o právnom štáte na Malte: šesť rokov po vražde </w:t>
      </w:r>
      <w:proofErr w:type="spellStart"/>
      <w:r>
        <w:t>Daphne</w:t>
      </w:r>
      <w:proofErr w:type="spellEnd"/>
      <w:r>
        <w:t xml:space="preserve"> </w:t>
      </w:r>
      <w:proofErr w:type="spellStart"/>
      <w:r>
        <w:t>Caruanovej</w:t>
      </w:r>
      <w:proofErr w:type="spellEnd"/>
      <w:r>
        <w:t xml:space="preserve"> </w:t>
      </w:r>
      <w:proofErr w:type="spellStart"/>
      <w:r>
        <w:t>Galiziovej</w:t>
      </w:r>
      <w:proofErr w:type="spellEnd"/>
      <w:r>
        <w:t xml:space="preserve"> a potreba chrániť novinárov</w:t>
      </w:r>
      <w:r>
        <w:rPr>
          <w:rStyle w:val="FootnoteReference"/>
        </w:rPr>
        <w:footnoteReference w:id="32"/>
      </w:r>
      <w:r>
        <w:t>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svoje uznesenie z 18. januára 2024 o situácii v oblasti základných práv v Európskej únii – výročná správa za roky 2022 a 2023</w:t>
      </w:r>
      <w:r>
        <w:rPr>
          <w:vertAlign w:val="superscript"/>
        </w:rPr>
        <w:footnoteReference w:id="33"/>
      </w:r>
      <w:r>
        <w:t>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uznesenie Parlamentného zhromaždenia Rady Európy č. 2262 (2019) o podpore práv osôb patriacich k národnostným menšinám,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odporúčania a správy Úradu pre demokratické inštitúcie a ľudské práva, Vysokého komisára pre otázky národnostných menšín, predstaviteľa pre slobodu médií a iných orgánov Organizácie pre bezpečnosť a spoluprácu v Európe (ďalej len „OBSE“) a na spoluprácu medzi EÚ a OBSE v oblasti demokratizácie, budovania inštitúcií a ľudských práv a na výročnú správu OBSE o trestných činoch z nenávisti, v ktorej sa zúčastnené štáty zaviazali prijať právne predpisy, v ktorých sa stanovia sankcie zohľadňujúce závažnosť trestných činov z nenávisti, prijať opatrenia na riešenie nedostatočného nahlasovania a zaviesť alebo ďalej rozvíjať činnosti zamerané na budovanie kapacít pre pracovníkov orgánov presadzovania práva, prokuratúry a súdov s cieľom predchádzať trestným činom z nenávisti, vyšetrovať ich a stíhať,</w:t>
      </w:r>
    </w:p>
    <w:p>
      <w:pPr>
        <w:pStyle w:val="NormalHanging12a"/>
      </w:pPr>
      <w:r>
        <w:t>–</w:t>
      </w:r>
      <w:r>
        <w:tab/>
        <w:t>so zreteľom na správu vyšetrovacieho výboru PEGA a na uznesenie a odporúčania výboru PEGA</w:t>
      </w:r>
      <w:r>
        <w:rPr>
          <w:rStyle w:val="FootnoteReference"/>
        </w:rPr>
        <w:footnoteReference w:id="34"/>
      </w:r>
      <w:r>
        <w:t>,</w:t>
      </w:r>
    </w:p>
    <w:p>
      <w:pPr>
        <w:pStyle w:val="NormalHanging12a"/>
      </w:pPr>
      <w:r>
        <w:t>–</w:t>
      </w:r>
      <w:r>
        <w:tab/>
        <w:t>so zreteľom na správy o spätnej väzbe, správy zo služobných ciest, otázky na písomné zodpovedanie a odpovede svojej monitorovacej skupiny pre demokraciu, právny štát a základné práva (DRFMG)</w:t>
      </w:r>
      <w:r>
        <w:rPr>
          <w:rStyle w:val="FootnoteReference"/>
        </w:rPr>
        <w:footnoteReference w:id="35"/>
      </w:r>
      <w:r>
        <w:t>,</w:t>
      </w:r>
    </w:p>
    <w:p>
      <w:pPr>
        <w:pStyle w:val="NormalHanging12a"/>
      </w:pPr>
      <w:r>
        <w:t>–</w:t>
      </w:r>
      <w:r>
        <w:tab/>
        <w:t>so zreteľom na článok 54 rokovacieho poriadku,</w:t>
      </w:r>
    </w:p>
    <w:p>
      <w:pPr>
        <w:pStyle w:val="NormalHanging12a"/>
      </w:pPr>
      <w:r>
        <w:t>–</w:t>
      </w:r>
      <w:r>
        <w:tab/>
        <w:t>so zreteľom na stanovisko Výboru pre právne veci,</w:t>
      </w:r>
    </w:p>
    <w:p>
      <w:pPr>
        <w:pStyle w:val="NormalHanging12a"/>
      </w:pPr>
      <w:r>
        <w:t>–</w:t>
      </w:r>
      <w:r>
        <w:tab/>
        <w:t>so zreteľom na správu Výboru pre občianske slobody, spravodlivosť a vnútorné veci (A9-0025/2024),</w:t>
      </w:r>
    </w:p>
    <w:p>
      <w:pPr>
        <w:pStyle w:val="NormalHanging12a"/>
        <w:rPr>
          <w:szCs w:val="24"/>
        </w:rPr>
      </w:pPr>
      <w:r>
        <w:t>A.</w:t>
      </w:r>
      <w:r>
        <w:tab/>
        <w:t xml:space="preserve">keďže Únia je založená na spoločných hodnotách, ktoré sú zakotvené v článku 2 Zmluvy o EÚ, čiže na úcte k ľudskej dôstojnosti, slobode, demokracii, rovnosti, </w:t>
      </w:r>
      <w:r>
        <w:lastRenderedPageBreak/>
        <w:t>právnom štáte a rešpektovaní ľudských práv vrátane práv osôb patriacich k menšinám, teda na hodnotách, ktoré sú spoločné členským štátom a ktoré musia dodržiavať kandidátske krajiny, ak chcú pristúpiť k Únii, ako súčasť kodanských kritérií, ktoré nemožno po pristúpení ignorovať ani nanovo vykladať; keďže demokracia, právny štát a základné práva predstavujú vzájomne sa posilňujúce hodnoty, ktorých narušenie môže predstavovať pre Úniu a práva a slobody jej občanov systémovú hrozbu; keďže dodržiavanie právneho štátu zaväzuje Úniu ako celok a jej členské štáty na všetkých úrovniach riadenia vrátane subjektov na nižšej úrovni štátnej správy;</w:t>
      </w:r>
    </w:p>
    <w:p>
      <w:pPr>
        <w:pStyle w:val="NormalHanging12a"/>
        <w:rPr>
          <w:szCs w:val="24"/>
        </w:rPr>
      </w:pPr>
      <w:r>
        <w:t>B.</w:t>
      </w:r>
      <w:r>
        <w:tab/>
        <w:t>keďže Konferencia o budúcnosti Európy jasne vyjadrila želanie, aby EÚ systematicky presadzovala zásady právneho štátu vo všetkých členských štátoch, chránila základné práva občanov a zachovala dôveryhodnosť EÚ pri presadzovaní jej hodnôt v rámci EÚ a mimo nej;</w:t>
      </w:r>
    </w:p>
    <w:p>
      <w:pPr>
        <w:pStyle w:val="NormalHanging12a"/>
        <w:rPr>
          <w:szCs w:val="24"/>
        </w:rPr>
      </w:pPr>
      <w:r>
        <w:t>C.</w:t>
      </w:r>
      <w:r>
        <w:tab/>
        <w:t>keďže zásada lojálnej spolupráce stanovená v článku 4 ods. 3 Zmluvy o EÚ ukladá Únii a členským štátom povinnosť vzájomne si pomáhať pri vykonávaní záväzkov, ktoré vyplývajú zo zmlúv, a to pri plnom vzájomnom rešpektovaní, a členským štátom ukladá povinnosť, aby prijali všetky vhodné opatrenia, či už všeobecné, alebo konkrétne, na zabezpečenie plnenia záväzkov vyplývajúcich zo zmlúv alebo z aktov inštitúcií Únie;</w:t>
      </w:r>
    </w:p>
    <w:p>
      <w:pPr>
        <w:pStyle w:val="NormalHanging12a"/>
        <w:rPr>
          <w:szCs w:val="24"/>
        </w:rPr>
      </w:pPr>
      <w:r>
        <w:t>D.</w:t>
      </w:r>
      <w:r>
        <w:tab/>
        <w:t>keďže je potrebné posilniť a zefektívniť existujúce mechanizmy a vytvoriť jednotný komplexný mechanizmus EÚ na účinnú ochranu demokracie, právneho štátu a základných práv a zabezpečiť, aby sa hodnoty stanovené v článku 2 Zmluvy o EÚ dodržiavali v celej Únii a presadzovali v kandidátskych krajinách, aby sa tak členským štátom zabránilo vo vypracúvaní vnútroštátneho práva, ktoré je v rozpore s ochranou podľa článku 2 Zmluvy o EÚ;</w:t>
      </w:r>
    </w:p>
    <w:p>
      <w:pPr>
        <w:pStyle w:val="NormalHanging12a"/>
      </w:pPr>
      <w:r>
        <w:t>E.</w:t>
      </w:r>
      <w:r>
        <w:tab/>
        <w:t>keďže Európsky parlament sa v rôznych momentoch zaoberal vo svojich uzneseniach situáciou v oblasti právneho štátu v Bulharsku, Maďarsku, na Malte, v Poľsku, Rumunsku, Slovinsku a na Slovensku; keďže monitorovacia skupina pre demokraciu, právny štát a základné práva (DRFMG) Výboru Európskeho parlamentu pre občianske slobody, spravodlivosť a vnútorné veci takisto monitorovala určité otázky v Belgicku, Bulharsku, Česku, Francúzsku, Grécku, na Malte, v Poľsku, na Slovensku, v Slovinsku a Španielsku;</w:t>
      </w:r>
    </w:p>
    <w:p>
      <w:pPr>
        <w:pStyle w:val="NormalHanging12a"/>
        <w:rPr>
          <w:szCs w:val="24"/>
        </w:rPr>
      </w:pPr>
      <w:r>
        <w:t>F.</w:t>
      </w:r>
      <w:r>
        <w:tab/>
        <w:t>keďže v októbri 2023 sa v Poľsku uskutočnili parlamentné voľby, ktoré ukončili vládu vedenú stranou Právo a spravodlivosť; keďže nová vláda, ktorú tvorí široká demokratická koalícia, prijala pevný záväzok obnoviť právny štát a nezávislosť súdnictva v Poľsku a v tomto smere spolupracuje s Komisiou a Radou EÚ;</w:t>
      </w:r>
    </w:p>
    <w:p>
      <w:pPr>
        <w:pStyle w:val="NormalHanging12a"/>
        <w:rPr>
          <w:szCs w:val="24"/>
        </w:rPr>
      </w:pPr>
      <w:r>
        <w:t>G.</w:t>
      </w:r>
      <w:r>
        <w:tab/>
        <w:t xml:space="preserve">keďže Komisia navrhla zriadiť </w:t>
      </w:r>
      <w:proofErr w:type="spellStart"/>
      <w:r>
        <w:t>medziinštitucionálnu</w:t>
      </w:r>
      <w:proofErr w:type="spellEnd"/>
      <w:r>
        <w:t xml:space="preserve"> „kontaktnú skupinu“ pre právny štát; keďže Európsky parlament prevzal tento návrh a navrhol Komisii a Rade vytvorenie „</w:t>
      </w:r>
      <w:proofErr w:type="spellStart"/>
      <w:r>
        <w:t>medziinštitucionálneho</w:t>
      </w:r>
      <w:proofErr w:type="spellEnd"/>
      <w:r>
        <w:t xml:space="preserve"> pilotného projektu v oblasti demokracie, právneho štátu a základných práv“; keďže predsedníctvo Rady zareagovalo tým, že by to mohlo zvážiť vo svojom budúcom hodnotení dialógu o právnom štáte, a Komisia opätovne potvrdila svoju otvorenosť diskusii o neformálnej kontaktnej skupine pre právny štát;</w:t>
      </w:r>
    </w:p>
    <w:p>
      <w:pPr>
        <w:pStyle w:val="NormalHanging12a"/>
        <w:rPr>
          <w:szCs w:val="24"/>
        </w:rPr>
      </w:pPr>
      <w:r>
        <w:t xml:space="preserve">H. </w:t>
      </w:r>
      <w:r>
        <w:tab/>
        <w:t xml:space="preserve">keďže vlády niektorých členských štátov si, žiaľ, nenašli čas na výmenu názorov v skupine DRFMG, neodpovedali na jej písomné otázky a nestretli sa s jej členmi počas jej služobných ciest v členských štátoch; keďže iné členské štáty si však v rámci svojej </w:t>
      </w:r>
      <w:r>
        <w:lastRenderedPageBreak/>
        <w:t>spoločnej zodpovednosti za ochranu hodnôt EÚ našli čas na zasadnutia, otázky a služobné cesty skupiny DRFMG;</w:t>
      </w:r>
    </w:p>
    <w:p>
      <w:pPr>
        <w:pStyle w:val="NormalHanging12a"/>
        <w:rPr>
          <w:b/>
          <w:i/>
          <w:szCs w:val="24"/>
        </w:rPr>
      </w:pPr>
      <w:r>
        <w:rPr>
          <w:b/>
          <w:i/>
        </w:rPr>
        <w:t>Systémy súdnictva a prokuratúry</w:t>
      </w:r>
    </w:p>
    <w:p>
      <w:pPr>
        <w:pStyle w:val="NormalHanging12a"/>
        <w:rPr>
          <w:szCs w:val="24"/>
        </w:rPr>
      </w:pPr>
      <w:r>
        <w:t>1.</w:t>
      </w:r>
      <w:r>
        <w:tab/>
        <w:t xml:space="preserve">opätovne pripomína, že nezávislé súdnictvo je základom právneho štátu, pretože je predpokladom účinného prostriedku nápravy v prípade, že sú zákony, práva, slobody a demokratické zásady odopierané alebo porušované; zdôrazňuje, že nezávislé a účinné súdnictvo je nevyhnutné nielen na zachovanie právneho štátu a demokracie v členských štátoch a v Únii, ale je aj kľúčom k vykonávaniu práva EÚ, keďže Komisia sa pri presadzovaní práva EÚ spolieha na vnútroštátne súdne orgány; vyjadruje význam vzájomnej dôvery a zároveň zdôrazňuje, že Komisia nemôže ignorovať nedostatky vnútroštátnych súdnych orgánov v niektorých členských štátoch ani predpokladať, že všetky sú schopné zabezpečiť účinné súdne prostriedky nápravy; so znepokojením konštatuje, že hoci sa niektoré súdne systémy môžu na papieri javiť ako spoľahlivé a uspokojivé, v niektorých prípadoch nie sú odolné voči ovládnutiu štátom, politickým zásahom alebo rodinkárstvu; uvedomuje si skutočnosť, že je ťažké zistiť to jednoduchým posúdením formálnych štruktúr; naliehavo preto vyzýva Komisiu, aby vykonala kvalitatívnejšiu analýzu, a to aj </w:t>
      </w:r>
      <w:proofErr w:type="spellStart"/>
      <w:r>
        <w:t>kontextuálnych</w:t>
      </w:r>
      <w:proofErr w:type="spellEnd"/>
      <w:r>
        <w:t xml:space="preserve"> prvkov, najmä pokiaľ ide o dlhodobé vykonávanie;</w:t>
      </w:r>
    </w:p>
    <w:p>
      <w:pPr>
        <w:pStyle w:val="NormalHanging12a"/>
        <w:rPr>
          <w:szCs w:val="24"/>
        </w:rPr>
      </w:pPr>
      <w:r>
        <w:t>2.</w:t>
      </w:r>
      <w:r>
        <w:tab/>
        <w:t>konštatuje, že podľa zistení Komisie existujú veľké rozdiely medzi členskými štátmi EÚ, pokiaľ ide o nezávislosť súdnictva a záruky; konštatuje, že v správe sa uvádza niekoľko pozitívnych iniciatív a prebiehajúci vývoj v súvislosti so súdnymi radami, najmä v Luxembursku, Holandsku, Portugalsku, Taliansku, Švédsku, Fínsku a Maďarsku</w:t>
      </w:r>
      <w:r>
        <w:rPr>
          <w:vertAlign w:val="superscript"/>
        </w:rPr>
        <w:footnoteReference w:id="36"/>
      </w:r>
      <w:r>
        <w:t>; konštatuje, že podľa zistení Komisie je v Poľsku, na Slovensku, v Bulharsku, Španielsku a na Cypre aj naďalej potrebné riešiť obavy týkajúce sa súdnych rád; so znepokojením konštatuje, že disciplinárne konania sa môžu využívať ako prostriedok na obmedzovanie nezávislosti súdnictva, ako je to v prípade Bulharska a ako to bolo v Poľsku za vlády vedenej stranou Právo a spravodlivosť; konštatuje, že Komisia napokon podala na Súdny dvor návrh na začatie konania proti Poľsku za porušenie práva EÚ zo strany jeho ústavného súdu; konštatuje, že súčasný minister spravodlivosti Poľskej republiky je odhodlaný ukončiť nezákonný disciplinárny režim pre sudcov v Poľsku v súlade s rozsudkami Súdneho dvora a Európskeho súdu pre ľudské práva;</w:t>
      </w:r>
    </w:p>
    <w:p>
      <w:pPr>
        <w:pStyle w:val="NormalHanging12a"/>
      </w:pPr>
      <w:r>
        <w:t>3.</w:t>
      </w:r>
      <w:r>
        <w:tab/>
        <w:t xml:space="preserve">konštatuje, že zatiaľ čo podľa zistení Komisie niektoré členské štáty vrátane Fínska, Rakúska, Slovinska, Cypru, Švédska a Maďarska prijali alebo oznámili iniciatívy na zlepšenie postupov vymenúvania sudcov a fungovania najvyšších súdov, na Malte, v Grécku, Litve, Lotyšsku a Írsku pretrvávajú problémy pri vymenúvaní sudcov na vysokej úrovni; zdôrazňuje, že Komisia dospela k záveru, že v Poľsku pretrvávajú vážne obavy v súvislosti s predtým vymenovanými sudcami Najvyššieho súdu vrátane jeho prvého predsedu a v súvislosti s doposiaľ nevykonaným prejudiciálnym rozhodnutím Súdneho dvora týkajúcim sa vymenúvania sudcov senátu pre mimoriadne preskúmanie; konštatuje, že podľa zistení Komisie na Slovensku naďalej vyvoláva obavy trestný čin ohýbania práva zavedený pre sudcov v súvislosti s ich súdnymi rozhodnutiami, keďže má na sudcov negatívny psychologický účinok a predstavuje záťaž pre vyšetrovacie orgány; zdôrazňuje, že v Maďarsku pretrvávajú vážne obavy, </w:t>
      </w:r>
      <w:r>
        <w:lastRenderedPageBreak/>
        <w:t>pokiaľ ide o nezávislosť súdnictva, čo je v rozpore s hlavnými míľnikmi Komisie, vrátane pretrvávajúcich prekážok pri predkladaní návrhov na začatie prejudiciálneho konania, problémov s prideľovaním prípadov v Kúrii a nedostatočného systému menovania predsedu Kúrie;</w:t>
      </w:r>
    </w:p>
    <w:p>
      <w:pPr>
        <w:pStyle w:val="NormalHanging12a"/>
        <w:rPr>
          <w:szCs w:val="24"/>
        </w:rPr>
      </w:pPr>
      <w:r>
        <w:t>4.</w:t>
      </w:r>
      <w:r>
        <w:tab/>
        <w:t>zdôrazňuje, že súdnictvu by sa mali prideliť dostatočné prostriedky nato, aby bolo skutočne prístupné a schopné poskytovať občanom účinný prostriedok nápravy; konštatuje, že Komisia dospela k záveru, že zvýšené zdroje na súdnictvo a iné opatrenia, ktoré prijali Malta, Cyprus a Grécko, zatiaľ neviedli k skráteniu dĺžky konaní a počet nevybavených prípadov zostáva vážnou výzvou; keďže v Chorvátsku, v Taliansku a v Portugalsku sa podnikli určité kroky správnym smerom, ale účinnosť reforiem sa ešte len ukáže; konštatuje, že Komisia vyzvala Nemecko, aby zabezpečilo primerané zdroje pre justičný systém, a to aj pokiaľ ide o úroveň odmeňovania sudcov, s prihliadnutím na európske normy v oblasti zdrojov a odmeňovania v rámci justičného systému; vyzýva Nemecko, aby pokračovalo vo vykonávaní Paktu o právnom štáte a poskytlo dostatočné zdroje justičnému systému zvýšením počtu sudcov na posilnenie federálneho justičného systému; uznáva, že Komisia sa domnieva, že možno pozorovať určitý pokrok pri vykonávaní odporúčania uvedeného v Správe o právnom štáte 2022, ktoré sa týkalo efektívnosti justičného systému, a to aj na Malte a v Španielsku;</w:t>
      </w:r>
    </w:p>
    <w:p>
      <w:pPr>
        <w:pStyle w:val="NormalHanging12a"/>
        <w:rPr>
          <w:szCs w:val="24"/>
        </w:rPr>
      </w:pPr>
      <w:r>
        <w:t>5.</w:t>
      </w:r>
      <w:r>
        <w:tab/>
        <w:t>víta poskytnutie finančných prostriedkov z programu Spravodlivosť na podporu justičnej spolupráce v občianskych a trestných veciach a na pomoc pri ďalšom rozvoji európskej justície;</w:t>
      </w:r>
    </w:p>
    <w:p>
      <w:pPr>
        <w:pStyle w:val="NormalHanging12a"/>
        <w:rPr>
          <w:szCs w:val="24"/>
        </w:rPr>
      </w:pPr>
      <w:r>
        <w:t>6.</w:t>
      </w:r>
      <w:r>
        <w:tab/>
        <w:t xml:space="preserve">domnieva sa, že nato, aby občania mali účinný prístup k spravodlivosti, by členské štáty mali urobiť viac pre poskytovanie bezplatnej alebo cenovo dostupnej právnej pomoci, najmä tým, ktorí si ju nemôžu dovoliť sami, a mali by ďalej uľahčovať prístup k obhajcovi; konštatuje, že Komisia sa domnieva, že sa vyvíja úsilie o riešenie obáv týkajúcich sa prístupu k spravodlivosti a právnej pomoci v Španielsku, Francúzsku, Fínsku, Bulharsku, na Malte a v Litve, a že pretrvávajú obavy v Írsku, Dánsku, Luxembursku a Maďarsku; konštatuje tiež, že Komisia dospela k záveru, že vo viacerých členských štátoch vrátane Španielska, Francúzska, Fínska, Bulharska a Malty prebiehajú kroky na zabezpečenie práva na prístup k obhajcovi a v iných členských štátoch, ako sú Litva, Írsko, Dánsko, Luxembursko a Maďarsko, ešte stále neboli dosiahnuté zlepšenia; v tejto súvislosti vyzýva Komisiu, aby do ďalšej správy o právnom štáte zahrnula posúdenie uplatňovania </w:t>
      </w:r>
      <w:proofErr w:type="spellStart"/>
      <w:r>
        <w:rPr>
          <w:i/>
          <w:iCs/>
        </w:rPr>
        <w:t>acquis</w:t>
      </w:r>
      <w:proofErr w:type="spellEnd"/>
      <w:r>
        <w:t xml:space="preserve"> EÚ v oblasti právnej pomoci v občianskych a trestných veciach, ako je smernica Rady 2002/8/ES</w:t>
      </w:r>
      <w:r>
        <w:rPr>
          <w:rStyle w:val="FootnoteReference"/>
        </w:rPr>
        <w:footnoteReference w:id="37"/>
      </w:r>
      <w:r>
        <w:t xml:space="preserve"> z 27. januára 2003 o zlepšení prístupu k spravodlivosti pri cezhraničných sporoch stanovením minimálnych spoločných pravidiel týkajúcich sa právnej pomoci pri takýchto sporoch, keďže z judikatúry Súdneho dvora vyplýva, že stále existujú otázky týkajúce sa jej výkladu;</w:t>
      </w:r>
    </w:p>
    <w:p>
      <w:pPr>
        <w:pStyle w:val="NormalHanging12a"/>
        <w:rPr>
          <w:szCs w:val="24"/>
        </w:rPr>
      </w:pPr>
      <w:r>
        <w:t>7.</w:t>
      </w:r>
      <w:r>
        <w:tab/>
        <w:t>zdôrazňuje dôležitú úlohu súdnych rád pri ochrane nezávislosti súdnictva; považuje za potrebné vyhodnotiť reformy, ktoré sú v procese prijímania v rôznych členských štátoch, a nabáda na to, aby sa zloženie a fungovanie týchto orgánov prispôsobilo normám stanoveným Komisiou a Radou Európy, ktoré schválil Súdny dvor;</w:t>
      </w:r>
    </w:p>
    <w:p>
      <w:pPr>
        <w:pStyle w:val="NormalHanging12a"/>
        <w:rPr>
          <w:szCs w:val="24"/>
        </w:rPr>
      </w:pPr>
      <w:r>
        <w:t>8.</w:t>
      </w:r>
      <w:r>
        <w:tab/>
        <w:t xml:space="preserve">poukazuje na to, že prokuratúra je kľúčovým prvkom schopnosti súdnictva bojovať proti trestnej činnosti a korupcii; zdôrazňuje, že je dôležité zaručiť autonómiu a zodpovednosť prokuratúry; zdôrazňuje, že je potrebné zaviesť záruky, ktoré pomôžu </w:t>
      </w:r>
      <w:r>
        <w:lastRenderedPageBreak/>
        <w:t>zachovať autonómiu a zodpovednosť prokuratúry vrátane zabezpečenia toho, aby nebola vystavená neprimeranému politickému tlaku, najmä zo strany vlády.</w:t>
      </w:r>
    </w:p>
    <w:p>
      <w:pPr>
        <w:pStyle w:val="NormalHanging12a"/>
        <w:rPr>
          <w:szCs w:val="24"/>
        </w:rPr>
      </w:pPr>
      <w:r>
        <w:t>9.</w:t>
      </w:r>
      <w:r>
        <w:tab/>
        <w:t>vyzýva všetky členské štáty, aby prijali kódex správania sudcov v nadväznosti na odporúčania Skupiny štátov proti korupcii (ďalej len „GRECO“) a so zreteľom na to, že takéto kódexy sa uplatňujú na Európskom súde pre ľudské práva (ďalej len „ESĽP“) a Súdny dvor, aby vytvorili nezávislé mechanizmy na vyšetrovanie údajných porušení kódexu správania a iných zákonov, zlepšili zverejňovanie a transparentnosť konfliktov záujmov a darov prijatých sudcami, riešili otázku javu otáčavých dverí a vyžadovali, aby súdy verejne vysvetlili svoje rozhodnutia o vylúčení;</w:t>
      </w:r>
    </w:p>
    <w:p>
      <w:pPr>
        <w:pStyle w:val="NormalHanging12a"/>
        <w:rPr>
          <w:szCs w:val="24"/>
        </w:rPr>
      </w:pPr>
      <w:r>
        <w:t>10.</w:t>
      </w:r>
      <w:r>
        <w:tab/>
        <w:t>vyjadruje znepokojenie nad zásadnými personálnymi zmenami a avizovanými významnými štrukturálnymi a organizačnými zmenami v slovenskej polícii a v ďalších nezávislých demokratických inštitúciách, a to aj pokiaľ ide o vyšetrovateľov Národnej kriminálnej agentúry Slovenskej republiky (NAKA) pracujúcich na prípadoch závažnej trestnej činnosti a veľkej korupcie, čo vyvoláva pochybnosti o zámeroch týchto zmien; vyjadruje hlboké znepokojenie nad neodôvodneným využívaním zrýchleného legislatívneho procesu zo strany slovenskej vlády, najmä pokiaľ ide o navrhované zmeny Trestného zákona a zrušenie Úradu špeciálnej prokuratúry, ktoré ohrozujú integritu súdnych procesov, podkopávajú boj EÚ proti podvodom a ohrozujú ochranu európskych finančných záujmov a prírody na Slovensku; vyzýva slovenskú vládu, aby prehodnotila tieto zmeny vzhľadom na ich možné dôsledky pre právny štát, finančné záujmy Únie, ako aj protikorupčný rámec EÚ; pripomína, že každá reforma trestného práva musí obsahovať dostatočné a primerané záruky na zabezpečenie kontinuity a účinnosti nových a prebiehajúcich trestných konaní, najmä v súvislosti s veľkou korupciou, ako aj na zaručenie nezávislosti súdnictva a autonómie prokuratúry v súlade s odporúčaniami Komisie v niekoľkých po sebe nasledujúcich správach o právnom štáte; vyjadruje znepokojenie nad tým, že prerozdelenie prípadov špeciálnej prokuratúry môže viesť k značným prieťahom a že v niektorých prípadoch by mohlo dôjsť k premlčaniu;</w:t>
      </w:r>
    </w:p>
    <w:p>
      <w:pPr>
        <w:pStyle w:val="NormalHanging12a"/>
        <w:rPr>
          <w:szCs w:val="24"/>
        </w:rPr>
      </w:pPr>
      <w:r>
        <w:t>11.</w:t>
      </w:r>
      <w:r>
        <w:tab/>
        <w:t>všíma si kroky španielskej vlády spojené s jej nedávnym nástupom do funkcie vrátane budúceho prijatia zákona o amnestii; berie na vedomie otázky, stanoviská a obavy, ktoré v reakcii na tento vývoj vyjadrili rôzne zainteresované strany vrátane združení sudcov, prokurátorov, právnikov, akademickej obce, občianskej spoločnosti a širokej verejnosti; konštatuje, že Komisia sa so žiadosťou o vysvetlenie písomne obrátila aj na španielsku vládu; zdôrazňuje, že táto situácia si zaslúži nezávislé posúdenie; v tejto súvislosti vyzýva španielsku vládu, aby európskym inštitúciám poskytla úplnú transparentnosť, pokiaľ ide o uvedený zákon o amnestii, a konštatuje, že španielsky Senát požiadal Benátsku komisiu o stanovisko k jeho ústavnosti a súladu s európskymi pravidlami a normami; vyjadruje poľutovanie aj nad dlhodobou blokádou súdnej rady, ku ktorej Komisia vo svojej správe o právnom štáte poskytla španielskym orgánom osobitné odporúčania;</w:t>
      </w:r>
    </w:p>
    <w:p>
      <w:pPr>
        <w:pStyle w:val="NormalHanging12a"/>
      </w:pPr>
      <w:r>
        <w:rPr>
          <w:rStyle w:val="BoldItalic"/>
        </w:rPr>
        <w:t>Korupcia</w:t>
      </w:r>
    </w:p>
    <w:p>
      <w:pPr>
        <w:pStyle w:val="NormalHanging12a"/>
      </w:pPr>
      <w:r>
        <w:t>12.</w:t>
      </w:r>
      <w:r>
        <w:tab/>
        <w:t>opätovne zdôrazňuje, že korupcia je závažnou hrozbou pre právny štát a vážne oslabuje dôveru v demokraciu a rovnosť pred zákonom; vyzýva členské štáty a Komisiu, aby zvýšili svoje úsilie o odstránenie korupcie;</w:t>
      </w:r>
    </w:p>
    <w:p>
      <w:pPr>
        <w:pStyle w:val="NormalHanging12a"/>
        <w:rPr>
          <w:szCs w:val="24"/>
        </w:rPr>
      </w:pPr>
      <w:r>
        <w:lastRenderedPageBreak/>
        <w:t>13.</w:t>
      </w:r>
      <w:r>
        <w:tab/>
        <w:t xml:space="preserve">zdôrazňuje, že z prieskumov </w:t>
      </w:r>
      <w:proofErr w:type="spellStart"/>
      <w:r>
        <w:t>Eurobarometra</w:t>
      </w:r>
      <w:proofErr w:type="spellEnd"/>
      <w:r>
        <w:t xml:space="preserve"> o korupcii v roku 2022 vyplýva, že korupcia je pre občanov EÚ a podniky v EÚ naďalej vážnym problémom, pričom veľká časť Európanov sa domnieva, že v ich krajine je korupcia rozšírená (68 %) a že miera korupcie sa zvýšila (41 %); oceňuje, že všetky členské štáty majú v súčasnosti zavedené protikorupčné stratégie, ktoré sa pravidelne hodnotia a revidujú; pripomína, že na odstránenie korupčných praktík je potrebný nielen spoľahlivý právny rámec, ale aj účinné vykonávanie, a že predchádzanie takýmto praktikám si vyžaduje aj transparentné a zodpovedné rámce riadenia a integrity;</w:t>
      </w:r>
    </w:p>
    <w:p>
      <w:pPr>
        <w:pStyle w:val="NormalHanging12a"/>
        <w:rPr>
          <w:szCs w:val="24"/>
        </w:rPr>
      </w:pPr>
      <w:r>
        <w:t>14.</w:t>
      </w:r>
      <w:r>
        <w:tab/>
        <w:t>vyjadruje poľutovanie nad skutočnosťou, že napriek tomu, že všetky členské štáty majú zavedené protikorupčné stratégie, vnímanie korupcie sa v EÚ značne líši, pričom Dánsko, Fínsko, Švédsko a Holandsko patria k najmenej skorumpovaným štátom, zatiaľ čo vnímanie úrovne korupcie v Bulharsku, na Malte, v Maďarsku, Grécku a Slovinsku je znepokojujúce</w:t>
      </w:r>
      <w:r>
        <w:rPr>
          <w:vertAlign w:val="superscript"/>
        </w:rPr>
        <w:t>29</w:t>
      </w:r>
      <w:r>
        <w:t>; so znepokojením zároveň konštatuje, že podľa zistení Komisie niektoré členské štáty, ako napríklad Bulharsko, Malta, Maďarsko, Grécko a Slovinsko, doposiaľ nedosiahli spoľahlivé výsledky vo vyšetrovaní a stíhaní prípadov veľkej korupcie, ktoré by viedli k právoplatným rozsudkom s odstrašujúcim účinkom; berie na vedomie, že skupina GRECO nedávno uverejnila správu o Cypre, v ktorej zdôrazňuje nedostatočnú účinnosť protikorupčných právnych predpisov a poukazuje na osobitné riziká v rámci presadzovania práva</w:t>
      </w:r>
      <w:r>
        <w:rPr>
          <w:vertAlign w:val="superscript"/>
        </w:rPr>
        <w:footnoteReference w:id="38"/>
      </w:r>
      <w:r>
        <w:t xml:space="preserve">; </w:t>
      </w:r>
    </w:p>
    <w:p>
      <w:pPr>
        <w:pStyle w:val="NormalHanging12a"/>
        <w:rPr>
          <w:b/>
          <w:i/>
        </w:rPr>
      </w:pPr>
      <w:r>
        <w:t>15.</w:t>
      </w:r>
      <w:r>
        <w:tab/>
        <w:t xml:space="preserve">zdôrazňuje, že vlády členských štátov a úradníci, politici, volení zástupcovia a lídri EÚ by mali ísť príkladom a zdržať sa akýchkoľvek korupčných praktík a že do vyšetrovania korupcie by nemali zasahovať vlády ani politici; vyzýva DFRMG, aby nadviazala na uznesenia Európskeho parlamentu o právnom štáte s cieľom pomôcť v boji proti beztrestnosti korupcie; poukazuje na to, že do korupcie môžu byť zapojení aj úradníci, politici, volení zástupcovia a lídri EÚ, ako to dokazuje aféra </w:t>
      </w:r>
      <w:proofErr w:type="spellStart"/>
      <w:r>
        <w:t>Katargate</w:t>
      </w:r>
      <w:proofErr w:type="spellEnd"/>
      <w:r>
        <w:t>; opakuje preto svoju požiadavku, aby sa výročná správa vzťahovala aj na inštitúcie EÚ; opakuje svoju výzvu Komisii, aby čo najskôr dokončila rokovania o úplnom členstve EÚ v skupine GRECO;</w:t>
      </w:r>
    </w:p>
    <w:p>
      <w:pPr>
        <w:pStyle w:val="NormalHanging12a"/>
        <w:rPr>
          <w:szCs w:val="24"/>
        </w:rPr>
      </w:pPr>
      <w:r>
        <w:t>16.</w:t>
      </w:r>
      <w:r>
        <w:tab/>
        <w:t>zdôrazňuje, že občania a podniky by sa mali cítiť bezpečne pri nahlasovaní prípadov korupcie, najmä prostredníctvom oznamovania protispoločenskej činnosti; berie na vedomie, že Komisia konštatuje, že v celej EÚ stále existujú veľké prekážky pri oznamovaní protispoločenskej činnosti, hoci niektoré členské štáty, ako sú Slovensko, Cyprus, Dánsko a Malta, podnikli kroky s cieľom pokúsiť sa o zlepšenie tejto situácie; vyzýva slovenskú vládu, aby dodržiavala záväzné zásady smernice EÚ o oznamovateľoch</w:t>
      </w:r>
      <w:r>
        <w:rPr>
          <w:rStyle w:val="FootnoteReference"/>
        </w:rPr>
        <w:footnoteReference w:id="39"/>
      </w:r>
      <w:r>
        <w:t xml:space="preserve"> a prehodnotila navrhované zmeny v oblasti ochrany oznamovateľov na Slovensku; vyjadruje osobitné znepokojenie nad tým, že oznamovatelia by boli so spätnou účinnosťou zbavení svojej ochrany, čo by viedlo k nedostatku právnej istoty; konštatuje, že Úrad na ochranu oznamovateľov upozornil na tieto problémy Komisiu;</w:t>
      </w:r>
    </w:p>
    <w:p>
      <w:pPr>
        <w:pStyle w:val="NormalHanging12a"/>
        <w:rPr>
          <w:szCs w:val="24"/>
        </w:rPr>
      </w:pPr>
      <w:r>
        <w:t>17.</w:t>
      </w:r>
      <w:r>
        <w:tab/>
        <w:t xml:space="preserve">odsudzuje skutočnosť, že Malta naďalej prevádzkuje systém udeľovania občianstva na základe investícií, ktorý prináša veľké riziko korupcie a iných trestných činov, najmä vzhľadom na kroky, ktoré prijalo viacero iných členských štátov s cieľom zabezpečiť </w:t>
      </w:r>
      <w:r>
        <w:lastRenderedPageBreak/>
        <w:t>zrušenie systémov udeľovania občianstva investorom; berie na vedomie prebiehajúce konanie, ktoré Komisia iniciovala na Súdny dvor proti Malte v súvislosti s jej systémom udeľovania občianstva investorom, a opätovne potvrdzuje svoje stanovisko, že Komisia by mala využiť svoju právomoc navrhovať právne predpisy a iniciovať legislatívny zákaz EÚ pre všetky systémy udeľovania občianstva investorom v EÚ;</w:t>
      </w:r>
    </w:p>
    <w:p>
      <w:pPr>
        <w:pStyle w:val="NormalHanging12a"/>
      </w:pPr>
      <w:r>
        <w:t>18.</w:t>
      </w:r>
      <w:r>
        <w:tab/>
        <w:t>uznáva dôležitú úlohu Európskej prokuratúry pri ochrane právneho štátu a boji proti korupcii v Únii a nabáda Komisiu, aby v následných správach pozorne monitorovala úroveň spolupráce členských štátov s Európskou prokuratúrou; vyzýva členské štáty, ktoré tak ešte neurobili, aby sa pripojili k Európskej prokuratúre; víta skutočnosť, že Poľsko začalo postup pristúpenia k Európskej prokuratúre, čo svedčí o pevnom odhodlaní novej vlády chrániť finančné záujmy EÚ a účinne bojovať proti korupcii; domnieva sa, že členstvo v Európskej prokuratúre by malo byť podmienkou na získanie finančných prostriedkov EÚ; opätovne vyzýva na rozšírenie mandátu Európskej prokuratúry;</w:t>
      </w:r>
    </w:p>
    <w:p>
      <w:pPr>
        <w:pStyle w:val="NormalHanging12a"/>
        <w:rPr>
          <w:szCs w:val="24"/>
        </w:rPr>
      </w:pPr>
      <w:r>
        <w:t>19.</w:t>
      </w:r>
      <w:r>
        <w:tab/>
        <w:t xml:space="preserve">domnieva sa, že európske orgány ako </w:t>
      </w:r>
      <w:proofErr w:type="spellStart"/>
      <w:r>
        <w:t>Europol</w:t>
      </w:r>
      <w:proofErr w:type="spellEnd"/>
      <w:r>
        <w:t xml:space="preserve">, </w:t>
      </w:r>
      <w:proofErr w:type="spellStart"/>
      <w:r>
        <w:t>Eurojust</w:t>
      </w:r>
      <w:proofErr w:type="spellEnd"/>
      <w:r>
        <w:t>, Európsky dvor audítorov, Európskej prokuratúra a Európsky úrad pre boj proti podvodom (OLAF) by mali zlepšiť vzájomnú spoluprácu s cieľom predchádzať korupcii v členských štátoch EÚ aj v európskych inštitúciách; v tejto súvislosti vyzýva aj na vytvorenie účinného etického orgánu EÚ;</w:t>
      </w:r>
    </w:p>
    <w:p>
      <w:pPr>
        <w:pStyle w:val="NormalHanging12a"/>
      </w:pPr>
      <w:r>
        <w:t>20.</w:t>
      </w:r>
      <w:r>
        <w:tab/>
        <w:t xml:space="preserve">konštatuje, že do korupcie môžu byť zapojené vnútroštátne orgány vrátane súdnych a policajných orgánov, t. j. práve tie orgány, ktoré by proti nej mali bojovať; v tejto súvislosti je naďalej znepokojený pomalým a obmedzeným napredovaním pri odstraňovaní kultúry beztrestnosti na najvyššej úrovni na Malte, ktorú odhalilo nezávislé verejné vyšetrovanie vraždy </w:t>
      </w:r>
      <w:proofErr w:type="spellStart"/>
      <w:r>
        <w:t>Daphne</w:t>
      </w:r>
      <w:proofErr w:type="spellEnd"/>
      <w:r>
        <w:t xml:space="preserve"> </w:t>
      </w:r>
      <w:proofErr w:type="spellStart"/>
      <w:r>
        <w:t>Caruanovej</w:t>
      </w:r>
      <w:proofErr w:type="spellEnd"/>
      <w:r>
        <w:t xml:space="preserve"> </w:t>
      </w:r>
      <w:proofErr w:type="spellStart"/>
      <w:r>
        <w:t>Galiziovej</w:t>
      </w:r>
      <w:proofErr w:type="spellEnd"/>
      <w:r>
        <w:t xml:space="preserve">; domnieva sa, že orgány EÚ, napríklad </w:t>
      </w:r>
      <w:proofErr w:type="spellStart"/>
      <w:r>
        <w:t>Europol</w:t>
      </w:r>
      <w:proofErr w:type="spellEnd"/>
      <w:r>
        <w:t xml:space="preserve">, zohrávajú dôležitú úlohu pri vyšetrovaní korupcie a zabezpečovaní dôkazov, ale prekážkou je požiadavka vnútroštátneho schválenia zapojenia </w:t>
      </w:r>
      <w:proofErr w:type="spellStart"/>
      <w:r>
        <w:t>Europolu</w:t>
      </w:r>
      <w:proofErr w:type="spellEnd"/>
      <w:r>
        <w:t xml:space="preserve">; vyzýva na posilnenie mandátu </w:t>
      </w:r>
      <w:proofErr w:type="spellStart"/>
      <w:r>
        <w:t>Europolu</w:t>
      </w:r>
      <w:proofErr w:type="spellEnd"/>
      <w:r>
        <w:t xml:space="preserve">, aby mohol vyšetrovať prípady korupcie uvedeného druhu; zdôrazňuje význam zaručenia dohľadu nad </w:t>
      </w:r>
      <w:proofErr w:type="spellStart"/>
      <w:r>
        <w:t>Europolom</w:t>
      </w:r>
      <w:proofErr w:type="spellEnd"/>
      <w:r>
        <w:t xml:space="preserve"> na úrovni EÚ, posilnenia nezávislých mechanizmov zodpovednosti, orgánov a agentúr EÚ a zlepšenia demokratickej kontroly činností </w:t>
      </w:r>
      <w:proofErr w:type="spellStart"/>
      <w:r>
        <w:t>Europolu</w:t>
      </w:r>
      <w:proofErr w:type="spellEnd"/>
      <w:r>
        <w:t>, a to aj prostredníctvom spoločnej parlamentnej kontrolnej skupiny, vrátane systematického hodnotenia všetkých činností agentúry a dodržiavania jej mandátu, ako aj povinnosti prijať kroky v nadväznosti na odporúčania, ktoré Európsky parlament vydáva agentúre;</w:t>
      </w:r>
    </w:p>
    <w:p>
      <w:pPr>
        <w:pStyle w:val="NormalHanging12a"/>
        <w:rPr>
          <w:szCs w:val="24"/>
        </w:rPr>
      </w:pPr>
      <w:r>
        <w:t>21.</w:t>
      </w:r>
      <w:r>
        <w:tab/>
        <w:t xml:space="preserve">víta protikorupčné návrhy Komisie, ktoré reagujú na výzvy Európskeho parlamentu na zintenzívnenie boja proti korupcii; konštatuje, že Komisia má v úmysle začleniť predchádzanie korupcii do vypracúvania politík a programov EÚ a aktívne podporovať úsilie členských štátov o zavedenie silných protikorupčných politík a právnych predpisov; víta ochotu riešiť cezhraničný rozmer korupcie </w:t>
      </w:r>
      <w:proofErr w:type="spellStart"/>
      <w:r>
        <w:t>kriminalizáciou</w:t>
      </w:r>
      <w:proofErr w:type="spellEnd"/>
      <w:r>
        <w:t xml:space="preserve"> trestných činov korupcie a harmonizáciou sankcií v celej EÚ;</w:t>
      </w:r>
    </w:p>
    <w:p>
      <w:pPr>
        <w:pStyle w:val="NormalHanging12a"/>
        <w:rPr>
          <w:szCs w:val="24"/>
        </w:rPr>
      </w:pPr>
      <w:r>
        <w:t>22.</w:t>
      </w:r>
      <w:r>
        <w:tab/>
        <w:t xml:space="preserve">zdôrazňuje, že korupcia a pranie špinavých peňazí sú neoddeliteľne prepojené a že pranie špinavých peňazí je jedným z najdôležitejších faktorov umožňujúcich nelegálne aktivity v rámci organizovanej trestnej činnosti, a teda útokom na právny štát, prostredníctvom ktorého páchatelia prevádzajú príjmy z trestnej činnosti do legálneho hospodárstva; uvedomuje si, že podvody poškodzujúce rozpočet EÚ môžu byť takisto </w:t>
      </w:r>
      <w:proofErr w:type="spellStart"/>
      <w:r>
        <w:t>predstupňom</w:t>
      </w:r>
      <w:proofErr w:type="spellEnd"/>
      <w:r>
        <w:t xml:space="preserve"> prania špinavých peňazí; opätovne potvrdzuje svoje pevné presvedčenie, že ochrana finančných záujmov EÚ sa môže účinne a efektívne presadzovať a </w:t>
      </w:r>
      <w:r>
        <w:lastRenderedPageBreak/>
        <w:t>posilňovať len posilnením štruktúry EÚ na boj proti podvodom a zvýšením transparentnosti európskych inštitúcií, čím sa prekonajú prirodzené obmedzenia vnútroštátnych systémov, ktoré nepostačujú na potláčanie čoraz častejších nadnárodných útokov proti finančným záujmom Únie;</w:t>
      </w:r>
    </w:p>
    <w:p>
      <w:pPr>
        <w:pStyle w:val="NormalHanging12a"/>
      </w:pPr>
      <w:r>
        <w:rPr>
          <w:rStyle w:val="BoldItalic"/>
        </w:rPr>
        <w:t>Nezávislé orgány</w:t>
      </w:r>
    </w:p>
    <w:p>
      <w:pPr>
        <w:pStyle w:val="NormalHanging12a"/>
        <w:rPr>
          <w:szCs w:val="24"/>
        </w:rPr>
      </w:pPr>
      <w:r>
        <w:t>23.</w:t>
      </w:r>
      <w:r>
        <w:tab/>
        <w:t>zdôrazňuje, že systém bŕzd a protiváh môže fungovať len vtedy, ak sú ústavné súdy, ombudsmani, národné inštitúcie pre ľudské práva, audítorské spoločnosti, subjekty pre rovnaké zaobchádzanie a všetky ostatné nezávislé orgány schopné vykonávať svoju prácu a majú dostatočne široké právomoci, nezávislosť, integritu a primerané financovanie;</w:t>
      </w:r>
    </w:p>
    <w:p>
      <w:pPr>
        <w:pStyle w:val="NormalHanging12a"/>
        <w:rPr>
          <w:szCs w:val="24"/>
        </w:rPr>
      </w:pPr>
      <w:r>
        <w:t>24.</w:t>
      </w:r>
      <w:r>
        <w:tab/>
        <w:t>konštatuje, že podľa zistení Komisie sa situácia v súvislosti s ombudsmanmi, národnými inštitúciami pre ľudské práva, subjektmi pre rovnaké zaobchádzanie a ostatnými nezávislými orgánmi v jednotlivých členských štátoch značne líši, pričom na Cypre, Slovensku, v Luxembursku, Portugalsku, Slovinsku a Poľsku sa situácia vyvíja správnym smerom, v Litve, Maďarsku a Chorvátsku pretrvávajú isté problémy, v Taliansku, Česku, na Malte a v Rumunsku ešte stále nebola zriadená žiadna národná inštitúcia pre ľudské práva v súlade s parížskymi zásadami OSN, v Bulharsku, Španielsku a Rakúsku dochádza k oneskoreniam pri vymenúvaní rôznych nezávislých orgánov a v Poľsku je ohrozené účinné fungovanie Najvyššieho kontrolného úradu; s veľkým znepokojením berie na vedomie nedávny vývoj v Grécku, kde sa nezávislé orgány, ako napríklad Grécky úrad pre komunikačnú bezpečnosť a ochranu súkromia (ďalej len „ADAE“) a Grécky úrad na ochranu údajov, ocitli pod rastúcim tlakom v dôsledku svojej činnosti týkajúcej sa nezákonného používania špionážneho softvéru, pričom členovia správnej rady ADAE boli nedávno narýchlo vymenení gréckym parlamentom, podľa všetkého v dôsledku blížiaceho sa rozhodnutia ADAE uložiť pokutu gréckej spravodajskej agentúre;</w:t>
      </w:r>
    </w:p>
    <w:p>
      <w:pPr>
        <w:pStyle w:val="NormalHanging12a"/>
      </w:pPr>
      <w:r>
        <w:rPr>
          <w:rStyle w:val="BoldItalic"/>
        </w:rPr>
        <w:t>Pluralita a sloboda médií</w:t>
      </w:r>
    </w:p>
    <w:p>
      <w:pPr>
        <w:pStyle w:val="NormalHanging12a"/>
      </w:pPr>
      <w:r>
        <w:t>25.</w:t>
      </w:r>
      <w:r>
        <w:tab/>
        <w:t>zdôrazňuje, že bez plurality a slobody médií demokratický život a právny štát nemôže prežiť;</w:t>
      </w:r>
    </w:p>
    <w:p>
      <w:pPr>
        <w:pStyle w:val="NormalHanging12a"/>
      </w:pPr>
      <w:r>
        <w:t>26.</w:t>
      </w:r>
      <w:r>
        <w:tab/>
        <w:t>domnieva sa, že transparentnosť vlastníctva médií je základným minimom na zachovanie plurality médií; konštatuje, že podľa zistení Komisie boli od uverejnenia správy o právnom štáte za rok 2022 v Grécku, Luxembursku a Švédsku prijaté nové právne predpisy, ktoré zvyšujú transparentnosť vlastníctva médií alebo zlepšujú verejnú dostupnosť informácií o vlastníctve médií, a že takéto právne predpisy boli posilnené aj na Cypre; konštatuje, že v Bulharsku, Česku a Francúzsku sa zmeny ešte len očakávajú; nabáda európske inštitúcie, aby konečne prijali a implementovali spoľahlivý a ambiciózny akt o slobode médií s cieľom zabezpečiť harmonizáciu transparentnosti právnych predpisov o vlastníctve médií na úrovni EÚ;</w:t>
      </w:r>
    </w:p>
    <w:p>
      <w:pPr>
        <w:pStyle w:val="NormalHanging12a"/>
        <w:rPr>
          <w:szCs w:val="24"/>
        </w:rPr>
      </w:pPr>
      <w:r>
        <w:t>27.</w:t>
      </w:r>
      <w:r>
        <w:tab/>
        <w:t xml:space="preserve">konštatuje, že podľa zistení Komisie sú regulačné orgány médií chránené nedostatočnými zárukami proti neprimeranému politickému vplyvu, napríklad v Maďarsku, Slovinsku a ešte donedávna v Poľsku v rámci svojej bývalej vlády vedenej stranou Právo a spravodlivosť, a že orgány majú nedostatok zdrojov, najmä v Grécku a Rumunsku; vyzýva Komisiu, aby prijala všetky potrebné opatrenia na zabezpečenie </w:t>
      </w:r>
      <w:r>
        <w:lastRenderedPageBreak/>
        <w:t>účinného vykonávania článku 30 smernice o audiovizuálnych mediálnych službách</w:t>
      </w:r>
      <w:r>
        <w:rPr>
          <w:rStyle w:val="FootnoteReference"/>
        </w:rPr>
        <w:footnoteReference w:id="40"/>
      </w:r>
      <w:r>
        <w:t>, v ktorom sa stanovuje požiadavka záruk nezávislosti národných regulačných orgánov;</w:t>
      </w:r>
    </w:p>
    <w:p>
      <w:pPr>
        <w:pStyle w:val="NormalHanging12a"/>
      </w:pPr>
      <w:r>
        <w:t>28.</w:t>
      </w:r>
      <w:r>
        <w:tab/>
        <w:t>zdôrazňuje význam redakčnej nezávislosti verejnoprávnych médií a povinnosť všetkých členských štátov rešpektovať ju; zdôrazňuje potrebu zaviesť záruky proti vnútorným a vonkajším zásahom; domnieva sa, že verejnoprávne médiá by mali byť chránené pred politickými tlakmi vrátane neprimeraného prepúšťania a že by sa mali zaviesť záruky, ktoré zaručia slobodné prijímanie redakčných rozhodnutí; konštatuje, že Komisia dospela k záveru, že Luxembursko, Slovinsko, Nemecko, Estónsko, Slovensko a Česko prijali iniciatívy na posilnenie právnych záruk alebo rozpočtových prostriedkov na zlepšenie nezávislosti národných verejnoprávnych vysielateľov, pričom Cyprus, Írsko a Švédsko tiež diskutujú o reformách, a opatrenia na tento účel neexistujú v Rumunsku, na Malte a Maďarsku; berie na vedomie úsilie novej poľskej vlády obnoviť nezávislosť verejnoprávnej televízie; keďže najnovšie Monitorovanie plurality médií vyhodnotilo riziko pre redakčnú autonómiu a politickú nezávislosť na Malte ako „vysoké“ a prehodnotilo celkové riziko pre pluralitu médií na Malte zo „stredného“ na „vysoké“;</w:t>
      </w:r>
    </w:p>
    <w:p>
      <w:pPr>
        <w:pStyle w:val="NormalHanging12a"/>
        <w:rPr>
          <w:szCs w:val="24"/>
        </w:rPr>
      </w:pPr>
      <w:r>
        <w:t>29.</w:t>
      </w:r>
      <w:r>
        <w:tab/>
        <w:t xml:space="preserve">so znepokojením berie na vedomie plánovanú reštrukturalizáciu Rozhlasu a televízie Slovenska (RTVS), hlavného verejnoprávneho vysielateľa v krajine; zdôrazňuje význam zachovania slobodných a nezávislých médií ako základného kameňa demokratickej spoločnosti; vyjadruje poľutovanie nad rozhodnutím slovenského predsedu vlády a niekoľkých vládnych predstaviteľov prerušiť komunikáciu s kľúčovými médiami a považuje to za významné oslabenie práva verejnosti na získavanie relevantných vládnych informácií; zdôrazňuje, že takéto opatrenia obmedzujú slobodu a transparentnosť médií a prispievajú k šíreniu </w:t>
      </w:r>
      <w:proofErr w:type="spellStart"/>
      <w:r>
        <w:t>manipulatívnych</w:t>
      </w:r>
      <w:proofErr w:type="spellEnd"/>
      <w:r>
        <w:t xml:space="preserve"> dezinformácií vo verejnom priestore;</w:t>
      </w:r>
    </w:p>
    <w:p>
      <w:pPr>
        <w:pStyle w:val="NormalHanging12a"/>
      </w:pPr>
      <w:r>
        <w:t>30.</w:t>
      </w:r>
      <w:r>
        <w:tab/>
        <w:t>vyzýva Radu a Komisiu, aby zabezpečili primerané financovanie nezávislej a celoeurópskej kvalitnej žurnalistiky na vnútroštátnej, regionálnej a miestnej úrovni;</w:t>
      </w:r>
    </w:p>
    <w:p>
      <w:pPr>
        <w:pStyle w:val="Normal12a24b"/>
      </w:pPr>
      <w:bookmarkStart w:id="9" w:name="_Toc137561359"/>
      <w:bookmarkStart w:id="10" w:name="_Toc151369981"/>
      <w:r>
        <w:rPr>
          <w:rStyle w:val="BoldItalic"/>
        </w:rPr>
        <w:t>Ochrana novinárov</w:t>
      </w:r>
    </w:p>
    <w:p>
      <w:pPr>
        <w:pStyle w:val="NormalHanging12a"/>
        <w:rPr>
          <w:szCs w:val="24"/>
        </w:rPr>
      </w:pPr>
      <w:r>
        <w:t>31.</w:t>
      </w:r>
      <w:r>
        <w:tab/>
        <w:t>pripomína, že nezávislá žurnalistika je dôležitým prvkom demokratického právneho štátu ako súčasť kľúčového systému bŕzd a protiváh a prvok verejnej kontroly; vyjadruje znepokojenie nad úmyselnými pokusmi viacerých vlád a hospodárskych síl umlčať novinárov, ktorí odhaľujú protiprávne konanie; zdôrazňuje, že neodôvodnené zasahovanie a tlak, strach a autocenzúra majú odstrašujúci účinok na uplatňovanie novinárskej slobody prejavu;</w:t>
      </w:r>
    </w:p>
    <w:p>
      <w:pPr>
        <w:pStyle w:val="NormalHanging12a"/>
        <w:rPr>
          <w:szCs w:val="24"/>
        </w:rPr>
      </w:pPr>
      <w:r>
        <w:t>32.</w:t>
      </w:r>
      <w:r>
        <w:tab/>
        <w:t xml:space="preserve">vyjadruje poľutovanie nad znepokojujúcimi trendmi v oblasti bezpečnosti novinárov vo viacerých členských štátoch; konštatuje, že platforma Rady Európy na podporu ochrany žurnalistiky a bezpečnosti novinárov zaznamenala od roku 2015 viac ako 1 600 upozornení na hrozby; vyjadruje poľutovanie nad zastrašovaním novinárov počas volebných kampaní, ako sa to nedávno stalo vo voľbách na Slovensku; vyjadruje poľutovanie nad tým, že Malta od zavraždenia </w:t>
      </w:r>
      <w:proofErr w:type="spellStart"/>
      <w:r>
        <w:t>Daphne</w:t>
      </w:r>
      <w:proofErr w:type="spellEnd"/>
      <w:r>
        <w:t xml:space="preserve"> </w:t>
      </w:r>
      <w:proofErr w:type="spellStart"/>
      <w:r>
        <w:t>Caruanovej</w:t>
      </w:r>
      <w:proofErr w:type="spellEnd"/>
      <w:r>
        <w:t xml:space="preserve"> </w:t>
      </w:r>
      <w:proofErr w:type="spellStart"/>
      <w:r>
        <w:t>Galiziovej</w:t>
      </w:r>
      <w:proofErr w:type="spellEnd"/>
      <w:r>
        <w:t xml:space="preserve"> </w:t>
      </w:r>
      <w:r>
        <w:lastRenderedPageBreak/>
        <w:t>nezlepšila pracovné podmienky novinárov a okrem iného účinne nevykonala odporúčania zo správy z verejného vyšetrovania z 29. júla 2021; vyzýva predstaviteľov slovenskej vlády, aby sa zdržali verbálnych útokov na jednotlivcov; zdôrazňuje povinnosť verejných činiteľov a vládnych predstaviteľov slúžiť všetkým občanom, najmä v krajine, kde v minulosti došlo k trestným činom z nenávisti a vražde novinára;</w:t>
      </w:r>
    </w:p>
    <w:p>
      <w:pPr>
        <w:pStyle w:val="NormalHanging12a"/>
      </w:pPr>
      <w:r>
        <w:t>33.</w:t>
      </w:r>
      <w:r>
        <w:tab/>
        <w:t xml:space="preserve">je znepokojený pretrvávaním strategických žalôb proti verejnej účasti v celej Európskej únii; žiada Komisiu, aby vykonala odporúčanie </w:t>
      </w:r>
      <w:r>
        <w:rPr>
          <w:shd w:val="clear" w:color="auto" w:fill="FFFFFF"/>
        </w:rPr>
        <w:t>(EÚ) 2022/758</w:t>
      </w:r>
      <w:r>
        <w:rPr>
          <w:rStyle w:val="FootnoteReference"/>
          <w:bCs/>
          <w:szCs w:val="24"/>
          <w:shd w:val="clear" w:color="auto" w:fill="FFFFFF"/>
        </w:rPr>
        <w:footnoteReference w:id="41"/>
      </w:r>
      <w:r>
        <w:t>;</w:t>
      </w:r>
      <w:r>
        <w:rPr>
          <w:shd w:val="clear" w:color="auto" w:fill="FFFFFF"/>
        </w:rPr>
        <w:t xml:space="preserve"> </w:t>
      </w:r>
      <w:r>
        <w:t xml:space="preserve">vyzýva členské štáty, aby prijali vnútroštátne opatrenia týkajúce sa strategických žalôb proti verejnej účasti v záujme ochrany novinárov a obhajcov ľudských práv, ktorí sa zapájajú do verejnej účasti, pred zjavne neopodstatnenými alebo zneužívajúcimi súdnymi konaniami; poznamenáva, že to možno urobiť zrušením trestov odňatia slobody za prípady ohovárania, </w:t>
      </w:r>
      <w:proofErr w:type="spellStart"/>
      <w:r>
        <w:t>dekriminalizáciou</w:t>
      </w:r>
      <w:proofErr w:type="spellEnd"/>
      <w:r>
        <w:t xml:space="preserve"> ohovárania a uprednostňovaním občianskoprávnych alebo správnych postupov; víta politickú dohodu medzi </w:t>
      </w:r>
      <w:proofErr w:type="spellStart"/>
      <w:r>
        <w:t>spoluzákonodarcami</w:t>
      </w:r>
      <w:proofErr w:type="spellEnd"/>
      <w:r>
        <w:t xml:space="preserve"> EÚ o smernici proti strategickým žalobám proti verejnej účasti</w:t>
      </w:r>
      <w:r>
        <w:rPr>
          <w:rStyle w:val="FootnoteReference"/>
        </w:rPr>
        <w:footnoteReference w:id="42"/>
      </w:r>
      <w:r>
        <w:t>; vyzýva Komisiu, aby preskúmala možnosť navrhnutia ďalších právnych predpisov na pokrytie všetkých prípadov strategických žalôb proti verejnej účasti vrátane domácich prípadov; vyjadruje poľutovanie nad tým, že napriek obavám vyjadreným rôznymi medzinárodnými organizáciami nie sú navrhované ustanovenia Malty zamerané proti strategickým žalobám proti verejnej účasti dostatočné na ochranu práce novinárov</w:t>
      </w:r>
      <w:r>
        <w:rPr>
          <w:vertAlign w:val="superscript"/>
        </w:rPr>
        <w:footnoteReference w:id="43"/>
      </w:r>
      <w:r>
        <w:t xml:space="preserve">; opakuje svoju výzvu adresovanú niektorým maltským politikom vrátane bývalého maltského premiéra, aby zastavili konania za urážky na cti, ktoré prešli na dedičov </w:t>
      </w:r>
      <w:proofErr w:type="spellStart"/>
      <w:r>
        <w:t>Daphne</w:t>
      </w:r>
      <w:proofErr w:type="spellEnd"/>
      <w:r>
        <w:t xml:space="preserve"> </w:t>
      </w:r>
      <w:proofErr w:type="spellStart"/>
      <w:r>
        <w:t>Caruanovej</w:t>
      </w:r>
      <w:proofErr w:type="spellEnd"/>
      <w:r>
        <w:t xml:space="preserve"> </w:t>
      </w:r>
      <w:proofErr w:type="spellStart"/>
      <w:r>
        <w:t>Galiziovej</w:t>
      </w:r>
      <w:proofErr w:type="spellEnd"/>
      <w:r>
        <w:t xml:space="preserve"> a ktoré stále prebiehajú aj roky po jej vražde;</w:t>
      </w:r>
    </w:p>
    <w:p>
      <w:pPr>
        <w:pStyle w:val="NormalHanging12a"/>
        <w:rPr>
          <w:szCs w:val="24"/>
        </w:rPr>
      </w:pPr>
      <w:r>
        <w:t>34.</w:t>
      </w:r>
      <w:r>
        <w:tab/>
        <w:t>vyzýva grécku vládu, aby riešila závažné problémy identifikované mechanizmom rýchlej reakcie v oblasti slobody médií (</w:t>
      </w:r>
      <w:proofErr w:type="spellStart"/>
      <w:r>
        <w:t>Media</w:t>
      </w:r>
      <w:proofErr w:type="spellEnd"/>
      <w:r>
        <w:t xml:space="preserve"> </w:t>
      </w:r>
      <w:proofErr w:type="spellStart"/>
      <w:r>
        <w:t>Freedom</w:t>
      </w:r>
      <w:proofErr w:type="spellEnd"/>
      <w:r>
        <w:t xml:space="preserve"> Rapid </w:t>
      </w:r>
      <w:proofErr w:type="spellStart"/>
      <w:r>
        <w:t>Response</w:t>
      </w:r>
      <w:proofErr w:type="spellEnd"/>
      <w:r>
        <w:t xml:space="preserve"> – MFRR), ktorý sleduje, monitoruje a reaguje na porušovanie slobody tlače a médií, najmä v súvislosti so svojvoľným sledovaním, beztrestnosťou alebo zločinmi proti novinárom, strategickými žalobami proti účasti verejnosti, nezávislosťou a pluralitou médií</w:t>
      </w:r>
      <w:r>
        <w:rPr>
          <w:vertAlign w:val="superscript"/>
        </w:rPr>
        <w:footnoteReference w:id="44"/>
      </w:r>
      <w:r>
        <w:t>; víta vytvorenie pracovnej skupiny pre ochranu, bezpečnosť a posilnenie postavenia novinárov a iných pracovníkov médií s cieľom posilniť bezpečnosť a nezávislosť novinárov a iných pracovníkov médií, zvýšiť informovanosť, ako aj monitorovať bezpečnosť novinárov, ktoré pracovná skupina iniciovala v súlade s odporúčaním Komisie (EÚ) 2021/1534 zo 16. septembra 2021 k zaručeniu ochrany, bezpečnosti a posilneniu postavenia novinárov a iných pracovníkov médií v Európskej únii</w:t>
      </w:r>
      <w:r>
        <w:rPr>
          <w:rStyle w:val="FootnoteReference"/>
        </w:rPr>
        <w:footnoteReference w:id="45"/>
      </w:r>
      <w:r>
        <w:t xml:space="preserve">; s veľkým znepokojením berie na vedomie nedávne zadržanie reportérky francúzskymi orgánmi, </w:t>
      </w:r>
      <w:r>
        <w:lastRenderedPageBreak/>
        <w:t xml:space="preserve">údajne s cieľom odhaliť jej zdroje, ako aj nezákonné odpočúvanie holandského novinára pracujúceho pre časopis De </w:t>
      </w:r>
      <w:proofErr w:type="spellStart"/>
      <w:r>
        <w:t>Correspondent</w:t>
      </w:r>
      <w:proofErr w:type="spellEnd"/>
      <w:r>
        <w:t xml:space="preserve">; </w:t>
      </w:r>
    </w:p>
    <w:p>
      <w:pPr>
        <w:pStyle w:val="NormalHanging12a"/>
        <w:rPr>
          <w:szCs w:val="24"/>
        </w:rPr>
      </w:pPr>
      <w:r>
        <w:t>35.</w:t>
      </w:r>
      <w:r>
        <w:tab/>
        <w:t xml:space="preserve">dôrazne odsudzuje skutočnosť, že nedošlo k rozhodujúcemu prelomu vo vyšetrovaní vraždy </w:t>
      </w:r>
      <w:proofErr w:type="spellStart"/>
      <w:r>
        <w:t>Giorgosa</w:t>
      </w:r>
      <w:proofErr w:type="spellEnd"/>
      <w:r>
        <w:t xml:space="preserve"> </w:t>
      </w:r>
      <w:proofErr w:type="spellStart"/>
      <w:r>
        <w:t>Karaivaza</w:t>
      </w:r>
      <w:proofErr w:type="spellEnd"/>
      <w:r>
        <w:t xml:space="preserve">; konštatuje, že dvaja údajní vrahovia boli zatknutí viac ako dva roky po vražde na základe dôkazov, ktoré mala polícia podľa všetkého celý čas k dispozícii; domnieva sa, že pôvodca vraždy stále nebol identifikovaný; konštatuje, že </w:t>
      </w:r>
      <w:proofErr w:type="spellStart"/>
      <w:r>
        <w:t>Karaivaz</w:t>
      </w:r>
      <w:proofErr w:type="spellEnd"/>
      <w:r>
        <w:t xml:space="preserve">, podobne ako </w:t>
      </w:r>
      <w:proofErr w:type="spellStart"/>
      <w:r>
        <w:t>Daphne</w:t>
      </w:r>
      <w:proofErr w:type="spellEnd"/>
      <w:r>
        <w:t xml:space="preserve"> </w:t>
      </w:r>
      <w:proofErr w:type="spellStart"/>
      <w:r>
        <w:t>Caruana</w:t>
      </w:r>
      <w:proofErr w:type="spellEnd"/>
      <w:r>
        <w:t xml:space="preserve"> </w:t>
      </w:r>
      <w:proofErr w:type="spellStart"/>
      <w:r>
        <w:t>Galizia</w:t>
      </w:r>
      <w:proofErr w:type="spellEnd"/>
      <w:r>
        <w:t xml:space="preserve"> a Ján </w:t>
      </w:r>
      <w:proofErr w:type="spellStart"/>
      <w:r>
        <w:t>Kuciak</w:t>
      </w:r>
      <w:proofErr w:type="spellEnd"/>
      <w:r>
        <w:t xml:space="preserve">, skúmal korupciu a trestnú činnosť a mohol si znepriateliť osoby na vysokých miestach vrátane politických kruhov; poukazuje na to, že podozrivý osnovateľ vraždy </w:t>
      </w:r>
      <w:proofErr w:type="spellStart"/>
      <w:r>
        <w:t>Daphne</w:t>
      </w:r>
      <w:proofErr w:type="spellEnd"/>
      <w:r>
        <w:t xml:space="preserve"> </w:t>
      </w:r>
      <w:proofErr w:type="spellStart"/>
      <w:r>
        <w:t>Caruanovej</w:t>
      </w:r>
      <w:proofErr w:type="spellEnd"/>
      <w:r>
        <w:t xml:space="preserve"> </w:t>
      </w:r>
      <w:proofErr w:type="spellStart"/>
      <w:r>
        <w:t>Galiziovej</w:t>
      </w:r>
      <w:proofErr w:type="spellEnd"/>
      <w:r>
        <w:t xml:space="preserve"> stále nebol odsúdený a že orgány sa primerane nezaoberali všetkými prípadmi korupcie a trestnej činnosti, ktoré vyšetrovala;</w:t>
      </w:r>
    </w:p>
    <w:p>
      <w:pPr>
        <w:pStyle w:val="NormalHanging12a"/>
      </w:pPr>
      <w:r>
        <w:t>36.</w:t>
      </w:r>
      <w:r>
        <w:tab/>
        <w:t xml:space="preserve">odsudzuje nezákonné sledovanie novinárov, najmä prostredníctvom špionážneho softvéru; je znepokojený tým, že Komisia odmietla vykonať všetky odporúčania osobitného vyšetrovacieho výboru pre </w:t>
      </w:r>
      <w:proofErr w:type="spellStart"/>
      <w:r>
        <w:t>Pegasus</w:t>
      </w:r>
      <w:proofErr w:type="spellEnd"/>
      <w:r>
        <w:t>, a považuje to za nečinnosť; opätovne pripomína svoju výzvu Komisii, aby posúdila splnenie osobitných podmienok v prípade Cypru, Grécka, Maďarska, Poľska a Španielska uvedených v odporúčaní, pre ktoré sa stanovila lehota 30. novembra 2023; víta zriadenie osobitného vyšetrovacieho výboru s vyšetrovacími právomocami v Sejme, dolnej komore poľského parlamentu; vyzýva na dôkladné vyšetrenie údajného závažného porušovania vnútroštátnych právnych predpisov a právnych predpisov EÚ v súvislosti s nezákonným sledovaním na politické účely, ktorého sa dopúšťala vláda vedená stranou Právo a spravodlivosť; je znepokojený tým, že zoznam údajných obetí je veľmi dlhý a zahŕňa viacerých politikov, právnikov, prokurátorov, novinárov, podnikateľov, aktivistov a iné osoby; poukazuje na to, že v žiadnom z množstva prípadov zneužitia špionážneho softvéru proti novinárom, aktivistom, politikom, právnikom a iným politickým cieľom nebolo spravodlivosti učinené zadosť; konštatuje preto, že v rozpore s domnienkou Komisie mnohé vnútroštátne orgány nie sú ochotné ani schopné riešiť túto záležitosť, čo ponecháva obete bez účinného prostriedku nápravy a demokraciu bez ochrany; je hlboko znepokojený odstrašujúcim účinkom beztrestnosti zneužívania špionážneho softvéru proti novinárom a ich zdrojom; zdôrazňuje, že nezákonné používanie špionážneho softvéru vládami štátov priamo a nepriamo ovplyvňuje integritu rozhodovania, čím sa oslabuje demokracia v Európskej únii a podčiarkuje potreba väčšej transparentnosti a právnej zodpovednosti odvetvia dohľadu;</w:t>
      </w:r>
    </w:p>
    <w:p>
      <w:pPr>
        <w:pStyle w:val="NormalHanging12a"/>
        <w:rPr>
          <w:szCs w:val="24"/>
        </w:rPr>
      </w:pPr>
      <w:r>
        <w:t>37.</w:t>
      </w:r>
      <w:r>
        <w:tab/>
        <w:t xml:space="preserve">pripomína, že obchodovanie so špionážnym softvérom a jeho používanie musia byť prísne regulované, že používanie špionážneho softvéru členskými štátmi musí byť primerané a nesmie byť svojvoľné a že sledovanie sa smie povoliť len za úzko vymedzených a vopred určených okolností; domnieva sa, že pre ochranu osobných slobôd sú rozhodujúce účinné mechanizmy </w:t>
      </w:r>
      <w:r>
        <w:rPr>
          <w:i/>
          <w:iCs/>
        </w:rPr>
        <w:t>ex </w:t>
      </w:r>
      <w:proofErr w:type="spellStart"/>
      <w:r>
        <w:rPr>
          <w:i/>
          <w:iCs/>
        </w:rPr>
        <w:t>ante</w:t>
      </w:r>
      <w:proofErr w:type="spellEnd"/>
      <w:r>
        <w:t xml:space="preserve"> na zabezpečenie súdneho dohľadu; opätovne potvrdzuje, že práva jednotlivcov nemôžu byť ohrozené povolením neobmedzeného prístupu k sledovaniu; zdôrazňuje, že dôležitá je aj schopnosť súdnictva vykonávať zmysluplný a účinný následný dohľad v oblasti žiadostí o sledovanie v záujme národnej bezpečnosti, aby sa zabezpečila možnosť napadnúť neprimerané používanie špionážneho softvéru zo strany vlád;</w:t>
      </w:r>
    </w:p>
    <w:p>
      <w:pPr>
        <w:pStyle w:val="NormalHanging12a"/>
      </w:pPr>
      <w:r>
        <w:t>38.</w:t>
      </w:r>
      <w:r>
        <w:tab/>
        <w:t xml:space="preserve">zdôrazňuje, že vplyv nezákonného používania špionážneho softvéru je oveľa výraznejší v členských štátoch, kde sú orgány, ktoré by zvyčajne mali za úlohu vyšetrovať, poskytovať prostriedky nápravy cielene sledovaným osobám a zaručiť zodpovednosť, pod kontrolou štátu, a kde existuje kríza právneho štátu a je ohrozená nezávislosť </w:t>
      </w:r>
      <w:r>
        <w:lastRenderedPageBreak/>
        <w:t>súdnictva, takže sa nemožno spoliehať na vnútroštátne orgány; vyzýva preto Komisiu, aby v správe o právnom štáte zaviedla osobitné monitorovanie a odporúčania pre jednotlivé krajiny týkajúce sa nezákonného používania špionážneho softvéru členskými štátmi, pričom posúdi schopnosť štátnych inštitúcií reagovať, pokiaľ ide o poskytovanie nápravy cielene sledovaným osobám;</w:t>
      </w:r>
    </w:p>
    <w:p>
      <w:pPr>
        <w:pStyle w:val="Normal12a24b"/>
      </w:pPr>
      <w:r>
        <w:rPr>
          <w:rStyle w:val="BoldItalic"/>
        </w:rPr>
        <w:t>Transparentnosť a prístup k informáciám</w:t>
      </w:r>
    </w:p>
    <w:p>
      <w:pPr>
        <w:pStyle w:val="NormalHanging12a"/>
      </w:pPr>
      <w:r>
        <w:t>39.</w:t>
      </w:r>
      <w:r>
        <w:tab/>
        <w:t xml:space="preserve">vyjadruje poľutovanie nad pretrvávajúcimi ťažkosťami, s ktorými sa mnohí občania, novinári a poslanci vo viacerých členských štátoch stretávajú pri získavaní informácií a prístupu k dokumentom; zdôrazňuje, že verejné orgány príliš často úmyselne znemožňujú prístup k informáciám a dokumentom, napríklad neprimeraným odďaľovaním rozhodnutí alebo poskytovaním iba zdanlivého prístupu tým, že informácie sprístupňujú len čiastočne; konštatuje, že Komisia dospela k záveru, že niekoľko členských štátov prijalo iniciatívy na lepšiu reguláciu prístupu k informáciám, napríklad Česko, Litva a Slovensko, a niektoré ďalšie pracujú na zlepšení v tejto oblasti, napríklad Nemecko, Španielsko, Chorvátsko, Luxembursko a Maďarsko; konštatuje však, že niektoré členské štáty stále neriešia obavy v plnej miere, napríklad Malta, Rakúsko a Fínsko; opakovane vyzýva maltskú vládu, aby stiahla svoje odvolania voči radu rozhodnutí, ktorými sa vyhovelo žiadostiam o slobodný prístup k informáciám, ktoré podal portál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Shift</w:t>
      </w:r>
      <w:proofErr w:type="spellEnd"/>
      <w:r>
        <w:rPr>
          <w:i/>
        </w:rPr>
        <w:t xml:space="preserve"> News</w:t>
      </w:r>
      <w:r>
        <w:t>;</w:t>
      </w:r>
    </w:p>
    <w:p>
      <w:pPr>
        <w:pStyle w:val="NormalHanging12a"/>
        <w:rPr>
          <w:szCs w:val="24"/>
        </w:rPr>
      </w:pPr>
      <w:r>
        <w:t>40.</w:t>
      </w:r>
      <w:r>
        <w:tab/>
        <w:t>vyzýva inštitúcie EÚ, aby preukázali príkladné správanie, pokiaľ ide o prístup k informáciám a dokumentom; v tejto súvislosti berie na vedomie nedávnu osobitnú správu európskej ombudsmanky týkajúcu sa času, ktorý Európska komisia potrebuje na vybavenie žiadostí o prístup verejnosti k dokumentom, v nadväznosti na jej strategické vyšetrovanie tejto záležitosti, pri ktorom zistila nesprávny úradný postup, keďže Komisia vykazuje systémové a výrazné oneskorenia pri vybavovaní opakovaných žiadostí</w:t>
      </w:r>
      <w:r>
        <w:rPr>
          <w:vertAlign w:val="superscript"/>
        </w:rPr>
        <w:footnoteReference w:id="46"/>
      </w:r>
      <w:r>
        <w:t xml:space="preserve">; vyzýva Komisiu, aby tento opakujúci sa problém raz a navždy riešila; </w:t>
      </w:r>
    </w:p>
    <w:p>
      <w:pPr>
        <w:pStyle w:val="NormalHanging12a"/>
        <w:rPr>
          <w:szCs w:val="24"/>
        </w:rPr>
      </w:pPr>
      <w:r>
        <w:t>41.</w:t>
      </w:r>
      <w:r>
        <w:tab/>
        <w:t xml:space="preserve">vyzýva členské štáty, aby regulovali </w:t>
      </w:r>
      <w:proofErr w:type="spellStart"/>
      <w:r>
        <w:t>lobing</w:t>
      </w:r>
      <w:proofErr w:type="spellEnd"/>
      <w:r>
        <w:t>, napríklad zavedením vnútroštátnych povinných registrov transparentnosti pre všetkých politikov, členov vlády, vládnych úradníkov a predstaviteľov orgánov a agentúr; nabáda politikov, vládnych úradníkov a predstaviteľov orgánov a agentúr, aby zverejnili zoznam všetkých svojich stretnutí;</w:t>
      </w:r>
    </w:p>
    <w:p>
      <w:pPr>
        <w:pStyle w:val="NormalHanging12a"/>
        <w:rPr>
          <w:b/>
          <w:i/>
          <w:szCs w:val="24"/>
        </w:rPr>
      </w:pPr>
      <w:r>
        <w:rPr>
          <w:b/>
          <w:i/>
        </w:rPr>
        <w:t>Hospodársky rozmer právneho štátu</w:t>
      </w:r>
    </w:p>
    <w:p>
      <w:pPr>
        <w:pStyle w:val="NormalHanging12a"/>
        <w:rPr>
          <w:szCs w:val="24"/>
        </w:rPr>
      </w:pPr>
      <w:r>
        <w:t>42.</w:t>
      </w:r>
      <w:r>
        <w:tab/>
        <w:t>vyzýva na posilnenie zásady právneho štátu na vnútornom trhu; zdôrazňuje, že spoľahlivé a stabilné štruktúry právneho štátu sú kľúčovými piliermi investícií a obchodu, ktoré sú nevyhnutné pre konkurencieschopnosť, a tým aj pre kapacitu systému sociálneho zabezpečenia a trhu práce v Európskej únii; vyjadruje poľutovanie nad opatreniami členských štátov v tejto oblasti, ktoré porušujú právo Únie, ako sú určité protekcionistické opatrenia;</w:t>
      </w:r>
    </w:p>
    <w:p>
      <w:pPr>
        <w:pStyle w:val="NormalHanging12a"/>
        <w:rPr>
          <w:szCs w:val="24"/>
        </w:rPr>
      </w:pPr>
      <w:r>
        <w:lastRenderedPageBreak/>
        <w:t>43.</w:t>
      </w:r>
      <w:r>
        <w:tab/>
        <w:t>žiada, aby sa zintenzívnilo monitorovanie hospodárskeho rozmeru právneho štátu; vyzýva Komisiu, aby v správe o právnom štáte v rámci jej rozšíreného rozsahu viac prihliadala na hospodársky rozmer a venovala mu osobitnú pozornosť;</w:t>
      </w:r>
    </w:p>
    <w:p>
      <w:pPr>
        <w:pStyle w:val="NormalHanging12a"/>
        <w:rPr>
          <w:szCs w:val="24"/>
        </w:rPr>
      </w:pPr>
      <w:r>
        <w:t>44.</w:t>
      </w:r>
      <w:r>
        <w:tab/>
        <w:t>pripomína, že odsudzuje nahlásené systematické diskriminačné, netransparentné a nespravodlivé praktiky voči spoločnostiam v určitých odvetviach v Maďarsku a využívanie finančných prostriedkov EÚ na obohatenie politických spojencov vlády v rozpore s pravidlami EÚ v oblasti hospodárskej súťaže a verejného obstarávania; je hlboko znepokojený rastúcou koncentráciou podnikov v rukách oligarchov napojených na súčasnú vládu, ktorí verejne signalizovali svoj zámer kapitálovo vstúpiť do kľúčových odvetví, ako aj útokom na konkurentov týchto podnikov;</w:t>
      </w:r>
    </w:p>
    <w:p>
      <w:pPr>
        <w:pStyle w:val="NormalHanging12a"/>
        <w:rPr>
          <w:szCs w:val="24"/>
        </w:rPr>
      </w:pPr>
      <w:r>
        <w:t>45.</w:t>
      </w:r>
      <w:r>
        <w:tab/>
        <w:t>pripomína, že v rámci pôsobnosti zmlúv je v súlade s chartou zakázaná akákoľvek diskriminácia na základe štátnej príslušnosti a že sloboda usadiť sa, sloboda poskytovať služby a voľný pohyb kapitálu sú kľúčové pre jednotný trh; zdôrazňuje, že pravidlá týkajúce sa rovnakého zaobchádzania zakazujú zjavnú a skrytú diskrimináciu na základe štátnej príslušnosti alebo, v prípade spoločnosti, jej sídla; zdôrazňuje, že riadne uplatňovanie pravidiel hospodárskej súťaže a verejného obstarávania je aj v záujme maďarských spoločností;</w:t>
      </w:r>
    </w:p>
    <w:p>
      <w:pPr>
        <w:pStyle w:val="NormalHanging12a"/>
        <w:rPr>
          <w:szCs w:val="24"/>
        </w:rPr>
      </w:pPr>
      <w:r>
        <w:t>46.</w:t>
      </w:r>
      <w:r>
        <w:tab/>
        <w:t>vyzýva všetky členské štáty, aby medzinárodnému spoločenstvu preukázali svoj záväzok dodržiavať zásady právneho štátu a aby uplatňovali a vykonávali všetky prijaté reštriktívne opatrenia EÚ presne a konzistentne a aby zabránili ich obchádzaniu; vyzýva Komisiu, aby to dôsledne monitorovala;</w:t>
      </w:r>
    </w:p>
    <w:p>
      <w:pPr>
        <w:pStyle w:val="NormalHanging12a"/>
      </w:pPr>
      <w:r>
        <w:rPr>
          <w:rStyle w:val="BoldItalic"/>
        </w:rPr>
        <w:t>Priestor občianskej spoločnosti</w:t>
      </w:r>
    </w:p>
    <w:p>
      <w:pPr>
        <w:pStyle w:val="NormalHanging12a"/>
        <w:rPr>
          <w:szCs w:val="24"/>
        </w:rPr>
      </w:pPr>
      <w:r>
        <w:t>47.</w:t>
      </w:r>
      <w:r>
        <w:tab/>
        <w:t>uznáva kľúčovú úlohu, ktorú občianska spoločnosť a zdravý občiansky priestor zohrávajú pri presadzovaní a ochrane právneho štátu, a opakuje svoju výzvu, aby sa osobitná kapitola venovala podmienkam občianskej spoločnosti v členských štátoch; konštatuje, že podľa zistení Komisie Malta, Írsko, Bulharsko, Litva a Nemecko oznámili alebo iniciovali úsilie o zlepšenie rámca pre občiansku spoločnosť, pričom uvádza, že občianska spoločnosť čelí osobitným výzvam na Cypre, v Grécku, Španielsku, Taliansku a Francúzsku a pretrvávajúcim autoritárskym a závažným systémovým obmedzeniam v Maďarsku a Poľsku, v rámci svojej bývalej vlády pod vedením strany Právo a spravodlivosť; vyzýva všetky členské štáty, aby akceptovali organizácie občianskej spoločnosti (ďalej len „OOS“) ako dôležité subjekty demokratického života a vytvorili pre občiansku spoločnosť priaznivé prostredie;</w:t>
      </w:r>
    </w:p>
    <w:p>
      <w:pPr>
        <w:pStyle w:val="NormalHanging12a"/>
      </w:pPr>
      <w:r>
        <w:t>48.</w:t>
      </w:r>
      <w:r>
        <w:tab/>
        <w:t>vyzýva Komisiu, aby prostredníctvom účelového financovania ďalej investovala do budovania kapacít OOS na monitorovanie situácie v oblasti právneho štátu v členských štátoch a podávanie správ o nej, napríklad prostredníctvom programu Občania, rovnosť, práva a hodnoty, a aby zabezpečila primeranú ochranu OOS zapojených do tohto procesu; vyjadruje znepokojenie nad tým, že zaujaté rozdeľovanie finančných prostriedkov v niektorých krajinách má vplyv na OOS, ktoré pracujú v oblasti presadzovania práv zraniteľných skupín alebo vo všeobecnosti v oblastiach, ktoré vlády nepodporujú; nabáda na dôkladné posúdenie týchto otázok vo všetkých krajinách, na ktoré sa vzťahuje správa, a zdôrazňuje potrebu odporúčaní pre jednotlivé krajiny na riešenie týchto otázok; naliehavo vyzýva Komisiu, aby zvážila priame riadenie finančných prostriedkov EÚ s cieľom zabezpečiť, aby oprávnení príjemcovia, napríklad OOS, podniky a miestne orgány, dostali finančné prostriedky EÚ, ktoré sú im určené;</w:t>
      </w:r>
    </w:p>
    <w:p>
      <w:pPr>
        <w:pStyle w:val="NormalHanging12a"/>
        <w:rPr>
          <w:szCs w:val="24"/>
        </w:rPr>
      </w:pPr>
      <w:r>
        <w:lastRenderedPageBreak/>
        <w:t>49.</w:t>
      </w:r>
      <w:r>
        <w:tab/>
        <w:t>víta návrh Komisie na smernicu o európskych cezhraničných združeniach (COM(2023)0516) a je odhodlaný prioritne riešiť jej prijatie; okrem toho naliehavo vyzýva Komisiu, aby vypracovala stratégiu stanovujúcu minimálne normy na ochranu OOP vo všetkých členských štátoch s cieľom podporiť regulačné a politické prostredie bez hrozieb a útokov a poskytnúť OOP udržateľný a nediskriminačný prístup k zdrojom a zároveň podporiť ich zapojenie do občianskeho dialógu a účasť na tvorbe politík;</w:t>
      </w:r>
    </w:p>
    <w:p>
      <w:pPr>
        <w:pStyle w:val="NormalHanging12a"/>
        <w:rPr>
          <w:szCs w:val="24"/>
        </w:rPr>
      </w:pPr>
      <w:r>
        <w:t>50.</w:t>
      </w:r>
      <w:r>
        <w:tab/>
        <w:t xml:space="preserve">vyjadruje hlboké znepokojenie nad ohlásenými plánmi slovenskej vlády prijať právne predpisy, ktoré by oslabili občiansky priestor, a to aj obmedzením práce mimovládnych organizácií a </w:t>
      </w:r>
      <w:proofErr w:type="spellStart"/>
      <w:r>
        <w:t>stigmatizáciou</w:t>
      </w:r>
      <w:proofErr w:type="spellEnd"/>
      <w:r>
        <w:t xml:space="preserve"> organizácií financovaných zo zahraničia;</w:t>
      </w:r>
    </w:p>
    <w:p>
      <w:pPr>
        <w:pStyle w:val="NormalHanging12a"/>
        <w:rPr>
          <w:szCs w:val="24"/>
        </w:rPr>
      </w:pPr>
      <w:r>
        <w:t>51.</w:t>
      </w:r>
      <w:r>
        <w:tab/>
        <w:t>odsudzuje skutočnosť, že situácia obhajcov ľudských práv v EÚ sa v posledných rokoch naďalej zhoršovala; naliehavo vyzýva Komisiu a členské štáty, aby prijali potrebné opatrenia nato, aby obhajcovia ľudských práv mohli pracovať bez prekážok a neistoty;</w:t>
      </w:r>
    </w:p>
    <w:p>
      <w:pPr>
        <w:pStyle w:val="NormalHanging12a"/>
        <w:ind w:left="0" w:firstLine="0"/>
        <w:rPr>
          <w:b/>
          <w:i/>
          <w:szCs w:val="24"/>
        </w:rPr>
      </w:pPr>
      <w:r>
        <w:rPr>
          <w:b/>
          <w:i/>
        </w:rPr>
        <w:t>Legitímne použitie sily políciou v rámci právneho štátu a sloboda prejavu a pokojného zhromažďovania</w:t>
      </w:r>
    </w:p>
    <w:p>
      <w:pPr>
        <w:pStyle w:val="NormalHanging12a"/>
        <w:rPr>
          <w:szCs w:val="24"/>
        </w:rPr>
      </w:pPr>
      <w:r>
        <w:t>52.</w:t>
      </w:r>
      <w:r>
        <w:tab/>
        <w:t>zdôrazňuje, že presadzovanie práva zohráva zásadnú úlohu pri zachovávaní právneho štátu, vytváraní bezpečného prostredia pre ľudí a zabezpečení toho, aby mohli požívať základné práva; vyjadruje poľutovanie nad tým, že podľa správy Komisie o právnom štáte 2023 v mnohých členských štátoch vrátane Belgicka, Cypru, Portugalska a Slovenska orgány presadzovania práva nemajú dostatočné zdroje na účinné plnenie svojich úloh, ako je boj proti korupcii; vyzýva členské štáty, aby zabezpečili primerané financovanie a ľudské zdroje pre políciu a iné orgány presadzovania práva;</w:t>
      </w:r>
    </w:p>
    <w:p>
      <w:pPr>
        <w:pStyle w:val="NormalHanging12a"/>
        <w:rPr>
          <w:szCs w:val="24"/>
        </w:rPr>
      </w:pPr>
      <w:r>
        <w:t>53.</w:t>
      </w:r>
      <w:r>
        <w:tab/>
        <w:t>zdôrazňuje, že výsada použitia sily sa musí riešiť mimoriadne opatrne, a podčiarkuje, že členské štáty musia zabezpečiť, aby polícia použila silu len vtedy, keď je to nevyhnutne potrebné a len v rozsahu potrebnom na dosiahnutie legitímneho cieľa; pripomína, že je potrebné, aby polícia plnila svoje úlohy v súlade so zásadou nestrannosti a nediskriminácie; vyzýva členské štáty, aby dôkladne vyšetrili všetky prípady nadmerného použitia sily alebo diskriminačného zaobchádzania zo strany orgánov presadzovania práva a aby zabezpečili systémové záruky proti takémuto zneužívaniu;</w:t>
      </w:r>
    </w:p>
    <w:p>
      <w:pPr>
        <w:pStyle w:val="NormalHanging12a"/>
        <w:rPr>
          <w:szCs w:val="24"/>
        </w:rPr>
      </w:pPr>
      <w:r>
        <w:t>54.</w:t>
      </w:r>
      <w:r>
        <w:tab/>
        <w:t>vyzýva členské štáty, aby v tejto súvislosti zohľadnili Kódex policajnej etiky Rady Európy; domnieva sa, že príslušníci polície by mali byť vyškolení v používaní alternatívnych postupov na udržiavanie verejného poriadku, ktoré neohrozujú životy demonštrantov alebo zadržiavaných osôb; vyzýva členské štáty, aby zaviedli usmernenia pre celú EÚ týkajúce sa transparentného, nezávislého a konzistentného výberu, testovania a skúšania zbraní, ktoré používajú príslušníci orgánov presadzovania práva, a to na základe noriem, odporúčaní a hlavných zásad OSN; konštatuje, že v rámci tohto posudzovania by sa mal pred výberom a nasadením zbraní určiť súlad s medzinárodným právom a normami v oblasti ľudských práv; vyzýva členské štáty, aby zbierali údaje o každom použití sily s cieľom umožniť zhromažďovanie dôkazov o jej používaní, zneužívaní, neočakávaných dôsledkoch, zraneniach a úmrtiach, ako aj ich príčinách; je znepokojený používaním neprimeranej sily orgánmi presadzovania práva v celej EÚ; zdôrazňuje, že francúzska polícia je vyzbrojená viac než väčšina ostatných policajných síl v rámci EÚ; je znepokojený skutočnosťou, že orgány presadzovania práva vo Francúzsku tiež svojvoľné zadržiavajú demonštrantov, čo predstavuje porušenie práva na slobodu, keďže väčšina zadržiavaných osôb je prepustená do niekoľkých hodín bez akýchkoľvek obvinení;</w:t>
      </w:r>
    </w:p>
    <w:p>
      <w:pPr>
        <w:pStyle w:val="NormalHanging12a"/>
        <w:rPr>
          <w:szCs w:val="24"/>
        </w:rPr>
      </w:pPr>
      <w:r>
        <w:lastRenderedPageBreak/>
        <w:t>55.</w:t>
      </w:r>
      <w:r>
        <w:tab/>
        <w:t>je hlboko znepokojený skutočnosťou, že z celej EÚ sú stále hlásené mnohé prípady neprimeraného použitia sily proti demonštrantom vrátane bitia demonštrantov; konštatuje, že orgány presadzovania práva v niektorých členských štátoch čoraz častejšie používajú na kontrolu alebo rozptýlenie davu demonštrantov „menej smrtiace zbrane“, čo zároveň v posledných rokoch viedlo k vážnemu zraneniu značného počtu ľudí, a preto sú nutné jasné usmernenia k ich používaniu;</w:t>
      </w:r>
    </w:p>
    <w:p>
      <w:pPr>
        <w:pStyle w:val="NormalHanging12a"/>
        <w:rPr>
          <w:szCs w:val="24"/>
        </w:rPr>
      </w:pPr>
      <w:r>
        <w:t>56.</w:t>
      </w:r>
      <w:r>
        <w:tab/>
        <w:t>domnieva sa, že na viacerých miestach v celej EÚ sa sloboda prejavu a zhromažďovania uplatňuje za znepokojujúcich podmienok; zdôrazňuje, že obmedzenia práva na pokojné zhromažďovanie sa v zásade nemôžu zakladať na podstate posolstva, ktoré chcú účastníci protestu sprostredkovať, keďže právo na pokojné zhromažďovanie je úzko spojené s právom na slobodu prejavu, s výnimkou zhromaždení zameraných na podnecovanie násilia; trvá na tom, že zákony a postupy týkajúce sa zhromaždení by sa vždy mali riadiť medzinárodnými normami v oblasti ľudských práv týkajúcimi sa slobody zhromažďovania a policajnej práce pri demonštráciách vrátane poskytovania podrobných školení v oblasti ľudských práv pre príslušníkov polície; vyzýva členské štáty, aby neprijímali zákony ani postupy, ktoré by preventívne obmedzovali právo na pokojné zhromažďovanie alebo vopred kriminalizovali demonštrantov bez súdneho dohľadu;</w:t>
      </w:r>
    </w:p>
    <w:p>
      <w:pPr>
        <w:pStyle w:val="NormalHanging12a"/>
        <w:rPr>
          <w:szCs w:val="24"/>
        </w:rPr>
      </w:pPr>
      <w:r>
        <w:t>57.</w:t>
      </w:r>
      <w:r>
        <w:tab/>
        <w:t>vyjadruje hlboké znepokojenie nad mnohými prípadmi nadmerného použitia sily policajnými orgánmi proti menšinovým skupinám, napríklad proti Rómom, v rôznych členských štátoch; vyzýva orgány členských štátov, aby v plnej miere a nezávisle vyšetrili všetky takéto prípady; je hlboko znepokojený skutočnosťou, že za tri roky boli v Grécku zabití traja mladí Rómovia a že tieto udalosti neboli dôkladne vyšetrené;</w:t>
      </w:r>
    </w:p>
    <w:p>
      <w:pPr>
        <w:pStyle w:val="NormalHanging12a"/>
        <w:rPr>
          <w:b/>
          <w:i/>
          <w:szCs w:val="24"/>
        </w:rPr>
      </w:pPr>
      <w:r>
        <w:rPr>
          <w:b/>
          <w:i/>
        </w:rPr>
        <w:t>Rovnosť, nediskriminácia a pluralizmus</w:t>
      </w:r>
    </w:p>
    <w:p>
      <w:pPr>
        <w:pStyle w:val="NormalHanging12a"/>
      </w:pPr>
      <w:r>
        <w:t>58.</w:t>
      </w:r>
      <w:r>
        <w:tab/>
        <w:t>konštatuje, že zaostávanie v oblasti demokracie a právneho štátu a poškodzovanie práv menšín idú často ruka v ruke, a opätovne zdôrazňuje potrebu komplexného prístupu k monitorovaniu demokracie, právneho štátu a základných práv v budúcich správach; vyjadruje poľutovanie nad nedostatočným pokrokom v oblasti ochrany menšín v celej EÚ; odsudzuje nenávistné prejavy voči menšinám, a to aj zo strany vládnych alebo politických predstaviteľov;</w:t>
      </w:r>
    </w:p>
    <w:p>
      <w:pPr>
        <w:pStyle w:val="NormalHanging12a"/>
        <w:rPr>
          <w:szCs w:val="24"/>
        </w:rPr>
      </w:pPr>
      <w:r>
        <w:t>59.</w:t>
      </w:r>
      <w:r>
        <w:tab/>
        <w:t xml:space="preserve">zdôrazňuje, že je potrebné bojovať proti všetkým druhom diskriminácie, nenávistných prejavov a trestných činov osobitne zameraných na menšinové skupiny a príslušníkov národnostných, etnických, jazykových a náboženských menšín; vyzýva Komisiu, aby do nasledujúcej správy zahrnula nový osobitný pilier venovaný tejto téme, ktorý by mapoval všetky formy xenofóbie, rasizmu, antisemitizmu, </w:t>
      </w:r>
      <w:proofErr w:type="spellStart"/>
      <w:r>
        <w:t>islamofóbie</w:t>
      </w:r>
      <w:proofErr w:type="spellEnd"/>
      <w:r>
        <w:t xml:space="preserve">, </w:t>
      </w:r>
      <w:proofErr w:type="spellStart"/>
      <w:r>
        <w:t>protirómskeho</w:t>
      </w:r>
      <w:proofErr w:type="spellEnd"/>
      <w:r>
        <w:t xml:space="preserve"> zmýšľania, fóbie voči LGBTIQ osobám, nenávistných prejavov a diskriminácie vo všetkých členských štátoch;</w:t>
      </w:r>
    </w:p>
    <w:p>
      <w:pPr>
        <w:pStyle w:val="NormalHanging12a"/>
        <w:rPr>
          <w:szCs w:val="24"/>
        </w:rPr>
      </w:pPr>
      <w:r>
        <w:t>60.</w:t>
      </w:r>
      <w:r>
        <w:tab/>
        <w:t>je znepokojený nedávnym nárastom antisemitizmu vrátane násilných činov, zastrašovania a symbolov nenávisti zobrazovaných na verejných priestranstvách;</w:t>
      </w:r>
    </w:p>
    <w:p>
      <w:pPr>
        <w:pStyle w:val="NormalHanging12a"/>
        <w:rPr>
          <w:szCs w:val="24"/>
        </w:rPr>
      </w:pPr>
      <w:r>
        <w:t>61.</w:t>
      </w:r>
      <w:r>
        <w:tab/>
        <w:t xml:space="preserve">je tiež znepokojený mierou </w:t>
      </w:r>
      <w:proofErr w:type="spellStart"/>
      <w:r>
        <w:t>islamofóbie</w:t>
      </w:r>
      <w:proofErr w:type="spellEnd"/>
      <w:r>
        <w:t xml:space="preserve"> v EÚ, ktorá zahŕňa očierňujúce kampane a dezinformácie;</w:t>
      </w:r>
    </w:p>
    <w:p>
      <w:pPr>
        <w:pStyle w:val="NormalHanging12a"/>
        <w:rPr>
          <w:szCs w:val="24"/>
        </w:rPr>
      </w:pPr>
      <w:r>
        <w:t>62.</w:t>
      </w:r>
      <w:r>
        <w:tab/>
        <w:t xml:space="preserve">vyjadruje poľutovanie nad pomalým postupom Komisie pri riešení nedodržiavania právnych predpisov a judikatúry v oblasti základných práv zo strany členských štátov; </w:t>
      </w:r>
      <w:r>
        <w:lastRenderedPageBreak/>
        <w:t>naliehavo vyzýva Komisiu ako strážkyňu zmlúv, aby si plnila svoju povinnosť presadzovať právo EÚ v oblasti ľudských práv a nespoliehala sa len na to, že uplatňovanie práva EÚ budú zaisťovať občania svojimi súdnymi podaniami; odporúča Komisii, aby konala najmä v súvislosti s nevykonaním rozsudkov Súdny dvor podľa článku 260 ods. 2 ZFEÚ a nariadenia o podmienenosti právnym štátom v prípadoch neplnenia povinností;</w:t>
      </w:r>
    </w:p>
    <w:p>
      <w:pPr>
        <w:pStyle w:val="NormalHanging12a"/>
      </w:pPr>
      <w:r>
        <w:t>63.</w:t>
      </w:r>
      <w:r>
        <w:tab/>
        <w:t>vyzýva členské štáty EÚ, aby z ochrany práv LGBTIQ+ osôb urobili skutočnú a prierezovú prioritu vo všetkých oblastiach politiky; vyzýva Komisiu, aby využila všetky dostupné prostriedky na zabezpečenie dodržiavania práv LGBTIQ+ osôb v celej EÚ vrátane využitia postupov v prípade nesplnenia povinnosti voči členským štátom; vyzýva členské štáty, aby zohľadnili 12 odporúčaní Riadiaceho výboru Rady Európy pre nediskrimináciu, rozmanitosť a začlenenie na boj proti trestným činom z nenávisti voči LGBTIQ+ osobám, ako aj odporúčania Európskej komisie proti rasizmu a intolerancii</w:t>
      </w:r>
      <w:r>
        <w:rPr>
          <w:vertAlign w:val="superscript"/>
        </w:rPr>
        <w:footnoteReference w:id="47"/>
      </w:r>
      <w:r>
        <w:t xml:space="preserve">; berie na vedomie nedávny rumunský návrh zákona, ktorého cieľom je dosiahnuť súlad s rozsudkom Súdneho dvora z roku 2018 vo veci </w:t>
      </w:r>
      <w:proofErr w:type="spellStart"/>
      <w:r>
        <w:t>Coman</w:t>
      </w:r>
      <w:proofErr w:type="spellEnd"/>
      <w:r>
        <w:rPr>
          <w:vertAlign w:val="superscript"/>
        </w:rPr>
        <w:footnoteReference w:id="48"/>
      </w:r>
      <w:r>
        <w:t>, ako aj kritiku, že návrhom zákona sa tento rozsudok vykonáva len veľmi okrajovo a že nezaručuje rovnaké práva párom rovnakého pohlavia</w:t>
      </w:r>
      <w:r>
        <w:rPr>
          <w:vertAlign w:val="superscript"/>
        </w:rPr>
        <w:footnoteReference w:id="49"/>
      </w:r>
      <w:r>
        <w:t>; vyzýva všetky ostatné členské štáty bez právneho uznania partnerstiev osôb rovnakého pohlavia, ako sú Bulharsko, Litva, Poľsko, Rumunsko a Slovensko, aby zabezpečili, že toto právo bude stanovené zákonom;</w:t>
      </w:r>
    </w:p>
    <w:p>
      <w:pPr>
        <w:pStyle w:val="NormalHanging12a"/>
        <w:rPr>
          <w:szCs w:val="24"/>
        </w:rPr>
      </w:pPr>
      <w:r>
        <w:t>64.</w:t>
      </w:r>
      <w:r>
        <w:tab/>
        <w:t>vyjadruje hlboké poľutovanie nad tým, že vo viacerých členských štátoch stále nie je možné právne uznanie rodu prostredníctvom zmeny občianskeho stavu; vyjadruje poľutovanie nad nedostatočným úsilím a vôľou bulharskej vlády predložiť dôveryhodný akčný plán na vykonanie rozsudku Európskeho súdu pre ľudské práva vo veci Y.T./Bulharsko z 9. júla 2020; ďalej pripomína, že Bulharsko stále nevykonalo rozsudok Súdneho dvora vo veci malej Sáry (C-490/20);</w:t>
      </w:r>
    </w:p>
    <w:p>
      <w:pPr>
        <w:pStyle w:val="NormalHanging12a"/>
        <w:rPr>
          <w:szCs w:val="24"/>
        </w:rPr>
      </w:pPr>
      <w:r>
        <w:t>65.</w:t>
      </w:r>
      <w:r>
        <w:tab/>
        <w:t xml:space="preserve">vyzýva na začlenenie dôvodov sexuálnej orientácie, rodovej identity, rodového vyjadrenia a pohlavných znakov do antidiskriminačného právneho rámca EÚ, a to na základe širokého výkladu dôvodov sexuálnej orientácie a pohlavia a zásady rovnosti medzi ženami a mužmi stanovenej v zmluvách; konštatuje, že sa tým zabezpečí právna istota a komplexnosť ochrany všetkých občanov Únie a že tento výklad už </w:t>
      </w:r>
      <w:proofErr w:type="spellStart"/>
      <w:r>
        <w:t>spoluzákonodarcovia</w:t>
      </w:r>
      <w:proofErr w:type="spellEnd"/>
      <w:r>
        <w:t xml:space="preserve"> schválili v návrhu smernice, ktorou sa stanovujú normy pre subjekty pre rovnaké zaobchádzanie v oblasti rovnakého zaobchádzania so ženami a s </w:t>
      </w:r>
      <w:r>
        <w:lastRenderedPageBreak/>
        <w:t>mužmi a rovnosti príležitostí pre ženy a mužov v otázkach zamestnania a povolania (COM(2022)0688);</w:t>
      </w:r>
    </w:p>
    <w:p>
      <w:pPr>
        <w:pStyle w:val="NormalHanging12a"/>
        <w:rPr>
          <w:szCs w:val="24"/>
        </w:rPr>
      </w:pPr>
      <w:r>
        <w:t>66.</w:t>
      </w:r>
      <w:r>
        <w:tab/>
        <w:t xml:space="preserve">požaduje európsky zákaz tzv. konverzných praktík; požaduje zákaz mrzačenia pohlavných orgánov, ktoré poškodzuje aj </w:t>
      </w:r>
      <w:proofErr w:type="spellStart"/>
      <w:r>
        <w:t>intersexuálne</w:t>
      </w:r>
      <w:proofErr w:type="spellEnd"/>
      <w:r>
        <w:t xml:space="preserve"> osoby (mrzačenie pohlavných orgánov </w:t>
      </w:r>
      <w:proofErr w:type="spellStart"/>
      <w:r>
        <w:t>intersexuálnych</w:t>
      </w:r>
      <w:proofErr w:type="spellEnd"/>
      <w:r>
        <w:t xml:space="preserve"> osôb); požaduje zákaz nútených interrupcií a nútených sterilizácií, ktoré predstavujú formu rodovo motivovaného násilia a poškodzujú najmä osoby so zdravotným postihnutím; zdôrazňuje, že je dôležité rešpektovať sebaurčenie a autonómiu a podporovať fyzické a duševné zdravie LGBTIQ+ osôb; zdôrazňuje, že jeho pozícia k návrhu smernice o boji proti násiliu na ženách a domácemu násiliu (COM(2022)0105) zahŕňa pridanie mrzačenia ženských pohlavných orgánov, mrzačenia pohlavných orgánov </w:t>
      </w:r>
      <w:proofErr w:type="spellStart"/>
      <w:r>
        <w:t>intersexuálnych</w:t>
      </w:r>
      <w:proofErr w:type="spellEnd"/>
      <w:r>
        <w:t xml:space="preserve"> osôb a nútenej sterilizácie medzi tzv. európske trestné činy;</w:t>
      </w:r>
    </w:p>
    <w:p>
      <w:pPr>
        <w:pStyle w:val="NormalHanging12a"/>
      </w:pPr>
      <w:r>
        <w:t>67.</w:t>
      </w:r>
      <w:r>
        <w:tab/>
        <w:t>opätovne potvrdzuje, že práva žien sú ľudské práva a že nič neodôvodňuje zhoršenie práv a autonómie žien; odsudzuje najmä útok na sexuálne a reprodukčné zdravie a práva žien a dievčat, ku ktorému dochádza vo viacerých členských štátoch; domnieva sa, že právo na bezpečné a legálne umelé prerušenie tehotenstva by malo byť zakotvené v charte;</w:t>
      </w:r>
    </w:p>
    <w:p>
      <w:pPr>
        <w:pStyle w:val="NormalHanging12a"/>
        <w:rPr>
          <w:szCs w:val="24"/>
        </w:rPr>
      </w:pPr>
      <w:r>
        <w:t>68.</w:t>
      </w:r>
      <w:r>
        <w:tab/>
        <w:t xml:space="preserve">zdôrazňuje, že rodovo motivované násilie online aj </w:t>
      </w:r>
      <w:proofErr w:type="spellStart"/>
      <w:r>
        <w:t>offline</w:t>
      </w:r>
      <w:proofErr w:type="spellEnd"/>
      <w:r>
        <w:t xml:space="preserve"> je obzvlášť závažným trestným činom a rozšírenou formou porušovania základných práv a slobôd v Únii, ktoré je potrebné účinnejšie a rozhodnejšie riešiť na spoločnom základe; zdôrazňuje, že rodovo motivované násilie je výsledkom spoločenských a systémových štrukturálnych rodových rozdielov, ktoré majú cezhraničný rozmer; poukazuje najmä na nárast hnutí proti rodovej rovnosti a LGBTIQ+ a </w:t>
      </w:r>
      <w:proofErr w:type="spellStart"/>
      <w:r>
        <w:t>antifeministických</w:t>
      </w:r>
      <w:proofErr w:type="spellEnd"/>
      <w:r>
        <w:t xml:space="preserve"> hnutí, ktoré sú dobre organizované a majú cezhraničnú povahu; okrem toho sa domnieva, že cezhraničný rozmer rodovo motivovaného kybernetického násilia a značný individuálny, ekonomický a spoločenský vplyv rodovo motivovaného násilia vo všetkých členských štátoch opakovane potvrdzujú potrebu bojovať proti rodovo motivovanému násiliu v jeho mnohých rozmeroch na spoločnom základe Únie;</w:t>
      </w:r>
    </w:p>
    <w:p>
      <w:pPr>
        <w:pStyle w:val="NormalHanging12a"/>
        <w:rPr>
          <w:szCs w:val="24"/>
        </w:rPr>
      </w:pPr>
      <w:r>
        <w:t>69.</w:t>
      </w:r>
      <w:r>
        <w:tab/>
        <w:t>zdôrazňuje, že neúspech v boji proti násiliu na ženách a dievčatách a ďalším formám rodovo motivovaného násilia na spoločnom základe vyplýva aj z absencie minimálnych pravidiel týkajúcich sa vymedzenia trestných činov a sankcií; konštatuje, že to zahŕňa spoločné vymedzenie rodovo motivovaného násilia a minimálnych pravidiel týkajúcich sa kľúčových otázok prevencie, nedostatočného nahlasovania, ochrany obetí, podpory a odškodnenia a stíhania páchateľov; zdôrazňuje, že prístupy a úrovne angažovanosti členských štátov, pokiaľ ide o predchádzanie rodovo motivovanému násiliu a boj proti nemu, sa výrazne líšia, a že spoločný základ by preto prispel aj k presadzovaniu práva v cezhraničných operáciách;</w:t>
      </w:r>
    </w:p>
    <w:p>
      <w:pPr>
        <w:pStyle w:val="NormalHanging12a"/>
        <w:rPr>
          <w:szCs w:val="24"/>
        </w:rPr>
      </w:pPr>
      <w:r>
        <w:t>70.</w:t>
      </w:r>
      <w:r>
        <w:tab/>
        <w:t>je presvedčený, že hoci vnútroštátne volebné zákony nepatria do právomoci Únie, všetky volené orgány v Európskej únii by mali zastupovať rozmanité hlasy v </w:t>
      </w:r>
      <w:proofErr w:type="spellStart"/>
      <w:r>
        <w:t>elektoráte</w:t>
      </w:r>
      <w:proofErr w:type="spellEnd"/>
      <w:r>
        <w:t>; vyjadruje hlboké znepokojenie nad určitými volebnými systémami v Únii, ktoré potláčajú pluralizmus, napríklad tým, že majú zavedenú vysokú hranicu zvoliteľnosti; podporuje vnútroštátne volebné reformy v prípadoch, keď veľká časť obyvateľstva zostáva nezastúpená;</w:t>
      </w:r>
    </w:p>
    <w:p>
      <w:pPr>
        <w:pStyle w:val="NormalHanging12a"/>
      </w:pPr>
      <w:r>
        <w:t>71.</w:t>
      </w:r>
      <w:r>
        <w:tab/>
        <w:t xml:space="preserve">dôrazne odsudzuje početné úmrtia utečencov a migrantov na mori, ktorí sú často obeťami obchodovania s ľuďmi a čelia neľudskému a ponižujúcemu zaobchádzaniu bez </w:t>
      </w:r>
      <w:r>
        <w:lastRenderedPageBreak/>
        <w:t xml:space="preserve">toho, aby sa bral akýkoľvek ohľad na ich bezpečnosť a základné práva; pripomína členským štátom, že podľa medzinárodného morského práva majú povinnosť pomáhať osobám v núdzi, a vyzýva na zriadenie komplexnej pátracej a záchrannej misie EÚ vykonávanej príslušnými orgánmi členských štátov a agentúrou </w:t>
      </w:r>
      <w:proofErr w:type="spellStart"/>
      <w:r>
        <w:t>Frontex</w:t>
      </w:r>
      <w:proofErr w:type="spellEnd"/>
      <w:r>
        <w:t xml:space="preserve">; berie na vedomie prácu agentúry </w:t>
      </w:r>
      <w:proofErr w:type="spellStart"/>
      <w:r>
        <w:t>Frontex</w:t>
      </w:r>
      <w:proofErr w:type="spellEnd"/>
      <w:r>
        <w:t xml:space="preserve"> a jej pracovníka pre základné práva, ako aj Agentúry EÚ pre azyl; zdôrazňuje potrebu účinného azylového systému EÚ, ktorý rešpektuje ľudské práva; všíma si pokrok v súvislosti s Novým paktom o migrácii a azyle, ktorý umožní jeho prijatie pred koncom tohto volebného obdobia;</w:t>
      </w:r>
    </w:p>
    <w:p>
      <w:pPr>
        <w:pStyle w:val="NormalHanging12a"/>
        <w:rPr>
          <w:szCs w:val="24"/>
        </w:rPr>
      </w:pPr>
      <w:r>
        <w:t>72.</w:t>
      </w:r>
      <w:r>
        <w:tab/>
        <w:t>víta skutočnosť, že 15. februára 2024 sa Grécko stalo 16. členským štátom, ktorý uzákonil rovnosť manželstiev prijatím prelomového zákona v gréckom parlamente, ktorým sa legalizujú manželstvá osôb rovnakého pohlavia a párom rovnakého pohlavia sa priznávajú plné rodičovské práva;</w:t>
      </w:r>
    </w:p>
    <w:p>
      <w:pPr>
        <w:pStyle w:val="NormalHanging12a"/>
        <w:ind w:left="0" w:firstLine="0"/>
        <w:rPr>
          <w:b/>
          <w:i/>
          <w:szCs w:val="24"/>
        </w:rPr>
      </w:pPr>
      <w:r>
        <w:rPr>
          <w:b/>
          <w:i/>
        </w:rPr>
        <w:t>Prierezové závery o stave demokracie, právneho štátu a základných práv v EÚ</w:t>
      </w:r>
    </w:p>
    <w:p>
      <w:pPr>
        <w:pStyle w:val="NormalHanging12a"/>
      </w:pPr>
      <w:r>
        <w:t>73.</w:t>
      </w:r>
      <w:r>
        <w:tab/>
        <w:t>vzhľadom na uvedené skutočnosti vyjadruje hlboké znepokojenie nad oslabovaním demokracie, právneho štátu a základných práv v celej EÚ; zdôrazňuje, že zatiaľ čo stav, ktorý prezentuje správa Komisie o právnom štáte, odhaľuje mnohé znepokojujúce skutočnosti, situácia vyzerá ešte znepokojujúcejšie, ak sa vezmú do úvahy iné nezávislé správy a zdroje; zdôrazňuje, že narúšanie týchto hodnôt v členských štátoch ohrozuje a oslabuje inštitúcie EÚ a situáciu v EÚ ako celku, aj keď niektoré členské štáty pri ochrane a presadzovaní týchto hodnôt postupujú príkladne;</w:t>
      </w:r>
    </w:p>
    <w:p>
      <w:pPr>
        <w:pStyle w:val="NormalHanging12a"/>
        <w:rPr>
          <w:szCs w:val="24"/>
        </w:rPr>
      </w:pPr>
      <w:r>
        <w:t>74.</w:t>
      </w:r>
      <w:r>
        <w:tab/>
        <w:t>zdôrazňuje, že tento stav nie je len abstraktným záverom, ale ovplyvňuje každodenný život občanov a podnikov EÚ, keďže majú do činenia napríklad so súdnictvom, ktoré nie je efektívne a nezávislé, a s prehlbujúcou sa korupciou a nemajú prístup k nezávislej a kvalitnej žurnalistike; zdôrazňuje, že toto oslabuje dôveru v náš demokratický systém založený na zásadách právneho štátu; domnieva sa, že obnovenie dodržiavania hodnôt EÚ vo všetkých členských štátoch má zásadný význam, ak sa má predísť rozpadu našich spoločností a Únie; vyzýva Komisiu, Radu a Európsku radu, aby plne uznali, že demokracia, právny štát a základné práva nie sú len vnútroštátnymi záležitosťami, ale sú záležitosťami priameho záujmu Európskej únie a jej inštitúcií;</w:t>
      </w:r>
    </w:p>
    <w:p>
      <w:pPr>
        <w:pStyle w:val="NormalHanging12a"/>
        <w:rPr>
          <w:szCs w:val="24"/>
        </w:rPr>
      </w:pPr>
      <w:r>
        <w:t>75.</w:t>
      </w:r>
      <w:r>
        <w:tab/>
        <w:t>vyzýva členské štáty, aby plne dodržiavali hodnoty, na ktorých je založená Únia, ako sú zakotvené v článku 2 Zmluvy o EÚ; v tejto súvislosti vyzýva členské štáty, aby rešpektovali zákonnosť a právnu istotu, predchádzali zneužívaniu moci a zabezpečili rovnosť pred zákonom a nediskrimináciu, prístup k spravodlivosti, deľbu moci, nezávislosť súdnictva a ochranu ľudských práv, keďže ide o kľúčové zásady riadneho fungovania mechanizmov bŕzd a protiváh každej zdravej demokracie; vyzýva Komisiu, aby nezávisle analyzovala dodržiavanie týchto zásad vo všetkých členských štátoch;</w:t>
      </w:r>
    </w:p>
    <w:p>
      <w:pPr>
        <w:pStyle w:val="NormalHanging12a"/>
      </w:pPr>
      <w:r>
        <w:rPr>
          <w:rStyle w:val="BoldItalic"/>
        </w:rPr>
        <w:t>Presadzovania práva EÚ</w:t>
      </w:r>
    </w:p>
    <w:p>
      <w:pPr>
        <w:pStyle w:val="NormalHanging12a"/>
        <w:rPr>
          <w:szCs w:val="24"/>
        </w:rPr>
      </w:pPr>
      <w:r>
        <w:t>76.</w:t>
      </w:r>
      <w:r>
        <w:tab/>
        <w:t>konštatuje, že dôsledné presadzovanie všetkých právnych predpisov EÚ je základným predpokladom únie založenej na právnom štáte; odsudzuje občas otvorené a neskrývané nedodržiavanie právnych predpisov EÚ zo strany viacerých členských štátov v rôznych oblastiach, ako je právo na účinnú právnu ochranu, protikorupčné zákony, azyl, uplatňovanie sankcií a právo v oblasti ľudských práv; zdôrazňuje, že hrozí, že v dôsledku toho sa z EÚ môže stať priestor, kde sa niektoré členské štáty budú cítiť rovnejšie ako iné a kde práva a slobody občanov EÚ nebudú chránené rovnomerne;</w:t>
      </w:r>
    </w:p>
    <w:p>
      <w:pPr>
        <w:pStyle w:val="NormalHanging12a"/>
      </w:pPr>
      <w:r>
        <w:lastRenderedPageBreak/>
        <w:t>77.</w:t>
      </w:r>
      <w:r>
        <w:tab/>
        <w:t>pripomína Komisii, že je v prvom rade strážkyňou zmlúv; zdôrazňuje, že vypracovanie správy nestačí na posilnenie našej Únie založenej na zásadách právneho štátu, ale že by táto správa mala viesť ku konkrétnym opatreniam na presadzovanie práva, najmä v prípadoch, keď sa odporúčania nedodržiavajú v plnej miere;</w:t>
      </w:r>
    </w:p>
    <w:p>
      <w:pPr>
        <w:pStyle w:val="NormalHanging12a"/>
        <w:rPr>
          <w:szCs w:val="24"/>
        </w:rPr>
      </w:pPr>
      <w:r>
        <w:t>78.</w:t>
      </w:r>
      <w:r>
        <w:tab/>
        <w:t>vyjadruje hlboké poľutovanie nad tým, že Komisia neprijíma ráznejšie opatrenia na presadzovanie práva EÚ; vyzýva preto Komisiu, aby zvýšila počet nových postupov v prípade nesplnenia povinnosti a aby s väčšou odvahou a naliehavosťou presadzovala existujúce postupy v prípade nesplnenia povinnosti; vyzýva Komisiu, aby systematicky využívala skrátené konania a návrhy na nariadenie predbežných opatrení na Súdny dvor; vyzýva Komisiu, aby nevyužívala „dialóg“ s členskými štátmi alebo postup „Pilot“ ako otvorené prostriedky na vyhýbanie sa začatiu skutočných postupov v prípade nesplnenia povinnosti; vyzýva Komisiu, aby prehodnotila svoju politiku načrtnutú v oznámení z roku 2022 o presadzovaní práva EÚ, ktorá spočíva v nevyužívaní postupov v prípade nesplnenia povinnosti v individuálnych prípadoch, pretože táto politika vedie k vážnemu porušovaniu práv občanov v celej EÚ, najmä v prípadoch, keď ich vlastné vlády odmietajú dodržiavať právo EÚ alebo rozsudky Súdneho dvora, a tiež preto, že väčšina týchto prípadov nemá len individuálny rozmer, ale týka sa strategických a zásadných otázok;</w:t>
      </w:r>
    </w:p>
    <w:p>
      <w:pPr>
        <w:pStyle w:val="NormalHanging12a"/>
        <w:rPr>
          <w:szCs w:val="24"/>
        </w:rPr>
      </w:pPr>
      <w:r>
        <w:t>79.</w:t>
      </w:r>
      <w:r>
        <w:tab/>
        <w:t>berie na vedomie pretrvávajúci problém neúplného vykonávania rozsudkov ESĽP, pričom berie na vedomie nedávne rozhodnutia Výboru ministrov Rady Európy; víta začleňovanie systémových ukazovateľov vykonávania hlavných rozsudkov ESĽP do správy o právnom štáte od jej vydania z roku 2022; vyzýva však Komisiu, aby vytvorila hodnotiacu tabuľku určenú na monitorovanie vykonávania každého rozsudku Súdneho dvora a ESĽP týkajúceho sa demokracie, právneho štátu a základných práv a aby ju v plnej miere začlenila do výročnej správy o právnom štáte; vyzýva členské štáty, aby bezodkladne vykonali nevykonané rozsudky, pričom žiada Komisiu, aby posúdila dôsledky na dodržiavanie práva EÚ a v prípade potreby podala žalobu pre porušenie povinnosti;</w:t>
      </w:r>
    </w:p>
    <w:p>
      <w:pPr>
        <w:pStyle w:val="NormalHanging12a"/>
        <w:rPr>
          <w:rStyle w:val="BoldItalic"/>
        </w:rPr>
      </w:pPr>
      <w:r>
        <w:rPr>
          <w:rStyle w:val="BoldItalic"/>
        </w:rPr>
        <w:t>Správa o právnom štáte ako nástroj</w:t>
      </w:r>
    </w:p>
    <w:p>
      <w:pPr>
        <w:pStyle w:val="NormalHanging12a"/>
        <w:rPr>
          <w:szCs w:val="24"/>
        </w:rPr>
      </w:pPr>
      <w:r>
        <w:t>80.</w:t>
      </w:r>
      <w:r>
        <w:tab/>
        <w:t>víta správu o právnom štáte ako jeden z kľúčových pilierov súboru nástrojov EÚ na podporu právneho štátu a vyjadruje Komisii uznanie za predloženie dobre vypracovanej správy podloženej starostlivým výskumom; pripomína, že výročná správa o právnom štáte bola zavedená v reakcii na uznesenie Európskeho parlamentu prijaté na základe legislatívnej iniciatívnej správy v roku 2016</w:t>
      </w:r>
      <w:r>
        <w:rPr>
          <w:vertAlign w:val="superscript"/>
        </w:rPr>
        <w:footnoteReference w:id="50"/>
      </w:r>
      <w:r>
        <w:t>;</w:t>
      </w:r>
    </w:p>
    <w:p>
      <w:pPr>
        <w:pStyle w:val="NormalHanging12a"/>
        <w:rPr>
          <w:szCs w:val="24"/>
        </w:rPr>
      </w:pPr>
      <w:r>
        <w:t>81.</w:t>
      </w:r>
      <w:r>
        <w:tab/>
        <w:t>uznáva, že správa o právnom štáte sa stala referenčným bodom pre prácu inštitúcií EÚ týkajúcu sa problémov v oblasti právneho štátu v EÚ a v konkrétnych členských štátoch; berie na vedomie trvalý záväzok Komisie v priebehu rokov zvýšiť relevantnosť správy, napríklad začlenením odporúčaní pre jednotlivé krajiny do predchádzajúceho vydania a posúdením ich plnenia v súčasnej správe;</w:t>
      </w:r>
    </w:p>
    <w:p>
      <w:pPr>
        <w:pStyle w:val="NormalHanging12a"/>
        <w:rPr>
          <w:szCs w:val="24"/>
        </w:rPr>
      </w:pPr>
      <w:r>
        <w:t>82.</w:t>
      </w:r>
      <w:r>
        <w:tab/>
        <w:t xml:space="preserve">uznáva, že správa Komisie o právnom štáte sa od svojho vzniku v roku 2020 stala komplexnejšou; vyjadruje však poľutovanie nad skutočnosťou, že základné prvky z uznesenia Európskeho parlamentu z roku 2016 sa ešte nezaviedli a že Komisia sa v plnej miere nezaoberala odporúčaniami Európskeho parlamentu uvedenými v jeho </w:t>
      </w:r>
      <w:r>
        <w:lastRenderedPageBreak/>
        <w:t>predchádzajúcich uzneseniach; vyzýva Komisiu, aby prijala príslušné opatrenia; vyjadruje poľutovanie najmä nad tým, že správa za rok 2023 nebola výrazne rozšírená o nový komplexný pilier; žiada, aby sa do výročnej správy zahrnuli chýbajúce dôležité prvky zoznamu kritérií právneho štátu Benátskej komisie z roku 2016, ako je predchádzanie zneužívaniu právomocí, rovnosť pred zákonom a nediskriminácia; opätovne zdôrazňuje svoj postoj, že správa by mala zahŕňať celý rozsah hodnôt článku 2 Zmluvy o EÚ, keďže tieto hodnoty nemožno vnímať oddelene; vyzýva Komisiu, aby na budúci rok rozšírila rozsah správy;</w:t>
      </w:r>
    </w:p>
    <w:p>
      <w:pPr>
        <w:pStyle w:val="NormalHanging12a"/>
        <w:rPr>
          <w:szCs w:val="24"/>
        </w:rPr>
      </w:pPr>
      <w:r>
        <w:t>83.</w:t>
      </w:r>
      <w:r>
        <w:tab/>
        <w:t>vyjadruje znepokojenie nad tým, že Komisia v snahe byť vecná a nestranná je niekedy príliš diplomatická a nepresná pri identifikácii problémov právneho štátu v členských štátoch; vyjadruje poľutovanie nad tým, že používanie eufemistického jazyka a umelé udržiavanie rovnakého počtu záverov a odporúčaní pre jednotlivé členské štáty zakrýva skutočné rozdiely medzi členskými štátmi; opakuje odporúčanie rozlišovať medzi systémovými a individuálnymi porušeniami s cieľom zabrániť riziku zľahčovania najzávažnejších porušení zásad právneho štátu; vyzýva Komisiu, aby jasne uviedla, že pri systematickom, zámernom a závažnom porušovaní hodnôt článku 2 Zmluvy o EÚ počas určitého obdobia by členské štáty mohli prestať spĺňať všetky kritériá, podľa ktorých sa vymedzuje demokracia; domnieva sa, že posudzovanie plnenia odporúčaní by malo byť presnejšie a kvalitatívnejšie a nemalo by sa opierať len o legislatívne zmeny, ale aj o reálne a nezávislé dôkazy o ich uplatňovaní v praxi; opakuje, že je potrebné stanoviť harmonogram, ciele a konkrétne kroky vykonávania odporúčaní a podrobne opísať možné dôsledky v prípade ich nedodržania; konštatuje, že medzi zhrnutiami kapitol o jednotlivých krajinách a podrobným obsahom samotných kapitol sú niekedy výrazné rozdiely, ktoré poukazujú na redakčné zásahy;</w:t>
      </w:r>
    </w:p>
    <w:p>
      <w:pPr>
        <w:pStyle w:val="NormalHanging12a"/>
      </w:pPr>
      <w:r>
        <w:t>84.</w:t>
      </w:r>
      <w:r>
        <w:tab/>
        <w:t>opätovne potvrdzuje, že mnohé z týchto problémov by sa dali prekonať zapojením nezávislej skupiny odborníkov do vypracúvania správ, pretože títo odborníci by boli v menšej miere viazaní diplomatickými aspektmi; vyzýva Komisiu, aby prehodnotila svoj postoj k tomuto bodu a preskúmala všetky možnosti zapojenia nezávislých odborníkov do vypracúvania ďalších správ o právnom štáte; opakuje svoju výzvu Komisii, aby vyzvala agentúru FRA, aby poskytovala metodické poradenstvo a uskutočnila porovnávací výskum s cieľom doplniť podrobnosti v kľúčových oblastiach výročnej správy vzhľadom na vnútorné prepojenia medzi základnými právami a právnym štátom;</w:t>
      </w:r>
    </w:p>
    <w:p>
      <w:pPr>
        <w:pStyle w:val="NormalHanging12a"/>
        <w:rPr>
          <w:szCs w:val="24"/>
        </w:rPr>
      </w:pPr>
      <w:r>
        <w:t>85.</w:t>
      </w:r>
      <w:r>
        <w:tab/>
        <w:t>uznáva úsilie Komisie viesť širokú škálu konzultácií a zhromaždiť rôzne príspevky zo všetkých členských štátov, a to aj od vnútroštátnych orgánov a OOS; vyzýva Komisiu, aby šla ešte ďalej a aby v čo najväčšej miere vykonávala v členských štátoch návštevy na mieste, a nie virtuálne návštevy, pretože by mohli poskytnúť ucelenejší a viac kontextový obraz o situácii na mieste; pripomína najmä význam konzultácií s odborníkmi v oblasti práva, napríklad prostredníctvom advokátskych komôr a združení sudcov;</w:t>
      </w:r>
    </w:p>
    <w:p>
      <w:pPr>
        <w:pStyle w:val="NormalHanging12a"/>
        <w:rPr>
          <w:szCs w:val="24"/>
        </w:rPr>
      </w:pPr>
      <w:r>
        <w:t>86.</w:t>
      </w:r>
      <w:r>
        <w:tab/>
        <w:t>uznáva úlohu notárov v mnohých členských štátoch, ktorí z funkčného hľadiska vykonávajú súdne úlohy; domnieva sa, že príspevok notárov k úrovni právneho štátu by sa mal riešiť v rámci kapitol o príslušných krajinách v ďalších vydaniach správy o právnom štáte;</w:t>
      </w:r>
    </w:p>
    <w:p>
      <w:pPr>
        <w:pStyle w:val="NormalHanging12a"/>
        <w:rPr>
          <w:szCs w:val="24"/>
        </w:rPr>
      </w:pPr>
      <w:r>
        <w:lastRenderedPageBreak/>
        <w:t>87.</w:t>
      </w:r>
      <w:r>
        <w:tab/>
        <w:t>víta rozhodnutie Komisie rozšíriť geografický rozsah pôsobnosti budúcich správ o právnom štáte tak, aby zahŕňali kandidátske krajiny, v súlade s predchádzajúcimi výzvami Európskeho parlamentu adresovanými Komisii</w:t>
      </w:r>
      <w:r>
        <w:rPr>
          <w:vertAlign w:val="superscript"/>
        </w:rPr>
        <w:footnoteReference w:id="51"/>
      </w:r>
      <w:r>
        <w:t>;</w:t>
      </w:r>
    </w:p>
    <w:p>
      <w:pPr>
        <w:pStyle w:val="NormalHanging12a"/>
        <w:rPr>
          <w:szCs w:val="24"/>
        </w:rPr>
      </w:pPr>
      <w:r>
        <w:t>88.</w:t>
      </w:r>
      <w:r>
        <w:tab/>
        <w:t>je presvedčený, že najlepším spôsobom, ako zabezpečiť pokračujúcu relevantnosť a vplyv správy, je neustále a ambiciózne rozširovanie jej rámca, otvorenosti a dôsledkov pre oblasť presadzovania;</w:t>
      </w:r>
    </w:p>
    <w:p>
      <w:pPr>
        <w:pStyle w:val="NormalHanging12a"/>
        <w:rPr>
          <w:szCs w:val="24"/>
        </w:rPr>
      </w:pPr>
      <w:r>
        <w:t>89.</w:t>
      </w:r>
      <w:r>
        <w:tab/>
        <w:t>naliehavo vyzýva Komisiu, aby viac investovala do zvyšovania povedomia o hodnotách Únie a príslušných nástrojov vrátane výročnej správy, a to najmä v krajinách, v ktorých existujú vážne obavy;</w:t>
      </w:r>
    </w:p>
    <w:p>
      <w:pPr>
        <w:pStyle w:val="NormalHanging12a"/>
        <w:rPr>
          <w:szCs w:val="24"/>
        </w:rPr>
      </w:pPr>
      <w:r>
        <w:t>90.</w:t>
      </w:r>
      <w:r>
        <w:tab/>
        <w:t>potvrdzuje, že výročná správa o právnom štáte nie je samoúčelná, pretože monitorovanie situácie nestačí, ale malo by skôr viesť ku konkrétnym opatreniam v oblasti presadzovania v nadväznosti na zistené nedostatky; vyzýva preto Komisiu, aby zabezpečila, že táto správa o právnom štáte bude skutočne neoddeliteľnou súčasťou celého procesu v rámci mechanizmu právneho štátu ako celku, a aby zabezpečila plné využívanie úplného súboru nástrojov právneho štátu, ktoré má k dispozícii, vrátane článku 7 Zmluvy o EÚ v prípadoch, keď sa v správe o právnom štáte pri niektorých členských štátoch každoročne konštatuje pokračujúce porušovanie predpisov;</w:t>
      </w:r>
    </w:p>
    <w:p>
      <w:pPr>
        <w:pStyle w:val="NormalHanging12a"/>
      </w:pPr>
      <w:proofErr w:type="spellStart"/>
      <w:r>
        <w:rPr>
          <w:rStyle w:val="BoldItalic"/>
        </w:rPr>
        <w:t>Medziinštitucionálna</w:t>
      </w:r>
      <w:proofErr w:type="spellEnd"/>
      <w:r>
        <w:rPr>
          <w:rStyle w:val="BoldItalic"/>
        </w:rPr>
        <w:t xml:space="preserve"> spolupráca a postupy v oblasti právneho štátu </w:t>
      </w:r>
    </w:p>
    <w:p>
      <w:pPr>
        <w:pStyle w:val="NormalHanging12a"/>
        <w:rPr>
          <w:szCs w:val="24"/>
        </w:rPr>
      </w:pPr>
      <w:r>
        <w:t>91.</w:t>
      </w:r>
      <w:r>
        <w:tab/>
        <w:t xml:space="preserve">berie na vedomie hodnotenie dialógu Rady o právnom štáte a stanovisko Rady, že v tejto súvislosti zváži ďalšiu možnú </w:t>
      </w:r>
      <w:proofErr w:type="spellStart"/>
      <w:r>
        <w:t>medziinštitucionálnu</w:t>
      </w:r>
      <w:proofErr w:type="spellEnd"/>
      <w:r>
        <w:t xml:space="preserve"> spoluprácu; vyzýva Radu, aby zabezpečila väčšiu </w:t>
      </w:r>
      <w:proofErr w:type="spellStart"/>
      <w:r>
        <w:t>inkluzívnosť</w:t>
      </w:r>
      <w:proofErr w:type="spellEnd"/>
      <w:r>
        <w:t xml:space="preserve"> svojho dialógu o právnom štáte a aby na svoje zasadnutia pozývala ďalšie inštitúcie a zainteresované strany, najmä orgány Rady Európy, ako je Benátska komisia, komisár pre ľudské práva, ako aj zástupcov Európskeho parlamentu;</w:t>
      </w:r>
    </w:p>
    <w:p>
      <w:pPr>
        <w:pStyle w:val="NormalHanging12a"/>
        <w:rPr>
          <w:szCs w:val="24"/>
        </w:rPr>
      </w:pPr>
      <w:r>
        <w:t>92.</w:t>
      </w:r>
      <w:r>
        <w:tab/>
        <w:t xml:space="preserve">vyjadruje poľutovanie nad tým, že Komisia a Rada doposiaľ odmietali ponuku Európskeho parlamentu na uzavretie </w:t>
      </w:r>
      <w:proofErr w:type="spellStart"/>
      <w:r>
        <w:t>medziinštitucionálnej</w:t>
      </w:r>
      <w:proofErr w:type="spellEnd"/>
      <w:r>
        <w:t xml:space="preserve"> dohody o demokracii, právnom štáte a základných právach; opätovne potvrdzuje svoju ochotu obnoviť rokovania o tejto dohode;</w:t>
      </w:r>
    </w:p>
    <w:p>
      <w:pPr>
        <w:pStyle w:val="NormalHanging12a"/>
      </w:pPr>
      <w:r>
        <w:t>93.</w:t>
      </w:r>
      <w:r>
        <w:tab/>
        <w:t xml:space="preserve">vyzýva ostatné inštitúcie, aby medzitým aspoň preskúmali možnosť ďalšej spolupráce v rámci navrhovaného </w:t>
      </w:r>
      <w:proofErr w:type="spellStart"/>
      <w:r>
        <w:t>medziinštitucionálneho</w:t>
      </w:r>
      <w:proofErr w:type="spellEnd"/>
      <w:r>
        <w:t xml:space="preserve"> pilotného projektu v oblasti demokracie, právneho štátu a základných práv, ktorý by z praktického hľadiska pomohol budovať dôveru medzi inštitúciami, najmä prostredníctvom výmeny postupov v oblasti monitorovania, dialógu a stretnutí;</w:t>
      </w:r>
    </w:p>
    <w:p>
      <w:pPr>
        <w:pStyle w:val="NormalHanging12a"/>
        <w:rPr>
          <w:szCs w:val="24"/>
        </w:rPr>
      </w:pPr>
      <w:r>
        <w:t>94.</w:t>
      </w:r>
      <w:r>
        <w:tab/>
        <w:t>žiada svoje Predsedníctvo, aby vzhľadom na neochotu Komisie a Rady zorganizovalo postup verejného obstarávania s cieľom vytvoriť dočasný panel nezávislých expertov pod záštitou Európskeho parlamentu, v súlade so záväzkom prijatým v jeho predchádzajúcich uzneseniach, aby mohol Európskemu parlamentu poskytovať poradenstvo v súvislosti s dodržiavaním hodnôt podľa článku 2 Zmluvy o EÚ v rôznych členských štátoch, a na tomto príklade ukázať, ako by tento panel mohol fungovať v praxi;</w:t>
      </w:r>
    </w:p>
    <w:p>
      <w:pPr>
        <w:pStyle w:val="NormalHanging12a"/>
      </w:pPr>
      <w:r>
        <w:lastRenderedPageBreak/>
        <w:t>95.</w:t>
      </w:r>
      <w:r>
        <w:tab/>
        <w:t>odsudzuje úplnú absenciu pokroku v prebiehajúcich postupoch podľa článku 7 ods. 1 Zmluvy o EÚ; naliehavo vyzýva Radu, aby sa zaoberala každým novým vývojom, ktorý má vplyv na právny štát, demokraciu a základné práva; opakuje svoju výzvu Rade, aby sa zaoberala odporúčaniami v rámci tohto postupu, pričom zdôrazňuje, že akékoľvek ďalšie odkladanie takýchto opatrení by predstavovalo porušenie zásady právneho štátu samotnou Radou; trvá na tom, aby sa rešpektovala úloha a právomoci Európskeho parlamentu;</w:t>
      </w:r>
    </w:p>
    <w:p>
      <w:pPr>
        <w:pStyle w:val="NormalHanging12a"/>
        <w:rPr>
          <w:szCs w:val="24"/>
        </w:rPr>
      </w:pPr>
      <w:r>
        <w:t>96.</w:t>
      </w:r>
      <w:r>
        <w:tab/>
        <w:t>vyzýva Komisiu, aby zahrnula, prísne monitorovala a zabezpečila podmienky týkajúce sa demokracie, právneho štátu a základných práv v rámci všetkých rozpočtových nástrojov a procesov; opätovne vyjadruje svoje závažné obavy nad rozhodnutím Komisie, podľa ktorého základná horizontálna podmienka charty v súvislosti s nezávislosťou súdnictva bola splnená, čo maďarským orgánom umožnilo podať žiadosti o úhradu do výšky 10,2 miliardy EUR napriek tomu, že po nedávnych reformách Maďarsko stále nespĺňa normu nezávislosti súdnictva stanovenú v charte; vyzýva Komisiu a Radu, aby v prípade potreby naďalej a bezodkladne uplatňovali nariadenie o podmienenosti právnym štátom a aby nezrušili opatrenia prijaté v prípade Maďarska, kým sa skutočne nesplnia všetky podmienky a míľniky; vyzýva Komisiu, aby pri žiadostiach členských štátov o platbu dôsledne overovala, či sú míľniky týkajúce sa právneho štátu v rôznych plánoch podpory obnovy a odolnosti členských štátov splnené ako podmienka na vyplatenie finančných prostriedkov; vyzýva Komisiu, aby hlavnú zodpovednosť za uplatňovanie týchto podmienok pridelila komisárom zodpovedným za právny štát;</w:t>
      </w:r>
    </w:p>
    <w:p>
      <w:pPr>
        <w:pStyle w:val="NormalHanging12a"/>
        <w:jc w:val="center"/>
      </w:pPr>
      <w:r>
        <w:t>°</w:t>
      </w:r>
    </w:p>
    <w:p>
      <w:pPr>
        <w:pStyle w:val="NormalCenter12a"/>
      </w:pPr>
      <w:r>
        <w:t>°</w:t>
      </w:r>
      <w:r>
        <w:tab/>
        <w:t>°</w:t>
      </w:r>
    </w:p>
    <w:p>
      <w:pPr>
        <w:pStyle w:val="NormalHanging12a"/>
      </w:pPr>
      <w:r>
        <w:t>97.</w:t>
      </w:r>
      <w:r>
        <w:tab/>
        <w:t xml:space="preserve">poveruje svoju predsedníčku, aby postúpila toto uznesenie Rade, vládam členských štátov a Komisii. </w:t>
      </w:r>
      <w:bookmarkEnd w:id="9"/>
      <w:bookmarkEnd w:id="10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433 I, 22.12.2020, s. 1.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231, 30.6.2021, s. 159. 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L 156, 5.5.2021, s. 1.</w:t>
      </w:r>
    </w:p>
  </w:footnote>
  <w:footnote w:id="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215, 19.6.2018, s. 162.</w:t>
      </w:r>
    </w:p>
  </w:footnote>
  <w:footnote w:id="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129, 5.4.2019, s. 13.</w:t>
      </w:r>
    </w:p>
  </w:footnote>
  <w:footnote w:id="6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390, 18.11.2019, s. 117.</w:t>
      </w:r>
    </w:p>
  </w:footnote>
  <w:footnote w:id="7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433, 23.12.2019, s. 66.</w:t>
      </w:r>
    </w:p>
  </w:footnote>
  <w:footnote w:id="8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 363, 28.10.2020, s. 13.</w:t>
      </w:r>
    </w:p>
  </w:footnote>
  <w:footnote w:id="9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363, 28.10.2020, s. 45.</w:t>
      </w:r>
    </w:p>
  </w:footnote>
  <w:footnote w:id="10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395, 29.9.2021, s. 2.</w:t>
      </w:r>
    </w:p>
  </w:footnote>
  <w:footnote w:id="1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415, 13.10.2021, s. 36.</w:t>
      </w:r>
    </w:p>
  </w:footnote>
  <w:footnote w:id="1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445, 29.10.2021, s. 70.</w:t>
      </w:r>
    </w:p>
  </w:footnote>
  <w:footnote w:id="1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67, 8.2.2022, s. 86.</w:t>
      </w:r>
    </w:p>
  </w:footnote>
  <w:footnote w:id="1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81, 18.2.2022, s. 27.</w:t>
      </w:r>
    </w:p>
  </w:footnote>
  <w:footnote w:id="1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99, 1.3.2022, s. 146.</w:t>
      </w:r>
    </w:p>
  </w:footnote>
  <w:footnote w:id="16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 117, 11.3.2022, s. 88.</w:t>
      </w:r>
    </w:p>
  </w:footnote>
  <w:footnote w:id="17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205, 20.5.2022, s. 2.</w:t>
      </w:r>
    </w:p>
  </w:footnote>
  <w:footnote w:id="18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251, 30.6.2022, s. 48.</w:t>
      </w:r>
    </w:p>
  </w:footnote>
  <w:footnote w:id="19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347, 9.9.2022, s. 2.</w:t>
      </w:r>
    </w:p>
  </w:footnote>
  <w:footnote w:id="20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347, 9.9.2022, s. 168.</w:t>
      </w:r>
    </w:p>
  </w:footnote>
  <w:footnote w:id="2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479, 16.12.2022, s. 18.</w:t>
      </w:r>
    </w:p>
  </w:footnote>
  <w:footnote w:id="2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493, 27.12.2022, s. 108.</w:t>
      </w:r>
    </w:p>
  </w:footnote>
  <w:footnote w:id="2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 125, 5.4.2023, s. 80.</w:t>
      </w:r>
    </w:p>
  </w:footnote>
  <w:footnote w:id="2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 149, 28.4.2023, s. 15.</w:t>
      </w:r>
    </w:p>
  </w:footnote>
  <w:footnote w:id="2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149, 28.4.2023, s. 22.</w:t>
      </w:r>
    </w:p>
  </w:footnote>
  <w:footnote w:id="26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161, 5.5.2023, s. 10.</w:t>
      </w:r>
    </w:p>
  </w:footnote>
  <w:footnote w:id="27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167, 11.5.2023, s. 74.</w:t>
      </w:r>
    </w:p>
  </w:footnote>
  <w:footnote w:id="28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 341, 27.9.2023, s. 2.</w:t>
      </w:r>
    </w:p>
  </w:footnote>
  <w:footnote w:id="29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C, C/2023/1223, 21.12.2023.</w:t>
      </w:r>
    </w:p>
  </w:footnote>
  <w:footnote w:id="30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C, C/2024/494, 23.1.2024.</w:t>
      </w:r>
    </w:p>
  </w:footnote>
  <w:footnote w:id="3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P9_TA(2023)0268.</w:t>
      </w:r>
    </w:p>
  </w:footnote>
  <w:footnote w:id="3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P9_TA(2023)0374.</w:t>
      </w:r>
    </w:p>
  </w:footnote>
  <w:footnote w:id="3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P9_TA(2024)0050.</w:t>
      </w:r>
    </w:p>
  </w:footnote>
  <w:footnote w:id="3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P9_TA(2023)0244.</w:t>
      </w:r>
    </w:p>
  </w:footnote>
  <w:footnote w:id="35">
    <w:p>
      <w:pPr>
        <w:pStyle w:val="FootnoteText"/>
        <w:ind w:left="567" w:hanging="567"/>
        <w:rPr>
          <w:color w:val="0000FF"/>
          <w:sz w:val="24"/>
          <w:u w:val="single"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lang w:val="sk-SK"/>
        </w:rPr>
        <w:t>Všetky monitorovacie činnosti skupiny DRFMG nájdete na:</w:t>
      </w:r>
      <w:hyperlink r:id="rId1" w:history="1">
        <w:r>
          <w:rPr>
            <w:rStyle w:val="Hyperlink"/>
            <w:sz w:val="24"/>
            <w:u w:color="0000FF"/>
            <w:lang w:val="sk-SK"/>
          </w:rPr>
          <w:t xml:space="preserve"> https://www.europarl.europa.eu/committees/en/libe-democracy-rule-of-law-and-fundament/product-details/20190103CDT02662.</w:t>
        </w:r>
      </w:hyperlink>
    </w:p>
  </w:footnote>
  <w:footnote w:id="36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Maďarský helsinský výbor, </w:t>
      </w:r>
      <w:proofErr w:type="spellStart"/>
      <w:r>
        <w:rPr>
          <w:sz w:val="24"/>
          <w:lang w:val="sk-SK"/>
        </w:rPr>
        <w:t>Fundamental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deficiencies</w:t>
      </w:r>
      <w:proofErr w:type="spellEnd"/>
      <w:r>
        <w:rPr>
          <w:sz w:val="24"/>
          <w:lang w:val="sk-SK"/>
        </w:rPr>
        <w:t xml:space="preserve"> of </w:t>
      </w:r>
      <w:proofErr w:type="spellStart"/>
      <w:r>
        <w:rPr>
          <w:sz w:val="24"/>
          <w:lang w:val="sk-SK"/>
        </w:rPr>
        <w:t>the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Hungarian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judicial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reform</w:t>
      </w:r>
      <w:proofErr w:type="spellEnd"/>
      <w:r>
        <w:rPr>
          <w:sz w:val="24"/>
          <w:lang w:val="sk-SK"/>
        </w:rPr>
        <w:t xml:space="preserve"> (Zásadné nedostatky reformy súdneho systému v Maďarsku), 31. októbra 2023.</w:t>
      </w:r>
    </w:p>
  </w:footnote>
  <w:footnote w:id="37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26, 31.1.2003, s. 41.</w:t>
      </w:r>
    </w:p>
  </w:footnote>
  <w:footnote w:id="38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GRECO, Piate kolo hodnotenia – Prevencia korupcie a podpora integrity v ústredných orgánoch štátnej správy (vo vysokých výkonných funkciách) a v orgánoch presadzovania práva – Hodnotiaca správa – Cyprus, 2. októbra 2023. </w:t>
      </w:r>
    </w:p>
  </w:footnote>
  <w:footnote w:id="39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Európskeho parlamentu a Rady (EÚ) 2019/1937 z 23. októbra 2019 o ochrane osôb, ktoré nahlasujú porušenia práva Únie (Ú. v. EÚ L 305, 26.11.2019, s. 17).</w:t>
      </w:r>
    </w:p>
  </w:footnote>
  <w:footnote w:id="40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Európskeho parlamentu a Rady 2010/13/EÚ z 10. marca 2010 o koordinácii niektorých ustanovení upravených zákonom, iným právnym predpisom alebo správnym opatrením v členských štátoch týkajúcich sa poskytovania audiovizuálnych mediálnych služieb (smernica o audiovizuálnych mediálnych službách) (Ú. v. EÚ L 95, 15.4.2010, s. 1).</w:t>
      </w:r>
    </w:p>
  </w:footnote>
  <w:footnote w:id="4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Odporúčanie Komisie (EÚ) 2022/758 z 27. apríla 2022 týkajúce sa ochrany novinárov a obhajcov ľudských práv pred zjavne neopodstatnenými a zneužívajúcimi súdnymi konaniami proti verejnej účasti („strategickými žalobami proti verejnej účasti“) (Ú. v. EÚ L 138, 17.5.2022, s. 30).</w:t>
      </w:r>
    </w:p>
  </w:footnote>
  <w:footnote w:id="4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>Návrh smernice Európskeho parlamentu a Rady o ochrane osôb zapojených do verejnej účasti pred zjavne neopodstatnenými alebo zneužívajúcimi súdnymi konaniami („strategickým žalobám proti verejnej účasti“), COM(2022)0177.</w:t>
      </w:r>
    </w:p>
  </w:footnote>
  <w:footnote w:id="4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Komisár Rady Európy pre ľudské práva, List predsedovi Snemovne reprezentantov Malty, 26. septembra 2023.</w:t>
      </w:r>
    </w:p>
  </w:footnote>
  <w:footnote w:id="4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Medzinárodný tlačový inštitút, </w:t>
      </w:r>
      <w:proofErr w:type="spellStart"/>
      <w:r>
        <w:rPr>
          <w:sz w:val="24"/>
          <w:lang w:val="sk-SK"/>
        </w:rPr>
        <w:t>Murdered</w:t>
      </w:r>
      <w:proofErr w:type="spellEnd"/>
      <w:r>
        <w:rPr>
          <w:sz w:val="24"/>
          <w:lang w:val="sk-SK"/>
        </w:rPr>
        <w:t xml:space="preserve">, </w:t>
      </w:r>
      <w:proofErr w:type="spellStart"/>
      <w:r>
        <w:rPr>
          <w:sz w:val="24"/>
          <w:lang w:val="sk-SK"/>
        </w:rPr>
        <w:t>surveilled</w:t>
      </w:r>
      <w:proofErr w:type="spellEnd"/>
      <w:r>
        <w:rPr>
          <w:sz w:val="24"/>
          <w:lang w:val="sk-SK"/>
        </w:rPr>
        <w:t xml:space="preserve"> and </w:t>
      </w:r>
      <w:proofErr w:type="spellStart"/>
      <w:r>
        <w:rPr>
          <w:sz w:val="24"/>
          <w:lang w:val="sk-SK"/>
        </w:rPr>
        <w:t>sued</w:t>
      </w:r>
      <w:proofErr w:type="spellEnd"/>
      <w:r>
        <w:rPr>
          <w:sz w:val="24"/>
          <w:lang w:val="sk-SK"/>
        </w:rPr>
        <w:t>:</w:t>
      </w:r>
      <w:r>
        <w:rPr>
          <w:i/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decisive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action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needed</w:t>
      </w:r>
      <w:proofErr w:type="spellEnd"/>
      <w:r>
        <w:rPr>
          <w:sz w:val="24"/>
          <w:lang w:val="sk-SK"/>
        </w:rPr>
        <w:t xml:space="preserve"> to </w:t>
      </w:r>
      <w:proofErr w:type="spellStart"/>
      <w:r>
        <w:rPr>
          <w:sz w:val="24"/>
          <w:lang w:val="sk-SK"/>
        </w:rPr>
        <w:t>protect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journalists</w:t>
      </w:r>
      <w:proofErr w:type="spellEnd"/>
      <w:r>
        <w:rPr>
          <w:sz w:val="24"/>
          <w:lang w:val="sk-SK"/>
        </w:rPr>
        <w:t xml:space="preserve"> and </w:t>
      </w:r>
      <w:proofErr w:type="spellStart"/>
      <w:r>
        <w:rPr>
          <w:sz w:val="24"/>
          <w:lang w:val="sk-SK"/>
        </w:rPr>
        <w:t>salvage</w:t>
      </w:r>
      <w:proofErr w:type="spellEnd"/>
      <w:r>
        <w:rPr>
          <w:sz w:val="24"/>
          <w:lang w:val="sk-SK"/>
        </w:rPr>
        <w:t xml:space="preserve"> press </w:t>
      </w:r>
      <w:proofErr w:type="spellStart"/>
      <w:r>
        <w:rPr>
          <w:sz w:val="24"/>
          <w:lang w:val="sk-SK"/>
        </w:rPr>
        <w:t>freedom</w:t>
      </w:r>
      <w:proofErr w:type="spellEnd"/>
      <w:r>
        <w:rPr>
          <w:sz w:val="24"/>
          <w:lang w:val="sk-SK"/>
        </w:rPr>
        <w:t xml:space="preserve"> in </w:t>
      </w:r>
      <w:proofErr w:type="spellStart"/>
      <w:r>
        <w:rPr>
          <w:sz w:val="24"/>
          <w:lang w:val="sk-SK"/>
        </w:rPr>
        <w:t>Greece</w:t>
      </w:r>
      <w:proofErr w:type="spellEnd"/>
      <w:r>
        <w:rPr>
          <w:sz w:val="24"/>
          <w:lang w:val="sk-SK"/>
        </w:rPr>
        <w:t xml:space="preserve"> (Zabíjaní, sledovaní a žalovaní: potreba rozhodných opatrení na ochranu novinárov a slobody tlače v Grécku), 27. septembra 2023.</w:t>
      </w:r>
    </w:p>
  </w:footnote>
  <w:footnote w:id="45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</w:rPr>
        <w:footnoteRef/>
      </w:r>
      <w:r>
        <w:rPr>
          <w:lang w:val="sk-SK"/>
        </w:rPr>
        <w:t xml:space="preserve"> </w:t>
      </w:r>
      <w:r>
        <w:rPr>
          <w:lang w:val="sk-SK"/>
        </w:rPr>
        <w:tab/>
      </w:r>
      <w:r>
        <w:rPr>
          <w:sz w:val="24"/>
          <w:szCs w:val="24"/>
          <w:lang w:val="sk-SK"/>
        </w:rPr>
        <w:t>Ú. v. EÚ L 331, 20.9.2021, s. 8.</w:t>
      </w:r>
    </w:p>
  </w:footnote>
  <w:footnote w:id="46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Európska ombudsmanka, Osobitná správa európskej ombudsmanky o jej strategickom vyšetrovaní týkajúcom sa času, ktorý Európska komisia potrebuje na vybavenie žiadostí o prístup verejnosti k dokumentom (OI/2/2022/OAM), 18. septembra 2023.</w:t>
      </w:r>
    </w:p>
  </w:footnote>
  <w:footnote w:id="47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Rada Európy, Riadiaci výbor pre nediskrimináciu, rozmanitosť a začlenenie, </w:t>
      </w:r>
      <w:proofErr w:type="spellStart"/>
      <w:r>
        <w:rPr>
          <w:sz w:val="24"/>
          <w:lang w:val="sk-SK"/>
        </w:rPr>
        <w:t>Thematic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review</w:t>
      </w:r>
      <w:proofErr w:type="spellEnd"/>
      <w:r>
        <w:rPr>
          <w:sz w:val="24"/>
          <w:lang w:val="sk-SK"/>
        </w:rPr>
        <w:t xml:space="preserve"> of </w:t>
      </w:r>
      <w:proofErr w:type="spellStart"/>
      <w:r>
        <w:rPr>
          <w:sz w:val="24"/>
          <w:lang w:val="sk-SK"/>
        </w:rPr>
        <w:t>the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implementation</w:t>
      </w:r>
      <w:proofErr w:type="spellEnd"/>
      <w:r>
        <w:rPr>
          <w:sz w:val="24"/>
          <w:lang w:val="sk-SK"/>
        </w:rPr>
        <w:t xml:space="preserve"> of </w:t>
      </w:r>
      <w:proofErr w:type="spellStart"/>
      <w:r>
        <w:rPr>
          <w:sz w:val="24"/>
          <w:lang w:val="sk-SK"/>
        </w:rPr>
        <w:t>Recommendation</w:t>
      </w:r>
      <w:proofErr w:type="spellEnd"/>
      <w:r>
        <w:rPr>
          <w:sz w:val="24"/>
          <w:lang w:val="sk-SK"/>
        </w:rPr>
        <w:t xml:space="preserve"> CM/</w:t>
      </w:r>
      <w:proofErr w:type="spellStart"/>
      <w:r>
        <w:rPr>
          <w:sz w:val="24"/>
          <w:lang w:val="sk-SK"/>
        </w:rPr>
        <w:t>Rec</w:t>
      </w:r>
      <w:proofErr w:type="spellEnd"/>
      <w:r>
        <w:rPr>
          <w:sz w:val="24"/>
          <w:lang w:val="sk-SK"/>
        </w:rPr>
        <w:t>(2010)5 (Tematické preskúmanie vykonávania odporúčania CM/</w:t>
      </w:r>
      <w:proofErr w:type="spellStart"/>
      <w:r>
        <w:rPr>
          <w:sz w:val="24"/>
          <w:lang w:val="sk-SK"/>
        </w:rPr>
        <w:t>Rec</w:t>
      </w:r>
      <w:proofErr w:type="spellEnd"/>
      <w:r>
        <w:rPr>
          <w:sz w:val="24"/>
          <w:lang w:val="sk-SK"/>
        </w:rPr>
        <w:t xml:space="preserve">(2010)5), 14. septembra 2023; Rada Európy, Európska komisia proti rasizmu a intolerancii, ECRI General </w:t>
      </w:r>
      <w:proofErr w:type="spellStart"/>
      <w:r>
        <w:rPr>
          <w:sz w:val="24"/>
          <w:lang w:val="sk-SK"/>
        </w:rPr>
        <w:t>Policy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Recommendation</w:t>
      </w:r>
      <w:proofErr w:type="spellEnd"/>
      <w:r>
        <w:rPr>
          <w:sz w:val="24"/>
          <w:lang w:val="sk-SK"/>
        </w:rPr>
        <w:t xml:space="preserve"> No 17 on </w:t>
      </w:r>
      <w:proofErr w:type="spellStart"/>
      <w:r>
        <w:rPr>
          <w:sz w:val="24"/>
          <w:lang w:val="sk-SK"/>
        </w:rPr>
        <w:t>preventing</w:t>
      </w:r>
      <w:proofErr w:type="spellEnd"/>
      <w:r>
        <w:rPr>
          <w:sz w:val="24"/>
          <w:lang w:val="sk-SK"/>
        </w:rPr>
        <w:t xml:space="preserve"> and </w:t>
      </w:r>
      <w:proofErr w:type="spellStart"/>
      <w:r>
        <w:rPr>
          <w:sz w:val="24"/>
          <w:lang w:val="sk-SK"/>
        </w:rPr>
        <w:t>combating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intolerance</w:t>
      </w:r>
      <w:proofErr w:type="spellEnd"/>
      <w:r>
        <w:rPr>
          <w:sz w:val="24"/>
          <w:lang w:val="sk-SK"/>
        </w:rPr>
        <w:t xml:space="preserve"> and </w:t>
      </w:r>
      <w:proofErr w:type="spellStart"/>
      <w:r>
        <w:rPr>
          <w:sz w:val="24"/>
          <w:lang w:val="sk-SK"/>
        </w:rPr>
        <w:t>discrimination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against</w:t>
      </w:r>
      <w:proofErr w:type="spellEnd"/>
      <w:r>
        <w:rPr>
          <w:sz w:val="24"/>
          <w:lang w:val="sk-SK"/>
        </w:rPr>
        <w:t xml:space="preserve"> LGBTI </w:t>
      </w:r>
      <w:proofErr w:type="spellStart"/>
      <w:r>
        <w:rPr>
          <w:sz w:val="24"/>
          <w:lang w:val="sk-SK"/>
        </w:rPr>
        <w:t>persons</w:t>
      </w:r>
      <w:proofErr w:type="spellEnd"/>
      <w:r>
        <w:rPr>
          <w:sz w:val="24"/>
          <w:lang w:val="sk-SK"/>
        </w:rPr>
        <w:t xml:space="preserve"> (Všeobecné politické odporúčanie ECRI č. 17 o predchádzaní netolerancii a diskriminácii LGBTI osôb a boji proti nim), 28. septembra 2023.</w:t>
      </w:r>
    </w:p>
  </w:footnote>
  <w:footnote w:id="48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Rozsudok Súdneho dvora z 5. júna 2018, návrh na začatie prejudiciálneho konania podľa článku 267 Zmluvy o fungovaní EÚ, ktorý podal </w:t>
      </w:r>
      <w:proofErr w:type="spellStart"/>
      <w:r>
        <w:rPr>
          <w:sz w:val="24"/>
          <w:lang w:val="sk-SK"/>
        </w:rPr>
        <w:t>Curtea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Constituțională</w:t>
      </w:r>
      <w:proofErr w:type="spellEnd"/>
      <w:r>
        <w:rPr>
          <w:sz w:val="24"/>
          <w:lang w:val="sk-SK"/>
        </w:rPr>
        <w:t xml:space="preserve"> (Ústavný súd, Rumunsko), ECLI:EU:C:2018:385.</w:t>
      </w:r>
    </w:p>
  </w:footnote>
  <w:footnote w:id="49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proofErr w:type="spellStart"/>
      <w:r>
        <w:rPr>
          <w:sz w:val="24"/>
          <w:lang w:val="sk-SK"/>
        </w:rPr>
        <w:t>Euractiv</w:t>
      </w:r>
      <w:proofErr w:type="spellEnd"/>
      <w:r>
        <w:rPr>
          <w:sz w:val="24"/>
          <w:lang w:val="sk-SK"/>
        </w:rPr>
        <w:t xml:space="preserve">, </w:t>
      </w:r>
      <w:proofErr w:type="spellStart"/>
      <w:r>
        <w:rPr>
          <w:sz w:val="24"/>
          <w:lang w:val="sk-SK"/>
        </w:rPr>
        <w:t>Romanian</w:t>
      </w:r>
      <w:proofErr w:type="spellEnd"/>
      <w:r>
        <w:rPr>
          <w:sz w:val="24"/>
          <w:lang w:val="sk-SK"/>
        </w:rPr>
        <w:t xml:space="preserve"> LGBTQ+ </w:t>
      </w:r>
      <w:proofErr w:type="spellStart"/>
      <w:r>
        <w:rPr>
          <w:sz w:val="24"/>
          <w:lang w:val="sk-SK"/>
        </w:rPr>
        <w:t>community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wants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equal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rights</w:t>
      </w:r>
      <w:proofErr w:type="spellEnd"/>
      <w:r>
        <w:rPr>
          <w:sz w:val="24"/>
          <w:lang w:val="sk-SK"/>
        </w:rPr>
        <w:t xml:space="preserve">, </w:t>
      </w:r>
      <w:proofErr w:type="spellStart"/>
      <w:r>
        <w:rPr>
          <w:sz w:val="24"/>
          <w:lang w:val="sk-SK"/>
        </w:rPr>
        <w:t>not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special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conditions</w:t>
      </w:r>
      <w:proofErr w:type="spellEnd"/>
      <w:r>
        <w:rPr>
          <w:sz w:val="24"/>
          <w:lang w:val="sk-SK"/>
        </w:rPr>
        <w:t xml:space="preserve"> (Rumunská komunita LGBTQ+ chce rovnaké práva, nie špeciálne podmienky), 22. septembra 2023.</w:t>
      </w:r>
    </w:p>
  </w:footnote>
  <w:footnote w:id="50">
    <w:p>
      <w:pPr>
        <w:pStyle w:val="FootnoteText"/>
        <w:ind w:left="567" w:hanging="567"/>
        <w:rPr>
          <w:i/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rStyle w:val="Emphasis"/>
          <w:sz w:val="24"/>
          <w:shd w:val="clear" w:color="auto" w:fill="FFFFFF"/>
          <w:lang w:val="sk-SK"/>
        </w:rPr>
        <w:tab/>
      </w:r>
      <w:r>
        <w:rPr>
          <w:rStyle w:val="Emphasis"/>
          <w:i w:val="0"/>
          <w:sz w:val="24"/>
          <w:shd w:val="clear" w:color="auto" w:fill="FFFFFF"/>
          <w:lang w:val="sk-SK"/>
        </w:rPr>
        <w:t>Ú. v. EÚ C 215, 19.6.2018, s. 162.</w:t>
      </w:r>
    </w:p>
  </w:footnote>
  <w:footnote w:id="51">
    <w:p>
      <w:pPr>
        <w:pStyle w:val="FootnoteText"/>
        <w:ind w:left="567" w:hanging="567"/>
        <w:rPr>
          <w:i/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rStyle w:val="Emphasis"/>
          <w:sz w:val="24"/>
          <w:shd w:val="clear" w:color="auto" w:fill="FFFFFF"/>
          <w:lang w:val="sk-SK"/>
        </w:rPr>
        <w:tab/>
      </w:r>
      <w:r>
        <w:rPr>
          <w:rStyle w:val="Emphasis"/>
          <w:i w:val="0"/>
          <w:sz w:val="24"/>
          <w:shd w:val="clear" w:color="auto" w:fill="FFFFFF"/>
          <w:lang w:val="sk-SK"/>
        </w:rPr>
        <w:t>Ú. v. EÚ C 341, 27.9.2023, s.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5/2024"/>
    <w:docVar w:name="dvlangue" w:val="SK"/>
    <w:docVar w:name="dvnumam" w:val="0"/>
    <w:docVar w:name="dvpe" w:val="754.695"/>
    <w:docVar w:name="dvrapporteur" w:val="Spravodajkyňa: "/>
    <w:docVar w:name="dvtitre" w:val="Uznesenie Európskeho parlamentu z xx. februara 2024 o správe Komisie o právnom štáte za rok 2023(2023/2113(INI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03F15-81C2-4E80-B657-B6D5BD4B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link w:val="NormalHanging12aChar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Pr>
      <w:snapToGrid w:val="0"/>
      <w:sz w:val="24"/>
      <w:lang w:val="sk-SK" w:eastAsia="en-US"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character" w:customStyle="1" w:styleId="BoldItalic">
    <w:name w:val="BoldItalic"/>
    <w:uiPriority w:val="1"/>
    <w:rPr>
      <w:b/>
      <w:i/>
      <w:u w:val="none"/>
    </w:rPr>
  </w:style>
  <w:style w:type="character" w:customStyle="1" w:styleId="Italic">
    <w:name w:val="Italic"/>
    <w:uiPriority w:val="1"/>
    <w:rPr>
      <w:i/>
    </w:rPr>
  </w:style>
  <w:style w:type="paragraph" w:customStyle="1" w:styleId="Normal12a24b">
    <w:name w:val="Normal12a24b"/>
    <w:basedOn w:val="Normal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Pr>
      <w:snapToGrid w:val="0"/>
      <w:sz w:val="24"/>
      <w:lang w:val="sk-SK" w:eastAsia="en-US"/>
    </w:rPr>
  </w:style>
  <w:style w:type="character" w:styleId="Hyperlink">
    <w:name w:val="Hyperlink"/>
    <w:basedOn w:val="DefaultParagraphFont"/>
    <w:unhideWhenUsed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  <w:style w:type="paragraph" w:customStyle="1" w:styleId="Normal6a">
    <w:name w:val="Normal6a"/>
    <w:basedOn w:val="Normal"/>
    <w:pPr>
      <w:spacing w:after="120"/>
    </w:pPr>
    <w:rPr>
      <w:szCs w:val="24"/>
      <w:lang w:eastAsia="en-US"/>
    </w:rPr>
  </w:style>
  <w:style w:type="character" w:customStyle="1" w:styleId="FooterChar1">
    <w:name w:val="Footer Char1"/>
    <w:basedOn w:val="DefaultParagraphFont"/>
    <w:rPr>
      <w:sz w:val="24"/>
      <w:szCs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ldermigny\Downloads\V&#353;etky%20monitorovacie%20&#269;innosti%20skupiny%20DRFMG%20n&#225;jdete%20na:%20https:\www.europarl.europa.eu\committees\en\libe-democracy-rule-of-law-and-fundament\product-details\20190103CDT02662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2B74C-975D-4938-838F-AAF620034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10816</Words>
  <Characters>66202</Characters>
  <Application>Microsoft Office Word</Application>
  <DocSecurity>0</DocSecurity>
  <Lines>551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2024-02-29T06:58:00Z</dcterms:created>
  <dcterms:modified xsi:type="dcterms:W3CDTF">2024-02-29T06:58:00Z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A9-0025/2024</vt:lpwstr>
  </property>
  <property fmtid="{D5CDD505-2E9C-101B-9397-08002B2CF9AE}" pid="4" name="&lt;Type&gt;">
    <vt:lpwstr>RR</vt:lpwstr>
  </property>
</Properties>
</file>