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54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54A3" w:rsidRDefault="00EF2920" w:rsidP="0010095E">
            <w:pPr>
              <w:pStyle w:val="EPName"/>
            </w:pPr>
            <w:r w:rsidRPr="003654A3">
              <w:t>Parlament Ewropew</w:t>
            </w:r>
          </w:p>
          <w:p w:rsidR="00751A4A" w:rsidRPr="003654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54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654A3" w:rsidRDefault="00187494" w:rsidP="0010095E">
            <w:pPr>
              <w:pStyle w:val="EPLogo"/>
            </w:pPr>
            <w:r w:rsidRPr="003654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54A3" w:rsidRDefault="00D058B8" w:rsidP="004C5D52">
      <w:pPr>
        <w:pStyle w:val="LineTop"/>
      </w:pPr>
    </w:p>
    <w:p w:rsidR="00680577" w:rsidRPr="003654A3" w:rsidRDefault="00EF2920" w:rsidP="00680577">
      <w:pPr>
        <w:pStyle w:val="EPBodyTA1"/>
      </w:pPr>
      <w:r w:rsidRPr="003654A3">
        <w:t>TESTI ADOTTATI</w:t>
      </w:r>
    </w:p>
    <w:p w:rsidR="00D058B8" w:rsidRPr="003654A3" w:rsidRDefault="00D058B8" w:rsidP="00D058B8">
      <w:pPr>
        <w:pStyle w:val="LineBottom"/>
      </w:pPr>
    </w:p>
    <w:p w:rsidR="00EF2920" w:rsidRPr="003654A3" w:rsidRDefault="00024743" w:rsidP="00EF2920">
      <w:pPr>
        <w:pStyle w:val="ATHeading1"/>
      </w:pPr>
      <w:bookmarkStart w:id="0" w:name="TANumber"/>
      <w:r>
        <w:t>P9_TA(2024)01</w:t>
      </w:r>
      <w:r w:rsidR="009359EF" w:rsidRPr="003654A3">
        <w:t>14</w:t>
      </w:r>
      <w:bookmarkEnd w:id="0"/>
    </w:p>
    <w:p w:rsidR="00607C51" w:rsidRPr="003654A3" w:rsidRDefault="009359EF" w:rsidP="00EF2920">
      <w:pPr>
        <w:rPr>
          <w:b/>
          <w:sz w:val="28"/>
          <w:lang w:eastAsia="fr-FR"/>
        </w:rPr>
      </w:pPr>
      <w:bookmarkStart w:id="1" w:name="title"/>
      <w:r w:rsidRPr="003654A3">
        <w:rPr>
          <w:b/>
          <w:sz w:val="28"/>
          <w:lang w:eastAsia="fr-FR"/>
        </w:rPr>
        <w:t xml:space="preserve">Ftehim Qafas Avvanzat bejn l-UE u </w:t>
      </w:r>
      <w:r w:rsidRPr="003654A3">
        <w:rPr>
          <w:rFonts w:hint="eastAsia"/>
          <w:b/>
          <w:sz w:val="28"/>
          <w:lang w:eastAsia="fr-FR"/>
        </w:rPr>
        <w:t>ċ</w:t>
      </w:r>
      <w:r w:rsidRPr="003654A3">
        <w:rPr>
          <w:b/>
          <w:sz w:val="28"/>
          <w:lang w:eastAsia="fr-FR"/>
        </w:rPr>
        <w:t>-</w:t>
      </w:r>
      <w:r w:rsidRPr="003654A3">
        <w:rPr>
          <w:rFonts w:hint="eastAsia"/>
          <w:b/>
          <w:sz w:val="28"/>
          <w:lang w:eastAsia="fr-FR"/>
        </w:rPr>
        <w:t>Ċ</w:t>
      </w:r>
      <w:r w:rsidRPr="003654A3">
        <w:rPr>
          <w:b/>
          <w:sz w:val="28"/>
          <w:lang w:eastAsia="fr-FR"/>
        </w:rPr>
        <w:t>il</w:t>
      </w:r>
      <w:r w:rsidRPr="003654A3">
        <w:rPr>
          <w:rFonts w:hint="eastAsia"/>
          <w:b/>
          <w:sz w:val="28"/>
          <w:lang w:eastAsia="fr-FR"/>
        </w:rPr>
        <w:t>ì</w:t>
      </w:r>
      <w:r w:rsidRPr="003654A3">
        <w:rPr>
          <w:b/>
          <w:sz w:val="28"/>
          <w:lang w:eastAsia="fr-FR"/>
        </w:rPr>
        <w:t xml:space="preserve"> </w:t>
      </w:r>
    </w:p>
    <w:bookmarkEnd w:id="1"/>
    <w:p w:rsidR="00EF2920" w:rsidRPr="003654A3" w:rsidRDefault="00EF2920" w:rsidP="003654A3">
      <w:pPr>
        <w:spacing w:before="240"/>
        <w:rPr>
          <w:i/>
          <w:vanish/>
        </w:rPr>
      </w:pPr>
      <w:r w:rsidRPr="003654A3">
        <w:rPr>
          <w:i/>
        </w:rPr>
        <w:fldChar w:fldCharType="begin"/>
      </w:r>
      <w:r w:rsidRPr="003654A3">
        <w:rPr>
          <w:i/>
        </w:rPr>
        <w:instrText xml:space="preserve"> TC"(</w:instrText>
      </w:r>
      <w:bookmarkStart w:id="2" w:name="DocNumber"/>
      <w:r w:rsidRPr="003654A3">
        <w:rPr>
          <w:i/>
        </w:rPr>
        <w:instrText>A9-0010/2024</w:instrText>
      </w:r>
      <w:bookmarkEnd w:id="2"/>
      <w:r w:rsidRPr="003654A3">
        <w:rPr>
          <w:i/>
        </w:rPr>
        <w:instrText xml:space="preserve"> - </w:instrText>
      </w:r>
      <w:proofErr w:type="spellStart"/>
      <w:r w:rsidRPr="003654A3">
        <w:rPr>
          <w:i/>
        </w:rPr>
        <w:instrText>Rapporteur</w:instrText>
      </w:r>
      <w:proofErr w:type="spellEnd"/>
      <w:r w:rsidRPr="003654A3">
        <w:rPr>
          <w:i/>
        </w:rPr>
        <w:instrText xml:space="preserve">: </w:instrText>
      </w:r>
      <w:proofErr w:type="spellStart"/>
      <w:r w:rsidRPr="003654A3">
        <w:rPr>
          <w:i/>
        </w:rPr>
        <w:instrText>María</w:instrText>
      </w:r>
      <w:proofErr w:type="spellEnd"/>
      <w:r w:rsidRPr="003654A3">
        <w:rPr>
          <w:i/>
        </w:rPr>
        <w:instrText xml:space="preserve"> </w:instrText>
      </w:r>
      <w:proofErr w:type="spellStart"/>
      <w:r w:rsidRPr="003654A3">
        <w:rPr>
          <w:i/>
        </w:rPr>
        <w:instrText>Soraya</w:instrText>
      </w:r>
      <w:proofErr w:type="spellEnd"/>
      <w:r w:rsidRPr="003654A3">
        <w:rPr>
          <w:i/>
        </w:rPr>
        <w:instrText xml:space="preserve"> </w:instrText>
      </w:r>
      <w:proofErr w:type="spellStart"/>
      <w:r w:rsidRPr="003654A3">
        <w:rPr>
          <w:i/>
        </w:rPr>
        <w:instrText>Rodríguez</w:instrText>
      </w:r>
      <w:proofErr w:type="spellEnd"/>
      <w:r w:rsidRPr="003654A3">
        <w:rPr>
          <w:i/>
        </w:rPr>
        <w:instrText xml:space="preserve"> Ramos, </w:instrText>
      </w:r>
      <w:proofErr w:type="spellStart"/>
      <w:r w:rsidRPr="003654A3">
        <w:rPr>
          <w:i/>
        </w:rPr>
        <w:instrText>Samira</w:instrText>
      </w:r>
      <w:proofErr w:type="spellEnd"/>
      <w:r w:rsidRPr="003654A3">
        <w:rPr>
          <w:i/>
        </w:rPr>
        <w:instrText xml:space="preserve"> </w:instrText>
      </w:r>
      <w:proofErr w:type="spellStart"/>
      <w:r w:rsidRPr="003654A3">
        <w:rPr>
          <w:i/>
        </w:rPr>
        <w:instrText>Rafaela</w:instrText>
      </w:r>
      <w:proofErr w:type="spellEnd"/>
      <w:r w:rsidRPr="003654A3">
        <w:rPr>
          <w:i/>
        </w:rPr>
        <w:instrText xml:space="preserve">)"\l3 \n&gt; \* MERGEFORMAT </w:instrText>
      </w:r>
      <w:r w:rsidRPr="003654A3">
        <w:rPr>
          <w:i/>
        </w:rPr>
        <w:fldChar w:fldCharType="end"/>
      </w:r>
    </w:p>
    <w:p w:rsidR="00EF2920" w:rsidRPr="003654A3" w:rsidRDefault="00EF2920" w:rsidP="00EF2920">
      <w:pPr>
        <w:rPr>
          <w:vanish/>
        </w:rPr>
      </w:pPr>
      <w:bookmarkStart w:id="3" w:name="Commission"/>
      <w:r w:rsidRPr="003654A3">
        <w:rPr>
          <w:vanish/>
        </w:rPr>
        <w:t>Kumitat għall-Affarijiet Barranin</w:t>
      </w:r>
    </w:p>
    <w:p w:rsidR="00EF2920" w:rsidRPr="003654A3" w:rsidRDefault="00EF2920" w:rsidP="00EF2920">
      <w:pPr>
        <w:rPr>
          <w:vanish/>
        </w:rPr>
      </w:pPr>
      <w:r w:rsidRPr="003654A3">
        <w:rPr>
          <w:vanish/>
        </w:rPr>
        <w:t>Kumitat għall-Kummerċ Internazzjonali</w:t>
      </w:r>
      <w:bookmarkEnd w:id="3"/>
    </w:p>
    <w:p w:rsidR="00EF2920" w:rsidRPr="003654A3" w:rsidRDefault="00EF2920" w:rsidP="00EF2920">
      <w:pPr>
        <w:rPr>
          <w:vanish/>
        </w:rPr>
      </w:pPr>
      <w:bookmarkStart w:id="4" w:name="PE"/>
      <w:r w:rsidRPr="003654A3">
        <w:rPr>
          <w:vanish/>
        </w:rPr>
        <w:t>PE755.967</w:t>
      </w:r>
      <w:bookmarkEnd w:id="4"/>
    </w:p>
    <w:p w:rsidR="00EF2920" w:rsidRPr="003654A3" w:rsidRDefault="00EF2920" w:rsidP="00EF2920">
      <w:pPr>
        <w:pStyle w:val="ATHeading3"/>
      </w:pPr>
      <w:bookmarkStart w:id="5" w:name="Sujet"/>
      <w:r w:rsidRPr="003654A3">
        <w:t>R</w:t>
      </w:r>
      <w:r w:rsidR="00C74362" w:rsidRPr="003654A3">
        <w:t xml:space="preserve">iżoluzzjoni </w:t>
      </w:r>
      <w:proofErr w:type="spellStart"/>
      <w:r w:rsidR="00C74362" w:rsidRPr="003654A3">
        <w:t>leġiżlattiva</w:t>
      </w:r>
      <w:proofErr w:type="spellEnd"/>
      <w:r w:rsidR="00C74362" w:rsidRPr="003654A3">
        <w:t xml:space="preserve"> </w:t>
      </w:r>
      <w:r w:rsidRPr="003654A3">
        <w:t>tal-Parlament Ewropew tad-29 ta' Frar 2024 dwar l-abbozz ta’ deċiżjoni tal-Kunsill dwar il-konklużjoni, f’isem l-Unjoni Ewropea, tal-Ftehim Qafas Avvanzat bejn l-Unjoni Ewropea u l-Istati Membri tagħha, minn naħa waħda, u r-Repubblika taċ-Ċilì, min-naħa l-oħra</w:t>
      </w:r>
      <w:bookmarkEnd w:id="5"/>
      <w:r w:rsidRPr="003654A3">
        <w:t xml:space="preserve"> </w:t>
      </w:r>
      <w:bookmarkStart w:id="6" w:name="References"/>
      <w:r w:rsidRPr="003654A3">
        <w:t>(11669/2023 – C9-0467/2023 – 2023/0260(NLE))</w:t>
      </w:r>
      <w:bookmarkEnd w:id="6"/>
    </w:p>
    <w:p w:rsidR="008A2F8D" w:rsidRPr="003654A3" w:rsidRDefault="008A2F8D" w:rsidP="008A2F8D">
      <w:pPr>
        <w:pStyle w:val="NormalBold"/>
      </w:pPr>
      <w:bookmarkStart w:id="7" w:name="TextBodyBegin"/>
      <w:bookmarkEnd w:id="7"/>
      <w:r w:rsidRPr="003654A3">
        <w:t>(Approvazzjoni)</w:t>
      </w:r>
    </w:p>
    <w:p w:rsidR="008A2F8D" w:rsidRPr="003654A3" w:rsidRDefault="008A2F8D" w:rsidP="008A2F8D">
      <w:pPr>
        <w:pStyle w:val="EPComma"/>
      </w:pPr>
      <w:r w:rsidRPr="003654A3">
        <w:rPr>
          <w:i/>
        </w:rPr>
        <w:t>Il-Parlament Ewropew</w:t>
      </w:r>
      <w:r w:rsidRPr="003654A3">
        <w:t>,</w:t>
      </w:r>
      <w:bookmarkStart w:id="8" w:name="_GoBack"/>
      <w:bookmarkEnd w:id="8"/>
    </w:p>
    <w:p w:rsidR="008A2F8D" w:rsidRPr="003654A3" w:rsidRDefault="008A2F8D" w:rsidP="008A2F8D">
      <w:pPr>
        <w:pStyle w:val="NormalHanging12a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l-abbozz ta’ deċiżjoni tal-Kunsill (11669/2023),</w:t>
      </w:r>
    </w:p>
    <w:p w:rsidR="008A2F8D" w:rsidRPr="003654A3" w:rsidRDefault="008A2F8D" w:rsidP="008A2F8D">
      <w:pPr>
        <w:pStyle w:val="NormalHanging12a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l-abbozz ta’ Ftehim Qafas Avvanzat bejn l-Unjoni Ewropea u l-Istati Membri tagħha, minn naħa waħda, u r-Repubblika taċ-Ċilì, min-naħa l-oħra (11670/2023),</w:t>
      </w:r>
    </w:p>
    <w:p w:rsidR="008A2F8D" w:rsidRPr="003654A3" w:rsidRDefault="008A2F8D" w:rsidP="008A2F8D">
      <w:pPr>
        <w:pStyle w:val="Normal12Hanging"/>
        <w:spacing w:before="100" w:beforeAutospacing="1" w:after="100" w:afterAutospacing="1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d-</w:t>
      </w:r>
      <w:r w:rsidRPr="003654A3">
        <w:rPr>
          <w:sz w:val="23"/>
        </w:rPr>
        <w:t>Dikjarazzjoni Konġunta dwar id-Dispożizzjonijiet dwar il-Kummerċ u l-Iżvilupp Sostenibbli li tinsab fil-Ftehim Qafas Avvanzat bejn l-Unjoni Ewropea u l-Istati Membri tagħha, minn naħa waħda, u r-Repubblika taċ-Ċilì, min-naħa l-oħra, li hija</w:t>
      </w:r>
      <w:r w:rsidRPr="003654A3">
        <w:t xml:space="preserve"> mehmuża mal-Ftehim Qafas Avvanzat (11670/2023),</w:t>
      </w:r>
    </w:p>
    <w:p w:rsidR="008A2F8D" w:rsidRPr="003654A3" w:rsidRDefault="008A2F8D" w:rsidP="008A2F8D">
      <w:pPr>
        <w:pStyle w:val="NormalHanging12a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t-talba għal approvazzjoni ppreżentata mill-Kunsill skont l-Artikolu 91(1), l-Artikolu 100(2), l-Artikolu 207(4), l-ewwel </w:t>
      </w:r>
      <w:proofErr w:type="spellStart"/>
      <w:r w:rsidRPr="003654A3">
        <w:t>subparagrafu</w:t>
      </w:r>
      <w:proofErr w:type="spellEnd"/>
      <w:r w:rsidRPr="003654A3">
        <w:t xml:space="preserve">, l-Artikolu 212, l-Artikolu 218(6), it-tieni </w:t>
      </w:r>
      <w:proofErr w:type="spellStart"/>
      <w:r w:rsidRPr="003654A3">
        <w:t>subparagrafu</w:t>
      </w:r>
      <w:proofErr w:type="spellEnd"/>
      <w:r w:rsidRPr="003654A3">
        <w:t xml:space="preserve">, il-punt (a), l-Artikolu 218(7) u l-Artikolu 218(8), l-ewwel </w:t>
      </w:r>
      <w:proofErr w:type="spellStart"/>
      <w:r w:rsidRPr="003654A3">
        <w:t>subparagrafu</w:t>
      </w:r>
      <w:proofErr w:type="spellEnd"/>
      <w:r w:rsidRPr="003654A3">
        <w:t>, tat-Trattat dwar il-Funzjonament tal-Unjoni Ewropea (C9</w:t>
      </w:r>
      <w:r w:rsidRPr="003654A3">
        <w:noBreakHyphen/>
        <w:t>0467/2023),</w:t>
      </w:r>
    </w:p>
    <w:p w:rsidR="008A2F8D" w:rsidRPr="003654A3" w:rsidRDefault="008A2F8D" w:rsidP="008A2F8D">
      <w:pPr>
        <w:pStyle w:val="Normal12Hanging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r-riżoluzzjoni tiegħu ta</w:t>
      </w:r>
      <w:r w:rsidR="00C74362" w:rsidRPr="003654A3">
        <w:t>d-29 ta’ Frar 2024</w:t>
      </w:r>
      <w:r w:rsidRPr="003654A3">
        <w:rPr>
          <w:rStyle w:val="FootnoteReference"/>
        </w:rPr>
        <w:footnoteReference w:id="1"/>
      </w:r>
      <w:r w:rsidRPr="003654A3">
        <w:t xml:space="preserve"> dwar il-proposta għal deċiżjoni tal-Kunsill dwar il-konklużjoni, f’isem l-Unjoni Ewropea, tal-Ftehim Qafas Avvanzat bejn l-Unjoni Ewropea u l-Istati Membri tagħha, minn naħa waħda, u r-</w:t>
      </w:r>
      <w:r w:rsidRPr="003654A3">
        <w:lastRenderedPageBreak/>
        <w:t>Repubblika taċ-Ċilì, min-naħa l-oħra,</w:t>
      </w:r>
    </w:p>
    <w:p w:rsidR="008A2F8D" w:rsidRPr="003654A3" w:rsidRDefault="008A2F8D" w:rsidP="008A2F8D">
      <w:pPr>
        <w:pStyle w:val="NormalHanging12a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l-Artikolu 105(1) u (4) u l-Artikolu 114(7) tar-Regoli ta’ Proċedura tiegħu,</w:t>
      </w:r>
    </w:p>
    <w:p w:rsidR="00C74362" w:rsidRPr="003654A3" w:rsidRDefault="00C74362" w:rsidP="008A2F8D">
      <w:pPr>
        <w:pStyle w:val="NormalHanging12a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d-deliberazzjonijiet konġunti tal-Kumitat għall-Affarijiet Barranin u tal-Kumitat għall-Kummerċ Internazzjonali skont l-Artikolu 58 tar-Regoli ta' Proċedura tiegħu,</w:t>
      </w:r>
    </w:p>
    <w:p w:rsidR="008A2F8D" w:rsidRPr="003654A3" w:rsidRDefault="008A2F8D" w:rsidP="008A2F8D">
      <w:pPr>
        <w:pStyle w:val="NormalHanging12a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l-opinjoni tal-Kumitat għall-Agrikoltura u l-Iżvilupp Rurali,</w:t>
      </w:r>
    </w:p>
    <w:p w:rsidR="008A2F8D" w:rsidRPr="003654A3" w:rsidRDefault="008A2F8D" w:rsidP="008A2F8D">
      <w:pPr>
        <w:pStyle w:val="NormalHanging12a"/>
      </w:pPr>
      <w:r w:rsidRPr="003654A3">
        <w:t>–</w:t>
      </w:r>
      <w:r w:rsidRPr="003654A3">
        <w:tab/>
        <w:t xml:space="preserve">wara li </w:t>
      </w:r>
      <w:proofErr w:type="spellStart"/>
      <w:r w:rsidRPr="003654A3">
        <w:t>kkunsidra</w:t>
      </w:r>
      <w:proofErr w:type="spellEnd"/>
      <w:r w:rsidRPr="003654A3">
        <w:t xml:space="preserve"> r-rakkomandazzjoni tal-Kumitat għall-Affarijiet Barranin u tal-Kumitat għall-Kummerċ Internazzjonali (A9-0010/2024),</w:t>
      </w:r>
    </w:p>
    <w:p w:rsidR="008A2F8D" w:rsidRPr="003654A3" w:rsidRDefault="008A2F8D" w:rsidP="008A2F8D">
      <w:pPr>
        <w:pStyle w:val="NormalHanging12a"/>
      </w:pPr>
      <w:r w:rsidRPr="003654A3">
        <w:t>1.</w:t>
      </w:r>
      <w:r w:rsidRPr="003654A3">
        <w:tab/>
        <w:t>Jagħti l-approvazzjoni tiegħu għall-konklużjoni tal-ftehim;</w:t>
      </w:r>
    </w:p>
    <w:p w:rsidR="008A2F8D" w:rsidRPr="0093316A" w:rsidRDefault="008A2F8D" w:rsidP="008A2F8D">
      <w:pPr>
        <w:pStyle w:val="NormalHanging12a"/>
      </w:pPr>
      <w:r w:rsidRPr="003654A3">
        <w:t>2.</w:t>
      </w:r>
      <w:r w:rsidRPr="003654A3">
        <w:tab/>
        <w:t>Jagħti istruzzjonijiet lill-President tiegħu biex tgħaddi l-pożizzjoni tal-Parlament lill-Kunsill u lill-Kummissjoni, lill-gvernijiet u lill-parlamenti tal-Istati Membri u tar-Repubblika taċ-Ċilì.</w:t>
      </w:r>
    </w:p>
    <w:p w:rsidR="008A2F8D" w:rsidRPr="0093316A" w:rsidRDefault="008A2F8D" w:rsidP="008A2F8D"/>
    <w:p w:rsidR="00E365E1" w:rsidRPr="0093316A" w:rsidRDefault="00E365E1" w:rsidP="00EF2920">
      <w:bookmarkStart w:id="9" w:name="TextBodyEnd"/>
      <w:bookmarkEnd w:id="9"/>
    </w:p>
    <w:sectPr w:rsidR="00E365E1" w:rsidRPr="0093316A" w:rsidSect="009331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20" w:rsidRPr="0093316A" w:rsidRDefault="00EF2920">
      <w:r w:rsidRPr="0093316A">
        <w:separator/>
      </w:r>
    </w:p>
  </w:endnote>
  <w:endnote w:type="continuationSeparator" w:id="0">
    <w:p w:rsidR="00EF2920" w:rsidRPr="0093316A" w:rsidRDefault="00EF2920">
      <w:r w:rsidRPr="009331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1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1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1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20" w:rsidRPr="0093316A" w:rsidRDefault="00EF2920">
      <w:r w:rsidRPr="0093316A">
        <w:separator/>
      </w:r>
    </w:p>
  </w:footnote>
  <w:footnote w:type="continuationSeparator" w:id="0">
    <w:p w:rsidR="00EF2920" w:rsidRPr="0093316A" w:rsidRDefault="00EF2920">
      <w:r w:rsidRPr="0093316A">
        <w:continuationSeparator/>
      </w:r>
    </w:p>
  </w:footnote>
  <w:footnote w:id="1">
    <w:p w:rsidR="008A2F8D" w:rsidRPr="0093316A" w:rsidRDefault="008A2F8D" w:rsidP="0093316A">
      <w:pPr>
        <w:pStyle w:val="FootnoteText"/>
        <w:ind w:left="567" w:hanging="567"/>
        <w:rPr>
          <w:sz w:val="24"/>
          <w:lang w:val="mt-MT"/>
        </w:rPr>
      </w:pPr>
      <w:r w:rsidRPr="003654A3">
        <w:rPr>
          <w:rStyle w:val="FootnoteReference"/>
          <w:sz w:val="24"/>
          <w:lang w:val="mt-MT"/>
        </w:rPr>
        <w:footnoteRef/>
      </w:r>
      <w:r w:rsidR="0093316A" w:rsidRPr="003654A3">
        <w:rPr>
          <w:sz w:val="24"/>
          <w:lang w:val="mt-MT"/>
        </w:rPr>
        <w:t xml:space="preserve"> </w:t>
      </w:r>
      <w:r w:rsidR="0093316A" w:rsidRPr="003654A3">
        <w:rPr>
          <w:sz w:val="24"/>
          <w:lang w:val="mt-MT"/>
        </w:rPr>
        <w:tab/>
      </w:r>
      <w:r w:rsidRPr="003654A3">
        <w:rPr>
          <w:sz w:val="24"/>
          <w:lang w:val="mt-MT"/>
        </w:rPr>
        <w:t>Testi adottati, P</w:t>
      </w:r>
      <w:r w:rsidR="00C74362" w:rsidRPr="003654A3">
        <w:rPr>
          <w:sz w:val="24"/>
          <w:lang w:val="mt-MT"/>
        </w:rPr>
        <w:t>9</w:t>
      </w:r>
      <w:r w:rsidRPr="003654A3">
        <w:rPr>
          <w:sz w:val="24"/>
          <w:lang w:val="mt-MT"/>
        </w:rPr>
        <w:t>_TA(</w:t>
      </w:r>
      <w:r w:rsidR="00C74362" w:rsidRPr="003654A3">
        <w:rPr>
          <w:sz w:val="24"/>
          <w:lang w:val="mt-MT"/>
        </w:rPr>
        <w:t>2024</w:t>
      </w:r>
      <w:r w:rsidRPr="003654A3">
        <w:rPr>
          <w:sz w:val="24"/>
          <w:lang w:val="mt-MT"/>
        </w:rPr>
        <w:t>)0</w:t>
      </w:r>
      <w:r w:rsidR="003654A3" w:rsidRPr="003654A3">
        <w:rPr>
          <w:sz w:val="24"/>
          <w:lang w:val="mt-MT"/>
        </w:rPr>
        <w:t>115</w:t>
      </w:r>
      <w:r w:rsidRPr="003654A3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1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1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1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MT"/>
    <w:docVar w:name="dvnumam" w:val="0"/>
    <w:docVar w:name="dvpe" w:val="755.967"/>
    <w:docVar w:name="dvrapporteur" w:val="Rapporteur: "/>
    <w:docVar w:name="dvstar" w:val="***"/>
    <w:docVar w:name="dvtitre" w:val="Rakkomandazzjoni tal-Parlament Ewropew lill-Kunsill tad-29 ta' Frar 2024 dwar l-abbozz ta’ deċiżjoni tal-Kunsill dwar il-konklużjoni, f’isem l-Unjoni Ewropea, tal-Ftehim Qafas Avvanzat bejn l-Unjoni Ewropea u l-Istati Membri tagħha, minn naħa waħda, u r-Repubblika taċ-Ċilì, min-naħa l-oħra(11669/2023 – C9-0467/2023 – 2023/0260(NLE))"/>
  </w:docVars>
  <w:rsids>
    <w:rsidRoot w:val="00EF2920"/>
    <w:rsid w:val="00002272"/>
    <w:rsid w:val="00024743"/>
    <w:rsid w:val="00064002"/>
    <w:rsid w:val="000677B9"/>
    <w:rsid w:val="000831BA"/>
    <w:rsid w:val="000A42CC"/>
    <w:rsid w:val="000C4FE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4A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7C5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F8D"/>
    <w:rsid w:val="008C2AC6"/>
    <w:rsid w:val="00930C23"/>
    <w:rsid w:val="0093193B"/>
    <w:rsid w:val="0093316A"/>
    <w:rsid w:val="009359EF"/>
    <w:rsid w:val="009509D8"/>
    <w:rsid w:val="00950B64"/>
    <w:rsid w:val="00981893"/>
    <w:rsid w:val="00A1687D"/>
    <w:rsid w:val="00A43E52"/>
    <w:rsid w:val="00A4678D"/>
    <w:rsid w:val="00A778C7"/>
    <w:rsid w:val="00AB441E"/>
    <w:rsid w:val="00AB59E2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36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92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8DC6F"/>
  <w15:chartTrackingRefBased/>
  <w15:docId w15:val="{88E250D8-5DA8-4E74-846E-B0B2ECCB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2F8D"/>
    <w:pPr>
      <w:spacing w:before="480" w:after="240"/>
    </w:pPr>
  </w:style>
  <w:style w:type="paragraph" w:customStyle="1" w:styleId="NormalBold">
    <w:name w:val="NormalBold"/>
    <w:basedOn w:val="Normal"/>
    <w:rsid w:val="008A2F8D"/>
    <w:rPr>
      <w:b/>
    </w:rPr>
  </w:style>
  <w:style w:type="paragraph" w:customStyle="1" w:styleId="NormalHanging12a">
    <w:name w:val="NormalHanging12a"/>
    <w:basedOn w:val="Normal"/>
    <w:link w:val="NormalHanging12aChar"/>
    <w:rsid w:val="008A2F8D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8A2F8D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8A2F8D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rsid w:val="008A2F8D"/>
    <w:rPr>
      <w:sz w:val="24"/>
      <w:lang w:val="mt-MT"/>
    </w:rPr>
  </w:style>
  <w:style w:type="paragraph" w:styleId="BalloonText">
    <w:name w:val="Balloon Text"/>
    <w:basedOn w:val="Normal"/>
    <w:link w:val="BalloonTextChar"/>
    <w:rsid w:val="00C74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436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53A25-CD68-4320-B473-6DC4DA15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2024-04-30T10:50:00Z</dcterms:created>
  <dcterms:modified xsi:type="dcterms:W3CDTF">2024-04-30T10:50:00Z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