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0F0E" w14:paraId="34D7D2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AFBD69" w14:textId="77777777" w:rsidR="00751A4A" w:rsidRPr="00760F0E" w:rsidRDefault="00431686" w:rsidP="0010095E">
            <w:pPr>
              <w:pStyle w:val="EPName"/>
            </w:pPr>
            <w:r w:rsidRPr="00760F0E">
              <w:t>Parlament Ewropew</w:t>
            </w:r>
          </w:p>
          <w:p w14:paraId="340227C2" w14:textId="77777777" w:rsidR="00751A4A" w:rsidRPr="00760F0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4D2D">
              <w:t>2019</w:t>
            </w:r>
            <w:r w:rsidRPr="00760F0E">
              <w:t>-</w:t>
            </w:r>
            <w:r w:rsidRPr="00BE4D2D">
              <w:t>2024</w:t>
            </w:r>
          </w:p>
        </w:tc>
        <w:tc>
          <w:tcPr>
            <w:tcW w:w="2268" w:type="dxa"/>
            <w:shd w:val="clear" w:color="auto" w:fill="auto"/>
          </w:tcPr>
          <w:p w14:paraId="51BC034F" w14:textId="77777777" w:rsidR="00751A4A" w:rsidRPr="00760F0E" w:rsidRDefault="00187494" w:rsidP="0010095E">
            <w:pPr>
              <w:pStyle w:val="EPLogo"/>
            </w:pPr>
            <w:r w:rsidRPr="00760F0E">
              <w:rPr>
                <w:noProof/>
                <w:lang w:val="en-GB"/>
              </w:rPr>
              <w:drawing>
                <wp:inline distT="0" distB="0" distL="0" distR="0" wp14:anchorId="1CAE567D" wp14:editId="6738C4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B837AA" w14:textId="77777777" w:rsidR="00D058B8" w:rsidRPr="00760F0E" w:rsidRDefault="00D058B8" w:rsidP="004C5D52">
      <w:pPr>
        <w:pStyle w:val="LineTop"/>
      </w:pPr>
    </w:p>
    <w:p w14:paraId="743C520A" w14:textId="77777777" w:rsidR="00680577" w:rsidRPr="00760F0E" w:rsidRDefault="00431686" w:rsidP="00680577">
      <w:pPr>
        <w:pStyle w:val="EPBodyTA1"/>
      </w:pPr>
      <w:r w:rsidRPr="00760F0E">
        <w:t>TESTI ADOTTATI</w:t>
      </w:r>
    </w:p>
    <w:p w14:paraId="49244F4E" w14:textId="77777777" w:rsidR="00D058B8" w:rsidRPr="00760F0E" w:rsidRDefault="00D058B8" w:rsidP="00D058B8">
      <w:pPr>
        <w:pStyle w:val="LineBottom"/>
      </w:pPr>
    </w:p>
    <w:p w14:paraId="11033EFA" w14:textId="77777777" w:rsidR="00431686" w:rsidRPr="00760F0E" w:rsidRDefault="00431686" w:rsidP="00431686">
      <w:pPr>
        <w:pStyle w:val="ATHeading1"/>
      </w:pPr>
      <w:bookmarkStart w:id="0" w:name="TANumber"/>
      <w:r w:rsidRPr="00760F0E">
        <w:t>P</w:t>
      </w:r>
      <w:r w:rsidRPr="00BE4D2D">
        <w:t>9</w:t>
      </w:r>
      <w:r w:rsidRPr="00760F0E">
        <w:t>_TA(</w:t>
      </w:r>
      <w:r w:rsidRPr="00BE4D2D">
        <w:t>2024</w:t>
      </w:r>
      <w:r w:rsidRPr="00760F0E">
        <w:t>)</w:t>
      </w:r>
      <w:r w:rsidRPr="00BE4D2D">
        <w:t>0</w:t>
      </w:r>
      <w:bookmarkEnd w:id="0"/>
      <w:r w:rsidR="006C451F" w:rsidRPr="00BE4D2D">
        <w:t>116</w:t>
      </w:r>
    </w:p>
    <w:p w14:paraId="4493B5EA" w14:textId="77777777" w:rsidR="00431686" w:rsidRPr="00760F0E" w:rsidRDefault="00E913E0" w:rsidP="00431686">
      <w:pPr>
        <w:pStyle w:val="ATHeading2"/>
      </w:pPr>
      <w:bookmarkStart w:id="1" w:name="title"/>
      <w:r w:rsidRPr="00760F0E">
        <w:rPr>
          <w:bCs/>
        </w:rPr>
        <w:t>Tisħiħ tal-protezzjoni tal-Unjoni mill-manipulazzjoni tas-suq fis-suq tal-enerġija bl-ingrossa</w:t>
      </w:r>
      <w:bookmarkEnd w:id="1"/>
    </w:p>
    <w:p w14:paraId="71B6BB94" w14:textId="77777777" w:rsidR="00431686" w:rsidRPr="00760F0E" w:rsidRDefault="00431686" w:rsidP="00431686">
      <w:pPr>
        <w:rPr>
          <w:i/>
          <w:vanish/>
        </w:rPr>
      </w:pPr>
      <w:r w:rsidRPr="00760F0E">
        <w:rPr>
          <w:i/>
        </w:rPr>
        <w:fldChar w:fldCharType="begin"/>
      </w:r>
      <w:r w:rsidRPr="00760F0E">
        <w:rPr>
          <w:i/>
        </w:rPr>
        <w:instrText xml:space="preserve"> TC"(</w:instrText>
      </w:r>
      <w:bookmarkStart w:id="2" w:name="DocNumber"/>
      <w:r w:rsidRPr="00760F0E">
        <w:rPr>
          <w:i/>
        </w:rPr>
        <w:instrText>A</w:instrText>
      </w:r>
      <w:r w:rsidRPr="00BE4D2D">
        <w:rPr>
          <w:i/>
        </w:rPr>
        <w:instrText>9</w:instrText>
      </w:r>
      <w:r w:rsidRPr="00760F0E">
        <w:rPr>
          <w:i/>
        </w:rPr>
        <w:instrText>-</w:instrText>
      </w:r>
      <w:r w:rsidRPr="00BE4D2D">
        <w:rPr>
          <w:i/>
        </w:rPr>
        <w:instrText>0261</w:instrText>
      </w:r>
      <w:r w:rsidRPr="00760F0E">
        <w:rPr>
          <w:i/>
        </w:rPr>
        <w:instrText>/</w:instrText>
      </w:r>
      <w:r w:rsidRPr="00BE4D2D">
        <w:rPr>
          <w:i/>
        </w:rPr>
        <w:instrText>2023</w:instrText>
      </w:r>
      <w:bookmarkEnd w:id="2"/>
      <w:r w:rsidRPr="00760F0E">
        <w:rPr>
          <w:i/>
        </w:rPr>
        <w:instrText xml:space="preserve"> - Rapporteur: Maria da Graça Carvalho)"\l</w:instrText>
      </w:r>
      <w:r w:rsidRPr="00BE4D2D">
        <w:rPr>
          <w:i/>
        </w:rPr>
        <w:instrText>3</w:instrText>
      </w:r>
      <w:r w:rsidRPr="00760F0E">
        <w:rPr>
          <w:i/>
        </w:rPr>
        <w:instrText xml:space="preserve"> \n&gt; \* MERGEFORMAT </w:instrText>
      </w:r>
      <w:r w:rsidRPr="00760F0E">
        <w:rPr>
          <w:i/>
        </w:rPr>
        <w:fldChar w:fldCharType="end"/>
      </w:r>
    </w:p>
    <w:p w14:paraId="0A471A59" w14:textId="77777777" w:rsidR="00431686" w:rsidRPr="00760F0E" w:rsidRDefault="00431686" w:rsidP="00431686">
      <w:pPr>
        <w:rPr>
          <w:vanish/>
        </w:rPr>
      </w:pPr>
      <w:bookmarkStart w:id="3" w:name="Commission"/>
      <w:r w:rsidRPr="00760F0E">
        <w:rPr>
          <w:vanish/>
        </w:rPr>
        <w:t>Kumitat għall-Industrija, ir-Riċerka u l-Enerġija</w:t>
      </w:r>
      <w:bookmarkEnd w:id="3"/>
    </w:p>
    <w:p w14:paraId="64CA8C4A" w14:textId="77777777" w:rsidR="00431686" w:rsidRPr="00760F0E" w:rsidRDefault="00431686" w:rsidP="00431686">
      <w:pPr>
        <w:rPr>
          <w:vanish/>
        </w:rPr>
      </w:pPr>
      <w:bookmarkStart w:id="4" w:name="PE"/>
      <w:r w:rsidRPr="00760F0E">
        <w:rPr>
          <w:vanish/>
        </w:rPr>
        <w:t>PE</w:t>
      </w:r>
      <w:r w:rsidRPr="00BE4D2D">
        <w:rPr>
          <w:vanish/>
        </w:rPr>
        <w:t>747</w:t>
      </w:r>
      <w:r w:rsidRPr="00760F0E">
        <w:rPr>
          <w:vanish/>
        </w:rPr>
        <w:t>.</w:t>
      </w:r>
      <w:r w:rsidRPr="00BE4D2D">
        <w:rPr>
          <w:vanish/>
        </w:rPr>
        <w:t>031</w:t>
      </w:r>
      <w:bookmarkEnd w:id="4"/>
    </w:p>
    <w:p w14:paraId="4974E96B" w14:textId="77777777" w:rsidR="00431686" w:rsidRPr="00760F0E" w:rsidRDefault="00431686" w:rsidP="00431686">
      <w:pPr>
        <w:pStyle w:val="ATHeading3"/>
      </w:pPr>
      <w:bookmarkStart w:id="5" w:name="Sujet"/>
      <w:r w:rsidRPr="00760F0E">
        <w:t>Riżoluzzjoni leġiżlattiva tal-Parlament Ewropew tat-</w:t>
      </w:r>
      <w:r w:rsidRPr="00BE4D2D">
        <w:t>2</w:t>
      </w:r>
      <w:r w:rsidR="00833DA3" w:rsidRPr="00BE4D2D">
        <w:t>9</w:t>
      </w:r>
      <w:r w:rsidRPr="00760F0E">
        <w:t xml:space="preserve"> ta' Frar </w:t>
      </w:r>
      <w:r w:rsidRPr="00BE4D2D">
        <w:t>2024</w:t>
      </w:r>
      <w:r w:rsidRPr="00760F0E">
        <w:t xml:space="preserve"> dwar il-proposta għal Regolament tal-Parlament Ewropew u tal-Kunsill li jemenda r-Regolamenti (UE) Nru </w:t>
      </w:r>
      <w:r w:rsidRPr="00BE4D2D">
        <w:t>1227</w:t>
      </w:r>
      <w:r w:rsidRPr="00760F0E">
        <w:t>/</w:t>
      </w:r>
      <w:r w:rsidRPr="00BE4D2D">
        <w:t>2011</w:t>
      </w:r>
      <w:r w:rsidRPr="00760F0E">
        <w:t xml:space="preserve"> u (UE) </w:t>
      </w:r>
      <w:r w:rsidRPr="00BE4D2D">
        <w:t>2019</w:t>
      </w:r>
      <w:r w:rsidRPr="00760F0E">
        <w:t>/</w:t>
      </w:r>
      <w:r w:rsidRPr="00BE4D2D">
        <w:t>942</w:t>
      </w:r>
      <w:r w:rsidRPr="00760F0E">
        <w:t xml:space="preserve"> biex tissaħħaħ il-protezzjoni tal-Unjoni mill-manipulazzjoni tas-suq fis-suq tal-enerġija bl-ingrossa</w:t>
      </w:r>
      <w:bookmarkEnd w:id="5"/>
      <w:r w:rsidRPr="00760F0E">
        <w:t xml:space="preserve"> </w:t>
      </w:r>
      <w:bookmarkStart w:id="6" w:name="References"/>
      <w:r w:rsidRPr="00760F0E">
        <w:t>(COM(</w:t>
      </w:r>
      <w:r w:rsidRPr="00BE4D2D">
        <w:t>2023</w:t>
      </w:r>
      <w:r w:rsidRPr="00760F0E">
        <w:t>)</w:t>
      </w:r>
      <w:r w:rsidRPr="00BE4D2D">
        <w:t>0147</w:t>
      </w:r>
      <w:r w:rsidRPr="00760F0E">
        <w:t xml:space="preserve"> – C</w:t>
      </w:r>
      <w:r w:rsidRPr="00BE4D2D">
        <w:t>9</w:t>
      </w:r>
      <w:r w:rsidRPr="00760F0E">
        <w:t>-</w:t>
      </w:r>
      <w:r w:rsidRPr="00BE4D2D">
        <w:t>0050</w:t>
      </w:r>
      <w:r w:rsidRPr="00760F0E">
        <w:t>/</w:t>
      </w:r>
      <w:r w:rsidRPr="00BE4D2D">
        <w:t>2023</w:t>
      </w:r>
      <w:r w:rsidRPr="00760F0E">
        <w:t xml:space="preserve"> – </w:t>
      </w:r>
      <w:r w:rsidRPr="00BE4D2D">
        <w:t>2023</w:t>
      </w:r>
      <w:r w:rsidRPr="00760F0E">
        <w:t>/</w:t>
      </w:r>
      <w:r w:rsidRPr="00BE4D2D">
        <w:t>0076</w:t>
      </w:r>
      <w:r w:rsidRPr="00760F0E">
        <w:t>(COD))</w:t>
      </w:r>
      <w:bookmarkEnd w:id="6"/>
    </w:p>
    <w:p w14:paraId="252B9559" w14:textId="77777777" w:rsidR="007E2749" w:rsidRPr="00760F0E" w:rsidRDefault="007E2749" w:rsidP="007E2749">
      <w:pPr>
        <w:pStyle w:val="NormalBold"/>
      </w:pPr>
      <w:bookmarkStart w:id="7" w:name="TextBodyBegin"/>
      <w:bookmarkEnd w:id="7"/>
      <w:r w:rsidRPr="00760F0E">
        <w:t>(Proċedura leġiżlattiva ordinarja: l-ewwel qari)</w:t>
      </w:r>
    </w:p>
    <w:p w14:paraId="140D4B41" w14:textId="77777777" w:rsidR="007E2749" w:rsidRPr="00760F0E" w:rsidRDefault="007E2749" w:rsidP="007E2749">
      <w:pPr>
        <w:pStyle w:val="EPComma"/>
      </w:pPr>
      <w:r w:rsidRPr="00760F0E">
        <w:rPr>
          <w:i/>
        </w:rPr>
        <w:t>Il-Parlament Ewropew,</w:t>
      </w:r>
    </w:p>
    <w:p w14:paraId="5D0CC0DF" w14:textId="77777777" w:rsidR="007E2749" w:rsidRPr="00760F0E" w:rsidRDefault="007E2749" w:rsidP="007E2749">
      <w:pPr>
        <w:pStyle w:val="NormalHanging12a"/>
      </w:pPr>
      <w:r w:rsidRPr="00760F0E">
        <w:t>–</w:t>
      </w:r>
      <w:r w:rsidRPr="00760F0E">
        <w:tab/>
        <w:t>wara li kkunsidra l-proposta tal-Kummissjoni lill-Parlament Ewropew u lill-Kunsill (COM(</w:t>
      </w:r>
      <w:r w:rsidRPr="00BE4D2D">
        <w:t>2023</w:t>
      </w:r>
      <w:r w:rsidRPr="00760F0E">
        <w:t>)</w:t>
      </w:r>
      <w:r w:rsidRPr="00BE4D2D">
        <w:t>0147</w:t>
      </w:r>
      <w:r w:rsidRPr="00760F0E">
        <w:t>),</w:t>
      </w:r>
    </w:p>
    <w:p w14:paraId="4D50170F" w14:textId="77777777" w:rsidR="007E2749" w:rsidRPr="00760F0E" w:rsidRDefault="007E2749" w:rsidP="007E2749">
      <w:pPr>
        <w:pStyle w:val="NormalHanging12a"/>
      </w:pPr>
      <w:r w:rsidRPr="00760F0E">
        <w:t>–</w:t>
      </w:r>
      <w:r w:rsidRPr="00760F0E">
        <w:tab/>
        <w:t>wara li kkunsidra l-Artikolu </w:t>
      </w:r>
      <w:r w:rsidRPr="00BE4D2D">
        <w:t>294</w:t>
      </w:r>
      <w:r w:rsidRPr="00760F0E">
        <w:t>(</w:t>
      </w:r>
      <w:r w:rsidRPr="00BE4D2D">
        <w:t>2</w:t>
      </w:r>
      <w:r w:rsidRPr="00760F0E">
        <w:t>) u l-Artikolu </w:t>
      </w:r>
      <w:r w:rsidRPr="00BE4D2D">
        <w:t>194</w:t>
      </w:r>
      <w:r w:rsidRPr="00760F0E">
        <w:t>(</w:t>
      </w:r>
      <w:r w:rsidRPr="00BE4D2D">
        <w:t>2</w:t>
      </w:r>
      <w:r w:rsidRPr="00760F0E">
        <w:t>) tat-Trattat dwar il-Funzjonament tal-Unjoni Ewropea, skont liema artikoli l-Kummissjoni ppreżentat il-proposta lill-Parlament (C</w:t>
      </w:r>
      <w:r w:rsidRPr="00BE4D2D">
        <w:t>9</w:t>
      </w:r>
      <w:r w:rsidRPr="00760F0E">
        <w:noBreakHyphen/>
      </w:r>
      <w:r w:rsidRPr="00BE4D2D">
        <w:t>0050</w:t>
      </w:r>
      <w:r w:rsidRPr="00760F0E">
        <w:t>/</w:t>
      </w:r>
      <w:r w:rsidRPr="00BE4D2D">
        <w:t>2023</w:t>
      </w:r>
      <w:r w:rsidRPr="00760F0E">
        <w:t>),</w:t>
      </w:r>
    </w:p>
    <w:p w14:paraId="14917172" w14:textId="77777777" w:rsidR="007E2749" w:rsidRPr="00760F0E" w:rsidRDefault="007E2749" w:rsidP="007E2749">
      <w:pPr>
        <w:pStyle w:val="NormalHanging12a"/>
      </w:pPr>
      <w:r w:rsidRPr="00760F0E">
        <w:t>–</w:t>
      </w:r>
      <w:r w:rsidRPr="00760F0E">
        <w:tab/>
        <w:t>wara li kkunsidra l-Artikolu </w:t>
      </w:r>
      <w:r w:rsidRPr="00BE4D2D">
        <w:t>294</w:t>
      </w:r>
      <w:r w:rsidRPr="00760F0E">
        <w:t>(</w:t>
      </w:r>
      <w:r w:rsidRPr="00BE4D2D">
        <w:t>3</w:t>
      </w:r>
      <w:r w:rsidRPr="00760F0E">
        <w:t>) tat-Trattat dwar il-Funzjonament tal-Unjoni Ewropea,</w:t>
      </w:r>
    </w:p>
    <w:p w14:paraId="2AB9D178" w14:textId="77777777" w:rsidR="007E2749" w:rsidRPr="00760F0E" w:rsidRDefault="007E2749" w:rsidP="007E2749">
      <w:pPr>
        <w:pStyle w:val="NormalHanging12a"/>
      </w:pPr>
      <w:r w:rsidRPr="00760F0E">
        <w:t>–</w:t>
      </w:r>
      <w:r w:rsidRPr="00760F0E">
        <w:tab/>
        <w:t>wara li kkunsidra l-opinjoni tal-Kumitat Ekonomiku u Soċjali Ewropew tal-</w:t>
      </w:r>
      <w:r w:rsidRPr="00BE4D2D">
        <w:t>14</w:t>
      </w:r>
      <w:r w:rsidRPr="00760F0E">
        <w:t xml:space="preserve"> ta’ Ġunju </w:t>
      </w:r>
      <w:r w:rsidRPr="00BE4D2D">
        <w:t>2023</w:t>
      </w:r>
      <w:r w:rsidRPr="00760F0E">
        <w:rPr>
          <w:rStyle w:val="FootnoteReference"/>
        </w:rPr>
        <w:footnoteReference w:id="1"/>
      </w:r>
      <w:r w:rsidRPr="00760F0E">
        <w:t>,</w:t>
      </w:r>
    </w:p>
    <w:p w14:paraId="35A5C522" w14:textId="77777777" w:rsidR="007E2749" w:rsidRPr="00760F0E" w:rsidRDefault="007E2749" w:rsidP="007E2749">
      <w:pPr>
        <w:pStyle w:val="NormalHanging12a"/>
      </w:pPr>
      <w:r w:rsidRPr="00760F0E">
        <w:t>–</w:t>
      </w:r>
      <w:r w:rsidRPr="00760F0E">
        <w:tab/>
        <w:t>wara li kkonsulta l-Kumitat tar-Reġjuni,</w:t>
      </w:r>
    </w:p>
    <w:p w14:paraId="33886957" w14:textId="77777777" w:rsidR="00E913E0" w:rsidRPr="00760F0E" w:rsidRDefault="00E913E0" w:rsidP="007E2749">
      <w:pPr>
        <w:pStyle w:val="NormalHanging12a"/>
      </w:pPr>
      <w:r w:rsidRPr="00760F0E">
        <w:t>–</w:t>
      </w:r>
      <w:r w:rsidRPr="00760F0E">
        <w:tab/>
        <w:t xml:space="preserve">wara li kkunsidra l-ftehim proviżorju approvat mill-kumitat risponsabbli skont l-Artikolu </w:t>
      </w:r>
      <w:r w:rsidRPr="00BE4D2D">
        <w:t>74</w:t>
      </w:r>
      <w:r w:rsidRPr="00760F0E">
        <w:t>(</w:t>
      </w:r>
      <w:r w:rsidRPr="00BE4D2D">
        <w:t>4</w:t>
      </w:r>
      <w:r w:rsidRPr="00760F0E">
        <w:t>) tar-Regoli ta’ Proċedura u l-impenn meħud mir-rappreżentant tal-Kunsill permezz tal-ittra tal-</w:t>
      </w:r>
      <w:r w:rsidRPr="00BE4D2D">
        <w:t>20</w:t>
      </w:r>
      <w:r w:rsidRPr="00760F0E">
        <w:t xml:space="preserve"> ta’ Diċembru</w:t>
      </w:r>
      <w:r w:rsidR="0003255F" w:rsidRPr="00760F0E">
        <w:t xml:space="preserve"> </w:t>
      </w:r>
      <w:r w:rsidR="0003255F" w:rsidRPr="00BE4D2D">
        <w:t>2023</w:t>
      </w:r>
      <w:r w:rsidRPr="00760F0E">
        <w:t xml:space="preserve"> li japprova l-pożizzjoni tal-Parlament, skont l-Artikolu </w:t>
      </w:r>
      <w:r w:rsidRPr="00BE4D2D">
        <w:t>294</w:t>
      </w:r>
      <w:r w:rsidRPr="00760F0E">
        <w:t>(</w:t>
      </w:r>
      <w:r w:rsidRPr="00BE4D2D">
        <w:t>4</w:t>
      </w:r>
      <w:r w:rsidRPr="00760F0E">
        <w:t>) tat-Trattat dwar il-Funzjonament tal-Unjoni Ewropea,</w:t>
      </w:r>
    </w:p>
    <w:p w14:paraId="133E0D18" w14:textId="77777777" w:rsidR="007E2749" w:rsidRPr="00760F0E" w:rsidRDefault="007E2749" w:rsidP="007E2749">
      <w:pPr>
        <w:pStyle w:val="NormalHanging12a"/>
      </w:pPr>
      <w:r w:rsidRPr="00760F0E">
        <w:t>–</w:t>
      </w:r>
      <w:r w:rsidRPr="00760F0E">
        <w:tab/>
        <w:t>wara li kkunsidra l-Artikolu </w:t>
      </w:r>
      <w:r w:rsidRPr="00BE4D2D">
        <w:t>59</w:t>
      </w:r>
      <w:r w:rsidRPr="00760F0E">
        <w:t xml:space="preserve"> tar-Regoli ta’ Proċedura tiegħu,</w:t>
      </w:r>
    </w:p>
    <w:p w14:paraId="4E890711" w14:textId="77777777" w:rsidR="007E2749" w:rsidRPr="00760F0E" w:rsidRDefault="007E2749" w:rsidP="007E2749">
      <w:pPr>
        <w:pStyle w:val="NormalHanging12a"/>
      </w:pPr>
      <w:r w:rsidRPr="00760F0E">
        <w:lastRenderedPageBreak/>
        <w:t>–</w:t>
      </w:r>
      <w:r w:rsidRPr="00760F0E">
        <w:tab/>
        <w:t>wara li kkunsidra l-opinjoni tal-Kumitat għall-Affarijiet Ekonomiċi u Monetarji,</w:t>
      </w:r>
    </w:p>
    <w:p w14:paraId="79E0FD99" w14:textId="77777777" w:rsidR="007E2749" w:rsidRPr="00760F0E" w:rsidRDefault="007E2749" w:rsidP="007E2749">
      <w:pPr>
        <w:pStyle w:val="NormalHanging12a"/>
      </w:pPr>
      <w:r w:rsidRPr="00760F0E">
        <w:t>–</w:t>
      </w:r>
      <w:r w:rsidRPr="00760F0E">
        <w:tab/>
        <w:t>wara li kkunsidra l-ittra tal-Kumitat għall-Baġits,</w:t>
      </w:r>
    </w:p>
    <w:p w14:paraId="476DE266" w14:textId="77777777" w:rsidR="007E2749" w:rsidRPr="00760F0E" w:rsidRDefault="007E2749" w:rsidP="007E2749">
      <w:pPr>
        <w:pStyle w:val="NormalHanging12a"/>
      </w:pPr>
      <w:r w:rsidRPr="00760F0E">
        <w:t>–</w:t>
      </w:r>
      <w:r w:rsidRPr="00760F0E">
        <w:tab/>
        <w:t>wara li kkunsidra r-rapport tal-Kumitat għall-Industrija, ir-Riċerka u l-Enerġija (A</w:t>
      </w:r>
      <w:r w:rsidRPr="00BE4D2D">
        <w:t>9</w:t>
      </w:r>
      <w:r w:rsidRPr="00760F0E">
        <w:t>-</w:t>
      </w:r>
      <w:r w:rsidRPr="00BE4D2D">
        <w:t>0261</w:t>
      </w:r>
      <w:r w:rsidRPr="00760F0E">
        <w:t>/</w:t>
      </w:r>
      <w:r w:rsidRPr="00BE4D2D">
        <w:t>2023</w:t>
      </w:r>
      <w:r w:rsidRPr="00760F0E">
        <w:t>),</w:t>
      </w:r>
    </w:p>
    <w:p w14:paraId="5D933ACB" w14:textId="77777777" w:rsidR="007E2749" w:rsidRPr="00760F0E" w:rsidRDefault="007E2749" w:rsidP="007E2749">
      <w:pPr>
        <w:pStyle w:val="NormalHanging12a"/>
      </w:pPr>
      <w:r w:rsidRPr="00BE4D2D">
        <w:t>1</w:t>
      </w:r>
      <w:r w:rsidRPr="00760F0E">
        <w:t>.</w:t>
      </w:r>
      <w:r w:rsidRPr="00760F0E">
        <w:tab/>
        <w:t>Jadotta l-pożizzjoni fl-ewwel qari li tidher hawn taħt;</w:t>
      </w:r>
    </w:p>
    <w:p w14:paraId="7443727B" w14:textId="77777777" w:rsidR="007E2749" w:rsidRPr="00760F0E" w:rsidRDefault="007E2749" w:rsidP="007E2749">
      <w:pPr>
        <w:pStyle w:val="NormalHanging12a"/>
      </w:pPr>
      <w:r w:rsidRPr="00BE4D2D">
        <w:t>2</w:t>
      </w:r>
      <w:r w:rsidRPr="00760F0E">
        <w:t>.</w:t>
      </w:r>
      <w:r w:rsidRPr="00760F0E">
        <w:tab/>
        <w:t>Jitlob lill-Kummissjoni terġa’ tirreferi l-kwistjoni lill-Parlament jekk tibdel il-proposta tagħha, temendaha b’mod sustanzjali jew ikollha l-ħsieb li temendaha b’mod sustanzjali;</w:t>
      </w:r>
    </w:p>
    <w:p w14:paraId="5A8BD8BC" w14:textId="77777777" w:rsidR="00BE4D2D" w:rsidRDefault="007E2749" w:rsidP="00760F0E">
      <w:pPr>
        <w:pStyle w:val="NormalHanging12a"/>
        <w:sectPr w:rsidR="00BE4D2D" w:rsidSect="00CA6F8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E4D2D">
        <w:t>3</w:t>
      </w:r>
      <w:r w:rsidRPr="00760F0E">
        <w:t>.</w:t>
      </w:r>
      <w:r w:rsidRPr="00760F0E">
        <w:tab/>
        <w:t>Jagħti istruzzjonijiet lill-President tiegħu tgħaddi l-pożizzjoni tal-Parlament lill-Kunsill u lill-Kummissjoni kif ukoll lill-parlamenti nazzjonali.</w:t>
      </w:r>
      <w:bookmarkStart w:id="8" w:name="TextBodyEnd"/>
      <w:bookmarkEnd w:id="8"/>
    </w:p>
    <w:p w14:paraId="42068E78" w14:textId="77777777" w:rsidR="00833DA3" w:rsidRPr="00760F0E" w:rsidRDefault="00833DA3" w:rsidP="00760F0E">
      <w:pPr>
        <w:pStyle w:val="NormalHanging12a"/>
        <w:rPr>
          <w:rFonts w:eastAsia="Calibri"/>
          <w:b/>
          <w:bCs/>
          <w:color w:val="000000"/>
          <w:szCs w:val="24"/>
        </w:rPr>
      </w:pPr>
      <w:r w:rsidRPr="00760F0E">
        <w:rPr>
          <w:rFonts w:eastAsia="Calibri"/>
          <w:b/>
          <w:bCs/>
          <w:color w:val="000000"/>
          <w:szCs w:val="24"/>
        </w:rPr>
        <w:lastRenderedPageBreak/>
        <w:t>P</w:t>
      </w:r>
      <w:r w:rsidRPr="00BE4D2D">
        <w:rPr>
          <w:rFonts w:eastAsia="Calibri"/>
          <w:b/>
          <w:bCs/>
          <w:color w:val="000000"/>
          <w:szCs w:val="24"/>
        </w:rPr>
        <w:t>9</w:t>
      </w:r>
      <w:r w:rsidRPr="00760F0E">
        <w:rPr>
          <w:rFonts w:eastAsia="Calibri"/>
          <w:b/>
          <w:bCs/>
          <w:color w:val="000000"/>
          <w:szCs w:val="24"/>
        </w:rPr>
        <w:t>_TC</w:t>
      </w:r>
      <w:r w:rsidRPr="00BE4D2D">
        <w:rPr>
          <w:rFonts w:eastAsia="Calibri"/>
          <w:b/>
          <w:bCs/>
          <w:color w:val="000000"/>
          <w:szCs w:val="24"/>
        </w:rPr>
        <w:t>1</w:t>
      </w:r>
      <w:r w:rsidRPr="00760F0E">
        <w:rPr>
          <w:rFonts w:eastAsia="Calibri"/>
          <w:b/>
          <w:bCs/>
          <w:color w:val="000000"/>
          <w:szCs w:val="24"/>
        </w:rPr>
        <w:t>-COD(</w:t>
      </w:r>
      <w:r w:rsidRPr="00BE4D2D">
        <w:rPr>
          <w:rFonts w:eastAsia="Calibri"/>
          <w:b/>
          <w:bCs/>
          <w:color w:val="000000"/>
          <w:szCs w:val="24"/>
        </w:rPr>
        <w:t>2023</w:t>
      </w:r>
      <w:r w:rsidRPr="00760F0E">
        <w:rPr>
          <w:rFonts w:eastAsia="Calibri"/>
          <w:b/>
          <w:bCs/>
          <w:color w:val="000000"/>
          <w:szCs w:val="24"/>
        </w:rPr>
        <w:t>)</w:t>
      </w:r>
      <w:r w:rsidRPr="00BE4D2D">
        <w:rPr>
          <w:rFonts w:eastAsia="Calibri"/>
          <w:b/>
          <w:bCs/>
          <w:color w:val="000000"/>
          <w:szCs w:val="24"/>
        </w:rPr>
        <w:t>0076</w:t>
      </w:r>
    </w:p>
    <w:p w14:paraId="10947A32" w14:textId="77777777" w:rsidR="00E365E1" w:rsidRPr="00760F0E" w:rsidRDefault="00833DA3" w:rsidP="00833DA3">
      <w:pPr>
        <w:spacing w:after="240"/>
        <w:rPr>
          <w:rFonts w:eastAsia="Calibri"/>
          <w:b/>
          <w:szCs w:val="22"/>
        </w:rPr>
      </w:pPr>
      <w:r w:rsidRPr="00760F0E">
        <w:rPr>
          <w:rFonts w:eastAsia="Calibri"/>
          <w:b/>
          <w:bCs/>
        </w:rPr>
        <w:t>Pożizzjoni tal-Parlament Ewropew adottata fl-ewwel qari tad-</w:t>
      </w:r>
      <w:r w:rsidRPr="00BE4D2D">
        <w:rPr>
          <w:rFonts w:eastAsia="Calibri"/>
          <w:b/>
          <w:bCs/>
        </w:rPr>
        <w:t>29</w:t>
      </w:r>
      <w:r w:rsidRPr="00760F0E">
        <w:rPr>
          <w:b/>
        </w:rPr>
        <w:t xml:space="preserve"> </w:t>
      </w:r>
      <w:r w:rsidRPr="00760F0E">
        <w:rPr>
          <w:rFonts w:eastAsia="Calibri"/>
          <w:b/>
          <w:bCs/>
        </w:rPr>
        <w:t xml:space="preserve">ta' Frar </w:t>
      </w:r>
      <w:r w:rsidRPr="00BE4D2D">
        <w:rPr>
          <w:rFonts w:eastAsia="Calibri"/>
          <w:b/>
          <w:bCs/>
        </w:rPr>
        <w:t>2024</w:t>
      </w:r>
      <w:r w:rsidRPr="00760F0E">
        <w:rPr>
          <w:rFonts w:eastAsia="Calibri"/>
          <w:b/>
          <w:bCs/>
        </w:rPr>
        <w:t xml:space="preserve"> bil-ħsieb tal-adozzjoni tar-Regolament (UE) </w:t>
      </w:r>
      <w:r w:rsidRPr="00BE4D2D">
        <w:rPr>
          <w:rFonts w:eastAsia="Calibri"/>
          <w:b/>
          <w:bCs/>
        </w:rPr>
        <w:t>2024</w:t>
      </w:r>
      <w:r w:rsidRPr="00760F0E">
        <w:rPr>
          <w:rFonts w:eastAsia="Calibri"/>
          <w:b/>
          <w:bCs/>
        </w:rPr>
        <w:t xml:space="preserve">/... </w:t>
      </w:r>
      <w:r w:rsidRPr="00760F0E">
        <w:rPr>
          <w:b/>
          <w:color w:val="000000"/>
          <w:szCs w:val="22"/>
        </w:rPr>
        <w:t>tal-Parlament Ewropew u tal-Kunsill</w:t>
      </w:r>
      <w:r w:rsidRPr="00760F0E">
        <w:rPr>
          <w:rFonts w:eastAsia="Calibri"/>
          <w:b/>
          <w:szCs w:val="22"/>
        </w:rPr>
        <w:t xml:space="preserve"> li jemenda r-Regolamenti (UE) Nru </w:t>
      </w:r>
      <w:r w:rsidRPr="00BE4D2D">
        <w:rPr>
          <w:rFonts w:eastAsia="Calibri"/>
          <w:b/>
          <w:szCs w:val="22"/>
        </w:rPr>
        <w:t>1227</w:t>
      </w:r>
      <w:r w:rsidRPr="00760F0E">
        <w:rPr>
          <w:rFonts w:eastAsia="Calibri"/>
          <w:b/>
          <w:szCs w:val="22"/>
        </w:rPr>
        <w:t>/</w:t>
      </w:r>
      <w:r w:rsidRPr="00BE4D2D">
        <w:rPr>
          <w:rFonts w:eastAsia="Calibri"/>
          <w:b/>
          <w:szCs w:val="22"/>
        </w:rPr>
        <w:t>2011</w:t>
      </w:r>
      <w:r w:rsidRPr="00760F0E">
        <w:rPr>
          <w:rFonts w:eastAsia="Calibri"/>
          <w:b/>
          <w:szCs w:val="22"/>
        </w:rPr>
        <w:t xml:space="preserve"> u (UE) </w:t>
      </w:r>
      <w:r w:rsidRPr="00BE4D2D">
        <w:rPr>
          <w:rFonts w:eastAsia="Calibri"/>
          <w:b/>
          <w:szCs w:val="22"/>
        </w:rPr>
        <w:t>2019</w:t>
      </w:r>
      <w:r w:rsidRPr="00760F0E">
        <w:rPr>
          <w:rFonts w:eastAsia="Calibri"/>
          <w:b/>
          <w:szCs w:val="22"/>
        </w:rPr>
        <w:t>/</w:t>
      </w:r>
      <w:r w:rsidRPr="00BE4D2D">
        <w:rPr>
          <w:rFonts w:eastAsia="Calibri"/>
          <w:b/>
          <w:szCs w:val="22"/>
        </w:rPr>
        <w:t>942</w:t>
      </w:r>
      <w:r w:rsidRPr="00760F0E">
        <w:rPr>
          <w:rFonts w:eastAsia="Calibri"/>
          <w:b/>
          <w:szCs w:val="22"/>
        </w:rPr>
        <w:t xml:space="preserve"> biex tissaħħaħ il-protezzjoni tal-Unjoni mill-manipulazzjoni tas-suq fis-suq tal-enerġija bl-ingrossa</w:t>
      </w:r>
    </w:p>
    <w:p w14:paraId="2B209985" w14:textId="77777777" w:rsidR="00833DA3" w:rsidRPr="00426EED" w:rsidRDefault="00426EED" w:rsidP="00426EED">
      <w:pPr>
        <w:rPr>
          <w:i/>
        </w:rPr>
      </w:pPr>
      <w:r w:rsidRPr="00426EED">
        <w:rPr>
          <w:i/>
        </w:rPr>
        <w:t xml:space="preserve">(Peress li ntlaħaq ftehim bejn il-Parlament u l-Kunsill, il-pożizzjoni tal-Parlament taqbel mal-att leġiżlattiv finali, ir-Regolament </w:t>
      </w:r>
      <w:bookmarkStart w:id="9" w:name="_GoBack"/>
      <w:bookmarkEnd w:id="9"/>
      <w:r w:rsidRPr="00426EED">
        <w:rPr>
          <w:i/>
        </w:rPr>
        <w:t>(UE) 2024/1106.)</w:t>
      </w:r>
    </w:p>
    <w:sectPr w:rsidR="00833DA3" w:rsidRPr="00426EED" w:rsidSect="00BE4D2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ED0F3" w14:textId="77777777" w:rsidR="00CA6F82" w:rsidRPr="00BA1508" w:rsidRDefault="00CA6F82">
      <w:r w:rsidRPr="00BA1508">
        <w:separator/>
      </w:r>
    </w:p>
  </w:endnote>
  <w:endnote w:type="continuationSeparator" w:id="0">
    <w:p w14:paraId="0297B0B6" w14:textId="77777777" w:rsidR="00CA6F82" w:rsidRPr="00BA1508" w:rsidRDefault="00CA6F82">
      <w:r w:rsidRPr="00BA15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22DC9" w14:textId="77777777" w:rsidR="00CA6F82" w:rsidRPr="00BA1508" w:rsidRDefault="00CA6F8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F3776" w14:textId="77777777" w:rsidR="00CA6F82" w:rsidRPr="00BA1508" w:rsidRDefault="00CA6F8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6BB01" w14:textId="77777777" w:rsidR="00CA6F82" w:rsidRPr="00BA1508" w:rsidRDefault="00CA6F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5CDA2" w14:textId="77777777" w:rsidR="00CA6F82" w:rsidRPr="00BA1508" w:rsidRDefault="00CA6F82">
      <w:r w:rsidRPr="00BA1508">
        <w:separator/>
      </w:r>
    </w:p>
  </w:footnote>
  <w:footnote w:type="continuationSeparator" w:id="0">
    <w:p w14:paraId="6B1272DE" w14:textId="77777777" w:rsidR="00CA6F82" w:rsidRPr="00BA1508" w:rsidRDefault="00CA6F82">
      <w:r w:rsidRPr="00BA1508">
        <w:continuationSeparator/>
      </w:r>
    </w:p>
  </w:footnote>
  <w:footnote w:id="1">
    <w:p w14:paraId="5C74F8A0" w14:textId="77777777" w:rsidR="00CA6F82" w:rsidRPr="00760F0E" w:rsidRDefault="00CA6F82" w:rsidP="00760F0E">
      <w:pPr>
        <w:pStyle w:val="FootnoteText"/>
        <w:ind w:left="709" w:hanging="709"/>
        <w:rPr>
          <w:sz w:val="24"/>
          <w:szCs w:val="24"/>
          <w:lang w:val="mt-MT"/>
        </w:rPr>
      </w:pPr>
      <w:r w:rsidRPr="00760F0E">
        <w:rPr>
          <w:rStyle w:val="FootnoteReference"/>
          <w:sz w:val="24"/>
          <w:szCs w:val="24"/>
          <w:lang w:val="mt-MT"/>
        </w:rPr>
        <w:footnoteRef/>
      </w:r>
      <w:r w:rsidRPr="00760F0E">
        <w:rPr>
          <w:sz w:val="24"/>
          <w:szCs w:val="24"/>
          <w:lang w:val="mt-MT"/>
        </w:rPr>
        <w:t xml:space="preserve"> </w:t>
      </w:r>
      <w:r w:rsidRPr="00760F0E">
        <w:rPr>
          <w:sz w:val="24"/>
          <w:szCs w:val="24"/>
          <w:lang w:val="mt-MT"/>
        </w:rPr>
        <w:tab/>
        <w:t>ĠU C </w:t>
      </w:r>
      <w:r w:rsidRPr="00BE4D2D">
        <w:rPr>
          <w:sz w:val="24"/>
          <w:szCs w:val="24"/>
          <w:lang w:val="mt-MT"/>
        </w:rPr>
        <w:t>293</w:t>
      </w:r>
      <w:r w:rsidRPr="00760F0E">
        <w:rPr>
          <w:sz w:val="24"/>
          <w:szCs w:val="24"/>
          <w:lang w:val="mt-MT"/>
        </w:rPr>
        <w:t xml:space="preserve">, </w:t>
      </w:r>
      <w:r w:rsidRPr="00BE4D2D">
        <w:rPr>
          <w:sz w:val="24"/>
          <w:szCs w:val="24"/>
          <w:lang w:val="mt-MT"/>
        </w:rPr>
        <w:t>18</w:t>
      </w:r>
      <w:r w:rsidRPr="00760F0E">
        <w:rPr>
          <w:sz w:val="24"/>
          <w:szCs w:val="24"/>
          <w:lang w:val="mt-MT"/>
        </w:rPr>
        <w:t>.</w:t>
      </w:r>
      <w:r w:rsidRPr="00BE4D2D">
        <w:rPr>
          <w:sz w:val="24"/>
          <w:szCs w:val="24"/>
          <w:lang w:val="mt-MT"/>
        </w:rPr>
        <w:t>8</w:t>
      </w:r>
      <w:r w:rsidRPr="00760F0E">
        <w:rPr>
          <w:sz w:val="24"/>
          <w:szCs w:val="24"/>
          <w:lang w:val="mt-MT"/>
        </w:rPr>
        <w:t>.</w:t>
      </w:r>
      <w:r w:rsidRPr="00BE4D2D">
        <w:rPr>
          <w:sz w:val="24"/>
          <w:szCs w:val="24"/>
          <w:lang w:val="mt-MT"/>
        </w:rPr>
        <w:t>2023</w:t>
      </w:r>
      <w:r w:rsidRPr="00760F0E">
        <w:rPr>
          <w:sz w:val="24"/>
          <w:szCs w:val="24"/>
          <w:lang w:val="mt-MT"/>
        </w:rPr>
        <w:t>, p. </w:t>
      </w:r>
      <w:r w:rsidRPr="00BE4D2D">
        <w:rPr>
          <w:sz w:val="24"/>
          <w:szCs w:val="24"/>
          <w:lang w:val="mt-MT"/>
        </w:rPr>
        <w:t>138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201C6" w14:textId="77777777" w:rsidR="00CA6F82" w:rsidRPr="00BA1508" w:rsidRDefault="00CA6F8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39DC9" w14:textId="77777777" w:rsidR="00CA6F82" w:rsidRPr="00BA1508" w:rsidRDefault="00CA6F8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18552" w14:textId="77777777" w:rsidR="00CA6F82" w:rsidRPr="00BA1508" w:rsidRDefault="00CA6F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130B52A1"/>
    <w:multiLevelType w:val="hybridMultilevel"/>
    <w:tmpl w:val="84D8DD64"/>
    <w:lvl w:ilvl="0" w:tplc="E74CFB5C">
      <w:start w:val="1"/>
      <w:numFmt w:val="decimal"/>
      <w:lvlText w:val="(%1)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2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4" w15:restartNumberingAfterBreak="0">
    <w:nsid w:val="229A1C42"/>
    <w:multiLevelType w:val="hybridMultilevel"/>
    <w:tmpl w:val="BF92D5DC"/>
    <w:lvl w:ilvl="0" w:tplc="28D278FC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B3E1A10"/>
    <w:multiLevelType w:val="multilevel"/>
    <w:tmpl w:val="1504C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3"/>
  </w:num>
  <w:num w:numId="2">
    <w:abstractNumId w:val="18"/>
  </w:num>
  <w:num w:numId="3">
    <w:abstractNumId w:val="8"/>
  </w:num>
  <w:num w:numId="4">
    <w:abstractNumId w:val="23"/>
  </w:num>
  <w:num w:numId="5">
    <w:abstractNumId w:val="26"/>
  </w:num>
  <w:num w:numId="6">
    <w:abstractNumId w:val="25"/>
  </w:num>
  <w:num w:numId="7">
    <w:abstractNumId w:val="45"/>
  </w:num>
  <w:num w:numId="8">
    <w:abstractNumId w:val="19"/>
  </w:num>
  <w:num w:numId="9">
    <w:abstractNumId w:val="20"/>
  </w:num>
  <w:num w:numId="10">
    <w:abstractNumId w:val="21"/>
  </w:num>
  <w:num w:numId="11">
    <w:abstractNumId w:val="24"/>
  </w:num>
  <w:num w:numId="12">
    <w:abstractNumId w:val="12"/>
  </w:num>
  <w:num w:numId="13">
    <w:abstractNumId w:val="46"/>
  </w:num>
  <w:num w:numId="14">
    <w:abstractNumId w:val="17"/>
  </w:num>
  <w:num w:numId="15">
    <w:abstractNumId w:val="6"/>
  </w:num>
  <w:num w:numId="16">
    <w:abstractNumId w:val="5"/>
  </w:num>
  <w:num w:numId="17">
    <w:abstractNumId w:val="38"/>
  </w:num>
  <w:num w:numId="18">
    <w:abstractNumId w:val="36"/>
  </w:num>
  <w:num w:numId="19">
    <w:abstractNumId w:val="29"/>
  </w:num>
  <w:num w:numId="20">
    <w:abstractNumId w:val="42"/>
  </w:num>
  <w:num w:numId="21">
    <w:abstractNumId w:val="41"/>
  </w:num>
  <w:num w:numId="22">
    <w:abstractNumId w:val="43"/>
  </w:num>
  <w:num w:numId="23">
    <w:abstractNumId w:val="7"/>
  </w:num>
  <w:num w:numId="24">
    <w:abstractNumId w:val="34"/>
  </w:num>
  <w:num w:numId="25">
    <w:abstractNumId w:val="2"/>
  </w:num>
  <w:num w:numId="26">
    <w:abstractNumId w:val="35"/>
  </w:num>
  <w:num w:numId="27">
    <w:abstractNumId w:val="31"/>
  </w:num>
  <w:num w:numId="28">
    <w:abstractNumId w:val="4"/>
  </w:num>
  <w:num w:numId="29">
    <w:abstractNumId w:val="39"/>
  </w:num>
  <w:num w:numId="30">
    <w:abstractNumId w:val="44"/>
  </w:num>
  <w:num w:numId="31">
    <w:abstractNumId w:val="27"/>
  </w:num>
  <w:num w:numId="32">
    <w:abstractNumId w:val="37"/>
  </w:num>
  <w:num w:numId="33">
    <w:abstractNumId w:val="32"/>
  </w:num>
  <w:num w:numId="34">
    <w:abstractNumId w:val="22"/>
  </w:num>
  <w:num w:numId="35">
    <w:abstractNumId w:val="1"/>
  </w:num>
  <w:num w:numId="36">
    <w:abstractNumId w:val="15"/>
  </w:num>
  <w:num w:numId="37">
    <w:abstractNumId w:val="10"/>
  </w:num>
  <w:num w:numId="38">
    <w:abstractNumId w:val="16"/>
  </w:num>
  <w:num w:numId="39">
    <w:abstractNumId w:val="28"/>
  </w:num>
  <w:num w:numId="40">
    <w:abstractNumId w:val="9"/>
  </w:num>
  <w:num w:numId="41">
    <w:abstractNumId w:val="14"/>
  </w:num>
  <w:num w:numId="42">
    <w:abstractNumId w:val="30"/>
  </w:num>
  <w:num w:numId="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activeWritingStyle w:appName="MSWord" w:lang="it-I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1/2023"/>
    <w:docVar w:name="dvlangue" w:val="MT"/>
    <w:docVar w:name="dvnumam" w:val="27"/>
    <w:docVar w:name="dvpe" w:val="747.031"/>
    <w:docVar w:name="dvrapporteur" w:val="Rapporteur: "/>
    <w:docVar w:name="dvstar" w:val="***I"/>
    <w:docVar w:name="dvtitre" w:val="Riżoluzzjoni leġiżlattiva tal-Parlament Ewropew tat-28 ta' Frar 2024 dwar il-proposta għal Regolament tal-Parlament Ewropew u tal-Kunsill li jemenda r-Regolamenti (UE) Nru 1227/2011 u (UE) 2019/942 biex tissaħħaħ il-protezzjoni tal-Unjoni mill-manipulazzjoni tas-suq fis-suq tal-enerġija bl-ingrossa(COM(2023)0147 – C9-0050/2023 – 2023/0076(COD))"/>
  </w:docVars>
  <w:rsids>
    <w:rsidRoot w:val="00431686"/>
    <w:rsid w:val="00002272"/>
    <w:rsid w:val="0003255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516"/>
    <w:rsid w:val="00395FA1"/>
    <w:rsid w:val="003E15D4"/>
    <w:rsid w:val="00411CCE"/>
    <w:rsid w:val="0041666E"/>
    <w:rsid w:val="00421060"/>
    <w:rsid w:val="00426EED"/>
    <w:rsid w:val="0043168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3757"/>
    <w:rsid w:val="006C451F"/>
    <w:rsid w:val="006F74FA"/>
    <w:rsid w:val="00731ADD"/>
    <w:rsid w:val="00734777"/>
    <w:rsid w:val="00747932"/>
    <w:rsid w:val="00751A4A"/>
    <w:rsid w:val="00756632"/>
    <w:rsid w:val="00760F0E"/>
    <w:rsid w:val="00762C74"/>
    <w:rsid w:val="00786EC0"/>
    <w:rsid w:val="007D1690"/>
    <w:rsid w:val="007E22AD"/>
    <w:rsid w:val="007E2749"/>
    <w:rsid w:val="00817416"/>
    <w:rsid w:val="00833DA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508"/>
    <w:rsid w:val="00BD48FE"/>
    <w:rsid w:val="00BD7BD8"/>
    <w:rsid w:val="00BE4D2D"/>
    <w:rsid w:val="00BE6ADC"/>
    <w:rsid w:val="00C05BFE"/>
    <w:rsid w:val="00C23CD4"/>
    <w:rsid w:val="00C61C0C"/>
    <w:rsid w:val="00C941CB"/>
    <w:rsid w:val="00CA6F8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3E0"/>
    <w:rsid w:val="00EB006A"/>
    <w:rsid w:val="00EB4772"/>
    <w:rsid w:val="00ED169E"/>
    <w:rsid w:val="00ED4235"/>
    <w:rsid w:val="00EE3ABA"/>
    <w:rsid w:val="00F04346"/>
    <w:rsid w:val="00F075DC"/>
    <w:rsid w:val="00F149E9"/>
    <w:rsid w:val="00F5134D"/>
    <w:rsid w:val="00F74202"/>
    <w:rsid w:val="00F87713"/>
    <w:rsid w:val="00FB4360"/>
    <w:rsid w:val="00FB728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1FAE0"/>
  <w15:chartTrackingRefBased/>
  <w15:docId w15:val="{866B6FC6-127B-4AC9-AA6A-30CE18DE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E274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74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74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74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74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749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749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749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749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7E2749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E2749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E2749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749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E2749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7E2749"/>
    <w:rPr>
      <w:b/>
      <w:bCs/>
    </w:rPr>
  </w:style>
  <w:style w:type="character" w:styleId="Emphasis">
    <w:name w:val="Emphasis"/>
    <w:basedOn w:val="DefaultParagraphFont"/>
    <w:uiPriority w:val="20"/>
    <w:qFormat/>
    <w:rsid w:val="007E274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E2749"/>
    <w:pPr>
      <w:widowControl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7E2749"/>
    <w:pPr>
      <w:widowControl/>
      <w:ind w:left="720"/>
      <w:contextualSpacing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E2749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E2749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749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749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7E274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E274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E274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E274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E2749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EPFooter2">
    <w:name w:val="EPFooter2"/>
    <w:basedOn w:val="Normal"/>
    <w:next w:val="Normal"/>
    <w:link w:val="EPFooter2Char"/>
    <w:rsid w:val="007E2749"/>
    <w:pPr>
      <w:widowControl/>
      <w:tabs>
        <w:tab w:val="center" w:pos="4535"/>
        <w:tab w:val="right" w:pos="9921"/>
      </w:tabs>
      <w:ind w:left="-850" w:right="-850"/>
    </w:pPr>
    <w:rPr>
      <w:rFonts w:ascii="Arial" w:eastAsiaTheme="minorHAnsi" w:hAnsi="Arial" w:cs="Arial"/>
      <w:b/>
      <w:sz w:val="48"/>
      <w:szCs w:val="22"/>
      <w:lang w:eastAsia="en-US"/>
    </w:rPr>
  </w:style>
  <w:style w:type="paragraph" w:customStyle="1" w:styleId="TOCPage">
    <w:name w:val="TOC Page"/>
    <w:basedOn w:val="Normal"/>
    <w:next w:val="TOC1"/>
    <w:rsid w:val="007E274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7E274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E2749"/>
    <w:rPr>
      <w:b/>
    </w:rPr>
  </w:style>
  <w:style w:type="paragraph" w:customStyle="1" w:styleId="NormalBold12a">
    <w:name w:val="NormalBold12a"/>
    <w:basedOn w:val="Normal"/>
    <w:rsid w:val="007E274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E274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E2749"/>
    <w:pPr>
      <w:spacing w:after="480"/>
      <w:ind w:left="1417"/>
    </w:pPr>
  </w:style>
  <w:style w:type="paragraph" w:customStyle="1" w:styleId="CoverNormal">
    <w:name w:val="CoverNormal"/>
    <w:basedOn w:val="Normal"/>
    <w:rsid w:val="007E2749"/>
    <w:pPr>
      <w:ind w:left="1418"/>
    </w:pPr>
  </w:style>
  <w:style w:type="paragraph" w:customStyle="1" w:styleId="CoverReference">
    <w:name w:val="CoverReference"/>
    <w:basedOn w:val="Normal"/>
    <w:rsid w:val="007E274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E274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E274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E274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E27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749"/>
    <w:rPr>
      <w:sz w:val="24"/>
      <w:lang w:val="mt-MT"/>
    </w:rPr>
  </w:style>
  <w:style w:type="paragraph" w:customStyle="1" w:styleId="AmNumberTabs">
    <w:name w:val="AmNumberTabs"/>
    <w:basedOn w:val="Normal"/>
    <w:rsid w:val="007E27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Body">
    <w:name w:val="EPBody"/>
    <w:basedOn w:val="Normal"/>
    <w:rsid w:val="007E274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7E2749"/>
    <w:pPr>
      <w:tabs>
        <w:tab w:val="center" w:pos="4535"/>
        <w:tab w:val="right" w:pos="9071"/>
      </w:tabs>
      <w:spacing w:before="240" w:after="240"/>
    </w:pPr>
    <w:rPr>
      <w:rFonts w:eastAsiaTheme="minorHAnsi"/>
      <w:color w:val="010000"/>
      <w:sz w:val="22"/>
      <w:szCs w:val="22"/>
      <w:lang w:eastAsia="en-US"/>
    </w:rPr>
  </w:style>
  <w:style w:type="paragraph" w:customStyle="1" w:styleId="EPComma">
    <w:name w:val="EPComma"/>
    <w:basedOn w:val="Normal"/>
    <w:rsid w:val="007E2749"/>
    <w:pPr>
      <w:spacing w:before="480" w:after="240"/>
    </w:pPr>
  </w:style>
  <w:style w:type="paragraph" w:customStyle="1" w:styleId="Lgendesigne">
    <w:name w:val="Légende signe"/>
    <w:basedOn w:val="Normal"/>
    <w:rsid w:val="007E274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E274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7E2749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7E2749"/>
    <w:rPr>
      <w:b/>
      <w:sz w:val="24"/>
      <w:lang w:val="mt-MT"/>
    </w:rPr>
  </w:style>
  <w:style w:type="paragraph" w:customStyle="1" w:styleId="NormalCenter12a">
    <w:name w:val="NormalCenter12a"/>
    <w:basedOn w:val="Normal"/>
    <w:rsid w:val="007E274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E2749"/>
    <w:pPr>
      <w:spacing w:before="720" w:after="240"/>
      <w:jc w:val="center"/>
    </w:pPr>
  </w:style>
  <w:style w:type="paragraph" w:customStyle="1" w:styleId="Statut">
    <w:name w:val="Statut"/>
    <w:basedOn w:val="Normal"/>
    <w:next w:val="Typedudocument"/>
    <w:rsid w:val="007E274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7E274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Normal1">
    <w:name w:val="Normal1"/>
    <w:basedOn w:val="Normal"/>
    <w:rsid w:val="007E2749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1">
    <w:name w:val="Point 1"/>
    <w:basedOn w:val="Normal"/>
    <w:rsid w:val="007E2749"/>
    <w:pPr>
      <w:widowControl/>
      <w:spacing w:before="120" w:after="120"/>
      <w:ind w:left="1417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link w:val="ManualNumPar1Char"/>
    <w:rsid w:val="007E2749"/>
    <w:pPr>
      <w:widowControl/>
      <w:spacing w:before="120" w:after="120"/>
      <w:ind w:left="850" w:hanging="850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E2749"/>
    <w:pPr>
      <w:keepNext/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E2749"/>
    <w:pPr>
      <w:keepNext/>
      <w:widowControl/>
      <w:spacing w:before="600" w:after="120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E2749"/>
    <w:pPr>
      <w:widowControl/>
      <w:spacing w:before="120" w:after="120"/>
      <w:ind w:left="709" w:hanging="709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E274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E274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7E2749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7E274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character" w:customStyle="1" w:styleId="PageHeadingChar">
    <w:name w:val="PageHeading Char"/>
    <w:basedOn w:val="DefaultParagraphFont"/>
    <w:link w:val="PageHeading"/>
    <w:rsid w:val="007E2749"/>
    <w:rPr>
      <w:rFonts w:ascii="Arial" w:hAnsi="Arial" w:cs="Arial"/>
      <w:b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rsid w:val="007E2749"/>
    <w:pPr>
      <w:widowControl/>
      <w:tabs>
        <w:tab w:val="center" w:pos="4513"/>
        <w:tab w:val="right" w:pos="9026"/>
      </w:tabs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2749"/>
    <w:rPr>
      <w:rFonts w:eastAsiaTheme="minorHAnsi"/>
      <w:sz w:val="24"/>
      <w:szCs w:val="24"/>
      <w:lang w:val="mt-MT" w:eastAsia="en-US"/>
    </w:rPr>
  </w:style>
  <w:style w:type="paragraph" w:customStyle="1" w:styleId="LetterSalutation">
    <w:name w:val="LetterSalutation"/>
    <w:basedOn w:val="Normal"/>
    <w:rsid w:val="007E2749"/>
    <w:pPr>
      <w:spacing w:before="600" w:after="360"/>
    </w:pPr>
  </w:style>
  <w:style w:type="paragraph" w:customStyle="1" w:styleId="Normal24a">
    <w:name w:val="Normal24a"/>
    <w:basedOn w:val="Normal"/>
    <w:rsid w:val="007E2749"/>
    <w:pPr>
      <w:spacing w:after="480"/>
    </w:pPr>
  </w:style>
  <w:style w:type="character" w:customStyle="1" w:styleId="normaltextrun">
    <w:name w:val="normaltextrun"/>
    <w:basedOn w:val="DefaultParagraphFont"/>
    <w:rsid w:val="007E2749"/>
  </w:style>
  <w:style w:type="paragraph" w:customStyle="1" w:styleId="Text2">
    <w:name w:val="Text 2"/>
    <w:basedOn w:val="Normal"/>
    <w:rsid w:val="007E2749"/>
    <w:pPr>
      <w:widowControl/>
      <w:spacing w:before="120" w:after="120"/>
      <w:ind w:left="1417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7E2749"/>
    <w:pPr>
      <w:widowControl/>
      <w:spacing w:before="480" w:after="120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E2749"/>
    <w:pPr>
      <w:keepNext/>
      <w:widowControl/>
      <w:spacing w:before="120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E2749"/>
    <w:pPr>
      <w:keepNext/>
      <w:widowControl/>
      <w:tabs>
        <w:tab w:val="left" w:pos="4252"/>
      </w:tabs>
      <w:spacing w:before="720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E274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ManualNumPar1Char">
    <w:name w:val="Manual NumPar 1 Char"/>
    <w:basedOn w:val="DefaultParagraphFont"/>
    <w:link w:val="ManualNumPar1"/>
    <w:rsid w:val="007E2749"/>
    <w:rPr>
      <w:rFonts w:eastAsiaTheme="minorHAnsi"/>
      <w:sz w:val="24"/>
      <w:szCs w:val="22"/>
      <w:lang w:val="mt-MT" w:eastAsia="en-US"/>
    </w:rPr>
  </w:style>
  <w:style w:type="character" w:customStyle="1" w:styleId="EPFooter2Char">
    <w:name w:val="EPFooter2 Char"/>
    <w:basedOn w:val="ManualNumPar1Char"/>
    <w:link w:val="EPFooter2"/>
    <w:rsid w:val="007E2749"/>
    <w:rPr>
      <w:rFonts w:ascii="Arial" w:eastAsiaTheme="minorHAnsi" w:hAnsi="Arial" w:cs="Arial"/>
      <w:b/>
      <w:sz w:val="48"/>
      <w:szCs w:val="22"/>
      <w:lang w:val="mt-MT" w:eastAsia="en-US"/>
    </w:rPr>
  </w:style>
  <w:style w:type="character" w:customStyle="1" w:styleId="EPFooterChar">
    <w:name w:val="EPFooter Char"/>
    <w:basedOn w:val="ManualNumPar1Char"/>
    <w:link w:val="EPFooter"/>
    <w:rsid w:val="007E2749"/>
    <w:rPr>
      <w:rFonts w:eastAsiaTheme="minorHAnsi"/>
      <w:color w:val="010000"/>
      <w:sz w:val="22"/>
      <w:szCs w:val="22"/>
      <w:lang w:val="mt-MT" w:eastAsia="en-US"/>
    </w:rPr>
  </w:style>
  <w:style w:type="paragraph" w:customStyle="1" w:styleId="Normal12a">
    <w:name w:val="Normal12a"/>
    <w:basedOn w:val="Normal"/>
    <w:rsid w:val="007E2749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7E2749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7E2749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7E2749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7E2749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6a">
    <w:name w:val="Normal6a"/>
    <w:basedOn w:val="Normal"/>
    <w:rsid w:val="007E2749"/>
    <w:pPr>
      <w:spacing w:after="120"/>
    </w:pPr>
  </w:style>
  <w:style w:type="paragraph" w:customStyle="1" w:styleId="PageHeadingNotTOC">
    <w:name w:val="PageHeadingNotTOC"/>
    <w:basedOn w:val="Normal"/>
    <w:rsid w:val="007E274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7E2749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7E2749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7E274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Bold12b">
    <w:name w:val="NormalBold12b"/>
    <w:basedOn w:val="Normal"/>
    <w:rsid w:val="007E2749"/>
    <w:pPr>
      <w:spacing w:before="240"/>
    </w:pPr>
    <w:rPr>
      <w:b/>
    </w:rPr>
  </w:style>
  <w:style w:type="character" w:customStyle="1" w:styleId="Normal6Char">
    <w:name w:val="Normal6 Char"/>
    <w:link w:val="Normal6"/>
    <w:locked/>
    <w:rsid w:val="007E2749"/>
    <w:rPr>
      <w:sz w:val="24"/>
    </w:rPr>
  </w:style>
  <w:style w:type="paragraph" w:customStyle="1" w:styleId="Normal6">
    <w:name w:val="Normal6"/>
    <w:basedOn w:val="Normal"/>
    <w:link w:val="Normal6Char"/>
    <w:rsid w:val="007E2749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7E274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E27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LetterSubject">
    <w:name w:val="LetterSubject"/>
    <w:basedOn w:val="Normal"/>
    <w:rsid w:val="007E2749"/>
    <w:pPr>
      <w:spacing w:before="480"/>
      <w:ind w:left="1134" w:hanging="1134"/>
    </w:pPr>
  </w:style>
  <w:style w:type="paragraph" w:customStyle="1" w:styleId="Text1">
    <w:name w:val="Text 1"/>
    <w:basedOn w:val="Normal"/>
    <w:rsid w:val="007E274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12">
    <w:name w:val="Normal12"/>
    <w:basedOn w:val="Normal"/>
    <w:link w:val="Normal12Char"/>
    <w:rsid w:val="007E2749"/>
    <w:pPr>
      <w:widowControl/>
      <w:spacing w:after="240"/>
    </w:pPr>
    <w:rPr>
      <w:rFonts w:ascii="Arial" w:hAnsi="Arial" w:cs="Arial"/>
      <w:szCs w:val="24"/>
    </w:rPr>
  </w:style>
  <w:style w:type="character" w:customStyle="1" w:styleId="Normal12Char">
    <w:name w:val="Normal12 Char"/>
    <w:basedOn w:val="PageHeadingChar"/>
    <w:link w:val="Normal12"/>
    <w:rsid w:val="007E2749"/>
    <w:rPr>
      <w:rFonts w:ascii="Arial" w:hAnsi="Arial" w:cs="Arial"/>
      <w:b w:val="0"/>
      <w:sz w:val="24"/>
      <w:szCs w:val="24"/>
      <w:lang w:val="mt-MT"/>
    </w:rPr>
  </w:style>
  <w:style w:type="paragraph" w:styleId="BalloonText">
    <w:name w:val="Balloon Text"/>
    <w:basedOn w:val="Normal"/>
    <w:link w:val="BalloonTextChar"/>
    <w:uiPriority w:val="99"/>
    <w:rsid w:val="000325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3255F"/>
    <w:rPr>
      <w:rFonts w:ascii="Segoe UI" w:hAnsi="Segoe UI" w:cs="Segoe UI"/>
      <w:sz w:val="18"/>
      <w:szCs w:val="18"/>
      <w:lang w:val="mt-MT"/>
    </w:rPr>
  </w:style>
  <w:style w:type="numbering" w:customStyle="1" w:styleId="NoList1">
    <w:name w:val="No List1"/>
    <w:next w:val="NoList"/>
    <w:uiPriority w:val="99"/>
    <w:semiHidden/>
    <w:unhideWhenUsed/>
    <w:rsid w:val="00833DA3"/>
  </w:style>
  <w:style w:type="paragraph" w:customStyle="1" w:styleId="TOC41">
    <w:name w:val="TOC 41"/>
    <w:basedOn w:val="Normal"/>
    <w:next w:val="Normal"/>
    <w:uiPriority w:val="39"/>
    <w:semiHidden/>
    <w:unhideWhenUsed/>
    <w:rsid w:val="00833DA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833DA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833DA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833DA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833DA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833DA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33DA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33DA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33DA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33DA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33DA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833DA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833DA3"/>
    <w:rPr>
      <w:color w:val="008000"/>
      <w:bdr w:val="none" w:sz="0" w:space="0" w:color="auto"/>
      <w:shd w:val="clear" w:color="auto" w:fill="auto"/>
    </w:rPr>
  </w:style>
  <w:style w:type="paragraph" w:customStyle="1" w:styleId="Text3">
    <w:name w:val="Text 3"/>
    <w:basedOn w:val="Normal"/>
    <w:rsid w:val="00833DA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33DA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33DA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33DA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833DA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33DA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33DA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33DA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833DA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33D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33DA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33DA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33D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33DA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33DA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33DA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33DA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33DA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33DA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33DA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33DA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833DA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33DA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33DA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33DA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33DA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33DA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33DA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33DA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33DA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33DA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33DA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33DA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33DA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833DA3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833DA3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833DA3"/>
    <w:pPr>
      <w:widowControl/>
      <w:numPr>
        <w:numId w:val="6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833DA3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33DA3"/>
    <w:pPr>
      <w:widowControl/>
      <w:numPr>
        <w:numId w:val="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33DA3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33DA3"/>
    <w:pPr>
      <w:widowControl/>
      <w:numPr>
        <w:numId w:val="1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33DA3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33DA3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33DA3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33DA3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33DA3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33DA3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33DA3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33DA3"/>
    <w:pPr>
      <w:widowControl/>
      <w:numPr>
        <w:ilvl w:val="6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33D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33D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33D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33DA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33DA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33DA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33DA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33DA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33D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33D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33D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33D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33D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33DA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33DA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33DA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33DA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33DA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833DA3"/>
    <w:pPr>
      <w:widowControl/>
      <w:tabs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33DA3"/>
    <w:pPr>
      <w:widowControl/>
      <w:tabs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33DA3"/>
    <w:pPr>
      <w:widowControl/>
      <w:tabs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33DA3"/>
    <w:pPr>
      <w:widowControl/>
      <w:tabs>
        <w:tab w:val="num" w:pos="2551"/>
      </w:tabs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33DA3"/>
    <w:pPr>
      <w:widowControl/>
      <w:tabs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33DA3"/>
    <w:pPr>
      <w:widowControl/>
      <w:tabs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33DA3"/>
    <w:pPr>
      <w:widowControl/>
      <w:tabs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33DA3"/>
    <w:pPr>
      <w:widowControl/>
      <w:tabs>
        <w:tab w:val="num" w:pos="2551"/>
      </w:tabs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33DA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33DA3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33DA3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33DA3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33DA3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33DA3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33DA3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33DA3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33DA3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33DA3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33DA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33DA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833DA3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33DA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ous-titreobjet">
    <w:name w:val="Sous-titre objet"/>
    <w:basedOn w:val="Normal"/>
    <w:rsid w:val="00833DA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33DA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33DA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33DA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33DA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33DA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33DA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33DA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33D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33DA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33DA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33DA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33DA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33DA3"/>
    <w:pPr>
      <w:spacing w:before="240"/>
    </w:pPr>
  </w:style>
  <w:style w:type="paragraph" w:customStyle="1" w:styleId="Accordtitre">
    <w:name w:val="Accord titre"/>
    <w:basedOn w:val="Normal"/>
    <w:rsid w:val="00833DA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33DA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33DA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33DA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33DA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833DA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33DA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833DA3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833DA3"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833DA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833D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33D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33D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33DA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33DA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33DA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33DA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33DA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33DA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33DA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33DA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33DA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33DA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33DA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33DA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33DA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33DA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33DA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33DA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33DA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33DA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33DA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33DA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33DA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33D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33DA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833DA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33DA3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33DA3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833DA3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833DA3"/>
    <w:rPr>
      <w:color w:val="808080"/>
    </w:rPr>
  </w:style>
  <w:style w:type="paragraph" w:customStyle="1" w:styleId="NormalJustified">
    <w:name w:val="Normal Justified"/>
    <w:basedOn w:val="Normal"/>
    <w:rsid w:val="00833DA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33DA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33DA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833DA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33DA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33DA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33DA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33DA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33DA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33DA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33DA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33DA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33DA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33DA3"/>
    <w:pPr>
      <w:widowControl/>
      <w:numPr>
        <w:ilvl w:val="1"/>
        <w:numId w:val="35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33DA3"/>
    <w:pPr>
      <w:widowControl/>
      <w:numPr>
        <w:ilvl w:val="3"/>
        <w:numId w:val="35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33DA3"/>
    <w:pPr>
      <w:widowControl/>
      <w:numPr>
        <w:ilvl w:val="5"/>
        <w:numId w:val="35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33DA3"/>
    <w:pPr>
      <w:widowControl/>
      <w:numPr>
        <w:ilvl w:val="7"/>
        <w:numId w:val="35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33DA3"/>
    <w:pPr>
      <w:widowControl/>
      <w:numPr>
        <w:ilvl w:val="8"/>
        <w:numId w:val="35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33DA3"/>
    <w:pPr>
      <w:widowControl/>
      <w:numPr>
        <w:numId w:val="35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33DA3"/>
    <w:pPr>
      <w:widowControl/>
      <w:numPr>
        <w:ilvl w:val="2"/>
        <w:numId w:val="35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33DA3"/>
    <w:pPr>
      <w:widowControl/>
      <w:numPr>
        <w:ilvl w:val="4"/>
        <w:numId w:val="35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33DA3"/>
    <w:pPr>
      <w:widowControl/>
      <w:numPr>
        <w:ilvl w:val="6"/>
        <w:numId w:val="35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33DA3"/>
    <w:pPr>
      <w:widowControl/>
      <w:numPr>
        <w:numId w:val="36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33DA3"/>
    <w:pPr>
      <w:widowControl/>
      <w:numPr>
        <w:ilvl w:val="1"/>
        <w:numId w:val="36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33DA3"/>
    <w:pPr>
      <w:widowControl/>
      <w:numPr>
        <w:ilvl w:val="2"/>
        <w:numId w:val="36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33DA3"/>
    <w:pPr>
      <w:widowControl/>
      <w:numPr>
        <w:ilvl w:val="3"/>
        <w:numId w:val="36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33DA3"/>
    <w:pPr>
      <w:widowControl/>
      <w:numPr>
        <w:ilvl w:val="4"/>
        <w:numId w:val="36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33DA3"/>
    <w:pPr>
      <w:widowControl/>
      <w:numPr>
        <w:numId w:val="34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33DA3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33DA3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33DA3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33DA3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33DA3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33DA3"/>
    <w:pPr>
      <w:numPr>
        <w:numId w:val="29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833DA3"/>
    <w:pPr>
      <w:numPr>
        <w:numId w:val="30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833DA3"/>
    <w:pPr>
      <w:numPr>
        <w:numId w:val="31"/>
      </w:numPr>
      <w:tabs>
        <w:tab w:val="clear" w:pos="1701"/>
        <w:tab w:val="num" w:pos="1492"/>
      </w:tabs>
      <w:ind w:left="1492" w:hanging="360"/>
    </w:pPr>
  </w:style>
  <w:style w:type="paragraph" w:customStyle="1" w:styleId="DashEqual3">
    <w:name w:val="Dash Equal 3"/>
    <w:basedOn w:val="Dash3"/>
    <w:rsid w:val="00833DA3"/>
    <w:pPr>
      <w:numPr>
        <w:numId w:val="32"/>
      </w:numPr>
      <w:tabs>
        <w:tab w:val="clear" w:pos="2268"/>
        <w:tab w:val="num" w:pos="360"/>
      </w:tabs>
      <w:ind w:left="360" w:hanging="360"/>
    </w:pPr>
  </w:style>
  <w:style w:type="paragraph" w:customStyle="1" w:styleId="DashEqual4">
    <w:name w:val="Dash Equal 4"/>
    <w:basedOn w:val="Dash4"/>
    <w:rsid w:val="00833DA3"/>
    <w:pPr>
      <w:numPr>
        <w:numId w:val="33"/>
      </w:numPr>
      <w:tabs>
        <w:tab w:val="clear" w:pos="2835"/>
        <w:tab w:val="num" w:pos="643"/>
      </w:tabs>
      <w:ind w:left="643" w:hanging="360"/>
    </w:pPr>
  </w:style>
  <w:style w:type="paragraph" w:customStyle="1" w:styleId="HeadingLeft">
    <w:name w:val="Heading Left"/>
    <w:basedOn w:val="Normal"/>
    <w:next w:val="Normal"/>
    <w:rsid w:val="00833DA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33DA3"/>
    <w:pPr>
      <w:numPr>
        <w:numId w:val="39"/>
      </w:numPr>
      <w:tabs>
        <w:tab w:val="clear" w:pos="567"/>
        <w:tab w:val="num" w:pos="360"/>
      </w:tabs>
      <w:ind w:left="360" w:hanging="360"/>
    </w:pPr>
  </w:style>
  <w:style w:type="paragraph" w:customStyle="1" w:styleId="Heading123">
    <w:name w:val="Heading 123"/>
    <w:basedOn w:val="HeadingLeft"/>
    <w:next w:val="Normal"/>
    <w:rsid w:val="00833DA3"/>
    <w:pPr>
      <w:numPr>
        <w:numId w:val="38"/>
      </w:numPr>
      <w:tabs>
        <w:tab w:val="clear" w:pos="567"/>
        <w:tab w:val="num" w:pos="360"/>
      </w:tabs>
      <w:ind w:left="360" w:hanging="360"/>
    </w:pPr>
  </w:style>
  <w:style w:type="paragraph" w:customStyle="1" w:styleId="HeadingABC">
    <w:name w:val="Heading ABC"/>
    <w:basedOn w:val="HeadingLeft"/>
    <w:next w:val="Normal"/>
    <w:rsid w:val="00833DA3"/>
    <w:pPr>
      <w:numPr>
        <w:numId w:val="37"/>
      </w:numPr>
      <w:tabs>
        <w:tab w:val="clear" w:pos="567"/>
        <w:tab w:val="num" w:pos="1492"/>
      </w:tabs>
      <w:ind w:left="1492" w:hanging="360"/>
    </w:pPr>
  </w:style>
  <w:style w:type="paragraph" w:customStyle="1" w:styleId="HeadingCentered">
    <w:name w:val="Heading Centered"/>
    <w:basedOn w:val="HeadingLeft"/>
    <w:next w:val="Normal"/>
    <w:rsid w:val="00833DA3"/>
    <w:pPr>
      <w:jc w:val="center"/>
    </w:pPr>
  </w:style>
  <w:style w:type="paragraph" w:customStyle="1" w:styleId="Jardin">
    <w:name w:val="Jardin"/>
    <w:basedOn w:val="Normal"/>
    <w:rsid w:val="00833DA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33DA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33DA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33DA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33DA3"/>
    <w:rPr>
      <w:b/>
    </w:rPr>
  </w:style>
  <w:style w:type="paragraph" w:customStyle="1" w:styleId="Annex">
    <w:name w:val="Annex"/>
    <w:basedOn w:val="Normal"/>
    <w:next w:val="Normal"/>
    <w:rsid w:val="00833DA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33DA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33DA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33DA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33DA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33DA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833DA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33DA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33DA3"/>
    <w:rPr>
      <w:b/>
      <w:i/>
    </w:rPr>
  </w:style>
  <w:style w:type="character" w:customStyle="1" w:styleId="diff-tte-removed">
    <w:name w:val="diff-tte-removed"/>
    <w:basedOn w:val="DefaultParagraphFont"/>
    <w:rsid w:val="00833DA3"/>
    <w:rPr>
      <w:strike/>
    </w:rPr>
  </w:style>
  <w:style w:type="character" w:styleId="CommentReference">
    <w:name w:val="annotation reference"/>
    <w:basedOn w:val="DefaultParagraphFont"/>
    <w:uiPriority w:val="99"/>
    <w:unhideWhenUsed/>
    <w:rsid w:val="00833DA3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833DA3"/>
    <w:pPr>
      <w:widowControl/>
      <w:spacing w:before="120" w:after="120"/>
    </w:pPr>
    <w:rPr>
      <w:sz w:val="20"/>
    </w:rPr>
  </w:style>
  <w:style w:type="character" w:customStyle="1" w:styleId="CommentTextChar">
    <w:name w:val="Comment Text Char"/>
    <w:basedOn w:val="DefaultParagraphFont"/>
    <w:link w:val="CommentText1"/>
    <w:rsid w:val="00833DA3"/>
    <w:rPr>
      <w:rFonts w:ascii="Times New Roman" w:hAnsi="Times New Roman" w:cs="Times New Roman"/>
      <w:sz w:val="20"/>
      <w:szCs w:val="20"/>
      <w:lang w:val="mt-MT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833DA3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DA3"/>
    <w:rPr>
      <w:rFonts w:ascii="Times New Roman" w:hAnsi="Times New Roman" w:cs="Times New Roman"/>
      <w:b/>
      <w:bCs/>
      <w:sz w:val="20"/>
      <w:szCs w:val="20"/>
      <w:lang w:val="mt-MT"/>
    </w:rPr>
  </w:style>
  <w:style w:type="paragraph" w:customStyle="1" w:styleId="Revision1">
    <w:name w:val="Revision1"/>
    <w:next w:val="Revision"/>
    <w:hidden/>
    <w:uiPriority w:val="99"/>
    <w:semiHidden/>
    <w:rsid w:val="00833DA3"/>
    <w:rPr>
      <w:rFonts w:eastAsia="Calibri"/>
      <w:sz w:val="24"/>
      <w:szCs w:val="22"/>
      <w:lang w:val="mt-MT" w:eastAsia="en-US"/>
    </w:rPr>
  </w:style>
  <w:style w:type="paragraph" w:customStyle="1" w:styleId="HTMLPreformatted1">
    <w:name w:val="HTML Preformatted1"/>
    <w:basedOn w:val="Normal"/>
    <w:next w:val="HTMLPreformatted"/>
    <w:link w:val="HTMLPreformattedChar"/>
    <w:uiPriority w:val="99"/>
    <w:semiHidden/>
    <w:unhideWhenUsed/>
    <w:rsid w:val="00833DA3"/>
    <w:pPr>
      <w:widowControl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1"/>
    <w:uiPriority w:val="99"/>
    <w:semiHidden/>
    <w:rsid w:val="00833DA3"/>
    <w:rPr>
      <w:rFonts w:ascii="Consolas" w:hAnsi="Consolas" w:cs="Times New Roman"/>
      <w:sz w:val="20"/>
      <w:szCs w:val="20"/>
      <w:lang w:val="mt-MT"/>
    </w:rPr>
  </w:style>
  <w:style w:type="character" w:customStyle="1" w:styleId="Hyperlink1">
    <w:name w:val="Hyperlink1"/>
    <w:basedOn w:val="DefaultParagraphFont"/>
    <w:uiPriority w:val="99"/>
    <w:unhideWhenUsed/>
    <w:rsid w:val="00833DA3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33DA3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833DA3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833DA3"/>
    <w:rPr>
      <w:lang w:val="mt-MT"/>
    </w:rPr>
  </w:style>
  <w:style w:type="paragraph" w:styleId="CommentText">
    <w:name w:val="annotation text"/>
    <w:basedOn w:val="Normal"/>
    <w:link w:val="CommentTextChar1"/>
    <w:qFormat/>
    <w:rsid w:val="00833DA3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833DA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33DA3"/>
    <w:rPr>
      <w:b/>
      <w:bCs/>
    </w:rPr>
  </w:style>
  <w:style w:type="character" w:customStyle="1" w:styleId="CommentSubjectChar1">
    <w:name w:val="Comment Subject Char1"/>
    <w:basedOn w:val="CommentTextChar1"/>
    <w:rsid w:val="00833DA3"/>
    <w:rPr>
      <w:b/>
      <w:bCs/>
      <w:lang w:val="mt-MT"/>
    </w:rPr>
  </w:style>
  <w:style w:type="paragraph" w:styleId="Revision">
    <w:name w:val="Revision"/>
    <w:hidden/>
    <w:uiPriority w:val="99"/>
    <w:semiHidden/>
    <w:rsid w:val="00833DA3"/>
    <w:rPr>
      <w:sz w:val="24"/>
      <w:lang w:val="mt-MT"/>
    </w:rPr>
  </w:style>
  <w:style w:type="paragraph" w:styleId="HTMLPreformatted">
    <w:name w:val="HTML Preformatted"/>
    <w:basedOn w:val="Normal"/>
    <w:link w:val="HTMLPreformattedChar1"/>
    <w:rsid w:val="00833DA3"/>
    <w:rPr>
      <w:rFonts w:ascii="Consolas" w:hAnsi="Consolas"/>
      <w:sz w:val="20"/>
    </w:rPr>
  </w:style>
  <w:style w:type="character" w:customStyle="1" w:styleId="HTMLPreformattedChar1">
    <w:name w:val="HTML Preformatted Char1"/>
    <w:basedOn w:val="DefaultParagraphFont"/>
    <w:link w:val="HTMLPreformatted"/>
    <w:rsid w:val="00833DA3"/>
    <w:rPr>
      <w:rFonts w:ascii="Consolas" w:hAnsi="Consolas"/>
      <w:lang w:val="mt-MT"/>
    </w:rPr>
  </w:style>
  <w:style w:type="character" w:styleId="Hyperlink">
    <w:name w:val="Hyperlink"/>
    <w:basedOn w:val="DefaultParagraphFont"/>
    <w:rsid w:val="00833DA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33D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2AF3B-B4A9-47EE-8472-E4A5B0784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2024-04-30T10:52:00Z</dcterms:created>
  <dcterms:modified xsi:type="dcterms:W3CDTF">2024-04-30T10:52:00Z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P9_TA(2024)0116_</vt:lpwstr>
  </property>
  <property fmtid="{D5CDD505-2E9C-101B-9397-08002B2CF9AE}" pid="4" name="&lt;Type&gt;">
    <vt:lpwstr>RR</vt:lpwstr>
  </property>
</Properties>
</file>