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33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53370" w:rsidRDefault="00E02604" w:rsidP="0010095E">
            <w:pPr>
              <w:pStyle w:val="EPName"/>
            </w:pPr>
            <w:r w:rsidRPr="00E53370">
              <w:t>Parlamento europeo</w:t>
            </w:r>
          </w:p>
          <w:p w:rsidR="00751A4A" w:rsidRPr="00E533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051E">
              <w:t>2019</w:t>
            </w:r>
            <w:r w:rsidRPr="00E53370">
              <w:t>-</w:t>
            </w:r>
            <w:r w:rsidRPr="0071051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53370" w:rsidRDefault="00187494" w:rsidP="0010095E">
            <w:pPr>
              <w:pStyle w:val="EPLogo"/>
            </w:pPr>
            <w:r w:rsidRPr="00E533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53370" w:rsidRDefault="00D058B8" w:rsidP="004C5D52">
      <w:pPr>
        <w:pStyle w:val="LineTop"/>
      </w:pPr>
    </w:p>
    <w:p w:rsidR="00680577" w:rsidRPr="00E53370" w:rsidRDefault="00E02604" w:rsidP="00680577">
      <w:pPr>
        <w:pStyle w:val="EPBodyTA1"/>
      </w:pPr>
      <w:r w:rsidRPr="00E53370">
        <w:t>TESTI APPROVATI</w:t>
      </w:r>
    </w:p>
    <w:p w:rsidR="00D058B8" w:rsidRPr="00E53370" w:rsidRDefault="00D058B8" w:rsidP="00D058B8">
      <w:pPr>
        <w:pStyle w:val="LineBottom"/>
      </w:pPr>
    </w:p>
    <w:p w:rsidR="00E02604" w:rsidRPr="00E53370" w:rsidRDefault="00E02604" w:rsidP="00E02604">
      <w:pPr>
        <w:pStyle w:val="ATHeading1"/>
      </w:pPr>
      <w:bookmarkStart w:id="0" w:name="TANumber"/>
      <w:r w:rsidRPr="00E53370">
        <w:t>P</w:t>
      </w:r>
      <w:r w:rsidRPr="0071051E">
        <w:t>9</w:t>
      </w:r>
      <w:r w:rsidRPr="00E53370">
        <w:t>_</w:t>
      </w:r>
      <w:proofErr w:type="gramStart"/>
      <w:r w:rsidRPr="00E53370">
        <w:t>TA(</w:t>
      </w:r>
      <w:proofErr w:type="gramEnd"/>
      <w:r w:rsidRPr="0071051E">
        <w:t>2024</w:t>
      </w:r>
      <w:r w:rsidRPr="00E53370">
        <w:t>)</w:t>
      </w:r>
      <w:r w:rsidRPr="0071051E">
        <w:t>0</w:t>
      </w:r>
      <w:bookmarkEnd w:id="0"/>
      <w:r w:rsidR="00C5098C" w:rsidRPr="0071051E">
        <w:t>117</w:t>
      </w:r>
    </w:p>
    <w:p w:rsidR="00E02604" w:rsidRPr="00E53370" w:rsidRDefault="000E2E14" w:rsidP="00E02604">
      <w:pPr>
        <w:pStyle w:val="ATHeading2"/>
      </w:pPr>
      <w:r w:rsidRPr="00E53370">
        <w:t>Quadro europeo relativo a un'identità digitale</w:t>
      </w:r>
    </w:p>
    <w:p w:rsidR="00E02604" w:rsidRPr="00E53370" w:rsidRDefault="00E02604" w:rsidP="00E02604">
      <w:pPr>
        <w:rPr>
          <w:i/>
          <w:vanish/>
        </w:rPr>
      </w:pPr>
      <w:r w:rsidRPr="00E53370">
        <w:rPr>
          <w:i/>
        </w:rPr>
        <w:fldChar w:fldCharType="begin"/>
      </w:r>
      <w:r w:rsidRPr="00E53370">
        <w:rPr>
          <w:i/>
        </w:rPr>
        <w:instrText xml:space="preserve"> TC"(</w:instrText>
      </w:r>
      <w:bookmarkStart w:id="1" w:name="DocNumber"/>
      <w:r w:rsidRPr="00E53370">
        <w:rPr>
          <w:i/>
        </w:rPr>
        <w:instrText>A</w:instrText>
      </w:r>
      <w:r w:rsidRPr="0071051E">
        <w:rPr>
          <w:i/>
        </w:rPr>
        <w:instrText>9</w:instrText>
      </w:r>
      <w:r w:rsidRPr="00E53370">
        <w:rPr>
          <w:i/>
        </w:rPr>
        <w:instrText>-</w:instrText>
      </w:r>
      <w:r w:rsidRPr="0071051E">
        <w:rPr>
          <w:i/>
        </w:rPr>
        <w:instrText>0038</w:instrText>
      </w:r>
      <w:r w:rsidRPr="00E53370">
        <w:rPr>
          <w:i/>
        </w:rPr>
        <w:instrText>/</w:instrText>
      </w:r>
      <w:r w:rsidRPr="0071051E">
        <w:rPr>
          <w:i/>
        </w:rPr>
        <w:instrText>2023</w:instrText>
      </w:r>
      <w:bookmarkEnd w:id="1"/>
      <w:r w:rsidRPr="00E53370">
        <w:rPr>
          <w:i/>
        </w:rPr>
        <w:instrText xml:space="preserve"> - Relatrice:</w:instrText>
      </w:r>
      <w:r w:rsidR="00C02805">
        <w:rPr>
          <w:i/>
        </w:rPr>
        <w:instrText xml:space="preserve"> </w:instrText>
      </w:r>
      <w:r w:rsidRPr="00E53370">
        <w:rPr>
          <w:i/>
        </w:rPr>
        <w:instrText xml:space="preserve">Romana </w:instrText>
      </w:r>
      <w:proofErr w:type="spellStart"/>
      <w:r w:rsidRPr="00E53370">
        <w:rPr>
          <w:i/>
        </w:rPr>
        <w:instrText>Jerković</w:instrText>
      </w:r>
      <w:proofErr w:type="spellEnd"/>
      <w:r w:rsidRPr="00E53370">
        <w:rPr>
          <w:i/>
        </w:rPr>
        <w:instrText>)"\l</w:instrText>
      </w:r>
      <w:r w:rsidRPr="0071051E">
        <w:rPr>
          <w:i/>
        </w:rPr>
        <w:instrText>3</w:instrText>
      </w:r>
      <w:r w:rsidRPr="00E53370">
        <w:rPr>
          <w:i/>
        </w:rPr>
        <w:instrText xml:space="preserve"> \n&gt; \* MERGEFORMAT </w:instrText>
      </w:r>
      <w:r w:rsidRPr="00E53370">
        <w:rPr>
          <w:i/>
        </w:rPr>
        <w:fldChar w:fldCharType="end"/>
      </w:r>
    </w:p>
    <w:p w:rsidR="00BB037A" w:rsidRPr="00E53370" w:rsidRDefault="00BB037A" w:rsidP="00BB037A">
      <w:pPr>
        <w:rPr>
          <w:vanish/>
        </w:rPr>
      </w:pPr>
      <w:bookmarkStart w:id="2" w:name="Commission"/>
      <w:bookmarkEnd w:id="2"/>
      <w:r w:rsidRPr="00E53370">
        <w:rPr>
          <w:vanish/>
        </w:rPr>
        <w:t>Commissione per l'industria, la ricerca e l'energia</w:t>
      </w:r>
    </w:p>
    <w:p w:rsidR="00E02604" w:rsidRPr="00E53370" w:rsidRDefault="00E02604" w:rsidP="00E02604">
      <w:pPr>
        <w:rPr>
          <w:vanish/>
        </w:rPr>
      </w:pPr>
      <w:bookmarkStart w:id="3" w:name="PE"/>
      <w:r w:rsidRPr="00E53370">
        <w:rPr>
          <w:vanish/>
        </w:rPr>
        <w:t>PE</w:t>
      </w:r>
      <w:r w:rsidRPr="0071051E">
        <w:rPr>
          <w:vanish/>
        </w:rPr>
        <w:t>732</w:t>
      </w:r>
      <w:r w:rsidRPr="00E53370">
        <w:rPr>
          <w:vanish/>
        </w:rPr>
        <w:t>.</w:t>
      </w:r>
      <w:r w:rsidRPr="0071051E">
        <w:rPr>
          <w:vanish/>
        </w:rPr>
        <w:t>707</w:t>
      </w:r>
      <w:bookmarkEnd w:id="3"/>
    </w:p>
    <w:p w:rsidR="00E02604" w:rsidRPr="00E53370" w:rsidRDefault="00E02604" w:rsidP="00E02604">
      <w:pPr>
        <w:pStyle w:val="ATHeading3"/>
      </w:pPr>
      <w:bookmarkStart w:id="4" w:name="Sujet"/>
      <w:r w:rsidRPr="00E53370">
        <w:t xml:space="preserve">Risoluzione legislativa del Parlamento europeo del </w:t>
      </w:r>
      <w:r w:rsidRPr="0071051E">
        <w:t>2</w:t>
      </w:r>
      <w:r w:rsidR="00BB037A" w:rsidRPr="0071051E">
        <w:t>9</w:t>
      </w:r>
      <w:r w:rsidRPr="00E53370">
        <w:t xml:space="preserve"> febbraio </w:t>
      </w:r>
      <w:r w:rsidRPr="0071051E">
        <w:t>2024</w:t>
      </w:r>
      <w:r w:rsidRPr="00E53370">
        <w:t xml:space="preserve"> sulla proposta di regolamento del Parlamento europeo e del Consiglio che modifica il regolamento (UE) n. </w:t>
      </w:r>
      <w:r w:rsidRPr="0071051E">
        <w:t>910</w:t>
      </w:r>
      <w:r w:rsidRPr="00E53370">
        <w:t>/</w:t>
      </w:r>
      <w:r w:rsidRPr="0071051E">
        <w:t>2014</w:t>
      </w:r>
      <w:r w:rsidRPr="00E53370">
        <w:t xml:space="preserve"> per quanto riguarda l'istituzione di un quadro per un'identità digitale europea</w:t>
      </w:r>
      <w:bookmarkEnd w:id="4"/>
      <w:r w:rsidRPr="00E53370">
        <w:t xml:space="preserve"> </w:t>
      </w:r>
      <w:bookmarkStart w:id="5" w:name="References"/>
      <w:r w:rsidRPr="00E53370">
        <w:t>(</w:t>
      </w:r>
      <w:proofErr w:type="gramStart"/>
      <w:r w:rsidRPr="00E53370">
        <w:t>COM(</w:t>
      </w:r>
      <w:proofErr w:type="gramEnd"/>
      <w:r w:rsidRPr="0071051E">
        <w:t>2021</w:t>
      </w:r>
      <w:r w:rsidRPr="00E53370">
        <w:t>)</w:t>
      </w:r>
      <w:r w:rsidRPr="0071051E">
        <w:t>0281</w:t>
      </w:r>
      <w:r w:rsidRPr="00E53370">
        <w:t xml:space="preserve"> – C</w:t>
      </w:r>
      <w:r w:rsidRPr="0071051E">
        <w:t>9</w:t>
      </w:r>
      <w:r w:rsidRPr="00E53370">
        <w:t>-</w:t>
      </w:r>
      <w:r w:rsidRPr="0071051E">
        <w:t>0200</w:t>
      </w:r>
      <w:r w:rsidRPr="00E53370">
        <w:t>/</w:t>
      </w:r>
      <w:r w:rsidRPr="0071051E">
        <w:t>2021</w:t>
      </w:r>
      <w:r w:rsidRPr="00E53370">
        <w:t xml:space="preserve"> – </w:t>
      </w:r>
      <w:r w:rsidRPr="0071051E">
        <w:t>2021</w:t>
      </w:r>
      <w:r w:rsidRPr="00E53370">
        <w:t>/</w:t>
      </w:r>
      <w:r w:rsidRPr="0071051E">
        <w:t>0136</w:t>
      </w:r>
      <w:r w:rsidRPr="00E53370">
        <w:t>(COD))</w:t>
      </w:r>
      <w:bookmarkEnd w:id="5"/>
    </w:p>
    <w:p w:rsidR="00E02604" w:rsidRPr="00E53370" w:rsidRDefault="00BB037A" w:rsidP="00C5098C">
      <w:pPr>
        <w:spacing w:before="240"/>
        <w:rPr>
          <w:b/>
        </w:rPr>
      </w:pPr>
      <w:r w:rsidRPr="00E53370">
        <w:rPr>
          <w:b/>
        </w:rPr>
        <w:t>(Procedura legislativa ordinaria: prima lettura)</w:t>
      </w:r>
    </w:p>
    <w:p w:rsidR="001F2728" w:rsidRPr="00E53370" w:rsidRDefault="001F2728" w:rsidP="001F2728">
      <w:pPr>
        <w:pStyle w:val="EPComma"/>
      </w:pPr>
      <w:bookmarkStart w:id="6" w:name="TextBodyBegin"/>
      <w:bookmarkEnd w:id="6"/>
      <w:r w:rsidRPr="00E53370">
        <w:rPr>
          <w:i/>
        </w:rPr>
        <w:t>Il Parlamento europeo</w:t>
      </w:r>
      <w:r w:rsidRPr="00E53370">
        <w:t>,</w:t>
      </w:r>
    </w:p>
    <w:p w:rsidR="001F2728" w:rsidRPr="00E53370" w:rsidRDefault="001F2728" w:rsidP="001F2728">
      <w:pPr>
        <w:pStyle w:val="NormalHanging12a"/>
      </w:pPr>
      <w:r w:rsidRPr="00E53370">
        <w:t>–</w:t>
      </w:r>
      <w:r w:rsidRPr="00E53370">
        <w:tab/>
        <w:t>vista la proposta della Commissione al Parlamento europeo e al Consiglio (</w:t>
      </w:r>
      <w:proofErr w:type="gramStart"/>
      <w:r w:rsidRPr="00E53370">
        <w:t>COM(</w:t>
      </w:r>
      <w:proofErr w:type="gramEnd"/>
      <w:r w:rsidRPr="0071051E">
        <w:t>2021</w:t>
      </w:r>
      <w:r w:rsidRPr="00E53370">
        <w:t>)</w:t>
      </w:r>
      <w:r w:rsidRPr="0071051E">
        <w:t>0281</w:t>
      </w:r>
      <w:r w:rsidRPr="00E53370">
        <w:t>),</w:t>
      </w:r>
    </w:p>
    <w:p w:rsidR="001F2728" w:rsidRPr="00E53370" w:rsidRDefault="001F2728" w:rsidP="001F2728">
      <w:pPr>
        <w:pStyle w:val="NormalHanging12a"/>
      </w:pPr>
      <w:r w:rsidRPr="00E53370">
        <w:t>–</w:t>
      </w:r>
      <w:r w:rsidRPr="00E53370">
        <w:tab/>
        <w:t xml:space="preserve">visti l'articolo </w:t>
      </w:r>
      <w:r w:rsidRPr="0071051E">
        <w:t>294</w:t>
      </w:r>
      <w:r w:rsidRPr="00E53370">
        <w:t xml:space="preserve">, paragrafo </w:t>
      </w:r>
      <w:r w:rsidRPr="0071051E">
        <w:t>2</w:t>
      </w:r>
      <w:r w:rsidRPr="00E53370">
        <w:t xml:space="preserve">, e l'articolo </w:t>
      </w:r>
      <w:r w:rsidRPr="0071051E">
        <w:t>114</w:t>
      </w:r>
      <w:r w:rsidRPr="00E53370">
        <w:t xml:space="preserve"> del trattato sul funzionamento dell'Unione europea, a norma dei quali la proposta gli è stata presentata dalla Commissione (C</w:t>
      </w:r>
      <w:r w:rsidRPr="0071051E">
        <w:t>9</w:t>
      </w:r>
      <w:r w:rsidRPr="00E53370">
        <w:noBreakHyphen/>
      </w:r>
      <w:r w:rsidRPr="0071051E">
        <w:t>0200</w:t>
      </w:r>
      <w:r w:rsidRPr="00E53370">
        <w:t>/</w:t>
      </w:r>
      <w:r w:rsidRPr="0071051E">
        <w:t>2021</w:t>
      </w:r>
      <w:r w:rsidRPr="00E53370">
        <w:t>),</w:t>
      </w:r>
    </w:p>
    <w:p w:rsidR="001F2728" w:rsidRPr="00E53370" w:rsidRDefault="001F2728" w:rsidP="001F2728">
      <w:pPr>
        <w:pStyle w:val="NormalHanging12a"/>
      </w:pPr>
      <w:r w:rsidRPr="00E53370">
        <w:t>–</w:t>
      </w:r>
      <w:r w:rsidRPr="00E53370">
        <w:tab/>
        <w:t xml:space="preserve">visto l'articolo </w:t>
      </w:r>
      <w:r w:rsidRPr="0071051E">
        <w:t>294</w:t>
      </w:r>
      <w:r w:rsidRPr="00E53370">
        <w:t xml:space="preserve">, paragrafo </w:t>
      </w:r>
      <w:r w:rsidRPr="0071051E">
        <w:t>3</w:t>
      </w:r>
      <w:r w:rsidRPr="00E53370">
        <w:t>, del trattato sul funzionamento dell'Unione europea,</w:t>
      </w:r>
    </w:p>
    <w:p w:rsidR="001F2728" w:rsidRPr="00E53370" w:rsidRDefault="001F2728" w:rsidP="001F2728">
      <w:pPr>
        <w:pStyle w:val="NormalHanging12a"/>
      </w:pPr>
      <w:r w:rsidRPr="00E53370">
        <w:t>–</w:t>
      </w:r>
      <w:r w:rsidRPr="00E53370">
        <w:tab/>
        <w:t xml:space="preserve">visto il parere del Comitato economico e sociale europeo del </w:t>
      </w:r>
      <w:r w:rsidRPr="0071051E">
        <w:t>20</w:t>
      </w:r>
      <w:r w:rsidRPr="00E53370">
        <w:t xml:space="preserve"> ottobre </w:t>
      </w:r>
      <w:r w:rsidRPr="0071051E">
        <w:t>2021</w:t>
      </w:r>
      <w:r w:rsidRPr="00E53370">
        <w:rPr>
          <w:rStyle w:val="FootnoteReference"/>
        </w:rPr>
        <w:footnoteReference w:id="1"/>
      </w:r>
      <w:r w:rsidRPr="00E53370">
        <w:t>,</w:t>
      </w:r>
    </w:p>
    <w:p w:rsidR="001F2728" w:rsidRPr="00E53370" w:rsidRDefault="001F2728" w:rsidP="001F2728">
      <w:pPr>
        <w:pStyle w:val="NormalHanging12a"/>
      </w:pPr>
      <w:r w:rsidRPr="00E53370">
        <w:t>–</w:t>
      </w:r>
      <w:r w:rsidRPr="00E53370">
        <w:tab/>
        <w:t xml:space="preserve">visto il parere del Comitato delle regioni del </w:t>
      </w:r>
      <w:r w:rsidRPr="0071051E">
        <w:t>13</w:t>
      </w:r>
      <w:r w:rsidRPr="00E53370">
        <w:t xml:space="preserve"> ottobre </w:t>
      </w:r>
      <w:r w:rsidRPr="0071051E">
        <w:t>2021</w:t>
      </w:r>
      <w:r w:rsidRPr="00E53370">
        <w:rPr>
          <w:rStyle w:val="FootnoteReference"/>
        </w:rPr>
        <w:footnoteReference w:id="2"/>
      </w:r>
      <w:r w:rsidRPr="00E53370">
        <w:t>,</w:t>
      </w:r>
    </w:p>
    <w:p w:rsidR="00BB037A" w:rsidRPr="00E53370" w:rsidRDefault="00BB037A" w:rsidP="001F2728">
      <w:pPr>
        <w:pStyle w:val="NormalHanging12a"/>
      </w:pPr>
      <w:r w:rsidRPr="00E53370">
        <w:t>–</w:t>
      </w:r>
      <w:r w:rsidRPr="00E53370">
        <w:tab/>
        <w:t xml:space="preserve">visti l'accordo provvisorio approvato dalla commissione competente a norma dell'articolo </w:t>
      </w:r>
      <w:r w:rsidRPr="0071051E">
        <w:t>74</w:t>
      </w:r>
      <w:r w:rsidRPr="00E53370">
        <w:t xml:space="preserve">, paragrafo </w:t>
      </w:r>
      <w:r w:rsidRPr="0071051E">
        <w:t>4</w:t>
      </w:r>
      <w:r w:rsidRPr="00E53370">
        <w:t xml:space="preserve">, del regolamento e l'impegno assunto dal rappresentante del Consiglio, con lettera del </w:t>
      </w:r>
      <w:r w:rsidRPr="0071051E">
        <w:t>6</w:t>
      </w:r>
      <w:r w:rsidRPr="00E53370">
        <w:t xml:space="preserve"> dicembre </w:t>
      </w:r>
      <w:r w:rsidRPr="0071051E">
        <w:t>2023</w:t>
      </w:r>
      <w:r w:rsidRPr="00E53370">
        <w:t xml:space="preserve">, di approvare la posizione del Parlamento europeo, in conformità dell'articolo </w:t>
      </w:r>
      <w:r w:rsidRPr="0071051E">
        <w:t>294</w:t>
      </w:r>
      <w:r w:rsidRPr="00E53370">
        <w:t xml:space="preserve">, paragrafo </w:t>
      </w:r>
      <w:r w:rsidRPr="0071051E">
        <w:t>4</w:t>
      </w:r>
      <w:r w:rsidRPr="00E53370">
        <w:t>, del trattato sul funzionamento dell'Unione europea,</w:t>
      </w:r>
    </w:p>
    <w:p w:rsidR="001F2728" w:rsidRPr="00E53370" w:rsidRDefault="001F2728" w:rsidP="001F2728">
      <w:pPr>
        <w:pStyle w:val="NormalHanging12a"/>
      </w:pPr>
      <w:r w:rsidRPr="00E53370">
        <w:t>–</w:t>
      </w:r>
      <w:r w:rsidRPr="00E53370">
        <w:tab/>
        <w:t xml:space="preserve">visto l'articolo </w:t>
      </w:r>
      <w:r w:rsidRPr="0071051E">
        <w:t>59</w:t>
      </w:r>
      <w:r w:rsidRPr="00E53370">
        <w:t xml:space="preserve"> del suo regolamento,</w:t>
      </w:r>
    </w:p>
    <w:p w:rsidR="001F2728" w:rsidRPr="00E53370" w:rsidRDefault="001F2728" w:rsidP="001F2728">
      <w:pPr>
        <w:pStyle w:val="NormalHanging12a"/>
      </w:pPr>
      <w:r w:rsidRPr="00E53370">
        <w:t>–</w:t>
      </w:r>
      <w:r w:rsidRPr="00E53370">
        <w:tab/>
        <w:t xml:space="preserve">visti i pareri della commissione per il mercato interno e la protezione dei consumatori, della commissione giuridica e della commissione per le libertà civili, la giustizia e gli </w:t>
      </w:r>
      <w:r w:rsidRPr="00E53370">
        <w:lastRenderedPageBreak/>
        <w:t>affari interni,</w:t>
      </w:r>
    </w:p>
    <w:p w:rsidR="001F2728" w:rsidRPr="00E53370" w:rsidRDefault="001F2728" w:rsidP="001F2728">
      <w:pPr>
        <w:pStyle w:val="NormalHanging12a"/>
      </w:pPr>
      <w:r w:rsidRPr="00E53370">
        <w:t>–</w:t>
      </w:r>
      <w:r w:rsidRPr="00E53370">
        <w:tab/>
        <w:t>vista la relazione della commissione per l'industria, la ricerca e l'energia (A</w:t>
      </w:r>
      <w:r w:rsidRPr="0071051E">
        <w:t>9</w:t>
      </w:r>
      <w:r w:rsidRPr="00E53370">
        <w:noBreakHyphen/>
      </w:r>
      <w:r w:rsidRPr="0071051E">
        <w:t>0038</w:t>
      </w:r>
      <w:r w:rsidRPr="00E53370">
        <w:t>/</w:t>
      </w:r>
      <w:r w:rsidRPr="0071051E">
        <w:t>2023</w:t>
      </w:r>
      <w:r w:rsidRPr="00E53370">
        <w:t>),</w:t>
      </w:r>
    </w:p>
    <w:p w:rsidR="00704A79" w:rsidRPr="00E53370" w:rsidRDefault="001F2728" w:rsidP="001F2728">
      <w:pPr>
        <w:pStyle w:val="NormalHanging12a"/>
      </w:pPr>
      <w:r w:rsidRPr="0071051E">
        <w:t>1</w:t>
      </w:r>
      <w:r w:rsidRPr="00E53370">
        <w:t>.</w:t>
      </w:r>
      <w:r w:rsidRPr="00E53370">
        <w:tab/>
        <w:t>adotta la posizione in prima lettura figurante in appresso;</w:t>
      </w:r>
    </w:p>
    <w:p w:rsidR="00704A79" w:rsidRPr="00E53370" w:rsidRDefault="00704A79" w:rsidP="001F2728">
      <w:pPr>
        <w:pStyle w:val="NormalHanging12a"/>
      </w:pPr>
      <w:r w:rsidRPr="0071051E">
        <w:t>2</w:t>
      </w:r>
      <w:r w:rsidRPr="00E53370">
        <w:t>.</w:t>
      </w:r>
      <w:r w:rsidRPr="00E53370">
        <w:tab/>
        <w:t>prende atto delle dichiarazioni della Commissione allegate alla presente risoluzione;</w:t>
      </w:r>
    </w:p>
    <w:p w:rsidR="001F2728" w:rsidRPr="00E53370" w:rsidRDefault="00704A79" w:rsidP="001F2728">
      <w:pPr>
        <w:pStyle w:val="NormalHanging12a"/>
      </w:pPr>
      <w:r w:rsidRPr="0071051E">
        <w:t>3</w:t>
      </w:r>
      <w:r w:rsidR="001F2728" w:rsidRPr="00E53370">
        <w:t>.</w:t>
      </w:r>
      <w:r w:rsidR="001F2728" w:rsidRPr="00E53370">
        <w:tab/>
        <w:t>chiede alla Commissione di presentargli nuovamente la proposta qualora la sostituisca, la modifichi sostanzialmente o intenda modificarla sostanzialmente;</w:t>
      </w:r>
    </w:p>
    <w:p w:rsidR="001F2728" w:rsidRPr="00E53370" w:rsidRDefault="00704A79" w:rsidP="001F2728">
      <w:pPr>
        <w:pStyle w:val="NormalHanging12a"/>
      </w:pPr>
      <w:r w:rsidRPr="0071051E">
        <w:t>4</w:t>
      </w:r>
      <w:r w:rsidR="001F2728" w:rsidRPr="00E53370">
        <w:t>.</w:t>
      </w:r>
      <w:r w:rsidR="001F2728" w:rsidRPr="00E53370">
        <w:tab/>
        <w:t>incarica l</w:t>
      </w:r>
      <w:r w:rsidR="00BB037A" w:rsidRPr="00E53370">
        <w:t>a</w:t>
      </w:r>
      <w:r w:rsidR="001F2728" w:rsidRPr="00E53370">
        <w:t xml:space="preserve"> su</w:t>
      </w:r>
      <w:r w:rsidR="00BB037A" w:rsidRPr="00E53370">
        <w:t>a</w:t>
      </w:r>
      <w:r w:rsidR="001F2728" w:rsidRPr="00E53370">
        <w:t xml:space="preserve"> Presidente di trasmettere la posizione del Parlamento al Consiglio e alla Commissione nonché ai parlamenti nazionali.</w:t>
      </w:r>
    </w:p>
    <w:p w:rsidR="00BB037A" w:rsidRPr="00E53370" w:rsidRDefault="00BB037A" w:rsidP="001F2728">
      <w:pPr>
        <w:widowControl/>
        <w:sectPr w:rsidR="00BB037A" w:rsidRPr="00E53370" w:rsidSect="00351655">
          <w:footerReference w:type="even" r:id="rId9"/>
          <w:footerReference w:type="first" r:id="rId10"/>
          <w:footnotePr>
            <w:numRestart w:val="eachPage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704A79" w:rsidRPr="00E53370" w:rsidRDefault="00704A79" w:rsidP="00704A79">
      <w:pPr>
        <w:spacing w:after="240"/>
        <w:rPr>
          <w:b/>
        </w:rPr>
      </w:pPr>
      <w:bookmarkStart w:id="7" w:name="TextBodyEnd"/>
      <w:bookmarkEnd w:id="7"/>
      <w:r w:rsidRPr="00E53370">
        <w:rPr>
          <w:b/>
        </w:rPr>
        <w:lastRenderedPageBreak/>
        <w:t>P</w:t>
      </w:r>
      <w:r w:rsidRPr="0071051E">
        <w:rPr>
          <w:b/>
        </w:rPr>
        <w:t>9</w:t>
      </w:r>
      <w:r w:rsidRPr="00E53370">
        <w:rPr>
          <w:b/>
        </w:rPr>
        <w:t>_TC</w:t>
      </w:r>
      <w:r w:rsidRPr="0071051E">
        <w:rPr>
          <w:b/>
        </w:rPr>
        <w:t>1</w:t>
      </w:r>
      <w:r w:rsidRPr="00E53370">
        <w:rPr>
          <w:b/>
        </w:rPr>
        <w:t>-</w:t>
      </w:r>
      <w:proofErr w:type="gramStart"/>
      <w:r w:rsidRPr="00E53370">
        <w:rPr>
          <w:b/>
        </w:rPr>
        <w:t>COD(</w:t>
      </w:r>
      <w:proofErr w:type="gramEnd"/>
      <w:r w:rsidRPr="0071051E">
        <w:rPr>
          <w:b/>
        </w:rPr>
        <w:t>2021</w:t>
      </w:r>
      <w:r w:rsidRPr="00E53370">
        <w:rPr>
          <w:b/>
        </w:rPr>
        <w:t>)</w:t>
      </w:r>
      <w:r w:rsidRPr="0071051E">
        <w:rPr>
          <w:b/>
        </w:rPr>
        <w:t>0136</w:t>
      </w:r>
    </w:p>
    <w:p w:rsidR="00704A79" w:rsidRDefault="00704A79" w:rsidP="00704A79">
      <w:pPr>
        <w:spacing w:before="120" w:after="360"/>
        <w:rPr>
          <w:rFonts w:eastAsia="Calibri"/>
          <w:b/>
          <w:szCs w:val="22"/>
          <w:lang w:eastAsia="en-US"/>
        </w:rPr>
      </w:pPr>
      <w:r w:rsidRPr="00E53370">
        <w:rPr>
          <w:b/>
        </w:rPr>
        <w:t xml:space="preserve">Posizione del Parlamento europeo definita in prima lettura il </w:t>
      </w:r>
      <w:r w:rsidRPr="0071051E">
        <w:rPr>
          <w:b/>
        </w:rPr>
        <w:t>29</w:t>
      </w:r>
      <w:r w:rsidRPr="00E53370">
        <w:rPr>
          <w:b/>
        </w:rPr>
        <w:t xml:space="preserve"> febbraio </w:t>
      </w:r>
      <w:r w:rsidRPr="0071051E">
        <w:rPr>
          <w:b/>
        </w:rPr>
        <w:t>2024</w:t>
      </w:r>
      <w:r w:rsidRPr="00E53370">
        <w:rPr>
          <w:b/>
        </w:rPr>
        <w:t xml:space="preserve"> in vista dell'adozione del regolamento (UE) </w:t>
      </w:r>
      <w:r w:rsidRPr="0071051E">
        <w:rPr>
          <w:b/>
        </w:rPr>
        <w:t>2024</w:t>
      </w:r>
      <w:r w:rsidRPr="00E53370">
        <w:rPr>
          <w:b/>
        </w:rPr>
        <w:t xml:space="preserve">/... del Parlamento europeo e del Consiglio </w:t>
      </w:r>
      <w:r w:rsidRPr="00E53370">
        <w:rPr>
          <w:rFonts w:eastAsia="Calibri"/>
          <w:b/>
          <w:szCs w:val="22"/>
          <w:lang w:eastAsia="en-US"/>
        </w:rPr>
        <w:t xml:space="preserve">che modifica il regolamento (UE) n. </w:t>
      </w:r>
      <w:r w:rsidRPr="0071051E">
        <w:rPr>
          <w:rFonts w:eastAsia="Calibri"/>
          <w:b/>
          <w:szCs w:val="22"/>
          <w:lang w:eastAsia="en-US"/>
        </w:rPr>
        <w:t>910</w:t>
      </w:r>
      <w:r w:rsidRPr="00E53370">
        <w:rPr>
          <w:rFonts w:eastAsia="Calibri"/>
          <w:b/>
          <w:szCs w:val="22"/>
          <w:lang w:eastAsia="en-US"/>
        </w:rPr>
        <w:t>/</w:t>
      </w:r>
      <w:r w:rsidRPr="0071051E">
        <w:rPr>
          <w:rFonts w:eastAsia="Calibri"/>
          <w:b/>
          <w:szCs w:val="22"/>
          <w:lang w:eastAsia="en-US"/>
        </w:rPr>
        <w:t>2014</w:t>
      </w:r>
      <w:r w:rsidRPr="00E53370">
        <w:rPr>
          <w:rFonts w:eastAsia="Calibri"/>
          <w:b/>
          <w:szCs w:val="22"/>
          <w:lang w:eastAsia="en-US"/>
        </w:rPr>
        <w:t xml:space="preserve"> per quanto riguarda l'istituzione del quadro europeo relativo a un'identità digitale</w:t>
      </w:r>
    </w:p>
    <w:p w:rsidR="003D3CE2" w:rsidRPr="003D3CE2" w:rsidRDefault="003D3CE2" w:rsidP="003D3CE2">
      <w:pPr>
        <w:widowControl/>
        <w:jc w:val="both"/>
        <w:rPr>
          <w:szCs w:val="24"/>
        </w:rPr>
      </w:pPr>
      <w:r w:rsidRPr="003D3CE2">
        <w:rPr>
          <w:i/>
          <w:szCs w:val="24"/>
        </w:rPr>
        <w:t>(Dato l'accordo tra il Parlamento e il Consiglio, la posizione del Parlamento corrisponde all'atto legislativo finale, il regolamento (UE) 2024/</w:t>
      </w:r>
      <w:r>
        <w:rPr>
          <w:i/>
          <w:szCs w:val="24"/>
        </w:rPr>
        <w:t>1183.</w:t>
      </w:r>
      <w:r w:rsidRPr="003D3CE2">
        <w:rPr>
          <w:i/>
          <w:szCs w:val="24"/>
        </w:rPr>
        <w:t>)</w:t>
      </w:r>
    </w:p>
    <w:p w:rsidR="00704A79" w:rsidRPr="00E53370" w:rsidRDefault="00704A79" w:rsidP="00704A79">
      <w:pPr>
        <w:spacing w:before="120" w:after="360"/>
        <w:rPr>
          <w:b/>
        </w:rPr>
        <w:sectPr w:rsidR="00704A79" w:rsidRPr="00E53370" w:rsidSect="00704A7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Restart w:val="eachPage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842EF5" w:rsidRPr="0071051E" w:rsidRDefault="00842EF5" w:rsidP="00C5098C">
      <w:pPr>
        <w:keepNext/>
        <w:tabs>
          <w:tab w:val="left" w:pos="4252"/>
        </w:tabs>
        <w:spacing w:before="240" w:after="480"/>
        <w:jc w:val="right"/>
        <w:rPr>
          <w:rFonts w:eastAsia="Calibri"/>
          <w:szCs w:val="22"/>
          <w:lang w:eastAsia="en-US"/>
        </w:rPr>
      </w:pPr>
      <w:r w:rsidRPr="0071051E">
        <w:rPr>
          <w:rFonts w:eastAsia="Calibri"/>
          <w:szCs w:val="22"/>
          <w:lang w:eastAsia="en-US"/>
        </w:rPr>
        <w:lastRenderedPageBreak/>
        <w:t>ALLEGATO ALLA RISOLUZIONE LEGISLATIVA</w:t>
      </w:r>
    </w:p>
    <w:p w:rsidR="00704A79" w:rsidRPr="00E53370" w:rsidRDefault="00704A79" w:rsidP="000265DB">
      <w:pPr>
        <w:widowControl/>
        <w:spacing w:before="120" w:after="120" w:line="360" w:lineRule="auto"/>
        <w:rPr>
          <w:rFonts w:eastAsiaTheme="minorHAnsi"/>
          <w:b/>
          <w:szCs w:val="24"/>
        </w:rPr>
      </w:pPr>
      <w:r w:rsidRPr="00E53370">
        <w:rPr>
          <w:rFonts w:eastAsiaTheme="minorHAnsi" w:cs="Calibri"/>
          <w:b/>
          <w:color w:val="000000"/>
          <w:szCs w:val="22"/>
        </w:rPr>
        <w:t xml:space="preserve">Dichiarazione della Commissione sull'articolo </w:t>
      </w:r>
      <w:r w:rsidRPr="0071051E">
        <w:rPr>
          <w:rFonts w:eastAsiaTheme="minorHAnsi" w:cs="Calibri"/>
          <w:b/>
          <w:color w:val="000000"/>
          <w:szCs w:val="22"/>
        </w:rPr>
        <w:t>45</w:t>
      </w:r>
      <w:r w:rsidRPr="00E53370">
        <w:rPr>
          <w:rFonts w:eastAsiaTheme="minorHAnsi" w:cs="Calibri"/>
          <w:b/>
          <w:color w:val="000000"/>
          <w:szCs w:val="22"/>
        </w:rPr>
        <w:t xml:space="preserve"> in occasione dell'adozione del regolamento </w:t>
      </w:r>
      <w:r w:rsidR="0016628D">
        <w:rPr>
          <w:rFonts w:eastAsiaTheme="minorHAnsi" w:cs="Calibri"/>
          <w:b/>
          <w:color w:val="000000"/>
          <w:szCs w:val="22"/>
        </w:rPr>
        <w:t xml:space="preserve">(UE) </w:t>
      </w:r>
      <w:r w:rsidRPr="0071051E">
        <w:rPr>
          <w:rFonts w:eastAsiaTheme="minorHAnsi" w:cs="Calibri"/>
          <w:b/>
          <w:color w:val="000000"/>
          <w:szCs w:val="22"/>
        </w:rPr>
        <w:t>2024</w:t>
      </w:r>
      <w:r w:rsidRPr="00E53370">
        <w:rPr>
          <w:rFonts w:eastAsiaTheme="minorHAnsi" w:cs="Calibri"/>
          <w:b/>
          <w:color w:val="000000"/>
          <w:szCs w:val="22"/>
        </w:rPr>
        <w:t>/</w:t>
      </w:r>
      <w:r w:rsidR="000F01B0">
        <w:rPr>
          <w:rFonts w:eastAsiaTheme="minorHAnsi" w:cs="Calibri"/>
          <w:b/>
          <w:color w:val="000000"/>
          <w:szCs w:val="22"/>
        </w:rPr>
        <w:t>1183</w:t>
      </w:r>
      <w:r w:rsidR="000265DB">
        <w:rPr>
          <w:rStyle w:val="FootnoteReference"/>
          <w:rFonts w:eastAsiaTheme="minorHAnsi" w:cs="Calibri"/>
          <w:b/>
          <w:color w:val="000000"/>
          <w:szCs w:val="22"/>
        </w:rPr>
        <w:footnoteReference w:id="3"/>
      </w:r>
    </w:p>
    <w:p w:rsidR="00704A79" w:rsidRPr="00E53370" w:rsidRDefault="00704A79" w:rsidP="00C5098C">
      <w:pPr>
        <w:spacing w:before="120" w:after="120" w:line="360" w:lineRule="auto"/>
        <w:contextualSpacing/>
        <w:jc w:val="both"/>
        <w:rPr>
          <w:szCs w:val="24"/>
        </w:rPr>
      </w:pPr>
      <w:r w:rsidRPr="00E53370">
        <w:t>La Commissione accoglie con favore l'accordo raggiunto che, a suo avviso, chiarisce che i browser web sono tenuti a garantire il sostegno e l'interoperabilità dei certificati qualificati di autenticazione di siti web al solo scopo di presentare i dati di identità del proprietario del sito web in modo facilmente consultabile. La Commissione ritiene che tale obbligo non pregiudichi i metodi utilizzati per presentare tali dati di identità.</w:t>
      </w:r>
    </w:p>
    <w:p w:rsidR="00704A79" w:rsidRPr="00E53370" w:rsidRDefault="00704A79" w:rsidP="00C5098C">
      <w:pPr>
        <w:spacing w:before="120" w:after="120" w:line="360" w:lineRule="auto"/>
        <w:contextualSpacing/>
        <w:jc w:val="both"/>
      </w:pPr>
    </w:p>
    <w:p w:rsidR="00704A79" w:rsidRPr="00E53370" w:rsidRDefault="00704A79" w:rsidP="00C5098C">
      <w:pPr>
        <w:spacing w:before="120" w:after="120" w:line="360" w:lineRule="auto"/>
        <w:contextualSpacing/>
        <w:jc w:val="both"/>
        <w:rPr>
          <w:szCs w:val="24"/>
        </w:rPr>
      </w:pPr>
      <w:r w:rsidRPr="00E53370">
        <w:t xml:space="preserve">La Commissione accoglie con favore l'accordo raggiunto che, a suo avviso, chiarisce che l'obbligo per i browser web di riconoscere i certificati qualificati di autenticazione di siti web non limita le loro politiche di sicurezza e che l'articolo </w:t>
      </w:r>
      <w:r w:rsidRPr="0071051E">
        <w:t>45</w:t>
      </w:r>
      <w:r w:rsidRPr="00E53370">
        <w:t xml:space="preserve">, quale proposto, lascia ai browser web la libertà di conservare e applicare le loro procedure e i loro criteri al fine di mantenere e preservare la riservatezza delle comunicazioni online utilizzando la cifratura e altri metodi comprovati. La Commissione ritiene che il progetto di articolo </w:t>
      </w:r>
      <w:r w:rsidRPr="0071051E">
        <w:t>45</w:t>
      </w:r>
      <w:r w:rsidRPr="00E53370">
        <w:t xml:space="preserve"> non imponga obblighi o restrizioni al modo in cui i browser web stabiliscono connessioni criptate con siti web o autenticano le chiavi crittografiche utilizzate per stabilire tali connessioni.</w:t>
      </w:r>
    </w:p>
    <w:p w:rsidR="00704A79" w:rsidRPr="00E53370" w:rsidRDefault="00704A79" w:rsidP="00C5098C">
      <w:pPr>
        <w:spacing w:before="120" w:after="120" w:line="360" w:lineRule="auto"/>
      </w:pPr>
    </w:p>
    <w:p w:rsidR="00704A79" w:rsidRPr="00E53370" w:rsidRDefault="00704A79" w:rsidP="00C5098C">
      <w:pPr>
        <w:spacing w:before="120" w:after="120" w:line="360" w:lineRule="auto"/>
        <w:contextualSpacing/>
        <w:jc w:val="both"/>
      </w:pPr>
      <w:r w:rsidRPr="00E53370">
        <w:t xml:space="preserve">La Commissione ricorda che, in linea con il punto </w:t>
      </w:r>
      <w:r w:rsidRPr="0071051E">
        <w:t>28</w:t>
      </w:r>
      <w:r w:rsidRPr="00E53370">
        <w:t xml:space="preserve"> dell'accordo interistituzionale "Legiferare meglio" tra il Parlamento europeo, il Consiglio dell'Unione europea e la Commissione europea del </w:t>
      </w:r>
      <w:r w:rsidRPr="0071051E">
        <w:t>13</w:t>
      </w:r>
      <w:r w:rsidRPr="00E53370">
        <w:t xml:space="preserve"> aprile </w:t>
      </w:r>
      <w:r w:rsidRPr="0071051E">
        <w:t>2016</w:t>
      </w:r>
      <w:r w:rsidRPr="00E53370">
        <w:t>, la Commissione si rivolgerà a gruppi di esperti, consulterà specifici portatori di interessi ed effettuerà consultazioni pubbliche, a seconda dei casi.</w:t>
      </w:r>
    </w:p>
    <w:p w:rsidR="00704A79" w:rsidRPr="00E53370" w:rsidRDefault="00704A79" w:rsidP="00C5098C">
      <w:pPr>
        <w:spacing w:before="120" w:after="120" w:line="360" w:lineRule="auto"/>
      </w:pPr>
    </w:p>
    <w:p w:rsidR="00704A79" w:rsidRPr="00E53370" w:rsidRDefault="00704A79" w:rsidP="00C5098C">
      <w:pPr>
        <w:widowControl/>
        <w:spacing w:before="120" w:after="120" w:line="360" w:lineRule="auto"/>
        <w:ind w:left="708"/>
        <w:jc w:val="center"/>
        <w:rPr>
          <w:rFonts w:eastAsiaTheme="minorHAnsi"/>
          <w:b/>
          <w:szCs w:val="24"/>
        </w:rPr>
      </w:pPr>
      <w:r w:rsidRPr="00E53370">
        <w:rPr>
          <w:rFonts w:eastAsiaTheme="minorHAnsi" w:cs="Calibri"/>
          <w:b/>
          <w:color w:val="000000"/>
          <w:szCs w:val="22"/>
        </w:rPr>
        <w:t xml:space="preserve">Dichiarazione della Commissione sulla non osservabilità in occasione dell'adozione del regolamento </w:t>
      </w:r>
      <w:r w:rsidR="0016628D">
        <w:rPr>
          <w:rFonts w:eastAsiaTheme="minorHAnsi" w:cs="Calibri"/>
          <w:b/>
          <w:color w:val="000000"/>
          <w:szCs w:val="22"/>
        </w:rPr>
        <w:t xml:space="preserve">(UE) </w:t>
      </w:r>
      <w:r w:rsidRPr="0071051E">
        <w:rPr>
          <w:rFonts w:eastAsiaTheme="minorHAnsi" w:cs="Calibri"/>
          <w:b/>
          <w:color w:val="000000"/>
          <w:szCs w:val="22"/>
        </w:rPr>
        <w:t>2024</w:t>
      </w:r>
      <w:r w:rsidR="000265DB">
        <w:rPr>
          <w:rFonts w:eastAsiaTheme="minorHAnsi" w:cs="Calibri"/>
          <w:b/>
          <w:color w:val="000000"/>
          <w:szCs w:val="22"/>
        </w:rPr>
        <w:t>/1183</w:t>
      </w:r>
      <w:r w:rsidR="000265DB">
        <w:rPr>
          <w:rStyle w:val="FootnoteReference"/>
          <w:rFonts w:eastAsiaTheme="minorHAnsi" w:cs="Calibri"/>
          <w:b/>
          <w:color w:val="000000"/>
          <w:szCs w:val="22"/>
        </w:rPr>
        <w:footnoteReference w:id="4"/>
      </w:r>
    </w:p>
    <w:p w:rsidR="00704A79" w:rsidRPr="00E53370" w:rsidRDefault="00704A79" w:rsidP="00C5098C">
      <w:pPr>
        <w:spacing w:before="120" w:after="120" w:line="360" w:lineRule="auto"/>
        <w:contextualSpacing/>
        <w:jc w:val="both"/>
        <w:rPr>
          <w:szCs w:val="24"/>
        </w:rPr>
      </w:pPr>
      <w:r w:rsidRPr="00E53370">
        <w:t xml:space="preserve">La Commissione accoglie con favore l'accordo raggiunto che, a suo avviso, conferma che il regolamento modificativo in esame non consente il trattamento dei dati personali contenuti nel portafoglio europeo di identità digitale o derivanti dal suo uso da parte dei fornitori di portafogli per scopi diversi dalla fornitura di servizi di portafoglio. </w:t>
      </w:r>
    </w:p>
    <w:p w:rsidR="00704A79" w:rsidRPr="00E53370" w:rsidRDefault="00704A79" w:rsidP="00C5098C">
      <w:pPr>
        <w:widowControl/>
        <w:spacing w:before="120" w:after="120" w:line="360" w:lineRule="auto"/>
        <w:jc w:val="both"/>
        <w:rPr>
          <w:rFonts w:eastAsia="Calibri"/>
          <w:color w:val="000000"/>
          <w:szCs w:val="24"/>
          <w:u w:color="000000"/>
          <w:bdr w:val="nil"/>
        </w:rPr>
      </w:pPr>
    </w:p>
    <w:p w:rsidR="00704A79" w:rsidRPr="00E53370" w:rsidRDefault="00704A79" w:rsidP="00C5098C">
      <w:pPr>
        <w:spacing w:before="120" w:after="120" w:line="360" w:lineRule="auto"/>
        <w:contextualSpacing/>
        <w:jc w:val="both"/>
        <w:rPr>
          <w:szCs w:val="24"/>
        </w:rPr>
      </w:pPr>
      <w:r w:rsidRPr="00E53370">
        <w:lastRenderedPageBreak/>
        <w:t xml:space="preserve">La Commissione accoglie inoltre con favore l'inclusione del concetto di non osservabilità nel considerando </w:t>
      </w:r>
      <w:r w:rsidRPr="0071051E">
        <w:t>11</w:t>
      </w:r>
      <w:r w:rsidRPr="00E53370">
        <w:t xml:space="preserve"> quater del progetto di regolamento modificativo, che dovrebbe impedire ai fornitori di portafogli di raccogliere e vedere i dettagli delle operazioni quotidiane degli utenti. Secondo la Commissione, tale concetto indica che non dovrebbe esistere una correlazione tra i dati nei diversi servizi ai fini del tracciamento o della localizzazione degli utenti o per determinare, analizzare e prevedere comportamenti, interessi o abitudini personali. </w:t>
      </w:r>
    </w:p>
    <w:p w:rsidR="00704A79" w:rsidRPr="00E53370" w:rsidRDefault="00704A79" w:rsidP="00C5098C">
      <w:pPr>
        <w:spacing w:before="120" w:after="120" w:line="360" w:lineRule="auto"/>
      </w:pPr>
    </w:p>
    <w:p w:rsidR="00704A79" w:rsidRPr="00E53370" w:rsidRDefault="00704A79" w:rsidP="0071051E">
      <w:pPr>
        <w:spacing w:before="120" w:after="120" w:line="360" w:lineRule="auto"/>
        <w:contextualSpacing/>
        <w:jc w:val="both"/>
        <w:rPr>
          <w:b/>
        </w:rPr>
      </w:pPr>
      <w:r w:rsidRPr="00E53370">
        <w:t xml:space="preserve">Nel contempo, la Commissione riconosce che, nel pieno rispetto del regolamento (UE) </w:t>
      </w:r>
      <w:r w:rsidRPr="0071051E">
        <w:t>2016</w:t>
      </w:r>
      <w:r w:rsidRPr="00E53370">
        <w:t>/</w:t>
      </w:r>
      <w:r w:rsidRPr="0071051E">
        <w:t>679</w:t>
      </w:r>
      <w:r w:rsidRPr="00E53370">
        <w:t>, i fornitori di portafogli europei di identità digitale possono accedere a determinate categorie di dati personali con il consenso esplicito dell'utente, ad esempio al fine di garantire la continuità della fornitura dei servizi di portafoglio o di proteggere gli utenti da perturbazioni nella loro fornitura. Tali dati dovrebbero essere limitati a quanto necessario per ciascuna finalità specifica.</w:t>
      </w:r>
    </w:p>
    <w:sectPr w:rsidR="00704A79" w:rsidRPr="00E53370" w:rsidSect="00704A79">
      <w:footnotePr>
        <w:numRestart w:val="eachPage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A79" w:rsidRPr="00351655" w:rsidRDefault="00704A79">
      <w:r w:rsidRPr="00351655">
        <w:separator/>
      </w:r>
    </w:p>
  </w:endnote>
  <w:endnote w:type="continuationSeparator" w:id="0">
    <w:p w:rsidR="00704A79" w:rsidRPr="00351655" w:rsidRDefault="00704A79">
      <w:r w:rsidRPr="003516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A79" w:rsidRPr="00351655" w:rsidRDefault="00704A79" w:rsidP="00704A79">
    <w:pPr>
      <w:pStyle w:val="EPFooter"/>
    </w:pPr>
    <w:r w:rsidRPr="00351655">
      <w:t>PE</w:t>
    </w:r>
    <w:r w:rsidRPr="00351655">
      <w:rPr>
        <w:rStyle w:val="HideTWBExt"/>
      </w:rPr>
      <w:t>&lt;</w:t>
    </w:r>
    <w:proofErr w:type="spellStart"/>
    <w:r w:rsidRPr="00351655">
      <w:rPr>
        <w:rStyle w:val="HideTWBExt"/>
      </w:rPr>
      <w:t>NoPE</w:t>
    </w:r>
    <w:proofErr w:type="spellEnd"/>
    <w:r w:rsidRPr="00351655">
      <w:rPr>
        <w:rStyle w:val="HideTWBExt"/>
      </w:rPr>
      <w:t>&gt;</w:t>
    </w:r>
    <w:r w:rsidRPr="00351655">
      <w:t>732.707</w:t>
    </w:r>
    <w:r w:rsidRPr="00351655">
      <w:rPr>
        <w:rStyle w:val="HideTWBExt"/>
      </w:rPr>
      <w:t>&lt;/</w:t>
    </w:r>
    <w:proofErr w:type="spellStart"/>
    <w:r w:rsidRPr="00351655">
      <w:rPr>
        <w:rStyle w:val="HideTWBExt"/>
      </w:rPr>
      <w:t>NoPE</w:t>
    </w:r>
    <w:proofErr w:type="spellEnd"/>
    <w:r w:rsidRPr="00351655">
      <w:rPr>
        <w:rStyle w:val="HideTWBExt"/>
      </w:rPr>
      <w:t>&gt;&lt;Version&gt;</w:t>
    </w:r>
    <w:r w:rsidRPr="00351655">
      <w:t>v03-00</w:t>
    </w:r>
    <w:r w:rsidRPr="00351655">
      <w:rPr>
        <w:rStyle w:val="HideTWBExt"/>
      </w:rPr>
      <w:t>&lt;/Version&gt;</w:t>
    </w:r>
    <w:r w:rsidRPr="00351655">
      <w:tab/>
    </w:r>
    <w:r w:rsidRPr="00351655">
      <w:fldChar w:fldCharType="begin"/>
    </w:r>
    <w:r w:rsidRPr="00351655">
      <w:instrText xml:space="preserve"> PAGE  \* MERGEFORMAT </w:instrText>
    </w:r>
    <w:r w:rsidRPr="00351655">
      <w:fldChar w:fldCharType="separate"/>
    </w:r>
    <w:r w:rsidRPr="00351655">
      <w:rPr>
        <w:noProof/>
      </w:rPr>
      <w:t>2</w:t>
    </w:r>
    <w:r w:rsidRPr="00351655">
      <w:fldChar w:fldCharType="end"/>
    </w:r>
    <w:r w:rsidRPr="00351655">
      <w:t>/</w:t>
    </w:r>
    <w:r w:rsidR="00CF482D">
      <w:fldChar w:fldCharType="begin"/>
    </w:r>
    <w:r w:rsidR="00CF482D">
      <w:instrText xml:space="preserve"> NUMPAGES  \* MERGEFORMAT </w:instrText>
    </w:r>
    <w:r w:rsidR="00CF482D">
      <w:fldChar w:fldCharType="separate"/>
    </w:r>
    <w:r w:rsidRPr="00351655">
      <w:rPr>
        <w:noProof/>
      </w:rPr>
      <w:t>87</w:t>
    </w:r>
    <w:r w:rsidR="00CF482D">
      <w:rPr>
        <w:noProof/>
      </w:rPr>
      <w:fldChar w:fldCharType="end"/>
    </w:r>
    <w:r w:rsidRPr="00351655">
      <w:tab/>
    </w:r>
    <w:r w:rsidRPr="00351655">
      <w:rPr>
        <w:rStyle w:val="HideTWBExt"/>
      </w:rPr>
      <w:t>&lt;PathFdR&gt;</w:t>
    </w:r>
    <w:r w:rsidRPr="00351655">
      <w:t>RR\1274020IT.docx</w:t>
    </w:r>
    <w:r w:rsidRPr="00351655">
      <w:rPr>
        <w:rStyle w:val="HideTWBExt"/>
      </w:rPr>
      <w:t>&lt;/</w:t>
    </w:r>
    <w:proofErr w:type="spellStart"/>
    <w:r w:rsidRPr="00351655">
      <w:rPr>
        <w:rStyle w:val="HideTWBExt"/>
      </w:rPr>
      <w:t>PathFdR</w:t>
    </w:r>
    <w:proofErr w:type="spellEnd"/>
    <w:r w:rsidRPr="00351655">
      <w:rPr>
        <w:rStyle w:val="HideTWBExt"/>
      </w:rPr>
      <w:t>&gt;</w:t>
    </w:r>
  </w:p>
  <w:p w:rsidR="00704A79" w:rsidRPr="00351655" w:rsidRDefault="00704A79" w:rsidP="00704A79">
    <w:pPr>
      <w:pStyle w:val="EPFooter2"/>
    </w:pPr>
    <w:r w:rsidRPr="00351655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A79" w:rsidRPr="00351655" w:rsidRDefault="00704A79" w:rsidP="00704A79">
    <w:pPr>
      <w:pStyle w:val="EPFooter"/>
    </w:pPr>
    <w:r w:rsidRPr="00351655">
      <w:rPr>
        <w:rStyle w:val="HideTWBExt"/>
      </w:rPr>
      <w:t>&lt;PathFdR&gt;</w:t>
    </w:r>
    <w:r w:rsidRPr="00351655">
      <w:t>RR\1274020IT.docx</w:t>
    </w:r>
    <w:r w:rsidRPr="00351655">
      <w:rPr>
        <w:rStyle w:val="HideTWBExt"/>
      </w:rPr>
      <w:t>&lt;/</w:t>
    </w:r>
    <w:proofErr w:type="spellStart"/>
    <w:r w:rsidRPr="00351655">
      <w:rPr>
        <w:rStyle w:val="HideTWBExt"/>
      </w:rPr>
      <w:t>PathFdR</w:t>
    </w:r>
    <w:proofErr w:type="spellEnd"/>
    <w:r w:rsidRPr="00351655">
      <w:rPr>
        <w:rStyle w:val="HideTWBExt"/>
      </w:rPr>
      <w:t>&gt;</w:t>
    </w:r>
    <w:r w:rsidRPr="00351655">
      <w:tab/>
    </w:r>
    <w:r w:rsidRPr="00351655">
      <w:tab/>
      <w:t>PE</w:t>
    </w:r>
    <w:r w:rsidRPr="00351655">
      <w:rPr>
        <w:rStyle w:val="HideTWBExt"/>
      </w:rPr>
      <w:t>&lt;</w:t>
    </w:r>
    <w:proofErr w:type="spellStart"/>
    <w:r w:rsidRPr="00351655">
      <w:rPr>
        <w:rStyle w:val="HideTWBExt"/>
      </w:rPr>
      <w:t>NoPE</w:t>
    </w:r>
    <w:proofErr w:type="spellEnd"/>
    <w:r w:rsidRPr="00351655">
      <w:rPr>
        <w:rStyle w:val="HideTWBExt"/>
      </w:rPr>
      <w:t>&gt;</w:t>
    </w:r>
    <w:r w:rsidRPr="00351655">
      <w:t>732.707</w:t>
    </w:r>
    <w:r w:rsidRPr="00351655">
      <w:rPr>
        <w:rStyle w:val="HideTWBExt"/>
      </w:rPr>
      <w:t>&lt;/</w:t>
    </w:r>
    <w:proofErr w:type="spellStart"/>
    <w:r w:rsidRPr="00351655">
      <w:rPr>
        <w:rStyle w:val="HideTWBExt"/>
      </w:rPr>
      <w:t>NoPE</w:t>
    </w:r>
    <w:proofErr w:type="spellEnd"/>
    <w:r w:rsidRPr="00351655">
      <w:rPr>
        <w:rStyle w:val="HideTWBExt"/>
      </w:rPr>
      <w:t>&gt;&lt;Version&gt;</w:t>
    </w:r>
    <w:r w:rsidRPr="00351655">
      <w:t>v03-00</w:t>
    </w:r>
    <w:r w:rsidRPr="00351655">
      <w:rPr>
        <w:rStyle w:val="HideTWBExt"/>
      </w:rPr>
      <w:t>&lt;/Version&gt;</w:t>
    </w:r>
  </w:p>
  <w:p w:rsidR="00704A79" w:rsidRPr="00351655" w:rsidRDefault="00704A79" w:rsidP="00704A79">
    <w:pPr>
      <w:pStyle w:val="EPFooter2"/>
    </w:pPr>
    <w:r w:rsidRPr="00351655">
      <w:t>IT</w:t>
    </w:r>
    <w:r w:rsidRPr="00351655">
      <w:tab/>
    </w:r>
    <w:proofErr w:type="spellStart"/>
    <w:r w:rsidRPr="00351655">
      <w:rPr>
        <w:b w:val="0"/>
        <w:i/>
        <w:color w:val="C0C0C0"/>
        <w:sz w:val="22"/>
      </w:rPr>
      <w:t>Unita</w:t>
    </w:r>
    <w:proofErr w:type="spellEnd"/>
    <w:r w:rsidRPr="00351655">
      <w:rPr>
        <w:b w:val="0"/>
        <w:i/>
        <w:color w:val="C0C0C0"/>
        <w:sz w:val="22"/>
      </w:rPr>
      <w:t xml:space="preserve"> nella diversità</w:t>
    </w:r>
    <w:r w:rsidRPr="00351655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A79" w:rsidRPr="00351655" w:rsidRDefault="00704A7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A79" w:rsidRPr="00351655" w:rsidRDefault="00704A7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A79" w:rsidRPr="00351655" w:rsidRDefault="00704A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A79" w:rsidRPr="00351655" w:rsidRDefault="00704A79">
      <w:r w:rsidRPr="00351655">
        <w:separator/>
      </w:r>
    </w:p>
  </w:footnote>
  <w:footnote w:type="continuationSeparator" w:id="0">
    <w:p w:rsidR="00704A79" w:rsidRPr="00351655" w:rsidRDefault="00704A79">
      <w:r w:rsidRPr="00351655">
        <w:continuationSeparator/>
      </w:r>
    </w:p>
  </w:footnote>
  <w:footnote w:id="1">
    <w:p w:rsidR="00704A79" w:rsidRPr="00351655" w:rsidRDefault="00704A79" w:rsidP="00351655">
      <w:pPr>
        <w:pStyle w:val="FootnoteText"/>
        <w:ind w:left="567" w:hanging="567"/>
        <w:rPr>
          <w:sz w:val="24"/>
          <w:lang w:val="it-IT"/>
        </w:rPr>
      </w:pPr>
      <w:r w:rsidRPr="00351655">
        <w:rPr>
          <w:rStyle w:val="FootnoteReference"/>
          <w:sz w:val="24"/>
          <w:lang w:val="it-IT"/>
        </w:rPr>
        <w:footnoteRef/>
      </w:r>
      <w:r w:rsidRPr="00351655">
        <w:rPr>
          <w:sz w:val="24"/>
          <w:lang w:val="it-IT"/>
        </w:rPr>
        <w:t xml:space="preserve"> </w:t>
      </w:r>
      <w:r w:rsidRPr="00351655">
        <w:rPr>
          <w:sz w:val="24"/>
          <w:lang w:val="it-IT"/>
        </w:rPr>
        <w:tab/>
        <w:t xml:space="preserve">GU C </w:t>
      </w:r>
      <w:r w:rsidRPr="0071051E">
        <w:rPr>
          <w:sz w:val="24"/>
          <w:lang w:val="it-IT"/>
        </w:rPr>
        <w:t>105</w:t>
      </w:r>
      <w:r>
        <w:rPr>
          <w:sz w:val="24"/>
          <w:lang w:val="it-IT"/>
        </w:rPr>
        <w:t xml:space="preserve"> del </w:t>
      </w:r>
      <w:r w:rsidRPr="0071051E">
        <w:rPr>
          <w:sz w:val="24"/>
          <w:lang w:val="it-IT"/>
        </w:rPr>
        <w:t>4</w:t>
      </w:r>
      <w:r>
        <w:rPr>
          <w:sz w:val="24"/>
          <w:lang w:val="it-IT"/>
        </w:rPr>
        <w:t>.</w:t>
      </w:r>
      <w:r w:rsidRPr="0071051E">
        <w:rPr>
          <w:sz w:val="24"/>
          <w:lang w:val="it-IT"/>
        </w:rPr>
        <w:t>3</w:t>
      </w:r>
      <w:r>
        <w:rPr>
          <w:sz w:val="24"/>
          <w:lang w:val="it-IT"/>
        </w:rPr>
        <w:t>.</w:t>
      </w:r>
      <w:r w:rsidRPr="0071051E">
        <w:rPr>
          <w:sz w:val="24"/>
          <w:lang w:val="it-IT"/>
        </w:rPr>
        <w:t>2022</w:t>
      </w:r>
      <w:r>
        <w:rPr>
          <w:sz w:val="24"/>
          <w:lang w:val="it-IT"/>
        </w:rPr>
        <w:t xml:space="preserve">, pag. </w:t>
      </w:r>
      <w:r w:rsidRPr="0071051E">
        <w:rPr>
          <w:sz w:val="24"/>
          <w:lang w:val="it-IT"/>
        </w:rPr>
        <w:t>81</w:t>
      </w:r>
      <w:r w:rsidRPr="00351655">
        <w:rPr>
          <w:sz w:val="24"/>
          <w:lang w:val="it-IT"/>
        </w:rPr>
        <w:t>.</w:t>
      </w:r>
    </w:p>
  </w:footnote>
  <w:footnote w:id="2">
    <w:p w:rsidR="00704A79" w:rsidRPr="00351655" w:rsidRDefault="00704A79" w:rsidP="00351655">
      <w:pPr>
        <w:pStyle w:val="FootnoteText"/>
        <w:ind w:left="567" w:hanging="567"/>
        <w:rPr>
          <w:sz w:val="24"/>
          <w:lang w:val="it-IT"/>
        </w:rPr>
      </w:pPr>
      <w:r w:rsidRPr="00351655">
        <w:rPr>
          <w:rStyle w:val="FootnoteReference"/>
          <w:sz w:val="24"/>
          <w:lang w:val="it-IT"/>
        </w:rPr>
        <w:footnoteRef/>
      </w:r>
      <w:r w:rsidRPr="00351655">
        <w:rPr>
          <w:sz w:val="24"/>
          <w:lang w:val="it-IT"/>
        </w:rPr>
        <w:t xml:space="preserve"> </w:t>
      </w:r>
      <w:r w:rsidRPr="00351655">
        <w:rPr>
          <w:sz w:val="24"/>
          <w:lang w:val="it-IT"/>
        </w:rPr>
        <w:tab/>
        <w:t xml:space="preserve">GU C </w:t>
      </w:r>
      <w:r w:rsidRPr="0071051E">
        <w:rPr>
          <w:sz w:val="24"/>
          <w:lang w:val="it-IT"/>
        </w:rPr>
        <w:t>61</w:t>
      </w:r>
      <w:r>
        <w:rPr>
          <w:sz w:val="24"/>
          <w:lang w:val="it-IT"/>
        </w:rPr>
        <w:t xml:space="preserve"> del </w:t>
      </w:r>
      <w:r w:rsidRPr="0071051E">
        <w:rPr>
          <w:sz w:val="24"/>
          <w:lang w:val="it-IT"/>
        </w:rPr>
        <w:t>4</w:t>
      </w:r>
      <w:r>
        <w:rPr>
          <w:sz w:val="24"/>
          <w:lang w:val="it-IT"/>
        </w:rPr>
        <w:t>.</w:t>
      </w:r>
      <w:r w:rsidRPr="0071051E">
        <w:rPr>
          <w:sz w:val="24"/>
          <w:lang w:val="it-IT"/>
        </w:rPr>
        <w:t>2</w:t>
      </w:r>
      <w:r>
        <w:rPr>
          <w:sz w:val="24"/>
          <w:lang w:val="it-IT"/>
        </w:rPr>
        <w:t>.</w:t>
      </w:r>
      <w:r w:rsidRPr="0071051E">
        <w:rPr>
          <w:sz w:val="24"/>
          <w:lang w:val="it-IT"/>
        </w:rPr>
        <w:t>2022</w:t>
      </w:r>
      <w:r>
        <w:rPr>
          <w:sz w:val="24"/>
          <w:lang w:val="it-IT"/>
        </w:rPr>
        <w:t xml:space="preserve">, pag. </w:t>
      </w:r>
      <w:r w:rsidRPr="0071051E">
        <w:rPr>
          <w:sz w:val="24"/>
          <w:lang w:val="it-IT"/>
        </w:rPr>
        <w:t>42</w:t>
      </w:r>
      <w:r w:rsidRPr="00351655">
        <w:rPr>
          <w:sz w:val="24"/>
          <w:lang w:val="it-IT"/>
        </w:rPr>
        <w:t>.</w:t>
      </w:r>
    </w:p>
  </w:footnote>
  <w:footnote w:id="3">
    <w:p w:rsidR="000265DB" w:rsidRPr="000265DB" w:rsidRDefault="000265DB" w:rsidP="000265DB">
      <w:pPr>
        <w:pStyle w:val="FootnoteText"/>
        <w:ind w:left="567" w:hanging="567"/>
        <w:rPr>
          <w:sz w:val="24"/>
          <w:szCs w:val="24"/>
          <w:lang w:val="fi-FI"/>
        </w:rPr>
      </w:pPr>
      <w:bookmarkStart w:id="8" w:name="_GoBack"/>
      <w:bookmarkEnd w:id="8"/>
      <w:r w:rsidRPr="00CF482D">
        <w:rPr>
          <w:rStyle w:val="FootnoteReference"/>
        </w:rPr>
        <w:footnoteRef/>
      </w:r>
      <w:r w:rsidRPr="00CF482D">
        <w:rPr>
          <w:lang w:val="fi-FI"/>
        </w:rPr>
        <w:t xml:space="preserve"> </w:t>
      </w:r>
      <w:r w:rsidRPr="00CF482D">
        <w:rPr>
          <w:sz w:val="24"/>
          <w:szCs w:val="24"/>
          <w:lang w:val="fi-FI"/>
        </w:rPr>
        <w:tab/>
        <w:t>GU</w:t>
      </w:r>
      <w:r w:rsidRPr="00CF482D">
        <w:rPr>
          <w:sz w:val="24"/>
          <w:szCs w:val="24"/>
          <w:lang w:val="fi-FI"/>
        </w:rPr>
        <w:t xml:space="preserve"> L, 2024/1183, 30.4.2024, ELI: </w:t>
      </w:r>
      <w:hyperlink r:id="rId1" w:history="1">
        <w:r w:rsidRPr="00CF482D">
          <w:rPr>
            <w:rStyle w:val="Hyperlink"/>
            <w:sz w:val="24"/>
            <w:szCs w:val="24"/>
            <w:lang w:val="fi-FI"/>
          </w:rPr>
          <w:t>http://data.europa.eu/eli/reg/2024/1183/oj</w:t>
        </w:r>
      </w:hyperlink>
      <w:r w:rsidRPr="00CF482D">
        <w:rPr>
          <w:rStyle w:val="Hyperlink"/>
          <w:sz w:val="24"/>
          <w:szCs w:val="24"/>
          <w:lang w:val="fi-FI"/>
        </w:rPr>
        <w:t>.</w:t>
      </w:r>
    </w:p>
  </w:footnote>
  <w:footnote w:id="4">
    <w:p w:rsidR="000265DB" w:rsidRPr="000265DB" w:rsidRDefault="000265DB" w:rsidP="000265DB">
      <w:pPr>
        <w:pStyle w:val="FootnoteText"/>
        <w:ind w:left="567" w:hanging="567"/>
        <w:rPr>
          <w:lang w:val="fi-FI"/>
        </w:rPr>
      </w:pPr>
      <w:r w:rsidRPr="000265DB">
        <w:rPr>
          <w:rStyle w:val="FootnoteReference"/>
          <w:sz w:val="24"/>
          <w:szCs w:val="24"/>
        </w:rPr>
        <w:footnoteRef/>
      </w:r>
      <w:r w:rsidRPr="000265DB">
        <w:rPr>
          <w:sz w:val="24"/>
          <w:szCs w:val="24"/>
          <w:lang w:val="fi-FI"/>
        </w:rPr>
        <w:t xml:space="preserve"> </w:t>
      </w:r>
      <w:r>
        <w:rPr>
          <w:sz w:val="24"/>
          <w:szCs w:val="24"/>
          <w:lang w:val="fi-FI"/>
        </w:rPr>
        <w:tab/>
        <w:t>GU</w:t>
      </w:r>
      <w:r w:rsidRPr="000265DB">
        <w:rPr>
          <w:sz w:val="24"/>
          <w:szCs w:val="24"/>
          <w:lang w:val="fi-FI"/>
        </w:rPr>
        <w:t xml:space="preserve"> L, 2024/1183, 30.4.2024, ELI: </w:t>
      </w:r>
      <w:hyperlink r:id="rId2" w:history="1">
        <w:r w:rsidRPr="000265DB">
          <w:rPr>
            <w:rStyle w:val="Hyperlink"/>
            <w:sz w:val="24"/>
            <w:szCs w:val="24"/>
            <w:lang w:val="fi-FI"/>
          </w:rPr>
          <w:t>http://data.europa.eu/eli/reg/2024/1183/oj</w:t>
        </w:r>
      </w:hyperlink>
      <w:r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A79" w:rsidRPr="00351655" w:rsidRDefault="00704A7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A79" w:rsidRPr="00351655" w:rsidRDefault="00704A7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A79" w:rsidRPr="00351655" w:rsidRDefault="00704A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6"/>
  </w:num>
  <w:num w:numId="6">
    <w:abstractNumId w:val="32"/>
  </w:num>
  <w:num w:numId="7">
    <w:abstractNumId w:val="11"/>
  </w:num>
  <w:num w:numId="8">
    <w:abstractNumId w:val="1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5"/>
  </w:num>
  <w:num w:numId="13">
    <w:abstractNumId w:val="26"/>
  </w:num>
  <w:num w:numId="14">
    <w:abstractNumId w:val="6"/>
    <w:lvlOverride w:ilvl="0">
      <w:startOverride w:val="3"/>
    </w:lvlOverride>
  </w:num>
  <w:num w:numId="15">
    <w:abstractNumId w:val="21"/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24"/>
  </w:num>
  <w:num w:numId="19">
    <w:abstractNumId w:val="33"/>
  </w:num>
  <w:num w:numId="20">
    <w:abstractNumId w:val="1"/>
  </w:num>
  <w:num w:numId="21">
    <w:abstractNumId w:val="34"/>
  </w:num>
  <w:num w:numId="22">
    <w:abstractNumId w:val="28"/>
  </w:num>
  <w:num w:numId="23">
    <w:abstractNumId w:val="3"/>
  </w:num>
  <w:num w:numId="24">
    <w:abstractNumId w:val="38"/>
  </w:num>
  <w:num w:numId="25">
    <w:abstractNumId w:val="42"/>
  </w:num>
  <w:num w:numId="26">
    <w:abstractNumId w:val="22"/>
  </w:num>
  <w:num w:numId="27">
    <w:abstractNumId w:val="36"/>
  </w:num>
  <w:num w:numId="28">
    <w:abstractNumId w:val="31"/>
  </w:num>
  <w:num w:numId="29">
    <w:abstractNumId w:val="18"/>
  </w:num>
  <w:num w:numId="30">
    <w:abstractNumId w:val="0"/>
  </w:num>
  <w:num w:numId="31">
    <w:abstractNumId w:val="9"/>
  </w:num>
  <w:num w:numId="32">
    <w:abstractNumId w:val="5"/>
  </w:num>
  <w:num w:numId="33">
    <w:abstractNumId w:val="10"/>
  </w:num>
  <w:num w:numId="34">
    <w:abstractNumId w:val="23"/>
  </w:num>
  <w:num w:numId="35">
    <w:abstractNumId w:val="30"/>
  </w:num>
  <w:num w:numId="36">
    <w:abstractNumId w:val="14"/>
  </w:num>
  <w:num w:numId="37">
    <w:abstractNumId w:val="15"/>
  </w:num>
  <w:num w:numId="38">
    <w:abstractNumId w:val="20"/>
  </w:num>
  <w:num w:numId="39">
    <w:abstractNumId w:val="40"/>
  </w:num>
  <w:num w:numId="40">
    <w:abstractNumId w:val="39"/>
  </w:num>
  <w:num w:numId="41">
    <w:abstractNumId w:val="4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IT"/>
    <w:docVar w:name="dvnumam" w:val="218"/>
    <w:docVar w:name="dvpe" w:val="732.707"/>
    <w:docVar w:name="dvrapporteur" w:val="Relatrice:"/>
    <w:docVar w:name="dvstar" w:val="***I"/>
    <w:docVar w:name="dvtitre" w:val="Risoluzione legislativa del Parlamento europeo del 28 febbraio 2024 sulla proposta di regolamento del Parlamento europeo e del Consiglio che modifica il regolamento (UE) n. 910/2014 per quanto riguarda l'istituzione di un quadro per un'identità digitale europea(COM(2021)0281 – C9-0200/2021 – 2021/0136(COD))"/>
    <w:docVar w:name="strDocTypeID" w:val="NONE"/>
  </w:docVars>
  <w:rsids>
    <w:rsidRoot w:val="00E02604"/>
    <w:rsid w:val="00002272"/>
    <w:rsid w:val="000265DB"/>
    <w:rsid w:val="00064002"/>
    <w:rsid w:val="000677B9"/>
    <w:rsid w:val="000831BA"/>
    <w:rsid w:val="000A42CC"/>
    <w:rsid w:val="000E2E14"/>
    <w:rsid w:val="000E7DD9"/>
    <w:rsid w:val="000F01B0"/>
    <w:rsid w:val="0010095E"/>
    <w:rsid w:val="001169BD"/>
    <w:rsid w:val="00125B37"/>
    <w:rsid w:val="0016628D"/>
    <w:rsid w:val="00187494"/>
    <w:rsid w:val="001F2728"/>
    <w:rsid w:val="001F32AE"/>
    <w:rsid w:val="002767FF"/>
    <w:rsid w:val="00284C21"/>
    <w:rsid w:val="002B18FE"/>
    <w:rsid w:val="002B5493"/>
    <w:rsid w:val="00343214"/>
    <w:rsid w:val="00351655"/>
    <w:rsid w:val="00361C00"/>
    <w:rsid w:val="00395FA1"/>
    <w:rsid w:val="003D3CE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4A79"/>
    <w:rsid w:val="0071051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EF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37A"/>
    <w:rsid w:val="00BD48FE"/>
    <w:rsid w:val="00BD7BD8"/>
    <w:rsid w:val="00BE6ADC"/>
    <w:rsid w:val="00C02805"/>
    <w:rsid w:val="00C05BFE"/>
    <w:rsid w:val="00C23CD4"/>
    <w:rsid w:val="00C5098C"/>
    <w:rsid w:val="00C61C0C"/>
    <w:rsid w:val="00C941CB"/>
    <w:rsid w:val="00CC2357"/>
    <w:rsid w:val="00CF071A"/>
    <w:rsid w:val="00CF482D"/>
    <w:rsid w:val="00D058B8"/>
    <w:rsid w:val="00D56C11"/>
    <w:rsid w:val="00D834A0"/>
    <w:rsid w:val="00D872DF"/>
    <w:rsid w:val="00D91E21"/>
    <w:rsid w:val="00DA7FCD"/>
    <w:rsid w:val="00E02604"/>
    <w:rsid w:val="00E365E1"/>
    <w:rsid w:val="00E5337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9ECF9"/>
  <w15:chartTrackingRefBased/>
  <w15:docId w15:val="{4CF72F25-C0BD-49AE-8262-A81BDC71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F272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72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F272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72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72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728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728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1F2728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1F2728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1F272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F27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F272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F2728"/>
    <w:pPr>
      <w:spacing w:after="120"/>
    </w:pPr>
  </w:style>
  <w:style w:type="paragraph" w:customStyle="1" w:styleId="PageHeading">
    <w:name w:val="PageHeading"/>
    <w:basedOn w:val="Normal"/>
    <w:rsid w:val="001F27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F272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F2728"/>
    <w:rPr>
      <w:b/>
      <w:sz w:val="24"/>
      <w:lang w:val="it-IT"/>
    </w:rPr>
  </w:style>
  <w:style w:type="paragraph" w:customStyle="1" w:styleId="NormalBold12a">
    <w:name w:val="NormalBold12a"/>
    <w:basedOn w:val="Normal"/>
    <w:rsid w:val="001F2728"/>
    <w:pPr>
      <w:spacing w:after="240"/>
    </w:pPr>
    <w:rPr>
      <w:b/>
    </w:rPr>
  </w:style>
  <w:style w:type="paragraph" w:customStyle="1" w:styleId="AmJustText">
    <w:name w:val="AmJustText"/>
    <w:basedOn w:val="Normal"/>
    <w:rsid w:val="001F272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F272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F2728"/>
    <w:pPr>
      <w:spacing w:after="480"/>
      <w:ind w:left="1417"/>
    </w:pPr>
  </w:style>
  <w:style w:type="paragraph" w:customStyle="1" w:styleId="CoverNormal">
    <w:name w:val="CoverNormal"/>
    <w:basedOn w:val="Normal"/>
    <w:rsid w:val="001F2728"/>
    <w:pPr>
      <w:ind w:left="1418"/>
    </w:pPr>
  </w:style>
  <w:style w:type="paragraph" w:customStyle="1" w:styleId="AmCrossRef">
    <w:name w:val="AmCrossRef"/>
    <w:basedOn w:val="Normal"/>
    <w:rsid w:val="001F272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F272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F272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F272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F272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F272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F27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728"/>
    <w:rPr>
      <w:sz w:val="24"/>
      <w:lang w:val="it-IT"/>
    </w:rPr>
  </w:style>
  <w:style w:type="paragraph" w:customStyle="1" w:styleId="AmOrLang">
    <w:name w:val="AmOrLang"/>
    <w:basedOn w:val="Normal"/>
    <w:rsid w:val="001F272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F272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F27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F2728"/>
    <w:pPr>
      <w:spacing w:before="240"/>
    </w:pPr>
    <w:rPr>
      <w:b/>
    </w:rPr>
  </w:style>
  <w:style w:type="paragraph" w:customStyle="1" w:styleId="EPBody">
    <w:name w:val="EPBody"/>
    <w:basedOn w:val="Normal"/>
    <w:rsid w:val="001F27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F272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F2728"/>
    <w:pPr>
      <w:spacing w:before="480" w:after="240"/>
    </w:pPr>
  </w:style>
  <w:style w:type="paragraph" w:customStyle="1" w:styleId="Lgendesigne">
    <w:name w:val="Légende signe"/>
    <w:basedOn w:val="Normal"/>
    <w:rsid w:val="001F272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F272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F2728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F2728"/>
    <w:rPr>
      <w:sz w:val="22"/>
    </w:rPr>
  </w:style>
  <w:style w:type="paragraph" w:styleId="Footer">
    <w:name w:val="footer"/>
    <w:link w:val="FooterChar"/>
    <w:uiPriority w:val="99"/>
    <w:unhideWhenUsed/>
    <w:rsid w:val="001F2728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1F2728"/>
    <w:rPr>
      <w:sz w:val="24"/>
      <w:lang w:val="it-IT"/>
    </w:rPr>
  </w:style>
  <w:style w:type="character" w:customStyle="1" w:styleId="Normal12Char">
    <w:name w:val="Normal12 Char"/>
    <w:basedOn w:val="DefaultParagraphFont"/>
    <w:link w:val="Normal12"/>
    <w:locked/>
    <w:rsid w:val="001F2728"/>
    <w:rPr>
      <w:noProof/>
      <w:sz w:val="24"/>
    </w:rPr>
  </w:style>
  <w:style w:type="paragraph" w:customStyle="1" w:styleId="Normal12">
    <w:name w:val="Normal12"/>
    <w:basedOn w:val="Normal"/>
    <w:link w:val="Normal12Char"/>
    <w:rsid w:val="001F272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F2728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1F2728"/>
    <w:pPr>
      <w:spacing w:after="120"/>
    </w:pPr>
  </w:style>
  <w:style w:type="paragraph" w:customStyle="1" w:styleId="Normal12Italic">
    <w:name w:val="Normal12Italic"/>
    <w:basedOn w:val="Normal12"/>
    <w:rsid w:val="001F2728"/>
    <w:rPr>
      <w:i/>
    </w:rPr>
  </w:style>
  <w:style w:type="paragraph" w:customStyle="1" w:styleId="Footer2">
    <w:name w:val="Footer2"/>
    <w:basedOn w:val="Normal12"/>
    <w:rsid w:val="001F272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1F272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1F27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F272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F2728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1F2728"/>
    <w:pPr>
      <w:spacing w:before="240"/>
      <w:jc w:val="center"/>
    </w:pPr>
    <w:rPr>
      <w:i/>
    </w:rPr>
  </w:style>
  <w:style w:type="paragraph" w:customStyle="1" w:styleId="JustificationTitle">
    <w:name w:val="JustificationTitle"/>
    <w:basedOn w:val="Normal"/>
    <w:next w:val="Normal12"/>
    <w:rsid w:val="001F2728"/>
    <w:pPr>
      <w:keepNext/>
      <w:spacing w:before="240" w:after="240"/>
      <w:jc w:val="center"/>
    </w:pPr>
    <w:rPr>
      <w:i/>
      <w:noProof/>
    </w:rPr>
  </w:style>
  <w:style w:type="paragraph" w:customStyle="1" w:styleId="msonormal0">
    <w:name w:val="msonormal"/>
    <w:basedOn w:val="Normal"/>
    <w:uiPriority w:val="99"/>
    <w:rsid w:val="001F2728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1F272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F272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F272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F272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F2728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1F272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1F2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F2728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uiPriority w:val="99"/>
    <w:rsid w:val="001F2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272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2728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F2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2728"/>
    <w:rPr>
      <w:b/>
      <w:bCs/>
      <w:lang w:val="it-IT"/>
    </w:rPr>
  </w:style>
  <w:style w:type="paragraph" w:customStyle="1" w:styleId="NormalCenter12a">
    <w:name w:val="NormalCenter12a"/>
    <w:basedOn w:val="Normal"/>
    <w:rsid w:val="001F272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1F2728"/>
    <w:pPr>
      <w:spacing w:before="720" w:after="240"/>
      <w:jc w:val="center"/>
    </w:pPr>
  </w:style>
  <w:style w:type="paragraph" w:styleId="ListNumber">
    <w:name w:val="List Number"/>
    <w:basedOn w:val="Normal"/>
    <w:unhideWhenUsed/>
    <w:rsid w:val="001F2728"/>
    <w:pPr>
      <w:widowControl/>
      <w:numPr>
        <w:numId w:val="3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nhideWhenUsed/>
    <w:rsid w:val="001F272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Text2">
    <w:name w:val="Text 2"/>
    <w:basedOn w:val="Normal"/>
    <w:rsid w:val="001F272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1F2728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F272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F272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F2728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F2728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F2728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1F2728"/>
    <w:pPr>
      <w:numPr>
        <w:numId w:val="4"/>
      </w:numPr>
    </w:pPr>
  </w:style>
  <w:style w:type="paragraph" w:customStyle="1" w:styleId="Tiret1">
    <w:name w:val="Tiret 1"/>
    <w:basedOn w:val="Point1"/>
    <w:rsid w:val="001F2728"/>
    <w:pPr>
      <w:numPr>
        <w:numId w:val="5"/>
      </w:numPr>
    </w:pPr>
  </w:style>
  <w:style w:type="paragraph" w:customStyle="1" w:styleId="Tiret2">
    <w:name w:val="Tiret 2"/>
    <w:basedOn w:val="Point2"/>
    <w:rsid w:val="001F2728"/>
    <w:pPr>
      <w:numPr>
        <w:numId w:val="6"/>
      </w:numPr>
    </w:pPr>
  </w:style>
  <w:style w:type="paragraph" w:customStyle="1" w:styleId="Tiret3">
    <w:name w:val="Tiret 3"/>
    <w:basedOn w:val="Point3"/>
    <w:rsid w:val="001F2728"/>
    <w:pPr>
      <w:numPr>
        <w:numId w:val="7"/>
      </w:numPr>
    </w:pPr>
  </w:style>
  <w:style w:type="paragraph" w:customStyle="1" w:styleId="Tiret4">
    <w:name w:val="Tiret 4"/>
    <w:basedOn w:val="Point4"/>
    <w:rsid w:val="001F2728"/>
    <w:pPr>
      <w:numPr>
        <w:numId w:val="8"/>
      </w:numPr>
    </w:pPr>
  </w:style>
  <w:style w:type="paragraph" w:customStyle="1" w:styleId="PointTriple1">
    <w:name w:val="PointTriple 1"/>
    <w:basedOn w:val="Normal"/>
    <w:rsid w:val="001F272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F2728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1F2728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F2728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F2728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F2728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F272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F272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oint0number">
    <w:name w:val="Point 0 (number)"/>
    <w:basedOn w:val="Normal"/>
    <w:qFormat/>
    <w:rsid w:val="001F272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F2728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F2728"/>
    <w:pPr>
      <w:widowControl/>
      <w:numPr>
        <w:ilvl w:val="6"/>
        <w:numId w:val="10"/>
      </w:numPr>
      <w:tabs>
        <w:tab w:val="clear" w:pos="2551"/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F2728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F2728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F272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F2728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F2728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F2728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F2728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F2728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F2728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F2728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F272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F2728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F2728"/>
  </w:style>
  <w:style w:type="paragraph" w:customStyle="1" w:styleId="Typedudocument">
    <w:name w:val="Type du document"/>
    <w:basedOn w:val="Normal"/>
    <w:next w:val="Titreobjet"/>
    <w:rsid w:val="001F272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F2728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F2728"/>
    <w:pPr>
      <w:spacing w:after="240"/>
    </w:pPr>
  </w:style>
  <w:style w:type="paragraph" w:customStyle="1" w:styleId="Languesfaisantfoi">
    <w:name w:val="Langues faisant foi"/>
    <w:basedOn w:val="Normal"/>
    <w:next w:val="Normal"/>
    <w:rsid w:val="001F272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1F2728"/>
  </w:style>
  <w:style w:type="paragraph" w:customStyle="1" w:styleId="IntrtEEEPagedecouverture">
    <w:name w:val="Intérêt EEE (Page de couverture)"/>
    <w:basedOn w:val="IntrtEEE"/>
    <w:next w:val="Rfrencecroise"/>
    <w:rsid w:val="001F2728"/>
  </w:style>
  <w:style w:type="paragraph" w:customStyle="1" w:styleId="Rfrencecroise">
    <w:name w:val="Référence croisée"/>
    <w:basedOn w:val="Normal"/>
    <w:rsid w:val="001F2728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F2728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F2728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F2728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1F2728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F2728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sidrant">
    <w:name w:val="Considérant"/>
    <w:basedOn w:val="Normal"/>
    <w:rsid w:val="001F272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F2728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F2728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F2728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F272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Volume">
    <w:name w:val="Volume"/>
    <w:basedOn w:val="Normal"/>
    <w:next w:val="Confidentialit"/>
    <w:rsid w:val="001F272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istNumberLevel2">
    <w:name w:val="List Number (Level 2)"/>
    <w:basedOn w:val="Normal"/>
    <w:rsid w:val="001F2728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1F2728"/>
    <w:pPr>
      <w:spacing w:before="120" w:after="120" w:line="360" w:lineRule="auto"/>
      <w:jc w:val="both"/>
    </w:pPr>
    <w:rPr>
      <w:rFonts w:eastAsiaTheme="minorHAnsi"/>
      <w:sz w:val="24"/>
      <w:szCs w:val="22"/>
      <w:lang w:val="it-IT" w:eastAsia="en-US"/>
    </w:rPr>
  </w:style>
  <w:style w:type="character" w:customStyle="1" w:styleId="Sub">
    <w:name w:val="Sub"/>
    <w:uiPriority w:val="1"/>
    <w:qFormat/>
    <w:rsid w:val="001F2728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1F2728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1F2728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1F2728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1F2728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1F2728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1F2728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1F2728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F2728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1F2728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1F2728"/>
    <w:rPr>
      <w:rFonts w:ascii="Times New Roman" w:hAnsi="Times New Roman" w:cs="Times New Roman" w:hint="default"/>
      <w:i/>
      <w:iCs w:val="0"/>
      <w:vertAlign w:val="superscript"/>
    </w:rPr>
  </w:style>
  <w:style w:type="paragraph" w:styleId="ListParagraph">
    <w:name w:val="List Paragraph"/>
    <w:basedOn w:val="Normal"/>
    <w:uiPriority w:val="34"/>
    <w:qFormat/>
    <w:rsid w:val="001F272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RollCallTabs">
    <w:name w:val="RollCallTabs"/>
    <w:basedOn w:val="Normal"/>
    <w:qFormat/>
    <w:rsid w:val="001F2728"/>
    <w:pPr>
      <w:tabs>
        <w:tab w:val="center" w:pos="284"/>
        <w:tab w:val="left" w:pos="426"/>
      </w:tabs>
    </w:pPr>
    <w:rPr>
      <w:snapToGrid w:val="0"/>
      <w:lang w:eastAsia="en-US"/>
    </w:rPr>
  </w:style>
  <w:style w:type="character" w:customStyle="1" w:styleId="SupBoldItalic">
    <w:name w:val="SupBoldItalic"/>
    <w:uiPriority w:val="1"/>
    <w:qFormat/>
    <w:rsid w:val="001F2728"/>
    <w:rPr>
      <w:b/>
      <w:bCs w:val="0"/>
      <w:i/>
      <w:iCs w:val="0"/>
      <w:vertAlign w:val="superscript"/>
    </w:rPr>
  </w:style>
  <w:style w:type="character" w:styleId="Hyperlink">
    <w:name w:val="Hyperlink"/>
    <w:basedOn w:val="DefaultParagraphFont"/>
    <w:uiPriority w:val="99"/>
    <w:rsid w:val="001F2728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1F2728"/>
    <w:pPr>
      <w:spacing w:after="240"/>
    </w:pPr>
  </w:style>
  <w:style w:type="paragraph" w:customStyle="1" w:styleId="PageHeadingNotTOC">
    <w:name w:val="PageHeadingNotTOC"/>
    <w:basedOn w:val="Normal"/>
    <w:rsid w:val="001F27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F272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1F2728"/>
    <w:pPr>
      <w:spacing w:after="480"/>
    </w:pPr>
  </w:style>
  <w:style w:type="paragraph" w:customStyle="1" w:styleId="NormalBoldCenter">
    <w:name w:val="NormalBoldCenter"/>
    <w:basedOn w:val="Normal"/>
    <w:rsid w:val="001F2728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1F272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Votes">
    <w:name w:val="RollCallVotes"/>
    <w:basedOn w:val="Normal"/>
    <w:rsid w:val="001F272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F2728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04A7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04A79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04A79"/>
  </w:style>
  <w:style w:type="paragraph" w:customStyle="1" w:styleId="Langue">
    <w:name w:val="Langue"/>
    <w:basedOn w:val="Normal"/>
    <w:next w:val="Rfrenceinterne"/>
    <w:rsid w:val="00704A79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704A79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704A7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704A79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rsid w:val="00704A79"/>
    <w:rPr>
      <w:rFonts w:ascii="Times New Roman" w:eastAsia="Calibri" w:hAnsi="Times New Roman" w:cs="Times New Roman"/>
      <w:sz w:val="2"/>
      <w:szCs w:val="22"/>
      <w:lang w:val="it-IT" w:eastAsia="en-US"/>
    </w:rPr>
  </w:style>
  <w:style w:type="paragraph" w:customStyle="1" w:styleId="FooterText">
    <w:name w:val="Footer Text"/>
    <w:basedOn w:val="Normal"/>
    <w:rsid w:val="00704A79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704A79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704A7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04A7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04A7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04A7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04A7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04A7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04A7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04A7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704A7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704A7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04A7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704A7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04A79"/>
    <w:rPr>
      <w:color w:val="008000"/>
      <w:shd w:val="clear" w:color="auto" w:fill="auto"/>
    </w:rPr>
  </w:style>
  <w:style w:type="paragraph" w:customStyle="1" w:styleId="Text4">
    <w:name w:val="Text 4"/>
    <w:basedOn w:val="Normal"/>
    <w:rsid w:val="00704A7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704A7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704A7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04A7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04A7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04A7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04A7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704A7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04A7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04A7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04A7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04A7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04A7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04A7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04A7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04A7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04A7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04A7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04A7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04A79"/>
    <w:pPr>
      <w:widowControl/>
      <w:numPr>
        <w:numId w:val="17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704A79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04A79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04A79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04A79"/>
    <w:pPr>
      <w:widowControl/>
      <w:tabs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04A7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04A7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04A7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04A7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04A7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04A7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04A7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04A7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04A7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04A7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04A7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04A7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04A7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04A7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04A7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04A7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2number">
    <w:name w:val="Point 2 (number)"/>
    <w:basedOn w:val="Normal"/>
    <w:qFormat/>
    <w:rsid w:val="00704A79"/>
    <w:pPr>
      <w:widowControl/>
      <w:tabs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04A79"/>
    <w:pPr>
      <w:widowControl/>
      <w:numPr>
        <w:numId w:val="1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704A7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04A7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">
    <w:name w:val="Date d'adoption"/>
    <w:basedOn w:val="Normal"/>
    <w:next w:val="Titreobjet"/>
    <w:rsid w:val="00704A7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704A7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704A7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04A7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04A7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04A7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04A7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04A7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04A7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04A7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04A7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04A7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04A7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04A7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04A7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04A79"/>
    <w:pPr>
      <w:spacing w:before="240"/>
    </w:pPr>
  </w:style>
  <w:style w:type="paragraph" w:customStyle="1" w:styleId="Accordtitre">
    <w:name w:val="Accord titre"/>
    <w:basedOn w:val="Normal"/>
    <w:rsid w:val="00704A7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04A7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04A7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04A7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04A7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04A7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04A7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04A79"/>
    <w:rPr>
      <w:rFonts w:eastAsia="Calibri"/>
      <w:lang w:val="it-IT" w:eastAsia="en-US"/>
    </w:rPr>
  </w:style>
  <w:style w:type="character" w:styleId="EndnoteReference">
    <w:name w:val="endnote reference"/>
    <w:basedOn w:val="DefaultParagraphFont"/>
    <w:uiPriority w:val="99"/>
    <w:unhideWhenUsed/>
    <w:rsid w:val="00704A79"/>
    <w:rPr>
      <w:shd w:val="clear" w:color="auto" w:fill="auto"/>
      <w:vertAlign w:val="superscript"/>
    </w:rPr>
  </w:style>
  <w:style w:type="paragraph" w:styleId="ListBullet">
    <w:name w:val="List Bullet"/>
    <w:basedOn w:val="Normal"/>
    <w:uiPriority w:val="99"/>
    <w:unhideWhenUsed/>
    <w:rsid w:val="00704A79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704A79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04A79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04A79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04A79"/>
    <w:pPr>
      <w:widowControl/>
      <w:tabs>
        <w:tab w:val="num" w:pos="1417"/>
      </w:tabs>
      <w:spacing w:before="120" w:after="120" w:line="360" w:lineRule="auto"/>
      <w:ind w:left="1417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704A79"/>
    <w:pPr>
      <w:widowControl/>
      <w:tabs>
        <w:tab w:val="num" w:pos="1984"/>
      </w:tabs>
      <w:spacing w:before="120" w:after="120" w:line="360" w:lineRule="auto"/>
      <w:ind w:left="198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704A79"/>
    <w:pPr>
      <w:widowControl/>
      <w:tabs>
        <w:tab w:val="num" w:pos="2551"/>
      </w:tabs>
      <w:spacing w:before="120" w:after="120" w:line="360" w:lineRule="auto"/>
      <w:ind w:left="2551" w:hanging="567"/>
      <w:contextualSpacing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uiPriority w:val="99"/>
    <w:rsid w:val="00704A7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704A7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704A7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704A7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704A7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704A7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704A7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704A7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704A7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704A7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704A7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704A7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704A7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704A79"/>
    <w:pPr>
      <w:widowControl/>
      <w:numPr>
        <w:ilvl w:val="1"/>
        <w:numId w:val="30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704A79"/>
    <w:pPr>
      <w:widowControl/>
      <w:numPr>
        <w:ilvl w:val="3"/>
        <w:numId w:val="30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704A79"/>
    <w:pPr>
      <w:widowControl/>
      <w:numPr>
        <w:ilvl w:val="5"/>
        <w:numId w:val="30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704A79"/>
    <w:pPr>
      <w:widowControl/>
      <w:numPr>
        <w:ilvl w:val="7"/>
        <w:numId w:val="30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704A79"/>
    <w:pPr>
      <w:widowControl/>
      <w:numPr>
        <w:ilvl w:val="8"/>
        <w:numId w:val="30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704A79"/>
    <w:pPr>
      <w:widowControl/>
      <w:numPr>
        <w:numId w:val="30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704A79"/>
    <w:pPr>
      <w:widowControl/>
      <w:numPr>
        <w:ilvl w:val="2"/>
        <w:numId w:val="30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704A79"/>
    <w:pPr>
      <w:widowControl/>
      <w:numPr>
        <w:ilvl w:val="4"/>
        <w:numId w:val="30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704A79"/>
    <w:pPr>
      <w:widowControl/>
      <w:numPr>
        <w:ilvl w:val="6"/>
        <w:numId w:val="30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704A79"/>
    <w:pPr>
      <w:widowControl/>
      <w:numPr>
        <w:numId w:val="3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704A79"/>
    <w:pPr>
      <w:widowControl/>
      <w:numPr>
        <w:ilvl w:val="1"/>
        <w:numId w:val="31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704A79"/>
    <w:pPr>
      <w:widowControl/>
      <w:numPr>
        <w:ilvl w:val="2"/>
        <w:numId w:val="31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704A79"/>
    <w:pPr>
      <w:widowControl/>
      <w:numPr>
        <w:ilvl w:val="3"/>
        <w:numId w:val="31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704A79"/>
    <w:pPr>
      <w:widowControl/>
      <w:numPr>
        <w:ilvl w:val="4"/>
        <w:numId w:val="31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704A79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704A79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704A79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704A79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704A79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704A79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704A79"/>
    <w:pPr>
      <w:numPr>
        <w:numId w:val="24"/>
      </w:numPr>
      <w:tabs>
        <w:tab w:val="clear" w:pos="567"/>
        <w:tab w:val="num" w:pos="360"/>
      </w:tabs>
      <w:ind w:left="3118"/>
    </w:pPr>
  </w:style>
  <w:style w:type="paragraph" w:customStyle="1" w:styleId="DashEqual1">
    <w:name w:val="Dash Equal 1"/>
    <w:basedOn w:val="Dash1"/>
    <w:uiPriority w:val="99"/>
    <w:rsid w:val="00704A79"/>
    <w:pPr>
      <w:numPr>
        <w:numId w:val="25"/>
      </w:numPr>
      <w:tabs>
        <w:tab w:val="clear" w:pos="1134"/>
        <w:tab w:val="num" w:pos="360"/>
      </w:tabs>
      <w:ind w:left="3685"/>
    </w:pPr>
  </w:style>
  <w:style w:type="paragraph" w:customStyle="1" w:styleId="DashEqual2">
    <w:name w:val="Dash Equal 2"/>
    <w:basedOn w:val="Dash2"/>
    <w:uiPriority w:val="99"/>
    <w:rsid w:val="00704A79"/>
    <w:pPr>
      <w:numPr>
        <w:numId w:val="26"/>
      </w:numPr>
      <w:tabs>
        <w:tab w:val="clear" w:pos="1701"/>
        <w:tab w:val="num" w:pos="360"/>
      </w:tabs>
      <w:ind w:left="850" w:hanging="850"/>
    </w:pPr>
  </w:style>
  <w:style w:type="paragraph" w:customStyle="1" w:styleId="DashEqual3">
    <w:name w:val="Dash Equal 3"/>
    <w:basedOn w:val="Dash3"/>
    <w:uiPriority w:val="99"/>
    <w:rsid w:val="00704A79"/>
    <w:pPr>
      <w:numPr>
        <w:numId w:val="27"/>
      </w:numPr>
      <w:tabs>
        <w:tab w:val="clear" w:pos="2268"/>
        <w:tab w:val="num" w:pos="360"/>
      </w:tabs>
      <w:ind w:left="850" w:hanging="850"/>
    </w:pPr>
  </w:style>
  <w:style w:type="paragraph" w:customStyle="1" w:styleId="DashEqual4">
    <w:name w:val="Dash Equal 4"/>
    <w:basedOn w:val="Dash4"/>
    <w:uiPriority w:val="99"/>
    <w:rsid w:val="00704A79"/>
    <w:pPr>
      <w:numPr>
        <w:numId w:val="28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uiPriority w:val="99"/>
    <w:rsid w:val="00704A7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704A79"/>
    <w:pPr>
      <w:numPr>
        <w:numId w:val="34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uiPriority w:val="99"/>
    <w:rsid w:val="00704A79"/>
    <w:pPr>
      <w:numPr>
        <w:numId w:val="33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uiPriority w:val="99"/>
    <w:rsid w:val="00704A79"/>
    <w:pPr>
      <w:numPr>
        <w:numId w:val="32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uiPriority w:val="99"/>
    <w:rsid w:val="00704A79"/>
    <w:pPr>
      <w:jc w:val="center"/>
    </w:pPr>
  </w:style>
  <w:style w:type="paragraph" w:customStyle="1" w:styleId="Jardin">
    <w:name w:val="Jardin"/>
    <w:basedOn w:val="Normal"/>
    <w:uiPriority w:val="99"/>
    <w:rsid w:val="00704A7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704A7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704A7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704A7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704A79"/>
    <w:rPr>
      <w:b/>
    </w:rPr>
  </w:style>
  <w:style w:type="paragraph" w:customStyle="1" w:styleId="Annex">
    <w:name w:val="Annex"/>
    <w:basedOn w:val="Normal"/>
    <w:next w:val="Normal"/>
    <w:uiPriority w:val="99"/>
    <w:rsid w:val="00704A7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704A7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704A7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04A7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704A7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704A79"/>
    <w:pPr>
      <w:keepNext/>
      <w:widowControl/>
      <w:numPr>
        <w:numId w:val="35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704A79"/>
    <w:pPr>
      <w:keepNext/>
      <w:widowControl/>
      <w:numPr>
        <w:ilvl w:val="1"/>
        <w:numId w:val="35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704A79"/>
    <w:pPr>
      <w:keepNext/>
      <w:widowControl/>
      <w:numPr>
        <w:ilvl w:val="2"/>
        <w:numId w:val="35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704A79"/>
    <w:pPr>
      <w:keepNext/>
      <w:widowControl/>
      <w:numPr>
        <w:ilvl w:val="3"/>
        <w:numId w:val="35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704A79"/>
  </w:style>
  <w:style w:type="character" w:customStyle="1" w:styleId="Heading1Char1">
    <w:name w:val="Heading 1 Char1"/>
    <w:basedOn w:val="DefaultParagraphFont"/>
    <w:uiPriority w:val="9"/>
    <w:rsid w:val="00704A79"/>
    <w:rPr>
      <w:rFonts w:ascii="Cambria" w:eastAsia="Times New Roman" w:hAnsi="Cambria" w:cs="Times New Roman"/>
      <w:color w:val="365F91"/>
      <w:sz w:val="32"/>
      <w:szCs w:val="32"/>
      <w:lang w:val="it-IT"/>
    </w:rPr>
  </w:style>
  <w:style w:type="paragraph" w:customStyle="1" w:styleId="HeaderSensitivity">
    <w:name w:val="Header Sensitivity"/>
    <w:basedOn w:val="Normal"/>
    <w:rsid w:val="00704A7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704A7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704A79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704A79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04A7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04A79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04A79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04A7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704A7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04A7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04A79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04A79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04A7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04A7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704A7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04A7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04A7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04A79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04A79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04A7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04A7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04A79"/>
  </w:style>
  <w:style w:type="paragraph" w:customStyle="1" w:styleId="StatutPagedecouverture">
    <w:name w:val="Statut (Page de couverture)"/>
    <w:basedOn w:val="Statut"/>
    <w:next w:val="TypedudocumentPagedecouverture"/>
    <w:rsid w:val="00704A79"/>
    <w:rPr>
      <w:rFonts w:eastAsia="Calibri"/>
    </w:rPr>
  </w:style>
  <w:style w:type="paragraph" w:customStyle="1" w:styleId="Accompagnant">
    <w:name w:val="Accompagnant"/>
    <w:basedOn w:val="Normal"/>
    <w:next w:val="Typeacteprincipal"/>
    <w:rsid w:val="00704A79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04A79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04A79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704A7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04A79"/>
  </w:style>
  <w:style w:type="paragraph" w:customStyle="1" w:styleId="ObjetacteprincipalPagedecouverture">
    <w:name w:val="Objet acte principal (Page de couverture)"/>
    <w:basedOn w:val="Objetacteprincipal"/>
    <w:next w:val="Rfrencecroise"/>
    <w:rsid w:val="00704A79"/>
  </w:style>
  <w:style w:type="paragraph" w:customStyle="1" w:styleId="LanguesfaisantfoiPagedecouverture">
    <w:name w:val="Langues faisant foi (Page de couverture)"/>
    <w:basedOn w:val="Normal"/>
    <w:next w:val="Normal"/>
    <w:rsid w:val="00704A7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HeaderDisclaimer">
    <w:name w:val="HeaderDisclaimer"/>
    <w:basedOn w:val="Normal"/>
    <w:qFormat/>
    <w:rsid w:val="00704A79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704A79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704A79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704A79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704A79"/>
    <w:pPr>
      <w:spacing w:before="120"/>
    </w:pPr>
  </w:style>
  <w:style w:type="paragraph" w:customStyle="1" w:styleId="TitlePar3">
    <w:name w:val="TitlePar 3"/>
    <w:basedOn w:val="TitlePar2"/>
    <w:qFormat/>
    <w:rsid w:val="00704A79"/>
    <w:rPr>
      <w:b w:val="0"/>
      <w:i/>
    </w:rPr>
  </w:style>
  <w:style w:type="paragraph" w:customStyle="1" w:styleId="SubsectionTitle">
    <w:name w:val="SubsectionTitle"/>
    <w:basedOn w:val="SectionTitle"/>
    <w:qFormat/>
    <w:rsid w:val="00704A79"/>
    <w:pPr>
      <w:keepNext w:val="0"/>
      <w:spacing w:after="240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704A79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704A79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704A79"/>
    <w:rPr>
      <w:b/>
    </w:rPr>
  </w:style>
  <w:style w:type="paragraph" w:customStyle="1" w:styleId="NumTitle">
    <w:name w:val="NumTitle"/>
    <w:basedOn w:val="Normal"/>
    <w:qFormat/>
    <w:rsid w:val="00704A79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704A79"/>
    <w:rPr>
      <w:rFonts w:eastAsia="Calibri"/>
    </w:rPr>
  </w:style>
  <w:style w:type="paragraph" w:customStyle="1" w:styleId="Text0">
    <w:name w:val="Text 0"/>
    <w:basedOn w:val="Normal"/>
    <w:qFormat/>
    <w:rsid w:val="00704A79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704A79"/>
    <w:pPr>
      <w:spacing w:before="360" w:after="120"/>
    </w:pPr>
    <w:rPr>
      <w:rFonts w:eastAsia="Calibri"/>
    </w:rPr>
  </w:style>
  <w:style w:type="paragraph" w:customStyle="1" w:styleId="PartNum">
    <w:name w:val="PartNum"/>
    <w:basedOn w:val="PartTitle"/>
    <w:qFormat/>
    <w:rsid w:val="00704A79"/>
    <w:pPr>
      <w:keepNext w:val="0"/>
      <w:pageBreakBefore w:val="0"/>
      <w:spacing w:before="360" w:after="120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704A79"/>
    <w:pPr>
      <w:keepNext w:val="0"/>
      <w:spacing w:before="360" w:after="120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704A79"/>
    <w:pPr>
      <w:spacing w:before="120" w:after="360"/>
    </w:pPr>
  </w:style>
  <w:style w:type="paragraph" w:customStyle="1" w:styleId="Point6">
    <w:name w:val="Point 6"/>
    <w:basedOn w:val="Point5"/>
    <w:qFormat/>
    <w:rsid w:val="00704A79"/>
    <w:pPr>
      <w:ind w:left="4253"/>
      <w:jc w:val="both"/>
    </w:pPr>
  </w:style>
  <w:style w:type="paragraph" w:styleId="Revision">
    <w:name w:val="Revision"/>
    <w:hidden/>
    <w:uiPriority w:val="99"/>
    <w:semiHidden/>
    <w:rsid w:val="00704A79"/>
    <w:rPr>
      <w:rFonts w:eastAsia="Calibri"/>
      <w:sz w:val="24"/>
      <w:szCs w:val="22"/>
      <w:lang w:val="it-IT" w:eastAsia="en-US"/>
    </w:rPr>
  </w:style>
  <w:style w:type="character" w:customStyle="1" w:styleId="Hyperlink1">
    <w:name w:val="Hyperlink1"/>
    <w:basedOn w:val="DefaultParagraphFont"/>
    <w:unhideWhenUsed/>
    <w:rsid w:val="00704A7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4A7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704A79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704A79"/>
    <w:rPr>
      <w:rFonts w:ascii="Cambria" w:eastAsia="Times New Roman" w:hAnsi="Cambria" w:cs="Times New Roman"/>
      <w:color w:val="365F91"/>
      <w:sz w:val="26"/>
      <w:szCs w:val="26"/>
      <w:lang w:val="it-IT"/>
    </w:rPr>
  </w:style>
  <w:style w:type="character" w:customStyle="1" w:styleId="Heading3Char1">
    <w:name w:val="Heading 3 Char1"/>
    <w:basedOn w:val="DefaultParagraphFont"/>
    <w:uiPriority w:val="9"/>
    <w:semiHidden/>
    <w:rsid w:val="00704A79"/>
    <w:rPr>
      <w:rFonts w:ascii="Cambria" w:eastAsia="Times New Roman" w:hAnsi="Cambria" w:cs="Times New Roman"/>
      <w:color w:val="243F60"/>
      <w:sz w:val="24"/>
      <w:szCs w:val="24"/>
      <w:lang w:val="it-IT"/>
    </w:rPr>
  </w:style>
  <w:style w:type="character" w:customStyle="1" w:styleId="Heading4Char1">
    <w:name w:val="Heading 4 Char1"/>
    <w:basedOn w:val="DefaultParagraphFont"/>
    <w:uiPriority w:val="9"/>
    <w:semiHidden/>
    <w:rsid w:val="00704A79"/>
    <w:rPr>
      <w:rFonts w:ascii="Cambria" w:eastAsia="Times New Roman" w:hAnsi="Cambria" w:cs="Times New Roman"/>
      <w:i/>
      <w:iCs/>
      <w:color w:val="365F91"/>
      <w:sz w:val="24"/>
      <w:lang w:val="it-IT"/>
    </w:rPr>
  </w:style>
  <w:style w:type="character" w:customStyle="1" w:styleId="Hyperlink2">
    <w:name w:val="Hyperlink2"/>
    <w:basedOn w:val="DefaultParagraphFont"/>
    <w:uiPriority w:val="99"/>
    <w:unhideWhenUsed/>
    <w:rsid w:val="00704A79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704A79"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704A79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704A79"/>
    <w:rPr>
      <w:rFonts w:eastAsia="Calibri" w:cs="Arial"/>
      <w:sz w:val="24"/>
      <w:szCs w:val="22"/>
      <w:lang w:val="it-IT" w:eastAsia="en-US"/>
    </w:rPr>
  </w:style>
  <w:style w:type="paragraph" w:styleId="NormalIndent">
    <w:name w:val="Normal Indent"/>
    <w:basedOn w:val="Normal"/>
    <w:unhideWhenUsed/>
    <w:rsid w:val="00704A79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704A79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NormalConseil">
    <w:name w:val="NormalConseil"/>
    <w:basedOn w:val="Normal"/>
    <w:rsid w:val="00704A79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704A79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704A79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704A79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704A79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704A79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704A7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704A7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04A7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04A7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pj">
    <w:name w:val="p.j."/>
    <w:basedOn w:val="Normal"/>
    <w:link w:val="pjChar"/>
    <w:rsid w:val="00704A79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704A79"/>
    <w:rPr>
      <w:rFonts w:ascii="Times New Roman" w:eastAsia="Calibri" w:hAnsi="Times New Roman" w:cs="Times New Roman"/>
      <w:sz w:val="24"/>
      <w:szCs w:val="22"/>
      <w:lang w:val="it-IT" w:eastAsia="en-US"/>
    </w:rPr>
  </w:style>
  <w:style w:type="paragraph" w:customStyle="1" w:styleId="nbbordered">
    <w:name w:val="nb bordered"/>
    <w:basedOn w:val="Normal"/>
    <w:link w:val="nbborderedChar"/>
    <w:rsid w:val="00704A7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704A79"/>
    <w:rPr>
      <w:rFonts w:ascii="Times New Roman" w:eastAsia="Calibri" w:hAnsi="Times New Roman" w:cs="Times New Roman"/>
      <w:b/>
      <w:sz w:val="24"/>
      <w:szCs w:val="22"/>
      <w:lang w:val="it-IT" w:eastAsia="en-US"/>
    </w:rPr>
  </w:style>
  <w:style w:type="character" w:customStyle="1" w:styleId="HeaderCouncilChar">
    <w:name w:val="Header Council Char"/>
    <w:basedOn w:val="DefaultParagraphFont"/>
    <w:link w:val="HeaderCouncil"/>
    <w:rsid w:val="00704A79"/>
    <w:rPr>
      <w:rFonts w:eastAsia="Calibri"/>
      <w:sz w:val="2"/>
      <w:szCs w:val="22"/>
      <w:lang w:val="it-IT" w:eastAsia="en-US"/>
    </w:rPr>
  </w:style>
  <w:style w:type="character" w:customStyle="1" w:styleId="FooterCouncilChar">
    <w:name w:val="Footer Council Char"/>
    <w:basedOn w:val="DefaultParagraphFont"/>
    <w:link w:val="FooterCouncil"/>
    <w:rsid w:val="00704A79"/>
    <w:rPr>
      <w:rFonts w:eastAsia="Calibri"/>
      <w:sz w:val="2"/>
      <w:szCs w:val="22"/>
      <w:lang w:val="it-IT" w:eastAsia="en-US"/>
    </w:rPr>
  </w:style>
  <w:style w:type="numbering" w:customStyle="1" w:styleId="NoList2">
    <w:name w:val="No List2"/>
    <w:next w:val="NoList"/>
    <w:semiHidden/>
    <w:rsid w:val="00704A79"/>
  </w:style>
  <w:style w:type="numbering" w:customStyle="1" w:styleId="NoList3">
    <w:name w:val="No List3"/>
    <w:next w:val="NoList"/>
    <w:uiPriority w:val="99"/>
    <w:semiHidden/>
    <w:unhideWhenUsed/>
    <w:rsid w:val="00704A79"/>
  </w:style>
  <w:style w:type="character" w:styleId="Emphasis">
    <w:name w:val="Emphasis"/>
    <w:basedOn w:val="DefaultParagraphFont"/>
    <w:uiPriority w:val="20"/>
    <w:qFormat/>
    <w:rsid w:val="00704A79"/>
    <w:rPr>
      <w:i/>
      <w:iCs/>
    </w:rPr>
  </w:style>
  <w:style w:type="character" w:customStyle="1" w:styleId="AnnexetitreexposChar">
    <w:name w:val="Annexe titre (exposé) Char"/>
    <w:basedOn w:val="DefaultParagraphFont"/>
    <w:link w:val="Annexetitreexpos"/>
    <w:rsid w:val="00704A79"/>
    <w:rPr>
      <w:rFonts w:eastAsia="Calibri"/>
      <w:b/>
      <w:sz w:val="24"/>
      <w:szCs w:val="22"/>
      <w:u w:val="single"/>
      <w:lang w:val="it-IT" w:eastAsia="en-US"/>
    </w:rPr>
  </w:style>
  <w:style w:type="paragraph" w:customStyle="1" w:styleId="Default">
    <w:name w:val="Default"/>
    <w:uiPriority w:val="99"/>
    <w:rsid w:val="00704A7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it-IT" w:eastAsia="en-US"/>
    </w:rPr>
  </w:style>
  <w:style w:type="paragraph" w:customStyle="1" w:styleId="title-bold">
    <w:name w:val="title-bold"/>
    <w:basedOn w:val="Normal"/>
    <w:rsid w:val="00704A79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704A79"/>
    <w:rPr>
      <w:rFonts w:ascii="Times New Roman" w:hAnsi="Times New Roman" w:cs="Times New Roman"/>
      <w:sz w:val="20"/>
      <w:szCs w:val="20"/>
      <w:lang w:val="it-IT"/>
    </w:rPr>
  </w:style>
  <w:style w:type="paragraph" w:customStyle="1" w:styleId="paragraph">
    <w:name w:val="paragraph"/>
    <w:basedOn w:val="Normal"/>
    <w:uiPriority w:val="1"/>
    <w:rsid w:val="00704A79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704A79"/>
  </w:style>
  <w:style w:type="character" w:customStyle="1" w:styleId="eop">
    <w:name w:val="eop"/>
    <w:basedOn w:val="DefaultParagraphFont"/>
    <w:rsid w:val="00704A79"/>
  </w:style>
  <w:style w:type="numbering" w:customStyle="1" w:styleId="NoList12">
    <w:name w:val="No List12"/>
    <w:next w:val="NoList"/>
    <w:uiPriority w:val="99"/>
    <w:semiHidden/>
    <w:unhideWhenUsed/>
    <w:rsid w:val="00704A79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704A79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04A79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704A79"/>
  </w:style>
  <w:style w:type="paragraph" w:customStyle="1" w:styleId="sti-art">
    <w:name w:val="sti-art"/>
    <w:basedOn w:val="Normal"/>
    <w:rsid w:val="00704A79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704A79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704A79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704A79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704A79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704A7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04A7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04A7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04A7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04A7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04A7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04A7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04A79"/>
    <w:pPr>
      <w:widowControl/>
      <w:numPr>
        <w:numId w:val="36"/>
      </w:numPr>
      <w:tabs>
        <w:tab w:val="clear" w:pos="4252"/>
        <w:tab w:val="num" w:pos="360"/>
        <w:tab w:val="num" w:pos="1701"/>
      </w:tabs>
      <w:spacing w:before="120" w:after="120" w:line="360" w:lineRule="auto"/>
      <w:ind w:left="1701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04A79"/>
    <w:pPr>
      <w:widowControl/>
      <w:numPr>
        <w:numId w:val="37"/>
      </w:numPr>
      <w:tabs>
        <w:tab w:val="clear" w:pos="4819"/>
        <w:tab w:val="num" w:pos="360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04A79"/>
    <w:pPr>
      <w:widowControl/>
      <w:numPr>
        <w:numId w:val="38"/>
      </w:numPr>
      <w:tabs>
        <w:tab w:val="clear" w:pos="5386"/>
        <w:tab w:val="num" w:pos="360"/>
        <w:tab w:val="num" w:pos="2835"/>
      </w:tabs>
      <w:spacing w:before="120" w:after="120" w:line="360" w:lineRule="auto"/>
      <w:ind w:left="2835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04A79"/>
    <w:pPr>
      <w:widowControl/>
      <w:numPr>
        <w:numId w:val="39"/>
      </w:numPr>
      <w:tabs>
        <w:tab w:val="clear" w:pos="4252"/>
        <w:tab w:val="num" w:pos="360"/>
        <w:tab w:val="num" w:pos="567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04A79"/>
    <w:pPr>
      <w:widowControl/>
      <w:numPr>
        <w:numId w:val="40"/>
      </w:numPr>
      <w:tabs>
        <w:tab w:val="clear" w:pos="4819"/>
        <w:tab w:val="num" w:pos="360"/>
        <w:tab w:val="num" w:pos="567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04A79"/>
    <w:pPr>
      <w:widowControl/>
      <w:numPr>
        <w:numId w:val="41"/>
      </w:numPr>
      <w:tabs>
        <w:tab w:val="clear" w:pos="5386"/>
        <w:tab w:val="num" w:pos="360"/>
        <w:tab w:val="num" w:pos="1417"/>
      </w:tabs>
      <w:spacing w:before="120" w:after="120" w:line="360" w:lineRule="auto"/>
      <w:ind w:left="1417" w:firstLine="0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04A7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04A7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04A7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04A7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04A7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04A7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04A7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04A7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04A7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04A7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04A7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04A7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04A7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04A7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04A7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04A7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04A7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04A7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04A7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04A7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04A7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04A7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04A7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04A7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04A7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04A7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04A7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it-IT" w:eastAsia="en-US"/>
    </w:rPr>
  </w:style>
  <w:style w:type="paragraph" w:customStyle="1" w:styleId="CommentFwdQuotedText">
    <w:name w:val="CommentFwdQuotedText"/>
    <w:basedOn w:val="Normal"/>
    <w:rsid w:val="00704A7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04A7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04A79"/>
    <w:rPr>
      <w:b/>
      <w:i/>
    </w:rPr>
  </w:style>
  <w:style w:type="character" w:customStyle="1" w:styleId="diff-tte-removed">
    <w:name w:val="diff-tte-removed"/>
    <w:basedOn w:val="DefaultParagraphFont"/>
    <w:rsid w:val="00704A79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704A79"/>
    <w:rPr>
      <w:rFonts w:ascii="Cambria" w:eastAsia="Times New Roman" w:hAnsi="Cambria" w:cs="Times New Roman"/>
      <w:color w:val="365F91"/>
      <w:sz w:val="24"/>
      <w:lang w:val="it-IT"/>
    </w:rPr>
  </w:style>
  <w:style w:type="character" w:customStyle="1" w:styleId="Heading6Char1">
    <w:name w:val="Heading 6 Char1"/>
    <w:basedOn w:val="DefaultParagraphFont"/>
    <w:uiPriority w:val="9"/>
    <w:semiHidden/>
    <w:rsid w:val="00704A79"/>
    <w:rPr>
      <w:rFonts w:ascii="Cambria" w:eastAsia="Times New Roman" w:hAnsi="Cambria" w:cs="Times New Roman"/>
      <w:color w:val="243F60"/>
      <w:sz w:val="24"/>
      <w:lang w:val="it-IT"/>
    </w:rPr>
  </w:style>
  <w:style w:type="character" w:customStyle="1" w:styleId="Heading7Char1">
    <w:name w:val="Heading 7 Char1"/>
    <w:basedOn w:val="DefaultParagraphFont"/>
    <w:uiPriority w:val="9"/>
    <w:semiHidden/>
    <w:rsid w:val="00704A79"/>
    <w:rPr>
      <w:rFonts w:ascii="Cambria" w:eastAsia="Times New Roman" w:hAnsi="Cambria" w:cs="Times New Roman"/>
      <w:i/>
      <w:iCs/>
      <w:color w:val="243F60"/>
      <w:sz w:val="24"/>
      <w:lang w:val="it-IT"/>
    </w:rPr>
  </w:style>
  <w:style w:type="paragraph" w:customStyle="1" w:styleId="index">
    <w:name w:val="index"/>
    <w:basedOn w:val="Normal"/>
    <w:rsid w:val="00704A79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704A79"/>
  </w:style>
  <w:style w:type="numbering" w:customStyle="1" w:styleId="NoList14">
    <w:name w:val="No List14"/>
    <w:next w:val="NoList"/>
    <w:uiPriority w:val="99"/>
    <w:semiHidden/>
    <w:unhideWhenUsed/>
    <w:rsid w:val="00704A79"/>
  </w:style>
  <w:style w:type="numbering" w:customStyle="1" w:styleId="NoList1111">
    <w:name w:val="No List1111"/>
    <w:next w:val="NoList"/>
    <w:uiPriority w:val="99"/>
    <w:semiHidden/>
    <w:unhideWhenUsed/>
    <w:rsid w:val="00704A79"/>
  </w:style>
  <w:style w:type="numbering" w:customStyle="1" w:styleId="NoList21">
    <w:name w:val="No List21"/>
    <w:next w:val="NoList"/>
    <w:semiHidden/>
    <w:rsid w:val="00704A79"/>
  </w:style>
  <w:style w:type="numbering" w:customStyle="1" w:styleId="NoList31">
    <w:name w:val="No List31"/>
    <w:next w:val="NoList"/>
    <w:uiPriority w:val="99"/>
    <w:semiHidden/>
    <w:unhideWhenUsed/>
    <w:rsid w:val="00704A79"/>
  </w:style>
  <w:style w:type="numbering" w:customStyle="1" w:styleId="NoList121">
    <w:name w:val="No List121"/>
    <w:next w:val="NoList"/>
    <w:uiPriority w:val="99"/>
    <w:semiHidden/>
    <w:unhideWhenUsed/>
    <w:rsid w:val="00704A79"/>
  </w:style>
  <w:style w:type="numbering" w:customStyle="1" w:styleId="NoList41">
    <w:name w:val="No List41"/>
    <w:next w:val="NoList"/>
    <w:uiPriority w:val="99"/>
    <w:semiHidden/>
    <w:unhideWhenUsed/>
    <w:rsid w:val="00704A79"/>
  </w:style>
  <w:style w:type="numbering" w:customStyle="1" w:styleId="NoList131">
    <w:name w:val="No List131"/>
    <w:next w:val="NoList"/>
    <w:uiPriority w:val="99"/>
    <w:semiHidden/>
    <w:unhideWhenUsed/>
    <w:rsid w:val="00704A79"/>
  </w:style>
  <w:style w:type="character" w:styleId="FollowedHyperlink">
    <w:name w:val="FollowedHyperlink"/>
    <w:basedOn w:val="DefaultParagraphFont"/>
    <w:rsid w:val="00704A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183/oj" TargetMode="External"/><Relationship Id="rId1" Type="http://schemas.openxmlformats.org/officeDocument/2006/relationships/hyperlink" Target="http://data.europa.eu/eli/reg/2024/11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12C7D-A64F-44BE-AB7F-1EFE0ECE4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814</Words>
  <Characters>5157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</cp:lastModifiedBy>
  <cp:revision>4</cp:revision>
  <cp:lastPrinted>2004-11-19T15:42:00Z</cp:lastPrinted>
  <dcterms:created xsi:type="dcterms:W3CDTF">2024-02-29T14:17:00Z</dcterms:created>
  <dcterms:modified xsi:type="dcterms:W3CDTF">2024-04-30T15:32:00Z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A9-0038/2023</vt:lpwstr>
  </property>
  <property fmtid="{D5CDD505-2E9C-101B-9397-08002B2CF9AE}" pid="4" name="&lt;Type&gt;">
    <vt:lpwstr>RR</vt:lpwstr>
  </property>
</Properties>
</file>