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6293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6293B" w:rsidRDefault="001200E0">
            <w:pPr>
              <w:pStyle w:val="EPName"/>
            </w:pPr>
            <w:r>
              <w:t>Európsky parlament</w:t>
            </w:r>
          </w:p>
          <w:p w:rsidR="00B6293B" w:rsidRDefault="001200E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6293B" w:rsidRDefault="001200E0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293B" w:rsidRDefault="00B6293B">
      <w:pPr>
        <w:pStyle w:val="LineTop"/>
      </w:pPr>
    </w:p>
    <w:p w:rsidR="00B6293B" w:rsidRDefault="001200E0">
      <w:pPr>
        <w:pStyle w:val="EPBodyTA1"/>
      </w:pPr>
      <w:r>
        <w:t>PRIJATÉ TEXTY</w:t>
      </w:r>
    </w:p>
    <w:p w:rsidR="00B6293B" w:rsidRDefault="00B6293B">
      <w:pPr>
        <w:pStyle w:val="LineBottom"/>
      </w:pPr>
    </w:p>
    <w:p w:rsidR="00B6293B" w:rsidRDefault="001200E0">
      <w:pPr>
        <w:pStyle w:val="ATHeading1"/>
      </w:pPr>
      <w:bookmarkStart w:id="0" w:name="TANumber"/>
      <w:r>
        <w:t>P9_TA(2024)0117</w:t>
      </w:r>
      <w:bookmarkEnd w:id="0"/>
    </w:p>
    <w:p w:rsidR="00B6293B" w:rsidRDefault="001200E0">
      <w:pPr>
        <w:pStyle w:val="ATHeading2"/>
      </w:pPr>
      <w:r>
        <w:t>Európsky rámec digitálnej identity</w:t>
      </w:r>
    </w:p>
    <w:p w:rsidR="00B6293B" w:rsidRDefault="001200E0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1" w:name="DocNumber"/>
      <w:r>
        <w:rPr>
          <w:i/>
        </w:rPr>
        <w:instrText>A9-0038/2023</w:instrText>
      </w:r>
      <w:bookmarkEnd w:id="1"/>
      <w:r>
        <w:rPr>
          <w:i/>
        </w:rPr>
        <w:instrText xml:space="preserve"> - Spravodajkyňa: Romana </w:instrText>
      </w:r>
      <w:proofErr w:type="spellStart"/>
      <w:r>
        <w:rPr>
          <w:i/>
        </w:rPr>
        <w:instrText>Jerković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6293B" w:rsidRDefault="001200E0">
      <w:pPr>
        <w:rPr>
          <w:vanish/>
        </w:rPr>
      </w:pPr>
      <w:bookmarkStart w:id="2" w:name="Commission"/>
      <w:r>
        <w:rPr>
          <w:vanish/>
        </w:rPr>
        <w:t>Výbor pre priemysel, výskum a energetiku</w:t>
      </w:r>
      <w:bookmarkEnd w:id="2"/>
    </w:p>
    <w:p w:rsidR="00B6293B" w:rsidRDefault="001200E0">
      <w:pPr>
        <w:rPr>
          <w:vanish/>
        </w:rPr>
      </w:pPr>
      <w:bookmarkStart w:id="3" w:name="PE"/>
      <w:r>
        <w:rPr>
          <w:vanish/>
        </w:rPr>
        <w:t>PE732.707</w:t>
      </w:r>
      <w:bookmarkEnd w:id="3"/>
    </w:p>
    <w:p w:rsidR="00B6293B" w:rsidRDefault="001200E0">
      <w:pPr>
        <w:pStyle w:val="ATHeading3"/>
      </w:pPr>
      <w:bookmarkStart w:id="4" w:name="Sujet"/>
      <w:r>
        <w:t xml:space="preserve">Legislatívne uznesenie </w:t>
      </w:r>
      <w:r>
        <w:t>Európskeho parlamentu z 29. februára 2024 o návrhu nariadenia Európskeho parlamentu a Rady, ktorým sa mení nariadenie (EÚ) č. 910/2014, pokiaľ ide o stanovenie rámca pre európsku digitálnu identitu</w:t>
      </w:r>
      <w:bookmarkEnd w:id="4"/>
      <w:r>
        <w:t xml:space="preserve"> </w:t>
      </w:r>
      <w:bookmarkStart w:id="5" w:name="References"/>
      <w:r>
        <w:t>(COM(2021)0281 – C9-0200/2021 – 2021/0136(COD))</w:t>
      </w:r>
      <w:bookmarkEnd w:id="5"/>
    </w:p>
    <w:p w:rsidR="00B6293B" w:rsidRDefault="001200E0">
      <w:pPr>
        <w:pStyle w:val="NormalBold"/>
      </w:pPr>
      <w:bookmarkStart w:id="6" w:name="TextBodyBegin"/>
      <w:bookmarkEnd w:id="6"/>
      <w:r>
        <w:t>(Riadny le</w:t>
      </w:r>
      <w:r>
        <w:t>gislatívny postup: prvé čítanie)</w:t>
      </w:r>
    </w:p>
    <w:p w:rsidR="00B6293B" w:rsidRDefault="001200E0">
      <w:pPr>
        <w:pStyle w:val="EPComma"/>
      </w:pPr>
      <w:r>
        <w:rPr>
          <w:i/>
        </w:rPr>
        <w:t>Európsky parlament</w:t>
      </w:r>
      <w:r>
        <w:t>,</w:t>
      </w:r>
    </w:p>
    <w:p w:rsidR="00B6293B" w:rsidRDefault="001200E0">
      <w:pPr>
        <w:pStyle w:val="NormalHanging12a"/>
      </w:pPr>
      <w:r>
        <w:t>–</w:t>
      </w:r>
      <w:r>
        <w:tab/>
        <w:t>so zreteľom na návrh Komisie pre Európsky parlament a Radu (COM(2021)0281),</w:t>
      </w:r>
    </w:p>
    <w:p w:rsidR="00B6293B" w:rsidRDefault="001200E0">
      <w:pPr>
        <w:pStyle w:val="NormalHanging12a"/>
      </w:pPr>
      <w:r>
        <w:t>–</w:t>
      </w:r>
      <w:r>
        <w:tab/>
        <w:t>so zreteľom na článok 294 ods. 2 a článok 114 Zmluvy o fungovaní Európskej únie, v súlade s ktorými Komisia predložila návr</w:t>
      </w:r>
      <w:r>
        <w:t>h Európskemu parlamentu (C9</w:t>
      </w:r>
      <w:r>
        <w:noBreakHyphen/>
        <w:t>0200/2021),</w:t>
      </w:r>
    </w:p>
    <w:p w:rsidR="00B6293B" w:rsidRDefault="001200E0">
      <w:pPr>
        <w:pStyle w:val="NormalHanging12a"/>
      </w:pPr>
      <w:r>
        <w:t>–</w:t>
      </w:r>
      <w:r>
        <w:tab/>
        <w:t>so zreteľom na článok 294 ods. 3 Zmluvy o fungovaní Európskej únie,</w:t>
      </w:r>
    </w:p>
    <w:p w:rsidR="00B6293B" w:rsidRDefault="001200E0">
      <w:pPr>
        <w:pStyle w:val="NormalHanging12a"/>
      </w:pPr>
      <w:r>
        <w:t>–</w:t>
      </w:r>
      <w:r>
        <w:tab/>
        <w:t>so zreteľom na stanovisko Európskeho hospodárskeho a sociálneho výboru z 20. októbra 2021</w:t>
      </w:r>
      <w:r>
        <w:rPr>
          <w:rStyle w:val="FootnoteReference"/>
        </w:rPr>
        <w:footnoteReference w:id="1"/>
      </w:r>
      <w:r>
        <w:t>,</w:t>
      </w:r>
    </w:p>
    <w:p w:rsidR="00B6293B" w:rsidRDefault="001200E0">
      <w:pPr>
        <w:pStyle w:val="NormalHanging12a"/>
      </w:pPr>
      <w:r>
        <w:t>–</w:t>
      </w:r>
      <w:r>
        <w:tab/>
        <w:t xml:space="preserve">so zreteľom na stanovisko Výboru regiónov z 13. </w:t>
      </w:r>
      <w:r>
        <w:t>októbra 2021</w:t>
      </w:r>
      <w:r>
        <w:rPr>
          <w:rStyle w:val="FootnoteReference"/>
        </w:rPr>
        <w:footnoteReference w:id="2"/>
      </w:r>
      <w:r>
        <w:t>,</w:t>
      </w:r>
    </w:p>
    <w:p w:rsidR="00B6293B" w:rsidRDefault="001200E0"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zo 6. decembra 2023, schváliť pozíciu Európskeho parlamentu v súlade s článkom 294 ods.</w:t>
      </w:r>
      <w:r>
        <w:t xml:space="preserve"> 4 Zmluvy o fungovaní Európskej únie,</w:t>
      </w:r>
    </w:p>
    <w:p w:rsidR="00B6293B" w:rsidRDefault="001200E0">
      <w:pPr>
        <w:pStyle w:val="NormalHanging12a"/>
      </w:pPr>
      <w:r>
        <w:t>–</w:t>
      </w:r>
      <w:r>
        <w:tab/>
        <w:t>so zreteľom na článok 59 rokovacieho poriadku,</w:t>
      </w:r>
    </w:p>
    <w:p w:rsidR="00B6293B" w:rsidRDefault="001200E0">
      <w:pPr>
        <w:pStyle w:val="NormalHanging12a"/>
      </w:pPr>
      <w:r>
        <w:t>–</w:t>
      </w:r>
      <w:r>
        <w:tab/>
        <w:t>so zreteľom na stanoviská Výboru pre vnútorný trh a ochranu spotrebiteľa, Výboru pre právne veci a Výboru pre občianske slobody, spravodlivosť a vnútorné veci,</w:t>
      </w:r>
    </w:p>
    <w:p w:rsidR="00B6293B" w:rsidRDefault="001200E0">
      <w:pPr>
        <w:pStyle w:val="NormalHanging12a"/>
      </w:pPr>
      <w:r>
        <w:t>–</w:t>
      </w:r>
      <w:r>
        <w:tab/>
        <w:t>so zr</w:t>
      </w:r>
      <w:r>
        <w:t>eteľom na správu Výboru pre priemysel, výskum a energetiku (A9-0038/2023),</w:t>
      </w:r>
    </w:p>
    <w:p w:rsidR="00B6293B" w:rsidRDefault="001200E0">
      <w:pPr>
        <w:pStyle w:val="NormalHanging12a"/>
      </w:pPr>
      <w:r>
        <w:lastRenderedPageBreak/>
        <w:t>1.</w:t>
      </w:r>
      <w:r>
        <w:tab/>
        <w:t>prijíma nasledujúcu pozíciu v prvom čítaní;</w:t>
      </w:r>
    </w:p>
    <w:p w:rsidR="00B6293B" w:rsidRDefault="001200E0">
      <w:pPr>
        <w:pStyle w:val="NormalHanging12a"/>
      </w:pPr>
      <w:r>
        <w:t>2.</w:t>
      </w:r>
      <w:r>
        <w:tab/>
        <w:t>berie na vedomie vyhlásenia Komisie uvedené v prílohe k tomuto uzneseniu;</w:t>
      </w:r>
    </w:p>
    <w:p w:rsidR="00B6293B" w:rsidRDefault="001200E0">
      <w:pPr>
        <w:pStyle w:val="NormalHanging12a"/>
      </w:pPr>
      <w:r>
        <w:t>3.</w:t>
      </w:r>
      <w:r>
        <w:tab/>
        <w:t>žiada Komisiu, aby mu vec znovu predložila, ak nahrádz</w:t>
      </w:r>
      <w:r>
        <w:t>a, podstatne mení alebo má v úmysle podstatne zmeniť svoj návrh;</w:t>
      </w:r>
    </w:p>
    <w:p w:rsidR="00B6293B" w:rsidRDefault="001200E0">
      <w:pPr>
        <w:pStyle w:val="NormalHanging12a"/>
      </w:pPr>
      <w:r>
        <w:t>4.</w:t>
      </w:r>
      <w:r>
        <w:tab/>
        <w:t>poveruje svoju predsedníčku, aby postúpila túto pozíciu Rade, Komisii a národným parlamentom.</w:t>
      </w:r>
    </w:p>
    <w:p w:rsidR="00B6293B" w:rsidRDefault="00B6293B">
      <w:pPr>
        <w:widowControl/>
        <w:sectPr w:rsidR="00B629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B6293B" w:rsidRDefault="001200E0">
      <w:pPr>
        <w:pStyle w:val="Institutionquiagit"/>
        <w:keepNext w:val="0"/>
        <w:spacing w:before="120"/>
        <w:jc w:val="left"/>
        <w:outlineLvl w:val="0"/>
        <w:rPr>
          <w:b/>
        </w:rPr>
      </w:pPr>
      <w:r>
        <w:rPr>
          <w:b/>
        </w:rPr>
        <w:lastRenderedPageBreak/>
        <w:t>P9_TC1-COD(2021)0136</w:t>
      </w:r>
    </w:p>
    <w:p w:rsidR="00B6293B" w:rsidRDefault="001200E0">
      <w:pPr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29. februára 2024 na účely prijatia nariadenia Európskeho parlamentu a Rady (EÚ) 2024/..., </w:t>
      </w:r>
      <w:r>
        <w:rPr>
          <w:rFonts w:eastAsia="Calibri"/>
          <w:b/>
          <w:szCs w:val="22"/>
          <w:lang w:eastAsia="en-US"/>
        </w:rPr>
        <w:t xml:space="preserve">ktorým sa mení nariadenie (EÚ) č. 910/2014, pokiaľ ide o zriadenie </w:t>
      </w:r>
      <w:r>
        <w:rPr>
          <w:rFonts w:eastAsia="Calibri"/>
          <w:b/>
          <w:szCs w:val="22"/>
          <w:lang w:eastAsia="en-US"/>
        </w:rPr>
        <w:t>európskeho rámca digitálnej identity</w:t>
      </w:r>
    </w:p>
    <w:p w:rsidR="00B6293B" w:rsidRDefault="00B6293B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</w:p>
    <w:p w:rsidR="00B6293B" w:rsidRDefault="001200E0">
      <w:r>
        <w:rPr>
          <w:i/>
          <w:iCs/>
        </w:rPr>
        <w:t>(Keďže bola dosiahnutá dohoda medzi Európskym parlamentom a Radou, pozícia Európskeho parlamentu zodpovedá záverečnému legislatívnemu aktu, nariadeniu (EÚ) 2024/1183.)</w:t>
      </w:r>
    </w:p>
    <w:p w:rsidR="00B6293B" w:rsidRDefault="00B6293B">
      <w:pPr>
        <w:widowControl/>
        <w:spacing w:before="120" w:after="120" w:line="360" w:lineRule="auto"/>
        <w:ind w:left="851" w:hanging="851"/>
        <w:rPr>
          <w:rFonts w:eastAsia="Calibri"/>
          <w:szCs w:val="22"/>
          <w:lang w:eastAsia="en-US"/>
        </w:rPr>
      </w:pPr>
    </w:p>
    <w:p w:rsidR="00B6293B" w:rsidRDefault="001200E0">
      <w:pPr>
        <w:widowControl/>
      </w:pPr>
      <w:r>
        <w:br w:type="page"/>
      </w:r>
    </w:p>
    <w:p w:rsidR="00B6293B" w:rsidRDefault="001200E0">
      <w:pPr>
        <w:spacing w:after="240"/>
        <w:jc w:val="right"/>
      </w:pPr>
      <w:r>
        <w:lastRenderedPageBreak/>
        <w:t>PRÍLOHA K LEGISLATÍVNEMU UZNESENIU</w:t>
      </w:r>
    </w:p>
    <w:p w:rsidR="00B6293B" w:rsidRDefault="00B6293B">
      <w:pPr>
        <w:spacing w:after="240"/>
        <w:jc w:val="right"/>
      </w:pPr>
    </w:p>
    <w:p w:rsidR="00B6293B" w:rsidRDefault="001200E0">
      <w:pPr>
        <w:widowControl/>
        <w:spacing w:after="225" w:line="360" w:lineRule="auto"/>
        <w:ind w:left="708"/>
        <w:jc w:val="center"/>
        <w:rPr>
          <w:rFonts w:eastAsiaTheme="minorHAnsi"/>
          <w:b/>
          <w:szCs w:val="24"/>
        </w:rPr>
      </w:pPr>
      <w:r>
        <w:rPr>
          <w:rFonts w:eastAsiaTheme="minorHAnsi" w:cs="Calibri"/>
          <w:b/>
          <w:color w:val="000000"/>
          <w:szCs w:val="22"/>
        </w:rPr>
        <w:t xml:space="preserve">Vyhlásenie Komisie k článku 45 pri príležitosti prijatia nariadenia </w:t>
      </w:r>
      <w:r>
        <w:rPr>
          <w:rFonts w:eastAsia="Calibri"/>
          <w:b/>
          <w:szCs w:val="22"/>
          <w:lang w:eastAsia="en-US"/>
        </w:rPr>
        <w:t xml:space="preserve">(EÚ) </w:t>
      </w:r>
      <w:r>
        <w:rPr>
          <w:rFonts w:eastAsiaTheme="minorHAnsi" w:cs="Calibri"/>
          <w:b/>
          <w:color w:val="000000"/>
          <w:szCs w:val="22"/>
        </w:rPr>
        <w:t>2024/1183</w:t>
      </w:r>
      <w:r>
        <w:rPr>
          <w:rStyle w:val="FootnoteReference"/>
          <w:rFonts w:eastAsiaTheme="minorHAnsi" w:cs="Calibri"/>
          <w:b/>
          <w:color w:val="000000"/>
          <w:szCs w:val="22"/>
        </w:rPr>
        <w:footnoteReference w:id="3"/>
      </w:r>
    </w:p>
    <w:p w:rsidR="00B6293B" w:rsidRDefault="001200E0">
      <w:pPr>
        <w:spacing w:line="360" w:lineRule="auto"/>
        <w:contextualSpacing/>
        <w:jc w:val="both"/>
        <w:rPr>
          <w:szCs w:val="24"/>
        </w:rPr>
      </w:pPr>
      <w:r>
        <w:t xml:space="preserve">Komisia víta dosiahnutú dohodu, ktorá podľa jej názoru objasňuje, že webové prehliadače sú potrebné na zabezpečenie podpory a </w:t>
      </w:r>
      <w:proofErr w:type="spellStart"/>
      <w:r>
        <w:t>interoperability</w:t>
      </w:r>
      <w:proofErr w:type="spellEnd"/>
      <w:r>
        <w:t xml:space="preserve"> kvalifikovaných certifikátov </w:t>
      </w:r>
      <w:r>
        <w:t>pre autentifikáciu webového sídla (QWAC) výlučne na účel používateľsky ústretového zobrazovania údajov o totožnosti vlastníka webového sídla. Komisia sa domnieva, že táto povinnosť nemá vplyv na metódy použité na zobrazenie takýchto údajov o totožnosti.</w:t>
      </w:r>
    </w:p>
    <w:p w:rsidR="00B6293B" w:rsidRDefault="00B6293B">
      <w:pPr>
        <w:spacing w:line="360" w:lineRule="auto"/>
        <w:contextualSpacing/>
        <w:jc w:val="both"/>
      </w:pPr>
    </w:p>
    <w:p w:rsidR="00B6293B" w:rsidRDefault="001200E0">
      <w:pPr>
        <w:spacing w:line="360" w:lineRule="auto"/>
        <w:contextualSpacing/>
        <w:jc w:val="both"/>
        <w:rPr>
          <w:szCs w:val="24"/>
        </w:rPr>
      </w:pPr>
      <w:r>
        <w:t>K</w:t>
      </w:r>
      <w:r>
        <w:t>omisia víta dosiahnutú dohodu, ktorá podľa jej názoru objasňuje, že požiadavka, aby webové prehliadače uznávali QWAC, neobmedzuje vlastné bezpečnostné politiky prehliadačov a že článok 45 v navrhovanom znení umožňuje webovým prehliadačom, aby chránili a up</w:t>
      </w:r>
      <w:r>
        <w:t>latňovali svoje vlastné postupy a kritériá s cieľom zachovať a chrániť súkromie online komunikácie prostredníctvom šifrovania a iných osvedčených metód. Komisia sa domnieva, že návrh článku 45 neukladá povinnosti ani obmedzenia, pokiaľ ide o spôsob, ako we</w:t>
      </w:r>
      <w:r>
        <w:t>bové prehliadače vytvárajú šifrované spojenia s webovými sídlami alebo overujú šifrovacie kľúče používané pri vytváraní týchto pripojení.</w:t>
      </w:r>
    </w:p>
    <w:p w:rsidR="00B6293B" w:rsidRDefault="00B6293B">
      <w:pPr>
        <w:spacing w:line="360" w:lineRule="auto"/>
      </w:pPr>
    </w:p>
    <w:p w:rsidR="00B6293B" w:rsidRDefault="001200E0">
      <w:pPr>
        <w:spacing w:line="360" w:lineRule="auto"/>
        <w:contextualSpacing/>
        <w:jc w:val="both"/>
      </w:pPr>
      <w:r>
        <w:t xml:space="preserve">Komisia pripomína, že v súlade s bodom 28 </w:t>
      </w:r>
      <w:proofErr w:type="spellStart"/>
      <w:r>
        <w:t>Medziinštitucionálnej</w:t>
      </w:r>
      <w:proofErr w:type="spellEnd"/>
      <w:r>
        <w:t xml:space="preserve"> dohody medzi Európskym parlamentom, Radou Európskej ú</w:t>
      </w:r>
      <w:r>
        <w:t>nie a Európskou komisiou o lepšej tvorbe práva z 13. apríla 2016 Komisia využije expertné skupiny, uskutoční konzultácie s cieľovými zainteresovanými stranami a podľa potreby uskutoční verejné konzultácie.</w:t>
      </w:r>
    </w:p>
    <w:p w:rsidR="00B6293B" w:rsidRDefault="00B6293B">
      <w:pPr>
        <w:spacing w:line="360" w:lineRule="auto"/>
      </w:pPr>
    </w:p>
    <w:p w:rsidR="00B6293B" w:rsidRDefault="001200E0">
      <w:pPr>
        <w:widowControl/>
        <w:spacing w:after="225" w:line="360" w:lineRule="auto"/>
        <w:ind w:left="708"/>
        <w:jc w:val="center"/>
        <w:rPr>
          <w:rFonts w:eastAsiaTheme="minorHAnsi"/>
          <w:b/>
          <w:szCs w:val="24"/>
        </w:rPr>
      </w:pPr>
      <w:r>
        <w:rPr>
          <w:rFonts w:eastAsiaTheme="minorHAnsi" w:cs="Calibri"/>
          <w:b/>
          <w:color w:val="000000"/>
          <w:szCs w:val="22"/>
        </w:rPr>
        <w:t xml:space="preserve">Vyhlásenie Komisie o </w:t>
      </w:r>
      <w:proofErr w:type="spellStart"/>
      <w:r>
        <w:rPr>
          <w:rFonts w:eastAsiaTheme="minorHAnsi" w:cs="Calibri"/>
          <w:b/>
          <w:color w:val="000000"/>
          <w:szCs w:val="22"/>
        </w:rPr>
        <w:t>nepozorovateľnosti</w:t>
      </w:r>
      <w:proofErr w:type="spellEnd"/>
      <w:r>
        <w:rPr>
          <w:rFonts w:eastAsiaTheme="minorHAnsi" w:cs="Calibri"/>
          <w:b/>
          <w:color w:val="000000"/>
          <w:szCs w:val="22"/>
        </w:rPr>
        <w:t xml:space="preserve"> pri príle</w:t>
      </w:r>
      <w:r>
        <w:rPr>
          <w:rFonts w:eastAsiaTheme="minorHAnsi" w:cs="Calibri"/>
          <w:b/>
          <w:color w:val="000000"/>
          <w:szCs w:val="22"/>
        </w:rPr>
        <w:t xml:space="preserve">žitosti prijatia nariadenia </w:t>
      </w:r>
      <w:r>
        <w:rPr>
          <w:rFonts w:eastAsia="Calibri"/>
          <w:b/>
          <w:szCs w:val="22"/>
          <w:lang w:eastAsia="en-US"/>
        </w:rPr>
        <w:t xml:space="preserve">(EÚ) </w:t>
      </w:r>
      <w:r>
        <w:rPr>
          <w:rFonts w:eastAsiaTheme="minorHAnsi" w:cs="Calibri"/>
          <w:b/>
          <w:color w:val="000000"/>
          <w:szCs w:val="22"/>
        </w:rPr>
        <w:t>2024/1183</w:t>
      </w:r>
      <w:r>
        <w:rPr>
          <w:rStyle w:val="FootnoteReference"/>
          <w:rFonts w:eastAsiaTheme="minorHAnsi" w:cs="Calibri"/>
          <w:b/>
          <w:color w:val="000000"/>
          <w:szCs w:val="22"/>
        </w:rPr>
        <w:footnoteReference w:id="4"/>
      </w:r>
    </w:p>
    <w:p w:rsidR="00B6293B" w:rsidRDefault="001200E0">
      <w:pPr>
        <w:spacing w:line="360" w:lineRule="auto"/>
        <w:contextualSpacing/>
        <w:jc w:val="both"/>
        <w:rPr>
          <w:szCs w:val="24"/>
        </w:rPr>
      </w:pPr>
      <w:r>
        <w:t>Komisia víta dosiahnutú dohodu, ktorá podľa jej názoru potvrdzuje, že toto pozmeňujúce nariadenie nepovoľuje poskytovateľom európskej peňaženky digitálnej identity spracúvanie osobných údajov obsiahnutých v peňaž</w:t>
      </w:r>
      <w:r>
        <w:t xml:space="preserve">enke alebo údajov vyplývajúcich z jej používania na iné účely ako na poskytovanie služieb peňaženky. </w:t>
      </w:r>
    </w:p>
    <w:p w:rsidR="00B6293B" w:rsidRDefault="00B6293B">
      <w:pPr>
        <w:widowControl/>
        <w:spacing w:line="360" w:lineRule="auto"/>
        <w:jc w:val="both"/>
        <w:rPr>
          <w:rFonts w:eastAsia="Calibri"/>
          <w:color w:val="000000"/>
          <w:szCs w:val="24"/>
          <w:u w:color="000000"/>
          <w:bdr w:val="nil"/>
        </w:rPr>
      </w:pPr>
    </w:p>
    <w:p w:rsidR="00B6293B" w:rsidRDefault="001200E0">
      <w:pPr>
        <w:spacing w:line="360" w:lineRule="auto"/>
        <w:contextualSpacing/>
        <w:jc w:val="both"/>
        <w:rPr>
          <w:szCs w:val="24"/>
        </w:rPr>
      </w:pPr>
      <w:r>
        <w:lastRenderedPageBreak/>
        <w:t xml:space="preserve">Komisia takisto víta začlenenie pojmu </w:t>
      </w:r>
      <w:proofErr w:type="spellStart"/>
      <w:r>
        <w:t>nepozorovateľnosť</w:t>
      </w:r>
      <w:proofErr w:type="spellEnd"/>
      <w:r>
        <w:t xml:space="preserve"> do odôvodnenia 11c návrhu pozmeňujúceho nariadenia, ktoré by malo poskytovateľom peňaženky brániť</w:t>
      </w:r>
      <w:r>
        <w:t xml:space="preserve"> v tom, aby zhromažďovali a prezerali si podrobnosti o každodenných transakciách používateľov. Komisia zastáva názor, že tento pojem znamená, že by nemala existovať korelácia údajov medzi rôznymi službami na účely vyhľadávania alebo sledovania používateľov</w:t>
      </w:r>
      <w:r>
        <w:t xml:space="preserve"> alebo na určenie, analýzu a predvídanie osobného správania, záujmov alebo zvykov. </w:t>
      </w:r>
    </w:p>
    <w:p w:rsidR="00B6293B" w:rsidRDefault="00B6293B">
      <w:pPr>
        <w:spacing w:line="360" w:lineRule="auto"/>
      </w:pPr>
    </w:p>
    <w:p w:rsidR="00B6293B" w:rsidRDefault="001200E0">
      <w:pPr>
        <w:spacing w:line="360" w:lineRule="auto"/>
        <w:contextualSpacing/>
        <w:jc w:val="both"/>
        <w:rPr>
          <w:szCs w:val="24"/>
        </w:rPr>
      </w:pPr>
      <w:r>
        <w:t>Komisia zároveň uznáva, že poskytovatelia európskych peňaženiek digitálnej identity môžu mať v plnom súlade s nariadením (EÚ) 2016/679 prístup k určitým kategóriám osobnýc</w:t>
      </w:r>
      <w:r>
        <w:t>h údajov s výslovným súhlasom používateľa, napríklad s cieľom zabezpečiť kontinuitu poskytovania služieb peňaženky alebo chrániť používateľov pred narušeniami ich poskytovania. Tieto údaje by sa mali obmedziť na to, čo je nevyhnutné na konkrétny účel.</w:t>
      </w:r>
    </w:p>
    <w:p w:rsidR="00B6293B" w:rsidRDefault="00B6293B">
      <w:pPr>
        <w:spacing w:after="240" w:line="360" w:lineRule="auto"/>
        <w:jc w:val="right"/>
      </w:pPr>
    </w:p>
    <w:sectPr w:rsidR="00B6293B">
      <w:footnotePr>
        <w:numRestart w:val="eachPage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93B" w:rsidRDefault="001200E0">
      <w:r>
        <w:separator/>
      </w:r>
    </w:p>
  </w:endnote>
  <w:endnote w:type="continuationSeparator" w:id="0">
    <w:p w:rsidR="00B6293B" w:rsidRDefault="00120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3B" w:rsidRDefault="00B6293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3B" w:rsidRDefault="00B6293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3B" w:rsidRDefault="00B629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93B" w:rsidRDefault="001200E0">
      <w:r>
        <w:separator/>
      </w:r>
    </w:p>
  </w:footnote>
  <w:footnote w:type="continuationSeparator" w:id="0">
    <w:p w:rsidR="00B6293B" w:rsidRDefault="001200E0">
      <w:r>
        <w:continuationSeparator/>
      </w:r>
    </w:p>
  </w:footnote>
  <w:footnote w:id="1">
    <w:p w:rsidR="00B6293B" w:rsidRDefault="001200E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105, 4.3.2022</w:t>
      </w:r>
      <w:bookmarkStart w:id="7" w:name="_GoBack"/>
      <w:bookmarkEnd w:id="7"/>
      <w:r>
        <w:rPr>
          <w:sz w:val="24"/>
          <w:lang w:val="sk-SK"/>
        </w:rPr>
        <w:t>, s. 81.</w:t>
      </w:r>
    </w:p>
  </w:footnote>
  <w:footnote w:id="2">
    <w:p w:rsidR="00B6293B" w:rsidRDefault="001200E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61, 4.2.2022, s. 42.</w:t>
      </w:r>
    </w:p>
  </w:footnote>
  <w:footnote w:id="3">
    <w:p w:rsidR="00B6293B" w:rsidRDefault="001200E0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lang w:val="sk-SK"/>
        </w:rPr>
        <w:t xml:space="preserve">Ú. v. </w:t>
      </w:r>
      <w:r>
        <w:rPr>
          <w:sz w:val="24"/>
          <w:lang w:val="sk-SK"/>
        </w:rPr>
        <w:t>EÚ</w:t>
      </w:r>
      <w:r>
        <w:rPr>
          <w:sz w:val="24"/>
          <w:szCs w:val="24"/>
          <w:lang w:val="sk-SK"/>
        </w:rPr>
        <w:t xml:space="preserve"> L, 2024/1183, 30.4.2024, ELI: </w:t>
      </w:r>
      <w:hyperlink r:id="rId1" w:history="1">
        <w:r>
          <w:rPr>
            <w:rStyle w:val="Hyperlink"/>
            <w:sz w:val="24"/>
            <w:szCs w:val="24"/>
            <w:lang w:val="sk-SK"/>
          </w:rPr>
          <w:t>http://data.europa.eu/eli/reg/2024/1183/oj</w:t>
        </w:r>
      </w:hyperlink>
      <w:r>
        <w:rPr>
          <w:sz w:val="24"/>
          <w:szCs w:val="24"/>
          <w:lang w:val="sk-SK"/>
        </w:rPr>
        <w:t>.</w:t>
      </w:r>
    </w:p>
  </w:footnote>
  <w:footnote w:id="4">
    <w:p w:rsidR="00B6293B" w:rsidRDefault="001200E0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>
        <w:rPr>
          <w:lang w:val="fi-FI"/>
        </w:rPr>
        <w:t xml:space="preserve"> </w:t>
      </w:r>
      <w:r>
        <w:rPr>
          <w:lang w:val="fi-FI"/>
        </w:rPr>
        <w:tab/>
      </w:r>
      <w:r>
        <w:rPr>
          <w:sz w:val="24"/>
          <w:lang w:val="sk-SK"/>
        </w:rPr>
        <w:t xml:space="preserve">Ú. v. </w:t>
      </w:r>
      <w:r>
        <w:rPr>
          <w:sz w:val="24"/>
          <w:lang w:val="sk-SK"/>
        </w:rPr>
        <w:t>EÚ</w:t>
      </w:r>
      <w:r>
        <w:rPr>
          <w:sz w:val="24"/>
          <w:szCs w:val="24"/>
          <w:lang w:val="sk-SK"/>
        </w:rPr>
        <w:t xml:space="preserve"> L, 2024/1183, 30.4.2024, ELI: </w:t>
      </w:r>
      <w:hyperlink r:id="rId2" w:history="1">
        <w:r>
          <w:rPr>
            <w:rStyle w:val="Hyperlink"/>
            <w:sz w:val="24"/>
            <w:szCs w:val="24"/>
            <w:lang w:val="sk-SK"/>
          </w:rPr>
          <w:t>http://data.europa.eu/eli/reg/2024/1183/oj</w:t>
        </w:r>
      </w:hyperlink>
      <w:r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3B" w:rsidRDefault="00B629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3B" w:rsidRDefault="00B629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3B" w:rsidRDefault="00B6293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3"/>
  </w:num>
  <w:num w:numId="3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17"/>
  </w:num>
  <w:num w:numId="6">
    <w:abstractNumId w:val="33"/>
  </w:num>
  <w:num w:numId="7">
    <w:abstractNumId w:val="12"/>
  </w:num>
  <w:num w:numId="8">
    <w:abstractNumId w:val="1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6"/>
  </w:num>
  <w:num w:numId="13">
    <w:abstractNumId w:val="27"/>
  </w:num>
  <w:num w:numId="14">
    <w:abstractNumId w:val="6"/>
    <w:lvlOverride w:ilvl="0">
      <w:startOverride w:val="3"/>
    </w:lvlOverride>
  </w:num>
  <w:num w:numId="15">
    <w:abstractNumId w:val="22"/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1"/>
  </w:num>
  <w:num w:numId="19">
    <w:abstractNumId w:val="36"/>
  </w:num>
  <w:num w:numId="20">
    <w:abstractNumId w:val="29"/>
  </w:num>
  <w:num w:numId="21">
    <w:abstractNumId w:val="3"/>
  </w:num>
  <w:num w:numId="22">
    <w:abstractNumId w:val="39"/>
  </w:num>
  <w:num w:numId="23">
    <w:abstractNumId w:val="44"/>
  </w:num>
  <w:num w:numId="24">
    <w:abstractNumId w:val="23"/>
  </w:num>
  <w:num w:numId="25">
    <w:abstractNumId w:val="38"/>
  </w:num>
  <w:num w:numId="26">
    <w:abstractNumId w:val="32"/>
  </w:num>
  <w:num w:numId="27">
    <w:abstractNumId w:val="19"/>
  </w:num>
  <w:num w:numId="28">
    <w:abstractNumId w:val="8"/>
  </w:num>
  <w:num w:numId="29">
    <w:abstractNumId w:val="5"/>
  </w:num>
  <w:num w:numId="30">
    <w:abstractNumId w:val="34"/>
  </w:num>
  <w:num w:numId="31">
    <w:abstractNumId w:val="40"/>
  </w:num>
  <w:num w:numId="32">
    <w:abstractNumId w:val="0"/>
  </w:num>
  <w:num w:numId="33">
    <w:abstractNumId w:val="10"/>
  </w:num>
  <w:num w:numId="34">
    <w:abstractNumId w:val="4"/>
  </w:num>
  <w:num w:numId="35">
    <w:abstractNumId w:val="11"/>
  </w:num>
  <w:num w:numId="36">
    <w:abstractNumId w:val="24"/>
  </w:num>
  <w:num w:numId="37">
    <w:abstractNumId w:val="31"/>
  </w:num>
  <w:num w:numId="38">
    <w:abstractNumId w:val="30"/>
  </w:num>
  <w:num w:numId="39">
    <w:abstractNumId w:val="9"/>
  </w:num>
  <w:num w:numId="40">
    <w:abstractNumId w:val="7"/>
  </w:num>
  <w:num w:numId="41">
    <w:abstractNumId w:val="14"/>
  </w:num>
  <w:num w:numId="42">
    <w:abstractNumId w:val="15"/>
  </w:num>
  <w:num w:numId="43">
    <w:abstractNumId w:val="16"/>
  </w:num>
  <w:num w:numId="44">
    <w:abstractNumId w:val="21"/>
  </w:num>
  <w:num w:numId="45">
    <w:abstractNumId w:val="25"/>
  </w:num>
  <w:num w:numId="46">
    <w:abstractNumId w:val="42"/>
  </w:num>
  <w:num w:numId="47">
    <w:abstractNumId w:val="41"/>
  </w:num>
  <w:num w:numId="48">
    <w:abstractNumId w:val="4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SK"/>
    <w:docVar w:name="dvnumam" w:val="218"/>
    <w:docVar w:name="dvpe" w:val="732.707"/>
    <w:docVar w:name="dvrapporteur" w:val="Spravodajkyňa: "/>
    <w:docVar w:name="dvstar" w:val="***I"/>
    <w:docVar w:name="dvtitre" w:val="Legislatívne uznesenie Európskeho parlamentu z xx. februára 2024 o návrhu nariadenia Európskeho parlamentu a Rady, ktorým sa mení nariadenie (EÚ) č. 910/2014, pokiaľ ide o stanovenie rámca pre európsku digitálnu identitu(COM(2021)0281 – C9-0200/2021 – 2021/0136(COD))"/>
  </w:docVars>
  <w:rsids>
    <w:rsidRoot w:val="00B6293B"/>
    <w:rsid w:val="001200E0"/>
    <w:rsid w:val="00B6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2BBE0"/>
  <w15:chartTrackingRefBased/>
  <w15:docId w15:val="{3B19AA1C-3263-4050-8021-1CE2B086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NormalWeb">
    <w:name w:val="Normal (Web)"/>
    <w:basedOn w:val="Normal"/>
    <w:uiPriority w:val="99"/>
    <w:unhideWhenUsed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pPr>
      <w:widowControl/>
      <w:numPr>
        <w:numId w:val="3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nhideWhenUsed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Theme="minorHAnsi" w:hAnsi="Segoe UI" w:cs="Segoe UI"/>
      <w:sz w:val="18"/>
      <w:szCs w:val="18"/>
      <w:lang w:val="sk-SK"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pPr>
      <w:numPr>
        <w:numId w:val="4"/>
      </w:numPr>
    </w:pPr>
  </w:style>
  <w:style w:type="paragraph" w:customStyle="1" w:styleId="Tiret1">
    <w:name w:val="Tiret 1"/>
    <w:basedOn w:val="Point1"/>
    <w:pPr>
      <w:numPr>
        <w:numId w:val="5"/>
      </w:numPr>
    </w:pPr>
  </w:style>
  <w:style w:type="paragraph" w:customStyle="1" w:styleId="Tiret2">
    <w:name w:val="Tiret 2"/>
    <w:basedOn w:val="Point2"/>
    <w:pPr>
      <w:numPr>
        <w:numId w:val="6"/>
      </w:numPr>
    </w:pPr>
  </w:style>
  <w:style w:type="paragraph" w:customStyle="1" w:styleId="Tiret3">
    <w:name w:val="Tiret 3"/>
    <w:basedOn w:val="Point3"/>
    <w:pPr>
      <w:numPr>
        <w:numId w:val="7"/>
      </w:numPr>
    </w:pPr>
  </w:style>
  <w:style w:type="paragraph" w:customStyle="1" w:styleId="Tiret4">
    <w:name w:val="Tiret 4"/>
    <w:basedOn w:val="Point4"/>
    <w:pPr>
      <w:numPr>
        <w:numId w:val="8"/>
      </w:numPr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Considrant">
    <w:name w:val="Considérant"/>
    <w:basedOn w:val="Normal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Volume">
    <w:name w:val="Volume"/>
    <w:basedOn w:val="Normal"/>
    <w:next w:val="Confidentialit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pPr>
      <w:spacing w:before="120" w:after="120" w:line="360" w:lineRule="auto"/>
      <w:jc w:val="both"/>
    </w:pPr>
    <w:rPr>
      <w:rFonts w:eastAsiaTheme="minorHAnsi"/>
      <w:sz w:val="24"/>
      <w:szCs w:val="22"/>
      <w:lang w:val="sk-SK" w:eastAsia="en-US"/>
    </w:rPr>
  </w:style>
  <w:style w:type="paragraph" w:customStyle="1" w:styleId="HeaderDisclaimer">
    <w:name w:val="HeaderDisclaimer"/>
    <w:basedOn w:val="Normal"/>
    <w:qFormat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pPr>
      <w:spacing w:before="120"/>
    </w:pPr>
  </w:style>
  <w:style w:type="paragraph" w:customStyle="1" w:styleId="TitlePar3">
    <w:name w:val="TitlePar 3"/>
    <w:basedOn w:val="TitlePar2"/>
    <w:qFormat/>
    <w:rPr>
      <w:b w:val="0"/>
      <w:i/>
    </w:rPr>
  </w:style>
  <w:style w:type="paragraph" w:customStyle="1" w:styleId="SubsectionTitle">
    <w:name w:val="SubsectionTitle"/>
    <w:basedOn w:val="SectionTitle"/>
    <w:qFormat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pPr>
      <w:pBdr>
        <w:bottom w:val="single" w:sz="4" w:space="1" w:color="auto"/>
      </w:pBdr>
      <w:spacing w:before="0"/>
      <w:ind w:right="7371"/>
      <w:jc w:val="left"/>
    </w:pPr>
  </w:style>
  <w:style w:type="paragraph" w:customStyle="1" w:styleId="NormalCenteredBold">
    <w:name w:val="Normal Centered Bold"/>
    <w:basedOn w:val="NormalCentered"/>
    <w:qFormat/>
    <w:rPr>
      <w:b/>
    </w:rPr>
  </w:style>
  <w:style w:type="paragraph" w:customStyle="1" w:styleId="NumTitle">
    <w:name w:val="NumTitle"/>
    <w:basedOn w:val="Normal"/>
    <w:qFormat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</w:style>
  <w:style w:type="paragraph" w:customStyle="1" w:styleId="Text5">
    <w:name w:val="Text 5"/>
    <w:basedOn w:val="Text4"/>
    <w:qFormat/>
    <w:pPr>
      <w:ind w:left="3119"/>
    </w:pPr>
  </w:style>
  <w:style w:type="paragraph" w:customStyle="1" w:styleId="Text0">
    <w:name w:val="Text 0"/>
    <w:basedOn w:val="Normal"/>
    <w:qFormat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pPr>
      <w:spacing w:before="360" w:after="120"/>
    </w:pPr>
  </w:style>
  <w:style w:type="paragraph" w:customStyle="1" w:styleId="PartNum">
    <w:name w:val="PartNum"/>
    <w:basedOn w:val="PartTitle"/>
    <w:qFormat/>
    <w:pPr>
      <w:spacing w:before="360" w:after="120"/>
    </w:pPr>
  </w:style>
  <w:style w:type="paragraph" w:customStyle="1" w:styleId="SectionNum">
    <w:name w:val="SectionNum"/>
    <w:basedOn w:val="SectionTitle"/>
    <w:qFormat/>
    <w:pPr>
      <w:spacing w:before="360" w:after="120"/>
    </w:pPr>
  </w:style>
  <w:style w:type="paragraph" w:customStyle="1" w:styleId="TitleHeading">
    <w:name w:val="TitleHeading"/>
    <w:basedOn w:val="NumTitle"/>
    <w:qFormat/>
    <w:pPr>
      <w:spacing w:before="120" w:after="360"/>
    </w:pPr>
  </w:style>
  <w:style w:type="paragraph" w:customStyle="1" w:styleId="Point5">
    <w:name w:val="Point 5"/>
    <w:basedOn w:val="Normal"/>
    <w:qFormat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pPr>
      <w:ind w:left="3686"/>
    </w:pPr>
  </w:style>
  <w:style w:type="paragraph" w:customStyle="1" w:styleId="Point6">
    <w:name w:val="Point 6"/>
    <w:basedOn w:val="Point5"/>
    <w:qFormat/>
    <w:pPr>
      <w:ind w:left="4253"/>
    </w:pPr>
  </w:style>
  <w:style w:type="character" w:customStyle="1" w:styleId="Marker">
    <w:name w:val="Marker"/>
    <w:basedOn w:val="DefaultParagraphFont"/>
    <w:rPr>
      <w:color w:val="0000FF"/>
    </w:rPr>
  </w:style>
  <w:style w:type="character" w:customStyle="1" w:styleId="Marker1">
    <w:name w:val="Marker1"/>
    <w:basedOn w:val="DefaultParagraphFont"/>
    <w:rPr>
      <w:color w:val="008000"/>
    </w:rPr>
  </w:style>
  <w:style w:type="character" w:customStyle="1" w:styleId="Marker2">
    <w:name w:val="Marker2"/>
    <w:basedOn w:val="DefaultParagraphFont"/>
    <w:rPr>
      <w:color w:val="FF0000"/>
    </w:rPr>
  </w:style>
  <w:style w:type="character" w:customStyle="1" w:styleId="Added">
    <w:name w:val="Added"/>
    <w:basedOn w:val="DefaultParagraphFont"/>
    <w:rPr>
      <w:b/>
      <w:bCs w:val="0"/>
      <w:u w:val="single"/>
    </w:rPr>
  </w:style>
  <w:style w:type="character" w:customStyle="1" w:styleId="Deleted">
    <w:name w:val="Deleted"/>
    <w:basedOn w:val="DefaultParagraphFont"/>
    <w:rPr>
      <w:strike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character" w:customStyle="1" w:styleId="Sub">
    <w:name w:val="Sub"/>
    <w:uiPriority w:val="1"/>
    <w:qFormat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Pr>
      <w:b/>
      <w:sz w:val="24"/>
      <w:lang w:val="sk-SK"/>
    </w:rPr>
  </w:style>
  <w:style w:type="paragraph" w:customStyle="1" w:styleId="JustificationTitle">
    <w:name w:val="JustificationTitle"/>
    <w:basedOn w:val="Normal"/>
    <w:next w:val="Normal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Pr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pPr>
      <w:jc w:val="right"/>
    </w:pPr>
    <w:rPr>
      <w:lang w:val="sk-SK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customStyle="1" w:styleId="SupBoldItalic">
    <w:name w:val="SupBoldItalic"/>
    <w:uiPriority w:val="1"/>
    <w:qFormat/>
    <w:rPr>
      <w:b/>
      <w:bCs w:val="0"/>
      <w:i/>
      <w:iCs w:val="0"/>
      <w:vertAlign w:val="superscript"/>
    </w:rPr>
  </w:style>
  <w:style w:type="character" w:customStyle="1" w:styleId="Footer2Middle">
    <w:name w:val="Footer2Middl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NormalJustified">
    <w:name w:val="Normal Justified"/>
    <w:basedOn w:val="Normal"/>
    <w:uiPriority w:val="9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pPr>
      <w:widowControl/>
      <w:numPr>
        <w:ilvl w:val="1"/>
        <w:numId w:val="32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pPr>
      <w:widowControl/>
      <w:numPr>
        <w:ilvl w:val="3"/>
        <w:numId w:val="32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pPr>
      <w:widowControl/>
      <w:numPr>
        <w:ilvl w:val="5"/>
        <w:numId w:val="32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pPr>
      <w:widowControl/>
      <w:numPr>
        <w:ilvl w:val="7"/>
        <w:numId w:val="32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pPr>
      <w:widowControl/>
      <w:numPr>
        <w:ilvl w:val="8"/>
        <w:numId w:val="32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pPr>
      <w:widowControl/>
      <w:numPr>
        <w:numId w:val="32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pPr>
      <w:widowControl/>
      <w:numPr>
        <w:ilvl w:val="2"/>
        <w:numId w:val="32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pPr>
      <w:widowControl/>
      <w:numPr>
        <w:ilvl w:val="4"/>
        <w:numId w:val="32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pPr>
      <w:widowControl/>
      <w:numPr>
        <w:ilvl w:val="6"/>
        <w:numId w:val="32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pPr>
      <w:widowControl/>
      <w:numPr>
        <w:numId w:val="33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pPr>
      <w:widowControl/>
      <w:numPr>
        <w:ilvl w:val="1"/>
        <w:numId w:val="33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pPr>
      <w:widowControl/>
      <w:numPr>
        <w:ilvl w:val="2"/>
        <w:numId w:val="33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pPr>
      <w:widowControl/>
      <w:numPr>
        <w:ilvl w:val="3"/>
        <w:numId w:val="33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pPr>
      <w:widowControl/>
      <w:numPr>
        <w:ilvl w:val="4"/>
        <w:numId w:val="33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pPr>
      <w:numPr>
        <w:numId w:val="2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uiPriority w:val="99"/>
    <w:pPr>
      <w:numPr>
        <w:numId w:val="2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uiPriority w:val="99"/>
    <w:pPr>
      <w:numPr>
        <w:numId w:val="2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uiPriority w:val="99"/>
    <w:pPr>
      <w:numPr>
        <w:numId w:val="2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uiPriority w:val="99"/>
    <w:pPr>
      <w:numPr>
        <w:numId w:val="26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uiPriority w:val="9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pPr>
      <w:numPr>
        <w:numId w:val="36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uiPriority w:val="99"/>
    <w:pPr>
      <w:numPr>
        <w:numId w:val="35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uiPriority w:val="99"/>
    <w:pPr>
      <w:numPr>
        <w:numId w:val="34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uiPriority w:val="99"/>
    <w:pPr>
      <w:jc w:val="center"/>
    </w:pPr>
  </w:style>
  <w:style w:type="paragraph" w:customStyle="1" w:styleId="Jardin">
    <w:name w:val="Jardin"/>
    <w:basedOn w:val="Normal"/>
    <w:uiPriority w:val="9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Pr>
      <w:b/>
    </w:rPr>
  </w:style>
  <w:style w:type="paragraph" w:customStyle="1" w:styleId="Annex">
    <w:name w:val="Annex"/>
    <w:basedOn w:val="Normal"/>
    <w:next w:val="Normal"/>
    <w:uiPriority w:val="9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pPr>
      <w:keepNext/>
      <w:widowControl/>
      <w:numPr>
        <w:numId w:val="37"/>
      </w:numPr>
      <w:spacing w:before="360" w:after="120" w:line="360" w:lineRule="auto"/>
      <w:jc w:val="both"/>
      <w:outlineLvl w:val="0"/>
    </w:pPr>
    <w:rPr>
      <w:rFonts w:ascii="Cambria" w:hAnsi="Cambria"/>
      <w:color w:val="365F91"/>
      <w:sz w:val="32"/>
      <w:szCs w:val="32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pPr>
      <w:keepNext/>
      <w:widowControl/>
      <w:numPr>
        <w:ilvl w:val="1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pPr>
      <w:keepNext/>
      <w:widowControl/>
      <w:numPr>
        <w:ilvl w:val="2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pPr>
      <w:keepNext/>
      <w:widowControl/>
      <w:numPr>
        <w:ilvl w:val="3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</w:style>
  <w:style w:type="character" w:customStyle="1" w:styleId="Heading1Char1">
    <w:name w:val="Heading 1 Char1"/>
    <w:basedOn w:val="DefaultParagraphFont"/>
    <w:uiPriority w:val="9"/>
    <w:rPr>
      <w:rFonts w:ascii="Arial" w:hAnsi="Arial"/>
      <w:b/>
      <w:kern w:val="28"/>
      <w:sz w:val="28"/>
      <w:lang w:val="sk-SK"/>
    </w:rPr>
  </w:style>
  <w:style w:type="character" w:customStyle="1" w:styleId="Footer2">
    <w:name w:val="Footer2"/>
    <w:uiPriority w:val="1"/>
    <w:qFormat/>
    <w:rPr>
      <w:rFonts w:ascii="Arial" w:hAnsi="Arial"/>
      <w:b/>
      <w:sz w:val="48"/>
    </w:rPr>
  </w:style>
  <w:style w:type="paragraph" w:styleId="Revision">
    <w:name w:val="Revision"/>
    <w:hidden/>
    <w:uiPriority w:val="99"/>
    <w:semiHidden/>
    <w:rPr>
      <w:rFonts w:eastAsia="Calibri"/>
      <w:sz w:val="24"/>
      <w:szCs w:val="22"/>
      <w:lang w:val="sk-SK" w:eastAsia="en-US"/>
    </w:rPr>
  </w:style>
  <w:style w:type="character" w:customStyle="1" w:styleId="Hyperlink1">
    <w:name w:val="Hyperlink1"/>
    <w:basedOn w:val="DefaultParagraphFont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Pr>
      <w:rFonts w:ascii="Cambria" w:eastAsia="Times New Roman" w:hAnsi="Cambria" w:cs="Times New Roman"/>
      <w:color w:val="365F91"/>
      <w:sz w:val="26"/>
      <w:szCs w:val="26"/>
      <w:lang w:val="sk-SK"/>
    </w:rPr>
  </w:style>
  <w:style w:type="character" w:customStyle="1" w:styleId="Heading3Char1">
    <w:name w:val="Heading 3 Char1"/>
    <w:basedOn w:val="DefaultParagraphFont"/>
    <w:uiPriority w:val="9"/>
    <w:semiHidden/>
    <w:rPr>
      <w:rFonts w:ascii="Cambria" w:eastAsia="Times New Roman" w:hAnsi="Cambria" w:cs="Times New Roman"/>
      <w:color w:val="243F60"/>
      <w:sz w:val="24"/>
      <w:szCs w:val="24"/>
      <w:lang w:val="sk-SK"/>
    </w:rPr>
  </w:style>
  <w:style w:type="character" w:customStyle="1" w:styleId="Heading4Char1">
    <w:name w:val="Heading 4 Char1"/>
    <w:basedOn w:val="DefaultParagraphFont"/>
    <w:uiPriority w:val="9"/>
    <w:semiHidden/>
    <w:rPr>
      <w:rFonts w:ascii="Cambria" w:eastAsia="Times New Roman" w:hAnsi="Cambria" w:cs="Times New Roman"/>
      <w:i/>
      <w:iCs/>
      <w:color w:val="365F91"/>
      <w:sz w:val="24"/>
      <w:lang w:val="sk-SK"/>
    </w:rPr>
  </w:style>
  <w:style w:type="character" w:customStyle="1" w:styleId="Hyperlink2">
    <w:name w:val="Hyperlink2"/>
    <w:basedOn w:val="DefaultParagraphFont"/>
    <w:uiPriority w:val="99"/>
    <w:unhideWhenUsed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Pr>
      <w:rFonts w:eastAsia="Calibri" w:cs="Arial"/>
      <w:sz w:val="24"/>
      <w:szCs w:val="22"/>
      <w:lang w:val="sk-SK" w:eastAsia="en-US"/>
    </w:rPr>
  </w:style>
  <w:style w:type="paragraph" w:styleId="NormalIndent">
    <w:name w:val="Normal Indent"/>
    <w:basedOn w:val="Normal"/>
    <w:unhideWhenUsed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pPr>
      <w:jc w:val="right"/>
    </w:pPr>
    <w:rPr>
      <w:b/>
    </w:rPr>
  </w:style>
  <w:style w:type="paragraph" w:customStyle="1" w:styleId="NormalConseil">
    <w:name w:val="NormalConseil"/>
    <w:basedOn w:val="Normal"/>
    <w:pPr>
      <w:widowControl/>
    </w:pPr>
    <w:rPr>
      <w:lang w:eastAsia="fr-BE"/>
    </w:rPr>
  </w:style>
  <w:style w:type="paragraph" w:customStyle="1" w:styleId="EntRefer">
    <w:name w:val="EntRefer"/>
    <w:basedOn w:val="NormalConseil"/>
    <w:rPr>
      <w:b/>
    </w:rPr>
  </w:style>
  <w:style w:type="paragraph" w:customStyle="1" w:styleId="EntEmet">
    <w:name w:val="EntEmet"/>
    <w:basedOn w:val="NormalConsei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</w:style>
  <w:style w:type="paragraph" w:customStyle="1" w:styleId="Caption1">
    <w:name w:val="Caption1"/>
    <w:basedOn w:val="Normal"/>
    <w:next w:val="Normal"/>
    <w:uiPriority w:val="35"/>
    <w:semiHidden/>
    <w:unhideWhenUsed/>
    <w:qFormat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Pr>
      <w:rFonts w:eastAsia="Calibri"/>
      <w:sz w:val="24"/>
      <w:szCs w:val="22"/>
      <w:lang w:val="sk-SK" w:eastAsia="en-US"/>
    </w:rPr>
  </w:style>
  <w:style w:type="paragraph" w:customStyle="1" w:styleId="nbbordered">
    <w:name w:val="nb bordered"/>
    <w:basedOn w:val="Normal"/>
    <w:link w:val="nbborderedChar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Pr>
      <w:rFonts w:eastAsia="Calibri"/>
      <w:b/>
      <w:sz w:val="24"/>
      <w:szCs w:val="22"/>
      <w:lang w:val="sk-SK" w:eastAsia="en-US"/>
    </w:rPr>
  </w:style>
  <w:style w:type="character" w:customStyle="1" w:styleId="HeaderCouncilChar">
    <w:name w:val="Header Council Char"/>
    <w:basedOn w:val="DefaultParagraphFont"/>
    <w:link w:val="HeaderCouncil"/>
    <w:rPr>
      <w:rFonts w:eastAsia="Calibri"/>
      <w:sz w:val="2"/>
      <w:szCs w:val="22"/>
      <w:lang w:val="sk-SK" w:eastAsia="en-US"/>
    </w:rPr>
  </w:style>
  <w:style w:type="character" w:customStyle="1" w:styleId="FooterCouncilChar">
    <w:name w:val="Footer Council Char"/>
    <w:basedOn w:val="DefaultParagraphFont"/>
    <w:link w:val="FooterCouncil"/>
    <w:rPr>
      <w:rFonts w:eastAsia="Calibri"/>
      <w:sz w:val="2"/>
      <w:szCs w:val="22"/>
      <w:lang w:val="sk-SK" w:eastAsia="en-US"/>
    </w:rPr>
  </w:style>
  <w:style w:type="numbering" w:customStyle="1" w:styleId="NoList2">
    <w:name w:val="No List2"/>
    <w:next w:val="NoList"/>
    <w:semiHidden/>
  </w:style>
  <w:style w:type="numbering" w:customStyle="1" w:styleId="NoList3">
    <w:name w:val="No List3"/>
    <w:next w:val="No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Annexetitreacte">
    <w:name w:val="Annexe titre (acte)"/>
    <w:basedOn w:val="Normal"/>
    <w:next w:val="Normal"/>
    <w:uiPriority w:val="99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Pr>
      <w:rFonts w:eastAsiaTheme="minorHAnsi"/>
      <w:b/>
      <w:sz w:val="24"/>
      <w:szCs w:val="22"/>
      <w:u w:val="single"/>
      <w:lang w:val="sk-SK" w:eastAsia="en-US"/>
    </w:rPr>
  </w:style>
  <w:style w:type="paragraph" w:customStyle="1" w:styleId="title-bold">
    <w:name w:val="title-bold"/>
    <w:basedOn w:val="Normal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Pr>
      <w:rFonts w:ascii="Times New Roman" w:hAnsi="Times New Roman" w:cs="Times New Roman"/>
      <w:sz w:val="20"/>
      <w:szCs w:val="20"/>
      <w:lang w:val="sk-SK"/>
    </w:rPr>
  </w:style>
  <w:style w:type="paragraph" w:customStyle="1" w:styleId="paragraph">
    <w:name w:val="paragraph"/>
    <w:basedOn w:val="Normal"/>
    <w:uiPriority w:val="1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numbering" w:customStyle="1" w:styleId="NoList12">
    <w:name w:val="No List12"/>
    <w:next w:val="NoList"/>
    <w:uiPriority w:val="99"/>
    <w:semiHidden/>
    <w:unhideWhenUsed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</w:style>
  <w:style w:type="paragraph" w:customStyle="1" w:styleId="sti-art">
    <w:name w:val="sti-art"/>
    <w:basedOn w:val="Normal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</w:style>
  <w:style w:type="paragraph" w:customStyle="1" w:styleId="Heading51">
    <w:name w:val="Heading 51"/>
    <w:basedOn w:val="Normal"/>
    <w:next w:val="Text1"/>
    <w:uiPriority w:val="9"/>
    <w:semiHidden/>
    <w:unhideWhenUsed/>
    <w:qFormat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pPr>
      <w:widowControl/>
      <w:numPr>
        <w:numId w:val="41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42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43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44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45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46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47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48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character" w:customStyle="1" w:styleId="Heading5Char1">
    <w:name w:val="Heading 5 Char1"/>
    <w:basedOn w:val="DefaultParagraphFont"/>
    <w:uiPriority w:val="9"/>
    <w:semiHidden/>
    <w:rPr>
      <w:rFonts w:ascii="Cambria" w:eastAsia="Times New Roman" w:hAnsi="Cambria" w:cs="Times New Roman"/>
      <w:color w:val="365F91"/>
      <w:sz w:val="24"/>
      <w:lang w:val="sk-SK"/>
    </w:rPr>
  </w:style>
  <w:style w:type="character" w:customStyle="1" w:styleId="Heading6Char1">
    <w:name w:val="Heading 6 Char1"/>
    <w:basedOn w:val="DefaultParagraphFont"/>
    <w:uiPriority w:val="9"/>
    <w:semiHidden/>
    <w:rPr>
      <w:rFonts w:ascii="Cambria" w:eastAsia="Times New Roman" w:hAnsi="Cambria" w:cs="Times New Roman"/>
      <w:color w:val="243F60"/>
      <w:sz w:val="24"/>
      <w:lang w:val="sk-SK"/>
    </w:rPr>
  </w:style>
  <w:style w:type="character" w:customStyle="1" w:styleId="Heading7Char1">
    <w:name w:val="Heading 7 Char1"/>
    <w:basedOn w:val="DefaultParagraphFont"/>
    <w:uiPriority w:val="9"/>
    <w:semiHidden/>
    <w:rPr>
      <w:rFonts w:ascii="Cambria" w:eastAsia="Times New Roman" w:hAnsi="Cambria" w:cs="Times New Roman"/>
      <w:i/>
      <w:iCs/>
      <w:color w:val="243F60"/>
      <w:sz w:val="24"/>
      <w:lang w:val="sk-SK"/>
    </w:rPr>
  </w:style>
  <w:style w:type="paragraph" w:customStyle="1" w:styleId="index">
    <w:name w:val="index"/>
    <w:basedOn w:val="Normal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</w:style>
  <w:style w:type="numbering" w:customStyle="1" w:styleId="NoList14">
    <w:name w:val="No List14"/>
    <w:next w:val="NoList"/>
    <w:uiPriority w:val="99"/>
    <w:semiHidden/>
    <w:unhideWhenUsed/>
  </w:style>
  <w:style w:type="numbering" w:customStyle="1" w:styleId="NoList1111">
    <w:name w:val="No List1111"/>
    <w:next w:val="NoList"/>
    <w:uiPriority w:val="99"/>
    <w:semiHidden/>
    <w:unhideWhenUsed/>
  </w:style>
  <w:style w:type="numbering" w:customStyle="1" w:styleId="NoList21">
    <w:name w:val="No List21"/>
    <w:next w:val="NoList"/>
    <w:semiHidden/>
  </w:style>
  <w:style w:type="numbering" w:customStyle="1" w:styleId="NoList31">
    <w:name w:val="No List31"/>
    <w:next w:val="NoList"/>
    <w:uiPriority w:val="99"/>
    <w:semiHidden/>
    <w:unhideWhenUsed/>
  </w:style>
  <w:style w:type="numbering" w:customStyle="1" w:styleId="NoList121">
    <w:name w:val="No List121"/>
    <w:next w:val="NoList"/>
    <w:uiPriority w:val="99"/>
    <w:semiHidden/>
    <w:unhideWhenUsed/>
  </w:style>
  <w:style w:type="numbering" w:customStyle="1" w:styleId="NoList41">
    <w:name w:val="No List41"/>
    <w:next w:val="NoList"/>
    <w:uiPriority w:val="99"/>
    <w:semiHidden/>
    <w:unhideWhenUsed/>
  </w:style>
  <w:style w:type="numbering" w:customStyle="1" w:styleId="NoList131">
    <w:name w:val="No List131"/>
    <w:next w:val="NoList"/>
    <w:uiPriority w:val="99"/>
    <w:semiHidden/>
    <w:unhideWhenUsed/>
  </w:style>
  <w:style w:type="paragraph" w:customStyle="1" w:styleId="Normal2">
    <w:name w:val="Normal2"/>
    <w:basedOn w:val="Normal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f0">
    <w:name w:val="pf0"/>
    <w:basedOn w:val="Normal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cf01">
    <w:name w:val="cf01"/>
    <w:basedOn w:val="DefaultParagraphFont"/>
    <w:rPr>
      <w:rFonts w:ascii="Segoe UI" w:hAnsi="Segoe UI" w:cs="Segoe UI" w:hint="default"/>
      <w:b/>
      <w:bCs/>
      <w:i/>
      <w:iCs/>
      <w:sz w:val="18"/>
      <w:szCs w:val="18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183/oj" TargetMode="External"/><Relationship Id="rId1" Type="http://schemas.openxmlformats.org/officeDocument/2006/relationships/hyperlink" Target="http://data.europa.eu/eli/reg/2024/11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404E-BC83-480A-A267-1B19F539E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702</Words>
  <Characters>4536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2024-07-03T09:54:00Z</dcterms:created>
  <dcterms:modified xsi:type="dcterms:W3CDTF">2024-07-03T09:54:00Z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A9-0038/2023</vt:lpwstr>
  </property>
  <property fmtid="{D5CDD505-2E9C-101B-9397-08002B2CF9AE}" pid="4" name="&lt;Type&gt;">
    <vt:lpwstr>RR</vt:lpwstr>
  </property>
</Properties>
</file>