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1BB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01BB5" w:rsidRDefault="00C7133F" w:rsidP="0010095E">
            <w:pPr>
              <w:pStyle w:val="EPName"/>
            </w:pPr>
            <w:r w:rsidRPr="00F01BB5">
              <w:t>Parlament Europejski</w:t>
            </w:r>
          </w:p>
          <w:p w:rsidR="00751A4A" w:rsidRPr="00F01BB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1BB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01BB5" w:rsidRDefault="00187494" w:rsidP="0010095E">
            <w:pPr>
              <w:pStyle w:val="EPLogo"/>
            </w:pPr>
            <w:r w:rsidRPr="00F01BB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01BB5" w:rsidRDefault="00D058B8" w:rsidP="004C5D52">
      <w:pPr>
        <w:pStyle w:val="LineTop"/>
      </w:pPr>
    </w:p>
    <w:p w:rsidR="00680577" w:rsidRPr="00F01BB5" w:rsidRDefault="00C7133F" w:rsidP="00680577">
      <w:pPr>
        <w:pStyle w:val="EPBodyTA1"/>
      </w:pPr>
      <w:r w:rsidRPr="00F01BB5">
        <w:t>TEKSTY PRZYJĘTE</w:t>
      </w:r>
    </w:p>
    <w:p w:rsidR="00D058B8" w:rsidRPr="00F01BB5" w:rsidRDefault="00D058B8" w:rsidP="00D058B8">
      <w:pPr>
        <w:pStyle w:val="LineBottom"/>
      </w:pPr>
    </w:p>
    <w:p w:rsidR="00C7133F" w:rsidRPr="00F01BB5" w:rsidRDefault="00C7133F" w:rsidP="00C7133F">
      <w:pPr>
        <w:pStyle w:val="ATHeading1"/>
      </w:pPr>
      <w:bookmarkStart w:id="0" w:name="TANumber"/>
      <w:r w:rsidRPr="00F01BB5">
        <w:t>P9_TA(2024)0</w:t>
      </w:r>
      <w:bookmarkEnd w:id="0"/>
      <w:r w:rsidR="005F0476">
        <w:t>119</w:t>
      </w:r>
    </w:p>
    <w:p w:rsidR="00C7133F" w:rsidRPr="000631A6" w:rsidRDefault="000631A6" w:rsidP="00C7133F">
      <w:pPr>
        <w:pStyle w:val="ATHeading2"/>
      </w:pPr>
      <w:r w:rsidRPr="000631A6">
        <w:rPr>
          <w:bCs/>
        </w:rPr>
        <w:t>Potrzeba niezachwianego unijnego wsparcia Ukrainy dwa lata po napaści Rosji na ten kraj</w:t>
      </w:r>
    </w:p>
    <w:p w:rsidR="00C7133F" w:rsidRPr="00F01BB5" w:rsidRDefault="00C7133F" w:rsidP="00C7133F">
      <w:pPr>
        <w:rPr>
          <w:i/>
          <w:vanish/>
        </w:rPr>
      </w:pPr>
      <w:r w:rsidRPr="00F01BB5">
        <w:rPr>
          <w:i/>
        </w:rPr>
        <w:fldChar w:fldCharType="begin"/>
      </w:r>
      <w:r w:rsidRPr="00F01BB5">
        <w:rPr>
          <w:i/>
        </w:rPr>
        <w:instrText xml:space="preserve"> TC"(</w:instrText>
      </w:r>
      <w:bookmarkStart w:id="1" w:name="DocNumber"/>
      <w:r w:rsidRPr="00F01BB5">
        <w:rPr>
          <w:i/>
        </w:rPr>
        <w:instrText>B9-0143</w:instrText>
      </w:r>
      <w:r w:rsidR="000631A6">
        <w:rPr>
          <w:i/>
        </w:rPr>
        <w:instrText>, 0149, 0153, 0156 oraz</w:instrText>
      </w:r>
      <w:proofErr w:type="gramStart"/>
      <w:r w:rsidR="000631A6">
        <w:rPr>
          <w:i/>
        </w:rPr>
        <w:instrText xml:space="preserve"> 0157</w:instrText>
      </w:r>
      <w:r w:rsidRPr="00F01BB5">
        <w:rPr>
          <w:i/>
        </w:rPr>
        <w:instrText>/2024</w:instrText>
      </w:r>
      <w:bookmarkEnd w:id="1"/>
      <w:r w:rsidRPr="00F01BB5">
        <w:rPr>
          <w:i/>
        </w:rPr>
        <w:instrText>)"\l</w:instrText>
      </w:r>
      <w:proofErr w:type="gramEnd"/>
      <w:r w:rsidRPr="00F01BB5">
        <w:rPr>
          <w:i/>
        </w:rPr>
        <w:instrText xml:space="preserve">3 \n&gt; \* MERGEFORMAT </w:instrText>
      </w:r>
      <w:r w:rsidRPr="00F01BB5">
        <w:rPr>
          <w:i/>
        </w:rPr>
        <w:fldChar w:fldCharType="end"/>
      </w:r>
    </w:p>
    <w:p w:rsidR="00C7133F" w:rsidRPr="00F01BB5" w:rsidRDefault="00C7133F" w:rsidP="00C7133F">
      <w:pPr>
        <w:rPr>
          <w:vanish/>
        </w:rPr>
      </w:pPr>
      <w:bookmarkStart w:id="2" w:name="PE"/>
      <w:r w:rsidRPr="00F01BB5">
        <w:rPr>
          <w:vanish/>
        </w:rPr>
        <w:t>PE756.910</w:t>
      </w:r>
      <w:bookmarkEnd w:id="2"/>
    </w:p>
    <w:p w:rsidR="00C7133F" w:rsidRPr="00F01BB5" w:rsidRDefault="00C7133F" w:rsidP="00C7133F">
      <w:pPr>
        <w:pStyle w:val="ATHeading3"/>
      </w:pPr>
      <w:bookmarkStart w:id="3" w:name="Sujet"/>
      <w:r w:rsidRPr="00F01BB5">
        <w:t xml:space="preserve">Rezolucja Parlamentu Europejskiego z dnia </w:t>
      </w:r>
      <w:r w:rsidR="000631A6">
        <w:t>29 lutego</w:t>
      </w:r>
      <w:r w:rsidRPr="00F01BB5">
        <w:t xml:space="preserve"> 2024 r. w sprawie potrzeby niezachwianego unijnego wsparcia Ukrainy dwa lata po napaści Rosji na ten kraj</w:t>
      </w:r>
      <w:bookmarkEnd w:id="3"/>
      <w:r w:rsidRPr="00F01BB5">
        <w:t xml:space="preserve"> </w:t>
      </w:r>
      <w:bookmarkStart w:id="4" w:name="References"/>
      <w:r w:rsidRPr="00F01BB5">
        <w:t>(2024/2526(RSP))</w:t>
      </w:r>
      <w:bookmarkEnd w:id="4"/>
    </w:p>
    <w:p w:rsidR="00C7133F" w:rsidRPr="00F01BB5" w:rsidRDefault="00C7133F" w:rsidP="00C7133F"/>
    <w:p w:rsidR="00B6146F" w:rsidRPr="00F01BB5" w:rsidRDefault="00B6146F" w:rsidP="00B6146F">
      <w:pPr>
        <w:pStyle w:val="EPComma"/>
      </w:pPr>
      <w:bookmarkStart w:id="5" w:name="TextBodyBegin"/>
      <w:bookmarkEnd w:id="5"/>
      <w:r w:rsidRPr="00F01BB5">
        <w:rPr>
          <w:i/>
        </w:rPr>
        <w:t>Parlament Europejski</w:t>
      </w:r>
      <w:r w:rsidRPr="00F01BB5">
        <w:t>,</w:t>
      </w:r>
    </w:p>
    <w:p w:rsidR="00B6146F" w:rsidRPr="00F01BB5" w:rsidRDefault="00B6146F" w:rsidP="00B6146F">
      <w:pPr>
        <w:pStyle w:val="NormalHanging12a"/>
      </w:pPr>
      <w:r w:rsidRPr="00F01BB5">
        <w:t>–</w:t>
      </w:r>
      <w:r w:rsidRPr="00F01BB5">
        <w:tab/>
        <w:t>uwzględniając swoje wcześniejsze rezolucje w sprawie Ukrainy i Rosji, zwłaszcza rezolucje przyjęte od czasu eskalacji rosyjskiej wojny przeciw Ukrainie w lutym 2022 r. i po aneksji Półwyspu Krymskiego 19 lutego 2014 r.,</w:t>
      </w:r>
    </w:p>
    <w:p w:rsidR="00B6146F" w:rsidRPr="00F01BB5" w:rsidRDefault="00B6146F" w:rsidP="00B6146F">
      <w:pPr>
        <w:pStyle w:val="NormalHanging12a"/>
      </w:pPr>
      <w:r w:rsidRPr="00F01BB5">
        <w:t>–</w:t>
      </w:r>
      <w:r w:rsidRPr="00F01BB5">
        <w:tab/>
        <w:t>uwzględniając podpisany w 2014 r. układ o stowarzyszeniu między Unią Europejską i jej państwami członkowskimi a Ukrainą</w:t>
      </w:r>
      <w:r w:rsidRPr="00F01BB5">
        <w:rPr>
          <w:rStyle w:val="FootnoteReference"/>
          <w:rFonts w:eastAsiaTheme="majorEastAsia"/>
          <w:color w:val="000000"/>
        </w:rPr>
        <w:footnoteReference w:id="1"/>
      </w:r>
      <w:r w:rsidRPr="00F01BB5">
        <w:t xml:space="preserve"> oraz towarzyszącą mu pogłębioną i kompleksową strefę wolnego handlu między Unią Europejską a Ukrainą,</w:t>
      </w:r>
    </w:p>
    <w:p w:rsidR="00B6146F" w:rsidRPr="00F01BB5" w:rsidRDefault="00B6146F" w:rsidP="00B6146F">
      <w:pPr>
        <w:pStyle w:val="NormalHanging12a"/>
      </w:pPr>
      <w:r w:rsidRPr="00F01BB5">
        <w:t>–</w:t>
      </w:r>
      <w:r w:rsidRPr="00F01BB5">
        <w:tab/>
        <w:t>uwzględniając Kartę Narodów Zjednoczonych, konwencje haskie, konwencje genewskie i protokoły dodatkowe do nich oraz Rzymski Statut Międzynarodowego Trybunału Karnego (MTK),</w:t>
      </w:r>
    </w:p>
    <w:p w:rsidR="00B6146F" w:rsidRPr="00F01BB5" w:rsidRDefault="00B6146F" w:rsidP="00B6146F">
      <w:pPr>
        <w:pStyle w:val="NormalHanging12a"/>
      </w:pPr>
      <w:r w:rsidRPr="00F01BB5">
        <w:t>–</w:t>
      </w:r>
      <w:r w:rsidRPr="00F01BB5">
        <w:tab/>
        <w:t>uwzględniając wniosek Komisji z 20 czerwca 2023 r. dotyczący rozporządzenia Parlamentu Europejskiego i Rady w sprawie ustanowienia Instrumentu na rzecz Ukrainy (COM(2023)0338),</w:t>
      </w:r>
    </w:p>
    <w:p w:rsidR="00B6146F" w:rsidRPr="00F01BB5" w:rsidRDefault="00B6146F" w:rsidP="00B6146F">
      <w:pPr>
        <w:pStyle w:val="NormalHanging12a"/>
      </w:pPr>
      <w:r w:rsidRPr="00F01BB5">
        <w:t>–</w:t>
      </w:r>
      <w:r w:rsidRPr="00F01BB5">
        <w:tab/>
        <w:t>uwzględniając decyzję Rady Europejskiej z 14 grudnia 2023 r. o rozpoczęciu negocjacji akcesyjnych z Ukrainą, przyjętą na podstawie pozytywnego zalecenia Komisji z 8 listopada 2023 r.,</w:t>
      </w:r>
    </w:p>
    <w:p w:rsidR="00B6146F" w:rsidRPr="00F01BB5" w:rsidRDefault="00B6146F" w:rsidP="00B6146F">
      <w:pPr>
        <w:pStyle w:val="NormalHanging12a"/>
      </w:pPr>
      <w:r w:rsidRPr="00F01BB5">
        <w:t>–</w:t>
      </w:r>
      <w:r w:rsidRPr="00F01BB5">
        <w:tab/>
        <w:t>uwzględniając konkluzje Rady Europejskiej z 14 grudnia 2023 r. i 1 lutego 2024 r., </w:t>
      </w:r>
    </w:p>
    <w:p w:rsidR="00B6146F" w:rsidRPr="00F01BB5" w:rsidRDefault="00B6146F" w:rsidP="00B6146F">
      <w:pPr>
        <w:pStyle w:val="NormalHanging12a"/>
      </w:pPr>
      <w:r w:rsidRPr="00F01BB5">
        <w:t>–</w:t>
      </w:r>
      <w:r w:rsidRPr="00F01BB5">
        <w:tab/>
        <w:t>uwzględniając sprawozdanie Banku Światowego, rządu Ukrainy, Komisji i ONZ z 14 lutego 2024 r. pt. „</w:t>
      </w:r>
      <w:proofErr w:type="spellStart"/>
      <w:r w:rsidRPr="00F01BB5">
        <w:t>Ukraine</w:t>
      </w:r>
      <w:proofErr w:type="spellEnd"/>
      <w:r w:rsidRPr="00F01BB5">
        <w:t xml:space="preserve"> – Third </w:t>
      </w:r>
      <w:proofErr w:type="spellStart"/>
      <w:r w:rsidRPr="00F01BB5">
        <w:t>Rapid</w:t>
      </w:r>
      <w:proofErr w:type="spellEnd"/>
      <w:r w:rsidRPr="00F01BB5">
        <w:t xml:space="preserve"> </w:t>
      </w:r>
      <w:proofErr w:type="spellStart"/>
      <w:r w:rsidRPr="00F01BB5">
        <w:t>Damage</w:t>
      </w:r>
      <w:proofErr w:type="spellEnd"/>
      <w:r w:rsidRPr="00F01BB5">
        <w:t xml:space="preserve"> and </w:t>
      </w:r>
      <w:proofErr w:type="spellStart"/>
      <w:r w:rsidRPr="00F01BB5">
        <w:t>Needs</w:t>
      </w:r>
      <w:proofErr w:type="spellEnd"/>
      <w:r w:rsidRPr="00F01BB5">
        <w:t xml:space="preserve"> </w:t>
      </w:r>
      <w:proofErr w:type="spellStart"/>
      <w:r w:rsidRPr="00F01BB5">
        <w:t>Assessment</w:t>
      </w:r>
      <w:proofErr w:type="spellEnd"/>
      <w:r w:rsidRPr="00F01BB5">
        <w:t xml:space="preserve"> (RDNA3) </w:t>
      </w:r>
      <w:proofErr w:type="spellStart"/>
      <w:r w:rsidRPr="00F01BB5">
        <w:t>February</w:t>
      </w:r>
      <w:proofErr w:type="spellEnd"/>
      <w:r w:rsidRPr="00F01BB5">
        <w:t xml:space="preserve"> 2022 – </w:t>
      </w:r>
      <w:proofErr w:type="spellStart"/>
      <w:r w:rsidRPr="00F01BB5">
        <w:t>December</w:t>
      </w:r>
      <w:proofErr w:type="spellEnd"/>
      <w:r w:rsidRPr="00F01BB5">
        <w:t xml:space="preserve"> 2023” [Ukraina – trzecia szybka ocena szkód i potrzeb </w:t>
      </w:r>
      <w:r w:rsidRPr="00F01BB5">
        <w:lastRenderedPageBreak/>
        <w:t>(RDNA3) w okresie od lutego 2022 r. do grudnia 2023 r.],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–</w:t>
      </w:r>
      <w:r w:rsidRPr="00F01BB5">
        <w:tab/>
        <w:t>uwzględniając sprawozdanie grupy roboczej wysokiego szczebla ds. środowiskowych skutków wojny z 9 lutego 2024 r. pt. „</w:t>
      </w:r>
      <w:proofErr w:type="spellStart"/>
      <w:r w:rsidRPr="00F01BB5">
        <w:t>An</w:t>
      </w:r>
      <w:proofErr w:type="spellEnd"/>
      <w:r w:rsidRPr="00F01BB5">
        <w:t xml:space="preserve"> </w:t>
      </w:r>
      <w:proofErr w:type="spellStart"/>
      <w:r w:rsidRPr="00F01BB5">
        <w:t>environmental</w:t>
      </w:r>
      <w:proofErr w:type="spellEnd"/>
      <w:r w:rsidRPr="00F01BB5">
        <w:t xml:space="preserve"> compact for </w:t>
      </w:r>
      <w:proofErr w:type="spellStart"/>
      <w:r w:rsidRPr="00F01BB5">
        <w:t>Ukraine</w:t>
      </w:r>
      <w:proofErr w:type="spellEnd"/>
      <w:r w:rsidRPr="00F01BB5">
        <w:t xml:space="preserve"> – A Green </w:t>
      </w:r>
      <w:proofErr w:type="spellStart"/>
      <w:r w:rsidRPr="00F01BB5">
        <w:t>Future</w:t>
      </w:r>
      <w:proofErr w:type="spellEnd"/>
      <w:r w:rsidRPr="00F01BB5">
        <w:t xml:space="preserve"> </w:t>
      </w:r>
      <w:proofErr w:type="spellStart"/>
      <w:r w:rsidRPr="00F01BB5">
        <w:t>Recommendations</w:t>
      </w:r>
      <w:proofErr w:type="spellEnd"/>
      <w:r w:rsidRPr="00F01BB5">
        <w:t xml:space="preserve"> for </w:t>
      </w:r>
      <w:proofErr w:type="spellStart"/>
      <w:r w:rsidRPr="00F01BB5">
        <w:t>Accountability</w:t>
      </w:r>
      <w:proofErr w:type="spellEnd"/>
      <w:r w:rsidRPr="00F01BB5">
        <w:t xml:space="preserve"> and </w:t>
      </w:r>
      <w:proofErr w:type="spellStart"/>
      <w:r w:rsidRPr="00F01BB5">
        <w:t>Recovery</w:t>
      </w:r>
      <w:proofErr w:type="spellEnd"/>
      <w:r w:rsidRPr="00F01BB5">
        <w:t>” [Porozumienie środowiskowe dla Ukrainy – Zielona przyszłość: zalecenia dotyczące rozliczalności i odbudowy],</w:t>
      </w:r>
    </w:p>
    <w:p w:rsidR="00B6146F" w:rsidRPr="00F01BB5" w:rsidRDefault="00B6146F" w:rsidP="00B6146F">
      <w:pPr>
        <w:pStyle w:val="NormalHanging12a"/>
      </w:pPr>
      <w:r w:rsidRPr="00F01BB5">
        <w:t>–</w:t>
      </w:r>
      <w:r w:rsidRPr="00F01BB5">
        <w:tab/>
        <w:t>uwzględniając art. 132 ust. 2 i 4 Regulaminu,</w:t>
      </w:r>
    </w:p>
    <w:p w:rsidR="00B6146F" w:rsidRPr="00F01BB5" w:rsidRDefault="00B6146F" w:rsidP="00B6146F">
      <w:pPr>
        <w:pStyle w:val="NormalHanging12a"/>
      </w:pPr>
      <w:r w:rsidRPr="00F01BB5">
        <w:t>A.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od 24 lutego 2022 r. Rosja prowadzi nielegalną, niesprowokowaną i nieuzasadnioną </w:t>
      </w:r>
      <w:proofErr w:type="spellStart"/>
      <w:r w:rsidRPr="00F01BB5">
        <w:t>pełnoskalową</w:t>
      </w:r>
      <w:proofErr w:type="spellEnd"/>
      <w:r w:rsidRPr="00F01BB5">
        <w:t xml:space="preserve"> wojnę napastniczą przeciw Ukrainie; mając na uwadze, że rosyjska wojna przeciw Ukrainie rozpoczęła się w 2014 r. od bezprawnej okupacji i aneksji Półwyspu Krymskiego, a następnie okupacji części obwodu donieckiego i </w:t>
      </w:r>
      <w:proofErr w:type="spellStart"/>
      <w:r w:rsidRPr="00F01BB5">
        <w:t>ługańskiego</w:t>
      </w:r>
      <w:proofErr w:type="spellEnd"/>
      <w:r w:rsidRPr="00F01BB5">
        <w:t>; mając na uwadze, że ta wojna napastnicza jest ewidentnym i rażącym naruszeniem Karty Narodów Zjednoczonych i podstawowych zasad prawa międzynarodowego; mając na uwadze, że działania prowadzone od dwóch lat przez Rosję w Ukrainie stale zagrażają pokojowi i bezpieczeństwu w Europie i na świecie;</w:t>
      </w:r>
    </w:p>
    <w:p w:rsidR="00B6146F" w:rsidRPr="00F01BB5" w:rsidRDefault="00B6146F" w:rsidP="00B6146F">
      <w:pPr>
        <w:pStyle w:val="NormalHanging12a"/>
      </w:pPr>
      <w:r w:rsidRPr="00F01BB5">
        <w:t>B.</w:t>
      </w:r>
      <w:r w:rsidRPr="00F01BB5">
        <w:tab/>
        <w:t>mając na uwadze, że już w rezolucji z 2 marca 2022 r. Zgromadzenie Ogólne ONZ uznało wojnę Rosji przeciw Ukrainie za akt agresji naruszający art. 2 ust. 4 Karty Narodów Zjednoczonych; w rezolucji z 14 listopada 2022 r. uznało także potrzebę pociągnięcia Federacji Rosyjskiej do odpowiedzialności za wojnę napastniczą oraz do odpowiedzialności prawnej i finansowej za swoje bezprawne działania międzynarodowe, w tym do naprawienia wyrządzonych szkód;</w:t>
      </w:r>
    </w:p>
    <w:p w:rsidR="00B6146F" w:rsidRPr="00F01BB5" w:rsidRDefault="00B6146F" w:rsidP="00B6146F">
      <w:pPr>
        <w:pStyle w:val="NormalHanging12a"/>
      </w:pPr>
      <w:r w:rsidRPr="00F01BB5">
        <w:t>C.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rosyjska wojna napastnicza to największy konflikt zbrojny na kontynencie europejskim od czasu zakończenia drugiej wojny światowej oraz że świadczy ona o narastającym konflikcie między autorytaryzmem a demokracją;</w:t>
      </w:r>
    </w:p>
    <w:p w:rsidR="00B6146F" w:rsidRPr="00F01BB5" w:rsidRDefault="00B6146F" w:rsidP="00B6146F">
      <w:pPr>
        <w:pStyle w:val="NormalHanging12a"/>
      </w:pPr>
      <w:r w:rsidRPr="00F01BB5">
        <w:t>D.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Ukraina i jej obywatele niezłomnie stawiają opór rosyjskiej wojnie napastniczej, skutecznie bronią swojego kraju mimo wysokich kosztów w postaci ofiar cywilnych i wojskowych oraz zniszczenia i wykorzystywania jako broni infrastruktury cywilnej i publicznej, środowiska naturalnego i dziedzictwa kulturowego; mając na uwadze, że w hołdzie za odwagę i upór Parlament Europejski przyznał odważnemu narodowi ukraińskiemu nagrodę im. Sacharowa za 2022 r.;</w:t>
      </w:r>
    </w:p>
    <w:p w:rsidR="00B6146F" w:rsidRPr="00F01BB5" w:rsidRDefault="00B6146F" w:rsidP="00B6146F">
      <w:pPr>
        <w:pStyle w:val="NormalHanging12a"/>
      </w:pPr>
      <w:r w:rsidRPr="00F01BB5">
        <w:t>E.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miliony Ukrainek i Ukraińców w kraju i poza jego granicami są nadal uciekinierami przed rosyjską agresją; mając na uwadze, że na linii frontu żyje ponad 3,3 mln osób, w tym 800 000 dzieci; mając na uwadze, że nadal codziennie bombardowane są domy, szkoły i szpitale; mając na uwadze, że według Międzynarodowej Organizacji ds. Migracji niszczycielskie działania zbrojne Rosji w 2023 r. pozbawiły prawie 720 000 osób w najbardziej zniszczonych częściach Ukrainy dostępu do odpowiednich i bezpiecznych mieszkań; mając na uwadze, że Biuro ONZ ds. Koordynacji Pomocy Humanitarnej poinformowało, że masowe ataki na zaludnione obszary w Ukrainie osiągnęły szczyt w grudniu 2023 r., co potwierdza utrzymujący się schemat zabitych cywilów, zniszczeń i potrzeb humanitarnych w 2023 r.;</w:t>
      </w:r>
    </w:p>
    <w:p w:rsidR="00B6146F" w:rsidRPr="00F01BB5" w:rsidRDefault="00B6146F" w:rsidP="00B6146F">
      <w:pPr>
        <w:pStyle w:val="NormalHanging12a"/>
      </w:pPr>
      <w:r w:rsidRPr="00F01BB5">
        <w:t>F.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rosyjskie zbrodnie wojenne pozostawią traumę w całej populacji, ponieważ szacuje się, że 10 mln osób jest zagrożonych zaburzeniami psychicznymi lub cierpi na nie, a 3,9 mln osób cierpi na wymagające leczenia umiarkowane lub poważne </w:t>
      </w:r>
      <w:r w:rsidRPr="00F01BB5">
        <w:lastRenderedPageBreak/>
        <w:t>objawy zaburzeń psychicznych, depresji, stanów lękowych i zespołu stresu pourazowego (PTSD); mając na uwadze, że w 2023 r. zgłoszono 227 incydentów mających wpływ na operacje humanitarne w tym kraju, w których zginęło lub zostało rannych 50 pracowników organizacji humanitarnych, w tym 11 zginęło w trakcie pełnienia służby;</w:t>
      </w:r>
    </w:p>
    <w:p w:rsidR="00B6146F" w:rsidRPr="00F01BB5" w:rsidRDefault="00B6146F" w:rsidP="00B6146F">
      <w:pPr>
        <w:pStyle w:val="NormalHanging12a"/>
      </w:pPr>
      <w:r w:rsidRPr="00F01BB5">
        <w:t>G.</w:t>
      </w:r>
      <w:r w:rsidRPr="00F01BB5">
        <w:tab/>
        <w:t>mając na uwadze, że według ostrożnych szacunków misji obserwacyjnej ONZ ds. praw człowieka na Ukrainie przez prawie dwa lata rosyjskiej inwazji na dużą skalę zginęło ponad 10 000 cywilów, a prawie 20 000 zostało rannych, natomiast Biuro Wysokiego Komisarza Narodów Zjednoczonych ds. Praw Człowieka (OHCHR) uważa, że liczby te są tak naprawdę znacznie wyższe;</w:t>
      </w:r>
    </w:p>
    <w:p w:rsidR="00B6146F" w:rsidRPr="00F01BB5" w:rsidRDefault="00B6146F" w:rsidP="00B6146F">
      <w:pPr>
        <w:pStyle w:val="NormalHanging12a"/>
      </w:pPr>
      <w:r w:rsidRPr="00F01BB5">
        <w:t>H.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najwyższą cenę za działania wojenne płacą ukraińskie dzieci: zginęło ponad 520 ukraińskich dzieci, przeszło 1226 zostało rannych, 1,8 mln musiało wyjechać do sąsiednich krajów jako uchodźcy, a kolejne 2,5 mln zostało przesiedleńcami wewnętrznymi w samej Ukrainie;</w:t>
      </w:r>
    </w:p>
    <w:p w:rsidR="00B6146F" w:rsidRPr="00F01BB5" w:rsidRDefault="00B6146F" w:rsidP="00B6146F">
      <w:pPr>
        <w:pStyle w:val="NormalHanging12a"/>
      </w:pPr>
      <w:r w:rsidRPr="00F01BB5">
        <w:t>I.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od początku </w:t>
      </w:r>
      <w:proofErr w:type="spellStart"/>
      <w:r w:rsidRPr="00F01BB5">
        <w:t>pełnoskalowej</w:t>
      </w:r>
      <w:proofErr w:type="spellEnd"/>
      <w:r w:rsidRPr="00F01BB5">
        <w:t xml:space="preserve"> wojny napastniczej około 20 000 ukraińskich dzieci przymusowo deportowano do Rosji i Białorusi lub zatrzymano na okupowanych terytoriach; mając na uwadze, że MTK wydał nakazy aresztowania Władimira Putina i Marii </w:t>
      </w:r>
      <w:proofErr w:type="spellStart"/>
      <w:r w:rsidRPr="00F01BB5">
        <w:t>Lwowej-Biełowej</w:t>
      </w:r>
      <w:proofErr w:type="spellEnd"/>
      <w:r w:rsidRPr="00F01BB5">
        <w:t xml:space="preserve"> jako odpowiedzialnych za popełnienie zbrodni wojennej polegającej na bezprawnej deportacji i za bezprawne wywiezienie dzieci z okupowanych obszarów Ukrainy do Rosji; mając na uwadze, że spośród deportowanych dzieci mniej niż 400 powróciło do kraju i do swoich rodzin;</w:t>
      </w:r>
    </w:p>
    <w:p w:rsidR="00B6146F" w:rsidRPr="00F01BB5" w:rsidRDefault="00B6146F" w:rsidP="00B6146F">
      <w:pPr>
        <w:pStyle w:val="NormalHanging12a"/>
      </w:pPr>
      <w:r w:rsidRPr="00F01BB5">
        <w:t>J.</w:t>
      </w:r>
      <w:r w:rsidRPr="00F01BB5">
        <w:tab/>
        <w:t xml:space="preserve">mając na uwadze, że specjalny sprawozdawca ONZ ds. tortur i innego okrutnego, nieludzkiego lub poniżającego traktowania albo karania jest zaniepokojony doniesieniami i zeznaniami wskazującymi na nieludzkie warunki, w jakich Rosjanie przetrzymują ukraińskich cywilów i jeńców wojennych, w tym na tortury i brak opieki medycznej, co powoduje trwały uszczerbek na ich zdrowiu; mając na uwadze, że znane są sytuacje, w których rosyjskie wojsko zabija żołnierzy ukraińskich zamiast wziąć ich do niewoli, co miało miejsce na przykład 24 lutego 2024 r. w okolicach </w:t>
      </w:r>
      <w:proofErr w:type="spellStart"/>
      <w:r w:rsidRPr="00F01BB5">
        <w:t>Bachmutu</w:t>
      </w:r>
      <w:proofErr w:type="spellEnd"/>
      <w:r w:rsidRPr="00F01BB5">
        <w:t xml:space="preserve">; mając na uwadze, że w 2022 r. ponad 50 ukraińskich jeńców wojennych, głównie z batalionu azowskiego, zostało celowo zabitych, kiedy Rosjanie </w:t>
      </w:r>
      <w:proofErr w:type="gramStart"/>
      <w:r w:rsidRPr="00F01BB5">
        <w:t>z</w:t>
      </w:r>
      <w:proofErr w:type="gramEnd"/>
      <w:r w:rsidRPr="00F01BB5">
        <w:t xml:space="preserve"> premedytacją wysadzili więzienie w </w:t>
      </w:r>
      <w:proofErr w:type="spellStart"/>
      <w:r w:rsidRPr="00F01BB5">
        <w:t>Ołeniwce</w:t>
      </w:r>
      <w:proofErr w:type="spellEnd"/>
      <w:r w:rsidRPr="00F01BB5">
        <w:t>;</w:t>
      </w:r>
    </w:p>
    <w:p w:rsidR="00B6146F" w:rsidRPr="00F01BB5" w:rsidRDefault="00B6146F" w:rsidP="00B6146F">
      <w:pPr>
        <w:pStyle w:val="NormalHanging12a"/>
      </w:pPr>
      <w:r w:rsidRPr="00F01BB5">
        <w:t>K.</w:t>
      </w:r>
      <w:r w:rsidRPr="00F01BB5">
        <w:tab/>
        <w:t xml:space="preserve">mając na uwadze, że kobiety i dziewczęta są szczególnie zagrożone w czasie kryzysu humanitarnego i przesiedleńczego, ponieważ nadal w nieproporcjonalnie dużym stopniu padają ofiarą przemocy uwarunkowanej płcią; mając na uwadze, że wiele kobiet pozostało w Ukrainie i służy w armii; mając na uwadze, że istnieją przesłanki wskazujące, że ukraińskie żołnierki przebywające w niewoli są torturowane i padają ofiarą przemocy seksualnej; mając na uwadze, że OHCHR poinformował, iż ponieważ mężczyźni stanowią większość ofiar doraźnych egzekucji dokonywanych przez siły rosyjskie na okupowanych terytoriach, pozostali przy życiu członkowie rodziny, w tym wiele kobiet, są pozostawiani sami sobie i muszą radzić sobie samodzielnie, </w:t>
      </w:r>
      <w:proofErr w:type="gramStart"/>
      <w:r w:rsidRPr="00F01BB5">
        <w:t>mając</w:t>
      </w:r>
      <w:proofErr w:type="gramEnd"/>
      <w:r w:rsidRPr="00F01BB5">
        <w:t xml:space="preserve"> ograniczone dochody i liczniejsze obowiązki opiekuńcze oraz przeżywając intensywną traumę i stres psychiczny;</w:t>
      </w:r>
    </w:p>
    <w:p w:rsidR="00B6146F" w:rsidRPr="00F01BB5" w:rsidRDefault="00B6146F" w:rsidP="00B6146F">
      <w:pPr>
        <w:pStyle w:val="NormalHanging12a"/>
      </w:pPr>
      <w:r w:rsidRPr="00F01BB5">
        <w:t>L.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siły zbrojne Ukrainy oparły się rosyjskiej inwazji, wyzwoliły ponad 50 % terytoriów tymczasowo okupowanych po 24 lutego 2022 r. i odzyskały kontrolę nad dostępem Ukrainy do zachodniego wybrzeża Morza Czarnego po </w:t>
      </w:r>
      <w:r w:rsidRPr="00F01BB5">
        <w:lastRenderedPageBreak/>
        <w:t>skutecznym wyparciu rosyjskiej floty czarnomorskiej;</w:t>
      </w:r>
    </w:p>
    <w:p w:rsidR="00B6146F" w:rsidRPr="00F01BB5" w:rsidRDefault="00B6146F" w:rsidP="00B6146F">
      <w:pPr>
        <w:pStyle w:val="NormalHanging12a"/>
      </w:pPr>
      <w:r w:rsidRPr="00F01BB5">
        <w:t>M.</w:t>
      </w:r>
      <w:r w:rsidRPr="00F01BB5">
        <w:tab/>
        <w:t xml:space="preserve">mając na uwadze, że od początku </w:t>
      </w:r>
      <w:proofErr w:type="spellStart"/>
      <w:r w:rsidRPr="00F01BB5">
        <w:t>pełnoskalowej</w:t>
      </w:r>
      <w:proofErr w:type="spellEnd"/>
      <w:r w:rsidRPr="00F01BB5">
        <w:t xml:space="preserve"> napaści Rosji na Ukrainę UE udziela znacznego wsparcia we wszystkich obszarach, w tym wsparcia wojskowego; mając na uwadze, że od lutego 2022 r. UE, jej państwa członkowskie i europejskie instytucje finansowe zobowiązały się do udzielenia Ukrainie pomocy w wysokości przynajmniej 85 mld EUR, co obejmuje pomoc humanitarną i nadzwyczajną, wsparcie budżetu oraz pomoc </w:t>
      </w:r>
      <w:proofErr w:type="spellStart"/>
      <w:r w:rsidRPr="00F01BB5">
        <w:t>makrofinansową</w:t>
      </w:r>
      <w:proofErr w:type="spellEnd"/>
      <w:r w:rsidRPr="00F01BB5">
        <w:t xml:space="preserve"> i wojskową; mając na uwadze, że państwa członkowskie otrzymały 17 mld EUR na przyjęcie około 4 milionów ukraińskich uchodźców, którym zaoferowano do marca 2025 r. rozszerzoną ochronę na mocy dyrektywy w sprawie tymczasowej ochrony</w:t>
      </w:r>
      <w:r w:rsidRPr="00F01BB5">
        <w:rPr>
          <w:rStyle w:val="FootnoteReference"/>
        </w:rPr>
        <w:footnoteReference w:id="2"/>
      </w:r>
      <w:r w:rsidRPr="00F01BB5">
        <w:t>;</w:t>
      </w:r>
    </w:p>
    <w:p w:rsidR="00B6146F" w:rsidRPr="00F01BB5" w:rsidRDefault="00B6146F" w:rsidP="00B6146F">
      <w:pPr>
        <w:pStyle w:val="NormalHanging12a"/>
      </w:pPr>
      <w:r w:rsidRPr="00F01BB5">
        <w:t>N.</w:t>
      </w:r>
      <w:r w:rsidRPr="00F01BB5">
        <w:tab/>
        <w:t xml:space="preserve">mając na uwadze, że UE i państwa członkowskie do tej pory udzieliły Ukrainie pomocy wojskowej w wysokości 28 mld EUR i wstępnie przeznaczyły na 2024 r. kwotę około 21,2 mld EUR; mając na uwadze, że z Europejskiego Instrumentu na rzecz Pokoju przekazano 5,6 mld EUR na transfer sprzętu wojskowego do Ukrainy przez państwa członkowskie; mając na uwadze, że w ramach inicjatywy, która zakładała początkowo dostarczenie Ukrainie do marca 2024 r. miliona sztuk pocisków kalibru 155 mm, obecnie ma zostać dostarczona w tym terminie około połowa tej ilości, a druga połowa – do końca 2024 r.; mając na uwadze, że jak dotąd w Niemczech i w Polsce w </w:t>
      </w:r>
      <w:proofErr w:type="gramStart"/>
      <w:r w:rsidRPr="00F01BB5">
        <w:t>ramach</w:t>
      </w:r>
      <w:proofErr w:type="gramEnd"/>
      <w:r w:rsidRPr="00F01BB5">
        <w:t xml:space="preserve"> misji pomocy wojskowej UE wspierającej Ukrainę przeszkolono 40 000 ukraińskich żołnierzy i liczba ta dalej rośnie;</w:t>
      </w:r>
    </w:p>
    <w:p w:rsidR="00B6146F" w:rsidRPr="00F01BB5" w:rsidRDefault="00B6146F" w:rsidP="00B6146F">
      <w:pPr>
        <w:pStyle w:val="NormalHanging12a"/>
      </w:pPr>
      <w:r w:rsidRPr="00F01BB5">
        <w:t>O.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łączny PKB krajów zachodnich przewyższa 25 razy PKB Rosji, ale w 2023 r. zachodnia pomoc wojskowa dla Ukrainy nie stanowiła nawet 0,1 % tego łącznego PKB; mając na uwadze, że w 2023 r. Rosja wydała około 6 % swojego PKB na wojnę napastniczą, a Ukraina równowartość 25 % swojego PKB na obronę;</w:t>
      </w:r>
    </w:p>
    <w:p w:rsidR="00B6146F" w:rsidRPr="00F01BB5" w:rsidRDefault="00B6146F" w:rsidP="00B6146F">
      <w:pPr>
        <w:pStyle w:val="NormalHanging12a"/>
      </w:pPr>
      <w:r w:rsidRPr="00F01BB5">
        <w:t>P.</w:t>
      </w:r>
      <w:r w:rsidRPr="00F01BB5">
        <w:tab/>
        <w:t>mając na uwadze, że Kongres USA nie przyjął jeszcze nowego pakietu wsparcia dla Ukrainy na 2024 r. w wysokości 60 mld USD, co zasadniczo doprowadziło do wstrzymania zobowiązań USA w zakresie pomocy i dostaw wojskowych dla Ukrainy; mając na uwadze, że aby w pełni zastąpić wsparcie wojskowe USA w 2024 r., UE i państwa członkowskie musiałyby podwoić obecny poziom i tempo unijnego wsparcia wojskowego;</w:t>
      </w:r>
    </w:p>
    <w:p w:rsidR="00B6146F" w:rsidRPr="00F01BB5" w:rsidRDefault="00B6146F" w:rsidP="00B6146F">
      <w:pPr>
        <w:pStyle w:val="NormalHanging12a"/>
      </w:pPr>
      <w:r w:rsidRPr="00F01BB5">
        <w:t>Q.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sekretarz generalny NATO </w:t>
      </w:r>
      <w:proofErr w:type="spellStart"/>
      <w:r w:rsidRPr="00F01BB5">
        <w:t>Jens</w:t>
      </w:r>
      <w:proofErr w:type="spellEnd"/>
      <w:r w:rsidRPr="00F01BB5">
        <w:t xml:space="preserve"> </w:t>
      </w:r>
      <w:proofErr w:type="spellStart"/>
      <w:r w:rsidRPr="00F01BB5">
        <w:t>Stoltenberg</w:t>
      </w:r>
      <w:proofErr w:type="spellEnd"/>
      <w:r w:rsidRPr="00F01BB5">
        <w:t xml:space="preserve"> stwierdził, że członkowie NATO muszą przygotować się na ewentualną konfrontację z Rosją, która może trwać kilkadziesiąt lat; mając na uwadze, że rosyjska wojna napastnicza doprowadziła bezpośrednio do tego, że Finlandia i Szwecja przystąpiły do NATO, Ukraina, Mołdawia i Gruzja otrzymały status kraju kandydującego do UE, ponad 50 krajów dostarcza Ukrainie pakiety skutecznej pomocy w zakresie bezpieczeństwa, a na forum ONZ wygłaszane są wyrazy silnego poparcia politycznego dla Ukrainy;</w:t>
      </w:r>
    </w:p>
    <w:p w:rsidR="00B6146F" w:rsidRPr="00F01BB5" w:rsidRDefault="00B6146F" w:rsidP="00B6146F">
      <w:pPr>
        <w:pStyle w:val="NormalHanging12a"/>
      </w:pPr>
      <w:r w:rsidRPr="00F01BB5">
        <w:t>R.</w:t>
      </w:r>
      <w:r w:rsidRPr="00F01BB5">
        <w:tab/>
        <w:t xml:space="preserve">mając na uwadze, że Rada Europejska zdecydowała rozpocząć negocjacje akcesyjne z Ukrainą na podstawie pozytywnego zalecenia Komisji, a następnie zwróciła się do </w:t>
      </w:r>
      <w:r w:rsidRPr="00F01BB5">
        <w:lastRenderedPageBreak/>
        <w:t>Rady o przyjęcie ram negocjacyjnych, gdy spełnione zostaną odpowiednie zalecenia Komisji;</w:t>
      </w:r>
    </w:p>
    <w:p w:rsidR="00B6146F" w:rsidRPr="00F01BB5" w:rsidRDefault="00B6146F" w:rsidP="00B6146F">
      <w:pPr>
        <w:pStyle w:val="NormalHanging12a"/>
      </w:pPr>
      <w:r w:rsidRPr="00F01BB5">
        <w:t>S.</w:t>
      </w:r>
      <w:r w:rsidRPr="00F01BB5">
        <w:tab/>
        <w:t>mając na uwadze, że Ukraina podpisała umowy o bezpieczeństwie ze Zjednoczonym Królestwem, z Niemcami, Francją, Danią i Włochami zgodnie ze wspólną deklaracją grupy G7 dotyczącą wsparcia dla Ukrainy, przyjętą 12 lipca 2023 r. przy okazji szczytu NATO w Wilnie; mając na uwadze, że zobowiązanie grupy G7 umożliwia negocjacje mające sformalizować długoterminowe zobowiązania dwustronne dotyczące bezpieczeństwa oraz ustalenia co do wsparcia Ukrainy;</w:t>
      </w:r>
    </w:p>
    <w:p w:rsidR="00B6146F" w:rsidRPr="00F01BB5" w:rsidRDefault="00B6146F" w:rsidP="00B6146F">
      <w:pPr>
        <w:pStyle w:val="NormalHanging12a"/>
      </w:pPr>
      <w:r w:rsidRPr="00F01BB5">
        <w:t>T.</w:t>
      </w:r>
      <w:r w:rsidRPr="00F01BB5">
        <w:tab/>
        <w:t>mając na uwadze, że według doniesień Rosja radykalnie przestawiła swoją gospodarkę na tryb wojenny i planuje bardzo wysokie wydatki na obronność szacowane na znacznie ponad 100 mld EUR; mając na uwadze, że według doniesień Rosja produkuje ponad 2 mln pocisków artyleryjskich rocznie, co znacznie przewyższa ilość obiecaną Ukrainie przez rządy UE;</w:t>
      </w:r>
    </w:p>
    <w:p w:rsidR="00B6146F" w:rsidRPr="00F01BB5" w:rsidRDefault="00B6146F" w:rsidP="00B6146F">
      <w:pPr>
        <w:pStyle w:val="NormalHanging12a"/>
      </w:pPr>
      <w:r w:rsidRPr="00F01BB5">
        <w:t>U.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od początku wojny UE przyjęła 13 pakietów sankcji i ustanowiła urząd międzynarodowego specjalnego wysłannika ds. wdrażania sankcji UE, którego zadaniem jest ukrócenie uchylania się od sankcji UE wobec Rosji i Białorusi jako jej wspólnika oraz obchodzenia tych sankcji;</w:t>
      </w:r>
    </w:p>
    <w:p w:rsidR="00B6146F" w:rsidRPr="00F01BB5" w:rsidRDefault="00B6146F" w:rsidP="00B6146F">
      <w:pPr>
        <w:pStyle w:val="NormalHanging12a"/>
      </w:pPr>
      <w:r w:rsidRPr="00F01BB5">
        <w:t>V.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według szacunków UE i inni partnerzy zamrozili 300 mld EUR rezerw banku centralnego Rosji i 21,5 mld EUR środków należących do rosyjskich oligarchów, a Stany Zjednoczone i inni zachodni sojusznicy zablokowali lub zajęli ponad 58 mld USD w aktywach będących własnością Rosjan objętych sankcjami lub przez nich kontrolowanych;</w:t>
      </w:r>
    </w:p>
    <w:p w:rsidR="00B6146F" w:rsidRPr="00F01BB5" w:rsidRDefault="00B6146F" w:rsidP="00B6146F">
      <w:pPr>
        <w:pStyle w:val="NormalHanging12a"/>
      </w:pPr>
      <w:r w:rsidRPr="00F01BB5">
        <w:t>W.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instytucje UE osiągnęły niedawno porozumienie w sprawie utworzenia Instrumentu na rzecz Ukrainy, który da 50 mld EUR przewidywalnego wsparcia średnioterminowego w formie dotacji i pożyczek na naprawę, odnowę, odbudowę i modernizację Ukrainy w latach 2024–2027;</w:t>
      </w:r>
    </w:p>
    <w:p w:rsidR="00B6146F" w:rsidRPr="00F01BB5" w:rsidRDefault="00B6146F" w:rsidP="00B6146F">
      <w:pPr>
        <w:pStyle w:val="NormalHanging12a"/>
      </w:pPr>
      <w:r w:rsidRPr="00F01BB5">
        <w:t>X.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rosyjska wojna napastnicza świadczy o imperialistycznym stosunku tego kraju do sąsiadów; mając na uwadze, że dopóki Rosja będzie prowadzić politykę rewizjonistyczną, dopóty będzie dążyć do utrzymania nieustannego zagrożenia agresją na kontynencie europejskim; mając na uwadze, że wiele podmiotów międzynarodowych uznało Rosję za państwo sponsorujące terroryzm i stosujące środki terroru;</w:t>
      </w:r>
    </w:p>
    <w:p w:rsidR="00B6146F" w:rsidRPr="00F01BB5" w:rsidRDefault="00B6146F" w:rsidP="00B6146F">
      <w:pPr>
        <w:pStyle w:val="NormalHanging12a"/>
      </w:pPr>
      <w:r w:rsidRPr="00F01BB5">
        <w:t>Y.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Rosja odpowiada za światowy kryzys bezpieczeństwa żywnościowego spowodowany jej wojną napastniczą przeciw Ukrainie i blokadą ukraińskich portów morskich; mając na uwadze, że od początku wojny Rosja wykorzystuje żywność i głód jako broń;</w:t>
      </w:r>
    </w:p>
    <w:p w:rsidR="00B6146F" w:rsidRPr="00F01BB5" w:rsidRDefault="00B6146F" w:rsidP="00B6146F">
      <w:pPr>
        <w:pStyle w:val="NormalHanging12a"/>
      </w:pPr>
      <w:r w:rsidRPr="00F01BB5">
        <w:t>Z.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w następstwie dwóch oświadczeń ad hoc złożonych przez Ukrainę zbrodnie wojenne, zbrodnie przeciwko ludzkości i zbrodnia ludobójstwa popełnione na terytorium Ukrainy od listopada 2013 r. podlegają jurysdykcji MTK, ale nie ma on jurysdykcji w odniesieniu do zbrodni agresji zdefiniowanej w art. 8a statutu rzymskiego, ponieważ ani Ukraina, ani Federacja Rosyjska nie ratyfikowały statutu rzymskiego i poprawek dotyczących zbrodni agresji; mając na uwadze, że UE popiera utworzenie specjalnego trybunału do spraw zbrodni agresji;</w:t>
      </w:r>
    </w:p>
    <w:p w:rsidR="00B6146F" w:rsidRPr="00F01BB5" w:rsidRDefault="00B6146F" w:rsidP="00B6146F">
      <w:pPr>
        <w:pStyle w:val="NormalHanging12a"/>
      </w:pPr>
      <w:r w:rsidRPr="00F01BB5">
        <w:lastRenderedPageBreak/>
        <w:t>AA.</w:t>
      </w:r>
      <w:r w:rsidRPr="00F01BB5">
        <w:tab/>
        <w:t xml:space="preserve">mając na uwadze, że środowisko naturalne Ukrainy jest jednym ze szczególnych celów wojny, ponieważ Rosja wyraźnie ucieka się do taktyki powodowania rozległych szkód w środowisku, takich jak wypalanie pól i lasów, nielegalny wyrąb w ukraińskich lasach oraz zanieczyszczanie wody i gleby odpadami chemicznymi, co skutkuje niszczeniem ukraińskiej ziemi i sprawia, że jest ona niezdatna do zamieszkania, a także ogranicza szanse przyszłych pokoleń na rozwój i dobrobyt; mając na uwadze, że zniszczenie zapory na </w:t>
      </w:r>
      <w:proofErr w:type="spellStart"/>
      <w:r w:rsidRPr="00F01BB5">
        <w:t>Kachowce</w:t>
      </w:r>
      <w:proofErr w:type="spellEnd"/>
      <w:r w:rsidRPr="00F01BB5">
        <w:t xml:space="preserve"> 6 czerwca 2023 r. jest wyraźnym przykładem działań Rosji, które w nadchodzących latach będą nadal powodować dewastację ekologiczną;</w:t>
      </w:r>
    </w:p>
    <w:p w:rsidR="00B6146F" w:rsidRPr="00F01BB5" w:rsidRDefault="00B6146F" w:rsidP="00B6146F">
      <w:pPr>
        <w:pStyle w:val="NormalHanging12a"/>
      </w:pPr>
      <w:r w:rsidRPr="00F01BB5">
        <w:t>AB.</w:t>
      </w:r>
      <w:r w:rsidRPr="00F01BB5">
        <w:tab/>
      </w:r>
      <w:proofErr w:type="gramStart"/>
      <w:r w:rsidRPr="00F01BB5">
        <w:t>mając</w:t>
      </w:r>
      <w:proofErr w:type="gramEnd"/>
      <w:r w:rsidRPr="00F01BB5">
        <w:t xml:space="preserve"> na uwadze, że 13 lutego 2024 r. </w:t>
      </w:r>
      <w:proofErr w:type="spellStart"/>
      <w:r w:rsidRPr="00F01BB5">
        <w:t>Maksim</w:t>
      </w:r>
      <w:proofErr w:type="spellEnd"/>
      <w:r w:rsidRPr="00F01BB5">
        <w:t xml:space="preserve"> </w:t>
      </w:r>
      <w:proofErr w:type="spellStart"/>
      <w:r w:rsidRPr="00F01BB5">
        <w:t>Kuzminow</w:t>
      </w:r>
      <w:proofErr w:type="spellEnd"/>
      <w:r w:rsidRPr="00F01BB5">
        <w:t>, były rosyjski pilot śmigłowca, który w 2023 r. uciekł do Ukrainy, został znaleziony martwy w Hiszpanii, a jego zabójstwa mieli dokonać uzbrojeni napastnicy wysłani przez rząd rosyjski; mając na uwadze, że w ciągu ostatnich kilkudziesięciu lat rosyjskie służby wywiadowcze przeprowadziły na terytorium UE szereg śmiałych tajnych operacji, w tym zabójstw;</w:t>
      </w:r>
    </w:p>
    <w:p w:rsidR="00B6146F" w:rsidRPr="00F01BB5" w:rsidRDefault="00B6146F" w:rsidP="00B6146F">
      <w:pPr>
        <w:pStyle w:val="NormalHanging12a"/>
      </w:pPr>
      <w:r w:rsidRPr="00F01BB5">
        <w:t>1.</w:t>
      </w:r>
      <w:r w:rsidRPr="00F01BB5">
        <w:tab/>
      </w:r>
      <w:proofErr w:type="gramStart"/>
      <w:r w:rsidRPr="00F01BB5">
        <w:t>ponownie</w:t>
      </w:r>
      <w:proofErr w:type="gramEnd"/>
      <w:r w:rsidRPr="00F01BB5">
        <w:t xml:space="preserve"> wyraża niezachwianą solidarność z narodem i przywódcami Ukrainy oraz w pełni popiera niepodległość, suwerenność i integralność terytorialną Ukrainy w granicach uznanych na arenie międzynarodowej;</w:t>
      </w:r>
    </w:p>
    <w:p w:rsidR="00B6146F" w:rsidRPr="00F01BB5" w:rsidRDefault="00B6146F" w:rsidP="00B6146F">
      <w:pPr>
        <w:pStyle w:val="NormalHanging12a"/>
      </w:pPr>
      <w:r w:rsidRPr="00F01BB5">
        <w:t>2.</w:t>
      </w:r>
      <w:r w:rsidRPr="00F01BB5">
        <w:tab/>
      </w:r>
      <w:proofErr w:type="gramStart"/>
      <w:r w:rsidRPr="00F01BB5">
        <w:t>po</w:t>
      </w:r>
      <w:proofErr w:type="gramEnd"/>
      <w:r w:rsidRPr="00F01BB5">
        <w:t xml:space="preserve"> raz kolejny zdecydowanie, w najostrzejszych słowach potępia bezprawną, niesprowokowaną i nieuzasadnioną wojnę napastniczą Rosji przeciw Ukrainie, a także zaangażowanie w nią reżimu białoruskiego; domaga się, aby Rosja i jej poplecznicy zaprzestali wszelkich działań wojskowych oraz aby Rosja wycofała wszystkie siły wojskowe, swoich popleczników i sprzęt wojskowy z całego uznanego przez społeczność międzynarodową terytorium Ukrainy; żąda zaprzestania i cofnięcia procesu osiedlania obywateli rosyjskich na tymczasowo okupowanych terytoriach Ukrainy;</w:t>
      </w:r>
    </w:p>
    <w:p w:rsidR="00B6146F" w:rsidRPr="00F01BB5" w:rsidRDefault="00B6146F" w:rsidP="00B6146F">
      <w:pPr>
        <w:pStyle w:val="NormalHanging12a"/>
      </w:pPr>
      <w:r w:rsidRPr="00F01BB5">
        <w:t>3.</w:t>
      </w:r>
      <w:r w:rsidRPr="00F01BB5">
        <w:tab/>
      </w:r>
      <w:proofErr w:type="gramStart"/>
      <w:r w:rsidRPr="00F01BB5">
        <w:t>przypomina</w:t>
      </w:r>
      <w:proofErr w:type="gramEnd"/>
      <w:r w:rsidRPr="00F01BB5">
        <w:t xml:space="preserve">, że rosyjska wojna napastnicza rozpoczęła się od bezprawnej aneksji Półwyspu Krymskiego w lutym 2014 r., po której nastąpiła okupacja części obwodu donieckiego i </w:t>
      </w:r>
      <w:proofErr w:type="spellStart"/>
      <w:r w:rsidRPr="00F01BB5">
        <w:t>ługańskiego</w:t>
      </w:r>
      <w:proofErr w:type="spellEnd"/>
      <w:r w:rsidRPr="00F01BB5">
        <w:t xml:space="preserve">; przypomina, że półwysep zamieniono w bazę wojskową i wykorzystano do rozpoczęcia </w:t>
      </w:r>
      <w:proofErr w:type="spellStart"/>
      <w:r w:rsidRPr="00F01BB5">
        <w:t>pełnoskalowej</w:t>
      </w:r>
      <w:proofErr w:type="spellEnd"/>
      <w:r w:rsidRPr="00F01BB5">
        <w:t xml:space="preserve"> inwazji w 2022 r.;</w:t>
      </w:r>
    </w:p>
    <w:p w:rsidR="00B6146F" w:rsidRPr="00F01BB5" w:rsidRDefault="00B6146F" w:rsidP="00B6146F">
      <w:pPr>
        <w:pStyle w:val="NormalHanging12a"/>
      </w:pPr>
      <w:r w:rsidRPr="00F01BB5">
        <w:t>4.</w:t>
      </w:r>
      <w:r w:rsidRPr="00F01BB5">
        <w:tab/>
      </w:r>
      <w:proofErr w:type="gramStart"/>
      <w:r w:rsidRPr="00F01BB5">
        <w:t>potępia</w:t>
      </w:r>
      <w:proofErr w:type="gramEnd"/>
      <w:r w:rsidRPr="00F01BB5">
        <w:t xml:space="preserve"> torturowanie i zabijanie ukraińskich jeńców wojennych i cywilów przez stronę rosyjską; wzywa do niezależnego badania i ścigania takich przestępstw oraz do wzmożenia wysiłków na rzecz wymiany więźniów między Ukrainą a Rosją;</w:t>
      </w:r>
    </w:p>
    <w:p w:rsidR="00B6146F" w:rsidRPr="00F01BB5" w:rsidRDefault="00B6146F" w:rsidP="00B6146F">
      <w:pPr>
        <w:pStyle w:val="NormalHanging12a"/>
      </w:pPr>
      <w:r w:rsidRPr="00F01BB5">
        <w:t>5.</w:t>
      </w:r>
      <w:r w:rsidRPr="00F01BB5">
        <w:tab/>
      </w:r>
      <w:proofErr w:type="gramStart"/>
      <w:r w:rsidRPr="00F01BB5">
        <w:t>potępia</w:t>
      </w:r>
      <w:proofErr w:type="gramEnd"/>
      <w:r w:rsidRPr="00F01BB5">
        <w:t xml:space="preserve"> rosyjskie próby negowania tożsamości etnicznej, językowej i historycznej Ukrainy i jej ludności, przejawiające się w usuwaniu oznak tożsamości ukraińskiej na okupowanych i zaanektowanych terytoriach, zakazie używania języka i symboli ukraińskich, intensywnej polityce „paszportyzacji” oraz powtarzających się próbach pisania na nowo historii przez prezydenta i innych urzędników rosyjskich;</w:t>
      </w:r>
    </w:p>
    <w:p w:rsidR="00B6146F" w:rsidRPr="00F01BB5" w:rsidRDefault="00B6146F" w:rsidP="00B6146F">
      <w:pPr>
        <w:pStyle w:val="NormalHanging12a"/>
      </w:pPr>
      <w:r w:rsidRPr="00F01BB5">
        <w:t>6.</w:t>
      </w:r>
      <w:r w:rsidRPr="00F01BB5">
        <w:tab/>
      </w:r>
      <w:proofErr w:type="gramStart"/>
      <w:r w:rsidRPr="00F01BB5">
        <w:t>uważa</w:t>
      </w:r>
      <w:proofErr w:type="gramEnd"/>
      <w:r w:rsidRPr="00F01BB5">
        <w:t>, że wynik wojny i stanowisko społeczności międzynarodowej odegrają kluczową rolę, gdyż wpłyną na przyszłe działania innych reżimów autorytarnych, które uważnie obserwują przebieg wojny i oceniają, na ile same mogłyby rozwinąć agresywną politykę zagraniczną, w tym środkami wojskowymi;</w:t>
      </w:r>
    </w:p>
    <w:p w:rsidR="00B6146F" w:rsidRPr="00F01BB5" w:rsidRDefault="00B6146F" w:rsidP="00B6146F">
      <w:pPr>
        <w:pStyle w:val="NormalHanging12a"/>
      </w:pPr>
      <w:r w:rsidRPr="00F01BB5">
        <w:t>7.</w:t>
      </w:r>
      <w:r w:rsidRPr="00F01BB5">
        <w:tab/>
      </w:r>
      <w:proofErr w:type="gramStart"/>
      <w:r w:rsidRPr="00F01BB5">
        <w:t>podkreśla</w:t>
      </w:r>
      <w:proofErr w:type="gramEnd"/>
      <w:r w:rsidRPr="00F01BB5">
        <w:t xml:space="preserve">, że głównym celem Ukrainy jest wygranie wojny z Rosją, co oznacza wyparcie wszystkich sił Rosji oraz jej popleczników i sojuszników z uznanego na arenie międzynarodowej terytorium Ukrainy; uważa, że cel ten można osiągnąć tylko dzięki ciągłym, stabilnym i stale rosnącym dostawom wszystkich rodzajów broni </w:t>
      </w:r>
      <w:r w:rsidRPr="00F01BB5">
        <w:lastRenderedPageBreak/>
        <w:t>konwencjonalnej do Ukrainy, bez żadnych wyjątków;</w:t>
      </w:r>
    </w:p>
    <w:p w:rsidR="00B6146F" w:rsidRPr="00F01BB5" w:rsidRDefault="00B6146F" w:rsidP="00B6146F">
      <w:pPr>
        <w:pStyle w:val="NormalHanging12a"/>
      </w:pPr>
      <w:r w:rsidRPr="00F01BB5">
        <w:t>8.</w:t>
      </w:r>
      <w:r w:rsidRPr="00F01BB5">
        <w:tab/>
      </w:r>
      <w:proofErr w:type="gramStart"/>
      <w:r w:rsidRPr="00F01BB5">
        <w:t>wyraża</w:t>
      </w:r>
      <w:proofErr w:type="gramEnd"/>
      <w:r w:rsidRPr="00F01BB5">
        <w:t xml:space="preserve"> uznanie dla odporności i determinacji narodu ukraińskiego w dążeniu do wcielania w życie wartości demokratycznych, reform i aspiracji do integracji z euroatlantycką wspólnotą narodów;</w:t>
      </w:r>
    </w:p>
    <w:p w:rsidR="00B6146F" w:rsidRDefault="00B6146F" w:rsidP="00B6146F">
      <w:pPr>
        <w:pStyle w:val="NormalHanging12a"/>
      </w:pPr>
      <w:r w:rsidRPr="00F01BB5">
        <w:t>9.</w:t>
      </w:r>
      <w:r w:rsidRPr="00F01BB5">
        <w:tab/>
      </w:r>
      <w:proofErr w:type="gramStart"/>
      <w:r w:rsidRPr="00F01BB5">
        <w:t>przypomina</w:t>
      </w:r>
      <w:proofErr w:type="gramEnd"/>
      <w:r w:rsidRPr="00F01BB5">
        <w:t xml:space="preserve"> o znaczeniu wyzwolenia i </w:t>
      </w:r>
      <w:proofErr w:type="spellStart"/>
      <w:r w:rsidRPr="00F01BB5">
        <w:t>deokupacji</w:t>
      </w:r>
      <w:proofErr w:type="spellEnd"/>
      <w:r w:rsidRPr="00F01BB5">
        <w:t xml:space="preserve"> Półwyspu Krymskiego, już od dekady znajdującego się pod rosyjską okupacją; przypomina, że obywatele półwyspu lojalni wobec Ukrainy, zwłaszcza rdzenni Tatarzy, są represjonowani, aresztowani i torturowani; przypomina, że rosyjskie siły okupacyjne nie szczędziły wysiłków, by wymazać dziedzictwo Tatarów i pamięć o obecności Ukrainy na półwyspie, oraz że nadal podejmują próby siłowej zmiany składu demograficznego ludności, co może stanowić akty ludobójstwa opisane w konwencji w sprawie zapobiegania zbrodniom ludobójstwa i karania ich; popiera dążenie Ukrainy do odzyskania Krymu, a zwłaszcza Platformę Krymską;</w:t>
      </w:r>
    </w:p>
    <w:p w:rsidR="00B6146F" w:rsidRPr="00F01BB5" w:rsidRDefault="00B6146F" w:rsidP="00B6146F">
      <w:pPr>
        <w:pStyle w:val="NormalHanging12a"/>
        <w:rPr>
          <w:szCs w:val="22"/>
        </w:rPr>
      </w:pPr>
      <w:r w:rsidRPr="00F01BB5">
        <w:t>10.</w:t>
      </w:r>
      <w:r w:rsidRPr="00F01BB5">
        <w:tab/>
      </w:r>
      <w:proofErr w:type="gramStart"/>
      <w:r w:rsidRPr="00F01BB5">
        <w:t>potwierdza</w:t>
      </w:r>
      <w:proofErr w:type="gramEnd"/>
      <w:r w:rsidRPr="00F01BB5">
        <w:t xml:space="preserve"> swoje poparcie dla stałej pomocy wojskowej dla Ukrainy, udzielanej tak długo, jak będzie to konieczne, i w każdej formie, jakiej Ukraina potrzebuje, by wygrać wojnę; wyraża uznanie dla dotychczasowych starań państw członkowskich udzielających Ukrainie wsparcia wojskowego i dla działań wiceprzewodniczącego Komisji / wysokiego przedstawiciela Unii do spraw zagranicznych i polityki bezpieczeństwa, który to wsparcie koordynuje; ponawia apel do państw członkowskich o znaczne zwiększenie i przyspieszenie wsparcia wojskowego, zwłaszcza o dostarczanie broni i amunicji w odpowiedzi na jasno ustalone potrzeby, aby nie tylko umożliwić Ukrainie obronę przed rosyjskimi atakami, ale również pozwolić jej odzyskać pełną kontrolę nad całym terytorium uznanym na </w:t>
      </w:r>
      <w:proofErr w:type="gramStart"/>
      <w:r w:rsidRPr="00F01BB5">
        <w:t>arenie</w:t>
      </w:r>
      <w:proofErr w:type="gramEnd"/>
      <w:r w:rsidRPr="00F01BB5">
        <w:t xml:space="preserve"> międzynarodowej; podkreśla, że niewystarczające i opóźnione dostawy broni i amunicji mogą osłabić dotychczasowe wysiłki; wyraża zaniepokojenie, że zakładane dostawy miliona sztuk amunicji nie zostaną zrealizowane zgodnie z obietnicą; wzywa państwa członkowskie i Europejską Służbę Działań Zewnętrznych (ESDZ) do przedstawienia Parlamentowi informacji o wcześniejszych dostawach pomocy wojskowej dla Ukrainy, w tym o audycie przeprowadzonym przez ESDZ, oraz o kwocie pomocy, jaką państwa członkowskie są gotowe przekazać w 2024 r.;</w:t>
      </w:r>
    </w:p>
    <w:p w:rsidR="00B6146F" w:rsidRPr="00F01BB5" w:rsidRDefault="00B6146F" w:rsidP="00B6146F">
      <w:pPr>
        <w:pStyle w:val="NormalHanging12a"/>
      </w:pPr>
      <w:r w:rsidRPr="00F01BB5">
        <w:t>11.</w:t>
      </w:r>
      <w:r w:rsidRPr="00F01BB5">
        <w:tab/>
      </w:r>
      <w:proofErr w:type="gramStart"/>
      <w:r w:rsidRPr="00F01BB5">
        <w:t>uważa</w:t>
      </w:r>
      <w:proofErr w:type="gramEnd"/>
      <w:r w:rsidRPr="00F01BB5">
        <w:t xml:space="preserve">, że nie powinno mieć miejsca samoograniczanie pomocy wojskowej dla Ukrainy; zwraca uwagę na ogromne różnice we wsparciu udzielanym przez państwa członkowskie UE, wyrażonym jako odsetek ich PKB; wzywa do niezbędnych inwestycji w europejską bazę przemysłową sektora obronnego, aby znacznie zwiększyć produkcję w celu zaspokojenia potrzeb Ukrainy i uzupełnienia uszczuplonych zapasów państw członkowskich UE; podkreśla, że Ukraina potrzebuje zwłaszcza zaawansowanych systemów obrony powietrznej, pocisków dalekiego zasięgu takich jak TAURUS, </w:t>
      </w:r>
      <w:proofErr w:type="spellStart"/>
      <w:r w:rsidRPr="00F01BB5">
        <w:t>Storm</w:t>
      </w:r>
      <w:proofErr w:type="spellEnd"/>
      <w:r w:rsidRPr="00F01BB5">
        <w:t xml:space="preserve"> </w:t>
      </w:r>
      <w:proofErr w:type="spellStart"/>
      <w:r w:rsidRPr="00F01BB5">
        <w:t>Shadow</w:t>
      </w:r>
      <w:proofErr w:type="spellEnd"/>
      <w:r w:rsidRPr="00F01BB5">
        <w:t xml:space="preserve">/SCALP, nowoczesnych samolotów bojowych, różnego rodzaju artylerii i amunicji (zwłaszcza pocisków kalibru 155 mm), dronów i broni do ich zwalczania; popiera propozycję, by wszystkie państwa członkowskie UE i sojusznicy NATO </w:t>
      </w:r>
      <w:proofErr w:type="gramStart"/>
      <w:r w:rsidRPr="00F01BB5">
        <w:t>udzielali</w:t>
      </w:r>
      <w:proofErr w:type="gramEnd"/>
      <w:r w:rsidRPr="00F01BB5">
        <w:t xml:space="preserve"> Ukrainie wsparcia militarnego w wysokości co najmniej 0,25 % ich PKB rocznie; apeluje o ogólne zwiększenie pułapu finansowego Europejskiego Instrumentu na rzecz Pokoju i o wykorzystanie go m.in. jako wspólnego punktu zamawiania amunicji dostępnej na rynku światowym w celu zaspokojenia potrzeb Ukrainy; wzywa rządy państw członkowskich do natychmiastowego nawiązania dialogu z przedsiębiorstwami w sektorze obronnym, aby zagwarantować, że produkcja i dostawa zwłaszcza amunicji, pocisków i rakiet dla Ukrainy będzie </w:t>
      </w:r>
      <w:r w:rsidRPr="00F01BB5">
        <w:lastRenderedPageBreak/>
        <w:t xml:space="preserve">traktowana priorytetowo w stosunku do zamówień z innych państw trzecich; wzywa UE i jej państwa członkowskie do zbadania możliwości tworzenia wspólnych przedsięwzięć i ścisłej współpracy z przemysłem obronnym z państw trzecich </w:t>
      </w:r>
      <w:proofErr w:type="gramStart"/>
      <w:r w:rsidRPr="00F01BB5">
        <w:t>o</w:t>
      </w:r>
      <w:proofErr w:type="gramEnd"/>
      <w:r w:rsidRPr="00F01BB5">
        <w:t xml:space="preserve"> podobnych poglądach w celu dostarczenia Ukrainie niezbędnej amunicji; nalega zwłaszcza na największe państwa członkowskie o znacznych zdolnościach przemysłu obronnego, aby znacznie i pilnie zwiększyły pomoc wojskową dla Ukrainy; wzywa Izbę Reprezentantów USA do niezwłocznego przyjęcia pakietu pomocy wojskowej dla Ukrainy;</w:t>
      </w:r>
    </w:p>
    <w:p w:rsidR="00B6146F" w:rsidRPr="00F01BB5" w:rsidRDefault="00B6146F" w:rsidP="00B6146F">
      <w:pPr>
        <w:pStyle w:val="NormalHanging12a"/>
      </w:pPr>
      <w:r w:rsidRPr="00F01BB5">
        <w:t>12.</w:t>
      </w:r>
      <w:r w:rsidRPr="00F01BB5">
        <w:tab/>
      </w:r>
      <w:proofErr w:type="gramStart"/>
      <w:r w:rsidRPr="00F01BB5">
        <w:t>wzywa</w:t>
      </w:r>
      <w:proofErr w:type="gramEnd"/>
      <w:r w:rsidRPr="00F01BB5">
        <w:t xml:space="preserve"> UE i jej państwa członkowskie, aby wywiązały się z zobowiązań zawartych w deklaracji wersalskiej z 2022 r. oraz przyspieszyły pełne wdrożenie Strategicznego kompasu, znacznie intensyfikując europejską współpracę wojskową na poziomie przemysłu i sił zbrojnych, dzięki czemu UE stanie się solidniejszym i sprawniejszym podmiotem zapewniającym bezpieczeństwo, który będzie działał </w:t>
      </w:r>
      <w:proofErr w:type="spellStart"/>
      <w:r w:rsidRPr="00F01BB5">
        <w:t>interoperacyjnie</w:t>
      </w:r>
      <w:proofErr w:type="spellEnd"/>
      <w:r w:rsidRPr="00F01BB5">
        <w:t xml:space="preserve"> i uzupełniał działania NATO; z zadowoleniem przyjmuje zwiększone budżety i inwestycje państw członkowskich i instytucji UE w dziedzinie obronności oraz wzywa do zwiększenia ukierunkowanych wydatków, wspólnych zamówień i wspólnych inwestycji w badania i rozwój w tej dziedzinie; podkreśla, że należy podjąć konkretne działania w kierunku włączenia Ukrainy do polityki i programów UE w dziedzinie obronności i </w:t>
      </w:r>
      <w:proofErr w:type="spellStart"/>
      <w:r w:rsidRPr="00F01BB5">
        <w:t>cyberbezpieczeństwa</w:t>
      </w:r>
      <w:proofErr w:type="spellEnd"/>
      <w:r w:rsidRPr="00F01BB5">
        <w:t xml:space="preserve"> w okresie kandydowania do członkostwa w UE;</w:t>
      </w:r>
    </w:p>
    <w:p w:rsidR="00B6146F" w:rsidRPr="00F01BB5" w:rsidRDefault="00B6146F" w:rsidP="00B6146F">
      <w:pPr>
        <w:pStyle w:val="NormalHanging12a"/>
      </w:pPr>
      <w:r w:rsidRPr="00F01BB5">
        <w:t>13.</w:t>
      </w:r>
      <w:r w:rsidRPr="00F01BB5">
        <w:tab/>
      </w:r>
      <w:proofErr w:type="gramStart"/>
      <w:r w:rsidRPr="00F01BB5">
        <w:t>z</w:t>
      </w:r>
      <w:proofErr w:type="gramEnd"/>
      <w:r w:rsidRPr="00F01BB5">
        <w:t xml:space="preserve"> zadowoleniem przyjmuje podpisanie umów o bezpieczeństwie między Ukrainą a Zjednoczonym Królestwem, Niemcami, Francją, Danią i Włochami zgodnie ze wspólną deklaracją G7 w sprawie wsparcia dla Ukrainy oraz wzywa innych partnerów o podobnych poglądach do pójścia tym śladem; podkreśla, że tych umów o bezpieczeństwie nie można uznać za substytut przyszłego członkostwa w NATO; z zadowoleniem przyjmuje poczynione postępy, jeśli chodzi o szczegóły praktyczne i pułap finansowy nowego Funduszu Pomocy Ukrainie w ramach Europejskiego Instrumentu na rzecz Pokoju, który ma wspierać dostawy sprzętu wojskowego do Ukrainy poprzez wspólne europejskie zamówienia publiczne;</w:t>
      </w:r>
    </w:p>
    <w:p w:rsidR="00B6146F" w:rsidRPr="00F01BB5" w:rsidRDefault="00B6146F" w:rsidP="00B6146F">
      <w:pPr>
        <w:pStyle w:val="NormalHanging12a"/>
      </w:pPr>
      <w:r w:rsidRPr="00F01BB5">
        <w:t>14.</w:t>
      </w:r>
      <w:r w:rsidRPr="00F01BB5">
        <w:tab/>
      </w:r>
      <w:proofErr w:type="gramStart"/>
      <w:r w:rsidRPr="00F01BB5">
        <w:t>ponownie</w:t>
      </w:r>
      <w:proofErr w:type="gramEnd"/>
      <w:r w:rsidRPr="00F01BB5">
        <w:t xml:space="preserve"> wyraża poparcie dla formuły pokojowej przedstawionej przez prezydenta Ukrainy </w:t>
      </w:r>
      <w:proofErr w:type="spellStart"/>
      <w:r w:rsidRPr="00F01BB5">
        <w:t>Wołodymyra</w:t>
      </w:r>
      <w:proofErr w:type="spellEnd"/>
      <w:r w:rsidRPr="00F01BB5">
        <w:t xml:space="preserve"> </w:t>
      </w:r>
      <w:proofErr w:type="spellStart"/>
      <w:r w:rsidRPr="00F01BB5">
        <w:t>Zełenskiego</w:t>
      </w:r>
      <w:proofErr w:type="spellEnd"/>
      <w:r w:rsidRPr="00F01BB5">
        <w:t>; uważa, że jest to kompleksowy plan przywrócenia integralności terytorialnej Ukrainy; przypomina, że 10 punktów planu znalazło odzwierciedlenie w rezolucji Zgromadzenia Ogólnego ONZ ES-11/6 z 23 lutego 2023 r. w sprawie zasad Karty Narodów Zjednoczonych leżących u podstaw wszechstronnego, sprawiedliwego i trwałego pokoju w Ukrainie;</w:t>
      </w:r>
    </w:p>
    <w:p w:rsidR="00B6146F" w:rsidRPr="00F01BB5" w:rsidRDefault="00B6146F" w:rsidP="00B6146F">
      <w:pPr>
        <w:pStyle w:val="NormalHanging12a"/>
        <w:rPr>
          <w:shd w:val="clear" w:color="auto" w:fill="FFFFFF"/>
        </w:rPr>
      </w:pPr>
      <w:r w:rsidRPr="00F01BB5">
        <w:t>15.</w:t>
      </w:r>
      <w:r w:rsidRPr="00F01BB5">
        <w:tab/>
      </w:r>
      <w:proofErr w:type="gramStart"/>
      <w:r w:rsidRPr="00F01BB5">
        <w:t>ponownie</w:t>
      </w:r>
      <w:proofErr w:type="gramEnd"/>
      <w:r w:rsidRPr="00F01BB5">
        <w:t xml:space="preserve"> wzywa Komisję, wiceprzewodniczącego / wysokiego przedstawiciela i państwa członkowskie, aby współpracowali z Ukrainą i społecznością międzynarodową w celu ustanowienia specjalnego trybunału, który zbada i będzie ścigał zbrodnię agresji popełnioną przeciwko Ukrainie przez rosyjskich przywódców i ich sojuszników, takich jak reżim na Białorusi;</w:t>
      </w:r>
      <w:r w:rsidRPr="00F01BB5">
        <w:rPr>
          <w:shd w:val="clear" w:color="auto" w:fill="FFFFFF"/>
        </w:rPr>
        <w:t xml:space="preserve"> z zadowoleniem przyjmuje utworzenie w Hadze Międzynarodowego Centrum Ścigania Zbrodni Agresji przeciwko Ukrainie;</w:t>
      </w:r>
    </w:p>
    <w:p w:rsidR="00B6146F" w:rsidRPr="00F01BB5" w:rsidRDefault="00B6146F" w:rsidP="00B6146F">
      <w:pPr>
        <w:pStyle w:val="NormalHanging12a"/>
        <w:rPr>
          <w:shd w:val="clear" w:color="auto" w:fill="FFFFFF"/>
        </w:rPr>
      </w:pPr>
      <w:r w:rsidRPr="00F01BB5">
        <w:rPr>
          <w:shd w:val="clear" w:color="auto" w:fill="FFFFFF"/>
        </w:rPr>
        <w:t>16.</w:t>
      </w:r>
      <w:r w:rsidRPr="00F01BB5">
        <w:rPr>
          <w:shd w:val="clear" w:color="auto" w:fill="FFFFFF"/>
        </w:rPr>
        <w:tab/>
      </w:r>
      <w:proofErr w:type="gramStart"/>
      <w:r w:rsidRPr="00F01BB5">
        <w:rPr>
          <w:shd w:val="clear" w:color="auto" w:fill="FFFFFF"/>
        </w:rPr>
        <w:t>wyraża</w:t>
      </w:r>
      <w:proofErr w:type="gramEnd"/>
      <w:r w:rsidRPr="00F01BB5">
        <w:rPr>
          <w:shd w:val="clear" w:color="auto" w:fill="FFFFFF"/>
        </w:rPr>
        <w:t xml:space="preserve"> pełne poparcie dla prowadzonego przez prokuratora MTK dochodzenia w sprawie sytuacji w Ukrainie w związku z domniemanymi zbrodniami wojennymi, zbrodniami przeciwko ludzkości i ludobójstwem; wzywa Ukrainę, aby ratyfikowała Rzymski Statut Międzynarodowego Trybunału Karnego wraz z poprawkami oraz formalnie przystąpiła do MTK w celu wsparcia międzynarodowych wysiłków na rzecz rozliczenia poważnych zbrodni międzynarodowych; wzywa UE do podjęcia dalszych wysiłków dyplomatycznych, aby propagować ratyfikację statutu rzymskiego i </w:t>
      </w:r>
      <w:r w:rsidRPr="00F01BB5">
        <w:rPr>
          <w:shd w:val="clear" w:color="auto" w:fill="FFFFFF"/>
        </w:rPr>
        <w:lastRenderedPageBreak/>
        <w:t>wszystkich poprawek do niego w skali globalnej;</w:t>
      </w:r>
    </w:p>
    <w:p w:rsidR="00B6146F" w:rsidRPr="00F01BB5" w:rsidRDefault="00B6146F" w:rsidP="00B6146F">
      <w:pPr>
        <w:pStyle w:val="NormalHanging12a"/>
      </w:pPr>
      <w:r w:rsidRPr="00F01BB5">
        <w:rPr>
          <w:shd w:val="clear" w:color="auto" w:fill="FFFFFF"/>
        </w:rPr>
        <w:t>17.</w:t>
      </w:r>
      <w:r w:rsidRPr="00F01BB5">
        <w:rPr>
          <w:shd w:val="clear" w:color="auto" w:fill="FFFFFF"/>
        </w:rPr>
        <w:tab/>
      </w:r>
      <w:proofErr w:type="gramStart"/>
      <w:r w:rsidRPr="00F01BB5">
        <w:rPr>
          <w:shd w:val="clear" w:color="auto" w:fill="FFFFFF"/>
        </w:rPr>
        <w:t>stwierdza</w:t>
      </w:r>
      <w:proofErr w:type="gramEnd"/>
      <w:r w:rsidRPr="00F01BB5">
        <w:rPr>
          <w:shd w:val="clear" w:color="auto" w:fill="FFFFFF"/>
        </w:rPr>
        <w:t xml:space="preserve"> ze zgrozą, że rosyjska wojna napastnicza przeciwko Ukrainie spowodowała jedne z najszybciej rosnących pod względem liczby przesiedleń dzieci na dużą skalę od czasów drugiej wojny światowej; </w:t>
      </w:r>
      <w:r w:rsidRPr="00F01BB5">
        <w:t>przypomina, że w wyniku masowych ataków na infrastrukturę cywilną ukraińskie dzieci są w ogromnej mierze pozbawione dostępu do podstawowych usług, takich jak edukacja i opieka zdrowotna, w szczególności wsparcie w zakresie zdrowia psychicznego;</w:t>
      </w:r>
    </w:p>
    <w:p w:rsidR="00B6146F" w:rsidRPr="00F01BB5" w:rsidRDefault="00B6146F" w:rsidP="00B6146F">
      <w:pPr>
        <w:pStyle w:val="NormalHanging12a"/>
      </w:pPr>
      <w:r w:rsidRPr="00F01BB5">
        <w:t>18.</w:t>
      </w:r>
      <w:r w:rsidRPr="00F01BB5">
        <w:tab/>
      </w:r>
      <w:proofErr w:type="gramStart"/>
      <w:r w:rsidRPr="00F01BB5">
        <w:t>przypomina</w:t>
      </w:r>
      <w:proofErr w:type="gramEnd"/>
      <w:r w:rsidRPr="00F01BB5">
        <w:t>, że ciągła przymusowa relokacja i deportacja ukraińskich dzieci, w tym dzieci z placówek opiekuńczych, do Rosji i na Białoruś oraz ich przymusowa adopcja przez rosyjskie rodziny stanowią naruszenie prawa ukraińskiego i międzynarodowego;</w:t>
      </w:r>
      <w:r w:rsidRPr="00F01BB5">
        <w:rPr>
          <w:shd w:val="clear" w:color="auto" w:fill="FFFFFF"/>
        </w:rPr>
        <w:t xml:space="preserve"> podkreśla,</w:t>
      </w:r>
      <w:r w:rsidRPr="00F01BB5">
        <w:t xml:space="preserve"> że przymusowe przekazywanie dzieci z jednej grupy do innej grupy stanowi zbrodnię ludobójstwa zgodnie z art. II konwencji o ludobójstwie; żąda, aby władze rosyjskie i białoruskie zapewniły natychmiastowy powrót wszystkich ukraińskich dzieci; pochwala wysiłki lokalnych organizacji ukraińskich, które w poszczególnych przypadkach wspierają rodziców i rodziny w poszukiwaniach dzieci i w walce o ich bezpieczny powrót;</w:t>
      </w:r>
    </w:p>
    <w:p w:rsidR="00B6146F" w:rsidRDefault="00B6146F" w:rsidP="00B6146F">
      <w:pPr>
        <w:pStyle w:val="NormalHanging12a"/>
      </w:pPr>
      <w:r w:rsidRPr="00F01BB5">
        <w:t>19.</w:t>
      </w:r>
      <w:r w:rsidRPr="00F01BB5">
        <w:tab/>
      </w:r>
      <w:proofErr w:type="gramStart"/>
      <w:r w:rsidRPr="00F01BB5">
        <w:t>ponownie</w:t>
      </w:r>
      <w:proofErr w:type="gramEnd"/>
      <w:r w:rsidRPr="00F01BB5">
        <w:t xml:space="preserve"> potępia przymusową deportację ukraińskich cywilów do Rosji, na terytoria Ukrainy tymczasowo okupowane przez Rosję i na Białoruś; wzywa wszystkie państwa i organizacje międzynarodowe do wywierania presji na Rosję, aby umożliwiła powrót wszystkich przymusowo deportowanych i nielegalnie uwięzionych ukraińskich cywilów, zwłaszcza dzieci, oraz ciał wszystkich, którzy zmarli w niewoli; wzywa UE i państwa członkowskie, aby intensywniej poszukiwały mechanizmów ułatwiających uwolnienie ukraińskich cywilów nielegalnie przetrzymywanych przez Rosję, na przykład za pośrednictwem mechanizmów ONZ;</w:t>
      </w:r>
    </w:p>
    <w:p w:rsidR="003B2FC0" w:rsidRPr="005F0476" w:rsidRDefault="003B2FC0" w:rsidP="003B2FC0">
      <w:pPr>
        <w:pStyle w:val="NormalHanging12a"/>
      </w:pPr>
      <w:r>
        <w:t>20</w:t>
      </w:r>
      <w:r w:rsidRPr="009B0F45">
        <w:t>.</w:t>
      </w:r>
      <w:r w:rsidRPr="009B0F45">
        <w:tab/>
      </w:r>
      <w:proofErr w:type="gramStart"/>
      <w:r w:rsidRPr="009B0F45">
        <w:t>ubolewa</w:t>
      </w:r>
      <w:proofErr w:type="gramEnd"/>
      <w:r w:rsidRPr="009B0F45">
        <w:t xml:space="preserve"> nad faktem, że dyrektywę w sprawie tymczasowej ochrony interpretuje się tak wąsko, że wiele kobiet, które uciekły przed rosyjską wojną napastniczą, nie ma dostępu do opieki aborcyjnej ani do innych zabiegów związanych ze zdrowiem seksualnym i reprodukcyjnym, w tym do leczenia w następstwie wykorzystania seksualnego; jest zbulwersowany faktem, że w rezultacie wiele kobiet zostało zmuszonych do powrotu do ogarniętej wojną Ukrainy, aby uzyskać dostęp do usług w zakresie zdrowia seksualnego i reprodukcyjnego i związanych z nimi praw oraz opieki reprodukcyjnej; apeluje do Komisji o przegląd dyrektywy, tak aby wszystkie państwa członkowskie musiały zapewniać taką samą opiekę, jaką kobiety otrzymałyby </w:t>
      </w:r>
      <w:proofErr w:type="gramStart"/>
      <w:r w:rsidRPr="009B0F45">
        <w:t>w</w:t>
      </w:r>
      <w:proofErr w:type="gramEnd"/>
      <w:r w:rsidRPr="009B0F45">
        <w:t xml:space="preserve"> Ukrainie;</w:t>
      </w:r>
    </w:p>
    <w:p w:rsidR="00B6146F" w:rsidRPr="00F01BB5" w:rsidRDefault="00B6146F" w:rsidP="00B6146F">
      <w:pPr>
        <w:pStyle w:val="NormalHanging12a"/>
      </w:pPr>
      <w:bookmarkStart w:id="6" w:name="_GoBack"/>
      <w:bookmarkEnd w:id="6"/>
      <w:r w:rsidRPr="00F01BB5">
        <w:t>2</w:t>
      </w:r>
      <w:r w:rsidR="003B2FC0">
        <w:t>1</w:t>
      </w:r>
      <w:r w:rsidRPr="00F01BB5">
        <w:t>.</w:t>
      </w:r>
      <w:r w:rsidRPr="00F01BB5">
        <w:tab/>
      </w:r>
      <w:proofErr w:type="gramStart"/>
      <w:r w:rsidRPr="00F01BB5">
        <w:t>potępia</w:t>
      </w:r>
      <w:proofErr w:type="gramEnd"/>
      <w:r w:rsidRPr="00F01BB5">
        <w:t xml:space="preserve"> zamiar przeprowadzenia przez Rosję na tymczasowo okupowanych terytoriach Ukrainy wyborów prezydenckich w dniach 15–17 marca 2024 r. i podkreśla, że nie uzna wyników tych nielegalnych wyborów;</w:t>
      </w:r>
    </w:p>
    <w:p w:rsidR="00B6146F" w:rsidRPr="00F01BB5" w:rsidRDefault="00B6146F" w:rsidP="00B6146F">
      <w:pPr>
        <w:pStyle w:val="NormalHanging12a"/>
      </w:pPr>
      <w:r w:rsidRPr="00F01BB5">
        <w:t>2</w:t>
      </w:r>
      <w:r w:rsidR="003B2FC0">
        <w:t>2</w:t>
      </w:r>
      <w:r w:rsidRPr="00F01BB5">
        <w:t>.</w:t>
      </w:r>
      <w:r w:rsidRPr="00F01BB5">
        <w:tab/>
      </w:r>
      <w:proofErr w:type="gramStart"/>
      <w:r w:rsidRPr="00F01BB5">
        <w:t>ponownie</w:t>
      </w:r>
      <w:proofErr w:type="gramEnd"/>
      <w:r w:rsidRPr="00F01BB5">
        <w:t xml:space="preserve"> apeluje o innowacyjne, komplementarne i elastyczne powiązanie trwających prac nad wdrożeniem obowiązującego układu o stowarzyszeniu i negocjacji akcesyjnych, co pozwoli Ukrainie na stopniową integrację z jednolitym rynkiem UE i udział w programach sektorowych, w tym da jej dostęp do funduszy unijnych w odpowiednich obszarach, tak aby Ukrainki i Ukraińcy mogli czerpać korzyści już w trakcie przystępowania do UE, a nie dopiero po zakończeniu tego procesu; z zadowoleniem przyjmuje udane działania Ukrainy, które umożliwiły wznowienie transportu ukraińskiego zboża przez Morze Czarne i dostarczanie go na tradycyjne rynki; wzywa odpowiednie zainteresowane strony międzynarodowe, aby trwale </w:t>
      </w:r>
      <w:r w:rsidRPr="00F01BB5">
        <w:lastRenderedPageBreak/>
        <w:t xml:space="preserve">zabezpieczyły te osiągnięcia i wolność żeglugi </w:t>
      </w:r>
      <w:proofErr w:type="gramStart"/>
      <w:r w:rsidRPr="00F01BB5">
        <w:t>na</w:t>
      </w:r>
      <w:proofErr w:type="gramEnd"/>
      <w:r w:rsidRPr="00F01BB5">
        <w:t xml:space="preserve"> Morzu Czarnym w celach handlowych; popiera propozycję Komisji, aby przedłużyć zawieszenie ceł importowych i kontyngentów na eksport towarów z Ukrainy do UE; wzywa Komisję, aby reagowała na wszelkie doniesienia o zakłóceniach rynku spowodowanych wojną napastniczą Rosji przeciw Ukrainie oraz korzyściami handlowymi przyznanymi Ukrainie; apeluje do Komisji i państw członkowskich, by przeanalizowały przyczyny wszelkich jednostronnych działań, takich jak blokady granic</w:t>
      </w:r>
      <w:r w:rsidR="005F0476">
        <w:t xml:space="preserve"> </w:t>
      </w:r>
      <w:r w:rsidR="005F0476" w:rsidRPr="003B2FC0">
        <w:rPr>
          <w:shd w:val="clear" w:color="auto" w:fill="FFFFFF"/>
        </w:rPr>
        <w:t>ustanowiły skuteczne środki monitorowania tranzytu ukraińskich produktów rolnych oraz wprowadziły środki łagodzące skutki dla europejskich rolników, których rozsądne protesty i żądania wykorzystuje i atakuje też rosyjska dezinformacja</w:t>
      </w:r>
      <w:r w:rsidRPr="00F01BB5">
        <w:t>; wzywa UE, jej państwa członkowskie, Organizację ds. Wyżywienia i Rolnictwa, Światową Organizację Handlu, Organizację Współpracy Gospodarczej i Rozwoju oraz inne podmioty, aby okazały większą solidarność i ustabilizowały rynek zbóż; wzywa UE i jej państwa członkowskie, aby powstrzymały import i tranzyt przez terytorium UE rosyjskiego zboża i zboża skradzionego z Ukrainy;</w:t>
      </w:r>
    </w:p>
    <w:p w:rsidR="00B6146F" w:rsidRPr="00F01BB5" w:rsidRDefault="00B6146F" w:rsidP="00B6146F">
      <w:pPr>
        <w:pStyle w:val="NormalHanging12a"/>
      </w:pPr>
      <w:r w:rsidRPr="00F01BB5">
        <w:t>2</w:t>
      </w:r>
      <w:r w:rsidR="003B2FC0">
        <w:t>3</w:t>
      </w:r>
      <w:r w:rsidRPr="00F01BB5">
        <w:t>.</w:t>
      </w:r>
      <w:r w:rsidRPr="00F01BB5">
        <w:tab/>
      </w:r>
      <w:proofErr w:type="gramStart"/>
      <w:r w:rsidRPr="00F01BB5">
        <w:t>podkreśla</w:t>
      </w:r>
      <w:proofErr w:type="gramEnd"/>
      <w:r w:rsidRPr="00F01BB5">
        <w:t>, że rosyjska wojna napastnicza zasadniczo zmieniła sytuację geopolityczną w Europie i poza nią i zagraża jej architekturze bezpieczeństwa oraz że reakcja na tę sytuację wymaga od UE śmiałych i kompleksowych decyzji dotyczących polityki, bezpieczeństwa i finansów;</w:t>
      </w:r>
    </w:p>
    <w:p w:rsidR="00B6146F" w:rsidRPr="00F01BB5" w:rsidRDefault="00B6146F" w:rsidP="00B6146F">
      <w:pPr>
        <w:pStyle w:val="NormalHanging12a"/>
      </w:pPr>
      <w:r w:rsidRPr="00F01BB5">
        <w:t>2</w:t>
      </w:r>
      <w:r w:rsidR="003B2FC0">
        <w:t>4</w:t>
      </w:r>
      <w:r w:rsidRPr="00F01BB5">
        <w:t>.</w:t>
      </w:r>
      <w:r w:rsidRPr="00F01BB5">
        <w:tab/>
      </w:r>
      <w:proofErr w:type="gramStart"/>
      <w:r w:rsidRPr="00F01BB5">
        <w:t>z</w:t>
      </w:r>
      <w:proofErr w:type="gramEnd"/>
      <w:r w:rsidRPr="00F01BB5">
        <w:t xml:space="preserve"> zadowoleniem przyjmuje decyzję Rady Europejskiej, aby rozpocząć negocjacje akcesyjne z Ukrainą, kiedy zostaną zrealizowane zalecenia Komisji; uważa, że członkostwo Ukrainy w UE stanowi geostrategiczną inwestycję w zjednoczoną i silną Europę i jest równoznaczne z wykazaniem się zdolnością do bycia liderem, determinacją i wizją;</w:t>
      </w:r>
    </w:p>
    <w:p w:rsidR="00B6146F" w:rsidRPr="00F01BB5" w:rsidRDefault="00B6146F" w:rsidP="00B6146F">
      <w:pPr>
        <w:pStyle w:val="NormalHanging12a"/>
      </w:pPr>
      <w:r w:rsidRPr="00F01BB5">
        <w:t>2</w:t>
      </w:r>
      <w:r w:rsidR="003B2FC0">
        <w:t>5</w:t>
      </w:r>
      <w:r w:rsidRPr="00F01BB5">
        <w:t>.</w:t>
      </w:r>
      <w:r w:rsidRPr="00F01BB5">
        <w:tab/>
      </w:r>
      <w:proofErr w:type="gramStart"/>
      <w:r w:rsidRPr="00F01BB5">
        <w:t>apeluje</w:t>
      </w:r>
      <w:proofErr w:type="gramEnd"/>
      <w:r w:rsidRPr="00F01BB5">
        <w:t xml:space="preserve"> do Rady i Komisji, aby jasno określiły ścieżkę negocjacji akcesyjnych, która pozwoli zapewnić wymierne korzyści dla społeczeństwa i obywateli Ukrainy od samego początku procesu przystąpienia; zwraca się do Rady, by zleciła Komisji natychmiastowe przedłożenie wniosków dotyczących odpowiednich ram negocjacyjnych i by przyjęła je po poczynieniu odpowiednich kroków określonych w odnośnych zaleceniach Komisji z 8 listopada 2023 r.;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2</w:t>
      </w:r>
      <w:r w:rsidR="003B2FC0">
        <w:t>6</w:t>
      </w:r>
      <w:r w:rsidRPr="00F01BB5">
        <w:t>.</w:t>
      </w:r>
      <w:r w:rsidRPr="00F01BB5">
        <w:tab/>
      </w:r>
      <w:proofErr w:type="gramStart"/>
      <w:r w:rsidRPr="00F01BB5">
        <w:t>przypomina</w:t>
      </w:r>
      <w:proofErr w:type="gramEnd"/>
      <w:r w:rsidRPr="00F01BB5">
        <w:t>, że proces przystąpienia do UE będzie oparty na osiągnięciach, a w metodyce rozszerzenia kładzie się nacisk na kluczowe obszary poszanowania praworządności, wartości podstawowych, praw człowieka, demokracji i walki z korupcją; uważa, że proces akcesyjny wyraźnie oparty na osiągnięciach leży w najlepszym interesie zarówno Ukrainy, jak i UE; zachęca UE i państwa członkowskie do zapewnienia Ukrainie większego wsparcia i pomocy na drodze do przystąpienia do UE, w tym wiedzy technicznej, budowania zdolności i reform instytucjonalnych niezbędnych do spełnienia kryteriów członkostwa;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2</w:t>
      </w:r>
      <w:r w:rsidR="003B2FC0">
        <w:t>7</w:t>
      </w:r>
      <w:r w:rsidRPr="00F01BB5">
        <w:t>.</w:t>
      </w:r>
      <w:r w:rsidRPr="00F01BB5">
        <w:tab/>
      </w:r>
      <w:proofErr w:type="gramStart"/>
      <w:r w:rsidRPr="00F01BB5">
        <w:t>wzywa</w:t>
      </w:r>
      <w:proofErr w:type="gramEnd"/>
      <w:r w:rsidRPr="00F01BB5">
        <w:t xml:space="preserve"> rząd Ukrainy do dalszego wzmacniania samorządu lokalnego, czyli reformy, która spotkała się z dużym uznaniem na szczeblu krajowym i międzynarodowym, oraz do potraktowania udanej decentralizacji jako podstawy strukturalnej procesu naprawy, odbudowy i rekonstrukcji Ukrainy; raz jeszcze podkreśla, że przedstawiciele samorządu lokalnego i społeczeństwa obywatelskiego w Ukrainie muszą być aktywnie zaangażowani w odbudowę i rekonstrukcję kraju, a proces ten musi spełniać najwyższe standardy przejrzystości i rozliczalności;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lastRenderedPageBreak/>
        <w:t>2</w:t>
      </w:r>
      <w:r w:rsidR="003B2FC0">
        <w:t>8</w:t>
      </w:r>
      <w:r w:rsidRPr="00F01BB5">
        <w:t>.</w:t>
      </w:r>
      <w:r w:rsidRPr="00F01BB5">
        <w:tab/>
      </w:r>
      <w:proofErr w:type="gramStart"/>
      <w:r w:rsidRPr="00F01BB5">
        <w:t>z</w:t>
      </w:r>
      <w:proofErr w:type="gramEnd"/>
      <w:r w:rsidRPr="00F01BB5">
        <w:t xml:space="preserve"> zadowoleniem przyjmuje osiągnięte przez instytucje UE porozumienie co do zasady w sprawie ustanowienia Instrumentu na rzecz Ukrainy, który zapewni Ukrainie przewidywalną pomoc finansową, i apeluje o jego szybkiego uruchomienie; zwraca uwagę na wzmocnioną rolę Rady Najwyższej, podmiotów szczebla niższego niż krajowy i społeczeństwa obywatelskiego jako istotnych partnerów organu wykonawczego w określaniu priorytetów, które będą finansowane ze środków Planu Ukrainy, i podkreśla, że zwiększa to również nadzór nad Instrumentem i jego monitorowanie; wskazuje, że według najnowszej szybkiej oceny szkód i potrzeb przeprowadzonej przez Bank Światowy w następnym dziesięcioleciu potrzeba będzie co najmniej 452,8 mld EUR na odbudowę i rekonstrukcję Ukrainy; dlatego </w:t>
      </w:r>
      <w:proofErr w:type="gramStart"/>
      <w:r w:rsidRPr="00F01BB5">
        <w:t>podkreśla</w:t>
      </w:r>
      <w:proofErr w:type="gramEnd"/>
      <w:r w:rsidRPr="00F01BB5">
        <w:t>, że środki finansowe przewidziane w Instrumencie na rzecz Ukrainy nie będą wystarczające, i wzywa UE i państwa członkowskie, aby zobowiązały się do dodatkowego długofalowego finansowania na rzecz Ukrainy, w szczególności z uwagi na to, że najnowszy pakiet USA na rzecz Ukrainy jest wciąż blokowany w Kongresie;</w:t>
      </w:r>
    </w:p>
    <w:p w:rsidR="00B6146F" w:rsidRDefault="00B6146F" w:rsidP="00B6146F">
      <w:pPr>
        <w:pStyle w:val="NormalHanging12a"/>
      </w:pPr>
      <w:r w:rsidRPr="00F01BB5">
        <w:t>2</w:t>
      </w:r>
      <w:r w:rsidR="003B2FC0">
        <w:t>9</w:t>
      </w:r>
      <w:r w:rsidRPr="00F01BB5">
        <w:t>.</w:t>
      </w:r>
      <w:r w:rsidRPr="00F01BB5">
        <w:tab/>
      </w:r>
      <w:proofErr w:type="gramStart"/>
      <w:r w:rsidRPr="00F01BB5">
        <w:t>apeluje</w:t>
      </w:r>
      <w:proofErr w:type="gramEnd"/>
      <w:r w:rsidRPr="00F01BB5">
        <w:t xml:space="preserve"> do UE, państw członkowskich i partnerów o podobnych poglądach, aby udzielali kompleksowej i skoordynowanej pomocy politycznej, gospodarczej, technicznej i humanitarnej w celu wsparcia trwałej i </w:t>
      </w:r>
      <w:proofErr w:type="spellStart"/>
      <w:r w:rsidRPr="00F01BB5">
        <w:t>inkluzywnej</w:t>
      </w:r>
      <w:proofErr w:type="spellEnd"/>
      <w:r w:rsidRPr="00F01BB5">
        <w:t xml:space="preserve"> odbudowy i rekonstrukcji Ukrainy po wojnie, ze szczególnym naciskiem na odbudowę podstawowej infrastruktury, opieki zdrowotnej, edukacji i usług społecznych; </w:t>
      </w:r>
      <w:r w:rsidR="005F0476" w:rsidRPr="003B2FC0">
        <w:t>uważa, że w odbudowie Ukrainy priorytetem musi być dobrostan narodu ukraińskiego, a nie faworyzowanie oligarchów i zysków przedsiębiorstw;</w:t>
      </w:r>
      <w:r w:rsidR="005F0476" w:rsidRPr="005F0476">
        <w:t xml:space="preserve"> </w:t>
      </w:r>
      <w:r w:rsidRPr="00F01BB5">
        <w:t xml:space="preserve">wzywa UE i państwa członkowskie, aby dalej zapewniały rannym i cierpiącym żołnierzom i cywilom ukraińskim leczenie i rehabilitację, w tym wsparcie psychologiczne; apeluje, aby stale zwracać uwagę i przeznaczać większe wsparcie na usuwanie pozostawionych przez Rosjan </w:t>
      </w:r>
      <w:proofErr w:type="gramStart"/>
      <w:r w:rsidRPr="00F01BB5">
        <w:t>w</w:t>
      </w:r>
      <w:proofErr w:type="gramEnd"/>
      <w:r w:rsidRPr="00F01BB5">
        <w:t xml:space="preserve"> Ukrainie min, oraz o długoterminowy program rozminowywania;</w:t>
      </w:r>
    </w:p>
    <w:p w:rsidR="005F0476" w:rsidRPr="005F0476" w:rsidRDefault="003B2FC0" w:rsidP="00B6146F">
      <w:pPr>
        <w:pStyle w:val="NormalHanging12a"/>
        <w:rPr>
          <w:szCs w:val="24"/>
        </w:rPr>
      </w:pPr>
      <w:r w:rsidRPr="003B2FC0">
        <w:t>30</w:t>
      </w:r>
      <w:r w:rsidR="005F0476" w:rsidRPr="003B2FC0">
        <w:t>.</w:t>
      </w:r>
      <w:r w:rsidR="005F0476" w:rsidRPr="003B2FC0">
        <w:tab/>
      </w:r>
      <w:proofErr w:type="gramStart"/>
      <w:r w:rsidR="005F0476" w:rsidRPr="003B2FC0">
        <w:t>podkreśla</w:t>
      </w:r>
      <w:proofErr w:type="gramEnd"/>
      <w:r w:rsidR="005F0476" w:rsidRPr="003B2FC0">
        <w:t xml:space="preserve"> potrzebę wspierania Ukrainy w przywracaniu warunków, które umożliwią jej mieszkańcom powrót do bezpiecznego i dostatniego życia gospodarczego i społecznego, przezwyciężenie poważnych skutków wojny dla zdrowia psychicznego, powrót osób wewnętrznie przesiedlonych i uchodźców do domu, a w szczególności umożliwią młodszym pokoleniom tego kraju rozwój projektów osobistych, edukacyjnych i biznesowych; podkreśla ponadto, że podczas odbudowy i rekonstrukcji konieczne jest uwzględnienie obaw, potrzeb i wiedzy fachowej osób wewnętrznie przesiedlonych i uchodźców, ponieważ ich reintegracja ze społecznościami lokalnymi będzie miała kluczowe znaczenie dla wzmocnienia społecznej i instytucjonalnej odporności oraz jedności Ukrainy;</w:t>
      </w:r>
    </w:p>
    <w:p w:rsidR="00B6146F" w:rsidRPr="00F01BB5" w:rsidRDefault="003B2FC0" w:rsidP="00B6146F">
      <w:pPr>
        <w:pStyle w:val="NormalHanging12a"/>
        <w:rPr>
          <w:szCs w:val="24"/>
        </w:rPr>
      </w:pPr>
      <w:r>
        <w:t>31</w:t>
      </w:r>
      <w:r w:rsidR="00B6146F" w:rsidRPr="00F01BB5">
        <w:t>.</w:t>
      </w:r>
      <w:r w:rsidR="00B6146F" w:rsidRPr="00F01BB5">
        <w:tab/>
      </w:r>
      <w:proofErr w:type="gramStart"/>
      <w:r w:rsidR="00B6146F" w:rsidRPr="00F01BB5">
        <w:t>wzywa</w:t>
      </w:r>
      <w:proofErr w:type="gramEnd"/>
      <w:r w:rsidR="00B6146F" w:rsidRPr="00F01BB5">
        <w:t xml:space="preserve"> Radę, aby utrzymała i rozszerzyła politykę sankcji wobec Rosji i Białorusi i jednocześnie monitorowała, sprawdzała i zwiększała jej skuteczność i oddziaływanie; wzywa Komisję i państwa członkowskie, aby dopilnowały szybkiego wdrożenia i pełnego egzekwowania wszystkich 13 pakietów sankcji; zwraca się do Komisji, aby przeprowadziła ocenę skutków dotyczącą skuteczności sankcji pod względem utrudniania rosyjskich działań wojennych oraz obchodzenia sankcji; przypomina, że UE pracuje nad przepisami dotyczącymi uznawania naruszenia środków ograniczających za przestępstwo; ponawia apel do Komisji, ESDZ i państw członkowskich o opracowanie mechanizmu, który zapobiegałby obchodzeniu sankcji;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3</w:t>
      </w:r>
      <w:r w:rsidR="003B2FC0">
        <w:t>2</w:t>
      </w:r>
      <w:r w:rsidRPr="00F01BB5">
        <w:t>.</w:t>
      </w:r>
      <w:r w:rsidRPr="00F01BB5">
        <w:tab/>
      </w:r>
      <w:proofErr w:type="gramStart"/>
      <w:r w:rsidRPr="00F01BB5">
        <w:t>podkreśla</w:t>
      </w:r>
      <w:proofErr w:type="gramEnd"/>
      <w:r w:rsidRPr="00F01BB5">
        <w:t xml:space="preserve">, że trzeba wprowadzić zakaz importu rosyjskiego uranu i wyrobów hutniczych do UE, a także współpracy z rosyjskim sektorem jądrowym, a w szczególności z </w:t>
      </w:r>
      <w:proofErr w:type="spellStart"/>
      <w:r w:rsidRPr="00F01BB5">
        <w:t>Rosatomem</w:t>
      </w:r>
      <w:proofErr w:type="spellEnd"/>
      <w:r w:rsidRPr="00F01BB5">
        <w:t xml:space="preserve">; postuluje, aby wprowadzić natychmiastowe i pełne </w:t>
      </w:r>
      <w:r w:rsidRPr="00F01BB5">
        <w:lastRenderedPageBreak/>
        <w:t xml:space="preserve">embargo na import z Rosji do UE produktów rolnych i produktów rybołówstwa, a także paliw kopalnych i skroplonego gazu ziemnego transportowanych rurociągami podmorskimi, oraz aby we współpracy z partnerami z G7 dalej obniżać pułap cenowy rosyjskich produktów ropopochodnych po to, żeby zaprzestać finansowania rosyjskiej wojny Rosji ze środków UE; postuluje ponadto nałożenie sankcji na rosyjską flotę cieni, która przewozi ropę niebezpiecznymi statkami bez ubezpieczenia przez wody unijne i międzynarodowe, </w:t>
      </w:r>
      <w:proofErr w:type="gramStart"/>
      <w:r w:rsidRPr="00F01BB5">
        <w:t>oraz</w:t>
      </w:r>
      <w:proofErr w:type="gramEnd"/>
      <w:r w:rsidRPr="00F01BB5">
        <w:t xml:space="preserve"> objęcie sankcjami przedsiębiorstw z Chin i innych krajów pomagających Rosji w obchodzeniu sankcji; apeluje o rozszerzenie obecnego systemu zezwoleń wojskowych i systemu zezwoleń na produkty podwójnego zastosowania na znacznie większą grupę towarów istotnych dla wojny, w tym komponenty cyfrowe; apeluje o pełne zharmonizowanie sankcji wobec Białorusi z sankcjami wobec Rosji; apeluje, aby w globalnym systemie sankcji UE za naruszenia praw człowieka i w innych wykazach sankcji umieścić kolejne osoby wskazane przez Fundację Antykorupcyjną Aleksieja Nawalnego;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3</w:t>
      </w:r>
      <w:r w:rsidR="003B2FC0">
        <w:t>3</w:t>
      </w:r>
      <w:r w:rsidRPr="00F01BB5">
        <w:t>.</w:t>
      </w:r>
      <w:r w:rsidRPr="00F01BB5">
        <w:tab/>
      </w:r>
      <w:proofErr w:type="gramStart"/>
      <w:r w:rsidRPr="00F01BB5">
        <w:t>potępia</w:t>
      </w:r>
      <w:proofErr w:type="gramEnd"/>
      <w:r w:rsidRPr="00F01BB5">
        <w:t xml:space="preserve"> wszystkie kraje, które dostarczają Rosji sprzęt wojskowy i pomagają jej obchodzić nałożone na nią sankcje i unikać ich skutków, oraz wzywa UE, aby rygorystycznie ścigała przedsiębiorstwa, stowarzyszenia i osoby, które uczestniczą w obchodzeniu sankcji; wzywa UE, państwa członkowskie i ich sojuszników, aby zwiększyli skuteczność już nałożonych sankcji, podjęli pilne kroki w celu zablokowania wszelkich prób ich obchodzenia oraz by opracowali mechanizm sankcji wtórnych, który wyeliminowałby wszelkie luki prawne;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3</w:t>
      </w:r>
      <w:r w:rsidR="003B2FC0">
        <w:t>4</w:t>
      </w:r>
      <w:r w:rsidRPr="00F01BB5">
        <w:t>.</w:t>
      </w:r>
      <w:r w:rsidRPr="00F01BB5">
        <w:tab/>
      </w:r>
      <w:proofErr w:type="gramStart"/>
      <w:r w:rsidRPr="00F01BB5">
        <w:t>przypomina</w:t>
      </w:r>
      <w:proofErr w:type="gramEnd"/>
      <w:r w:rsidRPr="00F01BB5">
        <w:t xml:space="preserve"> przedsiębiorstwom, osobom fizycznym, instytucjom finansowym i innym podmiotom, które działają w Federacji Rosyjskiej lub na obszarach pod jej okupacją w Ukrainie, lub też mają łańcuchy wartości z nimi powiązane, w tym inwestorom, konsultantom, organizacjom pozarządowym i dostawcom usług w zakresie należytej staranności, że grozi im znaczne ryzyko operacyjne, prawne, gospodarcze i wizerunkowe związane z ich działalnością gospodarczą w Rosji i rosyjskimi powiązaniami; wzywa państwa członkowskie, aby zadbały w szczególności o to, by zaawansowane produkty technologiczne eksportowane do krajów trzecich nie trafiały do Rosji;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3</w:t>
      </w:r>
      <w:r w:rsidR="003B2FC0">
        <w:t>5</w:t>
      </w:r>
      <w:r w:rsidRPr="00F01BB5">
        <w:t>.</w:t>
      </w:r>
      <w:r w:rsidRPr="00F01BB5">
        <w:tab/>
      </w:r>
      <w:proofErr w:type="gramStart"/>
      <w:r w:rsidRPr="00F01BB5">
        <w:t>nalega</w:t>
      </w:r>
      <w:proofErr w:type="gramEnd"/>
      <w:r w:rsidRPr="00F01BB5">
        <w:t>, aby obchodzenie unijnego środka ograniczającego, w tym poprzez przenoszenie towarów do miejsca przeznaczenia, w którym ich import, eksport, sprzedaż, zakup, przekazywanie, tranzyt lub transport są ograniczone, było uznawane za przestępstwo na szczeblu UE; podkreśla, że dla egzekwowania prawa kluczowe znaczenie ma szybka kryminalizacja przez UE bezpośrednich naruszeń sankcji, w tym naruszeń wynikających z rażącego zaniedbania, a także pośrednich naruszeń sankcji poprzez obchodzenie unijnych środków ograniczających; z zadowoleniem przyjmuje osiągnięte niedawno między instytucjami UE porozumienie co do zasady w sprawie nowych przepisów kryminalizujących naruszanie sankcji UE;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3</w:t>
      </w:r>
      <w:r w:rsidR="003B2FC0">
        <w:t>6</w:t>
      </w:r>
      <w:r w:rsidRPr="00F01BB5">
        <w:t>.</w:t>
      </w:r>
      <w:r w:rsidRPr="00F01BB5">
        <w:tab/>
      </w:r>
      <w:proofErr w:type="gramStart"/>
      <w:r w:rsidRPr="00F01BB5">
        <w:t>potępia</w:t>
      </w:r>
      <w:proofErr w:type="gramEnd"/>
      <w:r w:rsidRPr="00F01BB5">
        <w:t xml:space="preserve"> rosyjską praktykę blokowania wszelkich działań na szczeblu ONZ zmierzających do pociągnięcia Federacji Rosyjskiej do odpowiedzialności za wojnę napastniczą przeciwko Ukrainie; wzywa UE i jej państwa członkowskie, aby podejmowały dalsze działania, które będą utrzymywać międzynarodową izolację Rosji, w tym jeśli chodzi o jej członkostwo w organizacjach i organach międzynarodowych, np. Radzie Bezpieczeństwa ONZ.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3</w:t>
      </w:r>
      <w:r w:rsidR="003B2FC0">
        <w:t>7</w:t>
      </w:r>
      <w:r w:rsidRPr="00F01BB5">
        <w:t>.</w:t>
      </w:r>
      <w:r w:rsidRPr="00F01BB5">
        <w:tab/>
      </w:r>
      <w:proofErr w:type="gramStart"/>
      <w:r w:rsidRPr="00F01BB5">
        <w:t>podkreśla</w:t>
      </w:r>
      <w:proofErr w:type="gramEnd"/>
      <w:r w:rsidRPr="00F01BB5">
        <w:t xml:space="preserve">, że trzeba pilnie ustanowić solidny system prawny, aby umożliwić konfiskatę </w:t>
      </w:r>
      <w:r w:rsidRPr="00F01BB5">
        <w:lastRenderedPageBreak/>
        <w:t xml:space="preserve">rosyjskich aktywów państwowych zamrożonych przez UE i przeznaczenie ich na usuwanie skutków napaści Rosji na Ukrainę, w tym na odbudowę tego kraju i odszkodowania dla ofiar rosyjskiej agresji, a tym samym na zwiększenie odporności Ukrainy; podkreśla swoje głębokie przekonanie, że po zakończeniu wojny należy nakazać Rosji zapłatę reparacji, aby zagwarantować, że znacznie przyczyni się ona do obudowy Ukrainy; z zadowoleniem przyjmuje utworzenie rejestru szkód spowodowanych rosyjską agresją, co stanowi pierwszy krok w kierunku ustanowienia międzynarodowego mechanizmu kompensacyjnego; w związku z tym z zadowoleniem przyjmuje decyzję Rady o odłożeniu – w </w:t>
      </w:r>
      <w:proofErr w:type="gramStart"/>
      <w:r w:rsidRPr="00F01BB5">
        <w:t>pierwszym</w:t>
      </w:r>
      <w:proofErr w:type="gramEnd"/>
      <w:r w:rsidRPr="00F01BB5">
        <w:t xml:space="preserve"> etapie – nadzwyczajnych dochodów uzyskanych z aktywów i rezerw Banku Centralnego Rosji zajętych w ramach sankcji UE, co pozwoli je wykorzystać jako wkład finansowy w unijne wsparcie odbudowy i rekonstrukcji Ukrainy za pośrednictwem Instrumentu na rzecz Ukrainy;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3</w:t>
      </w:r>
      <w:r w:rsidR="003B2FC0">
        <w:t>8</w:t>
      </w:r>
      <w:r w:rsidRPr="00F01BB5">
        <w:t>.</w:t>
      </w:r>
      <w:r w:rsidRPr="00F01BB5">
        <w:tab/>
      </w:r>
      <w:proofErr w:type="gramStart"/>
      <w:r w:rsidRPr="00F01BB5">
        <w:t>ponownie</w:t>
      </w:r>
      <w:proofErr w:type="gramEnd"/>
      <w:r w:rsidRPr="00F01BB5">
        <w:t xml:space="preserve"> wyraża zaniepokojenie sytuacją w elektrowni jądrowej w Zaporożu, która jest nielegalnie kontrolowana przez Rosję; popiera wysiłki na rzecz utrzymania stałej obecności Międzynarodowej Agencji Energii Atomowej w tej elektrowni; przypomina i potępia działania Rosji, które spowodowały poważne szkody w środowisku w Ukrainie, w tym zniszczenie zapory w </w:t>
      </w:r>
      <w:proofErr w:type="spellStart"/>
      <w:r w:rsidRPr="00F01BB5">
        <w:t>Kachowce</w:t>
      </w:r>
      <w:proofErr w:type="spellEnd"/>
      <w:r w:rsidRPr="00F01BB5">
        <w:t>, wyręb ukraińskich lasów, działalność wydobywczą na dużą skalę oraz zanieczyszczenie powietrza i zasobów wodnych; ponownie wyraża głębokie zaniepokojenie szeroko rozumianym długotrwałym wpływem wojny na środowisko; podkreśla, że trzeba stworzyć system rejestrowania i oceny szkód wyrządzonych środowisku naturalnemu przez Rosję oraz przygotować podstawy prawne, aby pociągnąć Rosję do odpowiedzialności za te przestępstwa;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3</w:t>
      </w:r>
      <w:r w:rsidR="003B2FC0">
        <w:t>9</w:t>
      </w:r>
      <w:r w:rsidRPr="00F01BB5">
        <w:t>.</w:t>
      </w:r>
      <w:r w:rsidRPr="00F01BB5">
        <w:tab/>
      </w:r>
      <w:proofErr w:type="gramStart"/>
      <w:r w:rsidRPr="00F01BB5">
        <w:t>zdecydowanie</w:t>
      </w:r>
      <w:proofErr w:type="gramEnd"/>
      <w:r w:rsidRPr="00F01BB5">
        <w:t xml:space="preserve"> potępia likwidowanie, niszczenie i rabowanie przez Rosję ukraińskich artefaktów kultury, takich jak kościoły, dzieła sztuki, muzea i uniwersytety; odnotowuje, że od rozpoczęcia </w:t>
      </w:r>
      <w:proofErr w:type="spellStart"/>
      <w:r w:rsidRPr="00F01BB5">
        <w:t>pełnoskalowej</w:t>
      </w:r>
      <w:proofErr w:type="spellEnd"/>
      <w:r w:rsidRPr="00F01BB5">
        <w:t xml:space="preserve"> inwazji zniszczeniom – zweryfikowanym przez UNESCO – uległo 341 miejsc, w tym 126 obiektów religijnych, 150 budynków o wartości historycznej lub artystycznej, 31 muzeów, 19 pomników, 14 bibliotek i 1 archiwum; ponownie stwierdza, że celowe niszczenie i grabieże obiektów ukraińskiego dziedzictwa kulturowego mogą być uznane za zbrodnie wojenne;</w:t>
      </w:r>
    </w:p>
    <w:p w:rsidR="00B6146F" w:rsidRPr="00F01BB5" w:rsidRDefault="003B2FC0" w:rsidP="00B6146F">
      <w:pPr>
        <w:pStyle w:val="NormalHanging12a"/>
        <w:rPr>
          <w:szCs w:val="24"/>
        </w:rPr>
      </w:pPr>
      <w:r>
        <w:t>40</w:t>
      </w:r>
      <w:r w:rsidR="00B6146F" w:rsidRPr="00F01BB5">
        <w:t>.</w:t>
      </w:r>
      <w:r w:rsidR="00B6146F" w:rsidRPr="00F01BB5">
        <w:tab/>
      </w:r>
      <w:proofErr w:type="gramStart"/>
      <w:r w:rsidR="00B6146F" w:rsidRPr="00F01BB5">
        <w:t>apeluje</w:t>
      </w:r>
      <w:proofErr w:type="gramEnd"/>
      <w:r w:rsidR="00B6146F" w:rsidRPr="00F01BB5">
        <w:t xml:space="preserve"> do UE i państw członkowskich, aby strategicznie i proaktywnie przeciwdziałały zagrożeniom hybrydowym, wzmacniały unijną komunikację strategiczną oraz zapobiegały ingerencji Rosji w procesy polityczne i wyborcze oraz inne procesy demokratyczne w Ukrainie i w UE, zwłaszcza prowadzonym ze złym zamiarem działaniom mającym na celu manipulowanie opinią publiczną i osłabianie integracji europejskiej, szczególnie w perspektywie zbliżających się wyborów europejskich; wzywa Komisję, ESDZ i państwa członkowskie, aby udzielały odpowiednich informacji o wzajemnych korzyściach i możliwościach wynikających z rozszerzenia zarówno dla Ukrainy, jak i państw członkowskich, co będzie sprzyjać dalszemu wzrostowi poparcia dla procesu akcesyjnego i jego lepszemu zrozumieniu;</w:t>
      </w:r>
    </w:p>
    <w:p w:rsidR="00B6146F" w:rsidRPr="00F01BB5" w:rsidRDefault="003B2FC0" w:rsidP="00B6146F">
      <w:pPr>
        <w:pStyle w:val="NormalHanging12a"/>
        <w:rPr>
          <w:szCs w:val="24"/>
        </w:rPr>
      </w:pPr>
      <w:r>
        <w:t>41</w:t>
      </w:r>
      <w:r w:rsidR="00B6146F" w:rsidRPr="00F01BB5">
        <w:t>.</w:t>
      </w:r>
      <w:r w:rsidR="00B6146F" w:rsidRPr="00F01BB5">
        <w:tab/>
      </w:r>
      <w:proofErr w:type="gramStart"/>
      <w:r w:rsidR="00B6146F" w:rsidRPr="00F01BB5">
        <w:t>potępia</w:t>
      </w:r>
      <w:proofErr w:type="gramEnd"/>
      <w:r w:rsidR="00B6146F" w:rsidRPr="00F01BB5">
        <w:t xml:space="preserve"> zabójstwo Maksima </w:t>
      </w:r>
      <w:proofErr w:type="spellStart"/>
      <w:r w:rsidR="00B6146F" w:rsidRPr="00F01BB5">
        <w:t>Kuzminowa</w:t>
      </w:r>
      <w:proofErr w:type="spellEnd"/>
      <w:r w:rsidR="00B6146F" w:rsidRPr="00F01BB5">
        <w:t xml:space="preserve"> w Hiszpanii; wzywa państwa członkowskie do szybkiej i zdecydowanej reakcji na destrukcyjne działania rosyjskich służb wywiadowczych na terytorium UE; zaleca państwom członkowskim usprawnienie współpracy kontrwywiadowczej i wymiany informacji;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4</w:t>
      </w:r>
      <w:r w:rsidR="003B2FC0">
        <w:t>2</w:t>
      </w:r>
      <w:r w:rsidRPr="00F01BB5">
        <w:t>.</w:t>
      </w:r>
      <w:r w:rsidRPr="00F01BB5">
        <w:tab/>
      </w:r>
      <w:proofErr w:type="gramStart"/>
      <w:r w:rsidRPr="00F01BB5">
        <w:t>wyraża</w:t>
      </w:r>
      <w:proofErr w:type="gramEnd"/>
      <w:r w:rsidRPr="00F01BB5">
        <w:t xml:space="preserve"> zaniepokojenie ograniczeniem podróży zagranicznych członków Rady Najwyższej Ukrainy; uważa, że można by to uznać za arbitralne ograniczenie działalności politycznej wybranych posłów do parlamentu, w szczególności tych </w:t>
      </w:r>
      <w:r w:rsidRPr="00F01BB5">
        <w:lastRenderedPageBreak/>
        <w:t>reprezentujących opozycję; jest głęboko przekonany, że w czasach wojny nie należy lekceważyć żadnych sił politycznych, które mogą być rzecznikami sprawy Ukrainy na forum międzynarodowym;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4</w:t>
      </w:r>
      <w:r w:rsidR="003B2FC0">
        <w:t>3</w:t>
      </w:r>
      <w:r w:rsidRPr="00F01BB5">
        <w:t>.</w:t>
      </w:r>
      <w:r w:rsidRPr="00F01BB5">
        <w:tab/>
      </w:r>
      <w:proofErr w:type="gramStart"/>
      <w:r w:rsidRPr="00F01BB5">
        <w:t>wyraża</w:t>
      </w:r>
      <w:proofErr w:type="gramEnd"/>
      <w:r w:rsidRPr="00F01BB5">
        <w:t xml:space="preserve"> najwyższe uznanie dla ciągłej i niestrudzonej pracy personelu miejscowego delegatury UE w Ukrainie w warunkach, które są wciąż bardzo trudne dla tych pracowników i ich krewnych; wzywa ESDZ i Komisję, aby przyjęły plany awaryjne i rozwiązania tymczasowe dla personelu miejscowego delegatury UE, takie jak telepraca i elastyczna organizacja pracy oraz tymczasowe przeniesienie, dostosowane do rzeczywistych potrzeb i wyzwań stojących przed pracownikami; podkreśla ponadto że ważna jest odpowiednia opieka w zakresie zdrowia psychicznego pracowników delegatury UE;</w:t>
      </w:r>
    </w:p>
    <w:p w:rsidR="00B6146F" w:rsidRPr="00F01BB5" w:rsidRDefault="00B6146F" w:rsidP="00B6146F">
      <w:pPr>
        <w:pStyle w:val="NormalHanging12a"/>
        <w:rPr>
          <w:szCs w:val="24"/>
        </w:rPr>
      </w:pPr>
      <w:r w:rsidRPr="00F01BB5">
        <w:t>4</w:t>
      </w:r>
      <w:r w:rsidR="003B2FC0">
        <w:t>4</w:t>
      </w:r>
      <w:r w:rsidRPr="00F01BB5">
        <w:t>.</w:t>
      </w:r>
      <w:r w:rsidRPr="00F01BB5">
        <w:tab/>
      </w:r>
      <w:proofErr w:type="gramStart"/>
      <w:r w:rsidRPr="00F01BB5">
        <w:t>zobowiązuje</w:t>
      </w:r>
      <w:proofErr w:type="gramEnd"/>
      <w:r w:rsidRPr="00F01BB5">
        <w:t xml:space="preserve"> swoją przewodniczącą do przekazania niniejszej rezolucji Radzie, Komisji, wiceprzewodniczącemu Komisji / wysokiemu przedstawicielowi Unii do spraw zagranicznych i polityki bezpieczeństwa, rządom i parlamentom państw członkowskich, prezydentowi, rządowi i Radzie Najwyższej Ukrainy, Narodom Zjednoczonym oraz władzom rosyjskim i białoruskim.</w:t>
      </w:r>
    </w:p>
    <w:p w:rsidR="00E365E1" w:rsidRPr="00F01BB5" w:rsidRDefault="00E365E1" w:rsidP="00C7133F">
      <w:bookmarkStart w:id="7" w:name="TextBodyEnd"/>
      <w:bookmarkEnd w:id="7"/>
    </w:p>
    <w:sectPr w:rsidR="00E365E1" w:rsidRPr="00F01BB5" w:rsidSect="00F01B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33F" w:rsidRPr="00F01BB5" w:rsidRDefault="00C7133F">
      <w:r w:rsidRPr="00F01BB5">
        <w:separator/>
      </w:r>
    </w:p>
  </w:endnote>
  <w:endnote w:type="continuationSeparator" w:id="0">
    <w:p w:rsidR="00C7133F" w:rsidRPr="00F01BB5" w:rsidRDefault="00C7133F">
      <w:r w:rsidRPr="00F01B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1B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1B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1B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33F" w:rsidRPr="00F01BB5" w:rsidRDefault="00C7133F">
      <w:r w:rsidRPr="00F01BB5">
        <w:separator/>
      </w:r>
    </w:p>
  </w:footnote>
  <w:footnote w:type="continuationSeparator" w:id="0">
    <w:p w:rsidR="00C7133F" w:rsidRPr="00F01BB5" w:rsidRDefault="00C7133F">
      <w:r w:rsidRPr="00F01BB5">
        <w:continuationSeparator/>
      </w:r>
    </w:p>
  </w:footnote>
  <w:footnote w:id="1">
    <w:p w:rsidR="00B6146F" w:rsidRPr="00F01BB5" w:rsidRDefault="00B6146F" w:rsidP="00F01BB5">
      <w:pPr>
        <w:pStyle w:val="FootnoteText"/>
        <w:ind w:left="567" w:hanging="567"/>
        <w:rPr>
          <w:sz w:val="24"/>
          <w:lang w:val="pl-PL"/>
        </w:rPr>
      </w:pPr>
      <w:r w:rsidRPr="00F01BB5">
        <w:rPr>
          <w:rStyle w:val="FootnoteReference"/>
          <w:sz w:val="24"/>
          <w:lang w:val="pl-PL"/>
        </w:rPr>
        <w:footnoteRef/>
      </w:r>
      <w:r w:rsidR="00F01BB5" w:rsidRPr="00F01BB5">
        <w:rPr>
          <w:sz w:val="24"/>
          <w:lang w:val="pl-PL"/>
        </w:rPr>
        <w:t xml:space="preserve"> </w:t>
      </w:r>
      <w:r w:rsidR="00F01BB5" w:rsidRPr="00F01BB5">
        <w:rPr>
          <w:sz w:val="24"/>
          <w:lang w:val="pl-PL"/>
        </w:rPr>
        <w:tab/>
      </w:r>
      <w:r w:rsidRPr="00F01BB5">
        <w:rPr>
          <w:sz w:val="24"/>
          <w:lang w:val="pl-PL"/>
        </w:rPr>
        <w:t xml:space="preserve">Dz.U. L 161 z 29.5.2014, </w:t>
      </w:r>
      <w:proofErr w:type="gramStart"/>
      <w:r w:rsidRPr="00F01BB5">
        <w:rPr>
          <w:sz w:val="24"/>
          <w:lang w:val="pl-PL"/>
        </w:rPr>
        <w:t>s</w:t>
      </w:r>
      <w:proofErr w:type="gramEnd"/>
      <w:r w:rsidRPr="00F01BB5">
        <w:rPr>
          <w:sz w:val="24"/>
          <w:lang w:val="pl-PL"/>
        </w:rPr>
        <w:t>. 3</w:t>
      </w:r>
    </w:p>
  </w:footnote>
  <w:footnote w:id="2">
    <w:p w:rsidR="00B6146F" w:rsidRPr="00F01BB5" w:rsidRDefault="00B6146F" w:rsidP="00F01BB5">
      <w:pPr>
        <w:pStyle w:val="FootnoteText"/>
        <w:ind w:left="567" w:hanging="567"/>
        <w:rPr>
          <w:sz w:val="24"/>
          <w:lang w:val="pl-PL"/>
        </w:rPr>
      </w:pPr>
      <w:r w:rsidRPr="00F01BB5">
        <w:rPr>
          <w:rStyle w:val="FootnoteReference"/>
          <w:sz w:val="24"/>
          <w:lang w:val="pl-PL"/>
        </w:rPr>
        <w:footnoteRef/>
      </w:r>
      <w:r w:rsidR="00F01BB5" w:rsidRPr="00F01BB5">
        <w:rPr>
          <w:sz w:val="24"/>
          <w:lang w:val="pl-PL"/>
        </w:rPr>
        <w:t xml:space="preserve"> </w:t>
      </w:r>
      <w:r w:rsidR="00F01BB5" w:rsidRPr="00F01BB5">
        <w:rPr>
          <w:sz w:val="24"/>
          <w:lang w:val="pl-PL"/>
        </w:rPr>
        <w:tab/>
      </w:r>
      <w:r w:rsidRPr="00F01BB5">
        <w:rPr>
          <w:sz w:val="24"/>
          <w:lang w:val="pl-PL"/>
        </w:rPr>
        <w:t xml:space="preserve">Dyrektywa Rady 2001/55/WE z dnia 20 lipca 2001 r. w sprawie minimalnych standardów przyznawania tymczasowej ochrony na wypadek masowego napływu wysiedleńców oraz środków wspierających równowagę wysiłków między państwami członkowskimi związanych z przyjęciem takich osób wraz z jego następstwami (Dz.U. L 212 z 7.8.2001, </w:t>
      </w:r>
      <w:proofErr w:type="gramStart"/>
      <w:r w:rsidRPr="00F01BB5">
        <w:rPr>
          <w:sz w:val="24"/>
          <w:lang w:val="pl-PL"/>
        </w:rPr>
        <w:t>s</w:t>
      </w:r>
      <w:proofErr w:type="gramEnd"/>
      <w:r w:rsidRPr="00F01BB5">
        <w:rPr>
          <w:sz w:val="24"/>
          <w:lang w:val="pl-PL"/>
        </w:rPr>
        <w:t>. 12).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1B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1B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1B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3/2024"/>
    <w:docVar w:name="dvlangue" w:val="PL"/>
    <w:docVar w:name="dvnumam" w:val="0"/>
    <w:docVar w:name="dvpe" w:val="756.910"/>
    <w:docVar w:name="dvtitre" w:val="Rezolucja Parlamentu Europejskiego z dnia  2024 r. w sprawie potrzeby niezachwianego unijnego wsparcia Ukrainy dwa lata po napaści Rosji na ten kraj(2024/2526(RSP))"/>
  </w:docVars>
  <w:rsids>
    <w:rsidRoot w:val="00C7133F"/>
    <w:rsid w:val="00002272"/>
    <w:rsid w:val="000631A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2FC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047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46F"/>
    <w:rsid w:val="00BD48FE"/>
    <w:rsid w:val="00BD7BD8"/>
    <w:rsid w:val="00BE6ADC"/>
    <w:rsid w:val="00C05BFE"/>
    <w:rsid w:val="00C23CD4"/>
    <w:rsid w:val="00C61C0C"/>
    <w:rsid w:val="00C7133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1BB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E213A3"/>
  <w15:chartTrackingRefBased/>
  <w15:docId w15:val="{629FDA0E-8CB6-4665-8254-358B3EFB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6146F"/>
    <w:pPr>
      <w:spacing w:after="240"/>
      <w:ind w:left="567" w:hanging="567"/>
    </w:pPr>
  </w:style>
  <w:style w:type="paragraph" w:customStyle="1" w:styleId="EPComma">
    <w:name w:val="EPComma"/>
    <w:basedOn w:val="Normal"/>
    <w:rsid w:val="00B6146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6146F"/>
    <w:rPr>
      <w:sz w:val="24"/>
      <w:lang w:val="pl-PL"/>
    </w:rPr>
  </w:style>
  <w:style w:type="paragraph" w:styleId="BalloonText">
    <w:name w:val="Balloon Text"/>
    <w:basedOn w:val="Normal"/>
    <w:link w:val="BalloonTextChar"/>
    <w:rsid w:val="005F04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F0476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E3F46-F64C-4F8B-AB1C-92F213C1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5843</Words>
  <Characters>37448</Characters>
  <Application>Microsoft Office Word</Application>
  <DocSecurity>0</DocSecurity>
  <Lines>312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2024-02-29T13:49:00Z</dcterms:created>
  <dcterms:modified xsi:type="dcterms:W3CDTF">2024-02-29T13:49:00Z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B9-0143/2024</vt:lpwstr>
  </property>
  <property fmtid="{D5CDD505-2E9C-101B-9397-08002B2CF9AE}" pid="4" name="&lt;Type&gt;">
    <vt:lpwstr>RR</vt:lpwstr>
  </property>
</Properties>
</file>