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4B2DE1" w:rsidTr="0010095E">
        <w:trPr>
          <w:trHeight w:hRule="exact" w:val="1418"/>
        </w:trPr>
        <w:tc>
          <w:tcPr>
            <w:tcW w:w="6804" w:type="dxa"/>
            <w:shd w:val="clear" w:color="auto" w:fill="auto"/>
            <w:vAlign w:val="center"/>
          </w:tcPr>
          <w:p w:rsidR="00751A4A" w:rsidRPr="004B2DE1" w:rsidRDefault="00F142F1" w:rsidP="0010095E">
            <w:pPr>
              <w:pStyle w:val="EPName"/>
            </w:pPr>
            <w:r w:rsidRPr="004B2DE1">
              <w:t>Европейски</w:t>
            </w:r>
            <w:r w:rsidR="009C1286" w:rsidRPr="004B2DE1">
              <w:t xml:space="preserve"> парламент</w:t>
            </w:r>
          </w:p>
          <w:p w:rsidR="00751A4A" w:rsidRPr="004B2DE1" w:rsidRDefault="00F142F1" w:rsidP="00756632">
            <w:pPr>
              <w:pStyle w:val="EPTerm"/>
              <w:rPr>
                <w:rStyle w:val="HideTWBExt"/>
                <w:noProof w:val="0"/>
                <w:vanish w:val="0"/>
                <w:color w:val="auto"/>
              </w:rPr>
            </w:pPr>
            <w:r>
              <w:t>2019 – </w:t>
            </w:r>
            <w:r w:rsidR="00817416" w:rsidRPr="004B2DE1">
              <w:t>2024</w:t>
            </w:r>
          </w:p>
        </w:tc>
        <w:tc>
          <w:tcPr>
            <w:tcW w:w="2268" w:type="dxa"/>
            <w:shd w:val="clear" w:color="auto" w:fill="auto"/>
          </w:tcPr>
          <w:p w:rsidR="00751A4A" w:rsidRPr="004B2DE1" w:rsidRDefault="00187494" w:rsidP="0010095E">
            <w:pPr>
              <w:pStyle w:val="EPLogo"/>
            </w:pPr>
            <w:r w:rsidRPr="004B2DE1">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4B2DE1" w:rsidRDefault="00D058B8" w:rsidP="004C5D52">
      <w:pPr>
        <w:pStyle w:val="LineTop"/>
      </w:pPr>
    </w:p>
    <w:p w:rsidR="00680577" w:rsidRPr="004B2DE1" w:rsidRDefault="009C1286" w:rsidP="00680577">
      <w:pPr>
        <w:pStyle w:val="EPBodyTA1"/>
      </w:pPr>
      <w:r w:rsidRPr="004B2DE1">
        <w:t>ПРИЕТИ ТЕКСТОВЕ</w:t>
      </w:r>
    </w:p>
    <w:p w:rsidR="00D058B8" w:rsidRPr="004B2DE1" w:rsidRDefault="00D058B8" w:rsidP="00D058B8">
      <w:pPr>
        <w:pStyle w:val="LineBottom"/>
      </w:pPr>
    </w:p>
    <w:p w:rsidR="009C1286" w:rsidRPr="004B2DE1" w:rsidRDefault="009C1286" w:rsidP="009C1286">
      <w:pPr>
        <w:pStyle w:val="ATHeading1"/>
      </w:pPr>
      <w:bookmarkStart w:id="0" w:name="TANumber"/>
      <w:r w:rsidRPr="004B2DE1">
        <w:t>P9_TA(2024)0</w:t>
      </w:r>
      <w:r w:rsidR="00F04C7E" w:rsidRPr="007848CD">
        <w:t>12</w:t>
      </w:r>
      <w:r w:rsidRPr="004B2DE1">
        <w:t>0</w:t>
      </w:r>
      <w:bookmarkEnd w:id="0"/>
    </w:p>
    <w:p w:rsidR="009C1286" w:rsidRPr="004B2DE1" w:rsidRDefault="009C1286" w:rsidP="009C1286">
      <w:pPr>
        <w:pStyle w:val="ATHeading2"/>
      </w:pPr>
      <w:bookmarkStart w:id="1" w:name="title"/>
      <w:r w:rsidRPr="004B2DE1">
        <w:t>Задълбочаване на европейската интеграция с оглед на бъдещото разширяване</w:t>
      </w:r>
      <w:bookmarkEnd w:id="1"/>
    </w:p>
    <w:p w:rsidR="009C1286" w:rsidRPr="004B2DE1" w:rsidRDefault="009C1286" w:rsidP="009C1286">
      <w:pPr>
        <w:rPr>
          <w:i/>
          <w:vanish/>
        </w:rPr>
      </w:pPr>
      <w:r w:rsidRPr="004B2DE1">
        <w:rPr>
          <w:i/>
        </w:rPr>
        <w:fldChar w:fldCharType="begin"/>
      </w:r>
      <w:r w:rsidRPr="004B2DE1">
        <w:rPr>
          <w:i/>
        </w:rPr>
        <w:instrText xml:space="preserve"> TC"(</w:instrText>
      </w:r>
      <w:bookmarkStart w:id="2" w:name="DocNumber"/>
      <w:r w:rsidRPr="004B2DE1">
        <w:rPr>
          <w:i/>
        </w:rPr>
        <w:instrText>A9-0015/2024</w:instrText>
      </w:r>
      <w:bookmarkEnd w:id="2"/>
      <w:r w:rsidRPr="004B2DE1">
        <w:rPr>
          <w:i/>
        </w:rPr>
        <w:instrText xml:space="preserve"> - Докладчи</w:instrText>
      </w:r>
      <w:r w:rsidR="00AC36C6">
        <w:rPr>
          <w:i/>
        </w:rPr>
        <w:instrText>ци</w:instrText>
      </w:r>
      <w:r w:rsidRPr="004B2DE1">
        <w:rPr>
          <w:i/>
        </w:rPr>
        <w:instrText xml:space="preserve">: </w:instrText>
      </w:r>
      <w:proofErr w:type="spellStart"/>
      <w:r w:rsidRPr="004B2DE1">
        <w:rPr>
          <w:i/>
        </w:rPr>
        <w:instrText>Петрас</w:instrText>
      </w:r>
      <w:proofErr w:type="spellEnd"/>
      <w:r w:rsidRPr="004B2DE1">
        <w:rPr>
          <w:i/>
        </w:rPr>
        <w:instrText xml:space="preserve"> </w:instrText>
      </w:r>
      <w:proofErr w:type="spellStart"/>
      <w:r w:rsidRPr="004B2DE1">
        <w:rPr>
          <w:i/>
        </w:rPr>
        <w:instrText>Аущревичюс</w:instrText>
      </w:r>
      <w:proofErr w:type="spellEnd"/>
      <w:r w:rsidRPr="004B2DE1">
        <w:rPr>
          <w:i/>
        </w:rPr>
        <w:instrText xml:space="preserve">, </w:instrText>
      </w:r>
      <w:proofErr w:type="spellStart"/>
      <w:r w:rsidRPr="004B2DE1">
        <w:rPr>
          <w:i/>
        </w:rPr>
        <w:instrText>Педру</w:instrText>
      </w:r>
      <w:proofErr w:type="spellEnd"/>
      <w:r w:rsidRPr="004B2DE1">
        <w:rPr>
          <w:i/>
        </w:rPr>
        <w:instrText xml:space="preserve"> Силва Перейра)"\l3 \n&gt; \* MERGEFORMAT </w:instrText>
      </w:r>
      <w:r w:rsidRPr="004B2DE1">
        <w:rPr>
          <w:i/>
        </w:rPr>
        <w:fldChar w:fldCharType="end"/>
      </w:r>
    </w:p>
    <w:p w:rsidR="009C1286" w:rsidRPr="004B2DE1" w:rsidRDefault="009C1286" w:rsidP="009C1286">
      <w:pPr>
        <w:rPr>
          <w:vanish/>
        </w:rPr>
      </w:pPr>
      <w:bookmarkStart w:id="3" w:name="Commission"/>
      <w:r w:rsidRPr="004B2DE1">
        <w:rPr>
          <w:vanish/>
        </w:rPr>
        <w:t>Комисия по външни работи</w:t>
      </w:r>
      <w:bookmarkEnd w:id="3"/>
      <w:r w:rsidR="00AC36C6">
        <w:rPr>
          <w:vanish/>
        </w:rPr>
        <w:t xml:space="preserve"> и комисия по конституционни въпроси</w:t>
      </w:r>
    </w:p>
    <w:p w:rsidR="009C1286" w:rsidRPr="004B2DE1" w:rsidRDefault="009C1286" w:rsidP="009C1286">
      <w:pPr>
        <w:rPr>
          <w:vanish/>
        </w:rPr>
      </w:pPr>
      <w:bookmarkStart w:id="4" w:name="PE"/>
      <w:r w:rsidRPr="004B2DE1">
        <w:rPr>
          <w:vanish/>
        </w:rPr>
        <w:t>PE752.948</w:t>
      </w:r>
      <w:bookmarkEnd w:id="4"/>
    </w:p>
    <w:p w:rsidR="009C1286" w:rsidRPr="004B2DE1" w:rsidRDefault="009C1286" w:rsidP="00F142F1">
      <w:pPr>
        <w:pStyle w:val="ATHeading3"/>
      </w:pPr>
      <w:bookmarkStart w:id="5" w:name="Sujet"/>
      <w:r w:rsidRPr="004B2DE1">
        <w:t xml:space="preserve">Резолюция на Европейския парламент от </w:t>
      </w:r>
      <w:r w:rsidR="00F04C7E" w:rsidRPr="007848CD">
        <w:t>29</w:t>
      </w:r>
      <w:r w:rsidR="00AC36C6">
        <w:t xml:space="preserve"> февруари</w:t>
      </w:r>
      <w:r w:rsidR="00AC36C6" w:rsidRPr="004B2DE1">
        <w:t xml:space="preserve"> </w:t>
      </w:r>
      <w:r w:rsidRPr="004B2DE1">
        <w:t>2024 г. относно задълбочаване на европейската интеграция с оглед на бъдещото разширяване</w:t>
      </w:r>
      <w:bookmarkEnd w:id="5"/>
      <w:r w:rsidRPr="004B2DE1">
        <w:t xml:space="preserve"> </w:t>
      </w:r>
      <w:bookmarkStart w:id="6" w:name="References"/>
      <w:r w:rsidRPr="004B2DE1">
        <w:t>(2023/2114(INI))</w:t>
      </w:r>
      <w:bookmarkEnd w:id="6"/>
    </w:p>
    <w:p w:rsidR="00942E97" w:rsidRPr="004B2DE1" w:rsidRDefault="00942E97" w:rsidP="00942E97">
      <w:pPr>
        <w:pStyle w:val="EPComma"/>
      </w:pPr>
      <w:bookmarkStart w:id="7" w:name="TextBodyBegin"/>
      <w:bookmarkEnd w:id="7"/>
      <w:r w:rsidRPr="004B2DE1">
        <w:t>Европейският парламент,</w:t>
      </w:r>
    </w:p>
    <w:p w:rsidR="00942E97" w:rsidRPr="004B2DE1" w:rsidRDefault="00942E97" w:rsidP="00942E97">
      <w:pPr>
        <w:pStyle w:val="Normal12Hanging"/>
        <w:rPr>
          <w:bCs/>
          <w:iCs/>
          <w:szCs w:val="24"/>
          <w:lang w:val="bg-BG"/>
        </w:rPr>
      </w:pPr>
      <w:r w:rsidRPr="004B2DE1">
        <w:rPr>
          <w:sz w:val="20"/>
          <w:lang w:val="bg-BG"/>
        </w:rPr>
        <w:t>–</w:t>
      </w:r>
      <w:r w:rsidRPr="004B2DE1">
        <w:rPr>
          <w:lang w:val="bg-BG"/>
        </w:rPr>
        <w:tab/>
        <w:t>като взе предвид Договора за Европейския съюз (ДЕС), по-специално член 5, параграф 3, член 48 и член 49 от него,</w:t>
      </w:r>
    </w:p>
    <w:p w:rsidR="00942E97" w:rsidRPr="004B2DE1" w:rsidRDefault="00942E97" w:rsidP="00942E97">
      <w:pPr>
        <w:pStyle w:val="Normal12Hanging"/>
        <w:rPr>
          <w:szCs w:val="24"/>
          <w:lang w:val="bg-BG"/>
        </w:rPr>
      </w:pPr>
      <w:r w:rsidRPr="004B2DE1">
        <w:rPr>
          <w:lang w:val="bg-BG"/>
        </w:rPr>
        <w:t>–</w:t>
      </w:r>
      <w:r w:rsidRPr="004B2DE1">
        <w:rPr>
          <w:lang w:val="bg-BG"/>
        </w:rPr>
        <w:tab/>
        <w:t>като взе предвид Договора за функционирането на Европейския съюз,</w:t>
      </w:r>
    </w:p>
    <w:p w:rsidR="00942E97" w:rsidRPr="004B2DE1" w:rsidRDefault="00942E97" w:rsidP="00942E97">
      <w:pPr>
        <w:pStyle w:val="Normal12Hanging"/>
        <w:rPr>
          <w:szCs w:val="24"/>
          <w:lang w:val="bg-BG"/>
        </w:rPr>
      </w:pPr>
      <w:r w:rsidRPr="004B2DE1">
        <w:rPr>
          <w:lang w:val="bg-BG"/>
        </w:rPr>
        <w:t>–</w:t>
      </w:r>
      <w:r w:rsidRPr="004B2DE1">
        <w:rPr>
          <w:lang w:val="bg-BG"/>
        </w:rPr>
        <w:tab/>
        <w:t>като взе предвид заключенията на Съвета от декември 2006 г. и март 2020 г. и заключенията на председателството на Европейския съвет в Копенхаген от 21—22 юни 1993 г., известни също като критериите от Копенхаген,</w:t>
      </w:r>
    </w:p>
    <w:p w:rsidR="00942E97" w:rsidRPr="004B2DE1" w:rsidRDefault="00942E97" w:rsidP="00942E97">
      <w:pPr>
        <w:pStyle w:val="Normal12Hanging"/>
        <w:rPr>
          <w:lang w:val="bg-BG"/>
        </w:rPr>
      </w:pPr>
      <w:r w:rsidRPr="004B2DE1">
        <w:rPr>
          <w:lang w:val="bg-BG"/>
        </w:rPr>
        <w:t>–</w:t>
      </w:r>
      <w:r w:rsidRPr="004B2DE1">
        <w:rPr>
          <w:lang w:val="bg-BG"/>
        </w:rPr>
        <w:tab/>
        <w:t>като взе предвид своята резолюция от 13 декември 2023 г. относно 30 години критерии от Копенхаген – осигуряване на допълнителен тласък за политиката на разширяване на ЕС</w:t>
      </w:r>
      <w:r w:rsidRPr="004B2DE1">
        <w:rPr>
          <w:rStyle w:val="FootnoteReference"/>
          <w:lang w:val="bg-BG"/>
        </w:rPr>
        <w:footnoteReference w:id="1"/>
      </w:r>
      <w:r w:rsidRPr="004B2DE1">
        <w:rPr>
          <w:lang w:val="bg-BG"/>
        </w:rPr>
        <w:t>,</w:t>
      </w:r>
    </w:p>
    <w:p w:rsidR="00942E97" w:rsidRPr="004B2DE1" w:rsidRDefault="00942E97" w:rsidP="00942E97">
      <w:pPr>
        <w:pStyle w:val="Normal12Hanging"/>
        <w:rPr>
          <w:szCs w:val="24"/>
          <w:lang w:val="bg-BG"/>
        </w:rPr>
      </w:pPr>
      <w:r w:rsidRPr="004B2DE1">
        <w:rPr>
          <w:lang w:val="bg-BG"/>
        </w:rPr>
        <w:t>–</w:t>
      </w:r>
      <w:r w:rsidRPr="004B2DE1">
        <w:rPr>
          <w:lang w:val="bg-BG"/>
        </w:rPr>
        <w:tab/>
        <w:t>като взе предвид Европейската конвенция за защита на правата на човека и основните свободи (ЕКПЧ) и Хартата на основните права на Европейския съюз,</w:t>
      </w:r>
    </w:p>
    <w:p w:rsidR="00942E97" w:rsidRPr="004B2DE1" w:rsidRDefault="00942E97" w:rsidP="00942E97">
      <w:pPr>
        <w:pStyle w:val="Normal12Hanging"/>
        <w:rPr>
          <w:szCs w:val="24"/>
          <w:lang w:val="bg-BG"/>
        </w:rPr>
      </w:pPr>
      <w:r w:rsidRPr="004B2DE1">
        <w:rPr>
          <w:lang w:val="bg-BG"/>
        </w:rPr>
        <w:t>–</w:t>
      </w:r>
      <w:r w:rsidRPr="004B2DE1">
        <w:rPr>
          <w:lang w:val="bg-BG"/>
        </w:rPr>
        <w:tab/>
        <w:t xml:space="preserve">като взе предвид Манифеста от </w:t>
      </w:r>
      <w:proofErr w:type="spellStart"/>
      <w:r w:rsidRPr="004B2DE1">
        <w:rPr>
          <w:lang w:val="bg-BG"/>
        </w:rPr>
        <w:t>Вентотене</w:t>
      </w:r>
      <w:proofErr w:type="spellEnd"/>
      <w:r w:rsidRPr="004B2DE1">
        <w:rPr>
          <w:lang w:val="bg-BG"/>
        </w:rPr>
        <w:t>,</w:t>
      </w:r>
    </w:p>
    <w:p w:rsidR="00942E97" w:rsidRPr="004B2DE1" w:rsidRDefault="00942E97" w:rsidP="00942E97">
      <w:pPr>
        <w:pStyle w:val="Normal12Hanging"/>
        <w:rPr>
          <w:szCs w:val="24"/>
          <w:lang w:val="bg-BG"/>
        </w:rPr>
      </w:pPr>
      <w:r w:rsidRPr="004B2DE1">
        <w:rPr>
          <w:lang w:val="bg-BG"/>
        </w:rPr>
        <w:t>–</w:t>
      </w:r>
      <w:r w:rsidRPr="004B2DE1">
        <w:rPr>
          <w:sz w:val="20"/>
          <w:lang w:val="bg-BG"/>
        </w:rPr>
        <w:tab/>
      </w:r>
      <w:r w:rsidRPr="004B2DE1">
        <w:rPr>
          <w:lang w:val="bg-BG"/>
        </w:rPr>
        <w:t>като взе предвид своята препоръка от 23 ноември 2022 г. до Съвета, Комисията и заместник-председателя на Комисията/върховен представител на Съюза по въпросите на външните работи и политиката на сигурност относно новата стратегия на ЕС за разширяване</w:t>
      </w:r>
      <w:r w:rsidRPr="004B2DE1">
        <w:rPr>
          <w:rStyle w:val="FootnoteReference"/>
          <w:rFonts w:eastAsiaTheme="majorEastAsia"/>
          <w:szCs w:val="24"/>
          <w:lang w:val="bg-BG"/>
        </w:rPr>
        <w:footnoteReference w:id="2"/>
      </w:r>
      <w:r w:rsidRPr="004B2DE1">
        <w:rPr>
          <w:lang w:val="bg-BG"/>
        </w:rPr>
        <w:t>,</w:t>
      </w:r>
    </w:p>
    <w:p w:rsidR="00942E97" w:rsidRPr="004B2DE1" w:rsidRDefault="00942E97" w:rsidP="00942E97">
      <w:pPr>
        <w:pStyle w:val="Normal12Hanging"/>
        <w:rPr>
          <w:bCs/>
          <w:iCs/>
          <w:szCs w:val="24"/>
          <w:lang w:val="bg-BG"/>
        </w:rPr>
      </w:pPr>
      <w:r w:rsidRPr="004B2DE1">
        <w:rPr>
          <w:lang w:val="bg-BG"/>
        </w:rPr>
        <w:t>–</w:t>
      </w:r>
      <w:r w:rsidRPr="004B2DE1">
        <w:rPr>
          <w:lang w:val="bg-BG"/>
        </w:rPr>
        <w:tab/>
        <w:t xml:space="preserve">като взе предвид становището на Комитета на регионите от 5 – 6 юли 2022 г. </w:t>
      </w:r>
      <w:r w:rsidRPr="004B2DE1">
        <w:rPr>
          <w:lang w:val="bg-BG"/>
        </w:rPr>
        <w:lastRenderedPageBreak/>
        <w:t>относно пакета на Комисията за 2022 г. относно разширяването, както и изявлението на председателя на Комитета на регионите от 8 ноември 2023 г. относно пакета на Комисията за 2023 г. относно разширяването,</w:t>
      </w:r>
    </w:p>
    <w:p w:rsidR="00942E97" w:rsidRPr="004B2DE1" w:rsidRDefault="00942E97" w:rsidP="00942E97">
      <w:pPr>
        <w:pStyle w:val="Normal12Hanging"/>
        <w:rPr>
          <w:bCs/>
          <w:iCs/>
          <w:szCs w:val="24"/>
          <w:lang w:val="bg-BG"/>
        </w:rPr>
      </w:pPr>
      <w:r w:rsidRPr="004B2DE1">
        <w:rPr>
          <w:lang w:val="bg-BG"/>
        </w:rPr>
        <w:t>–</w:t>
      </w:r>
      <w:r w:rsidRPr="004B2DE1">
        <w:rPr>
          <w:lang w:val="bg-BG"/>
        </w:rPr>
        <w:tab/>
        <w:t>като взе предвид доклада на Комисията от 9 февруари 2022 г. относно сближаването в Европа до 2050 г.,</w:t>
      </w:r>
    </w:p>
    <w:p w:rsidR="00942E97" w:rsidRPr="004B2DE1" w:rsidRDefault="00942E97" w:rsidP="00942E97">
      <w:pPr>
        <w:pStyle w:val="Normal12Hanging"/>
        <w:rPr>
          <w:szCs w:val="24"/>
          <w:lang w:val="bg-BG"/>
        </w:rPr>
      </w:pPr>
      <w:r w:rsidRPr="004B2DE1">
        <w:rPr>
          <w:lang w:val="bg-BG"/>
        </w:rPr>
        <w:t>–</w:t>
      </w:r>
      <w:r w:rsidRPr="004B2DE1">
        <w:rPr>
          <w:lang w:val="bg-BG"/>
        </w:rPr>
        <w:tab/>
        <w:t>като взе предвид заключенията на Европейския съвет от 23 – 24 юни 2022 г., 29 – 30 юни 2023 г., 26 – 27 октомври 2023 г. и 14 – 15 декември 2023 г.,</w:t>
      </w:r>
    </w:p>
    <w:p w:rsidR="00942E97" w:rsidRPr="004B2DE1" w:rsidRDefault="00942E97" w:rsidP="00942E97">
      <w:pPr>
        <w:pStyle w:val="Normal12Hanging"/>
        <w:rPr>
          <w:szCs w:val="24"/>
          <w:lang w:val="bg-BG"/>
        </w:rPr>
      </w:pPr>
      <w:r w:rsidRPr="004B2DE1">
        <w:rPr>
          <w:lang w:val="bg-BG"/>
        </w:rPr>
        <w:t>–</w:t>
      </w:r>
      <w:r w:rsidRPr="004B2DE1">
        <w:rPr>
          <w:lang w:val="bg-BG"/>
        </w:rPr>
        <w:tab/>
        <w:t>като взе предвид аналитичните доклади на Комисията от 2 февруари 2023 г. относно привеждането в съответствие с достиженията на правото на ЕС на Украйна (SWD(2023)0030), Молдова (SWD(2023)0032) и Грузия (SWD(2023)0031),</w:t>
      </w:r>
    </w:p>
    <w:p w:rsidR="00942E97" w:rsidRPr="004B2DE1" w:rsidRDefault="00942E97" w:rsidP="00942E97">
      <w:pPr>
        <w:pStyle w:val="Normal12Hanging"/>
        <w:rPr>
          <w:lang w:val="bg-BG"/>
        </w:rPr>
      </w:pPr>
      <w:r w:rsidRPr="004B2DE1">
        <w:rPr>
          <w:lang w:val="bg-BG"/>
        </w:rPr>
        <w:t>–</w:t>
      </w:r>
      <w:r w:rsidRPr="004B2DE1">
        <w:rPr>
          <w:lang w:val="bg-BG"/>
        </w:rPr>
        <w:tab/>
        <w:t>като взе предвид съвместното съобщение на Комисията до Европейския съвет от 29 ноември 2023 г. относно актуалното състояние на политическите, икономическите и търговските отношения между ЕС и Турция (JOIN(2023)0050),</w:t>
      </w:r>
    </w:p>
    <w:p w:rsidR="00942E97" w:rsidRPr="004B2DE1" w:rsidRDefault="00942E97" w:rsidP="00942E97">
      <w:pPr>
        <w:pStyle w:val="Normal12Hanging"/>
        <w:rPr>
          <w:bCs/>
          <w:iCs/>
          <w:szCs w:val="24"/>
          <w:lang w:val="bg-BG"/>
        </w:rPr>
      </w:pPr>
      <w:r w:rsidRPr="004B2DE1">
        <w:rPr>
          <w:lang w:val="bg-BG"/>
        </w:rPr>
        <w:t>–</w:t>
      </w:r>
      <w:r w:rsidRPr="004B2DE1">
        <w:rPr>
          <w:lang w:val="bg-BG"/>
        </w:rPr>
        <w:tab/>
        <w:t>като взе предвид заключенията на Съвета по общи въпроси от 29 – 30 април 1997 г. относно прилагането на предварителни условия с оглед на разработването на съгласувана стратегия на ЕС за отношенията с държавите от региона на Западните Балкани,</w:t>
      </w:r>
    </w:p>
    <w:p w:rsidR="00942E97" w:rsidRPr="004B2DE1" w:rsidRDefault="00942E97" w:rsidP="00942E97">
      <w:pPr>
        <w:pStyle w:val="Normal12Hanging"/>
        <w:rPr>
          <w:bCs/>
          <w:iCs/>
          <w:szCs w:val="24"/>
          <w:lang w:val="bg-BG"/>
        </w:rPr>
      </w:pPr>
      <w:r w:rsidRPr="004B2DE1">
        <w:rPr>
          <w:lang w:val="bg-BG"/>
        </w:rPr>
        <w:t>–</w:t>
      </w:r>
      <w:r w:rsidRPr="004B2DE1">
        <w:rPr>
          <w:lang w:val="bg-BG"/>
        </w:rPr>
        <w:tab/>
        <w:t>като взе предвид предишните си резолюции по въпроса, и по-специално резолюцията от 24 октомври 2019 г. относно започването на преговори за присъединяване със Северна Македония и Албания</w:t>
      </w:r>
      <w:r w:rsidRPr="004B2DE1">
        <w:rPr>
          <w:rStyle w:val="FootnoteReference"/>
          <w:bCs/>
          <w:iCs/>
          <w:szCs w:val="24"/>
          <w:lang w:val="bg-BG"/>
        </w:rPr>
        <w:footnoteReference w:id="3"/>
      </w:r>
      <w:r w:rsidRPr="004B2DE1">
        <w:rPr>
          <w:lang w:val="bg-BG"/>
        </w:rPr>
        <w:t>, както и своите резолюции относно докладите на Комисията от 2022 г. относно Косово</w:t>
      </w:r>
      <w:r w:rsidRPr="004B2DE1">
        <w:rPr>
          <w:rStyle w:val="FootnoteReference"/>
          <w:bCs/>
          <w:iCs/>
          <w:szCs w:val="24"/>
          <w:lang w:val="bg-BG"/>
        </w:rPr>
        <w:footnoteReference w:id="4"/>
      </w:r>
      <w:r w:rsidRPr="004B2DE1">
        <w:rPr>
          <w:lang w:val="bg-BG"/>
        </w:rPr>
        <w:t>, Сърбия</w:t>
      </w:r>
      <w:r w:rsidRPr="004B2DE1">
        <w:rPr>
          <w:rStyle w:val="FootnoteReference"/>
          <w:bCs/>
          <w:iCs/>
          <w:szCs w:val="24"/>
          <w:lang w:val="bg-BG"/>
        </w:rPr>
        <w:footnoteReference w:id="5"/>
      </w:r>
      <w:r w:rsidRPr="004B2DE1">
        <w:rPr>
          <w:lang w:val="bg-BG"/>
        </w:rPr>
        <w:t>, Албания</w:t>
      </w:r>
      <w:r w:rsidRPr="004B2DE1">
        <w:rPr>
          <w:rStyle w:val="FootnoteReference"/>
          <w:bCs/>
          <w:iCs/>
          <w:szCs w:val="24"/>
          <w:lang w:val="bg-BG"/>
        </w:rPr>
        <w:footnoteReference w:id="6"/>
      </w:r>
      <w:r w:rsidRPr="004B2DE1">
        <w:rPr>
          <w:lang w:val="bg-BG"/>
        </w:rPr>
        <w:t>, Босна и Херцеговина</w:t>
      </w:r>
      <w:r w:rsidRPr="004B2DE1">
        <w:rPr>
          <w:rStyle w:val="FootnoteReference"/>
          <w:bCs/>
          <w:iCs/>
          <w:szCs w:val="24"/>
          <w:lang w:val="bg-BG"/>
        </w:rPr>
        <w:footnoteReference w:id="7"/>
      </w:r>
      <w:r w:rsidRPr="004B2DE1">
        <w:rPr>
          <w:lang w:val="bg-BG"/>
        </w:rPr>
        <w:t>, Северна Македония</w:t>
      </w:r>
      <w:r w:rsidRPr="004B2DE1">
        <w:rPr>
          <w:rStyle w:val="FootnoteReference"/>
          <w:bCs/>
          <w:iCs/>
          <w:szCs w:val="24"/>
          <w:lang w:val="bg-BG"/>
        </w:rPr>
        <w:footnoteReference w:id="8"/>
      </w:r>
      <w:r w:rsidRPr="004B2DE1">
        <w:rPr>
          <w:lang w:val="bg-BG"/>
        </w:rPr>
        <w:t xml:space="preserve"> и Черна гора</w:t>
      </w:r>
      <w:r w:rsidRPr="004B2DE1">
        <w:rPr>
          <w:rStyle w:val="FootnoteReference"/>
          <w:bCs/>
          <w:iCs/>
          <w:szCs w:val="24"/>
          <w:lang w:val="bg-BG"/>
        </w:rPr>
        <w:footnoteReference w:id="9"/>
      </w:r>
      <w:r w:rsidRPr="004B2DE1">
        <w:rPr>
          <w:lang w:val="bg-BG"/>
        </w:rPr>
        <w:t>,</w:t>
      </w:r>
    </w:p>
    <w:p w:rsidR="00942E97" w:rsidRPr="004B2DE1" w:rsidRDefault="00942E97" w:rsidP="00942E97">
      <w:pPr>
        <w:pStyle w:val="Normal12Hanging"/>
        <w:rPr>
          <w:rFonts w:eastAsiaTheme="minorEastAsia"/>
          <w:szCs w:val="24"/>
          <w:lang w:val="bg-BG"/>
        </w:rPr>
      </w:pPr>
      <w:r w:rsidRPr="004B2DE1">
        <w:rPr>
          <w:lang w:val="bg-BG"/>
        </w:rPr>
        <w:t>–</w:t>
      </w:r>
      <w:r w:rsidRPr="004B2DE1">
        <w:rPr>
          <w:sz w:val="20"/>
          <w:lang w:val="bg-BG"/>
        </w:rPr>
        <w:tab/>
      </w:r>
      <w:r w:rsidRPr="004B2DE1">
        <w:rPr>
          <w:lang w:val="bg-BG"/>
        </w:rPr>
        <w:t>като взе предвид своята препоръка от 19 юни 2020 г. към Съвета, Комисията и заместник-председателя на Комисията/върховен представител на Съюза по въпросите на външните работи и политиката на сигурност относно Западните Балкани, приета след срещата на високо равнище през 2020 г.</w:t>
      </w:r>
      <w:r w:rsidRPr="004B2DE1">
        <w:rPr>
          <w:rStyle w:val="FootnoteReference"/>
          <w:rFonts w:eastAsiaTheme="majorEastAsia"/>
          <w:szCs w:val="24"/>
          <w:lang w:val="bg-BG"/>
        </w:rPr>
        <w:footnoteReference w:id="10"/>
      </w:r>
      <w:r w:rsidRPr="004B2DE1">
        <w:rPr>
          <w:lang w:val="bg-BG"/>
        </w:rPr>
        <w:t>,</w:t>
      </w:r>
    </w:p>
    <w:p w:rsidR="00942E97" w:rsidRPr="004B2DE1" w:rsidRDefault="00942E97" w:rsidP="00942E97">
      <w:pPr>
        <w:pStyle w:val="Normal12Hanging"/>
        <w:rPr>
          <w:lang w:val="bg-BG"/>
        </w:rPr>
      </w:pPr>
      <w:r w:rsidRPr="004B2DE1">
        <w:rPr>
          <w:lang w:val="bg-BG"/>
        </w:rPr>
        <w:t>–</w:t>
      </w:r>
      <w:r w:rsidRPr="004B2DE1">
        <w:rPr>
          <w:lang w:val="bg-BG"/>
        </w:rPr>
        <w:tab/>
        <w:t>като взе предвид заключенията на Европейския съвет от 19 и 20 юни 2003 г. и Програмата от Солун за Западните Балкани,</w:t>
      </w:r>
    </w:p>
    <w:p w:rsidR="00942E97" w:rsidRPr="004B2DE1" w:rsidRDefault="00942E97" w:rsidP="00942E97">
      <w:pPr>
        <w:pStyle w:val="Normal12Hanging"/>
        <w:rPr>
          <w:lang w:val="bg-BG"/>
        </w:rPr>
      </w:pPr>
      <w:r w:rsidRPr="004B2DE1">
        <w:rPr>
          <w:lang w:val="bg-BG"/>
        </w:rPr>
        <w:t>–</w:t>
      </w:r>
      <w:r w:rsidRPr="004B2DE1">
        <w:rPr>
          <w:lang w:val="bg-BG"/>
        </w:rPr>
        <w:tab/>
        <w:t>като взе предвид споразуменията за асоцииране на ЕС с Албания</w:t>
      </w:r>
      <w:r w:rsidRPr="004B2DE1">
        <w:rPr>
          <w:rStyle w:val="FootnoteReference"/>
          <w:bCs/>
          <w:iCs/>
          <w:szCs w:val="24"/>
          <w:lang w:val="bg-BG"/>
        </w:rPr>
        <w:footnoteReference w:id="11"/>
      </w:r>
      <w:r w:rsidRPr="004B2DE1">
        <w:rPr>
          <w:lang w:val="bg-BG"/>
        </w:rPr>
        <w:t xml:space="preserve">, Босна и </w:t>
      </w:r>
      <w:r w:rsidRPr="004B2DE1">
        <w:rPr>
          <w:lang w:val="bg-BG"/>
        </w:rPr>
        <w:lastRenderedPageBreak/>
        <w:t>Херцеговина</w:t>
      </w:r>
      <w:r w:rsidRPr="004B2DE1">
        <w:rPr>
          <w:rStyle w:val="FootnoteReference"/>
          <w:bCs/>
          <w:iCs/>
          <w:szCs w:val="24"/>
          <w:lang w:val="bg-BG"/>
        </w:rPr>
        <w:footnoteReference w:id="12"/>
      </w:r>
      <w:r w:rsidRPr="004B2DE1">
        <w:rPr>
          <w:lang w:val="bg-BG"/>
        </w:rPr>
        <w:t>, Грузия</w:t>
      </w:r>
      <w:r w:rsidRPr="004B2DE1">
        <w:rPr>
          <w:rStyle w:val="FootnoteReference"/>
          <w:bCs/>
          <w:iCs/>
          <w:szCs w:val="24"/>
          <w:lang w:val="bg-BG"/>
        </w:rPr>
        <w:footnoteReference w:id="13"/>
      </w:r>
      <w:r w:rsidRPr="004B2DE1">
        <w:rPr>
          <w:lang w:val="bg-BG"/>
        </w:rPr>
        <w:t>, Косово, Република Молдова</w:t>
      </w:r>
      <w:r w:rsidRPr="004B2DE1">
        <w:rPr>
          <w:rStyle w:val="FootnoteReference"/>
          <w:bCs/>
          <w:iCs/>
          <w:szCs w:val="24"/>
          <w:lang w:val="bg-BG"/>
        </w:rPr>
        <w:footnoteReference w:id="14"/>
      </w:r>
      <w:r w:rsidRPr="004B2DE1">
        <w:rPr>
          <w:lang w:val="bg-BG"/>
        </w:rPr>
        <w:t>, Черна гора, Северна Македония</w:t>
      </w:r>
      <w:r w:rsidRPr="004B2DE1">
        <w:rPr>
          <w:rStyle w:val="FootnoteReference"/>
          <w:bCs/>
          <w:iCs/>
          <w:szCs w:val="24"/>
          <w:lang w:val="bg-BG"/>
        </w:rPr>
        <w:footnoteReference w:id="15"/>
      </w:r>
      <w:r w:rsidRPr="004B2DE1">
        <w:rPr>
          <w:lang w:val="bg-BG"/>
        </w:rPr>
        <w:t>, Сърбия, Турция</w:t>
      </w:r>
      <w:r w:rsidRPr="004B2DE1">
        <w:rPr>
          <w:rStyle w:val="FootnoteReference"/>
          <w:szCs w:val="24"/>
          <w:lang w:val="bg-BG"/>
        </w:rPr>
        <w:footnoteReference w:id="16"/>
      </w:r>
      <w:r w:rsidRPr="004B2DE1">
        <w:rPr>
          <w:lang w:val="bg-BG"/>
        </w:rPr>
        <w:t xml:space="preserve"> и Украйна</w:t>
      </w:r>
      <w:r w:rsidRPr="004B2DE1">
        <w:rPr>
          <w:rStyle w:val="FootnoteReference"/>
          <w:bCs/>
          <w:iCs/>
          <w:szCs w:val="24"/>
          <w:lang w:val="bg-BG"/>
        </w:rPr>
        <w:footnoteReference w:id="17"/>
      </w:r>
      <w:r w:rsidRPr="004B2DE1">
        <w:rPr>
          <w:lang w:val="bg-BG"/>
        </w:rPr>
        <w:t>,</w:t>
      </w:r>
    </w:p>
    <w:p w:rsidR="00942E97" w:rsidRPr="004B2DE1" w:rsidRDefault="00942E97" w:rsidP="00942E97">
      <w:pPr>
        <w:pStyle w:val="Normal12Hanging"/>
        <w:rPr>
          <w:szCs w:val="24"/>
          <w:lang w:val="bg-BG"/>
        </w:rPr>
      </w:pPr>
      <w:r w:rsidRPr="004B2DE1">
        <w:rPr>
          <w:lang w:val="bg-BG"/>
        </w:rPr>
        <w:t>–</w:t>
      </w:r>
      <w:r w:rsidRPr="004B2DE1">
        <w:rPr>
          <w:lang w:val="bg-BG"/>
        </w:rPr>
        <w:tab/>
        <w:t>като взе предвид Предложението за Регламент на Европейския парламент и на Съвета за създаване на Механизъм за реформи и растеж за Западните Балкани (COM(2023)0692),</w:t>
      </w:r>
    </w:p>
    <w:p w:rsidR="00942E97" w:rsidRPr="004B2DE1" w:rsidRDefault="00942E97" w:rsidP="00942E97">
      <w:pPr>
        <w:pStyle w:val="Normal12Hanging"/>
        <w:rPr>
          <w:szCs w:val="24"/>
          <w:lang w:val="bg-BG"/>
        </w:rPr>
      </w:pPr>
      <w:r w:rsidRPr="004B2DE1">
        <w:rPr>
          <w:lang w:val="bg-BG"/>
        </w:rPr>
        <w:t>–</w:t>
      </w:r>
      <w:r w:rsidRPr="004B2DE1">
        <w:rPr>
          <w:lang w:val="bg-BG"/>
        </w:rPr>
        <w:tab/>
        <w:t>като взе предвид съобщението на Комисията от 5 февруари 2020 г., озаглавено „Засилване на процеса на разширяване – надеждна перспектива за членство в ЕС за</w:t>
      </w:r>
      <w:r w:rsidR="00842FCD">
        <w:rPr>
          <w:lang w:val="bg-BG"/>
        </w:rPr>
        <w:t xml:space="preserve"> Западните Балкани“ (COM</w:t>
      </w:r>
      <w:bookmarkStart w:id="8" w:name="_GoBack"/>
      <w:bookmarkEnd w:id="8"/>
      <w:r w:rsidR="00842FCD">
        <w:rPr>
          <w:lang w:val="bg-BG"/>
        </w:rPr>
        <w:t>(2020)</w:t>
      </w:r>
      <w:r w:rsidRPr="004B2DE1">
        <w:rPr>
          <w:lang w:val="bg-BG"/>
        </w:rPr>
        <w:t>0057), и стратегията на Комисията „Надеждна перспектива за разширяване и засилен ангажимент на ЕС за Западните Балкани“ от февруари 2018 г.,</w:t>
      </w:r>
    </w:p>
    <w:p w:rsidR="00942E97" w:rsidRPr="004B2DE1" w:rsidRDefault="00942E97" w:rsidP="00942E97">
      <w:pPr>
        <w:pStyle w:val="Normal12Hanging"/>
        <w:rPr>
          <w:lang w:val="bg-BG"/>
        </w:rPr>
      </w:pPr>
      <w:r w:rsidRPr="004B2DE1">
        <w:rPr>
          <w:lang w:val="bg-BG"/>
        </w:rPr>
        <w:t>–</w:t>
      </w:r>
      <w:r w:rsidRPr="004B2DE1">
        <w:rPr>
          <w:lang w:val="bg-BG"/>
        </w:rPr>
        <w:tab/>
        <w:t>като взе предвид своята резолюция от 23 юни 2022 г. относно статута на страна кандидатка на Украйна, Република Молдова и Грузия;</w:t>
      </w:r>
    </w:p>
    <w:p w:rsidR="00942E97" w:rsidRPr="004B2DE1" w:rsidRDefault="00942E97" w:rsidP="00942E97">
      <w:pPr>
        <w:pStyle w:val="Normal12Hanging"/>
        <w:rPr>
          <w:rFonts w:eastAsia="Calibri"/>
          <w:bCs/>
          <w:iCs/>
          <w:lang w:val="bg-BG"/>
        </w:rPr>
      </w:pPr>
      <w:r w:rsidRPr="004B2DE1">
        <w:rPr>
          <w:lang w:val="bg-BG"/>
        </w:rPr>
        <w:t>–</w:t>
      </w:r>
      <w:r w:rsidRPr="004B2DE1">
        <w:rPr>
          <w:lang w:val="bg-BG"/>
        </w:rPr>
        <w:tab/>
        <w:t>като взе предвид своята резолюция от 5 октомври 2023 г. относно прегледа на пътя на Молдова към ЕС</w:t>
      </w:r>
      <w:r w:rsidRPr="004B2DE1">
        <w:rPr>
          <w:rStyle w:val="FootnoteReference"/>
          <w:rFonts w:eastAsia="Calibri"/>
          <w:bCs/>
          <w:iCs/>
          <w:lang w:val="bg-BG"/>
        </w:rPr>
        <w:footnoteReference w:id="18"/>
      </w:r>
      <w:r w:rsidRPr="004B2DE1">
        <w:rPr>
          <w:lang w:val="bg-BG"/>
        </w:rPr>
        <w:t>,</w:t>
      </w:r>
    </w:p>
    <w:p w:rsidR="00942E97" w:rsidRPr="004B2DE1" w:rsidRDefault="00942E97" w:rsidP="00942E97">
      <w:pPr>
        <w:pStyle w:val="Normal12Hanging"/>
        <w:rPr>
          <w:lang w:val="bg-BG"/>
        </w:rPr>
      </w:pPr>
      <w:r w:rsidRPr="004B2DE1">
        <w:rPr>
          <w:lang w:val="bg-BG"/>
        </w:rPr>
        <w:t>–</w:t>
      </w:r>
      <w:r w:rsidRPr="004B2DE1">
        <w:rPr>
          <w:lang w:val="bg-BG"/>
        </w:rPr>
        <w:tab/>
        <w:t>като взе предвид Специален доклад 01/2022 на Европейската сметна палата от 10 януари 2022 г., озаглавен „Подкрепа от ЕС за върховенството на закона в Западните Балкани – въпреки положените усилия, основните проблеми продължават да съществуват“,</w:t>
      </w:r>
    </w:p>
    <w:p w:rsidR="00942E97" w:rsidRPr="004B2DE1" w:rsidRDefault="00942E97" w:rsidP="00942E97">
      <w:pPr>
        <w:pStyle w:val="Normal12Hanging"/>
        <w:rPr>
          <w:szCs w:val="24"/>
          <w:lang w:val="bg-BG"/>
        </w:rPr>
      </w:pPr>
      <w:r w:rsidRPr="004B2DE1">
        <w:rPr>
          <w:lang w:val="bg-BG"/>
        </w:rPr>
        <w:t>–</w:t>
      </w:r>
      <w:r w:rsidRPr="004B2DE1">
        <w:rPr>
          <w:lang w:val="bg-BG"/>
        </w:rPr>
        <w:tab/>
        <w:t>като взе предвид пакета на Комисията за 2022 г. относно разширяването от 12 октомври 2022 г.,</w:t>
      </w:r>
    </w:p>
    <w:p w:rsidR="00942E97" w:rsidRPr="004B2DE1" w:rsidRDefault="00942E97" w:rsidP="00942E97">
      <w:pPr>
        <w:pStyle w:val="Normal12Hanging"/>
        <w:rPr>
          <w:szCs w:val="24"/>
          <w:lang w:val="bg-BG"/>
        </w:rPr>
      </w:pPr>
      <w:r w:rsidRPr="004B2DE1">
        <w:rPr>
          <w:lang w:val="bg-BG"/>
        </w:rPr>
        <w:t>–</w:t>
      </w:r>
      <w:r w:rsidRPr="004B2DE1">
        <w:rPr>
          <w:lang w:val="bg-BG"/>
        </w:rPr>
        <w:tab/>
        <w:t>като взе предвид съобщението от 2023 г. относно политиката на ЕС за разширяване, част от пакета относно разширяването, прието от Европейската комисия на 8 ноември 2023 г. (COM(2023)0690),</w:t>
      </w:r>
    </w:p>
    <w:p w:rsidR="00942E97" w:rsidRPr="004B2DE1" w:rsidRDefault="00942E97" w:rsidP="00942E97">
      <w:pPr>
        <w:pStyle w:val="Normal12Hanging"/>
        <w:rPr>
          <w:lang w:val="bg-BG"/>
        </w:rPr>
      </w:pPr>
      <w:r w:rsidRPr="004B2DE1">
        <w:rPr>
          <w:lang w:val="bg-BG"/>
        </w:rPr>
        <w:t>–</w:t>
      </w:r>
      <w:r w:rsidRPr="004B2DE1">
        <w:rPr>
          <w:lang w:val="bg-BG"/>
        </w:rPr>
        <w:tab/>
        <w:t>като взе предвид Регламент (ЕС) 2021/1529 на Европейския парламент и на Съвета от 15 септември 2021 г. за създаване на Инструмент за предприсъединителна помощ (ИПП III)</w:t>
      </w:r>
      <w:r w:rsidRPr="004B2DE1">
        <w:rPr>
          <w:rStyle w:val="FootnoteReference"/>
          <w:bCs/>
          <w:iCs/>
          <w:szCs w:val="24"/>
          <w:lang w:val="bg-BG"/>
        </w:rPr>
        <w:footnoteReference w:id="19"/>
      </w:r>
      <w:r w:rsidRPr="004B2DE1">
        <w:rPr>
          <w:lang w:val="bg-BG"/>
        </w:rPr>
        <w:t>,</w:t>
      </w:r>
    </w:p>
    <w:p w:rsidR="00942E97" w:rsidRPr="004B2DE1" w:rsidRDefault="00942E97" w:rsidP="00942E97">
      <w:pPr>
        <w:pStyle w:val="Normal12Hanging"/>
        <w:rPr>
          <w:bCs/>
          <w:iCs/>
          <w:szCs w:val="24"/>
          <w:lang w:val="bg-BG"/>
        </w:rPr>
      </w:pPr>
      <w:r w:rsidRPr="004B2DE1">
        <w:rPr>
          <w:lang w:val="bg-BG"/>
        </w:rPr>
        <w:t>–</w:t>
      </w:r>
      <w:r w:rsidRPr="004B2DE1">
        <w:rPr>
          <w:lang w:val="bg-BG"/>
        </w:rPr>
        <w:tab/>
        <w:t>като взе предвид становището на Европейския икономически и социален комитет от 10 юли 2014 г. относно повишаване на прозрачността и приобщаващия характер на процеса на присъединяване към ЕС</w:t>
      </w:r>
      <w:r w:rsidRPr="004B2DE1">
        <w:rPr>
          <w:rStyle w:val="FootnoteReference"/>
          <w:lang w:val="bg-BG"/>
        </w:rPr>
        <w:footnoteReference w:id="20"/>
      </w:r>
      <w:r w:rsidRPr="004B2DE1">
        <w:rPr>
          <w:lang w:val="bg-BG"/>
        </w:rPr>
        <w:t>,</w:t>
      </w:r>
    </w:p>
    <w:p w:rsidR="00942E97" w:rsidRPr="004B2DE1" w:rsidRDefault="00942E97" w:rsidP="00942E97">
      <w:pPr>
        <w:pStyle w:val="Normal12Hanging"/>
        <w:rPr>
          <w:szCs w:val="24"/>
          <w:lang w:val="bg-BG"/>
        </w:rPr>
      </w:pPr>
      <w:r w:rsidRPr="004B2DE1">
        <w:rPr>
          <w:lang w:val="bg-BG"/>
        </w:rPr>
        <w:t>–</w:t>
      </w:r>
      <w:r w:rsidRPr="004B2DE1">
        <w:rPr>
          <w:lang w:val="bg-BG"/>
        </w:rPr>
        <w:tab/>
        <w:t xml:space="preserve">като взе предвид своите резолюции от 16 февруари 2017 г. относно подобряването на функционирането на Европейския съюз чрез използване на потенциала на </w:t>
      </w:r>
      <w:r w:rsidRPr="004B2DE1">
        <w:rPr>
          <w:lang w:val="bg-BG"/>
        </w:rPr>
        <w:lastRenderedPageBreak/>
        <w:t>Договора от Лисабон</w:t>
      </w:r>
      <w:r w:rsidRPr="004B2DE1">
        <w:rPr>
          <w:rStyle w:val="FootnoteReference"/>
          <w:szCs w:val="24"/>
          <w:lang w:val="bg-BG"/>
        </w:rPr>
        <w:footnoteReference w:id="21"/>
      </w:r>
      <w:r w:rsidRPr="004B2DE1">
        <w:rPr>
          <w:lang w:val="bg-BG"/>
        </w:rPr>
        <w:t xml:space="preserve"> и от 11 юли 2023 г. относно прилагането на клаузите за преход в Договорите на ЕС</w:t>
      </w:r>
      <w:r w:rsidRPr="004B2DE1">
        <w:rPr>
          <w:rStyle w:val="FootnoteReference"/>
          <w:szCs w:val="24"/>
          <w:lang w:val="bg-BG"/>
        </w:rPr>
        <w:footnoteReference w:id="22"/>
      </w:r>
      <w:r w:rsidRPr="004B2DE1">
        <w:rPr>
          <w:lang w:val="bg-BG"/>
        </w:rPr>
        <w:t>,</w:t>
      </w:r>
    </w:p>
    <w:p w:rsidR="00942E97" w:rsidRPr="004B2DE1" w:rsidRDefault="00942E97" w:rsidP="00942E97">
      <w:pPr>
        <w:pStyle w:val="Normal12Hanging"/>
        <w:rPr>
          <w:szCs w:val="24"/>
          <w:lang w:val="bg-BG"/>
        </w:rPr>
      </w:pPr>
      <w:r w:rsidRPr="004B2DE1">
        <w:rPr>
          <w:lang w:val="bg-BG"/>
        </w:rPr>
        <w:t>–</w:t>
      </w:r>
      <w:r w:rsidRPr="004B2DE1">
        <w:rPr>
          <w:lang w:val="bg-BG"/>
        </w:rPr>
        <w:tab/>
        <w:t>като взе предвид доклада от 9 май 2022 г. относно крайния резултат от Конференцията за бъдещето на Европа от 9 май 2022, както и своята резолюция от 4 май 2022 г. относно последващи действия във връзка със заключенията на Конференцията за бъдещето на Европа</w:t>
      </w:r>
      <w:r w:rsidRPr="004B2DE1">
        <w:rPr>
          <w:rStyle w:val="FootnoteReference"/>
          <w:bCs/>
          <w:iCs/>
          <w:szCs w:val="24"/>
          <w:lang w:val="bg-BG"/>
        </w:rPr>
        <w:footnoteReference w:id="23"/>
      </w:r>
      <w:r w:rsidRPr="004B2DE1">
        <w:rPr>
          <w:lang w:val="bg-BG"/>
        </w:rPr>
        <w:t>,</w:t>
      </w:r>
    </w:p>
    <w:p w:rsidR="00942E97" w:rsidRPr="004B2DE1" w:rsidRDefault="00942E97" w:rsidP="00942E97">
      <w:pPr>
        <w:pStyle w:val="Normal12Hanging"/>
        <w:rPr>
          <w:szCs w:val="24"/>
          <w:lang w:val="bg-BG"/>
        </w:rPr>
      </w:pPr>
      <w:r w:rsidRPr="004B2DE1">
        <w:rPr>
          <w:lang w:val="bg-BG"/>
        </w:rPr>
        <w:t>–</w:t>
      </w:r>
      <w:r w:rsidRPr="004B2DE1">
        <w:rPr>
          <w:sz w:val="20"/>
          <w:lang w:val="bg-BG"/>
        </w:rPr>
        <w:tab/>
      </w:r>
      <w:r w:rsidRPr="004B2DE1">
        <w:rPr>
          <w:lang w:val="bg-BG"/>
        </w:rPr>
        <w:t>като взе предвид своята резолюция от 9 юни 2022 г. относно призива за свикване на Конвент за преразглеждане на Договорите</w:t>
      </w:r>
      <w:r w:rsidRPr="004B2DE1">
        <w:rPr>
          <w:rStyle w:val="FootnoteReference"/>
          <w:szCs w:val="24"/>
          <w:lang w:val="bg-BG"/>
        </w:rPr>
        <w:footnoteReference w:id="24"/>
      </w:r>
      <w:r w:rsidRPr="004B2DE1">
        <w:rPr>
          <w:lang w:val="bg-BG"/>
        </w:rPr>
        <w:t xml:space="preserve"> и от 22 ноември 2023 г. относно предложенията на Европейския парламент за изменение на Договорите</w:t>
      </w:r>
      <w:r w:rsidRPr="004B2DE1">
        <w:rPr>
          <w:rStyle w:val="FootnoteReference"/>
          <w:bCs/>
          <w:iCs/>
          <w:szCs w:val="24"/>
          <w:lang w:val="bg-BG"/>
        </w:rPr>
        <w:footnoteReference w:id="25"/>
      </w:r>
      <w:r w:rsidRPr="004B2DE1">
        <w:rPr>
          <w:lang w:val="bg-BG"/>
        </w:rPr>
        <w:t xml:space="preserve"> и задействане на член 48 от ДЕС, в които се отправя искане към Европейския съвет да постигне съгласие относно свикването на Конвент за реформа на Договорите,</w:t>
      </w:r>
    </w:p>
    <w:p w:rsidR="00942E97" w:rsidRPr="004B2DE1" w:rsidRDefault="00942E97" w:rsidP="00942E97">
      <w:pPr>
        <w:pStyle w:val="Normal12Hanging"/>
        <w:rPr>
          <w:szCs w:val="24"/>
          <w:lang w:val="bg-BG"/>
        </w:rPr>
      </w:pPr>
      <w:r w:rsidRPr="004B2DE1">
        <w:rPr>
          <w:lang w:val="bg-BG"/>
        </w:rPr>
        <w:t>–</w:t>
      </w:r>
      <w:r w:rsidRPr="004B2DE1">
        <w:rPr>
          <w:lang w:val="bg-BG"/>
        </w:rPr>
        <w:tab/>
        <w:t>като взе предвид член 54 от своя Правилник за дейността,</w:t>
      </w:r>
    </w:p>
    <w:p w:rsidR="00942E97" w:rsidRPr="004B2DE1" w:rsidRDefault="00942E97" w:rsidP="00942E97">
      <w:pPr>
        <w:pStyle w:val="Normal12Hanging"/>
        <w:rPr>
          <w:szCs w:val="24"/>
          <w:lang w:val="bg-BG"/>
        </w:rPr>
      </w:pPr>
      <w:r w:rsidRPr="004B2DE1">
        <w:rPr>
          <w:lang w:val="bg-BG"/>
        </w:rPr>
        <w:t>–</w:t>
      </w:r>
      <w:r w:rsidRPr="004B2DE1">
        <w:rPr>
          <w:lang w:val="bg-BG"/>
        </w:rPr>
        <w:tab/>
        <w:t>като взе предвид доклада на комисията по външни работи и на комисията по конституционни въпроси (A9-0015/2024),</w:t>
      </w:r>
    </w:p>
    <w:p w:rsidR="00942E97" w:rsidRPr="004B2DE1" w:rsidRDefault="00942E97" w:rsidP="00942E97">
      <w:pPr>
        <w:pStyle w:val="Normal12Hanging"/>
        <w:rPr>
          <w:lang w:val="bg-BG"/>
        </w:rPr>
      </w:pPr>
      <w:r w:rsidRPr="004B2DE1">
        <w:rPr>
          <w:lang w:val="bg-BG"/>
        </w:rPr>
        <w:t>А.</w:t>
      </w:r>
      <w:r w:rsidRPr="004B2DE1">
        <w:rPr>
          <w:lang w:val="bg-BG"/>
        </w:rPr>
        <w:tab/>
        <w:t>като има предвид, че девет от десетте държави, които понастоящем се стремят да се присъединят към ЕС, имат статут на държави кандидатки, някои от тях от много години; като има предвид, че тези държави кандидатки се намират на различни етапи от процеса на присъединяване и преговори;</w:t>
      </w:r>
    </w:p>
    <w:p w:rsidR="00942E97" w:rsidRPr="004B2DE1" w:rsidRDefault="00942E97" w:rsidP="00942E97">
      <w:pPr>
        <w:pStyle w:val="Normal12Hanging"/>
        <w:rPr>
          <w:lang w:val="bg-BG"/>
        </w:rPr>
      </w:pPr>
      <w:r w:rsidRPr="004B2DE1">
        <w:rPr>
          <w:lang w:val="bg-BG"/>
        </w:rPr>
        <w:t>Б.</w:t>
      </w:r>
      <w:r w:rsidRPr="004B2DE1">
        <w:rPr>
          <w:lang w:val="bg-BG"/>
        </w:rPr>
        <w:tab/>
        <w:t>като има предвид, че вследствие на препоръките на Комисията в пакета за 2023 г. относно разширяването, на 14 декември 2023 г. Европейският съвет реши да предостави на Грузия статут на държава кандидатка и да започне преговори за присъединяване с Украйна и Република Молдова, както и с Босна и Херцеговина, след като бъде постигната необходимата степен на съответствие с критериите за членство;</w:t>
      </w:r>
    </w:p>
    <w:p w:rsidR="00942E97" w:rsidRPr="004B2DE1" w:rsidRDefault="00942E97" w:rsidP="00942E97">
      <w:pPr>
        <w:pStyle w:val="Normal12Hanging"/>
        <w:rPr>
          <w:lang w:val="bg-BG"/>
        </w:rPr>
      </w:pPr>
      <w:r w:rsidRPr="004B2DE1">
        <w:rPr>
          <w:lang w:val="bg-BG"/>
        </w:rPr>
        <w:t>В.</w:t>
      </w:r>
      <w:r w:rsidRPr="004B2DE1">
        <w:rPr>
          <w:lang w:val="bg-BG"/>
        </w:rPr>
        <w:tab/>
        <w:t>като има предвид, че агресивната война на Русия срещу Украйна и други текущи геополитически предизвикателства придадоха ново геостратегическо значение на разширяването на Европейския съюз; като има предвид, че стабилността, сигурността и демократичната устойчивост на Западните Балкани и на Източното съседство са неразривно свързани с тези на ЕС;</w:t>
      </w:r>
    </w:p>
    <w:p w:rsidR="00942E97" w:rsidRPr="004B2DE1" w:rsidRDefault="00942E97" w:rsidP="00942E97">
      <w:pPr>
        <w:pStyle w:val="Normal12Hanging"/>
        <w:rPr>
          <w:lang w:val="bg-BG"/>
        </w:rPr>
      </w:pPr>
      <w:r w:rsidRPr="004B2DE1">
        <w:rPr>
          <w:lang w:val="bg-BG"/>
        </w:rPr>
        <w:t>Г.</w:t>
      </w:r>
      <w:r w:rsidRPr="004B2DE1">
        <w:rPr>
          <w:lang w:val="bg-BG"/>
        </w:rPr>
        <w:tab/>
        <w:t xml:space="preserve">като има предвид, че разширяването е морален и исторически ангажимент и стратегически геополитически приоритет, представляващ геостратегическа инвестиция в бъдещето, която ще допринесе за мира, стабилността, сигурността, демокрацията, единството, борбата срещу изменението на климата и ще гарантира просперитет и благосъстояние на европейския континент; като има предвид, че сигурността на ЕС се основава и на способността му да защитава, развива и поддържа мира, демокрацията, принципите на правовата държава, правата на човека и основните ценности; като има предвид, че разширяването може да бъде от взаимна полза както за настоящите, така и за бъдещите държави членки и </w:t>
      </w:r>
      <w:r w:rsidRPr="004B2DE1">
        <w:rPr>
          <w:lang w:val="bg-BG"/>
        </w:rPr>
        <w:lastRenderedPageBreak/>
        <w:t>техните граждани, ако бъдат изпълнени съответните условия и изисквания;</w:t>
      </w:r>
    </w:p>
    <w:p w:rsidR="00942E97" w:rsidRPr="004B2DE1" w:rsidRDefault="00942E97" w:rsidP="00942E97">
      <w:pPr>
        <w:pStyle w:val="Normal12Hanging"/>
        <w:rPr>
          <w:bCs/>
          <w:iCs/>
          <w:lang w:val="bg-BG"/>
        </w:rPr>
      </w:pPr>
      <w:r w:rsidRPr="004B2DE1">
        <w:rPr>
          <w:lang w:val="bg-BG"/>
        </w:rPr>
        <w:t>Д.</w:t>
      </w:r>
      <w:r w:rsidRPr="004B2DE1">
        <w:rPr>
          <w:lang w:val="bg-BG"/>
        </w:rPr>
        <w:tab/>
        <w:t xml:space="preserve">като има предвид, че разширяването се превърна в един от най-силните политически и геополитически инструменти на ЕС; като има предвид, че според </w:t>
      </w:r>
      <w:proofErr w:type="spellStart"/>
      <w:r w:rsidRPr="004B2DE1">
        <w:rPr>
          <w:lang w:val="bg-BG"/>
        </w:rPr>
        <w:t>Евробарометър</w:t>
      </w:r>
      <w:proofErr w:type="spellEnd"/>
      <w:r w:rsidRPr="004B2DE1">
        <w:rPr>
          <w:lang w:val="bg-BG"/>
        </w:rPr>
        <w:t xml:space="preserve"> от юни 2023 г. по-голямата част от населението на ЕС подкрепя бъдещото разширяване на ЕС; като има предвид, че спешно са необходими нов тласък, ангажимент и визия, за да се съживи процесът на разширяване, като се гарантира неговата непрекъснатост, последователност и въздействие; като има предвид, че липсата на ангажираност в предходните години създаде вакуум, отваряйки пространството за Русия и Китай и други външни участници; като има предвид, че принципът за взаимно и лоялно сътрудничество трябва винаги да се спазва;</w:t>
      </w:r>
    </w:p>
    <w:p w:rsidR="00942E97" w:rsidRPr="004B2DE1" w:rsidRDefault="00942E97" w:rsidP="00942E97">
      <w:pPr>
        <w:pStyle w:val="Normal12Hanging"/>
        <w:rPr>
          <w:bCs/>
          <w:iCs/>
          <w:lang w:val="bg-BG"/>
        </w:rPr>
      </w:pPr>
      <w:r w:rsidRPr="004B2DE1">
        <w:rPr>
          <w:lang w:val="bg-BG"/>
        </w:rPr>
        <w:t>Е.</w:t>
      </w:r>
      <w:r w:rsidRPr="004B2DE1">
        <w:rPr>
          <w:lang w:val="bg-BG"/>
        </w:rPr>
        <w:tab/>
        <w:t>като има предвид, че присъединяването към ЕС трябва винаги да бъде процедура, основана на заслуги, при която всеки кандидат се оценява въз основа на собствените си заслуги за изпълнението на критериите от Копенхаген в тяхната цялост, включително за гарантиране на последователно и пълно зачитане на правата на човека (включително правата на малцинствата), демокрацията и принципите на правовата държава, както и на другите основни ценности на ЕС; като има предвид, че следва възможно най-бързо да се търси постигането на положителни резултати, като същевременно се избягват ускорени процедури или предварително определени срокове;</w:t>
      </w:r>
    </w:p>
    <w:p w:rsidR="00942E97" w:rsidRPr="004B2DE1" w:rsidRDefault="00942E97" w:rsidP="00942E97">
      <w:pPr>
        <w:pStyle w:val="Normal12Hanging"/>
        <w:ind w:hanging="566"/>
        <w:rPr>
          <w:rFonts w:eastAsiaTheme="minorEastAsia"/>
          <w:bCs/>
          <w:iCs/>
          <w:lang w:val="bg-BG"/>
        </w:rPr>
      </w:pPr>
      <w:r w:rsidRPr="004B2DE1">
        <w:rPr>
          <w:lang w:val="bg-BG"/>
        </w:rPr>
        <w:t>Ж.</w:t>
      </w:r>
      <w:r w:rsidRPr="004B2DE1">
        <w:rPr>
          <w:lang w:val="bg-BG"/>
        </w:rPr>
        <w:tab/>
        <w:t>като има предвид, че стагнацията или отстъплението трябва да имат последици, тъй като е необходимо целият процес на присъединяване да се основава на справедливи и строги условия;</w:t>
      </w:r>
    </w:p>
    <w:p w:rsidR="00942E97" w:rsidRPr="004B2DE1" w:rsidRDefault="00942E97" w:rsidP="00942E97">
      <w:pPr>
        <w:pStyle w:val="Normal12Hanging"/>
        <w:rPr>
          <w:bCs/>
          <w:iCs/>
          <w:szCs w:val="24"/>
          <w:lang w:val="bg-BG"/>
        </w:rPr>
      </w:pPr>
      <w:r w:rsidRPr="004B2DE1">
        <w:rPr>
          <w:lang w:val="bg-BG"/>
        </w:rPr>
        <w:t>З.</w:t>
      </w:r>
      <w:r w:rsidRPr="004B2DE1">
        <w:rPr>
          <w:lang w:val="bg-BG"/>
        </w:rPr>
        <w:tab/>
        <w:t>като има предвид, че присъединяването към ЕС изисква капацитет за амбициозна програма за интеграция както от страна на ЕС, така и от страна на държавите кандидатки; като има предвид, че основните реформи в областта на съдебната система, борбата срещу корупцията, свободата и плурализма на медиите са необходими, за да могат държавите кандидатки да постигнат напредък по пътя си към ЕС;</w:t>
      </w:r>
    </w:p>
    <w:p w:rsidR="00942E97" w:rsidRPr="004B2DE1" w:rsidRDefault="00942E97" w:rsidP="00942E97">
      <w:pPr>
        <w:pStyle w:val="Normal12Hanging"/>
        <w:rPr>
          <w:bCs/>
          <w:iCs/>
          <w:szCs w:val="24"/>
          <w:lang w:val="bg-BG"/>
        </w:rPr>
      </w:pPr>
      <w:r w:rsidRPr="004B2DE1">
        <w:rPr>
          <w:lang w:val="bg-BG"/>
        </w:rPr>
        <w:t>И.</w:t>
      </w:r>
      <w:r w:rsidRPr="004B2DE1">
        <w:rPr>
          <w:lang w:val="bg-BG"/>
        </w:rPr>
        <w:tab/>
        <w:t>като има предвид, че заедно със следващото разширяване би било изгодно да се завърши предстоящото членство на съществуващите държави членки в еврозоната и Шенгенското пространство;</w:t>
      </w:r>
    </w:p>
    <w:p w:rsidR="00942E97" w:rsidRPr="004B2DE1" w:rsidRDefault="00942E97" w:rsidP="00942E97">
      <w:pPr>
        <w:pStyle w:val="Normal12Hanging"/>
        <w:rPr>
          <w:lang w:val="bg-BG"/>
        </w:rPr>
      </w:pPr>
      <w:r w:rsidRPr="004B2DE1">
        <w:rPr>
          <w:lang w:val="bg-BG"/>
        </w:rPr>
        <w:t>Й.</w:t>
      </w:r>
      <w:r w:rsidRPr="004B2DE1">
        <w:rPr>
          <w:lang w:val="bg-BG"/>
        </w:rPr>
        <w:tab/>
        <w:t>като има предвид, че държавите от Западните Балкани трябва също да се съсредоточат върху разрешаването на конфликти, регионалното сътрудничество и помирението; като има предвид, че в ЕС или в държавите, които се стремят да станат държави членки, няма място за подстрекателска реторика, отричане на геноцид или възхваляване на военнопрестъпници от която и да било от страните; като има предвид, че приемането на миналото е единственият начин да се постигне истинско помирение, което е от решаващо значение за проспериращите общества и успешната интеграция;</w:t>
      </w:r>
    </w:p>
    <w:p w:rsidR="00942E97" w:rsidRPr="004B2DE1" w:rsidRDefault="00942E97" w:rsidP="00942E97">
      <w:pPr>
        <w:pStyle w:val="Normal12Hanging"/>
        <w:rPr>
          <w:bCs/>
          <w:iCs/>
          <w:lang w:val="bg-BG"/>
        </w:rPr>
      </w:pPr>
      <w:r w:rsidRPr="004B2DE1">
        <w:rPr>
          <w:lang w:val="bg-BG"/>
        </w:rPr>
        <w:t>К.</w:t>
      </w:r>
      <w:r w:rsidRPr="004B2DE1">
        <w:rPr>
          <w:lang w:val="bg-BG"/>
        </w:rPr>
        <w:tab/>
        <w:t>като има предвид, че процесите на разширяване и задълбочаване на ЕС трябва да протичат едновременно, тъй като те имат капацитета взаимно да се подсилват, като увеличават своето въздействие и допринасят значително за постигането на общите цели, за които е създаден ЕС;</w:t>
      </w:r>
    </w:p>
    <w:p w:rsidR="00942E97" w:rsidRPr="004B2DE1" w:rsidRDefault="00942E97" w:rsidP="00942E97">
      <w:pPr>
        <w:pStyle w:val="Normal12Hanging"/>
        <w:rPr>
          <w:bCs/>
          <w:iCs/>
          <w:szCs w:val="24"/>
          <w:lang w:val="bg-BG"/>
        </w:rPr>
      </w:pPr>
      <w:r w:rsidRPr="004B2DE1">
        <w:rPr>
          <w:lang w:val="bg-BG"/>
        </w:rPr>
        <w:lastRenderedPageBreak/>
        <w:t>Л.</w:t>
      </w:r>
      <w:r w:rsidRPr="004B2DE1">
        <w:rPr>
          <w:lang w:val="bg-BG"/>
        </w:rPr>
        <w:tab/>
        <w:t>като има предвид, че предизвикателството на един по-голям Европейски съюз изисква засилена политика на разширяване, основана на постепенна интеграция в общи политики и с ясни ползи за гражданите през целия процес;</w:t>
      </w:r>
    </w:p>
    <w:p w:rsidR="00942E97" w:rsidRPr="004B2DE1" w:rsidRDefault="00942E97" w:rsidP="00942E97">
      <w:pPr>
        <w:pStyle w:val="Normal12Hanging"/>
        <w:rPr>
          <w:rFonts w:eastAsia="Calibri"/>
          <w:bCs/>
          <w:iCs/>
          <w:lang w:val="bg-BG"/>
        </w:rPr>
      </w:pPr>
      <w:r w:rsidRPr="004B2DE1">
        <w:rPr>
          <w:lang w:val="bg-BG"/>
        </w:rPr>
        <w:t>М.</w:t>
      </w:r>
      <w:r w:rsidRPr="004B2DE1">
        <w:rPr>
          <w:lang w:val="bg-BG"/>
        </w:rPr>
        <w:tab/>
        <w:t>като има предвид, че в контекста на разширяването е необходимо цялостно да се разгледа преразглеждането на настоящите и бъдещите европейски политики, структурните реформи, институционалните промени и многогодишната финансова рамка (МФР) за периода 2028 – 2034 г.;</w:t>
      </w:r>
    </w:p>
    <w:p w:rsidR="00942E97" w:rsidRPr="004B2DE1" w:rsidRDefault="00942E97" w:rsidP="00942E97">
      <w:pPr>
        <w:pStyle w:val="Normal12Hanging"/>
        <w:rPr>
          <w:lang w:val="bg-BG"/>
        </w:rPr>
      </w:pPr>
      <w:r w:rsidRPr="004B2DE1">
        <w:rPr>
          <w:lang w:val="bg-BG"/>
        </w:rPr>
        <w:t>Н.</w:t>
      </w:r>
      <w:r w:rsidRPr="004B2DE1">
        <w:rPr>
          <w:lang w:val="bg-BG"/>
        </w:rPr>
        <w:tab/>
        <w:t>като има предвид, че държавите от Западните Балкани от десетилетия заявяват решимостта си да се присъединят към ЕС; като има предвид, че на 23 – 24 юни 2022 г. лидерите на ЕС отново потвърдиха пълния и недвусмислен ангажимент към перспективата за членство на Западните Балкани в ЕС;</w:t>
      </w:r>
    </w:p>
    <w:p w:rsidR="00942E97" w:rsidRPr="004B2DE1" w:rsidRDefault="00942E97" w:rsidP="00942E97">
      <w:pPr>
        <w:pStyle w:val="Normal12Hanging"/>
        <w:rPr>
          <w:lang w:val="bg-BG"/>
        </w:rPr>
      </w:pPr>
      <w:r w:rsidRPr="004B2DE1">
        <w:rPr>
          <w:lang w:val="bg-BG"/>
        </w:rPr>
        <w:t>О.</w:t>
      </w:r>
      <w:r w:rsidRPr="004B2DE1">
        <w:rPr>
          <w:lang w:val="bg-BG"/>
        </w:rPr>
        <w:tab/>
        <w:t>като има предвид, че държавите кандидатки трябва да покажат, че се придържат към основните ценности на ЕС и че зачитат политиките и позициите на ЕС, включително неговата обща външна политика и политика на сигурност (ОВППС);</w:t>
      </w:r>
    </w:p>
    <w:p w:rsidR="00942E97" w:rsidRPr="004B2DE1" w:rsidRDefault="00942E97" w:rsidP="00942E97">
      <w:pPr>
        <w:pStyle w:val="Normal12Hanging"/>
        <w:rPr>
          <w:lang w:val="bg-BG"/>
        </w:rPr>
      </w:pPr>
      <w:r w:rsidRPr="004B2DE1">
        <w:rPr>
          <w:lang w:val="bg-BG"/>
        </w:rPr>
        <w:t>П.</w:t>
      </w:r>
      <w:r w:rsidRPr="004B2DE1">
        <w:rPr>
          <w:b/>
          <w:i/>
          <w:lang w:val="bg-BG"/>
        </w:rPr>
        <w:tab/>
      </w:r>
      <w:r w:rsidRPr="004B2DE1">
        <w:rPr>
          <w:lang w:val="bg-BG"/>
        </w:rPr>
        <w:t xml:space="preserve">като има предвид, че през последните години някои държави от Западните Балкани постигнаха висока степен на привеждане в съответствие с ОВППС на ЕС, включително що се отнася до санкциите срещу Русия в отговор на нейната агресивна война срещу Украйна; като има предвид, че през март 2023 г. министрите на външните работи на Албания, Косово, Черна гора и Северна Македония стартираха платформата </w:t>
      </w:r>
      <w:proofErr w:type="spellStart"/>
      <w:r w:rsidRPr="004B2DE1">
        <w:rPr>
          <w:lang w:val="bg-BG"/>
        </w:rPr>
        <w:t>Western</w:t>
      </w:r>
      <w:proofErr w:type="spellEnd"/>
      <w:r w:rsidRPr="004B2DE1">
        <w:rPr>
          <w:lang w:val="bg-BG"/>
        </w:rPr>
        <w:t xml:space="preserve"> </w:t>
      </w:r>
      <w:proofErr w:type="spellStart"/>
      <w:r w:rsidRPr="004B2DE1">
        <w:rPr>
          <w:lang w:val="bg-BG"/>
        </w:rPr>
        <w:t>Balkans</w:t>
      </w:r>
      <w:proofErr w:type="spellEnd"/>
      <w:r w:rsidRPr="004B2DE1">
        <w:rPr>
          <w:lang w:val="bg-BG"/>
        </w:rPr>
        <w:t xml:space="preserve"> QUAD – 100% </w:t>
      </w:r>
      <w:proofErr w:type="spellStart"/>
      <w:r w:rsidRPr="004B2DE1">
        <w:rPr>
          <w:lang w:val="bg-BG"/>
        </w:rPr>
        <w:t>alignment</w:t>
      </w:r>
      <w:proofErr w:type="spellEnd"/>
      <w:r w:rsidRPr="004B2DE1">
        <w:rPr>
          <w:lang w:val="bg-BG"/>
        </w:rPr>
        <w:t xml:space="preserve"> </w:t>
      </w:r>
      <w:proofErr w:type="spellStart"/>
      <w:r w:rsidRPr="004B2DE1">
        <w:rPr>
          <w:lang w:val="bg-BG"/>
        </w:rPr>
        <w:t>with</w:t>
      </w:r>
      <w:proofErr w:type="spellEnd"/>
      <w:r w:rsidRPr="004B2DE1">
        <w:rPr>
          <w:lang w:val="bg-BG"/>
        </w:rPr>
        <w:t xml:space="preserve"> EU </w:t>
      </w:r>
      <w:proofErr w:type="spellStart"/>
      <w:r w:rsidRPr="004B2DE1">
        <w:rPr>
          <w:lang w:val="bg-BG"/>
        </w:rPr>
        <w:t>Common</w:t>
      </w:r>
      <w:proofErr w:type="spellEnd"/>
      <w:r w:rsidRPr="004B2DE1">
        <w:rPr>
          <w:lang w:val="bg-BG"/>
        </w:rPr>
        <w:t xml:space="preserve"> </w:t>
      </w:r>
      <w:proofErr w:type="spellStart"/>
      <w:r w:rsidRPr="004B2DE1">
        <w:rPr>
          <w:lang w:val="bg-BG"/>
        </w:rPr>
        <w:t>Foreign</w:t>
      </w:r>
      <w:proofErr w:type="spellEnd"/>
      <w:r w:rsidRPr="004B2DE1">
        <w:rPr>
          <w:lang w:val="bg-BG"/>
        </w:rPr>
        <w:t xml:space="preserve"> </w:t>
      </w:r>
      <w:proofErr w:type="spellStart"/>
      <w:r w:rsidRPr="004B2DE1">
        <w:rPr>
          <w:lang w:val="bg-BG"/>
        </w:rPr>
        <w:t>Security</w:t>
      </w:r>
      <w:proofErr w:type="spellEnd"/>
      <w:r w:rsidRPr="004B2DE1">
        <w:rPr>
          <w:lang w:val="bg-BG"/>
        </w:rPr>
        <w:t xml:space="preserve"> </w:t>
      </w:r>
      <w:proofErr w:type="spellStart"/>
      <w:r w:rsidRPr="004B2DE1">
        <w:rPr>
          <w:lang w:val="bg-BG"/>
        </w:rPr>
        <w:t>Policy</w:t>
      </w:r>
      <w:proofErr w:type="spellEnd"/>
      <w:r w:rsidRPr="004B2DE1">
        <w:rPr>
          <w:lang w:val="bg-BG"/>
        </w:rPr>
        <w:t xml:space="preserve"> (CFSP) (</w:t>
      </w:r>
      <w:proofErr w:type="spellStart"/>
      <w:r w:rsidRPr="004B2DE1">
        <w:rPr>
          <w:lang w:val="bg-BG"/>
        </w:rPr>
        <w:t>Западнобалканска</w:t>
      </w:r>
      <w:proofErr w:type="spellEnd"/>
      <w:r w:rsidRPr="004B2DE1">
        <w:rPr>
          <w:lang w:val="bg-BG"/>
        </w:rPr>
        <w:t xml:space="preserve"> четворка – 100% привеждане в съответствие с общата външна политика на сигурност на ЕС (ОВППС));</w:t>
      </w:r>
    </w:p>
    <w:p w:rsidR="00942E97" w:rsidRPr="004B2DE1" w:rsidRDefault="00942E97" w:rsidP="00942E97">
      <w:pPr>
        <w:pStyle w:val="Normal12Hanging"/>
        <w:rPr>
          <w:bCs/>
          <w:iCs/>
          <w:lang w:val="bg-BG"/>
        </w:rPr>
      </w:pPr>
      <w:r w:rsidRPr="004B2DE1">
        <w:rPr>
          <w:lang w:val="bg-BG"/>
        </w:rPr>
        <w:t>Р.</w:t>
      </w:r>
      <w:r w:rsidRPr="004B2DE1">
        <w:rPr>
          <w:lang w:val="bg-BG"/>
        </w:rPr>
        <w:tab/>
        <w:t>като има предвид, че ЕС трябва да покаже ясна политическа воля за подкрепа на държавите кандидатки и следва да увеличи значително своята обвързана с условия техническа и финансова подкрепа за основни реформи, разрешаване на двустранни спорове, икономическа конвергенция и регионална икономическа интеграция в присъединяващите се държави; като има предвид, че Новият план за растеж за Западните Балкани в размер на 6 милиарда евро има за цел да ускори основните реформи, да засили интеграцията на държавите в единния пазар на ЕС, както и да стимулира икономическата интеграция на региона;</w:t>
      </w:r>
    </w:p>
    <w:p w:rsidR="00942E97" w:rsidRPr="004B2DE1" w:rsidRDefault="00942E97" w:rsidP="00942E97">
      <w:pPr>
        <w:pStyle w:val="Normal12Hanging"/>
        <w:rPr>
          <w:bCs/>
          <w:iCs/>
          <w:szCs w:val="24"/>
          <w:lang w:val="bg-BG"/>
        </w:rPr>
      </w:pPr>
      <w:r w:rsidRPr="004B2DE1">
        <w:rPr>
          <w:lang w:val="bg-BG"/>
        </w:rPr>
        <w:t>С.</w:t>
      </w:r>
      <w:r w:rsidRPr="004B2DE1">
        <w:rPr>
          <w:lang w:val="bg-BG"/>
        </w:rPr>
        <w:tab/>
        <w:t>като има предвид, че злонамерени чуждестранни участници използват методи за хибридна намеса, за да окажат въздействие върху интеграцията в ЕС и да я провалят;</w:t>
      </w:r>
    </w:p>
    <w:p w:rsidR="00942E97" w:rsidRPr="004B2DE1" w:rsidRDefault="00942E97" w:rsidP="00942E97">
      <w:pPr>
        <w:pStyle w:val="Normal12Hanging"/>
        <w:rPr>
          <w:bCs/>
          <w:iCs/>
          <w:lang w:val="bg-BG"/>
        </w:rPr>
      </w:pPr>
      <w:r w:rsidRPr="004B2DE1">
        <w:rPr>
          <w:lang w:val="bg-BG"/>
        </w:rPr>
        <w:t>Т.</w:t>
      </w:r>
      <w:r w:rsidRPr="004B2DE1">
        <w:rPr>
          <w:lang w:val="bg-BG"/>
        </w:rPr>
        <w:tab/>
        <w:t xml:space="preserve">като има предвид, че Парламентът несъмнено е най-подкрепящата институция на ЕС по отношение на разширяването; като има предвид, че ролята на Парламента остава изключително ограничена по време на целия процес на разширяване и следва да бъде засилена, за да се повишат демократичната легитимност и отчетност, включително при оценката на междинните стъпки на присъединяването, наред с другото чрез редовни заседания на комисиите и парламентарен контрол на предприсъединителното финансиране, като същевременно се използват неговите съществуващи средства и инструменти, включително програмите за подкрепа на демокрацията; като има предвид, че регионалните и местните администрации и организациите на гражданското </w:t>
      </w:r>
      <w:r w:rsidRPr="004B2DE1">
        <w:rPr>
          <w:lang w:val="bg-BG"/>
        </w:rPr>
        <w:lastRenderedPageBreak/>
        <w:t>общество следва да участват структурирано в процеса на разширяване и контрола върху него;</w:t>
      </w:r>
    </w:p>
    <w:p w:rsidR="00942E97" w:rsidRPr="004B2DE1" w:rsidRDefault="00942E97" w:rsidP="00942E97">
      <w:pPr>
        <w:pStyle w:val="Normal12Hanging"/>
        <w:rPr>
          <w:lang w:val="bg-BG"/>
        </w:rPr>
      </w:pPr>
      <w:r w:rsidRPr="004B2DE1">
        <w:rPr>
          <w:lang w:val="bg-BG"/>
        </w:rPr>
        <w:t>У.</w:t>
      </w:r>
      <w:r w:rsidRPr="004B2DE1">
        <w:rPr>
          <w:lang w:val="bg-BG"/>
        </w:rPr>
        <w:tab/>
        <w:t>като има предвид, че важни инициативи като Европейската политическа общност, която вече проведе три официални срещи, дават възможност за политическо сътрудничество и допринасят за регионалните диалози в различни области между ЕС и други държави, но не са алтернативи на членството в ЕС;</w:t>
      </w:r>
    </w:p>
    <w:p w:rsidR="00942E97" w:rsidRPr="004B2DE1" w:rsidRDefault="00942E97" w:rsidP="00942E97">
      <w:pPr>
        <w:pStyle w:val="Normal12Hanging"/>
        <w:rPr>
          <w:lang w:val="bg-BG"/>
        </w:rPr>
      </w:pPr>
      <w:r w:rsidRPr="004B2DE1">
        <w:rPr>
          <w:lang w:val="bg-BG"/>
        </w:rPr>
        <w:t>Ф.</w:t>
      </w:r>
      <w:r w:rsidRPr="004B2DE1">
        <w:rPr>
          <w:lang w:val="bg-BG"/>
        </w:rPr>
        <w:tab/>
        <w:t>като има предвид, че са необходими значителни реформи преди разширяването, за да се гарантират ефективното функциониране на разширения ЕС и неговият капацитет за поемане на нови членове и за насърчаване на успешната им интеграция, както и за да се отговори по подходящ начин на многобройните предизвикателства, пред които ЕС е изправен в момента; като има предвид, че това би могло да доведе до значителни промени в институционалната рамка на ЕС и до възможния напредък на диференцирани решения по отношение на интеграцията, когато Договорите позволяват това; като има предвид, че някои от тези решения от известно време вече се обсъждат; като има предвид, че за да се постигне това, ЕС следва също така пълноценно да използва гъвкавостта, предоставена чрез Договора от Лисабон, преди провеждането на по-задълбочена реформа в контекста на евентуално преразглеждане на Договорите;</w:t>
      </w:r>
    </w:p>
    <w:p w:rsidR="00942E97" w:rsidRPr="004B2DE1" w:rsidRDefault="00942E97" w:rsidP="00942E97">
      <w:pPr>
        <w:pStyle w:val="Normal12Hanging"/>
        <w:rPr>
          <w:lang w:val="bg-BG"/>
        </w:rPr>
      </w:pPr>
      <w:r w:rsidRPr="004B2DE1">
        <w:rPr>
          <w:lang w:val="bg-BG"/>
        </w:rPr>
        <w:t>Х.</w:t>
      </w:r>
      <w:r w:rsidRPr="004B2DE1">
        <w:rPr>
          <w:lang w:val="bg-BG"/>
        </w:rPr>
        <w:tab/>
        <w:t>като има предвид, че ЕС е изправен пред значителни предизвикателства при постигането на ефективно управление на кризи, по-специално в процедурите за вземане на решения; като има предвид, че доверието в ЕС и способността му да действа своевременно и ефективно зависят от демократичното и ефикасното вземане на решения, и още повече в един разширен ЕС с 30 или повече държави членки; като има предвид, че е ясно, че институциите и механизмите за вземане на решения на ЕС, по-специално в Съвета, не са подходящи за Съюз с увеличен брой държави членки; като има предвид, че политическата воля и ефективното вземане на решения, които водят до навременни и координирани вътрешни и външни действия, са от жизненоважно значение за защитата на интересите на ЕС, неговото глобално геополитическо лидерство и доверието в него; като има предвид, че неотдавнашните трудности с решенията на ЕС относно санкциите потвърждават, че отказът от единодушие е необходим; като има предвид, че дълбоката реформа на институционалната рамка и на управленските структури на ЕС в посока опростени, по-ефективни и демократични процедури за вземане на решения трябва да бъде осъществена, когато е необходимо, успоредно с текущите преговори за присъединяване;</w:t>
      </w:r>
    </w:p>
    <w:p w:rsidR="00942E97" w:rsidRPr="004B2DE1" w:rsidRDefault="00942E97" w:rsidP="00942E97">
      <w:pPr>
        <w:pStyle w:val="Normal12Hanging"/>
        <w:rPr>
          <w:lang w:val="bg-BG"/>
        </w:rPr>
      </w:pPr>
      <w:r w:rsidRPr="004B2DE1">
        <w:rPr>
          <w:lang w:val="bg-BG"/>
        </w:rPr>
        <w:t>Ц.</w:t>
      </w:r>
      <w:r w:rsidRPr="004B2DE1">
        <w:rPr>
          <w:lang w:val="bg-BG"/>
        </w:rPr>
        <w:tab/>
        <w:t>като има предвид, че клаузи за преход биха могли да се използват незабавно, за да се промени изискването за гласуване с единодушие към гласуване с квалифицирано мнозинство в конкретни области на политиката; като има предвид, че Парламентът задейства процедурата за преразглеждане на Договора и представи на Съвета предложения за изменение на Договорите в съответствие с член 48, параграф 2 от ДЕС; като има предвид, че по време на речта си в Европейския парламент на 17 януари 2024 г. председателят на Комисията обяви предстоящото представяне на съобщение относно реформа на Договора, която в близко бъдеще ще проправи пътя за обсъждане в Европейския съвет;</w:t>
      </w:r>
    </w:p>
    <w:p w:rsidR="00942E97" w:rsidRPr="004B2DE1" w:rsidRDefault="00942E97" w:rsidP="00942E97">
      <w:pPr>
        <w:pStyle w:val="Normal12Hanging"/>
        <w:rPr>
          <w:bCs/>
          <w:iCs/>
          <w:lang w:val="bg-BG"/>
        </w:rPr>
      </w:pPr>
      <w:r w:rsidRPr="004B2DE1">
        <w:rPr>
          <w:lang w:val="bg-BG"/>
        </w:rPr>
        <w:t>Ч.</w:t>
      </w:r>
      <w:r w:rsidRPr="004B2DE1">
        <w:rPr>
          <w:lang w:val="bg-BG"/>
        </w:rPr>
        <w:tab/>
        <w:t xml:space="preserve">като има предвид, че Европейският парламент, Съветът и Комисията се ангажираха да предприемат ефективни последващи действия във връзка със </w:t>
      </w:r>
      <w:r w:rsidRPr="004B2DE1">
        <w:rPr>
          <w:lang w:val="bg-BG"/>
        </w:rPr>
        <w:lastRenderedPageBreak/>
        <w:t>заключенията на Конференцията за бъдещето на Европа; като има предвид, че Конференцията за бъдещето на Европа призова ЕС да постигне съгласие по силна визия и обща стратегия за консолидиране на неговото единство и подобряване на капацитета на ЕС за вземане на решения с оглед на бъдещото разширяване; като има предвид, че много от тези предложения могат да бъдат приложени само ако има промени в Договорите;</w:t>
      </w:r>
    </w:p>
    <w:p w:rsidR="00942E97" w:rsidRPr="004B2DE1" w:rsidRDefault="00942E97" w:rsidP="00942E97">
      <w:pPr>
        <w:pStyle w:val="Normal12Hanging"/>
        <w:rPr>
          <w:b/>
          <w:bCs/>
          <w:i/>
          <w:iCs/>
          <w:lang w:val="bg-BG"/>
        </w:rPr>
      </w:pPr>
      <w:r w:rsidRPr="004B2DE1">
        <w:rPr>
          <w:lang w:val="bg-BG"/>
        </w:rPr>
        <w:t>Ш.</w:t>
      </w:r>
      <w:r w:rsidRPr="004B2DE1">
        <w:rPr>
          <w:lang w:val="bg-BG"/>
        </w:rPr>
        <w:tab/>
        <w:t>като има предвид, че отстъплението от демокрацията е сред най-големите заплахи, пред които е изправен Европейският съюз както във вътрешен, така и във външен план;</w:t>
      </w:r>
    </w:p>
    <w:p w:rsidR="00942E97" w:rsidRPr="004B2DE1" w:rsidRDefault="00942E97" w:rsidP="00942E97">
      <w:pPr>
        <w:pStyle w:val="Normal12Hanging"/>
        <w:rPr>
          <w:lang w:val="bg-BG"/>
        </w:rPr>
      </w:pPr>
      <w:r w:rsidRPr="004B2DE1">
        <w:rPr>
          <w:lang w:val="bg-BG"/>
        </w:rPr>
        <w:t>Щ.</w:t>
      </w:r>
      <w:r w:rsidRPr="004B2DE1">
        <w:rPr>
          <w:lang w:val="bg-BG"/>
        </w:rPr>
        <w:tab/>
        <w:t>като има предвид, че механизмът за гарантиране на спазването на основните принципи и ценности на ЕС и достиженията на правото на ЕС също трябва да бъде укрепен успоредно със следващото разширяване; като има предвид, че прилагането на достиженията на правото на ЕС следва да се наблюдава задълбочено и обективно за всяка държава кандидатка;</w:t>
      </w:r>
    </w:p>
    <w:p w:rsidR="00942E97" w:rsidRPr="004B2DE1" w:rsidRDefault="00942E97" w:rsidP="00942E97">
      <w:pPr>
        <w:pStyle w:val="Normal12Hanging"/>
        <w:rPr>
          <w:lang w:val="bg-BG"/>
        </w:rPr>
      </w:pPr>
      <w:r w:rsidRPr="004B2DE1">
        <w:rPr>
          <w:lang w:val="bg-BG"/>
        </w:rPr>
        <w:t>АА.</w:t>
      </w:r>
      <w:r w:rsidRPr="004B2DE1">
        <w:rPr>
          <w:lang w:val="bg-BG"/>
        </w:rPr>
        <w:tab/>
        <w:t>като има предвид, че разширяването е голямо финансово предизвикателство за ЕС, по-специално по отношение на политиката на сближаване, селскостопанската политика и други програми и политики на ЕС, но също така представлява и възможност за реформиране на ЕС; като има предвид, че настоящите и бъдещите МФР следва да бъдат преразгледани, правилно изградени и значително укрепени, а приоритетите и управлението им следва да бъдат променени, за да се даде възможност и да се подкрепи значителното разширяване на ЕС, без да се застрашава подкрепата, необходима в настоящите държави членки; като има предвид, че тази финансова основа трябва да бъде създадена преди разширяването;</w:t>
      </w:r>
    </w:p>
    <w:p w:rsidR="00942E97" w:rsidRPr="004B2DE1" w:rsidRDefault="00942E97" w:rsidP="00942E97">
      <w:pPr>
        <w:pStyle w:val="Normal12Hanging"/>
        <w:rPr>
          <w:szCs w:val="24"/>
          <w:lang w:val="bg-BG"/>
        </w:rPr>
      </w:pPr>
      <w:r w:rsidRPr="004B2DE1">
        <w:rPr>
          <w:lang w:val="bg-BG"/>
        </w:rPr>
        <w:t>АБ.</w:t>
      </w:r>
      <w:r w:rsidRPr="004B2DE1">
        <w:rPr>
          <w:lang w:val="bg-BG"/>
        </w:rPr>
        <w:tab/>
        <w:t xml:space="preserve">като има предвид, че реконструкцията и следвоенното възстановяване на Украйна са допълнително предизвикателство, което трябва да бъде преодоляно в по-широкия контекст на международни усилия; </w:t>
      </w:r>
    </w:p>
    <w:p w:rsidR="00942E97" w:rsidRPr="004B2DE1" w:rsidRDefault="00942E97" w:rsidP="00942E97">
      <w:pPr>
        <w:pStyle w:val="Normal12Hanging"/>
        <w:rPr>
          <w:b/>
          <w:bCs/>
          <w:i/>
          <w:iCs/>
          <w:szCs w:val="24"/>
          <w:lang w:val="bg-BG"/>
        </w:rPr>
      </w:pPr>
      <w:r w:rsidRPr="004B2DE1">
        <w:rPr>
          <w:b/>
          <w:i/>
          <w:lang w:val="bg-BG"/>
        </w:rPr>
        <w:t>Относно стратегическото измерение на разширяването</w:t>
      </w:r>
    </w:p>
    <w:p w:rsidR="00942E97" w:rsidRPr="004B2DE1" w:rsidRDefault="00942E97" w:rsidP="00942E97">
      <w:pPr>
        <w:pStyle w:val="Normal12Hanging"/>
        <w:rPr>
          <w:lang w:val="bg-BG"/>
        </w:rPr>
      </w:pPr>
      <w:r w:rsidRPr="004B2DE1">
        <w:rPr>
          <w:lang w:val="bg-BG"/>
        </w:rPr>
        <w:t>1.</w:t>
      </w:r>
      <w:r w:rsidRPr="004B2DE1">
        <w:rPr>
          <w:lang w:val="bg-BG"/>
        </w:rPr>
        <w:tab/>
        <w:t>приветства стремежа на много европейски държави и техните граждани да се присъединят към ЕС и признава тяхната политическа воля и сериозните усилия, които полагат, за да изпълнят изискванията за членство;</w:t>
      </w:r>
    </w:p>
    <w:p w:rsidR="00942E97" w:rsidRPr="004B2DE1" w:rsidRDefault="00942E97" w:rsidP="00942E97">
      <w:pPr>
        <w:pStyle w:val="Normal12Hanging"/>
        <w:rPr>
          <w:lang w:val="bg-BG"/>
        </w:rPr>
      </w:pPr>
      <w:r w:rsidRPr="004B2DE1">
        <w:rPr>
          <w:lang w:val="bg-BG"/>
        </w:rPr>
        <w:t>2.</w:t>
      </w:r>
      <w:r w:rsidRPr="004B2DE1">
        <w:rPr>
          <w:lang w:val="bg-BG"/>
        </w:rPr>
        <w:tab/>
        <w:t>счита, че разширяването е от огромно стратегическо значение за ЕС; отново потвърждава, че засилената политика на разширяване се превърна в един от най-силните политически и геополитически инструменти на ЕС и представлява геостратегическа инвестиция за дългосрочен мир, демокрация, стабилност, сигурност, опазване на климата и просперитет на целия континент, още повече в контекста на агресивната война на Русия срещу Украйна и други общи геополитически предизвикателства, които изискват дългосрочна политическа визия и смели решения; подчертава неотложната политическа необходимост да се демонстрира ангажиментът на ЕС към основания на правила международен ред; настоява, че предвид големите предизвикателства за сигурността, пред които е изправена Европа, разширяването на ЕС и включването на Украйна в западните системи за колективна сигурност и отбрана ще укрепят европейската сигурност;</w:t>
      </w:r>
    </w:p>
    <w:p w:rsidR="00942E97" w:rsidRPr="004B2DE1" w:rsidRDefault="00942E97" w:rsidP="00942E97">
      <w:pPr>
        <w:pStyle w:val="Normal12Hanging"/>
        <w:rPr>
          <w:bCs/>
          <w:iCs/>
          <w:lang w:val="bg-BG"/>
        </w:rPr>
      </w:pPr>
      <w:r w:rsidRPr="004B2DE1">
        <w:rPr>
          <w:lang w:val="bg-BG"/>
        </w:rPr>
        <w:lastRenderedPageBreak/>
        <w:t>3.</w:t>
      </w:r>
      <w:r w:rsidRPr="004B2DE1">
        <w:rPr>
          <w:lang w:val="bg-BG"/>
        </w:rPr>
        <w:tab/>
        <w:t>приветства препоръките на Комисията в пакета за 2023 г. относно разширяването и също така приветства решенията на Европейския съвет за започване на преговори за присъединяване с Украйна и Република Молдова, за предоставяне на Грузия на статут на държава кандидатка, при условие че бъдат предприети съответните стъпки, посочени в препоръката на Комисията от 8 ноември 2023 г., и за започване на преговори за присъединяване с Босна и Херцеговина, след като бъде постигната необходимата степен на съответствие с критериите за членство; приканва Съвета да възложи на Комисията незабавно да представи предложения за съответните рамки за преговори и да ги приеме, след като бъдат предприети съответните стъпки, посочени в съответните препоръки на Комисията от 8 ноември 2023 г.;</w:t>
      </w:r>
    </w:p>
    <w:p w:rsidR="00942E97" w:rsidRPr="004B2DE1" w:rsidRDefault="00942E97" w:rsidP="00942E97">
      <w:pPr>
        <w:pStyle w:val="Normal12Hanging"/>
        <w:rPr>
          <w:rFonts w:eastAsia="Calibri"/>
          <w:b/>
          <w:i/>
          <w:lang w:val="bg-BG"/>
        </w:rPr>
      </w:pPr>
      <w:r w:rsidRPr="004B2DE1">
        <w:rPr>
          <w:b/>
          <w:i/>
          <w:lang w:val="bg-BG"/>
        </w:rPr>
        <w:t>Относно процедурите за присъединяване и ролята на Европейския парламент</w:t>
      </w:r>
    </w:p>
    <w:p w:rsidR="00942E97" w:rsidRPr="004B2DE1" w:rsidRDefault="00942E97" w:rsidP="00942E97">
      <w:pPr>
        <w:pStyle w:val="Normal12Hanging"/>
        <w:rPr>
          <w:lang w:val="bg-BG"/>
        </w:rPr>
      </w:pPr>
      <w:r w:rsidRPr="004B2DE1">
        <w:rPr>
          <w:lang w:val="bg-BG"/>
        </w:rPr>
        <w:t>4.</w:t>
      </w:r>
      <w:r w:rsidRPr="004B2DE1">
        <w:rPr>
          <w:lang w:val="bg-BG"/>
        </w:rPr>
        <w:tab/>
        <w:t>признава историческата възможност и предизвикателство пред ЕС да изпълни ангажиментите си към държавите и народите на Албания, Босна и Херцеговина, Северна Македония, Косово, Черна гора и Сърбия, както и към Украйна, Република Молдова и Грузия; признава, че европейската интеграция на тези ключови партньори е важна; признава също така значението на регионалното сътрудничество в рамките на съответните региони на Източното партньорство и Западните Балкани;</w:t>
      </w:r>
    </w:p>
    <w:p w:rsidR="00942E97" w:rsidRPr="004B2DE1" w:rsidRDefault="00942E97" w:rsidP="00942E97">
      <w:pPr>
        <w:pStyle w:val="Normal12Hanging"/>
        <w:rPr>
          <w:lang w:val="bg-BG"/>
        </w:rPr>
      </w:pPr>
      <w:r w:rsidRPr="004B2DE1">
        <w:rPr>
          <w:lang w:val="bg-BG"/>
        </w:rPr>
        <w:t>5.</w:t>
      </w:r>
      <w:r w:rsidRPr="004B2DE1">
        <w:rPr>
          <w:lang w:val="bg-BG"/>
        </w:rPr>
        <w:tab/>
        <w:t>отново изразява становището, че процесът на присъединяване на Турция към ЕС не може да бъде възобновен при настоящите обстоятелства; настоятелно призовава турското правителство да преодолее настоящата безизходица и да премине към по-тясно, по-динамично и стратегическо партньорство чрез разработване на реалистична успоредна рамка за сътрудничество, например модернизирано споразумение за асоцииране, и призовава Комисията да проучи възможните формати за такава рамка; припомня, че подобренията в отношенията между ЕС и Турция трябва да се основават на осезаем напредък в областта на правата на човека, демокрацията и уважителните добросъседски отношения;</w:t>
      </w:r>
    </w:p>
    <w:p w:rsidR="00942E97" w:rsidRPr="004B2DE1" w:rsidRDefault="00942E97" w:rsidP="00942E97">
      <w:pPr>
        <w:pStyle w:val="Normal12Hanging"/>
        <w:rPr>
          <w:lang w:val="bg-BG"/>
        </w:rPr>
      </w:pPr>
      <w:r w:rsidRPr="004B2DE1">
        <w:rPr>
          <w:lang w:val="bg-BG"/>
        </w:rPr>
        <w:t>6.</w:t>
      </w:r>
      <w:r w:rsidRPr="004B2DE1">
        <w:rPr>
          <w:lang w:val="bg-BG"/>
        </w:rPr>
        <w:tab/>
        <w:t>подчертава, че присъединяването към ЕС трябва винаги да бъде процедура, основана на заслуги, и че всеки кандидат трябва да се оценява въз основа на собствените си заслуги при изпълнението на критериите от Копенхаген в тяхната цялост; подчертава, че не може да се правят компромиси с ценностите и основните принципи на ЕС; подчертава, че принципите на правовата държава, демократичните реформи, свободата на медиите и зачитането на правата на човека, включително правата на малцинствата, следва да бъдат поставени на преден план в процеса на присъединяване, като независимостта на съдебната власт, борбата срещу корупцията и овластяването на гражданското общество са ключови предпоставки за напредък по пътя към членство в ЕС;</w:t>
      </w:r>
    </w:p>
    <w:p w:rsidR="00942E97" w:rsidRPr="004B2DE1" w:rsidRDefault="00942E97" w:rsidP="00942E97">
      <w:pPr>
        <w:pStyle w:val="Normal12Hanging"/>
        <w:rPr>
          <w:b/>
          <w:bCs/>
          <w:i/>
          <w:iCs/>
          <w:lang w:val="bg-BG"/>
        </w:rPr>
      </w:pPr>
      <w:r w:rsidRPr="004B2DE1">
        <w:rPr>
          <w:lang w:val="bg-BG"/>
        </w:rPr>
        <w:t>7.</w:t>
      </w:r>
      <w:r w:rsidRPr="004B2DE1">
        <w:rPr>
          <w:lang w:val="bg-BG"/>
        </w:rPr>
        <w:tab/>
        <w:t xml:space="preserve">изисква да се укрепят ефективни механизми за мониторинг с цел защита на основните ценности и легитимните финансови интереси на Съюза в контекста на процедурите по присъединяване; във връзка с това отново призовава за включване на държавите кандидатки в механизма на ЕС за принципите на правовата държава и в годишния доклад във връзка с това, като автоматично се задействат предприсъединителните механизми за сътрудничество и проверка; подкрепя намерението на Комисията да включи присъединяващите се държави в докладите относно върховенството на закона и настоява тези държави да бъдат включени в </w:t>
      </w:r>
      <w:r w:rsidRPr="004B2DE1">
        <w:rPr>
          <w:lang w:val="bg-BG"/>
        </w:rPr>
        <w:lastRenderedPageBreak/>
        <w:t>годишните доклади за напредъка;</w:t>
      </w:r>
    </w:p>
    <w:p w:rsidR="00942E97" w:rsidRPr="004B2DE1" w:rsidRDefault="00942E97" w:rsidP="00942E97">
      <w:pPr>
        <w:pStyle w:val="Normal12Hanging"/>
        <w:rPr>
          <w:lang w:val="bg-BG"/>
        </w:rPr>
      </w:pPr>
      <w:r w:rsidRPr="004B2DE1">
        <w:rPr>
          <w:lang w:val="bg-BG"/>
        </w:rPr>
        <w:t>8.</w:t>
      </w:r>
      <w:r w:rsidRPr="004B2DE1">
        <w:rPr>
          <w:lang w:val="bg-BG"/>
        </w:rPr>
        <w:tab/>
        <w:t>насърчава държавите, обхванати от процеса на разширяване, да продължат решително да изпълняват необходимите реформи и да постигнат осезаем и необратим напредък, като се започне с основите на процеса на присъединяване към ЕС;</w:t>
      </w:r>
    </w:p>
    <w:p w:rsidR="00942E97" w:rsidRPr="004B2DE1" w:rsidRDefault="00942E97" w:rsidP="00942E97">
      <w:pPr>
        <w:pStyle w:val="Normal12Hanging"/>
        <w:rPr>
          <w:lang w:val="bg-BG"/>
        </w:rPr>
      </w:pPr>
      <w:r w:rsidRPr="004B2DE1">
        <w:rPr>
          <w:lang w:val="bg-BG"/>
        </w:rPr>
        <w:t>9.</w:t>
      </w:r>
      <w:r w:rsidRPr="004B2DE1">
        <w:rPr>
          <w:lang w:val="bg-BG"/>
        </w:rPr>
        <w:tab/>
        <w:t xml:space="preserve">настоява, че са необходими непрекъснати усилия за насърчаване на медийния плурализъм, защита на правата на журналистите и гарантиране на свободата на изразяване във всички държави кандидатки; </w:t>
      </w:r>
    </w:p>
    <w:p w:rsidR="00942E97" w:rsidRPr="004B2DE1" w:rsidRDefault="00942E97" w:rsidP="00942E97">
      <w:pPr>
        <w:pStyle w:val="Normal12Hanging"/>
        <w:rPr>
          <w:lang w:val="bg-BG"/>
        </w:rPr>
      </w:pPr>
      <w:r w:rsidRPr="004B2DE1">
        <w:rPr>
          <w:lang w:val="bg-BG"/>
        </w:rPr>
        <w:t>10.</w:t>
      </w:r>
      <w:r w:rsidRPr="004B2DE1">
        <w:rPr>
          <w:b/>
          <w:i/>
          <w:lang w:val="bg-BG"/>
        </w:rPr>
        <w:tab/>
      </w:r>
      <w:r w:rsidRPr="004B2DE1">
        <w:rPr>
          <w:lang w:val="bg-BG"/>
        </w:rPr>
        <w:t>посочва, че привеждането в съответствие с ОВППС на ЕС също е важен показател за пълното придържане към основните принципи на ЕС и устойчивото бъдещо членство; настоятелно призовава всички държави кандидатки и потенциални кандидатки да дадат приоритет на бързото и пълно привеждане в съответствие с ОВППС и отново заявява, че присъединяването на дадена държава може да се осъществи единствено след като тя се съобрази с ограничителните мерки на ЕС, включително санкциите, въведени в отговор на агресивната война на Русия срещу Украйна;</w:t>
      </w:r>
    </w:p>
    <w:p w:rsidR="00942E97" w:rsidRPr="004B2DE1" w:rsidRDefault="00942E97" w:rsidP="00942E97">
      <w:pPr>
        <w:pStyle w:val="Normal12Hanging"/>
        <w:rPr>
          <w:lang w:val="bg-BG"/>
        </w:rPr>
      </w:pPr>
      <w:r w:rsidRPr="004B2DE1">
        <w:rPr>
          <w:lang w:val="bg-BG"/>
        </w:rPr>
        <w:t>11.</w:t>
      </w:r>
      <w:r w:rsidRPr="004B2DE1">
        <w:rPr>
          <w:lang w:val="bg-BG"/>
        </w:rPr>
        <w:tab/>
        <w:t>призовава за задълбочена оценка на стратегията на ЕС за разширяване и за оценка на причините за ограничения напредък, постигнат от някои държави, обхванати от процеса на разширяване, по-специално в областта на принципите на правовата държава, правата на човека и демокрацията;</w:t>
      </w:r>
    </w:p>
    <w:p w:rsidR="00942E97" w:rsidRPr="004B2DE1" w:rsidRDefault="00942E97" w:rsidP="00942E97">
      <w:pPr>
        <w:pStyle w:val="Normal12Hanging"/>
        <w:rPr>
          <w:bCs/>
          <w:iCs/>
          <w:lang w:val="bg-BG"/>
        </w:rPr>
      </w:pPr>
      <w:r w:rsidRPr="004B2DE1">
        <w:rPr>
          <w:lang w:val="bg-BG"/>
        </w:rPr>
        <w:t>12.</w:t>
      </w:r>
      <w:r w:rsidRPr="004B2DE1">
        <w:rPr>
          <w:lang w:val="bg-BG"/>
        </w:rPr>
        <w:tab/>
        <w:t>счита, че преразгледаната методология на Комисията, която следва да бъде актуализирана, за да включва процесите на присъединяване на Украйна, Република Молдова и Грузия, е дългосрочна политическа рамка, направляваща процеса на разширяване;</w:t>
      </w:r>
    </w:p>
    <w:p w:rsidR="00942E97" w:rsidRPr="004B2DE1" w:rsidRDefault="00942E97" w:rsidP="00942E97">
      <w:pPr>
        <w:pStyle w:val="Normal12Hanging"/>
        <w:rPr>
          <w:b/>
          <w:bCs/>
          <w:i/>
          <w:iCs/>
          <w:lang w:val="bg-BG"/>
        </w:rPr>
      </w:pPr>
      <w:r w:rsidRPr="004B2DE1">
        <w:rPr>
          <w:lang w:val="bg-BG"/>
        </w:rPr>
        <w:t>13.</w:t>
      </w:r>
      <w:r w:rsidRPr="004B2DE1">
        <w:rPr>
          <w:lang w:val="bg-BG"/>
        </w:rPr>
        <w:tab/>
        <w:t>подчертава, че процесът следва да стане по-постепенен и динамичен и ЕС следва да определи конкретни индивидуални цели за реформи, пътни карти и междинни срокове за всяка присъединяваща се държава, но въпреки това не може да има ускорени или предварително определени крайни срокове за членство, тъй като те биха могли да засегнат целостта на процеса на присъединяване; счита обаче, че следващото разширяване на ЕС следва да се осъществи веднага щом бъдат изпълнени всички условия за присъединяване в съответните държави кандидатки и едновременно с това бъдат договорени и изпълнени необходимите европейски реформи; очаква първите държави кандидатки да бъдат готови да се присъединят към Съюза до края на настоящото десетилетие;</w:t>
      </w:r>
    </w:p>
    <w:p w:rsidR="00942E97" w:rsidRPr="004B2DE1" w:rsidRDefault="00942E97" w:rsidP="00942E97">
      <w:pPr>
        <w:pStyle w:val="Normal12Hanging"/>
        <w:rPr>
          <w:lang w:val="bg-BG"/>
        </w:rPr>
      </w:pPr>
      <w:r w:rsidRPr="004B2DE1">
        <w:rPr>
          <w:lang w:val="bg-BG"/>
        </w:rPr>
        <w:t>14.</w:t>
      </w:r>
      <w:r w:rsidRPr="004B2DE1">
        <w:rPr>
          <w:lang w:val="bg-BG"/>
        </w:rPr>
        <w:tab/>
        <w:t>настоява, че разширяването на ЕС е споделена отговорност на настоящите държави членки и държавите, стремящи се към членство; призовава държавите членки да демонстрират ясен и недвусмислен политически ангажимент към процеса на разширяване, който да се основава на обективни критерии и с който да не се злоупотребява за уреждане на двустранни спорове, които следва да се решават отделно от процеса на присъединяване; подчертава, че прекомерното забавяне по пътя към пълноправно членство в ЕС може да окаже отрицателно въздействие както върху общественото мнение, така и върху политическата ангажираност на държавите кандидатки;</w:t>
      </w:r>
    </w:p>
    <w:p w:rsidR="00942E97" w:rsidRPr="004B2DE1" w:rsidRDefault="00942E97" w:rsidP="00942E97">
      <w:pPr>
        <w:pStyle w:val="Normal12Hanging"/>
        <w:rPr>
          <w:lang w:val="bg-BG"/>
        </w:rPr>
      </w:pPr>
      <w:r w:rsidRPr="004B2DE1">
        <w:rPr>
          <w:lang w:val="bg-BG"/>
        </w:rPr>
        <w:lastRenderedPageBreak/>
        <w:t>15.</w:t>
      </w:r>
      <w:r w:rsidRPr="004B2DE1">
        <w:rPr>
          <w:lang w:val="bg-BG"/>
        </w:rPr>
        <w:tab/>
        <w:t>подчертава, че процесите на присъединяване могат да се осъществяват по обратим начин, както и че основаният на заслуги подход може също така да доведе до замразяване на преговорите за присъединяване в случай на отстъпление от основните ценности и може да бъде възобновен единствено след значителен напредък в реформите; призовава за стабилен и засилен мониторинг, докладване и оценка на реформите и напредъка, постигнат от държавите кандидатки по всички преговорни глави, със стратегически приложени целенасочени условия въз основа на ясни показатели за напредък, като се санкционират регресията по основните условия или трайната стагнация в реформите и се възнаграждават реформите и изпълнението на критериите чрез ясни срокове за преговори;</w:t>
      </w:r>
    </w:p>
    <w:p w:rsidR="00942E97" w:rsidRPr="004B2DE1" w:rsidRDefault="00942E97" w:rsidP="00942E97">
      <w:pPr>
        <w:pStyle w:val="Normal12Hanging"/>
        <w:rPr>
          <w:lang w:val="bg-BG"/>
        </w:rPr>
      </w:pPr>
      <w:r w:rsidRPr="004B2DE1">
        <w:rPr>
          <w:lang w:val="bg-BG"/>
        </w:rPr>
        <w:t>16.</w:t>
      </w:r>
      <w:r w:rsidRPr="004B2DE1">
        <w:rPr>
          <w:lang w:val="bg-BG"/>
        </w:rPr>
        <w:tab/>
        <w:t xml:space="preserve">призовава Комисията да подобри последователността, ефикасността, видимостта и прозрачността на предприсъединителната помощ, като ясно се отразяват приоритетите в основните области при разпределянето на финансирането по ИПП III; призовава по-специално за въвеждането на по-строга и по-приложима отчетност по отношение на разходите и за подобряване на цялостния цикъл на изплащане, изпълнение и контрол на предприсъединителното финансиране, като се прилагат строги условия, включително при изпълнението на Икономическия и инвестиционен план и Новия план за растеж за Западните Балкани; приканва Комисията да извърши междинен преглед на Регламента за ИПП III и да предложи включването на Украйна, Република Молдова и Грузия като негови </w:t>
      </w:r>
      <w:proofErr w:type="spellStart"/>
      <w:r w:rsidRPr="004B2DE1">
        <w:rPr>
          <w:lang w:val="bg-BG"/>
        </w:rPr>
        <w:t>бенефициери</w:t>
      </w:r>
      <w:proofErr w:type="spellEnd"/>
      <w:r w:rsidRPr="004B2DE1">
        <w:rPr>
          <w:lang w:val="bg-BG"/>
        </w:rPr>
        <w:t>; приканва Комисията бързо да изпълни препоръките от Специален доклад № 01/2022 на Европейската сметна палата;</w:t>
      </w:r>
    </w:p>
    <w:p w:rsidR="00942E97" w:rsidRPr="004B2DE1" w:rsidRDefault="00942E97" w:rsidP="00942E97">
      <w:pPr>
        <w:pStyle w:val="Normal12Hanging"/>
        <w:rPr>
          <w:lang w:val="bg-BG"/>
        </w:rPr>
      </w:pPr>
      <w:r w:rsidRPr="004B2DE1">
        <w:rPr>
          <w:lang w:val="bg-BG"/>
        </w:rPr>
        <w:t>17.</w:t>
      </w:r>
      <w:r w:rsidRPr="004B2DE1">
        <w:rPr>
          <w:lang w:val="bg-BG"/>
        </w:rPr>
        <w:tab/>
        <w:t>призовава в контекста на реформата на Договора да бъдат проучени възможностите за по-нататъшно укрепване на защитата на принципите на правовата държава и демократичните ценности на ЕС срещу отстъпление за съществуващите и бъдещите държави членки, като се гарантира, че разширяването укрепва ЕС и неговия единен пазар;</w:t>
      </w:r>
    </w:p>
    <w:p w:rsidR="00942E97" w:rsidRPr="004B2DE1" w:rsidRDefault="00942E97" w:rsidP="00942E97">
      <w:pPr>
        <w:pStyle w:val="Normal12Hanging"/>
        <w:rPr>
          <w:lang w:val="bg-BG"/>
        </w:rPr>
      </w:pPr>
      <w:r w:rsidRPr="004B2DE1">
        <w:rPr>
          <w:lang w:val="bg-BG"/>
        </w:rPr>
        <w:t>18.</w:t>
      </w:r>
      <w:r w:rsidRPr="004B2DE1">
        <w:rPr>
          <w:b/>
          <w:i/>
          <w:lang w:val="bg-BG"/>
        </w:rPr>
        <w:tab/>
      </w:r>
      <w:r w:rsidRPr="004B2DE1">
        <w:rPr>
          <w:lang w:val="bg-BG"/>
        </w:rPr>
        <w:t>подчертава необходимостта да се гарантира, че финансирането на ЕС, предоставяно на държавите, обхванати от процеса на разширяване, е в съответствие със стратегическите цели и интереси на ЕС; призовава Комисията да подкрепи финансово онези присъединяващи се държави, които работят за добросъседски отношения, приобщаващо регионално сътрудничество и устойчиво помирение, включително, но не само, чрез наказателно преследване на военнопрестъпници и гарантиране на достъп до истина, правосъдие и ефективни обезщетения за жертвите на военни престъпления, престъпления срещу човечеството и геноцид;</w:t>
      </w:r>
    </w:p>
    <w:p w:rsidR="00942E97" w:rsidRPr="004B2DE1" w:rsidRDefault="00942E97" w:rsidP="00942E97">
      <w:pPr>
        <w:pStyle w:val="Normal12Hanging"/>
        <w:rPr>
          <w:lang w:val="bg-BG"/>
        </w:rPr>
      </w:pPr>
      <w:r w:rsidRPr="004B2DE1">
        <w:rPr>
          <w:lang w:val="bg-BG"/>
        </w:rPr>
        <w:t>19.</w:t>
      </w:r>
      <w:r w:rsidRPr="004B2DE1">
        <w:rPr>
          <w:lang w:val="bg-BG"/>
        </w:rPr>
        <w:tab/>
        <w:t xml:space="preserve">призовава присъединяващите се държави да засилят съдебното сътрудничество с ЕС по </w:t>
      </w:r>
      <w:proofErr w:type="spellStart"/>
      <w:r w:rsidRPr="004B2DE1">
        <w:rPr>
          <w:lang w:val="bg-BG"/>
        </w:rPr>
        <w:t>наказателноправни</w:t>
      </w:r>
      <w:proofErr w:type="spellEnd"/>
      <w:r w:rsidRPr="004B2DE1">
        <w:rPr>
          <w:lang w:val="bg-BG"/>
        </w:rPr>
        <w:t xml:space="preserve"> въпроси в рамките на работните договорености с Европейската прокуратура, за да се улеснят ефективното разследване и наказателно преследване на злоупотребата със средства на ЕС, включително чрез командироване на национални служители за връзка в Европейската прокуратура и засилване на административния капацитет на местните администрации;</w:t>
      </w:r>
    </w:p>
    <w:p w:rsidR="00942E97" w:rsidRPr="004B2DE1" w:rsidRDefault="00942E97" w:rsidP="00942E97">
      <w:pPr>
        <w:pStyle w:val="Normal12Hanging"/>
        <w:rPr>
          <w:lang w:val="bg-BG"/>
        </w:rPr>
      </w:pPr>
      <w:r w:rsidRPr="004B2DE1">
        <w:rPr>
          <w:lang w:val="bg-BG"/>
        </w:rPr>
        <w:t>20.</w:t>
      </w:r>
      <w:r w:rsidRPr="004B2DE1">
        <w:rPr>
          <w:lang w:val="bg-BG"/>
        </w:rPr>
        <w:tab/>
        <w:t xml:space="preserve">отново заявява своята позиция относно необходимостта от засилено, официално, структурирано и систематично сътрудничество между ЕС и Съвета на Европа, за да се подкрепят присъединяващите се държави в реформите, като се гарантира съответствието им с всички препоръки на Венецианската комисия по пътя им към </w:t>
      </w:r>
      <w:r w:rsidRPr="004B2DE1">
        <w:rPr>
          <w:lang w:val="bg-BG"/>
        </w:rPr>
        <w:lastRenderedPageBreak/>
        <w:t>членство в ЕС;</w:t>
      </w:r>
    </w:p>
    <w:p w:rsidR="00942E97" w:rsidRPr="004B2DE1" w:rsidRDefault="00942E97" w:rsidP="00942E97">
      <w:pPr>
        <w:pStyle w:val="Normal12Hanging"/>
        <w:rPr>
          <w:b/>
          <w:bCs/>
          <w:i/>
          <w:iCs/>
          <w:lang w:val="bg-BG"/>
        </w:rPr>
      </w:pPr>
      <w:r w:rsidRPr="004B2DE1">
        <w:rPr>
          <w:lang w:val="bg-BG"/>
        </w:rPr>
        <w:t>21.</w:t>
      </w:r>
      <w:r w:rsidRPr="004B2DE1">
        <w:rPr>
          <w:lang w:val="bg-BG"/>
        </w:rPr>
        <w:tab/>
        <w:t>счита, че предизвикателството на разширения ЕС изисква засилена политика на разширяване, която да въведе ясен постепенен път към членство в ЕС, включително постепенна интеграция в общите политики, например единния пазар, за онези държави, които завършват преговорите по дадена глава от политиката или които постигат значителен напредък в реформите, свързани с ЕС; отбелязва, че този напредък следва да даде възможност за достъп до средства на ЕС в съответните области, така че да донесе ясни ползи за гражданите по време на целия процес; отбелязва, че този път следва да бъде придружен от увеличена техническа и базирана на условия финансова помощ със специален акцент върху изпълнението и прилагането на законодателството по преговорни клъстери относно основните условия и външните отношения, по-специално глави 23, 24, 30 и 31; приканва Комисията да представи подробни предложения относно методологията за поетапно присъединяване, включително ясни клаузи за „отделяне“ и обратимост; подчертава, че постепенното присъединяване на държавите кандидатки към избрани области на политиката с ограничени права и задължения в никакъв случай не замества и не е алтернатива на пълноправното членство;</w:t>
      </w:r>
    </w:p>
    <w:p w:rsidR="00942E97" w:rsidRPr="004B2DE1" w:rsidRDefault="00942E97" w:rsidP="00942E97">
      <w:pPr>
        <w:pStyle w:val="Normal12Hanging"/>
        <w:rPr>
          <w:lang w:val="bg-BG"/>
        </w:rPr>
      </w:pPr>
      <w:r w:rsidRPr="004B2DE1">
        <w:rPr>
          <w:lang w:val="bg-BG"/>
        </w:rPr>
        <w:t>22.</w:t>
      </w:r>
      <w:r w:rsidRPr="004B2DE1">
        <w:rPr>
          <w:lang w:val="bg-BG"/>
        </w:rPr>
        <w:tab/>
        <w:t>признава значението на инициативи като Европейската политическа общност, които дават възможност за политическо сътрудничество, допринасят за регионалните диалози и биха могли да улеснят постепенната интеграция на държавите кандидатки в Съюза и в неговите политики, но не са алтернативи на членството в ЕС;</w:t>
      </w:r>
    </w:p>
    <w:p w:rsidR="00942E97" w:rsidRPr="004B2DE1" w:rsidRDefault="00942E97" w:rsidP="00942E97">
      <w:pPr>
        <w:pStyle w:val="Normal12Hanging"/>
        <w:rPr>
          <w:lang w:val="bg-BG"/>
        </w:rPr>
      </w:pPr>
      <w:r w:rsidRPr="004B2DE1">
        <w:rPr>
          <w:lang w:val="bg-BG"/>
        </w:rPr>
        <w:t>23.</w:t>
      </w:r>
      <w:r w:rsidRPr="004B2DE1">
        <w:rPr>
          <w:lang w:val="bg-BG"/>
        </w:rPr>
        <w:tab/>
        <w:t>подчертава, че би било полезно да има отделна длъжност за член на Комисията, отговарящ за разширяването;</w:t>
      </w:r>
    </w:p>
    <w:p w:rsidR="00942E97" w:rsidRPr="004B2DE1" w:rsidRDefault="00942E97" w:rsidP="00942E97">
      <w:pPr>
        <w:pStyle w:val="Normal12Hanging"/>
        <w:rPr>
          <w:lang w:val="bg-BG"/>
        </w:rPr>
      </w:pPr>
      <w:r w:rsidRPr="004B2DE1">
        <w:rPr>
          <w:lang w:val="bg-BG"/>
        </w:rPr>
        <w:t>24.</w:t>
      </w:r>
      <w:r w:rsidRPr="004B2DE1">
        <w:rPr>
          <w:lang w:val="bg-BG"/>
        </w:rPr>
        <w:tab/>
        <w:t>предлага до подписването на договорите за присъединяване да се обмисли предоставянето на статут на наблюдател на държавите кандидатки в съответните органи и институции, включително Парламента, първоначално въз основа на временни договорености, ако преговорите са достатъчно напреднали, по-специално по клъстерите относно основните условия и външните отношения, и ако всички условия са изпълнени и договорени; приветства в тази връзка решението на Европейския икономически и социален комитет да включи наблюдатели от държавите кандидатки от 2024 г. нататък;</w:t>
      </w:r>
    </w:p>
    <w:p w:rsidR="00942E97" w:rsidRPr="004B2DE1" w:rsidRDefault="00942E97" w:rsidP="00942E97">
      <w:pPr>
        <w:pStyle w:val="Normal12Hanging"/>
        <w:rPr>
          <w:lang w:val="bg-BG"/>
        </w:rPr>
      </w:pPr>
      <w:r w:rsidRPr="004B2DE1">
        <w:rPr>
          <w:lang w:val="bg-BG"/>
        </w:rPr>
        <w:t>25.</w:t>
      </w:r>
      <w:r w:rsidRPr="004B2DE1">
        <w:rPr>
          <w:lang w:val="bg-BG"/>
        </w:rPr>
        <w:tab/>
        <w:t>счита, че за да се повишат демократичната легитимност и отчетност, е необходим по-силен, по-ефективен и съдържателен процес на вземане на решения от страна на Европейския парламент, както и надзор върху политиката на разширяване на ЕС и нейното финансиране; настоява да се засили ролята на Парламента по време на целия процес на присъединяване, включително междинните стъпки, за да може той да упражнява пълен контрол върху напредъка, постигнат от държавите кандидатки в различните области на политиката; поема ангажимент да засили редовния и прозрачен диалог и сътрудничество с националните парламенти на държавите кандидатки като модел за парламентарен контрол на интеграцията в ЕС;</w:t>
      </w:r>
    </w:p>
    <w:p w:rsidR="00942E97" w:rsidRPr="004B2DE1" w:rsidRDefault="00942E97" w:rsidP="00942E97">
      <w:pPr>
        <w:pStyle w:val="Normal12Hanging"/>
        <w:rPr>
          <w:bCs/>
          <w:iCs/>
          <w:lang w:val="bg-BG"/>
        </w:rPr>
      </w:pPr>
      <w:r w:rsidRPr="004B2DE1">
        <w:rPr>
          <w:lang w:val="bg-BG"/>
        </w:rPr>
        <w:t>26.</w:t>
      </w:r>
      <w:r w:rsidRPr="004B2DE1">
        <w:rPr>
          <w:lang w:val="bg-BG"/>
        </w:rPr>
        <w:tab/>
        <w:t xml:space="preserve">подчертава необходимостта от засилване на подкрепата за демокрацията чрез съществуващите канали и инструменти, например диалога „Жан Моне“, </w:t>
      </w:r>
      <w:r w:rsidRPr="004B2DE1">
        <w:rPr>
          <w:lang w:val="bg-BG"/>
        </w:rPr>
        <w:lastRenderedPageBreak/>
        <w:t>междупартийния диалог (IPD) и процеса на парламентарен диалог (PDP);</w:t>
      </w:r>
    </w:p>
    <w:p w:rsidR="00942E97" w:rsidRPr="004B2DE1" w:rsidRDefault="00942E97" w:rsidP="00942E97">
      <w:pPr>
        <w:pStyle w:val="Normal12Hanging"/>
        <w:rPr>
          <w:bCs/>
          <w:iCs/>
          <w:lang w:val="bg-BG"/>
        </w:rPr>
      </w:pPr>
      <w:r w:rsidRPr="004B2DE1">
        <w:rPr>
          <w:lang w:val="bg-BG"/>
        </w:rPr>
        <w:t>27.</w:t>
      </w:r>
      <w:r w:rsidRPr="004B2DE1">
        <w:rPr>
          <w:lang w:val="bg-BG"/>
        </w:rPr>
        <w:tab/>
        <w:t>призовава институциите на ЕС и държавите членки изцяло да се ангажират да укрепят допълнително процесите на реформи в държавите кандидатки, по-специално техния административен капацитет;</w:t>
      </w:r>
    </w:p>
    <w:p w:rsidR="00942E97" w:rsidRPr="004B2DE1" w:rsidRDefault="00942E97" w:rsidP="00942E97">
      <w:pPr>
        <w:pStyle w:val="Normal12Hanging"/>
        <w:rPr>
          <w:bCs/>
          <w:iCs/>
          <w:lang w:val="bg-BG"/>
        </w:rPr>
      </w:pPr>
      <w:r w:rsidRPr="004B2DE1">
        <w:rPr>
          <w:lang w:val="bg-BG"/>
        </w:rPr>
        <w:t>28.</w:t>
      </w:r>
      <w:r w:rsidRPr="004B2DE1">
        <w:rPr>
          <w:lang w:val="bg-BG"/>
        </w:rPr>
        <w:tab/>
        <w:t>подчертава необходимостта да се засилят прозрачността, участието на гражданите и активното участие на гражданското общество в процеса на разширяване и неговия контрол, като се гарантира устойчиво финансиране;</w:t>
      </w:r>
    </w:p>
    <w:p w:rsidR="00942E97" w:rsidRPr="004B2DE1" w:rsidRDefault="00942E97" w:rsidP="00942E97">
      <w:pPr>
        <w:pStyle w:val="NormalHanging12a"/>
      </w:pPr>
      <w:r w:rsidRPr="004B2DE1">
        <w:t>29.</w:t>
      </w:r>
      <w:r w:rsidRPr="004B2DE1">
        <w:tab/>
        <w:t>подчертава, че процесът на разширяване не трябва неволно да затвърждава или изостря различията, основани на сексуалната ориентация и половата идентичност; настоятелно призовава Комисията и държавите кандидатки да включат в рамките на процеса на разширяване мерки, които активно насърчават и гарантират правата на ЛГБТИК лицата, например разработване на политики, които премахват дискриминацията, основана на сексуална ориентация и полова идентичност, засилване на участието на ЛГБТИК в процесите на вземане на решения и насърчаване на приобщаването в политическата, икономическата и социалната сфера чрез образователни дейности и дейности за повишаване на осведомеността; призовава Комисията и държавите кандидатки надлежно да наблюдават и оценяват положението с правата на ЛГБТИК лицата в държавите кандидатки;</w:t>
      </w:r>
    </w:p>
    <w:p w:rsidR="00942E97" w:rsidRPr="004B2DE1" w:rsidRDefault="00942E97" w:rsidP="00942E97">
      <w:pPr>
        <w:pStyle w:val="NormalHanging12a"/>
      </w:pPr>
      <w:r w:rsidRPr="004B2DE1">
        <w:t>30.</w:t>
      </w:r>
      <w:r w:rsidRPr="004B2DE1">
        <w:tab/>
        <w:t xml:space="preserve">счита, че процесът на присъединяване трябва да гарантира, че държавите кандидатки увеличават усилията си, свързани с равните права на хората с увреждания; подчертава необходимостта от увеличаване на натиска върху държавите кандидатки да осъществят реформи за подобряване на положението на хората с увреждания и да увеличат усилията си по отношение на </w:t>
      </w:r>
      <w:proofErr w:type="spellStart"/>
      <w:r w:rsidRPr="004B2DE1">
        <w:t>деинституционализацията</w:t>
      </w:r>
      <w:proofErr w:type="spellEnd"/>
      <w:r w:rsidRPr="004B2DE1">
        <w:t>, включително прехода от институционални грижи към грижи в семейството и общността;</w:t>
      </w:r>
    </w:p>
    <w:p w:rsidR="00942E97" w:rsidRPr="004B2DE1" w:rsidRDefault="00942E97" w:rsidP="00942E97">
      <w:pPr>
        <w:pStyle w:val="Normal12Hanging"/>
        <w:rPr>
          <w:rFonts w:eastAsia="Calibri"/>
          <w:b/>
          <w:i/>
          <w:szCs w:val="24"/>
          <w:lang w:val="bg-BG"/>
        </w:rPr>
      </w:pPr>
      <w:r w:rsidRPr="004B2DE1">
        <w:rPr>
          <w:b/>
          <w:i/>
          <w:lang w:val="bg-BG"/>
        </w:rPr>
        <w:t>Относно европейските институционални и финансови реформи</w:t>
      </w:r>
    </w:p>
    <w:p w:rsidR="00942E97" w:rsidRPr="004B2DE1" w:rsidRDefault="00942E97" w:rsidP="00942E97">
      <w:pPr>
        <w:pStyle w:val="Normal12Hanging"/>
        <w:rPr>
          <w:bCs/>
          <w:iCs/>
          <w:lang w:val="bg-BG"/>
        </w:rPr>
      </w:pPr>
      <w:r w:rsidRPr="004B2DE1">
        <w:rPr>
          <w:lang w:val="bg-BG"/>
        </w:rPr>
        <w:t>31.</w:t>
      </w:r>
      <w:r w:rsidRPr="004B2DE1">
        <w:rPr>
          <w:lang w:val="bg-BG"/>
        </w:rPr>
        <w:tab/>
        <w:t>счита, че процесите на подготовка за разширяване следва да протичат успоредно в ЕС и в присъединяващите се държави; подчертава, че за да се преодолеят настоящите предизвикателства и да се гарантира способността на ЕС да приема нови членове и да насърчава успешната им интеграция, са необходими европейски институционални и финансови реформи; призовава институциите на ЕС и държавите членки да предприемат необходимите реформи, за да не забавят присъединяването на нови държави членки; отбелязва, че тези реформи са необходими за укрепване на ЕС и неговите институции, за да се насърчат демократичната легитимност, доброто управление, функционалността, отчетността, прозрачността и устойчивостта; подчертава по-специално, че е важно да се повиши демократичната легитимност на политиките на ЕС, като се укрепят правата на Парламента за вземане на решения и контрол; поради това отново призовава да се предостави на Парламента общо и пряко право на законодателна инициатива;</w:t>
      </w:r>
    </w:p>
    <w:p w:rsidR="00942E97" w:rsidRPr="004B2DE1" w:rsidRDefault="00942E97" w:rsidP="00942E97">
      <w:pPr>
        <w:pStyle w:val="Normal12Hanging"/>
        <w:rPr>
          <w:lang w:val="bg-BG"/>
        </w:rPr>
      </w:pPr>
      <w:r w:rsidRPr="004B2DE1">
        <w:rPr>
          <w:lang w:val="bg-BG"/>
        </w:rPr>
        <w:t>32.</w:t>
      </w:r>
      <w:r w:rsidRPr="004B2DE1">
        <w:rPr>
          <w:lang w:val="bg-BG"/>
        </w:rPr>
        <w:tab/>
        <w:t>изразява твърдо убеждение, че европейските институционални реформи следва да увеличат способността на ЕС за действие и да включват опростени и по-ефективни процедури за вземане на решения, като се избягва единодушието;</w:t>
      </w:r>
      <w:r w:rsidRPr="004B2DE1">
        <w:rPr>
          <w:b/>
          <w:i/>
          <w:lang w:val="bg-BG"/>
        </w:rPr>
        <w:t xml:space="preserve"> </w:t>
      </w:r>
      <w:r w:rsidRPr="004B2DE1">
        <w:rPr>
          <w:lang w:val="bg-BG"/>
        </w:rPr>
        <w:t xml:space="preserve">отново заявява, че гласуването с квалифицирано мнозинство следва да се прилага </w:t>
      </w:r>
      <w:r w:rsidRPr="004B2DE1">
        <w:rPr>
          <w:lang w:val="bg-BG"/>
        </w:rPr>
        <w:lastRenderedPageBreak/>
        <w:t>в области като защитата на демокрацията, правата на човека и принципите на правовата държава, МФР, санкциите и други съответни външнополитически решения, например започването на преговори за присъединяване към ЕС, откриването и затварянето на отделни клъстери от преговори и санкционирането на отстъпление, с изключение на решенията за разрешаване на военни мисии или операции с изпълнителен мандат;</w:t>
      </w:r>
    </w:p>
    <w:p w:rsidR="00942E97" w:rsidRPr="004B2DE1" w:rsidRDefault="00942E97" w:rsidP="00942E97">
      <w:pPr>
        <w:pStyle w:val="Normal12Hanging"/>
        <w:rPr>
          <w:bCs/>
          <w:iCs/>
          <w:lang w:val="bg-BG"/>
        </w:rPr>
      </w:pPr>
      <w:r w:rsidRPr="004B2DE1">
        <w:rPr>
          <w:lang w:val="bg-BG"/>
        </w:rPr>
        <w:t>33.</w:t>
      </w:r>
      <w:r w:rsidRPr="004B2DE1">
        <w:rPr>
          <w:lang w:val="bg-BG"/>
        </w:rPr>
        <w:tab/>
        <w:t>призовава преди следващия цикъл на разширяване да бъде укрепен механизмът за защита на принципите на правовата държава и на основните принципи и ценности на ЕС, както и – за да се гарантира спазване на критериите от Копенхаген, да бъде укрепен и капацитетът за наблюдение; предлага да се реформира процедурата по член 7 от ДЕС, като се сложи край на единодушието в решенията на Съвета, въведе се ясен график и Съдът се превърне в арбитър на нарушенията; посочва, че въвеждането на гласуване с квалифицирано мнозинство в това отношение би улеснило процеса на разширяване; подчертава необходимостта от допълнителна реформа на механизма за обвързване с условия за спазване на принципите на правовата държава, така че той да обхване и гарантира всички основни ценности на Съюза, определени в член 2 от ДЕС;</w:t>
      </w:r>
    </w:p>
    <w:p w:rsidR="00942E97" w:rsidRPr="004B2DE1" w:rsidRDefault="00942E97" w:rsidP="00942E97">
      <w:pPr>
        <w:pStyle w:val="Normal12Hanging"/>
        <w:rPr>
          <w:lang w:val="bg-BG"/>
        </w:rPr>
      </w:pPr>
      <w:r w:rsidRPr="004B2DE1">
        <w:rPr>
          <w:lang w:val="bg-BG"/>
        </w:rPr>
        <w:t>34.</w:t>
      </w:r>
      <w:r w:rsidRPr="004B2DE1">
        <w:rPr>
          <w:lang w:val="bg-BG"/>
        </w:rPr>
        <w:tab/>
        <w:t xml:space="preserve">в контекста на пълното членство счита, че диференцираната интеграция е част от решението за ефикасен и задълбочен разширен ЕС; подчертава обаче, че зачитането на ценностите на Съюза, посочени в член 2 от ДЕС, не подлежи на преговори и никога не следва да бъде предмет на </w:t>
      </w:r>
      <w:proofErr w:type="spellStart"/>
      <w:r w:rsidRPr="004B2DE1">
        <w:rPr>
          <w:lang w:val="bg-BG"/>
        </w:rPr>
        <w:t>дерогации</w:t>
      </w:r>
      <w:proofErr w:type="spellEnd"/>
      <w:r w:rsidRPr="004B2DE1">
        <w:rPr>
          <w:lang w:val="bg-BG"/>
        </w:rPr>
        <w:t xml:space="preserve"> или клаузи за неучастие, както и че членството в Съюза трябва да изисква твърд ангажимент за спазване на цялото право на ЕС; счита също така, че винаги трябва да се гарантира широко пространство от общи европейски интереси, което да обхваща области като митническия съюз, единния пазар и неговите четири свободи, основните достижения на правото в социалната сфера, както и политиките в областта на селското стопанство, конкуренцията и търговията; отбелязва, че освен тези общи интереси, на държавите членки, които желаят да постигнат напредък в европейската интеграция в по-широк кръг области на политиката, следва да бъде позволено да го направят; подчертава, че при такава система на диференцирана интеграция, въпреки че всички държави членки ще участват във вземането на решения по въпроси от областта на общите интереси, само държавите членки, които желаят да участват в области на задълбочена интеграция, ще участват във вземането на съответните решения; отбелязва, че диференцираната интеграция предполага също диференцирани финансови договорености; </w:t>
      </w:r>
    </w:p>
    <w:p w:rsidR="00942E97" w:rsidRPr="004B2DE1" w:rsidRDefault="00942E97" w:rsidP="00942E97">
      <w:pPr>
        <w:pStyle w:val="Normal12Hanging"/>
        <w:rPr>
          <w:lang w:val="bg-BG"/>
        </w:rPr>
      </w:pPr>
      <w:r w:rsidRPr="004B2DE1">
        <w:rPr>
          <w:lang w:val="bg-BG"/>
        </w:rPr>
        <w:t>35.</w:t>
      </w:r>
      <w:r w:rsidRPr="004B2DE1">
        <w:rPr>
          <w:lang w:val="bg-BG"/>
        </w:rPr>
        <w:tab/>
        <w:t xml:space="preserve">призовава за пълноценно използване на гъвкавостта, предвидена в Договора от Лисабон, преди провеждането на по-задълбочена реформа в контекста на евентуално преразглеждане на Договорите; припомня, че редица инструменти за гъвкавост, като клаузи за преход, засилено сътрудничество, конструктивно въздържане, постоянно структурирано сътрудничество (ПСС) и механизми за неучастие, вече са възможни съгласно настоящата правна рамка на ЕС, както ясно показва опитът с Шенгенското пространство – едно от най-големите постижения на Съюза – и еврозоната; припомня, че решенията за поетапно въвеждане, временни </w:t>
      </w:r>
      <w:proofErr w:type="spellStart"/>
      <w:r w:rsidRPr="004B2DE1">
        <w:rPr>
          <w:lang w:val="bg-BG"/>
        </w:rPr>
        <w:t>дерогации</w:t>
      </w:r>
      <w:proofErr w:type="spellEnd"/>
      <w:r w:rsidRPr="004B2DE1">
        <w:rPr>
          <w:lang w:val="bg-BG"/>
        </w:rPr>
        <w:t xml:space="preserve"> и преходни периоди могат да бъдат договаряни в контекста на процедурите по присъединяване; посочва, че използването на тези механизми за гъвкавост не следва да възпрепятства конструктивните дискусии относно преразглеждането на Договорите, одобрено от Парламента в неговата резолюция от 22 ноември 2023 г.;</w:t>
      </w:r>
    </w:p>
    <w:p w:rsidR="00942E97" w:rsidRPr="004B2DE1" w:rsidRDefault="00942E97" w:rsidP="00942E97">
      <w:pPr>
        <w:pStyle w:val="Normal12Hanging"/>
        <w:rPr>
          <w:b/>
          <w:bCs/>
          <w:i/>
          <w:iCs/>
          <w:lang w:val="bg-BG"/>
        </w:rPr>
      </w:pPr>
      <w:r w:rsidRPr="004B2DE1">
        <w:rPr>
          <w:lang w:val="bg-BG"/>
        </w:rPr>
        <w:lastRenderedPageBreak/>
        <w:t>36.</w:t>
      </w:r>
      <w:r w:rsidRPr="004B2DE1">
        <w:rPr>
          <w:lang w:val="bg-BG"/>
        </w:rPr>
        <w:tab/>
        <w:t>отбелязва, че институционалните реформи преди разширяването трябва също така да разглеждат последиците от разширяването за състава на Парламента; припомня, че Европейският парламент е единствената пряко избрана институция, представляваща гражданите на ЕС; подчертава, че размерът на Парламента следва да продължи да позволява неговата работа, като същевременно се гарантира подходяща демократична представителност; посочва обаче, че за да се гарантира достатъчна демократична представителност в един разширен ЕС, не може да се изключи разумно увеличаване на размера на Парламента;</w:t>
      </w:r>
      <w:r w:rsidRPr="004B2DE1">
        <w:rPr>
          <w:b/>
          <w:i/>
          <w:lang w:val="bg-BG"/>
        </w:rPr>
        <w:t xml:space="preserve"> </w:t>
      </w:r>
      <w:r w:rsidRPr="004B2DE1">
        <w:rPr>
          <w:lang w:val="bg-BG"/>
        </w:rPr>
        <w:t>настоява за нова система за разпределяне на местата въз основа на постоянна математическа формула, която е обективна, справедлива, прозрачна и трайна; припомня своята позиция, че разпределението на местата в Европейския парламент следва да се разглежда заедно със системата за гласуване в Съвета;</w:t>
      </w:r>
    </w:p>
    <w:p w:rsidR="00942E97" w:rsidRPr="004B2DE1" w:rsidRDefault="00942E97" w:rsidP="00942E97">
      <w:pPr>
        <w:pStyle w:val="Normal12Hanging"/>
        <w:rPr>
          <w:b/>
          <w:bCs/>
          <w:i/>
          <w:iCs/>
          <w:lang w:val="bg-BG"/>
        </w:rPr>
      </w:pPr>
      <w:r w:rsidRPr="004B2DE1">
        <w:rPr>
          <w:lang w:val="bg-BG"/>
        </w:rPr>
        <w:t>37.</w:t>
      </w:r>
      <w:r w:rsidRPr="004B2DE1">
        <w:rPr>
          <w:lang w:val="bg-BG"/>
        </w:rPr>
        <w:tab/>
        <w:t>подчертава необходимостта от бързо преразглеждане на процеса на функциониране и вземане на решения на Съвета с оглед на разширяването; предлага да се преразгледа системата на ротационни председателства на Съвета; отбелязва, че изчисляването на праговете за гласуване с квалифицирано мнозинство също следва да бъде преразгледано, за да се подобри балансът между по-големите и по-малките държави и да се определят по-високи прагове за най-важните решения; в контекста на разширяването призовава за максимална прозрачност и почтеност на процеса на вземане на решения на Съвета;</w:t>
      </w:r>
    </w:p>
    <w:p w:rsidR="00942E97" w:rsidRPr="004B2DE1" w:rsidRDefault="00942E97" w:rsidP="00942E97">
      <w:pPr>
        <w:pStyle w:val="Normal12Hanging"/>
        <w:rPr>
          <w:sz w:val="22"/>
          <w:lang w:val="bg-BG"/>
        </w:rPr>
      </w:pPr>
      <w:r w:rsidRPr="004B2DE1">
        <w:rPr>
          <w:lang w:val="bg-BG"/>
        </w:rPr>
        <w:t>38.</w:t>
      </w:r>
      <w:r w:rsidRPr="004B2DE1">
        <w:rPr>
          <w:lang w:val="bg-BG"/>
        </w:rPr>
        <w:tab/>
        <w:t>отбелязва, че съставът на Комисията трябва да вземе предвид разширяването и във връзка с това припомня гъвкавостта, предвидена в Договора от Лисабон; подчертава, че преоценката на практиката за назначаване на един член на Комисията за всяка държава членка трябва да гарантира географски балансиран състав на Комисията;</w:t>
      </w:r>
    </w:p>
    <w:p w:rsidR="00942E97" w:rsidRPr="004B2DE1" w:rsidRDefault="00942E97" w:rsidP="00942E97">
      <w:pPr>
        <w:pStyle w:val="NormalHanging12a"/>
      </w:pPr>
      <w:r w:rsidRPr="004B2DE1">
        <w:t>39.</w:t>
      </w:r>
      <w:r w:rsidRPr="004B2DE1">
        <w:tab/>
        <w:t>отново призовава за укрепване на инструментите за участие на гражданите в процеса на вземане на решения в ЕС;</w:t>
      </w:r>
    </w:p>
    <w:p w:rsidR="00942E97" w:rsidRPr="004B2DE1" w:rsidRDefault="00942E97" w:rsidP="00942E97">
      <w:pPr>
        <w:pStyle w:val="Normal12Hanging"/>
        <w:rPr>
          <w:lang w:val="bg-BG"/>
        </w:rPr>
      </w:pPr>
      <w:r w:rsidRPr="004B2DE1">
        <w:rPr>
          <w:lang w:val="bg-BG"/>
        </w:rPr>
        <w:t>40.</w:t>
      </w:r>
      <w:r w:rsidRPr="004B2DE1">
        <w:rPr>
          <w:lang w:val="bg-BG"/>
        </w:rPr>
        <w:tab/>
        <w:t xml:space="preserve">подчертава, че разширяването е голямо финансово предизвикателство за ЕС, по-специално по отношение на политиката на сближаване и селскостопанската политика, но представлява и възможност за реформа на ЕС; посочва, че това предизвикателство изисква правилно разработена, </w:t>
      </w:r>
      <w:proofErr w:type="spellStart"/>
      <w:r w:rsidRPr="004B2DE1">
        <w:rPr>
          <w:lang w:val="bg-BG"/>
        </w:rPr>
        <w:t>приоритизирана</w:t>
      </w:r>
      <w:proofErr w:type="spellEnd"/>
      <w:r w:rsidRPr="004B2DE1">
        <w:rPr>
          <w:lang w:val="bg-BG"/>
        </w:rPr>
        <w:t xml:space="preserve"> и финансирана МФР и по-ефективен бюджет на ЕС, който да дава възможност на Съюза да поема нови ангажименти и същевременно да продължава да изпълнява съществуващите програми и политически приоритети; освен това подчертава, че са необходими също така достатъчно допълнителни и истински собствени ресурси, за да се отговори на предизвикателствата, свързани с разширяването; отбелязва, че разширяването увеличава други аспекти на нарастващото търсене на финансиране от ЕС в областта на финансовата стабилност, стратегическата автономност, здравеопазването, енергетиката, </w:t>
      </w:r>
      <w:proofErr w:type="spellStart"/>
      <w:r w:rsidRPr="004B2DE1">
        <w:rPr>
          <w:lang w:val="bg-BG"/>
        </w:rPr>
        <w:t>декарбонизацията</w:t>
      </w:r>
      <w:proofErr w:type="spellEnd"/>
      <w:r w:rsidRPr="004B2DE1">
        <w:rPr>
          <w:lang w:val="bg-BG"/>
        </w:rPr>
        <w:t xml:space="preserve">, прехода към чиста енергия, опазването на околната среда, цифровизацията, научните изследвания, отбраната и сигурността; подчертава, че подобни финансови реформи трябва да бъдат разгледани успоредно с текущите преговори за присъединяване и да бъдат приети преди разширяването; защитава позицията си, че за да се повиши устойчивостта, настоящата и бъдещата структура на МФР следва да бъдат преструктурирани и значително укрепени; подчертава, че е необходимо по време на подготовката на МФР за периода 2028 – 2034 г. да се вземе предвид присъединяването на нови членове; </w:t>
      </w:r>
    </w:p>
    <w:p w:rsidR="00942E97" w:rsidRPr="004B2DE1" w:rsidRDefault="00942E97" w:rsidP="00942E97">
      <w:pPr>
        <w:pStyle w:val="NormalHanging12a"/>
      </w:pPr>
      <w:r w:rsidRPr="004B2DE1">
        <w:lastRenderedPageBreak/>
        <w:t>41.</w:t>
      </w:r>
      <w:r w:rsidRPr="004B2DE1">
        <w:tab/>
        <w:t>призовава Комисията и държавите кандидатки да гарантират специалната роля на МСП като основен стълб за укрепване на промишлените политики и да повишават способността на държавите да постигнат справедливия преход и да се адаптират към технологичните предизвикателства по пътя към приобщаващ цифров преход;</w:t>
      </w:r>
    </w:p>
    <w:p w:rsidR="00942E97" w:rsidRPr="004B2DE1" w:rsidRDefault="00942E97" w:rsidP="00942E97">
      <w:pPr>
        <w:pStyle w:val="Normal12Hanging"/>
        <w:rPr>
          <w:lang w:val="bg-BG"/>
        </w:rPr>
      </w:pPr>
      <w:r w:rsidRPr="004B2DE1">
        <w:rPr>
          <w:lang w:val="bg-BG"/>
        </w:rPr>
        <w:t>42.</w:t>
      </w:r>
      <w:r w:rsidRPr="004B2DE1">
        <w:rPr>
          <w:lang w:val="bg-BG"/>
        </w:rPr>
        <w:tab/>
        <w:t>отново призовава Съвета, Комисията и ЕСВД да подобрят стратегическата комуникация и видимостта както на взаимните социално-икономически ползи, така и на предизвикателствата, свързани с разширяването, в присъединяващите се държави и държавите членки, чрез ефективна стратегия за информационна кампания през целия процес на разширяване, показваща осезаеми резултати от текущия процес на присъединяване и от всеки кръг от преговори;</w:t>
      </w:r>
    </w:p>
    <w:p w:rsidR="00942E97" w:rsidRPr="004B2DE1" w:rsidRDefault="00942E97" w:rsidP="00942E97">
      <w:pPr>
        <w:pStyle w:val="Normal12Hanging"/>
        <w:rPr>
          <w:lang w:val="bg-BG"/>
        </w:rPr>
      </w:pPr>
      <w:r w:rsidRPr="004B2DE1">
        <w:rPr>
          <w:lang w:val="bg-BG"/>
        </w:rPr>
        <w:t>43.</w:t>
      </w:r>
      <w:r w:rsidRPr="004B2DE1">
        <w:rPr>
          <w:lang w:val="bg-BG"/>
        </w:rPr>
        <w:tab/>
        <w:t>отново призовава за изпълнение на препоръките на специалната комисия по въпросите на външната намеса, включително дезинформацията, във всички демократични процеси в Европейския съюз (INGE), по-специално чрез увеличаване на усилията за борба с дезинформацията и предотвратяване на външна злонамерена намеса и опити за подкопаване на демокрацията и възпрепятстване на интеграцията в ЕС чрез саботиране на политическата, икономическата и социалната стабилност в държавите кандидатки;</w:t>
      </w:r>
    </w:p>
    <w:p w:rsidR="00942E97" w:rsidRPr="004B2DE1" w:rsidRDefault="00942E97" w:rsidP="00942E97">
      <w:pPr>
        <w:pStyle w:val="Normal12Hanging"/>
        <w:rPr>
          <w:bCs/>
          <w:iCs/>
          <w:lang w:val="bg-BG"/>
        </w:rPr>
      </w:pPr>
      <w:r w:rsidRPr="004B2DE1">
        <w:rPr>
          <w:lang w:val="bg-BG"/>
        </w:rPr>
        <w:t>44.</w:t>
      </w:r>
      <w:r w:rsidRPr="004B2DE1">
        <w:rPr>
          <w:lang w:val="bg-BG"/>
        </w:rPr>
        <w:tab/>
        <w:t xml:space="preserve">посочва, че реконструкцията и следвоенното възстановяване на Украйна са </w:t>
      </w:r>
      <w:proofErr w:type="spellStart"/>
      <w:r w:rsidRPr="004B2DE1">
        <w:rPr>
          <w:lang w:val="bg-BG"/>
        </w:rPr>
        <w:t>многоизмерно</w:t>
      </w:r>
      <w:proofErr w:type="spellEnd"/>
      <w:r w:rsidRPr="004B2DE1">
        <w:rPr>
          <w:lang w:val="bg-BG"/>
        </w:rPr>
        <w:t xml:space="preserve"> предизвикателство, което следва да бъде разгледано в по-широкия контекст на международно усилие; подчертава, че финансирането за Украйна трябва да произтича от множество международни източници, включително от замразени руски активи; подчертава, че тези инвестиции ще бъдат свързани с финансови рискове, и настоява, че този процес трябва да се наблюдава отблизо и да бъде включен в добре разработена, съобразена с конкретните нужди законодателна рамка, която е устойчива на корупция и измами; във връзка с това призовава за бързо приемане на Регламента за създаване на Механизма за Украйна;</w:t>
      </w:r>
    </w:p>
    <w:p w:rsidR="00942E97" w:rsidRPr="004B2DE1" w:rsidRDefault="00942E97" w:rsidP="00942E97">
      <w:pPr>
        <w:pStyle w:val="Normal12Hanging"/>
        <w:rPr>
          <w:szCs w:val="24"/>
          <w:lang w:val="bg-BG"/>
        </w:rPr>
      </w:pPr>
      <w:r w:rsidRPr="004B2DE1">
        <w:rPr>
          <w:lang w:val="bg-BG"/>
        </w:rPr>
        <w:t>45.</w:t>
      </w:r>
      <w:r w:rsidRPr="004B2DE1">
        <w:rPr>
          <w:lang w:val="bg-BG"/>
        </w:rPr>
        <w:tab/>
        <w:t>приветства работата на Комисията по политиката преди разширяването и прегледа на финансирането и призовава за задълбочена оценка на въздействието на последиците от разширяването;</w:t>
      </w:r>
      <w:r w:rsidRPr="004B2DE1">
        <w:rPr>
          <w:b/>
          <w:i/>
          <w:lang w:val="bg-BG"/>
        </w:rPr>
        <w:t xml:space="preserve"> </w:t>
      </w:r>
      <w:r w:rsidRPr="004B2DE1">
        <w:rPr>
          <w:lang w:val="bg-BG"/>
        </w:rPr>
        <w:t>подкрепя създаването на ефективен, подкрепян от ЕС механизъм за разрешаване на конфликти и посредничество извън рамката за разширяване, предназначен да насърчава помирението и разрешаване на двустранни въпроси в присъединяващите се държави, като спомага за намирането и прилагането на окончателни обвързващи решения на регионални и двустранни спорове и на наследството от миналото;</w:t>
      </w:r>
    </w:p>
    <w:p w:rsidR="00942E97" w:rsidRDefault="00942E97" w:rsidP="00F142F1">
      <w:pPr>
        <w:pStyle w:val="Normal12Hanging"/>
        <w:rPr>
          <w:lang w:val="bg-BG"/>
        </w:rPr>
      </w:pPr>
      <w:r w:rsidRPr="004B2DE1">
        <w:rPr>
          <w:lang w:val="bg-BG"/>
        </w:rPr>
        <w:t>46.</w:t>
      </w:r>
      <w:r w:rsidRPr="004B2DE1">
        <w:rPr>
          <w:lang w:val="bg-BG"/>
        </w:rPr>
        <w:tab/>
        <w:t>призовава изборите за Европейски парламент през 2024 г. да се използват като възможност за обсъждане и представяне на необходимостта и ползите от процеса на задълбочаване и разширяване на Европейския съюз; и необходимите европейски политически, институционални и финансови реформи;</w:t>
      </w:r>
    </w:p>
    <w:p w:rsidR="00F142F1" w:rsidRDefault="00F142F1" w:rsidP="00F142F1">
      <w:pPr>
        <w:pStyle w:val="Normal12Hanging"/>
        <w:widowControl/>
        <w:ind w:left="0" w:firstLine="0"/>
        <w:jc w:val="center"/>
        <w:rPr>
          <w:rFonts w:eastAsiaTheme="minorHAnsi"/>
          <w:lang w:val="bg-BG"/>
        </w:rPr>
      </w:pPr>
      <w:r>
        <w:rPr>
          <w:rFonts w:eastAsiaTheme="minorHAnsi"/>
          <w:lang w:val="bg-BG"/>
        </w:rPr>
        <w:t>°</w:t>
      </w:r>
    </w:p>
    <w:p w:rsidR="00F142F1" w:rsidRDefault="00F142F1" w:rsidP="00F142F1">
      <w:pPr>
        <w:pStyle w:val="Normal12Hanging"/>
        <w:widowControl/>
        <w:ind w:left="0" w:firstLine="0"/>
        <w:jc w:val="center"/>
        <w:rPr>
          <w:rFonts w:eastAsiaTheme="minorHAnsi"/>
          <w:lang w:val="bg-BG"/>
        </w:rPr>
      </w:pPr>
      <w:r>
        <w:rPr>
          <w:rFonts w:eastAsiaTheme="minorHAnsi"/>
          <w:lang w:val="bg-BG"/>
        </w:rPr>
        <w:t>°     °</w:t>
      </w:r>
    </w:p>
    <w:p w:rsidR="00942E97" w:rsidRPr="004B2DE1" w:rsidRDefault="00942E97" w:rsidP="00942E97">
      <w:pPr>
        <w:pStyle w:val="Normal12Hanging"/>
        <w:rPr>
          <w:rFonts w:eastAsiaTheme="minorHAnsi"/>
          <w:lang w:val="bg-BG"/>
        </w:rPr>
      </w:pPr>
      <w:r w:rsidRPr="004B2DE1">
        <w:rPr>
          <w:lang w:val="bg-BG"/>
        </w:rPr>
        <w:t>47.</w:t>
      </w:r>
      <w:r w:rsidRPr="004B2DE1">
        <w:rPr>
          <w:lang w:val="bg-BG"/>
        </w:rPr>
        <w:tab/>
        <w:t xml:space="preserve">възлага на своя председател да предаде настоящата резолюция съответно на </w:t>
      </w:r>
      <w:r w:rsidRPr="004B2DE1">
        <w:rPr>
          <w:lang w:val="bg-BG"/>
        </w:rPr>
        <w:lastRenderedPageBreak/>
        <w:t>Съвета, Комисията, заместник-председателя на Комисията/върховен представител на Съюза по въпросите на външните работи и политиката на сигурност, както и на правителствата и парламентите на държавите членки и на правителствата и парламентите на присъединяващите се държави.</w:t>
      </w:r>
    </w:p>
    <w:sectPr w:rsidR="00942E97" w:rsidRPr="004B2DE1" w:rsidSect="004B2DE1">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C1286" w:rsidRPr="004B2DE1" w:rsidRDefault="009C1286">
      <w:r w:rsidRPr="004B2DE1">
        <w:separator/>
      </w:r>
    </w:p>
  </w:endnote>
  <w:endnote w:type="continuationSeparator" w:id="0">
    <w:p w:rsidR="009C1286" w:rsidRPr="004B2DE1" w:rsidRDefault="009C1286">
      <w:r w:rsidRPr="004B2DE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B2DE1"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B2DE1"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B2DE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C1286" w:rsidRPr="004B2DE1" w:rsidRDefault="009C1286">
      <w:r w:rsidRPr="004B2DE1">
        <w:separator/>
      </w:r>
    </w:p>
  </w:footnote>
  <w:footnote w:type="continuationSeparator" w:id="0">
    <w:p w:rsidR="009C1286" w:rsidRPr="004B2DE1" w:rsidRDefault="009C1286">
      <w:r w:rsidRPr="004B2DE1">
        <w:continuationSeparator/>
      </w:r>
    </w:p>
  </w:footnote>
  <w:footnote w:id="1">
    <w:p w:rsidR="00942E97" w:rsidRPr="00F142F1" w:rsidRDefault="00942E97" w:rsidP="004B2DE1">
      <w:pPr>
        <w:pStyle w:val="FootnoteText"/>
        <w:ind w:left="567" w:hanging="567"/>
        <w:rPr>
          <w:sz w:val="24"/>
          <w:lang w:val="bg-BG"/>
        </w:rPr>
      </w:pPr>
      <w:r w:rsidRPr="00F142F1">
        <w:rPr>
          <w:rStyle w:val="FootnoteReference"/>
          <w:sz w:val="24"/>
          <w:lang w:val="bg-BG"/>
        </w:rPr>
        <w:footnoteRef/>
      </w:r>
      <w:r w:rsidR="004B2DE1" w:rsidRPr="00F142F1">
        <w:rPr>
          <w:rStyle w:val="Emphasis"/>
          <w:i w:val="0"/>
          <w:sz w:val="24"/>
          <w:lang w:val="bg-BG"/>
        </w:rPr>
        <w:t xml:space="preserve"> </w:t>
      </w:r>
      <w:r w:rsidR="004B2DE1" w:rsidRPr="00F142F1">
        <w:rPr>
          <w:rStyle w:val="Emphasis"/>
          <w:i w:val="0"/>
          <w:sz w:val="24"/>
          <w:lang w:val="bg-BG"/>
        </w:rPr>
        <w:tab/>
      </w:r>
      <w:r w:rsidRPr="00F142F1">
        <w:rPr>
          <w:rStyle w:val="Emphasis"/>
          <w:i w:val="0"/>
          <w:sz w:val="24"/>
          <w:lang w:val="bg-BG"/>
        </w:rPr>
        <w:t>Приети текстове, P9_TA(2023)0471.</w:t>
      </w:r>
    </w:p>
  </w:footnote>
  <w:footnote w:id="2">
    <w:p w:rsidR="00942E97" w:rsidRPr="00F142F1" w:rsidRDefault="00942E97" w:rsidP="004B2DE1">
      <w:pPr>
        <w:pStyle w:val="FootnoteText"/>
        <w:ind w:left="567" w:hanging="567"/>
        <w:rPr>
          <w:sz w:val="24"/>
          <w:lang w:val="bg-BG"/>
        </w:rPr>
      </w:pPr>
      <w:r w:rsidRPr="00F142F1">
        <w:rPr>
          <w:rStyle w:val="FootnoteReference"/>
          <w:rFonts w:eastAsiaTheme="majorEastAsia"/>
          <w:sz w:val="24"/>
          <w:lang w:val="bg-BG"/>
        </w:rPr>
        <w:footnoteRef/>
      </w:r>
      <w:r w:rsidR="004B2DE1" w:rsidRPr="00F142F1">
        <w:rPr>
          <w:rStyle w:val="Emphasis"/>
          <w:i w:val="0"/>
          <w:sz w:val="24"/>
          <w:lang w:val="bg-BG"/>
        </w:rPr>
        <w:t xml:space="preserve"> </w:t>
      </w:r>
      <w:r w:rsidR="004B2DE1" w:rsidRPr="00F142F1">
        <w:rPr>
          <w:rStyle w:val="Emphasis"/>
          <w:i w:val="0"/>
          <w:sz w:val="24"/>
          <w:lang w:val="bg-BG"/>
        </w:rPr>
        <w:tab/>
      </w:r>
      <w:r w:rsidRPr="00F142F1">
        <w:rPr>
          <w:rStyle w:val="Emphasis"/>
          <w:i w:val="0"/>
          <w:sz w:val="24"/>
          <w:lang w:val="bg-BG"/>
        </w:rPr>
        <w:t>OВ C 167, 11.5.2023 г., стр. 105.</w:t>
      </w:r>
    </w:p>
  </w:footnote>
  <w:footnote w:id="3">
    <w:p w:rsidR="00942E97" w:rsidRPr="00F142F1" w:rsidRDefault="00942E97" w:rsidP="004B2DE1">
      <w:pPr>
        <w:pStyle w:val="FootnoteText"/>
        <w:ind w:left="567" w:hanging="567"/>
        <w:rPr>
          <w:bCs/>
          <w:iCs/>
          <w:sz w:val="24"/>
          <w:szCs w:val="24"/>
          <w:lang w:val="bg-BG"/>
        </w:rPr>
      </w:pPr>
      <w:r w:rsidRPr="00F142F1">
        <w:rPr>
          <w:bCs/>
          <w:iCs/>
          <w:sz w:val="24"/>
          <w:szCs w:val="24"/>
          <w:vertAlign w:val="superscript"/>
          <w:lang w:val="bg-BG"/>
        </w:rPr>
        <w:footnoteRef/>
      </w:r>
      <w:r w:rsidR="004B2DE1" w:rsidRPr="00F142F1">
        <w:rPr>
          <w:sz w:val="24"/>
          <w:lang w:val="bg-BG"/>
        </w:rPr>
        <w:t xml:space="preserve"> </w:t>
      </w:r>
      <w:r w:rsidR="004B2DE1" w:rsidRPr="00F142F1">
        <w:rPr>
          <w:sz w:val="24"/>
          <w:lang w:val="bg-BG"/>
        </w:rPr>
        <w:tab/>
      </w:r>
      <w:r w:rsidRPr="00F142F1">
        <w:rPr>
          <w:sz w:val="24"/>
          <w:lang w:val="bg-BG"/>
        </w:rPr>
        <w:t>ОВ C 202, 28.5.2021 г., стр. 86.</w:t>
      </w:r>
    </w:p>
  </w:footnote>
  <w:footnote w:id="4">
    <w:p w:rsidR="00942E97" w:rsidRPr="00AC36C6" w:rsidRDefault="00942E97" w:rsidP="004B2DE1">
      <w:pPr>
        <w:pStyle w:val="FootnoteText"/>
        <w:ind w:left="567" w:hanging="567"/>
        <w:rPr>
          <w:bCs/>
          <w:iCs/>
          <w:sz w:val="24"/>
          <w:szCs w:val="24"/>
          <w:lang w:val="bg-BG"/>
        </w:rPr>
      </w:pPr>
      <w:r w:rsidRPr="00F142F1">
        <w:rPr>
          <w:bCs/>
          <w:iCs/>
          <w:sz w:val="24"/>
          <w:szCs w:val="24"/>
          <w:vertAlign w:val="superscript"/>
          <w:lang w:val="bg-BG"/>
        </w:rPr>
        <w:footnoteRef/>
      </w:r>
      <w:r w:rsidR="004B2DE1" w:rsidRPr="00F142F1">
        <w:rPr>
          <w:sz w:val="24"/>
          <w:lang w:val="bg-BG"/>
        </w:rPr>
        <w:t xml:space="preserve"> </w:t>
      </w:r>
      <w:r w:rsidR="004B2DE1" w:rsidRPr="00F142F1">
        <w:rPr>
          <w:sz w:val="24"/>
          <w:lang w:val="bg-BG"/>
        </w:rPr>
        <w:tab/>
      </w:r>
      <w:r w:rsidRPr="00F142F1">
        <w:rPr>
          <w:sz w:val="24"/>
          <w:lang w:val="bg-BG"/>
        </w:rPr>
        <w:t xml:space="preserve">OВ C, C/2023/1066, 15.12.2023 г., </w:t>
      </w:r>
      <w:r w:rsidR="00AC36C6" w:rsidRPr="007848CD">
        <w:rPr>
          <w:sz w:val="24"/>
          <w:lang w:val="fi-FI"/>
        </w:rPr>
        <w:t xml:space="preserve">ELI: </w:t>
      </w:r>
      <w:hyperlink r:id="rId1" w:history="1">
        <w:r w:rsidR="00AC36C6" w:rsidRPr="007848CD">
          <w:rPr>
            <w:rStyle w:val="Hyperlink"/>
            <w:sz w:val="24"/>
            <w:lang w:val="fi-FI"/>
          </w:rPr>
          <w:t>http://data.europa.eu/eli/C/2023/1066/oj</w:t>
        </w:r>
      </w:hyperlink>
      <w:r w:rsidR="00AC36C6">
        <w:rPr>
          <w:sz w:val="24"/>
          <w:lang w:val="bg-BG"/>
        </w:rPr>
        <w:t xml:space="preserve"> </w:t>
      </w:r>
    </w:p>
  </w:footnote>
  <w:footnote w:id="5">
    <w:p w:rsidR="00942E97" w:rsidRPr="00AC36C6" w:rsidRDefault="00942E97" w:rsidP="004B2DE1">
      <w:pPr>
        <w:pStyle w:val="FootnoteText"/>
        <w:ind w:left="567" w:hanging="567"/>
        <w:rPr>
          <w:bCs/>
          <w:iCs/>
          <w:sz w:val="24"/>
          <w:szCs w:val="24"/>
          <w:lang w:val="bg-BG"/>
        </w:rPr>
      </w:pPr>
      <w:r w:rsidRPr="00F142F1">
        <w:rPr>
          <w:bCs/>
          <w:iCs/>
          <w:sz w:val="24"/>
          <w:szCs w:val="24"/>
          <w:vertAlign w:val="superscript"/>
          <w:lang w:val="bg-BG"/>
        </w:rPr>
        <w:footnoteRef/>
      </w:r>
      <w:r w:rsidR="004B2DE1" w:rsidRPr="00F142F1">
        <w:rPr>
          <w:sz w:val="24"/>
          <w:lang w:val="bg-BG"/>
        </w:rPr>
        <w:t xml:space="preserve"> </w:t>
      </w:r>
      <w:r w:rsidR="004B2DE1" w:rsidRPr="00F142F1">
        <w:rPr>
          <w:sz w:val="24"/>
          <w:lang w:val="bg-BG"/>
        </w:rPr>
        <w:tab/>
      </w:r>
      <w:r w:rsidRPr="00F142F1">
        <w:rPr>
          <w:sz w:val="24"/>
          <w:lang w:val="bg-BG"/>
        </w:rPr>
        <w:t xml:space="preserve">OВ C, C/2023/1065, 15.12.2023 г., </w:t>
      </w:r>
      <w:r w:rsidR="00AC36C6" w:rsidRPr="007848CD">
        <w:rPr>
          <w:sz w:val="24"/>
          <w:lang w:val="fi-FI"/>
        </w:rPr>
        <w:t xml:space="preserve">ELI: </w:t>
      </w:r>
      <w:hyperlink r:id="rId2" w:history="1">
        <w:r w:rsidR="00AC36C6" w:rsidRPr="007848CD">
          <w:rPr>
            <w:rStyle w:val="Hyperlink"/>
            <w:sz w:val="24"/>
            <w:lang w:val="fi-FI"/>
          </w:rPr>
          <w:t>http://data.europa.eu/eli/C/2023/1065/oj</w:t>
        </w:r>
      </w:hyperlink>
      <w:r w:rsidR="00AC36C6">
        <w:rPr>
          <w:sz w:val="24"/>
          <w:lang w:val="bg-BG"/>
        </w:rPr>
        <w:t xml:space="preserve"> </w:t>
      </w:r>
    </w:p>
  </w:footnote>
  <w:footnote w:id="6">
    <w:p w:rsidR="00942E97" w:rsidRPr="00F142F1" w:rsidRDefault="00942E97" w:rsidP="004B2DE1">
      <w:pPr>
        <w:pStyle w:val="FootnoteText"/>
        <w:ind w:left="567" w:hanging="567"/>
        <w:rPr>
          <w:bCs/>
          <w:iCs/>
          <w:sz w:val="24"/>
          <w:szCs w:val="24"/>
          <w:lang w:val="bg-BG"/>
        </w:rPr>
      </w:pPr>
      <w:r w:rsidRPr="00F142F1">
        <w:rPr>
          <w:bCs/>
          <w:iCs/>
          <w:sz w:val="24"/>
          <w:szCs w:val="24"/>
          <w:vertAlign w:val="superscript"/>
          <w:lang w:val="bg-BG"/>
        </w:rPr>
        <w:footnoteRef/>
      </w:r>
      <w:r w:rsidR="004B2DE1" w:rsidRPr="00F142F1">
        <w:rPr>
          <w:sz w:val="24"/>
          <w:lang w:val="bg-BG"/>
        </w:rPr>
        <w:t xml:space="preserve"> </w:t>
      </w:r>
      <w:r w:rsidR="004B2DE1" w:rsidRPr="00F142F1">
        <w:rPr>
          <w:sz w:val="24"/>
          <w:lang w:val="bg-BG"/>
        </w:rPr>
        <w:tab/>
      </w:r>
      <w:r w:rsidRPr="00F142F1">
        <w:rPr>
          <w:sz w:val="24"/>
          <w:lang w:val="bg-BG"/>
        </w:rPr>
        <w:t>Приети текстове, P9_TA(2023)0285.</w:t>
      </w:r>
    </w:p>
  </w:footnote>
  <w:footnote w:id="7">
    <w:p w:rsidR="00942E97" w:rsidRPr="00F142F1" w:rsidRDefault="00942E97" w:rsidP="004B2DE1">
      <w:pPr>
        <w:pStyle w:val="FootnoteText"/>
        <w:ind w:left="567" w:hanging="567"/>
        <w:rPr>
          <w:bCs/>
          <w:iCs/>
          <w:sz w:val="24"/>
          <w:szCs w:val="24"/>
          <w:lang w:val="bg-BG"/>
        </w:rPr>
      </w:pPr>
      <w:r w:rsidRPr="00F142F1">
        <w:rPr>
          <w:bCs/>
          <w:iCs/>
          <w:sz w:val="24"/>
          <w:szCs w:val="24"/>
          <w:vertAlign w:val="superscript"/>
          <w:lang w:val="bg-BG"/>
        </w:rPr>
        <w:footnoteRef/>
      </w:r>
      <w:r w:rsidR="004B2DE1" w:rsidRPr="00F142F1">
        <w:rPr>
          <w:sz w:val="24"/>
          <w:lang w:val="bg-BG"/>
        </w:rPr>
        <w:t xml:space="preserve"> </w:t>
      </w:r>
      <w:r w:rsidR="004B2DE1" w:rsidRPr="00F142F1">
        <w:rPr>
          <w:sz w:val="24"/>
          <w:lang w:val="bg-BG"/>
        </w:rPr>
        <w:tab/>
      </w:r>
      <w:r w:rsidRPr="00F142F1">
        <w:rPr>
          <w:sz w:val="24"/>
          <w:lang w:val="bg-BG"/>
        </w:rPr>
        <w:t>Приети текстове, P9_TA(2023)0284.</w:t>
      </w:r>
    </w:p>
  </w:footnote>
  <w:footnote w:id="8">
    <w:p w:rsidR="00942E97" w:rsidRPr="00F142F1" w:rsidRDefault="00942E97" w:rsidP="004B2DE1">
      <w:pPr>
        <w:pStyle w:val="FootnoteText"/>
        <w:ind w:left="567" w:hanging="567"/>
        <w:rPr>
          <w:bCs/>
          <w:iCs/>
          <w:sz w:val="24"/>
          <w:szCs w:val="24"/>
          <w:lang w:val="bg-BG"/>
        </w:rPr>
      </w:pPr>
      <w:r w:rsidRPr="00F142F1">
        <w:rPr>
          <w:bCs/>
          <w:iCs/>
          <w:sz w:val="24"/>
          <w:szCs w:val="24"/>
          <w:vertAlign w:val="superscript"/>
          <w:lang w:val="bg-BG"/>
        </w:rPr>
        <w:footnoteRef/>
      </w:r>
      <w:r w:rsidR="004B2DE1" w:rsidRPr="00F142F1">
        <w:rPr>
          <w:sz w:val="24"/>
          <w:lang w:val="bg-BG"/>
        </w:rPr>
        <w:t xml:space="preserve"> </w:t>
      </w:r>
      <w:r w:rsidR="004B2DE1" w:rsidRPr="00F142F1">
        <w:rPr>
          <w:sz w:val="24"/>
          <w:lang w:val="bg-BG"/>
        </w:rPr>
        <w:tab/>
      </w:r>
      <w:r w:rsidRPr="00F142F1">
        <w:rPr>
          <w:sz w:val="24"/>
          <w:lang w:val="bg-BG"/>
        </w:rPr>
        <w:t>OВ C 479, 16.12.2022 г., стр. 33.</w:t>
      </w:r>
    </w:p>
  </w:footnote>
  <w:footnote w:id="9">
    <w:p w:rsidR="00942E97" w:rsidRPr="00F142F1" w:rsidRDefault="00942E97" w:rsidP="004B2DE1">
      <w:pPr>
        <w:pStyle w:val="FootnoteText"/>
        <w:ind w:left="567" w:hanging="567"/>
        <w:rPr>
          <w:bCs/>
          <w:iCs/>
          <w:sz w:val="24"/>
          <w:szCs w:val="24"/>
          <w:lang w:val="bg-BG"/>
        </w:rPr>
      </w:pPr>
      <w:r w:rsidRPr="00F142F1">
        <w:rPr>
          <w:bCs/>
          <w:iCs/>
          <w:sz w:val="24"/>
          <w:szCs w:val="24"/>
          <w:vertAlign w:val="superscript"/>
          <w:lang w:val="bg-BG"/>
        </w:rPr>
        <w:footnoteRef/>
      </w:r>
      <w:r w:rsidR="004B2DE1" w:rsidRPr="00F142F1">
        <w:rPr>
          <w:sz w:val="24"/>
          <w:lang w:val="bg-BG"/>
        </w:rPr>
        <w:t xml:space="preserve"> </w:t>
      </w:r>
      <w:r w:rsidR="004B2DE1" w:rsidRPr="00F142F1">
        <w:rPr>
          <w:sz w:val="24"/>
          <w:lang w:val="bg-BG"/>
        </w:rPr>
        <w:tab/>
      </w:r>
      <w:r w:rsidRPr="00F142F1">
        <w:rPr>
          <w:sz w:val="24"/>
          <w:lang w:val="bg-BG"/>
        </w:rPr>
        <w:t>ОВ C 32, 27.1.2023 г., стр. 63.</w:t>
      </w:r>
    </w:p>
  </w:footnote>
  <w:footnote w:id="10">
    <w:p w:rsidR="00942E97" w:rsidRPr="00F142F1" w:rsidRDefault="00942E97" w:rsidP="004B2DE1">
      <w:pPr>
        <w:pStyle w:val="FootnoteText"/>
        <w:ind w:left="567" w:hanging="567"/>
        <w:rPr>
          <w:bCs/>
          <w:iCs/>
          <w:sz w:val="24"/>
          <w:szCs w:val="24"/>
          <w:lang w:val="bg-BG"/>
        </w:rPr>
      </w:pPr>
      <w:r w:rsidRPr="00F142F1">
        <w:rPr>
          <w:bCs/>
          <w:iCs/>
          <w:sz w:val="24"/>
          <w:szCs w:val="24"/>
          <w:vertAlign w:val="superscript"/>
          <w:lang w:val="bg-BG"/>
        </w:rPr>
        <w:footnoteRef/>
      </w:r>
      <w:r w:rsidR="004B2DE1" w:rsidRPr="00F142F1">
        <w:rPr>
          <w:sz w:val="24"/>
          <w:lang w:val="bg-BG"/>
        </w:rPr>
        <w:t xml:space="preserve"> </w:t>
      </w:r>
      <w:r w:rsidR="004B2DE1" w:rsidRPr="00F142F1">
        <w:rPr>
          <w:sz w:val="24"/>
          <w:lang w:val="bg-BG"/>
        </w:rPr>
        <w:tab/>
      </w:r>
      <w:r w:rsidRPr="00F142F1">
        <w:rPr>
          <w:sz w:val="24"/>
          <w:lang w:val="bg-BG"/>
        </w:rPr>
        <w:t>ОВ C 362, 8.9.2021 г., стр. 129.</w:t>
      </w:r>
    </w:p>
  </w:footnote>
  <w:footnote w:id="11">
    <w:p w:rsidR="00942E97" w:rsidRPr="00F142F1" w:rsidRDefault="00942E97" w:rsidP="004B2DE1">
      <w:pPr>
        <w:pStyle w:val="FootnoteText"/>
        <w:ind w:left="567" w:hanging="567"/>
        <w:rPr>
          <w:bCs/>
          <w:iCs/>
          <w:sz w:val="24"/>
          <w:szCs w:val="24"/>
          <w:lang w:val="bg-BG"/>
        </w:rPr>
      </w:pPr>
      <w:r w:rsidRPr="00F142F1">
        <w:rPr>
          <w:bCs/>
          <w:iCs/>
          <w:sz w:val="24"/>
          <w:szCs w:val="24"/>
          <w:vertAlign w:val="superscript"/>
          <w:lang w:val="bg-BG"/>
        </w:rPr>
        <w:footnoteRef/>
      </w:r>
      <w:r w:rsidR="004B2DE1" w:rsidRPr="00F142F1">
        <w:rPr>
          <w:sz w:val="24"/>
          <w:lang w:val="bg-BG"/>
        </w:rPr>
        <w:t xml:space="preserve"> </w:t>
      </w:r>
      <w:r w:rsidR="004B2DE1" w:rsidRPr="00F142F1">
        <w:rPr>
          <w:sz w:val="24"/>
          <w:lang w:val="bg-BG"/>
        </w:rPr>
        <w:tab/>
      </w:r>
      <w:r w:rsidRPr="00F142F1">
        <w:rPr>
          <w:sz w:val="24"/>
          <w:lang w:val="bg-BG"/>
        </w:rPr>
        <w:t>ОВ L 107, 28.4.2009 г</w:t>
      </w:r>
      <w:r w:rsidR="00AC36C6">
        <w:rPr>
          <w:sz w:val="24"/>
          <w:lang w:val="bg-BG"/>
        </w:rPr>
        <w:t>.</w:t>
      </w:r>
      <w:r w:rsidRPr="00F142F1">
        <w:rPr>
          <w:sz w:val="24"/>
          <w:lang w:val="bg-BG"/>
        </w:rPr>
        <w:t>, стр. 166.</w:t>
      </w:r>
    </w:p>
  </w:footnote>
  <w:footnote w:id="12">
    <w:p w:rsidR="00942E97" w:rsidRPr="00F142F1" w:rsidRDefault="00942E97" w:rsidP="004B2DE1">
      <w:pPr>
        <w:pStyle w:val="FootnoteText"/>
        <w:ind w:left="567" w:hanging="567"/>
        <w:rPr>
          <w:bCs/>
          <w:iCs/>
          <w:sz w:val="24"/>
          <w:szCs w:val="24"/>
          <w:lang w:val="bg-BG"/>
        </w:rPr>
      </w:pPr>
      <w:r w:rsidRPr="00F142F1">
        <w:rPr>
          <w:bCs/>
          <w:iCs/>
          <w:sz w:val="24"/>
          <w:szCs w:val="24"/>
          <w:vertAlign w:val="superscript"/>
          <w:lang w:val="bg-BG"/>
        </w:rPr>
        <w:footnoteRef/>
      </w:r>
      <w:r w:rsidR="004B2DE1" w:rsidRPr="00F142F1">
        <w:rPr>
          <w:sz w:val="24"/>
          <w:lang w:val="bg-BG"/>
        </w:rPr>
        <w:t xml:space="preserve"> </w:t>
      </w:r>
      <w:r w:rsidR="004B2DE1" w:rsidRPr="00F142F1">
        <w:rPr>
          <w:sz w:val="24"/>
          <w:lang w:val="bg-BG"/>
        </w:rPr>
        <w:tab/>
      </w:r>
      <w:r w:rsidRPr="00F142F1">
        <w:rPr>
          <w:sz w:val="24"/>
          <w:lang w:val="bg-BG"/>
        </w:rPr>
        <w:t>OВ L 164, 30.6.2015 г., стр. 2.</w:t>
      </w:r>
    </w:p>
  </w:footnote>
  <w:footnote w:id="13">
    <w:p w:rsidR="00942E97" w:rsidRPr="00F142F1" w:rsidRDefault="00942E97" w:rsidP="004B2DE1">
      <w:pPr>
        <w:pStyle w:val="FootnoteText"/>
        <w:ind w:left="567" w:hanging="567"/>
        <w:rPr>
          <w:bCs/>
          <w:iCs/>
          <w:sz w:val="24"/>
          <w:szCs w:val="24"/>
          <w:lang w:val="bg-BG"/>
        </w:rPr>
      </w:pPr>
      <w:r w:rsidRPr="00F142F1">
        <w:rPr>
          <w:bCs/>
          <w:iCs/>
          <w:sz w:val="24"/>
          <w:szCs w:val="24"/>
          <w:vertAlign w:val="superscript"/>
          <w:lang w:val="bg-BG"/>
        </w:rPr>
        <w:footnoteRef/>
      </w:r>
      <w:r w:rsidR="004B2DE1" w:rsidRPr="00F142F1">
        <w:rPr>
          <w:sz w:val="24"/>
          <w:lang w:val="bg-BG"/>
        </w:rPr>
        <w:t xml:space="preserve"> </w:t>
      </w:r>
      <w:r w:rsidR="004B2DE1" w:rsidRPr="00F142F1">
        <w:rPr>
          <w:sz w:val="24"/>
          <w:lang w:val="bg-BG"/>
        </w:rPr>
        <w:tab/>
      </w:r>
      <w:r w:rsidRPr="00F142F1">
        <w:rPr>
          <w:sz w:val="24"/>
          <w:lang w:val="bg-BG"/>
        </w:rPr>
        <w:t>ОВ L 261, 30.8.2014 г., стр. 4.</w:t>
      </w:r>
    </w:p>
  </w:footnote>
  <w:footnote w:id="14">
    <w:p w:rsidR="00942E97" w:rsidRPr="00F142F1" w:rsidRDefault="00942E97" w:rsidP="004B2DE1">
      <w:pPr>
        <w:pStyle w:val="FootnoteText"/>
        <w:ind w:left="567" w:hanging="567"/>
        <w:rPr>
          <w:bCs/>
          <w:iCs/>
          <w:sz w:val="24"/>
          <w:szCs w:val="24"/>
          <w:lang w:val="bg-BG"/>
        </w:rPr>
      </w:pPr>
      <w:r w:rsidRPr="00F142F1">
        <w:rPr>
          <w:bCs/>
          <w:iCs/>
          <w:sz w:val="24"/>
          <w:szCs w:val="24"/>
          <w:vertAlign w:val="superscript"/>
          <w:lang w:val="bg-BG"/>
        </w:rPr>
        <w:footnoteRef/>
      </w:r>
      <w:r w:rsidR="004B2DE1" w:rsidRPr="00F142F1">
        <w:rPr>
          <w:sz w:val="24"/>
          <w:lang w:val="bg-BG"/>
        </w:rPr>
        <w:t xml:space="preserve"> </w:t>
      </w:r>
      <w:r w:rsidR="004B2DE1" w:rsidRPr="00F142F1">
        <w:rPr>
          <w:sz w:val="24"/>
          <w:lang w:val="bg-BG"/>
        </w:rPr>
        <w:tab/>
      </w:r>
      <w:r w:rsidRPr="00F142F1">
        <w:rPr>
          <w:sz w:val="24"/>
          <w:lang w:val="bg-BG"/>
        </w:rPr>
        <w:t>ОВ L 260, 30.8.2014 г</w:t>
      </w:r>
      <w:r w:rsidR="00AC36C6">
        <w:rPr>
          <w:sz w:val="24"/>
          <w:lang w:val="bg-BG"/>
        </w:rPr>
        <w:t>.</w:t>
      </w:r>
      <w:r w:rsidRPr="00F142F1">
        <w:rPr>
          <w:sz w:val="24"/>
          <w:lang w:val="bg-BG"/>
        </w:rPr>
        <w:t>, стр. 4.</w:t>
      </w:r>
    </w:p>
  </w:footnote>
  <w:footnote w:id="15">
    <w:p w:rsidR="00942E97" w:rsidRPr="00F142F1" w:rsidRDefault="00942E97" w:rsidP="004B2DE1">
      <w:pPr>
        <w:pStyle w:val="FootnoteText"/>
        <w:ind w:left="567" w:hanging="567"/>
        <w:rPr>
          <w:bCs/>
          <w:iCs/>
          <w:sz w:val="24"/>
          <w:szCs w:val="24"/>
          <w:lang w:val="bg-BG"/>
        </w:rPr>
      </w:pPr>
      <w:r w:rsidRPr="00F142F1">
        <w:rPr>
          <w:bCs/>
          <w:iCs/>
          <w:sz w:val="24"/>
          <w:szCs w:val="24"/>
          <w:vertAlign w:val="superscript"/>
          <w:lang w:val="bg-BG"/>
        </w:rPr>
        <w:footnoteRef/>
      </w:r>
      <w:r w:rsidR="004B2DE1" w:rsidRPr="00F142F1">
        <w:rPr>
          <w:sz w:val="24"/>
          <w:lang w:val="bg-BG"/>
        </w:rPr>
        <w:t xml:space="preserve"> </w:t>
      </w:r>
      <w:r w:rsidR="004B2DE1" w:rsidRPr="00F142F1">
        <w:rPr>
          <w:sz w:val="24"/>
          <w:lang w:val="bg-BG"/>
        </w:rPr>
        <w:tab/>
      </w:r>
      <w:r w:rsidRPr="00F142F1">
        <w:rPr>
          <w:sz w:val="24"/>
          <w:lang w:val="bg-BG"/>
        </w:rPr>
        <w:t>ОВ L 84, 20.3.2004 г</w:t>
      </w:r>
      <w:r w:rsidR="00AC36C6">
        <w:rPr>
          <w:sz w:val="24"/>
          <w:lang w:val="bg-BG"/>
        </w:rPr>
        <w:t>.</w:t>
      </w:r>
      <w:r w:rsidRPr="00F142F1">
        <w:rPr>
          <w:sz w:val="24"/>
          <w:lang w:val="bg-BG"/>
        </w:rPr>
        <w:t>, стр. 13.</w:t>
      </w:r>
    </w:p>
  </w:footnote>
  <w:footnote w:id="16">
    <w:p w:rsidR="00942E97" w:rsidRPr="00F142F1" w:rsidRDefault="00942E97" w:rsidP="004B2DE1">
      <w:pPr>
        <w:pStyle w:val="FootnoteText"/>
        <w:ind w:left="567" w:hanging="567"/>
        <w:rPr>
          <w:bCs/>
          <w:iCs/>
          <w:sz w:val="24"/>
          <w:szCs w:val="24"/>
          <w:lang w:val="bg-BG"/>
        </w:rPr>
      </w:pPr>
      <w:r w:rsidRPr="00F142F1">
        <w:rPr>
          <w:bCs/>
          <w:iCs/>
          <w:sz w:val="24"/>
          <w:szCs w:val="24"/>
          <w:vertAlign w:val="superscript"/>
          <w:lang w:val="bg-BG"/>
        </w:rPr>
        <w:footnoteRef/>
      </w:r>
      <w:r w:rsidR="004B2DE1" w:rsidRPr="00F142F1">
        <w:rPr>
          <w:sz w:val="24"/>
          <w:lang w:val="bg-BG"/>
        </w:rPr>
        <w:t xml:space="preserve"> </w:t>
      </w:r>
      <w:r w:rsidR="004B2DE1" w:rsidRPr="00F142F1">
        <w:rPr>
          <w:sz w:val="24"/>
          <w:lang w:val="bg-BG"/>
        </w:rPr>
        <w:tab/>
      </w:r>
      <w:r w:rsidRPr="00F142F1">
        <w:rPr>
          <w:sz w:val="24"/>
          <w:lang w:val="bg-BG"/>
        </w:rPr>
        <w:t>ОВ L 361, 31.12.</w:t>
      </w:r>
      <w:r w:rsidR="00AC36C6">
        <w:rPr>
          <w:sz w:val="24"/>
          <w:lang w:val="bg-BG"/>
        </w:rPr>
        <w:t>19</w:t>
      </w:r>
      <w:r w:rsidRPr="00F142F1">
        <w:rPr>
          <w:sz w:val="24"/>
          <w:lang w:val="bg-BG"/>
        </w:rPr>
        <w:t>77</w:t>
      </w:r>
      <w:r w:rsidR="00AC36C6">
        <w:rPr>
          <w:sz w:val="24"/>
          <w:lang w:val="bg-BG"/>
        </w:rPr>
        <w:t> г.</w:t>
      </w:r>
      <w:r w:rsidRPr="00F142F1">
        <w:rPr>
          <w:sz w:val="24"/>
          <w:lang w:val="bg-BG"/>
        </w:rPr>
        <w:t>, стр. 29.</w:t>
      </w:r>
    </w:p>
  </w:footnote>
  <w:footnote w:id="17">
    <w:p w:rsidR="00942E97" w:rsidRPr="00F142F1" w:rsidRDefault="00942E97" w:rsidP="004B2DE1">
      <w:pPr>
        <w:pStyle w:val="FootnoteText"/>
        <w:ind w:left="567" w:hanging="567"/>
        <w:rPr>
          <w:sz w:val="24"/>
          <w:lang w:val="bg-BG"/>
        </w:rPr>
      </w:pPr>
      <w:r w:rsidRPr="00F142F1">
        <w:rPr>
          <w:bCs/>
          <w:iCs/>
          <w:sz w:val="24"/>
          <w:szCs w:val="24"/>
          <w:vertAlign w:val="superscript"/>
          <w:lang w:val="bg-BG"/>
        </w:rPr>
        <w:footnoteRef/>
      </w:r>
      <w:r w:rsidR="004B2DE1" w:rsidRPr="00F142F1">
        <w:rPr>
          <w:sz w:val="24"/>
          <w:lang w:val="bg-BG"/>
        </w:rPr>
        <w:t xml:space="preserve"> </w:t>
      </w:r>
      <w:r w:rsidR="004B2DE1" w:rsidRPr="00F142F1">
        <w:rPr>
          <w:sz w:val="24"/>
          <w:lang w:val="bg-BG"/>
        </w:rPr>
        <w:tab/>
      </w:r>
      <w:r w:rsidRPr="00F142F1">
        <w:rPr>
          <w:sz w:val="24"/>
          <w:lang w:val="bg-BG"/>
        </w:rPr>
        <w:t>ОВ L 161, 29.5.2014 г</w:t>
      </w:r>
      <w:r w:rsidR="00AC36C6">
        <w:rPr>
          <w:sz w:val="24"/>
          <w:lang w:val="bg-BG"/>
        </w:rPr>
        <w:t>.</w:t>
      </w:r>
      <w:r w:rsidRPr="00F142F1">
        <w:rPr>
          <w:sz w:val="24"/>
          <w:lang w:val="bg-BG"/>
        </w:rPr>
        <w:t>, стр. 3.</w:t>
      </w:r>
    </w:p>
  </w:footnote>
  <w:footnote w:id="18">
    <w:p w:rsidR="00942E97" w:rsidRPr="00F142F1" w:rsidRDefault="00942E97" w:rsidP="004B2DE1">
      <w:pPr>
        <w:pStyle w:val="FootnoteText"/>
        <w:ind w:left="567" w:hanging="567"/>
        <w:rPr>
          <w:bCs/>
          <w:iCs/>
          <w:sz w:val="24"/>
          <w:szCs w:val="24"/>
          <w:lang w:val="bg-BG"/>
        </w:rPr>
      </w:pPr>
      <w:r w:rsidRPr="00F142F1">
        <w:rPr>
          <w:rStyle w:val="FootnoteReference"/>
          <w:sz w:val="24"/>
          <w:lang w:val="bg-BG"/>
        </w:rPr>
        <w:footnoteRef/>
      </w:r>
      <w:r w:rsidR="004B2DE1" w:rsidRPr="00F142F1">
        <w:rPr>
          <w:sz w:val="24"/>
          <w:lang w:val="bg-BG"/>
        </w:rPr>
        <w:t xml:space="preserve"> </w:t>
      </w:r>
      <w:r w:rsidR="004B2DE1" w:rsidRPr="00F142F1">
        <w:rPr>
          <w:sz w:val="24"/>
          <w:lang w:val="bg-BG"/>
        </w:rPr>
        <w:tab/>
      </w:r>
      <w:r w:rsidRPr="00F142F1">
        <w:rPr>
          <w:sz w:val="24"/>
          <w:lang w:val="bg-BG"/>
        </w:rPr>
        <w:t>Приети текстове, P9_TA(2023)0357.</w:t>
      </w:r>
    </w:p>
  </w:footnote>
  <w:footnote w:id="19">
    <w:p w:rsidR="00942E97" w:rsidRPr="00F142F1" w:rsidRDefault="00942E97" w:rsidP="004B2DE1">
      <w:pPr>
        <w:pStyle w:val="FootnoteText"/>
        <w:ind w:left="567" w:hanging="567"/>
        <w:rPr>
          <w:bCs/>
          <w:iCs/>
          <w:sz w:val="24"/>
          <w:szCs w:val="24"/>
          <w:lang w:val="bg-BG"/>
        </w:rPr>
      </w:pPr>
      <w:r w:rsidRPr="00F142F1">
        <w:rPr>
          <w:bCs/>
          <w:iCs/>
          <w:sz w:val="24"/>
          <w:szCs w:val="24"/>
          <w:vertAlign w:val="superscript"/>
          <w:lang w:val="bg-BG"/>
        </w:rPr>
        <w:footnoteRef/>
      </w:r>
      <w:r w:rsidR="004B2DE1" w:rsidRPr="00F142F1">
        <w:rPr>
          <w:sz w:val="24"/>
          <w:lang w:val="bg-BG"/>
        </w:rPr>
        <w:t xml:space="preserve"> </w:t>
      </w:r>
      <w:r w:rsidR="004B2DE1" w:rsidRPr="00F142F1">
        <w:rPr>
          <w:sz w:val="24"/>
          <w:lang w:val="bg-BG"/>
        </w:rPr>
        <w:tab/>
      </w:r>
      <w:r w:rsidRPr="00F142F1">
        <w:rPr>
          <w:sz w:val="24"/>
          <w:lang w:val="bg-BG"/>
        </w:rPr>
        <w:t>ОВ L 330, 20.9.2021 г., стр. 1.</w:t>
      </w:r>
    </w:p>
  </w:footnote>
  <w:footnote w:id="20">
    <w:p w:rsidR="00942E97" w:rsidRPr="00F142F1" w:rsidRDefault="00942E97" w:rsidP="004B2DE1">
      <w:pPr>
        <w:pStyle w:val="FootnoteText"/>
        <w:ind w:left="567" w:hanging="567"/>
        <w:rPr>
          <w:bCs/>
          <w:iCs/>
          <w:sz w:val="24"/>
          <w:szCs w:val="24"/>
          <w:lang w:val="bg-BG"/>
        </w:rPr>
      </w:pPr>
      <w:r w:rsidRPr="00F142F1">
        <w:rPr>
          <w:bCs/>
          <w:iCs/>
          <w:sz w:val="24"/>
          <w:szCs w:val="24"/>
          <w:vertAlign w:val="superscript"/>
          <w:lang w:val="bg-BG"/>
        </w:rPr>
        <w:footnoteRef/>
      </w:r>
      <w:r w:rsidR="004B2DE1" w:rsidRPr="00F142F1">
        <w:rPr>
          <w:sz w:val="24"/>
          <w:lang w:val="bg-BG"/>
        </w:rPr>
        <w:t xml:space="preserve"> </w:t>
      </w:r>
      <w:r w:rsidR="004B2DE1" w:rsidRPr="00F142F1">
        <w:rPr>
          <w:sz w:val="24"/>
          <w:lang w:val="bg-BG"/>
        </w:rPr>
        <w:tab/>
      </w:r>
      <w:r w:rsidRPr="00F142F1">
        <w:rPr>
          <w:sz w:val="24"/>
          <w:lang w:val="bg-BG"/>
        </w:rPr>
        <w:t>REX/401-EESC-2014- 1609.</w:t>
      </w:r>
    </w:p>
  </w:footnote>
  <w:footnote w:id="21">
    <w:p w:rsidR="00942E97" w:rsidRPr="00F142F1" w:rsidRDefault="00942E97" w:rsidP="004B2DE1">
      <w:pPr>
        <w:pStyle w:val="FootnoteText"/>
        <w:ind w:left="567" w:hanging="567"/>
        <w:rPr>
          <w:bCs/>
          <w:iCs/>
          <w:sz w:val="24"/>
          <w:szCs w:val="24"/>
          <w:lang w:val="bg-BG"/>
        </w:rPr>
      </w:pPr>
      <w:r w:rsidRPr="00F142F1">
        <w:rPr>
          <w:bCs/>
          <w:iCs/>
          <w:sz w:val="24"/>
          <w:szCs w:val="24"/>
          <w:vertAlign w:val="superscript"/>
          <w:lang w:val="bg-BG"/>
        </w:rPr>
        <w:footnoteRef/>
      </w:r>
      <w:r w:rsidR="004B2DE1" w:rsidRPr="00F142F1">
        <w:rPr>
          <w:sz w:val="24"/>
          <w:lang w:val="bg-BG"/>
        </w:rPr>
        <w:t xml:space="preserve"> </w:t>
      </w:r>
      <w:r w:rsidR="004B2DE1" w:rsidRPr="00F142F1">
        <w:rPr>
          <w:sz w:val="24"/>
          <w:lang w:val="bg-BG"/>
        </w:rPr>
        <w:tab/>
      </w:r>
      <w:r w:rsidRPr="00F142F1">
        <w:rPr>
          <w:sz w:val="24"/>
          <w:lang w:val="bg-BG"/>
        </w:rPr>
        <w:t>ОВ C 252, 18.7.2018 г., стр. 215.</w:t>
      </w:r>
    </w:p>
  </w:footnote>
  <w:footnote w:id="22">
    <w:p w:rsidR="00942E97" w:rsidRPr="00F142F1" w:rsidRDefault="00942E97" w:rsidP="004B2DE1">
      <w:pPr>
        <w:pStyle w:val="FootnoteText"/>
        <w:ind w:left="567" w:hanging="567"/>
        <w:rPr>
          <w:bCs/>
          <w:iCs/>
          <w:sz w:val="24"/>
          <w:szCs w:val="24"/>
          <w:lang w:val="bg-BG"/>
        </w:rPr>
      </w:pPr>
      <w:r w:rsidRPr="00F142F1">
        <w:rPr>
          <w:bCs/>
          <w:iCs/>
          <w:sz w:val="24"/>
          <w:szCs w:val="24"/>
          <w:vertAlign w:val="superscript"/>
          <w:lang w:val="bg-BG"/>
        </w:rPr>
        <w:footnoteRef/>
      </w:r>
      <w:r w:rsidR="004B2DE1" w:rsidRPr="00F142F1">
        <w:rPr>
          <w:sz w:val="24"/>
          <w:lang w:val="bg-BG"/>
        </w:rPr>
        <w:t xml:space="preserve"> </w:t>
      </w:r>
      <w:r w:rsidR="004B2DE1" w:rsidRPr="00F142F1">
        <w:rPr>
          <w:sz w:val="24"/>
          <w:lang w:val="bg-BG"/>
        </w:rPr>
        <w:tab/>
      </w:r>
      <w:r w:rsidRPr="00F142F1">
        <w:rPr>
          <w:sz w:val="24"/>
          <w:lang w:val="bg-BG"/>
        </w:rPr>
        <w:t>Приети текстове, P9_TA(2023)0269.</w:t>
      </w:r>
    </w:p>
  </w:footnote>
  <w:footnote w:id="23">
    <w:p w:rsidR="00942E97" w:rsidRPr="00F142F1" w:rsidRDefault="00942E97" w:rsidP="004B2DE1">
      <w:pPr>
        <w:pStyle w:val="FootnoteText"/>
        <w:ind w:left="567" w:hanging="567"/>
        <w:rPr>
          <w:bCs/>
          <w:iCs/>
          <w:sz w:val="24"/>
          <w:szCs w:val="24"/>
          <w:lang w:val="bg-BG"/>
        </w:rPr>
      </w:pPr>
      <w:r w:rsidRPr="00F142F1">
        <w:rPr>
          <w:bCs/>
          <w:iCs/>
          <w:sz w:val="24"/>
          <w:szCs w:val="24"/>
          <w:vertAlign w:val="superscript"/>
          <w:lang w:val="bg-BG"/>
        </w:rPr>
        <w:footnoteRef/>
      </w:r>
      <w:r w:rsidR="004B2DE1" w:rsidRPr="00F142F1">
        <w:rPr>
          <w:sz w:val="24"/>
          <w:lang w:val="bg-BG"/>
        </w:rPr>
        <w:t xml:space="preserve"> </w:t>
      </w:r>
      <w:r w:rsidR="004B2DE1" w:rsidRPr="00F142F1">
        <w:rPr>
          <w:sz w:val="24"/>
          <w:lang w:val="bg-BG"/>
        </w:rPr>
        <w:tab/>
      </w:r>
      <w:r w:rsidRPr="00F142F1">
        <w:rPr>
          <w:sz w:val="24"/>
          <w:lang w:val="bg-BG"/>
        </w:rPr>
        <w:t>OВ C 465, 6.12.2022 г., стр. 109.</w:t>
      </w:r>
    </w:p>
  </w:footnote>
  <w:footnote w:id="24">
    <w:p w:rsidR="00942E97" w:rsidRPr="00F142F1" w:rsidRDefault="00942E97" w:rsidP="004B2DE1">
      <w:pPr>
        <w:pStyle w:val="FootnoteText"/>
        <w:ind w:left="567" w:hanging="567"/>
        <w:rPr>
          <w:bCs/>
          <w:iCs/>
          <w:sz w:val="24"/>
          <w:szCs w:val="24"/>
          <w:lang w:val="bg-BG"/>
        </w:rPr>
      </w:pPr>
      <w:r w:rsidRPr="00F142F1">
        <w:rPr>
          <w:bCs/>
          <w:iCs/>
          <w:sz w:val="24"/>
          <w:szCs w:val="24"/>
          <w:vertAlign w:val="superscript"/>
          <w:lang w:val="bg-BG"/>
        </w:rPr>
        <w:footnoteRef/>
      </w:r>
      <w:r w:rsidR="004B2DE1" w:rsidRPr="00F142F1">
        <w:rPr>
          <w:sz w:val="24"/>
          <w:lang w:val="bg-BG"/>
        </w:rPr>
        <w:t xml:space="preserve"> </w:t>
      </w:r>
      <w:r w:rsidR="004B2DE1" w:rsidRPr="00F142F1">
        <w:rPr>
          <w:sz w:val="24"/>
          <w:lang w:val="bg-BG"/>
        </w:rPr>
        <w:tab/>
      </w:r>
      <w:r w:rsidRPr="00F142F1">
        <w:rPr>
          <w:sz w:val="24"/>
          <w:lang w:val="bg-BG"/>
        </w:rPr>
        <w:t>OВ C 493, 27.12.2022 г., стр. 130.</w:t>
      </w:r>
    </w:p>
  </w:footnote>
  <w:footnote w:id="25">
    <w:p w:rsidR="00942E97" w:rsidRPr="00F142F1" w:rsidRDefault="00942E97" w:rsidP="004B2DE1">
      <w:pPr>
        <w:pStyle w:val="FootnoteText"/>
        <w:ind w:left="567" w:hanging="567"/>
        <w:rPr>
          <w:bCs/>
          <w:iCs/>
          <w:sz w:val="24"/>
          <w:szCs w:val="24"/>
          <w:lang w:val="bg-BG"/>
        </w:rPr>
      </w:pPr>
      <w:r w:rsidRPr="00F142F1">
        <w:rPr>
          <w:bCs/>
          <w:iCs/>
          <w:sz w:val="24"/>
          <w:szCs w:val="24"/>
          <w:vertAlign w:val="superscript"/>
          <w:lang w:val="bg-BG"/>
        </w:rPr>
        <w:footnoteRef/>
      </w:r>
      <w:r w:rsidR="004B2DE1" w:rsidRPr="00F142F1">
        <w:rPr>
          <w:sz w:val="24"/>
          <w:lang w:val="bg-BG"/>
        </w:rPr>
        <w:t xml:space="preserve"> </w:t>
      </w:r>
      <w:r w:rsidR="004B2DE1" w:rsidRPr="00F142F1">
        <w:rPr>
          <w:sz w:val="24"/>
          <w:lang w:val="bg-BG"/>
        </w:rPr>
        <w:tab/>
      </w:r>
      <w:r w:rsidRPr="00F142F1">
        <w:rPr>
          <w:sz w:val="24"/>
          <w:lang w:val="bg-BG"/>
        </w:rPr>
        <w:t>Приети текстове, P9_TA(2023)0427.</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B2DE1"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B2DE1"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B2DE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15/2024"/>
    <w:docVar w:name="dvlangue" w:val="BG"/>
    <w:docVar w:name="dvnumam" w:val="0"/>
    <w:docVar w:name="dvpe" w:val="752.948"/>
    <w:docVar w:name="dvrapporteur" w:val="Докладчик: "/>
    <w:docVar w:name="dvtitre" w:val="Резолюция на Европейския парламент от ... 2024 г. относно задълбочаване на европейската интеграция с оглед на бъдещото разширяване(2023/2114(INI))"/>
  </w:docVars>
  <w:rsids>
    <w:rsidRoot w:val="009C1286"/>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B2DE1"/>
    <w:rsid w:val="004C0004"/>
    <w:rsid w:val="004C5D52"/>
    <w:rsid w:val="0050519A"/>
    <w:rsid w:val="005072A1"/>
    <w:rsid w:val="00514517"/>
    <w:rsid w:val="00545827"/>
    <w:rsid w:val="00560270"/>
    <w:rsid w:val="005C2568"/>
    <w:rsid w:val="006037C0"/>
    <w:rsid w:val="006631B6"/>
    <w:rsid w:val="00680577"/>
    <w:rsid w:val="006F74FA"/>
    <w:rsid w:val="00731ADD"/>
    <w:rsid w:val="00734777"/>
    <w:rsid w:val="00747932"/>
    <w:rsid w:val="00751A4A"/>
    <w:rsid w:val="00756632"/>
    <w:rsid w:val="00762C74"/>
    <w:rsid w:val="007848CD"/>
    <w:rsid w:val="00786EC0"/>
    <w:rsid w:val="007D1690"/>
    <w:rsid w:val="007E22AD"/>
    <w:rsid w:val="00817416"/>
    <w:rsid w:val="00842779"/>
    <w:rsid w:val="00842FCD"/>
    <w:rsid w:val="00865F67"/>
    <w:rsid w:val="00881A7B"/>
    <w:rsid w:val="008840E5"/>
    <w:rsid w:val="00887B3E"/>
    <w:rsid w:val="008C2AC6"/>
    <w:rsid w:val="00930C23"/>
    <w:rsid w:val="0093193B"/>
    <w:rsid w:val="00942E97"/>
    <w:rsid w:val="009509D8"/>
    <w:rsid w:val="00950B64"/>
    <w:rsid w:val="00981893"/>
    <w:rsid w:val="009C1286"/>
    <w:rsid w:val="00A1687D"/>
    <w:rsid w:val="00A43E52"/>
    <w:rsid w:val="00A4678D"/>
    <w:rsid w:val="00A778C7"/>
    <w:rsid w:val="00AB441E"/>
    <w:rsid w:val="00AB6293"/>
    <w:rsid w:val="00AC36C6"/>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4C7E"/>
    <w:rsid w:val="00F075DC"/>
    <w:rsid w:val="00F142F1"/>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A64C816E-EEE8-40BC-ABAE-75AB67A1C1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bg-BG"/>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PageHeading">
    <w:name w:val="PageHeading"/>
    <w:basedOn w:val="Normal"/>
    <w:rsid w:val="00942E97"/>
    <w:pPr>
      <w:keepNext/>
      <w:spacing w:after="480"/>
      <w:jc w:val="center"/>
    </w:pPr>
    <w:rPr>
      <w:rFonts w:ascii="Arial" w:hAnsi="Arial" w:cs="Arial"/>
      <w:b/>
    </w:rPr>
  </w:style>
  <w:style w:type="paragraph" w:customStyle="1" w:styleId="NormalHanging12a">
    <w:name w:val="NormalHanging12a"/>
    <w:basedOn w:val="Normal"/>
    <w:link w:val="NormalHanging12aChar"/>
    <w:rsid w:val="00942E97"/>
    <w:pPr>
      <w:spacing w:after="240"/>
      <w:ind w:left="567" w:hanging="567"/>
    </w:pPr>
  </w:style>
  <w:style w:type="paragraph" w:customStyle="1" w:styleId="EPComma">
    <w:name w:val="EPComma"/>
    <w:basedOn w:val="Normal"/>
    <w:rsid w:val="00942E97"/>
    <w:pPr>
      <w:spacing w:before="480" w:after="240"/>
    </w:pPr>
    <w:rPr>
      <w:i/>
    </w:rPr>
  </w:style>
  <w:style w:type="character" w:customStyle="1" w:styleId="Normal12HangingChar">
    <w:name w:val="Normal12Hanging Char"/>
    <w:link w:val="Normal12Hanging"/>
    <w:locked/>
    <w:rsid w:val="00942E97"/>
    <w:rPr>
      <w:sz w:val="24"/>
    </w:rPr>
  </w:style>
  <w:style w:type="paragraph" w:customStyle="1" w:styleId="Normal12Hanging">
    <w:name w:val="Normal12Hanging"/>
    <w:basedOn w:val="Normal"/>
    <w:link w:val="Normal12HangingChar"/>
    <w:rsid w:val="00942E97"/>
    <w:pPr>
      <w:spacing w:after="240"/>
      <w:ind w:left="567" w:hanging="567"/>
    </w:pPr>
    <w:rPr>
      <w:lang w:val="en-GB"/>
    </w:rPr>
  </w:style>
  <w:style w:type="character" w:styleId="Emphasis">
    <w:name w:val="Emphasis"/>
    <w:basedOn w:val="DefaultParagraphFont"/>
    <w:uiPriority w:val="20"/>
    <w:qFormat/>
    <w:rsid w:val="00942E97"/>
    <w:rPr>
      <w:i/>
      <w:iCs/>
    </w:rPr>
  </w:style>
  <w:style w:type="character" w:customStyle="1" w:styleId="NormalHanging12aChar">
    <w:name w:val="NormalHanging12a Char"/>
    <w:basedOn w:val="DefaultParagraphFont"/>
    <w:link w:val="NormalHanging12a"/>
    <w:locked/>
    <w:rsid w:val="00942E97"/>
    <w:rPr>
      <w:sz w:val="24"/>
      <w:lang w:val="bg-BG"/>
    </w:rPr>
  </w:style>
  <w:style w:type="paragraph" w:customStyle="1" w:styleId="Avistitre">
    <w:name w:val="Avis titre"/>
    <w:basedOn w:val="Normal"/>
    <w:rsid w:val="00942E97"/>
    <w:pPr>
      <w:keepNext/>
      <w:snapToGrid w:val="0"/>
      <w:spacing w:after="240"/>
      <w:jc w:val="center"/>
    </w:pPr>
    <w:rPr>
      <w:rFonts w:ascii="Arial" w:hAnsi="Arial"/>
      <w:b/>
      <w:lang w:eastAsia="en-US"/>
    </w:rPr>
  </w:style>
  <w:style w:type="character" w:styleId="Hyperlink">
    <w:name w:val="Hyperlink"/>
    <w:basedOn w:val="DefaultParagraphFont"/>
    <w:rsid w:val="00AC36C6"/>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C/2023/1065/oj" TargetMode="External"/><Relationship Id="rId1" Type="http://schemas.openxmlformats.org/officeDocument/2006/relationships/hyperlink" Target="http://data.europa.eu/eli/C/2023/1066/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C0135B8-8563-4337-86DF-257F8609F38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17</Pages>
  <Words>6606</Words>
  <Characters>39245</Characters>
  <Application>Microsoft Office Word</Application>
  <DocSecurity>4</DocSecurity>
  <Lines>327</Lines>
  <Paragraphs>91</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45760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Kiril GIRGINOV</dc:creator>
  <cp:keywords/>
  <cp:lastModifiedBy>SOLTYSOVA Zuzana</cp:lastModifiedBy>
  <cp:revision>2</cp:revision>
  <cp:lastPrinted>2004-11-19T15:42:00Z</cp:lastPrinted>
  <dcterms:created xsi:type="dcterms:W3CDTF">2024-07-03T10:04:00Z</dcterms:created>
  <dcterms:modified xsi:type="dcterms:W3CDTF">2024-07-03T10:04:00Z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A9-0015/2024</vt:lpwstr>
  </property>
  <property fmtid="{D5CDD505-2E9C-101B-9397-08002B2CF9AE}" pid="4" name="&lt;Type&gt;">
    <vt:lpwstr>RR</vt:lpwstr>
  </property>
</Properties>
</file>