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21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2173" w:rsidRDefault="00033494" w:rsidP="0010095E">
            <w:pPr>
              <w:pStyle w:val="EPName"/>
            </w:pPr>
            <w:r w:rsidRPr="006F2173">
              <w:t>Evropský parlament</w:t>
            </w:r>
          </w:p>
          <w:p w:rsidR="00751A4A" w:rsidRPr="006F21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21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F2173" w:rsidRDefault="00187494" w:rsidP="0010095E">
            <w:pPr>
              <w:pStyle w:val="EPLogo"/>
            </w:pPr>
            <w:r w:rsidRPr="006F2173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2173" w:rsidRDefault="00D058B8" w:rsidP="004C5D52">
      <w:pPr>
        <w:pStyle w:val="LineTop"/>
      </w:pPr>
    </w:p>
    <w:p w:rsidR="00680577" w:rsidRPr="006F2173" w:rsidRDefault="00033494" w:rsidP="00680577">
      <w:pPr>
        <w:pStyle w:val="EPBodyTA1"/>
      </w:pPr>
      <w:r w:rsidRPr="006F2173">
        <w:t>PŘIJATÉ TEXTY</w:t>
      </w:r>
    </w:p>
    <w:p w:rsidR="00D058B8" w:rsidRPr="006F2173" w:rsidRDefault="00D058B8" w:rsidP="00D058B8">
      <w:pPr>
        <w:pStyle w:val="LineBottom"/>
      </w:pPr>
    </w:p>
    <w:p w:rsidR="00033494" w:rsidRPr="006F2173" w:rsidRDefault="00033494" w:rsidP="00033494">
      <w:pPr>
        <w:pStyle w:val="ATHeading1"/>
      </w:pPr>
      <w:bookmarkStart w:id="0" w:name="TANumber"/>
      <w:r w:rsidRPr="006F2173">
        <w:t>P9_TA(2024)0</w:t>
      </w:r>
      <w:r w:rsidR="0077357C">
        <w:t>120</w:t>
      </w:r>
      <w:bookmarkEnd w:id="0"/>
    </w:p>
    <w:p w:rsidR="00033494" w:rsidRPr="006F2173" w:rsidRDefault="00033494" w:rsidP="00033494">
      <w:pPr>
        <w:pStyle w:val="ATHeading2"/>
      </w:pPr>
      <w:bookmarkStart w:id="1" w:name="title"/>
      <w:r w:rsidRPr="006F2173">
        <w:t>Prohloubení integrace EU s ohledem na budoucí rozšíření</w:t>
      </w:r>
      <w:bookmarkEnd w:id="1"/>
    </w:p>
    <w:p w:rsidR="00033494" w:rsidRPr="006F2173" w:rsidRDefault="00033494" w:rsidP="00033494">
      <w:pPr>
        <w:rPr>
          <w:i/>
          <w:vanish/>
        </w:rPr>
      </w:pPr>
      <w:r w:rsidRPr="006F2173">
        <w:rPr>
          <w:i/>
        </w:rPr>
        <w:fldChar w:fldCharType="begin"/>
      </w:r>
      <w:r w:rsidRPr="006F2173">
        <w:rPr>
          <w:i/>
        </w:rPr>
        <w:instrText xml:space="preserve"> TC"(</w:instrText>
      </w:r>
      <w:bookmarkStart w:id="2" w:name="DocNumber"/>
      <w:r w:rsidRPr="006F2173">
        <w:rPr>
          <w:i/>
        </w:rPr>
        <w:instrText>A9-0015/2024</w:instrText>
      </w:r>
      <w:bookmarkEnd w:id="2"/>
      <w:r w:rsidRPr="006F2173">
        <w:rPr>
          <w:i/>
        </w:rPr>
        <w:instrText xml:space="preserve"> - Zpravodajové: Petras Auštrevičius, Pedro Silva Pereira)"\l3 \n&gt; \* MERGEFORMAT </w:instrText>
      </w:r>
      <w:r w:rsidRPr="006F2173">
        <w:rPr>
          <w:i/>
        </w:rPr>
        <w:fldChar w:fldCharType="end"/>
      </w:r>
    </w:p>
    <w:p w:rsidR="00033494" w:rsidRPr="006F2173" w:rsidRDefault="00033494" w:rsidP="00033494">
      <w:pPr>
        <w:rPr>
          <w:vanish/>
        </w:rPr>
      </w:pPr>
      <w:bookmarkStart w:id="3" w:name="Commission"/>
      <w:r w:rsidRPr="006F2173">
        <w:rPr>
          <w:vanish/>
        </w:rPr>
        <w:t>Výbor pro zahraniční věci</w:t>
      </w:r>
      <w:bookmarkEnd w:id="3"/>
      <w:r w:rsidR="00D43DA9">
        <w:rPr>
          <w:vanish/>
        </w:rPr>
        <w:t xml:space="preserve"> a </w:t>
      </w:r>
      <w:r w:rsidR="00D43DA9" w:rsidRPr="00D43DA9">
        <w:rPr>
          <w:vanish/>
        </w:rPr>
        <w:t>Výbor pro ústavní záležitosti</w:t>
      </w:r>
    </w:p>
    <w:p w:rsidR="00033494" w:rsidRPr="006F2173" w:rsidRDefault="00033494" w:rsidP="00033494">
      <w:pPr>
        <w:rPr>
          <w:vanish/>
        </w:rPr>
      </w:pPr>
      <w:bookmarkStart w:id="4" w:name="PE"/>
      <w:r w:rsidRPr="006F2173">
        <w:rPr>
          <w:vanish/>
        </w:rPr>
        <w:t>PE752.948</w:t>
      </w:r>
      <w:bookmarkEnd w:id="4"/>
    </w:p>
    <w:p w:rsidR="00033494" w:rsidRPr="006F2173" w:rsidRDefault="00033494" w:rsidP="00033494">
      <w:pPr>
        <w:pStyle w:val="ATHeading3"/>
      </w:pPr>
      <w:bookmarkStart w:id="5" w:name="Sujet"/>
      <w:r w:rsidRPr="006F2173">
        <w:t xml:space="preserve">Usnesení </w:t>
      </w:r>
      <w:r w:rsidR="00523DC2">
        <w:t xml:space="preserve">Evropského parlamentu ze dne </w:t>
      </w:r>
      <w:r w:rsidR="0077357C">
        <w:t>29</w:t>
      </w:r>
      <w:r w:rsidR="00523DC2">
        <w:t>. února</w:t>
      </w:r>
      <w:r w:rsidRPr="006F2173">
        <w:t xml:space="preserve"> 2024 o prohloubení integrace EU s ohledem na budoucí rozšíření</w:t>
      </w:r>
      <w:bookmarkEnd w:id="5"/>
      <w:r w:rsidRPr="006F2173">
        <w:t xml:space="preserve"> </w:t>
      </w:r>
      <w:bookmarkStart w:id="6" w:name="References"/>
      <w:r w:rsidRPr="006F2173">
        <w:t>(2023/2114(INI))</w:t>
      </w:r>
      <w:bookmarkEnd w:id="6"/>
    </w:p>
    <w:p w:rsidR="000B13EE" w:rsidRPr="006F2173" w:rsidRDefault="000B13EE" w:rsidP="000B13EE">
      <w:pPr>
        <w:pStyle w:val="EPComma"/>
      </w:pPr>
      <w:bookmarkStart w:id="7" w:name="TextBodyBegin"/>
      <w:bookmarkEnd w:id="7"/>
      <w:r w:rsidRPr="006F2173">
        <w:t>Evropský parlament,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sz w:val="20"/>
          <w:lang w:val="cs-CZ"/>
        </w:rPr>
        <w:t>–</w:t>
      </w:r>
      <w:r w:rsidRPr="006F2173">
        <w:rPr>
          <w:lang w:val="cs-CZ"/>
        </w:rPr>
        <w:tab/>
        <w:t>s ohledem na Smlouvu o Evropské unii (SEU), zejména na čl. 5 odst. 3 a články 48 a 49,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 ohledem na Smlouvu o fungování Evropské unie,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 xml:space="preserve">s ohledem na závěry Rady z prosince 2006 a března 2020 a na závěry předsednictví ze zasedání Evropské rady v Kodani ve dnech </w:t>
      </w:r>
      <w:proofErr w:type="gramStart"/>
      <w:r w:rsidRPr="006F2173">
        <w:rPr>
          <w:lang w:val="cs-CZ"/>
        </w:rPr>
        <w:t>21.–22</w:t>
      </w:r>
      <w:proofErr w:type="gramEnd"/>
      <w:r w:rsidRPr="006F2173">
        <w:rPr>
          <w:lang w:val="cs-CZ"/>
        </w:rPr>
        <w:t>. června 1993, známé rovněž jako kodaňská kritéria,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své usnesení ze dne 13. prosince 2023 o 30 letech kodaňských kritérií – novém impulsu pro politiku rozšiřování EU</w:t>
      </w:r>
      <w:r w:rsidRPr="006F2173">
        <w:rPr>
          <w:rStyle w:val="FootnoteReference"/>
          <w:lang w:val="cs-CZ"/>
        </w:rPr>
        <w:footnoteReference w:id="1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 ohledem na Úmluvu o ochraně lidských práv a základních svobod (EÚLP) a Listinu základních práv Evropské unie,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 xml:space="preserve">s ohledem na Manifest z </w:t>
      </w:r>
      <w:proofErr w:type="spellStart"/>
      <w:r w:rsidRPr="006F2173">
        <w:rPr>
          <w:lang w:val="cs-CZ"/>
        </w:rPr>
        <w:t>Ventotene</w:t>
      </w:r>
      <w:proofErr w:type="spellEnd"/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sz w:val="20"/>
          <w:lang w:val="cs-CZ"/>
        </w:rPr>
        <w:tab/>
      </w:r>
      <w:r w:rsidRPr="006F2173">
        <w:rPr>
          <w:lang w:val="cs-CZ"/>
        </w:rPr>
        <w:t>s ohledem na své doporučení ze dne 23. listopadu 2022 Radě, Komisi a místopředsedovi Komise, vysokému představiteli Unie pro zahraniční věci a bezpečnostní politiku týkající se nové strategie EU v oblasti rozšíření</w:t>
      </w:r>
      <w:r w:rsidRPr="006F2173">
        <w:rPr>
          <w:rStyle w:val="FootnoteReference"/>
          <w:rFonts w:eastAsiaTheme="majorEastAsia"/>
          <w:szCs w:val="24"/>
          <w:lang w:val="cs-CZ"/>
        </w:rPr>
        <w:footnoteReference w:id="2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stanovisko Výboru regionů ze dne 5. a 6. července 2022 k tématu Balíček Komise týkající se rozšíření 2022 a na prohlášení předsedy Výboru regionů ze dne 8. listopadu 2023 k balíčku Komise týkajícímu se rozšíření 2023,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zprávu Komise ze dne 9. února 2022 o soudržnosti v Evropě do roku 2050,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 ohledem na závěry zasedání Evropské rady, která se uskutečnila ve dnech 23. a 24. června 2022, 29. a 30. června 2023, 26. a 27. října 2023 a 14. a 15. prosince 2023,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lastRenderedPageBreak/>
        <w:t>–</w:t>
      </w:r>
      <w:r w:rsidRPr="006F2173">
        <w:rPr>
          <w:lang w:val="cs-CZ"/>
        </w:rPr>
        <w:tab/>
        <w:t xml:space="preserve">s ohledem na analytické zprávy Komise ze dne 2. února 2023 o sladění Ukrajiny (SWD(2023)0030), Moldavska (SWD(2023)0032) a Gruzie (SWD(2023)0031) s </w:t>
      </w:r>
      <w:proofErr w:type="spellStart"/>
      <w:r w:rsidRPr="006F2173">
        <w:rPr>
          <w:lang w:val="cs-CZ"/>
        </w:rPr>
        <w:t>acquis</w:t>
      </w:r>
      <w:proofErr w:type="spellEnd"/>
      <w:r w:rsidRPr="006F2173">
        <w:rPr>
          <w:lang w:val="cs-CZ"/>
        </w:rPr>
        <w:t xml:space="preserve"> EU,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společné sdělení Komise Evropské radě ze dne 29. listopadu 2023 o aktuálním stavu politických, hospodářských a obchodních vztahů mezi EU a Tureckem (JOIN(2023)0050),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závěry ze zasedání Rady pro obecné záležitosti ze dne 29. a 30. dubna 1997 ohledně uplatňování podmíněnosti s cílem vytvořit soudržnou strategii EU pro vztahy se zeměmi v regionu západního Balkánu,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svá předchozí usnesení o této otázce, zejména ze dne 24. října 2019 o zahájení přístupových jednání se Severní Makedonií a Albánií</w:t>
      </w:r>
      <w:r w:rsidRPr="006F2173">
        <w:rPr>
          <w:rStyle w:val="FootnoteReference"/>
          <w:bCs/>
          <w:iCs/>
          <w:szCs w:val="24"/>
          <w:lang w:val="cs-CZ"/>
        </w:rPr>
        <w:footnoteReference w:id="3"/>
      </w:r>
      <w:r w:rsidRPr="006F2173">
        <w:rPr>
          <w:lang w:val="cs-CZ"/>
        </w:rPr>
        <w:t>, a na svá usnesení o zprávách Komise o Kosovu</w:t>
      </w:r>
      <w:r w:rsidRPr="006F2173">
        <w:rPr>
          <w:rStyle w:val="FootnoteReference"/>
          <w:bCs/>
          <w:iCs/>
          <w:szCs w:val="24"/>
          <w:lang w:val="cs-CZ"/>
        </w:rPr>
        <w:footnoteReference w:id="4"/>
      </w:r>
      <w:r w:rsidRPr="006F2173">
        <w:rPr>
          <w:lang w:val="cs-CZ"/>
        </w:rPr>
        <w:t>, Srbsku</w:t>
      </w:r>
      <w:r w:rsidRPr="006F2173">
        <w:rPr>
          <w:rStyle w:val="FootnoteReference"/>
          <w:bCs/>
          <w:iCs/>
          <w:szCs w:val="24"/>
          <w:lang w:val="cs-CZ"/>
        </w:rPr>
        <w:footnoteReference w:id="5"/>
      </w:r>
      <w:r w:rsidRPr="006F2173">
        <w:rPr>
          <w:lang w:val="cs-CZ"/>
        </w:rPr>
        <w:t>, Albánii</w:t>
      </w:r>
      <w:r w:rsidRPr="006F2173">
        <w:rPr>
          <w:rStyle w:val="FootnoteReference"/>
          <w:bCs/>
          <w:iCs/>
          <w:szCs w:val="24"/>
          <w:lang w:val="cs-CZ"/>
        </w:rPr>
        <w:footnoteReference w:id="6"/>
      </w:r>
      <w:r w:rsidRPr="006F2173">
        <w:rPr>
          <w:lang w:val="cs-CZ"/>
        </w:rPr>
        <w:t>, Bosně a Hercegovině</w:t>
      </w:r>
      <w:r w:rsidRPr="006F2173">
        <w:rPr>
          <w:rStyle w:val="FootnoteReference"/>
          <w:bCs/>
          <w:iCs/>
          <w:szCs w:val="24"/>
          <w:lang w:val="cs-CZ"/>
        </w:rPr>
        <w:footnoteReference w:id="7"/>
      </w:r>
      <w:r w:rsidRPr="006F2173">
        <w:rPr>
          <w:lang w:val="cs-CZ"/>
        </w:rPr>
        <w:t>, Severní Makedonii</w:t>
      </w:r>
      <w:r w:rsidRPr="006F2173">
        <w:rPr>
          <w:rStyle w:val="FootnoteReference"/>
          <w:bCs/>
          <w:iCs/>
          <w:szCs w:val="24"/>
          <w:lang w:val="cs-CZ"/>
        </w:rPr>
        <w:footnoteReference w:id="8"/>
      </w:r>
      <w:r w:rsidRPr="006F2173">
        <w:rPr>
          <w:lang w:val="cs-CZ"/>
        </w:rPr>
        <w:t xml:space="preserve"> a Černé Hoře</w:t>
      </w:r>
      <w:r w:rsidRPr="006F2173">
        <w:rPr>
          <w:rStyle w:val="FootnoteReference"/>
          <w:bCs/>
          <w:iCs/>
          <w:szCs w:val="24"/>
          <w:lang w:val="cs-CZ"/>
        </w:rPr>
        <w:footnoteReference w:id="9"/>
      </w:r>
      <w:r w:rsidRPr="006F2173">
        <w:rPr>
          <w:lang w:val="cs-CZ"/>
        </w:rPr>
        <w:t xml:space="preserve"> za rok 2022,</w:t>
      </w:r>
    </w:p>
    <w:p w:rsidR="000B13EE" w:rsidRPr="006F2173" w:rsidRDefault="000B13EE" w:rsidP="000B13EE">
      <w:pPr>
        <w:pStyle w:val="Normal12Hanging"/>
        <w:rPr>
          <w:rFonts w:eastAsiaTheme="minorEastAsia"/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sz w:val="20"/>
          <w:lang w:val="cs-CZ"/>
        </w:rPr>
        <w:tab/>
      </w:r>
      <w:r w:rsidRPr="006F2173">
        <w:rPr>
          <w:lang w:val="cs-CZ"/>
        </w:rPr>
        <w:t>s ohledem na své doporučení ze dne 19. června 2020 Radě, Komisi a místopředsedovi Komise, vysokému představiteli Unie pro zahraniční věci a bezpečnostní politiku k západnímu Balkánu v návaznosti na summit konaný v roce 2020</w:t>
      </w:r>
      <w:r w:rsidRPr="006F2173">
        <w:rPr>
          <w:rStyle w:val="FootnoteReference"/>
          <w:rFonts w:eastAsiaTheme="majorEastAsia"/>
          <w:szCs w:val="24"/>
          <w:lang w:val="cs-CZ"/>
        </w:rPr>
        <w:footnoteReference w:id="10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závěry přijaté Evropskou radou ve dnech 19. a 20. června 2003 a na Soluňskou agendu pro země západního Balkánu,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dohody o přidružení mezi EU a Albánií</w:t>
      </w:r>
      <w:r w:rsidRPr="006F2173">
        <w:rPr>
          <w:rStyle w:val="FootnoteReference"/>
          <w:bCs/>
          <w:iCs/>
          <w:szCs w:val="24"/>
          <w:lang w:val="cs-CZ"/>
        </w:rPr>
        <w:footnoteReference w:id="11"/>
      </w:r>
      <w:r w:rsidRPr="006F2173">
        <w:rPr>
          <w:lang w:val="cs-CZ"/>
        </w:rPr>
        <w:t>, Bosnou a Hercegovinou</w:t>
      </w:r>
      <w:r w:rsidRPr="006F2173">
        <w:rPr>
          <w:rStyle w:val="FootnoteReference"/>
          <w:bCs/>
          <w:iCs/>
          <w:szCs w:val="24"/>
          <w:lang w:val="cs-CZ"/>
        </w:rPr>
        <w:footnoteReference w:id="12"/>
      </w:r>
      <w:r w:rsidRPr="006F2173">
        <w:rPr>
          <w:lang w:val="cs-CZ"/>
        </w:rPr>
        <w:t>, Gruzií</w:t>
      </w:r>
      <w:r w:rsidRPr="006F2173">
        <w:rPr>
          <w:rStyle w:val="FootnoteReference"/>
          <w:bCs/>
          <w:iCs/>
          <w:szCs w:val="24"/>
          <w:lang w:val="cs-CZ"/>
        </w:rPr>
        <w:footnoteReference w:id="13"/>
      </w:r>
      <w:r w:rsidRPr="006F2173">
        <w:rPr>
          <w:lang w:val="cs-CZ"/>
        </w:rPr>
        <w:t>, Kosovem, Moldavskou republikou</w:t>
      </w:r>
      <w:r w:rsidRPr="006F2173">
        <w:rPr>
          <w:rStyle w:val="FootnoteReference"/>
          <w:bCs/>
          <w:iCs/>
          <w:szCs w:val="24"/>
          <w:lang w:val="cs-CZ"/>
        </w:rPr>
        <w:footnoteReference w:id="14"/>
      </w:r>
      <w:r w:rsidRPr="006F2173">
        <w:rPr>
          <w:lang w:val="cs-CZ"/>
        </w:rPr>
        <w:t>, Černou Horou, Severní Makedonií</w:t>
      </w:r>
      <w:r w:rsidRPr="006F2173">
        <w:rPr>
          <w:rStyle w:val="FootnoteReference"/>
          <w:bCs/>
          <w:iCs/>
          <w:szCs w:val="24"/>
          <w:lang w:val="cs-CZ"/>
        </w:rPr>
        <w:footnoteReference w:id="15"/>
      </w:r>
      <w:r w:rsidRPr="006F2173">
        <w:rPr>
          <w:lang w:val="cs-CZ"/>
        </w:rPr>
        <w:t>, Srbskem, Tureckem</w:t>
      </w:r>
      <w:r w:rsidRPr="006F2173">
        <w:rPr>
          <w:rStyle w:val="FootnoteReference"/>
          <w:szCs w:val="24"/>
          <w:lang w:val="cs-CZ"/>
        </w:rPr>
        <w:footnoteReference w:id="16"/>
      </w:r>
      <w:r w:rsidRPr="006F2173">
        <w:rPr>
          <w:lang w:val="cs-CZ"/>
        </w:rPr>
        <w:t xml:space="preserve"> a Ukrajinou</w:t>
      </w:r>
      <w:r w:rsidRPr="006F2173">
        <w:rPr>
          <w:rStyle w:val="FootnoteReference"/>
          <w:bCs/>
          <w:iCs/>
          <w:szCs w:val="24"/>
          <w:lang w:val="cs-CZ"/>
        </w:rPr>
        <w:footnoteReference w:id="17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návrh nařízení Evropského parlamentu a Rady o zřízení nástroje pro reformy a růst pro západní Balkán (</w:t>
      </w:r>
      <w:proofErr w:type="gramStart"/>
      <w:r w:rsidRPr="006F2173">
        <w:rPr>
          <w:lang w:val="cs-CZ"/>
        </w:rPr>
        <w:t>COM(2023</w:t>
      </w:r>
      <w:proofErr w:type="gramEnd"/>
      <w:r w:rsidRPr="006F2173">
        <w:rPr>
          <w:lang w:val="cs-CZ"/>
        </w:rPr>
        <w:t>)0692),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sdělení Komise ze dne 5. února 2020 nazvané „Posílení procesu přistoupení – přesvědčivá perspektiva EU pro západní Balkán“ (</w:t>
      </w:r>
      <w:proofErr w:type="gramStart"/>
      <w:r w:rsidRPr="006F2173">
        <w:rPr>
          <w:lang w:val="cs-CZ"/>
        </w:rPr>
        <w:t>COM(2020</w:t>
      </w:r>
      <w:proofErr w:type="gramEnd"/>
      <w:r w:rsidRPr="006F2173">
        <w:rPr>
          <w:lang w:val="cs-CZ"/>
        </w:rPr>
        <w:t>)0057) a na strategii Komise nazvanou „Přesvědčivá perspektiva rozšíření pro západní Balkán a větší angažovanost EU v tomto regionu“ z února 2018,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lastRenderedPageBreak/>
        <w:t>–</w:t>
      </w:r>
      <w:r w:rsidRPr="006F2173">
        <w:rPr>
          <w:lang w:val="cs-CZ"/>
        </w:rPr>
        <w:tab/>
        <w:t>s ohledem na své usnesení ze dne 23. června 2022 o statusu kandidátské země pro Ukrajinu, Moldavskou republiku a Gruzii,</w:t>
      </w:r>
    </w:p>
    <w:p w:rsidR="000B13EE" w:rsidRPr="006F2173" w:rsidRDefault="000B13EE" w:rsidP="000B13EE">
      <w:pPr>
        <w:pStyle w:val="Normal12Hanging"/>
        <w:rPr>
          <w:rFonts w:eastAsia="Calibri"/>
          <w:bCs/>
          <w:iCs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 ohledem na své usnesení ze dne 5. října 2023 o hodnocení pokroku Moldavska na cestě do EU</w:t>
      </w:r>
      <w:r w:rsidRPr="006F2173">
        <w:rPr>
          <w:rStyle w:val="FootnoteReference"/>
          <w:rFonts w:eastAsia="Calibri"/>
          <w:bCs/>
          <w:iCs/>
          <w:lang w:val="cs-CZ"/>
        </w:rPr>
        <w:footnoteReference w:id="18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zvláštní zprávu Evropského účetního dvora 01/2022 ze dne 10. ledna 2022 nazvanou „Podpora EU určená na posilování právního státu na západním Balkáně: navzdory úsilí přetrvávají zásadní problémy“,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balíček Komise týkající se rozšíření ze dne 12. října 2022,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sdělení z roku 2023 o politice rozšíření EU pro rok 2023, které přijala Evropská komise dne 8. listopadu 2023 (</w:t>
      </w:r>
      <w:proofErr w:type="gramStart"/>
      <w:r w:rsidRPr="006F2173">
        <w:rPr>
          <w:lang w:val="cs-CZ"/>
        </w:rPr>
        <w:t>COM(2023</w:t>
      </w:r>
      <w:proofErr w:type="gramEnd"/>
      <w:r w:rsidRPr="006F2173">
        <w:rPr>
          <w:lang w:val="cs-CZ"/>
        </w:rPr>
        <w:t>)0690),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nařízení Evropského parlamentu a Rady (EU) 2021/1529 ze dne 15. září 2021, kterým se zřizuje nástroj předvstupní pomoci (NPP III)</w:t>
      </w:r>
      <w:r w:rsidRPr="006F2173">
        <w:rPr>
          <w:rStyle w:val="FootnoteReference"/>
          <w:bCs/>
          <w:iCs/>
          <w:szCs w:val="24"/>
          <w:lang w:val="cs-CZ"/>
        </w:rPr>
        <w:footnoteReference w:id="19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 xml:space="preserve">s ohledem na stanovisko Evropského hospodářského a sociálního výboru ze dne 10. července 2014 k tématu Zvýšení transparentnosti a </w:t>
      </w:r>
      <w:proofErr w:type="spellStart"/>
      <w:r w:rsidRPr="006F2173">
        <w:rPr>
          <w:lang w:val="cs-CZ"/>
        </w:rPr>
        <w:t>inkluzívnosti</w:t>
      </w:r>
      <w:proofErr w:type="spellEnd"/>
      <w:r w:rsidRPr="006F2173">
        <w:rPr>
          <w:lang w:val="cs-CZ"/>
        </w:rPr>
        <w:t xml:space="preserve"> procesu přistoupení k Evropské unii</w:t>
      </w:r>
      <w:r w:rsidRPr="006F2173">
        <w:rPr>
          <w:rStyle w:val="FootnoteReference"/>
          <w:lang w:val="cs-CZ"/>
        </w:rPr>
        <w:footnoteReference w:id="20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svá usnesení ze dne 16. února 2017 o zlepšení fungování Evropské unie využitím potenciálu Lisabonské smlouvy</w:t>
      </w:r>
      <w:r w:rsidRPr="006F2173">
        <w:rPr>
          <w:rStyle w:val="FootnoteReference"/>
          <w:szCs w:val="24"/>
          <w:lang w:val="cs-CZ"/>
        </w:rPr>
        <w:footnoteReference w:id="21"/>
      </w:r>
      <w:r w:rsidRPr="006F2173">
        <w:rPr>
          <w:lang w:val="cs-CZ"/>
        </w:rPr>
        <w:t xml:space="preserve"> a ze dne 11. července 2023 o provádění překlenovacích ustanovení ve Smlouvách EU</w:t>
      </w:r>
      <w:r w:rsidRPr="006F2173">
        <w:rPr>
          <w:rStyle w:val="FootnoteReference"/>
          <w:szCs w:val="24"/>
          <w:lang w:val="cs-CZ"/>
        </w:rPr>
        <w:footnoteReference w:id="22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svou zprávu ze dne 9. května 2022 o konečných závěrech Konference o budoucnosti Evropy</w:t>
      </w:r>
      <w:r w:rsidR="00511C51">
        <w:rPr>
          <w:lang w:val="cs-CZ"/>
        </w:rPr>
        <w:t xml:space="preserve"> </w:t>
      </w:r>
      <w:r w:rsidR="00511C51" w:rsidRPr="006F2173">
        <w:rPr>
          <w:lang w:val="cs-CZ"/>
        </w:rPr>
        <w:t>ze dne 9. května 2022</w:t>
      </w:r>
      <w:bookmarkStart w:id="8" w:name="_GoBack"/>
      <w:bookmarkEnd w:id="8"/>
      <w:r w:rsidRPr="006F2173">
        <w:rPr>
          <w:lang w:val="cs-CZ"/>
        </w:rPr>
        <w:t xml:space="preserve"> a na své usnesení ze dne 4. května 2022 o opatřeních v návaznosti na Konferenci o budoucnosti Evropy</w:t>
      </w:r>
      <w:r w:rsidRPr="006F2173">
        <w:rPr>
          <w:rStyle w:val="FootnoteReference"/>
          <w:bCs/>
          <w:iCs/>
          <w:szCs w:val="24"/>
          <w:lang w:val="cs-CZ"/>
        </w:rPr>
        <w:footnoteReference w:id="23"/>
      </w:r>
      <w:r w:rsidRPr="006F2173">
        <w:rPr>
          <w:lang w:val="cs-CZ"/>
        </w:rPr>
        <w:t>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sz w:val="20"/>
          <w:lang w:val="cs-CZ"/>
        </w:rPr>
        <w:tab/>
      </w:r>
      <w:r w:rsidRPr="006F2173">
        <w:rPr>
          <w:lang w:val="cs-CZ"/>
        </w:rPr>
        <w:t>s ohledem na svá usnesení ze dne 9. června 2022 o výzvě ke svolání konventu k revizi Smluv</w:t>
      </w:r>
      <w:r w:rsidRPr="006F2173">
        <w:rPr>
          <w:rStyle w:val="FootnoteReference"/>
          <w:szCs w:val="24"/>
          <w:lang w:val="cs-CZ"/>
        </w:rPr>
        <w:footnoteReference w:id="24"/>
      </w:r>
      <w:r w:rsidRPr="006F2173">
        <w:rPr>
          <w:lang w:val="cs-CZ"/>
        </w:rPr>
        <w:t xml:space="preserve"> a ze dne 22. listopadu 2023 k návrhům Evropského parlamentu na změnu Smluv</w:t>
      </w:r>
      <w:r w:rsidRPr="006F2173">
        <w:rPr>
          <w:rStyle w:val="FootnoteReference"/>
          <w:bCs/>
          <w:iCs/>
          <w:szCs w:val="24"/>
          <w:lang w:val="cs-CZ"/>
        </w:rPr>
        <w:footnoteReference w:id="25"/>
      </w:r>
      <w:r w:rsidRPr="006F2173">
        <w:rPr>
          <w:lang w:val="cs-CZ"/>
        </w:rPr>
        <w:t xml:space="preserve"> a aktivaci článku 48 SEU vyzývajícím Evropskou radu, aby souhlasila se svoláním konventu k reformě Smluv,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 ohledem na článek 54 jednacího řádu,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–</w:t>
      </w:r>
      <w:r w:rsidRPr="006F2173">
        <w:rPr>
          <w:lang w:val="cs-CZ"/>
        </w:rPr>
        <w:tab/>
        <w:t>s ohledem na zprávu Výboru pro zahraniční věci a Výboru pro ústavní záležitosti (A9-0015/2024),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A.</w:t>
      </w:r>
      <w:r w:rsidRPr="006F2173">
        <w:rPr>
          <w:lang w:val="cs-CZ"/>
        </w:rPr>
        <w:tab/>
        <w:t xml:space="preserve">vzhledem k tomu, že devět z deseti zemí, které v současné době usilují o připojení k EU, má status kandidátské země, přičemž některé z nich mají tento status již řadu let; vzhledem k tomu, že tyto kandidátské země se nacházejí v různých fázích procesu </w:t>
      </w:r>
      <w:r w:rsidRPr="006F2173">
        <w:rPr>
          <w:lang w:val="cs-CZ"/>
        </w:rPr>
        <w:lastRenderedPageBreak/>
        <w:t>přistoupení a přístupových jednání;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B.</w:t>
      </w:r>
      <w:r w:rsidRPr="006F2173">
        <w:rPr>
          <w:lang w:val="cs-CZ"/>
        </w:rPr>
        <w:tab/>
        <w:t>vzhledem k tomu, že na základě doporučení Komise z balíčku týkajícího se rozšíření 2023 Evropská rada dne 14. prosince 2023 rozhodla udělit status kandidátské země Gruzii a zahájit přístupová jednání s Ukrajinou, Moldavskou republikou a Bosnou a Hercegovinou, jakmile bude dosaženo nezbytné míry souladu s kritérii pro členství;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C.</w:t>
      </w:r>
      <w:r w:rsidRPr="006F2173">
        <w:rPr>
          <w:lang w:val="cs-CZ"/>
        </w:rPr>
        <w:tab/>
        <w:t>vzhledem k tomu, že útočná válka Ruska proti Ukrajině a další probíhající geopolitické výzvy daly rozšíření Evropské unie nový geostrategický význam; vzhledem k tomu, že stabilita, bezpečnost a demokratická odolnost západního Balkánu a východního sousedství jsou neoddělitelně spjaty se stabilitou, bezpečností a demokratickou odolností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D.</w:t>
      </w:r>
      <w:r w:rsidRPr="006F2173">
        <w:rPr>
          <w:lang w:val="cs-CZ"/>
        </w:rPr>
        <w:tab/>
        <w:t>vzhledem k tomu, že rozšíření představuje morální a historický závazek a strategickou geopolitickou prioritu představující geostrategickou investici do budoucnosti, která přispěje k míru, stabilitě, bezpečnosti, demokracii, jednotě, boji proti změně klimatu a k zajištění prosperity a dobrých životních podmínek na evropském kontinentu; vzhledem k tomu, že bezpečnost EU závisí rovněž na její schopnosti bránit, prosazovat a udržovat mír, demokracii, právní stát, lidská práva a základní hodnoty; vzhledem k tomu, že rozšíření může být při splnění patřičných podmínek a požadavků vzájemně přínosné pro stávající i budoucí členské státy;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E.</w:t>
      </w:r>
      <w:r w:rsidRPr="006F2173">
        <w:rPr>
          <w:lang w:val="cs-CZ"/>
        </w:rPr>
        <w:tab/>
        <w:t xml:space="preserve">vzhledem k tomu, že rozšíření se stalo jednou z nejsilnějších politik a geopolitických nástrojů EU; vzhledem k tomu, že podle </w:t>
      </w:r>
      <w:proofErr w:type="spellStart"/>
      <w:r w:rsidRPr="006F2173">
        <w:rPr>
          <w:lang w:val="cs-CZ"/>
        </w:rPr>
        <w:t>Eurobarometru</w:t>
      </w:r>
      <w:proofErr w:type="spellEnd"/>
      <w:r w:rsidRPr="006F2173">
        <w:rPr>
          <w:lang w:val="cs-CZ"/>
        </w:rPr>
        <w:t xml:space="preserve"> z června 2023 je většina obyvatel EU pro budoucí rozšíření EU; vzhledem k tomu, že je naléhavě zapotřebí nový impuls, závazky a pohled na věc, který procesu rozšíření navrátí jeho dynamiku a přitom zajistí jeho kontinuitu, soudržnost a dopad; vzhledem k tomu, že nedostatek angažovanosti v předchozích letech vytvořil vakuum, čímž se otevřel prostor pro Rusko a Čínu a další vnější subjekty; vzhledem k tomu, že je třeba vždy dodržovat zásadu vzájemné a upřímné spolupráce;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F.</w:t>
      </w:r>
      <w:r w:rsidRPr="006F2173">
        <w:rPr>
          <w:lang w:val="cs-CZ"/>
        </w:rPr>
        <w:tab/>
        <w:t>vzhledem k tomu, že přistoupení k EU musí být vždy výsledkem postupu založeného na zásluhách, v rámci něhož je každý žadatel posuzován podle svých vlastních zásluh z hlediska plnění kodaňských kritérií jako celku, včetně kritérií týkajících se zajištění neustálého plného dodržování lidských práv, včetně práv menšin, demokracie a právního státu, jakož i dalších základních hodnot EU; vzhledem k tomu, že je třeba usilovat o co nejrychlejší dosažení pozitivních výsledků a zároveň se vyvarovat urychlování postupu nebo předem daným lhůtám;</w:t>
      </w:r>
    </w:p>
    <w:p w:rsidR="000B13EE" w:rsidRPr="006F2173" w:rsidRDefault="000B13EE" w:rsidP="000B13EE">
      <w:pPr>
        <w:pStyle w:val="Normal12Hanging"/>
        <w:ind w:hanging="566"/>
        <w:rPr>
          <w:rFonts w:eastAsiaTheme="minorEastAsia"/>
          <w:bCs/>
          <w:iCs/>
          <w:lang w:val="cs-CZ"/>
        </w:rPr>
      </w:pPr>
      <w:r w:rsidRPr="006F2173">
        <w:rPr>
          <w:lang w:val="cs-CZ"/>
        </w:rPr>
        <w:t>G.</w:t>
      </w:r>
      <w:r w:rsidRPr="006F2173">
        <w:rPr>
          <w:lang w:val="cs-CZ"/>
        </w:rPr>
        <w:tab/>
        <w:t>vzhledem k tomu, že stagnace nebo ústup musí mít důsledky, neboť celý přístupový proces musí být založen na spravedlivé a přísné podmíněnosti;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H.</w:t>
      </w:r>
      <w:r w:rsidRPr="006F2173">
        <w:rPr>
          <w:lang w:val="cs-CZ"/>
        </w:rPr>
        <w:tab/>
        <w:t>vzhledem k tomu, že přistoupení k EU vyžaduje kapacitu v oblasti ambiciózního integračního programu ze strany EU i kandidátských zemí; vzhledem k tomu, že za účelem dosažení pokroku kandidátských zemí na jejich cestě do EU jsou nezbytné zásadní reformy v oblasti soudnictví, boje proti korupci a svobody a plurality sdělovacích prostředků;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I.</w:t>
      </w:r>
      <w:r w:rsidRPr="006F2173">
        <w:rPr>
          <w:lang w:val="cs-CZ"/>
        </w:rPr>
        <w:tab/>
        <w:t>vzhledem k tomu, že by bylo výhodné dokončit spolu s příštím rozšířením dosud nevyřízené členství stávajících členských států v eurozóně a schengenském prostoru;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lastRenderedPageBreak/>
        <w:t>J.</w:t>
      </w:r>
      <w:r w:rsidRPr="006F2173">
        <w:rPr>
          <w:lang w:val="cs-CZ"/>
        </w:rPr>
        <w:tab/>
        <w:t>vzhledem k tomu, že země západního Balkánu se musí rovněž zaměřit na řešení konfliktů, regionální spolupráci a usmíření; vzhledem k tomu, že v EU ani v zemích, které se chtějí stát členskými státy, není místo pro štvavou rétoriku, popírání genocidy nebo oslavování válečných zločinců z jakékoli strany; vzhledem k tomu, že vyrovnání se s minulostí je jediný způsob, jak dosáhnout skutečného usmíření, které má zásadní význam pro prosperující společnosti a úspěšnou integraci;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K.</w:t>
      </w:r>
      <w:r w:rsidRPr="006F2173">
        <w:rPr>
          <w:lang w:val="cs-CZ"/>
        </w:rPr>
        <w:tab/>
        <w:t>vzhledem k tomu, že procesy rozšiřování a prohlubování EU musí být souběžné, neboť se mohou vzájemně posilovat, znásobovat svůj dopad a významně přispívat k dosažení hlavních cílů, pro které byla EU vytvořena;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L.</w:t>
      </w:r>
      <w:r w:rsidRPr="006F2173">
        <w:rPr>
          <w:lang w:val="cs-CZ"/>
        </w:rPr>
        <w:tab/>
        <w:t>vzhledem k tomu, že výzva, kterou představuje větší Evropská unie, vyžaduje posílenou politiku rozšiřování založenou na postupné integraci do společných politik a s jasnými výhodami pro občany během celého procesu;</w:t>
      </w:r>
    </w:p>
    <w:p w:rsidR="000B13EE" w:rsidRPr="006F2173" w:rsidRDefault="000B13EE" w:rsidP="000B13EE">
      <w:pPr>
        <w:pStyle w:val="Normal12Hanging"/>
        <w:rPr>
          <w:rFonts w:eastAsia="Calibri"/>
          <w:bCs/>
          <w:iCs/>
          <w:lang w:val="cs-CZ"/>
        </w:rPr>
      </w:pPr>
      <w:r w:rsidRPr="006F2173">
        <w:rPr>
          <w:lang w:val="cs-CZ"/>
        </w:rPr>
        <w:t>M.</w:t>
      </w:r>
      <w:r w:rsidRPr="006F2173">
        <w:rPr>
          <w:lang w:val="cs-CZ"/>
        </w:rPr>
        <w:tab/>
        <w:t>vzhledem k tomu, že v souvislosti s rozšířením je třeba se komplexně zabývat přezkumem současných a budoucích evropských politik, strukturálními reformami, institucionálními změnami a víceletým finančním rámcem (VFR) na období 2028–2034;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N.</w:t>
      </w:r>
      <w:r w:rsidRPr="006F2173">
        <w:rPr>
          <w:lang w:val="cs-CZ"/>
        </w:rPr>
        <w:tab/>
        <w:t>vzhledem k tomu, že země západního Balkánu již po desetiletí vyjadřují své odhodlání vstoupit do EU; vzhledem k tomu, že vedoucí představitelé EU ve dnech 23. a 24. června 2022 znovu potvrdili plný a jednoznačný závazek ke členství západního Balkánu v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O.</w:t>
      </w:r>
      <w:r w:rsidRPr="006F2173">
        <w:rPr>
          <w:lang w:val="cs-CZ"/>
        </w:rPr>
        <w:tab/>
        <w:t>vzhledem k tomu, že kandidátské země musí ukázat, že respektují základní hodnoty EU, a rovněž soulad svých politik s politikami a postoji EU, mimo jiné se společnou zahraniční a bezpečnostní politikou (SZBP);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P.</w:t>
      </w:r>
      <w:r w:rsidRPr="006F2173">
        <w:rPr>
          <w:b/>
          <w:i/>
          <w:lang w:val="cs-CZ"/>
        </w:rPr>
        <w:tab/>
      </w:r>
      <w:r w:rsidRPr="006F2173">
        <w:rPr>
          <w:lang w:val="cs-CZ"/>
        </w:rPr>
        <w:t xml:space="preserve">vzhledem k tomu, že několik zemí západního Balkánu dosáhlo v posledních letech vysoké úrovně souladu se SZBP EU, a to i ohledně sankcí proti Rusku v reakci na jeho útočnou válku proti Ukrajině; vzhledem k tomu, že v březnu 2023 zahájili ministři zahraničních věcí Albánie, Kosova, Černé Hory a Severní Makedonie platformu „Western </w:t>
      </w:r>
      <w:proofErr w:type="spellStart"/>
      <w:r w:rsidRPr="006F2173">
        <w:rPr>
          <w:lang w:val="cs-CZ"/>
        </w:rPr>
        <w:t>Balkans</w:t>
      </w:r>
      <w:proofErr w:type="spellEnd"/>
      <w:r w:rsidRPr="006F2173">
        <w:rPr>
          <w:lang w:val="cs-CZ"/>
        </w:rPr>
        <w:t xml:space="preserve"> </w:t>
      </w:r>
      <w:proofErr w:type="spellStart"/>
      <w:r w:rsidRPr="006F2173">
        <w:rPr>
          <w:lang w:val="cs-CZ"/>
        </w:rPr>
        <w:t>Quad</w:t>
      </w:r>
      <w:proofErr w:type="spellEnd"/>
      <w:r w:rsidRPr="006F2173">
        <w:rPr>
          <w:lang w:val="cs-CZ"/>
        </w:rPr>
        <w:t xml:space="preserve"> – 100% </w:t>
      </w:r>
      <w:proofErr w:type="spellStart"/>
      <w:r w:rsidRPr="006F2173">
        <w:rPr>
          <w:lang w:val="cs-CZ"/>
        </w:rPr>
        <w:t>alignment</w:t>
      </w:r>
      <w:proofErr w:type="spellEnd"/>
      <w:r w:rsidRPr="006F2173">
        <w:rPr>
          <w:lang w:val="cs-CZ"/>
        </w:rPr>
        <w:t xml:space="preserve"> </w:t>
      </w:r>
      <w:proofErr w:type="spellStart"/>
      <w:r w:rsidRPr="006F2173">
        <w:rPr>
          <w:lang w:val="cs-CZ"/>
        </w:rPr>
        <w:t>with</w:t>
      </w:r>
      <w:proofErr w:type="spellEnd"/>
      <w:r w:rsidRPr="006F2173">
        <w:rPr>
          <w:lang w:val="cs-CZ"/>
        </w:rPr>
        <w:t xml:space="preserve"> EU </w:t>
      </w:r>
      <w:proofErr w:type="spellStart"/>
      <w:r w:rsidRPr="006F2173">
        <w:rPr>
          <w:lang w:val="cs-CZ"/>
        </w:rPr>
        <w:t>Common</w:t>
      </w:r>
      <w:proofErr w:type="spellEnd"/>
      <w:r w:rsidRPr="006F2173">
        <w:rPr>
          <w:lang w:val="cs-CZ"/>
        </w:rPr>
        <w:t xml:space="preserve"> </w:t>
      </w:r>
      <w:proofErr w:type="spellStart"/>
      <w:r w:rsidRPr="006F2173">
        <w:rPr>
          <w:lang w:val="cs-CZ"/>
        </w:rPr>
        <w:t>Foreign</w:t>
      </w:r>
      <w:proofErr w:type="spellEnd"/>
      <w:r w:rsidRPr="006F2173">
        <w:rPr>
          <w:lang w:val="cs-CZ"/>
        </w:rPr>
        <w:t xml:space="preserve"> </w:t>
      </w:r>
      <w:proofErr w:type="spellStart"/>
      <w:r w:rsidRPr="006F2173">
        <w:rPr>
          <w:lang w:val="cs-CZ"/>
        </w:rPr>
        <w:t>Security</w:t>
      </w:r>
      <w:proofErr w:type="spellEnd"/>
      <w:r w:rsidRPr="006F2173">
        <w:rPr>
          <w:lang w:val="cs-CZ"/>
        </w:rPr>
        <w:t xml:space="preserve"> </w:t>
      </w:r>
      <w:proofErr w:type="spellStart"/>
      <w:r w:rsidRPr="006F2173">
        <w:rPr>
          <w:lang w:val="cs-CZ"/>
        </w:rPr>
        <w:t>Policy</w:t>
      </w:r>
      <w:proofErr w:type="spellEnd"/>
      <w:r w:rsidRPr="006F2173">
        <w:rPr>
          <w:lang w:val="cs-CZ"/>
        </w:rPr>
        <w:t xml:space="preserve"> (CFSP)“ (Čtyřkoalice pro západní Balkán – 100% sladění se společnou zahraniční a bezpečnostní politikou EU (SZBP));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Q.</w:t>
      </w:r>
      <w:r w:rsidRPr="006F2173">
        <w:rPr>
          <w:lang w:val="cs-CZ"/>
        </w:rPr>
        <w:tab/>
        <w:t>vzhledem k tomu, že EU musí prokázat jasnou politickou vůli podpořit kandidátské země a měla by výrazně posílit svou podmíněnou technickou a finanční podporu zacílenou na zásadní reformy, řešení dvoustranných sporů, hospodářské sbližování a regionální hospodářskou integraci v přistupujících zemích; vzhledem k tomu, že nový plán pro růst západního Balkánu si klade za cíl urychlit zásadní reformy, posílit integraci zemí do jednotného trhu EU a podpořit hospodářskou integraci regionu;</w:t>
      </w:r>
    </w:p>
    <w:p w:rsidR="000B13EE" w:rsidRPr="006F2173" w:rsidRDefault="000B13EE" w:rsidP="000B13EE">
      <w:pPr>
        <w:pStyle w:val="Normal12Hanging"/>
        <w:rPr>
          <w:bCs/>
          <w:iCs/>
          <w:szCs w:val="24"/>
          <w:lang w:val="cs-CZ"/>
        </w:rPr>
      </w:pPr>
      <w:r w:rsidRPr="006F2173">
        <w:rPr>
          <w:lang w:val="cs-CZ"/>
        </w:rPr>
        <w:t>R.</w:t>
      </w:r>
      <w:r w:rsidRPr="006F2173">
        <w:rPr>
          <w:lang w:val="cs-CZ"/>
        </w:rPr>
        <w:tab/>
        <w:t>vzhledem k tomu, že zlovolní zahraniční aktéři používají hybridní metody zasahování, aby ovlivnili a zmařili integraci EU;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S.</w:t>
      </w:r>
      <w:r w:rsidRPr="006F2173">
        <w:rPr>
          <w:lang w:val="cs-CZ"/>
        </w:rPr>
        <w:tab/>
        <w:t xml:space="preserve">vzhledem k tomu, že orgánem EU, který nejvíce podporuje rozšíření, je bezpochyby Parlament; vzhledem k tomu, že úloha Parlamentu zůstává během celého procesu rozšíření velmi omezená a měla by být posílena, aby se zvýšila demokratická legitimita a odpovědnost, a to i při hodnocení průběžných kroků přistoupení, mimo jiné </w:t>
      </w:r>
      <w:r w:rsidRPr="006F2173">
        <w:rPr>
          <w:lang w:val="cs-CZ"/>
        </w:rPr>
        <w:lastRenderedPageBreak/>
        <w:t>prostřednictvím pravidelných schůzí výborů a parlamentní kontroly předvstupních finančních nástrojů, za současného využití jeho stávajících nástrojů, včetně programů na podporu demokracie; vzhledem k tomu, že regionální a místní správa a organizace občanské společnosti by měly být strukturálně zahrnuty do procesu rozšíření a jeho kontroly;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T.</w:t>
      </w:r>
      <w:r w:rsidRPr="006F2173">
        <w:rPr>
          <w:lang w:val="cs-CZ"/>
        </w:rPr>
        <w:tab/>
        <w:t>vzhledem k tomu, že hlavní iniciativy jako Evropské politické společenství, které již uspořádalo tři oficiální schůze, umožňují politickou spolupráci a přispívají k regionálním dialogům v různých oblastech mezi EU a ostatními zeměmi, avšak nejsou alternativou ke členství v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U.</w:t>
      </w:r>
      <w:r w:rsidRPr="006F2173">
        <w:rPr>
          <w:lang w:val="cs-CZ"/>
        </w:rPr>
        <w:tab/>
        <w:t>vzhledem k tomu, že je třeba provést významné reformy před rozšířením, aby bylo zaručeno účinné fungování rozšířené EU a její schopnost přijímat nové členy a prosazovat jejich úspěšnou integraci, jakož i řádně reagovat na mnohé problémy, kterým v současnosti čelí; vzhledem k tomu, že to by mohlo znamenat významné změny v institucionálním rámci EU a možný pokrok v oblasti diferencovaných řešení integrace, pokud to umožňují Smlouvy; vzhledem k tomu, že o některých z těchto řešení se již nějakou dobu diskutuje; vzhledem k tomu, že v zájmu dosažení výše uvedeného by EU měla před důkladnější reformou v souvislosti s případnou revizí Smluv rovněž plně využít flexibilitu umožněnou Lisabonskou smlouvou;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V.</w:t>
      </w:r>
      <w:r w:rsidRPr="006F2173">
        <w:rPr>
          <w:lang w:val="cs-CZ"/>
        </w:rPr>
        <w:tab/>
        <w:t>vzhledem k tomu, že EU čelí značným výzvám při zajišťování účinného řešení krizí a zejména v postupech rozhodování, a vzhledem k tomu, že důvěryhodnost EU a její schopnost jednat včas a efektivně závisí na demokratickém a účinném rozhodování, a to tím spíše v rozšířené EU s třiceti nebo více členskými státy; vzhledem k tomu, že je zřejmé, že orgány a rozhodovací mechanismy EU, zejména v Radě, jsou nezpůsobilé pro Unii se zvýšeným počtem členských států; vzhledem k tomu, že politická vůle a účinné rozhodování vedoucí k včasným a koordinovaným opatřením na vnitřní i vnější úrovni mají zásadní význam pro ochranu zájmů EU a jejího globálního geopolitického vedení a důvěryhodnosti; vzhledem k tomu, že nedávné potíže s rozhodováním EU o sankcích potvrzují nezbytnost odklonu od jednomyslnosti; vzhledem k tomu, že důkladná reforma institucionálního rámce a řídicích struktur EU se zjednodušenými, účinnějšími a demokratičtějšími rozhodovacími postupy musí být v případě potřeby provedena souběžně s probíhajícími přístupovými jednáními;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W.</w:t>
      </w:r>
      <w:r w:rsidRPr="006F2173">
        <w:rPr>
          <w:lang w:val="cs-CZ"/>
        </w:rPr>
        <w:tab/>
        <w:t>vzhledem k tomu, že v konkrétních oblastech politiky by mohla být okamžitě použita překlenovací ustanovení pro přechod od jednomyslnosti k hlasování kvalifikovanou většinou; vzhledem k tomu, že Parlament zahájil postup revize Smluv a předložil Radě návrhy na změnu Smluv v souladu s čl. 48 odst. 2 Smlouvy o EU; vzhledem k tomu, že předsedkyně Komise oznámila během svého projevu v Evropském parlamentu dne 17. ledna 2024 nadcházející předložení sdělení o reformě Smluv, které připraví cestu diskusi v Evropské radě v blízké budoucnosti;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X.</w:t>
      </w:r>
      <w:r w:rsidRPr="006F2173">
        <w:rPr>
          <w:lang w:val="cs-CZ"/>
        </w:rPr>
        <w:tab/>
        <w:t>vzhledem k tomu, že Evropský parlament, Rada a Komise se zavázaly účinně navázat na závěry Konference o budoucnosti Evropy; vzhledem k tomu, že Konference o budoucnosti Evropy vyzvala EU, aby se dohodla na silné vizi a společné strategii, která by upevnila její jednotu a zlepšila rozhodovací schopnost EU s ohledem na budoucí rozšíření; vzhledem k tomu, že mnohé z těchto návrhů lze realizovat pouze v případě, že dojde ke změnám Smluv;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lang w:val="cs-CZ"/>
        </w:rPr>
      </w:pPr>
      <w:r w:rsidRPr="006F2173">
        <w:rPr>
          <w:lang w:val="cs-CZ"/>
        </w:rPr>
        <w:t>Y.</w:t>
      </w:r>
      <w:r w:rsidRPr="006F2173">
        <w:rPr>
          <w:lang w:val="cs-CZ"/>
        </w:rPr>
        <w:tab/>
        <w:t xml:space="preserve">vzhledem k tomu, že úpadek demokracie patří k největším hrozbám, kterým Evropská </w:t>
      </w:r>
      <w:r w:rsidRPr="006F2173">
        <w:rPr>
          <w:lang w:val="cs-CZ"/>
        </w:rPr>
        <w:lastRenderedPageBreak/>
        <w:t>unie čelí, a to jak uvnitř, tak navenek;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Z.</w:t>
      </w:r>
      <w:r w:rsidRPr="006F2173">
        <w:rPr>
          <w:lang w:val="cs-CZ"/>
        </w:rPr>
        <w:tab/>
        <w:t xml:space="preserve">vzhledem k tomu, že souběžně s příštím rozšířením musí být posílen i mechanismus zajišťující dodržování základních zásad a hodnot EU a </w:t>
      </w:r>
      <w:proofErr w:type="spellStart"/>
      <w:r w:rsidRPr="006F2173">
        <w:rPr>
          <w:i/>
          <w:iCs/>
          <w:lang w:val="cs-CZ"/>
        </w:rPr>
        <w:t>acquis</w:t>
      </w:r>
      <w:proofErr w:type="spellEnd"/>
      <w:r w:rsidRPr="006F2173">
        <w:rPr>
          <w:i/>
          <w:iCs/>
          <w:lang w:val="cs-CZ"/>
        </w:rPr>
        <w:t xml:space="preserve"> </w:t>
      </w:r>
      <w:proofErr w:type="spellStart"/>
      <w:r w:rsidRPr="006F2173">
        <w:rPr>
          <w:i/>
          <w:iCs/>
          <w:lang w:val="cs-CZ"/>
        </w:rPr>
        <w:t>communautaire</w:t>
      </w:r>
      <w:proofErr w:type="spellEnd"/>
      <w:r w:rsidRPr="006F2173">
        <w:rPr>
          <w:lang w:val="cs-CZ"/>
        </w:rPr>
        <w:t xml:space="preserve">; vzhledem k tomu, že provádění </w:t>
      </w:r>
      <w:proofErr w:type="spellStart"/>
      <w:r w:rsidRPr="006F2173">
        <w:rPr>
          <w:lang w:val="cs-CZ"/>
        </w:rPr>
        <w:t>acquis</w:t>
      </w:r>
      <w:proofErr w:type="spellEnd"/>
      <w:r w:rsidRPr="006F2173">
        <w:rPr>
          <w:lang w:val="cs-CZ"/>
        </w:rPr>
        <w:t xml:space="preserve"> by mělo být důkladně a objektivně sledováno u každého kandidátského státu;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AA.</w:t>
      </w:r>
      <w:r w:rsidRPr="006F2173">
        <w:rPr>
          <w:lang w:val="cs-CZ"/>
        </w:rPr>
        <w:tab/>
        <w:t>vzhledem k tomu, že rozšíření představuje pro EU zásadní finanční výzvu, zejména pokud jde o politiku soudržnosti a zemědělství, jakož i o další programy a politiky EU, i příležitost reformovat EU; vzhledem k tomu, že stávající i příští víceletý finanční rámec by měl být přezkoumán, upraven z hlediska priorit, řádně sestaven a významně posílen a jeho správa by měla být přehodnocena, aby umožnil a podpořil významné rozšíření EU, aniž by byla ohrožena podpora potřebná v současných členských státech; vzhledem k tomu, že tento finanční základ musí být připraven před rozšířením;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AB.</w:t>
      </w:r>
      <w:r w:rsidRPr="006F2173">
        <w:rPr>
          <w:lang w:val="cs-CZ"/>
        </w:rPr>
        <w:tab/>
        <w:t xml:space="preserve">vzhledem k tomu, že rekonstrukce a poválečná obnova Ukrajiny je další výzvou, již je třeba řešit v širším kontextu mezinárodního úsilí; 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szCs w:val="24"/>
          <w:lang w:val="cs-CZ"/>
        </w:rPr>
      </w:pPr>
      <w:r w:rsidRPr="006F2173">
        <w:rPr>
          <w:b/>
          <w:i/>
          <w:lang w:val="cs-CZ"/>
        </w:rPr>
        <w:t>Ke strategickému rozměru rozšíření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1.</w:t>
      </w:r>
      <w:r w:rsidRPr="006F2173">
        <w:rPr>
          <w:lang w:val="cs-CZ"/>
        </w:rPr>
        <w:tab/>
        <w:t>vítá aspiraci četných evropských zemí a jejich občanů připojit se k EU a uznává jejich politickou vůli a závažné úsilí, které vyvinuli s cílem splnit požadavky na členství;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2.</w:t>
      </w:r>
      <w:r w:rsidRPr="006F2173">
        <w:rPr>
          <w:lang w:val="cs-CZ"/>
        </w:rPr>
        <w:tab/>
        <w:t>je přesvědčen, že rozšíření má pro EU maximální strategický význam; znovu potvrzuje, že posílená politika rozšiřování se stala jednou z nejsilnějších politik a geopolitických nástrojů EU představujících geostrategickou investici do dlouhodobého míru, demokracie, stability, bezpečnosti, ochrany klimatu a prosperity napříč kontinentem a ještě více s ohledem na válečnou agresi Ruska vůči Ukrajině a další společné geopolitické problémy vyžadující dlouhodobou politickou vizi a odvážná rozhodnutí; zdůrazňuje, že je politicky naléhavé ukázat Rusku závazek EU k mezinárodnímu řádu založenému na pravidlech; trvá na tom, že vzhledem k velkým bezpečnostním problémům, kterým Evropa čelí, rozšíření EU a začlenění Ukrajiny do západních systémů kolektivní bezpečnosti a obrany posílí evropskou bezpečnost;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3.</w:t>
      </w:r>
      <w:r w:rsidRPr="006F2173">
        <w:rPr>
          <w:lang w:val="cs-CZ"/>
        </w:rPr>
        <w:tab/>
        <w:t>vítá doporučení Komise z balíčku týkajícího se rozšíření 2023 a dále vítá rozhodnutí Evropské rady zahájit přístupová jednání s Ukrajinou a Moldavskou republikou, udělit status kandidátské země Gruzii za předpokladu, že budou přijaty příslušné kroky stanovené v doporučení Komise ze dne 8. listopadu 2023, a zahájit přístupová jednání s Bosnou a Hercegovinou, jakmile bude dosaženo nezbytné míry souladu s kritérii pro členství; vyzývá Radu, aby pověřila Komisi okamžitým předložením návrhů příslušných rámců pro jednání a aby je přijala, jakmile budou provedeny relevantní kroky stanovené v příslušných doporučeních Komise ze dne 8. listopadu 2023;</w:t>
      </w:r>
    </w:p>
    <w:p w:rsidR="000B13EE" w:rsidRPr="006F2173" w:rsidRDefault="000B13EE" w:rsidP="000B13EE">
      <w:pPr>
        <w:pStyle w:val="Normal12Hanging"/>
        <w:rPr>
          <w:rFonts w:eastAsia="Calibri"/>
          <w:b/>
          <w:i/>
          <w:lang w:val="cs-CZ"/>
        </w:rPr>
      </w:pPr>
      <w:r w:rsidRPr="006F2173">
        <w:rPr>
          <w:b/>
          <w:i/>
          <w:lang w:val="cs-CZ"/>
        </w:rPr>
        <w:t>K postupům přistoupení a úloze Evropského parlamentu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4.</w:t>
      </w:r>
      <w:r w:rsidRPr="006F2173">
        <w:rPr>
          <w:lang w:val="cs-CZ"/>
        </w:rPr>
        <w:tab/>
        <w:t>uznává historickou příležitost a výzvu, jíž EU čelí a kterou je splnění jejích závazků vůči zemím a národům Albánie, Bosny a Hercegoviny, Severní Makedonie, Kosova, Černé Hory a Srbska a Ukrajiny, Moldavské republiky a Gruzie; uznává význam evropské integrace těchto zásadních partnerů; uznává rovněž význam regionální spolupráce v rámci příslušných regionů Východního partnerství a západního Balkánu;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5.</w:t>
      </w:r>
      <w:r w:rsidRPr="006F2173">
        <w:rPr>
          <w:lang w:val="cs-CZ"/>
        </w:rPr>
        <w:tab/>
        <w:t xml:space="preserve">opakuje názor, že za současných okolností nelze obnovit přístupový proces Turecka k </w:t>
      </w:r>
      <w:r w:rsidRPr="006F2173">
        <w:rPr>
          <w:lang w:val="cs-CZ"/>
        </w:rPr>
        <w:lastRenderedPageBreak/>
        <w:t>EU; naléhavě vyzývá tureckou vládu, aby překonala současnou patovou situaci a pokročila směrem k užšímu, dynamičtějšímu a strategičtějšímu partnerství vytvořením realistického souběžného rámce spolupráce, jako je modernizovaná dohoda o přidružení, a vyzývá Komisi, aby prozkoumala možné formáty takového rámce; připomíná, že jakékoli zlepšení vztahů mezi EU a Tureckem musí být založeno na hmatatelném pokroku v oblasti lidských práv, demokracie a zdvořilých sousedských vztahů;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6.</w:t>
      </w:r>
      <w:r w:rsidRPr="006F2173">
        <w:rPr>
          <w:lang w:val="cs-CZ"/>
        </w:rPr>
        <w:tab/>
        <w:t>zdůrazňuje, že přistoupení k EU musí být vždy výsledkem postupu založeného na zásluhách a že každý žadatel musí být posuzován podle svých vlastních zásluh z hlediska plnění kodaňských kritérií v plném rozsahu; podtrhuje, že v oblasti hodnot EU a základních zásad nelze činit ústupky; poukazuje na to, že právní stát, demokratická reforma, svoboda sdělovacích prostředků a dodržování lidských práv, včetně práv menšin, by měly být v procesu přistoupení v popředí zájmu, přičemž nezávislost soudů, boj proti korupci a posílení postavení občanské společnosti jsou zásadními předpoklady dosažení pokroku na cestě k členství v EU;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lang w:val="cs-CZ"/>
        </w:rPr>
      </w:pPr>
      <w:r w:rsidRPr="006F2173">
        <w:rPr>
          <w:lang w:val="cs-CZ"/>
        </w:rPr>
        <w:t>7.</w:t>
      </w:r>
      <w:r w:rsidRPr="006F2173">
        <w:rPr>
          <w:lang w:val="cs-CZ"/>
        </w:rPr>
        <w:tab/>
        <w:t>požaduje posílení účinných mechanismů monitorování za účelem ochrany základních hodnot a řádných finančních zájmů Unie v rámci postupů přistoupení; v tomto ohledu opakuje své výzvy, aby se kandidátské země zapojily do mechanismu právního státu EU a v rámci něj každoročně podávaly zprávy, čímž se automaticky aktivují předvstupní mechanismy pro spolupráci a ověřování; podporuje záměr Komise zahrnout přistupující země do zpráv o právním státu a trvá na tom, aby přispívaly k výročním zprávám o pokroku;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8.</w:t>
      </w:r>
      <w:r w:rsidRPr="006F2173">
        <w:rPr>
          <w:lang w:val="cs-CZ"/>
        </w:rPr>
        <w:tab/>
        <w:t>vybízí země zapojené do procesu rozšíření, aby i nadále rozhodně pokračovaly v provádění nezbytných reforem a dosáhly hmatatelného a nezvratného pokroku, počínaje základy procesu přistoupení k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9.</w:t>
      </w:r>
      <w:r w:rsidRPr="006F2173">
        <w:rPr>
          <w:lang w:val="cs-CZ"/>
        </w:rPr>
        <w:tab/>
        <w:t xml:space="preserve">trvá na tom, že je třeba neustále usilovat o podporu plurality médií, ochranu práv novinářů a zajištění svobody projevu ve všech kandidátských zemích; 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10.</w:t>
      </w:r>
      <w:r w:rsidRPr="006F2173">
        <w:rPr>
          <w:b/>
          <w:i/>
          <w:lang w:val="cs-CZ"/>
        </w:rPr>
        <w:tab/>
      </w:r>
      <w:r w:rsidRPr="006F2173">
        <w:rPr>
          <w:lang w:val="cs-CZ"/>
        </w:rPr>
        <w:t>poukazuje na to, že soulad se společnou zahraniční a bezpečnostní politikou EU je rovněž zásadním ukazatelem dodržování všech základních zásad EU a udržitelného budoucího členství; naléhavě vyzývá všechny kandidátské země a potenciální kandidátské země, aby upřednostnily rychlé a plné sladění se SZBP, a opakuje, že k přistoupení dané země může dojít až poté, co se tato země přizpůsobí omezujícím opatřením EU, včetně sankcí zavedených v reakci na válečnou agresi Ruska proti Ukrajině;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11.</w:t>
      </w:r>
      <w:r w:rsidRPr="006F2173">
        <w:rPr>
          <w:lang w:val="cs-CZ"/>
        </w:rPr>
        <w:tab/>
        <w:t>požaduje, aby byla důkladně zhodnocena strategie rozšíření EU a aby byly posouzeny důvody omezeného pokroku dosaženého některými zeměmi procesu rozšíření, zejména v oblasti právního státu, lidských práv a demokracie;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12.</w:t>
      </w:r>
      <w:r w:rsidRPr="006F2173">
        <w:rPr>
          <w:lang w:val="cs-CZ"/>
        </w:rPr>
        <w:tab/>
        <w:t>požaduje revidovanou metodologii Komise, která by měla být aktualizována tak, aby zahrnovala přístupové procesy Ukrajiny, Moldavské republiky a Gruzie, za dlouhodobý politický rámec řídící proces rozšíření;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lang w:val="cs-CZ"/>
        </w:rPr>
      </w:pPr>
      <w:r w:rsidRPr="006F2173">
        <w:rPr>
          <w:lang w:val="cs-CZ"/>
        </w:rPr>
        <w:t>13.</w:t>
      </w:r>
      <w:r w:rsidRPr="006F2173">
        <w:rPr>
          <w:lang w:val="cs-CZ"/>
        </w:rPr>
        <w:tab/>
        <w:t xml:space="preserve">zdůrazňuje, že ačkoli by se tento proces měl stát postupnějším a dynamičtějším a EU by měla pro každou přistupující zemi stanovit konkrétní individuální cíle reformy, plány a průběžný harmonogram, v souvislosti se členstvím nemohou být stanovovány žádné </w:t>
      </w:r>
      <w:r w:rsidRPr="006F2173">
        <w:rPr>
          <w:lang w:val="cs-CZ"/>
        </w:rPr>
        <w:lastRenderedPageBreak/>
        <w:t>zrychlené nebo předem dané lhůty, neboť by mohly narušit integritu procesu přistoupení; domnívá se však, že k příštímu rozšíření EU by mělo dojít, jakmile budou v dotčených kandidátských zemích splněny všechny podmínky přistoupení a souběžně budou dohodnuty a provedeny nezbytné evropské reformy; očekává, že první kandidátské země budou připraveny na vstup do Unie na konci tohoto desetiletí;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14.</w:t>
      </w:r>
      <w:r w:rsidRPr="006F2173">
        <w:rPr>
          <w:lang w:val="cs-CZ"/>
        </w:rPr>
        <w:tab/>
        <w:t>trvá na tom, že rozšíření EU je společnou odpovědností současných a kandidátských členských států; vyzývá členské státy, aby prokázaly jasný a jednoznačný politický závazek vůči procesu rozšíření na základě objektivních kritérií a aby jej nezneužívaly k urovnání dvoustranných sporů, které je třeba vyřešit odděleně od procesu přistoupení; zdůrazňuje, že přílišné zpoždění na cestě k plnému členství v EU může mít negativní dopad na veřejné mínění i politickou angažovanost kandidátských zemí;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15.</w:t>
      </w:r>
      <w:r w:rsidRPr="006F2173">
        <w:rPr>
          <w:lang w:val="cs-CZ"/>
        </w:rPr>
        <w:tab/>
        <w:t>poukazuje na to, že přístupové procesy mohou probíhat zvratným způsobem a že přístup založený na zásluhách může rovněž vést k zastavení přístupových jednání v případě zaostávání ohledně základních hodnot a tato jednání lze obnovit pouze po dosažení významného pokroku při reformách; požaduje spolehlivé a posílené monitorování, podávání zpráv a posuzování, pokud jde o reformy a pokrok dosažený kandidátskými zeměmi ve všech kapitolách jednání, se strategicky uplatňovanou cílenou podmíněností založenou na jasných kritériích pokroku, sankcionováním ústupu od základů nebo přetrvávající stagnace při reformách a odměňováním reforem a plnění kritérií prostřednictvím jasných časových plánů jednání;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16.</w:t>
      </w:r>
      <w:r w:rsidRPr="006F2173">
        <w:rPr>
          <w:lang w:val="cs-CZ"/>
        </w:rPr>
        <w:tab/>
        <w:t>vyzývá Komisi ke zlepšení soudržnosti, účinnosti a transparentnosti předvstupní pomoci, aby tak přidělování finančních prostředků z NPP III jasně odráželo priority v základních oblastech; požaduje zejména zavedení přísnější a vymahatelnější odpovědnosti za vynakládání předvstupních finančních nástrojů a zlepšení celkového cyklu jejich vyplácení, provádění a kontroly a uplatňování přísné podmíněnosti, mimo jiné při provádění hospodářského a investičního plánu a nového plánu pro růst pro západní Balkán; vyzývá Komisi, aby provedla přezkum nařízení o NPP III v polovině období a aby navrhla zařazení Ukrajiny, Moldavské republiky a Gruzie na seznam jeho příjemců; vyzývá Komisi, aby urychleně provedla doporučení ze zvláštní zprávy 01/2022 Evropského soudního dvora;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17.</w:t>
      </w:r>
      <w:r w:rsidRPr="006F2173">
        <w:rPr>
          <w:lang w:val="cs-CZ"/>
        </w:rPr>
        <w:tab/>
        <w:t>požaduje, aby byly v souvislosti s reformou Smluv prozkoumány možnosti dalšího posílení ochrany právního státu a demokratických hodnot EU, aby od nich jak stávající, tak budoucí členské státy neustupovaly, přičemž by se zajistilo, že rozšíření posílí EU a její jednotný trh;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18.</w:t>
      </w:r>
      <w:r w:rsidRPr="006F2173">
        <w:rPr>
          <w:b/>
          <w:i/>
          <w:lang w:val="cs-CZ"/>
        </w:rPr>
        <w:tab/>
      </w:r>
      <w:r w:rsidRPr="006F2173">
        <w:rPr>
          <w:lang w:val="cs-CZ"/>
        </w:rPr>
        <w:t>zdůrazňuje, že je třeba zajistit, aby finanční prostředky EU poskytované zemím zapojeným do procesu rozšíření byly v souladu s vlastními strategickými cíli a zájmy EU; vyzývá Komisi, aby finančně podporovala ty přistupující země, které usilují o dobré sousedské vztahy, inkluzivní regionální spolupráci a udržitelné usmíření, mimo jiné včetně stíhání válečných zločinců a zajištění přístupu k pravdě, spravedlnosti a účinnému odškodnění obětí válečných zločinů, zločinů proti lidskosti a genocidy;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19.</w:t>
      </w:r>
      <w:r w:rsidRPr="006F2173">
        <w:rPr>
          <w:lang w:val="cs-CZ"/>
        </w:rPr>
        <w:tab/>
        <w:t>vyzývá přistupující země, aby posílily justiční spolupráci s EU v trestních věcech podle pracovních ujednání s Úřadem evropského veřejného žalobce (EPPO), aby se usnadnilo účinné vyšetřování a trestní stíhání zneužívání finančních prostředků EU, mimo jiné prostřednictvím vyslání národních styčných úředníků k EPPO a zvýšení správní kapacity místních správních orgánů;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lastRenderedPageBreak/>
        <w:t>20.</w:t>
      </w:r>
      <w:r w:rsidRPr="006F2173">
        <w:rPr>
          <w:lang w:val="cs-CZ"/>
        </w:rPr>
        <w:tab/>
        <w:t>opakuje svůj postoj, že je zapotřebí posílená, formální, strukturovaná a systematická spolupráce mezi EU a Radou Evropy při podpoře přistupujících zemí při provádění reforem a zajišťování jejich souladu se všemi doporučeními Benátské komise na jejich cestě k členství v EU;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lang w:val="cs-CZ"/>
        </w:rPr>
      </w:pPr>
      <w:r w:rsidRPr="006F2173">
        <w:rPr>
          <w:lang w:val="cs-CZ"/>
        </w:rPr>
        <w:t>21.</w:t>
      </w:r>
      <w:r w:rsidRPr="006F2173">
        <w:rPr>
          <w:lang w:val="cs-CZ"/>
        </w:rPr>
        <w:tab/>
        <w:t>domnívá se, že výzva, již představuje rozšířená EU, vyžaduje posílenou politiku rozšiřování, která zavede jasnou postupnou cestu k členství v EU, včetně postupného zapojování do společných politik, jako je jednotný trh, pro země, které dokončí vyjednávání v dané politické kapitole nebo jež dosáhnou významného pokroku ohledně reforem souvisejících s EU; konstatuje, že takový pokrok by měl umožnit přístup k fondům EU v příslušných oblastech, aby vedl k jasným přínosům pro občany během celého procesu; podotýká, že tato cesta by měla být doprovázena zvýšenou technickou a podmíněnou finanční pomocí se zvláštním zaměřením na provádění a prosazování právních předpisů v rámci projednávaných okruhů o základech a vnějších vztazích, zejména kapitol 23, 24, 30 a 31; vyzývá Komisi, aby předložila podrobné návrhy týkající se metodiky postupného přistoupení, včetně jasných doložek o dokončení a vratnosti procesu; vyzdvihuje, že postupné zapojování kandidátských zemí do vybraných oblastí politiky s omezenými právy a povinnostmi není v žádném případě náhradou plnohodnotného členství či alternativou k němu;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22.</w:t>
      </w:r>
      <w:r w:rsidRPr="006F2173">
        <w:rPr>
          <w:lang w:val="cs-CZ"/>
        </w:rPr>
        <w:tab/>
        <w:t>uznává význam iniciativ jako Evropské politické společenství, které umožňují politickou spolupráci a přispívají k regionálním dialogům a jež by mohly usnadnit postupné začleňování kandidátských zemí do Unie a jejích politik, avšak nejsou alternativou k členství v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23.</w:t>
      </w:r>
      <w:r w:rsidRPr="006F2173">
        <w:rPr>
          <w:lang w:val="cs-CZ"/>
        </w:rPr>
        <w:tab/>
        <w:t>zdůrazňuje, že by mohlo být užitečné mít samostatnou pozici komisaře pro rozšíření;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24.</w:t>
      </w:r>
      <w:r w:rsidRPr="006F2173">
        <w:rPr>
          <w:lang w:val="cs-CZ"/>
        </w:rPr>
        <w:tab/>
        <w:t>navrhuje zvážit udělení statusu pozorovatele kandidátským zemím v příslušných orgánech a institucích, včetně Parlamentu, nejdříve na základě dočasných ujednání, pokud dostatečně pokročila vyjednávání, zejména ohledně okruhů o základech a vnějších vztazích, a byly splněny a dohodnuty všechny podmínky, a to do doby, než budou podepsány přístupové smlouvy; v této souvislosti vítá rozhodnutí Evropského hospodářského a sociálního výboru zahrnout od roku 2024 pozorovatele z kandidátských zemí;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25.</w:t>
      </w:r>
      <w:r w:rsidRPr="006F2173">
        <w:rPr>
          <w:lang w:val="cs-CZ"/>
        </w:rPr>
        <w:tab/>
        <w:t>domnívá se, že je třeba posílit rozhodování Evropského parlamentu a jeho dohled nad politikou rozšíření EU a jejím financováním, zvýšit jejich efektivnost a dát jim smysl, aby se zvýšila demokratická legitimita a odpovědnost; trvá na tom, aby byla úloha Parlamentu posílena v celém procesu přistoupení, včetně průběžných kroků, aby byla pokryta úplná kontrola pokroku dosaženého kandidátskými zeměmi ve všech oblastech politiky; zavazuje se k posílení pravidelného a transparentního dialogu a spolupráce s vnitrostátními parlamenty kandidátských zemí coby modelu parlamentní kontroly integrace EU;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26.</w:t>
      </w:r>
      <w:r w:rsidRPr="006F2173">
        <w:rPr>
          <w:lang w:val="cs-CZ"/>
        </w:rPr>
        <w:tab/>
        <w:t xml:space="preserve">zdůrazňuje, že je třeba posílit podporu demokracie prostřednictvím stávajících kanálů a nástrojů, jako je dialog Jeana </w:t>
      </w:r>
      <w:proofErr w:type="spellStart"/>
      <w:r w:rsidRPr="006F2173">
        <w:rPr>
          <w:lang w:val="cs-CZ"/>
        </w:rPr>
        <w:t>Monneta</w:t>
      </w:r>
      <w:proofErr w:type="spellEnd"/>
      <w:r w:rsidRPr="006F2173">
        <w:rPr>
          <w:lang w:val="cs-CZ"/>
        </w:rPr>
        <w:t>, mezistranický dialog a postup parlamentního dialogu;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27.</w:t>
      </w:r>
      <w:r w:rsidRPr="006F2173">
        <w:rPr>
          <w:lang w:val="cs-CZ"/>
        </w:rPr>
        <w:tab/>
        <w:t>vyzývá orgány EU a členské státy, aby se plně zapojily do dalšího posilování reformních procesů v kandidátských zemích, zejména jejich správní kapacity;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lastRenderedPageBreak/>
        <w:t>28.</w:t>
      </w:r>
      <w:r w:rsidRPr="006F2173">
        <w:rPr>
          <w:lang w:val="cs-CZ"/>
        </w:rPr>
        <w:tab/>
        <w:t>zdůrazňuje, že je třeba posílit transparentnost, účast občanů a úzké zapojení občanské společnosti do procesu rozšíření a jeho kontroly a zajistit jeho udržitelné financování;</w:t>
      </w:r>
    </w:p>
    <w:p w:rsidR="000B13EE" w:rsidRPr="006F2173" w:rsidRDefault="000B13EE" w:rsidP="000B13EE">
      <w:pPr>
        <w:pStyle w:val="NormalHanging12a"/>
      </w:pPr>
      <w:r w:rsidRPr="006F2173">
        <w:t>29.</w:t>
      </w:r>
      <w:r w:rsidRPr="006F2173">
        <w:tab/>
        <w:t xml:space="preserve">zdůrazňuje, že proces rozšíření nesmí neúmyslně udržovat nebo prohlubovat nerovnosti na základě sexuální orientace a genderové identity; naléhavě vyzývá Komisi a kandidátské země, aby do procesu rozšíření začlenily opatření, která aktivně podporují a zajišťují práva LGBTIQ osob, jako je rozvoj politik, které odstraňují diskriminaci na základě sexuální orientace a genderové identity, posilují účast LGBTIQ osob na rozhodovacích procesech a podporují </w:t>
      </w:r>
      <w:proofErr w:type="spellStart"/>
      <w:r w:rsidRPr="006F2173">
        <w:t>inkluzivitu</w:t>
      </w:r>
      <w:proofErr w:type="spellEnd"/>
      <w:r w:rsidRPr="006F2173">
        <w:t xml:space="preserve"> v politické, hospodářské a sociální oblasti prostřednictvím vzdělávání a osvětových činností; vyzývá Komisi a kandidátské země, aby řádně monitorovaly a vyhodnocovaly stav práv LGBTIQ osob v kandidátských zemích;</w:t>
      </w:r>
    </w:p>
    <w:p w:rsidR="000B13EE" w:rsidRPr="006F2173" w:rsidRDefault="000B13EE" w:rsidP="000B13EE">
      <w:pPr>
        <w:pStyle w:val="NormalHanging12a"/>
      </w:pPr>
      <w:r w:rsidRPr="006F2173">
        <w:t>30.</w:t>
      </w:r>
      <w:r w:rsidRPr="006F2173">
        <w:tab/>
        <w:t xml:space="preserve">domnívá se, že přístupový proces musí zajistit, aby kandidátské země zvýšily své úsilí v oblasti rovných práv osob se zdravotním postižením; zdůrazňuje, že je třeba zvýšit tlak na kandidátské země, aby prováděly reformy s cílem zlepšit situaci osob se zdravotním postižením a aby zvýšily své úsilí v oblasti </w:t>
      </w:r>
      <w:proofErr w:type="spellStart"/>
      <w:r w:rsidRPr="006F2173">
        <w:t>deinstitucionalizace</w:t>
      </w:r>
      <w:proofErr w:type="spellEnd"/>
      <w:r w:rsidRPr="006F2173">
        <w:t>, včetně přechodu z ústavní péče na péči rodinnou a komunitní;</w:t>
      </w:r>
    </w:p>
    <w:p w:rsidR="000B13EE" w:rsidRPr="006F2173" w:rsidRDefault="000B13EE" w:rsidP="000B13EE">
      <w:pPr>
        <w:pStyle w:val="Normal12Hanging"/>
        <w:rPr>
          <w:rFonts w:eastAsia="Calibri"/>
          <w:b/>
          <w:i/>
          <w:szCs w:val="24"/>
          <w:lang w:val="cs-CZ"/>
        </w:rPr>
      </w:pPr>
      <w:r w:rsidRPr="006F2173">
        <w:rPr>
          <w:b/>
          <w:i/>
          <w:lang w:val="cs-CZ"/>
        </w:rPr>
        <w:t>K evropským institucionálním a finančním reformám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31.</w:t>
      </w:r>
      <w:r w:rsidRPr="006F2173">
        <w:rPr>
          <w:lang w:val="cs-CZ"/>
        </w:rPr>
        <w:tab/>
        <w:t>domnívá se, že proces přípravy na rozšíření by měl probíhat souběžně v EU a přistupujících zemích; zdůrazňuje, že jsou nezbytné evropské institucionální a finanční reformy, aby bylo možné čelit současným problémům a zajistit schopnost EU přijímat nové členy a prosazovat jejich úspěšnou integraci; vyzývá orgány EU a členské státy, aby provedly nezbytné reformy s cílem zajistit, aby jejich absence nevedla ke zdržení přistoupení nových členských států; konstatuje, že tyto reformy jsou nezbytné k posílení EU a jejích orgánů proto, aby mohly prosazovat demokratickou legitimitu, řádnou správu, funkčnost, odpovědnost, transparentnost a udržitelnost; zdůrazňuje zejména, že je důležité posílit demokratickou legitimitu politik EU posílením rozhodovacích a kontrolních práv Parlamentu; opakuje proto své výzvy, aby bylo Parlamentu přiznáno obecné a přímé právo legislativního podnětu;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32.</w:t>
      </w:r>
      <w:r w:rsidRPr="006F2173">
        <w:rPr>
          <w:lang w:val="cs-CZ"/>
        </w:rPr>
        <w:tab/>
        <w:t>je pevně přesvědčen, že evropské institucionální reformy by měly zvýšit akceschopnost EU a měly by zahrnovat zjednodušené a účinnější rozhodovací postupy, které se odkloní od jednomyslnosti;</w:t>
      </w:r>
      <w:r w:rsidRPr="006F2173">
        <w:rPr>
          <w:b/>
          <w:i/>
          <w:lang w:val="cs-CZ"/>
        </w:rPr>
        <w:t xml:space="preserve"> </w:t>
      </w:r>
      <w:r w:rsidRPr="006F2173">
        <w:rPr>
          <w:lang w:val="cs-CZ"/>
        </w:rPr>
        <w:t>opakuje, že by mělo být zavedeno hlasování kvalifikovanou většinou v oblastech, jako jsou ochrana demokracie, lidských práv a právního státu, VFR, sankce a další příslušná rozhodnutí v oblasti zahraniční politiky, jako je zahájení jednání o přistoupení k EU, otevření a uzavření jednotlivých vyjednávacích skupin a sankce za ústup, avšak s výjimkou rozhodnutí o povolení vojenských misí nebo operací s výkonným mandátem;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33.</w:t>
      </w:r>
      <w:r w:rsidRPr="006F2173">
        <w:rPr>
          <w:lang w:val="cs-CZ"/>
        </w:rPr>
        <w:tab/>
        <w:t>vyzývá k tomu, aby byl před dalším kolem rozšíření posílen mechanismus ochrany právního státu a základních zásad a hodnot EU a monitorovací kapacita, která má zajišťovat soulad s kodaňskými kritérii; navrhuje reformovat postup podle článku 7 SEU tím, že se přestane používat jednomyslnost v rozhodnutích Rady, zavedou se jasné lhůty a Soudní dvůr se stane rozhodcem pro případy porušení; poukazuje na to, že zavedení hlasování kvalifikovanou většinou v tomto ohledu by usnadnilo proces rozšíření; zdůrazňuje potřebu další reformy mechanismu podmíněnosti právního státu, který by zahrnoval a zaručoval všechny základní hodnoty Unie definované v článku 2 Smlouvy o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lastRenderedPageBreak/>
        <w:t>34.</w:t>
      </w:r>
      <w:r w:rsidRPr="006F2173">
        <w:rPr>
          <w:lang w:val="cs-CZ"/>
        </w:rPr>
        <w:tab/>
        <w:t xml:space="preserve">domnívá se, že v souvislosti s plným členstvím je součástí řešení pro účinnou a prohloubenou rozšířenou EU diferencovaná integrace; zdůrazňuje však, že o respektování hodnot Unie, jak jsou stanoveny v článku 2 SEU, nelze vyjednávat, nemělo by být předmětem žádných odchylek ani ustanovení o výjimkách a že členství v EU musí vyžadovat silný závazek respektovat veškeré právní předpisy EU; má také za to, že v EU musí být vždy zajištěna široká shoda na tématech, která zahrnují oblasti, jako je celní unie, jednotný trh a jeho čtyři svobody, základní sociální </w:t>
      </w:r>
      <w:proofErr w:type="spellStart"/>
      <w:r w:rsidRPr="006F2173">
        <w:rPr>
          <w:i/>
          <w:iCs/>
          <w:lang w:val="cs-CZ"/>
        </w:rPr>
        <w:t>acquis</w:t>
      </w:r>
      <w:proofErr w:type="spellEnd"/>
      <w:r w:rsidRPr="006F2173">
        <w:rPr>
          <w:lang w:val="cs-CZ"/>
        </w:rPr>
        <w:t xml:space="preserve"> a zemědělská politika, politika hospodářské soutěže a obchodní politika; poznamenává, že nad rámec této shody by mělo být členským státům, které chtějí posunout evropskou integraci v širším souboru politických oblastí kupředu, umožněno, aby tak učinily; zdůrazňuje, že v rámci takového systému diferencované integrace by se všechny členské státy podílely na rozhodování o otázkách v oblasti, na níž se shodnou, ovšem na rozhodování o oblastech prohloubené integrace by se podílely pouze členské státy, které jsou ochotny se na nich podílet; konstatuje, že diferencovaná integrace znamená také diferencovaná finanční opatření; 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35.</w:t>
      </w:r>
      <w:r w:rsidRPr="006F2173">
        <w:rPr>
          <w:lang w:val="cs-CZ"/>
        </w:rPr>
        <w:tab/>
        <w:t>vyzývá, aby byla před důkladnější reformou v souvislosti s případnou revizí Smluv plně využita flexibilita umožněná Lisabonskou smlouvou; připomíná, že mnoho nástrojů týkajících se flexibility, např. překlenovací ustanovení, posílená spolupráce, konstruktivní zdržení se hlasování, stálá strukturovaná spolupráce (PESCO) a mechanismy neúčasti, je použitelných již v současném právním rámci EU, jak jasně ukazují zkušenosti ze schengenského prostoru, jednoho z největších dosažených úspěchů Unie, a eurozóny; upozorňuje, že v rámci postupů přistoupení lze vyjednat řešení postupného zapojování, dočasné výjimky a přechodná období; zdůrazňuje, že využití těchto mechanismů flexibility by nemělo bránit konstruktivním diskusím o revizi Smluv, jak schválil Parlament ve svém usnesení ze dne 22. listopadu 2023;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lang w:val="cs-CZ"/>
        </w:rPr>
      </w:pPr>
      <w:r w:rsidRPr="006F2173">
        <w:rPr>
          <w:lang w:val="cs-CZ"/>
        </w:rPr>
        <w:t>36.</w:t>
      </w:r>
      <w:r w:rsidRPr="006F2173">
        <w:rPr>
          <w:lang w:val="cs-CZ"/>
        </w:rPr>
        <w:tab/>
        <w:t>poznamenává, že institucionální reformy realizované před rozšířením se musí zabývat také důsledky rozšíření na složení Parlamentu; připomíná, že Evropský parlament je jedinou přímo volenou institucí zastupující občany EU; zdůrazňuje, že i když musí Parlament zajistit odpovídající demokratickou reprezentativnost, měl by si současně zachovat velikost, která mu umožní fungovat; upozorňuje však, že nelze vyloučit přiměřené zvýšení počtu členů Parlamentu, aby byla zajištěna dostatečná demokratická reprezentativnost v rozšířené EU;</w:t>
      </w:r>
      <w:r w:rsidRPr="006F2173">
        <w:rPr>
          <w:b/>
          <w:i/>
          <w:lang w:val="cs-CZ"/>
        </w:rPr>
        <w:t xml:space="preserve"> </w:t>
      </w:r>
      <w:r w:rsidRPr="006F2173">
        <w:rPr>
          <w:lang w:val="cs-CZ"/>
        </w:rPr>
        <w:t>trvá na novém systému přidělování mandátů založeném na pevně daném matematickém vzorci, který bude objektivní, spravedlivý, transparentní a udržitelný; připomíná svůj postoj, že rozdělení mandátů v Evropském parlamentu by mělo být zvažováno společně s hlasovacím systémem v Radě;</w:t>
      </w:r>
    </w:p>
    <w:p w:rsidR="000B13EE" w:rsidRPr="006F2173" w:rsidRDefault="000B13EE" w:rsidP="000B13EE">
      <w:pPr>
        <w:pStyle w:val="Normal12Hanging"/>
        <w:rPr>
          <w:b/>
          <w:bCs/>
          <w:i/>
          <w:iCs/>
          <w:lang w:val="cs-CZ"/>
        </w:rPr>
      </w:pPr>
      <w:r w:rsidRPr="006F2173">
        <w:rPr>
          <w:lang w:val="cs-CZ"/>
        </w:rPr>
        <w:t>37.</w:t>
      </w:r>
      <w:r w:rsidRPr="006F2173">
        <w:rPr>
          <w:lang w:val="cs-CZ"/>
        </w:rPr>
        <w:tab/>
        <w:t>zdůrazňuje potřebu urychlené revize fungování a rozhodovacího procesu Rady s ohledem na rozšíření; navrhuje přezkoumat systém rotujících předsednictví Rady; podotýká, že by měl být rovněž přehodnocen výpočet prahových hodnot pro hlasování kvalifikovanou většinou, aby se zlepšila rovnováha mezi většími a menšími státy a byly stanoveny vyšší prahové hodnoty pro nejdůležitější rozhodnutí; požaduje co nejvyšší transparentnost a integritu rozhodovacího procesu Rady v kontextu rozšíření;</w:t>
      </w:r>
    </w:p>
    <w:p w:rsidR="000B13EE" w:rsidRPr="006F2173" w:rsidRDefault="000B13EE" w:rsidP="000B13EE">
      <w:pPr>
        <w:pStyle w:val="Normal12Hanging"/>
        <w:rPr>
          <w:sz w:val="22"/>
          <w:lang w:val="cs-CZ"/>
        </w:rPr>
      </w:pPr>
      <w:r w:rsidRPr="006F2173">
        <w:rPr>
          <w:lang w:val="cs-CZ"/>
        </w:rPr>
        <w:t>38.</w:t>
      </w:r>
      <w:r w:rsidRPr="006F2173">
        <w:rPr>
          <w:lang w:val="cs-CZ"/>
        </w:rPr>
        <w:tab/>
        <w:t>konstatuje, že složení Komise musí zohlednit rozšíření, a v tomto ohledu připomíná flexibilitu stanovenou v Lisabonské smlouvě; zdůrazňuje, že jakékoli přehodnocení praxe jmenování jednoho komisaře na členský stát musí zajistit zeměpisně vyvážené složení Komise;</w:t>
      </w:r>
    </w:p>
    <w:p w:rsidR="000B13EE" w:rsidRPr="006F2173" w:rsidRDefault="000B13EE" w:rsidP="000B13EE">
      <w:pPr>
        <w:pStyle w:val="NormalHanging12a"/>
      </w:pPr>
      <w:r w:rsidRPr="006F2173">
        <w:t>39.</w:t>
      </w:r>
      <w:r w:rsidRPr="006F2173">
        <w:tab/>
        <w:t>opakuje svou výzvu k posílení nástrojů pro účast občanů na rozhodovacím procesu EU;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lastRenderedPageBreak/>
        <w:t>40.</w:t>
      </w:r>
      <w:r w:rsidRPr="006F2173">
        <w:rPr>
          <w:lang w:val="cs-CZ"/>
        </w:rPr>
        <w:tab/>
        <w:t xml:space="preserve">zdůrazňuje, že rozšíření představuje pro EU jak zásadní finanční výzvu, zejména pokud jde o politiku soudržnosti a zemědělství, tak příležitost reformovat EU; podotýká, že tato výzva vyžaduje řádně navržený a financovaný víceletý finanční rámec s náležitě stanovenými prioritami a účinnější rozpočet EU, který umožní Unii převzít nové závazky a zároveň pokračovat v plnění stávajících programů a politických priorit; dále zdůrazňuje, že pro splnění výzvy rozšíření je zapotřebí také dostatek dodatečných a skutečných vlastních zdrojů; poznamenává, že rozšířením se ještě umocňují další rostoucí nároky na financování EU v oblastech finanční stability, strategické autonomie, zdraví, energetiky, dekarbonizace, přechodu na čistou energii, ochrany životního prostředí, digitalizace, výzkumu a obrany a bezpečnosti; podtrhuje, že takové finanční reformy musí být zváženy souběžně s probíhajícími přístupovými jednáními a přijaty před rozšířením; prosazuje svůj postoj, že struktura současného i budoucího víceletého finančního rámce by měla být upravena a významně posílena, aby se zvýšila odolnost; zdůrazňuje, že je třeba zohlednit přistoupení nových členů při přípravě víceletého finančního rámce na období 2028–2034; </w:t>
      </w:r>
    </w:p>
    <w:p w:rsidR="000B13EE" w:rsidRPr="006F2173" w:rsidRDefault="000B13EE" w:rsidP="000B13EE">
      <w:pPr>
        <w:pStyle w:val="NormalHanging12a"/>
      </w:pPr>
      <w:r w:rsidRPr="006F2173">
        <w:t>41.</w:t>
      </w:r>
      <w:r w:rsidRPr="006F2173">
        <w:tab/>
        <w:t>vyzývá Komisi a kandidátské země, aby zaručily zvláštní úlohu malých a středních podniků jako hlavního pilíře pro posílení průmyslových politik a zvýšení schopnosti zemí uskutečnit spravedlivý přechod a přizpůsobit se technologickým výzvám na cestě k digitální transformaci podporující začlenění;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42.</w:t>
      </w:r>
      <w:r w:rsidRPr="006F2173">
        <w:rPr>
          <w:lang w:val="cs-CZ"/>
        </w:rPr>
        <w:tab/>
        <w:t>připomíná svou výzvu Radě, Komisi a ESVČ, aby zlepšily strategickou komunikaci a viditelnost týkající se vzájemných socioekonomických přínosů i výzev rozšíření jak v přistupujících zemích, tak v členských státech, prostřednictvím strategie účinné informační kampaně během celého procesu rozšíření, která ukáže hmatatelné výsledky probíhajícího procesu přistoupení a každého kola jednání;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43.</w:t>
      </w:r>
      <w:r w:rsidRPr="006F2173">
        <w:rPr>
          <w:lang w:val="cs-CZ"/>
        </w:rPr>
        <w:tab/>
        <w:t>připomíná svou výzvu k provádění doporučení zvláštního výboru pro zahraniční vměšování do všech demokratických procesů v Evropské unii, včetně dezinformací, zejména pomocí zesílení úsilí bojovat proti dezinformacím a zabraňovat zahraničnímu zlovolnému vměšování a pokusům podkopat demokracii a zmařit proces integrace do EU záměrným narušováním politické, hospodářské a sociální stability v kandidátských zemích;</w:t>
      </w:r>
    </w:p>
    <w:p w:rsidR="000B13EE" w:rsidRPr="006F2173" w:rsidRDefault="000B13EE" w:rsidP="000B13EE">
      <w:pPr>
        <w:pStyle w:val="Normal12Hanging"/>
        <w:rPr>
          <w:bCs/>
          <w:iCs/>
          <w:lang w:val="cs-CZ"/>
        </w:rPr>
      </w:pPr>
      <w:r w:rsidRPr="006F2173">
        <w:rPr>
          <w:lang w:val="cs-CZ"/>
        </w:rPr>
        <w:t>44.</w:t>
      </w:r>
      <w:r w:rsidRPr="006F2173">
        <w:rPr>
          <w:lang w:val="cs-CZ"/>
        </w:rPr>
        <w:tab/>
        <w:t>podotýká, že rekonstrukce a poválečná obnova Ukrajiny je vícerozměrnou výzvou, již je třeba řešit v širším kontextu mezinárodního úsilí; zdůrazňuje, že financování pro Ukrajinu musí pocházet z četných mezinárodních zdrojů, včetně zmrazených ruských aktiv; zdůrazňuje, že tyto investice jsou spojeny s finančním rizikem, a trvá na tom, že tento proces musí být úzce monitorován a začleněn do dobře navrženého, na míru vytvořeného legislativního rámce, který je odolný vůči korupci a podvodům; v této souvislosti rovněž vyzývá k urychlenému přijetí nařízení o zřízení nástroje pro Ukrajinu;</w:t>
      </w:r>
    </w:p>
    <w:p w:rsidR="000B13EE" w:rsidRPr="006F2173" w:rsidRDefault="000B13EE" w:rsidP="000B13EE">
      <w:pPr>
        <w:pStyle w:val="Normal12Hanging"/>
        <w:rPr>
          <w:szCs w:val="24"/>
          <w:lang w:val="cs-CZ"/>
        </w:rPr>
      </w:pPr>
      <w:r w:rsidRPr="006F2173">
        <w:rPr>
          <w:lang w:val="cs-CZ"/>
        </w:rPr>
        <w:t>45.</w:t>
      </w:r>
      <w:r w:rsidRPr="006F2173">
        <w:rPr>
          <w:lang w:val="cs-CZ"/>
        </w:rPr>
        <w:tab/>
        <w:t>vítá práci Komise zaměřenou na politiku před rozšířením a na přezkum financování a vyzývá, aby byly důkladně posouzeny dopady rozšíření;</w:t>
      </w:r>
      <w:r w:rsidRPr="006F2173">
        <w:rPr>
          <w:b/>
          <w:i/>
          <w:lang w:val="cs-CZ"/>
        </w:rPr>
        <w:t xml:space="preserve"> </w:t>
      </w:r>
      <w:r w:rsidRPr="006F2173">
        <w:rPr>
          <w:lang w:val="cs-CZ"/>
        </w:rPr>
        <w:t>podporuje vytvoření účinného mechanismu pro řešení konfliktů a zprostředkování podporovaného EU mimo rámec rozšíření, který by se věnoval podpoře usmíření a řešení dvoustranných otázek v přistupujících zemích a který by pomáhal nalézt a realizovat konečná závazná řešení regionálních a dvoustranných sporů a dědictví minulosti;</w:t>
      </w:r>
    </w:p>
    <w:p w:rsidR="000B13EE" w:rsidRPr="006F2173" w:rsidRDefault="000B13EE" w:rsidP="000B13EE">
      <w:pPr>
        <w:pStyle w:val="Normal12Hanging"/>
        <w:rPr>
          <w:lang w:val="cs-CZ"/>
        </w:rPr>
      </w:pPr>
      <w:r w:rsidRPr="006F2173">
        <w:rPr>
          <w:lang w:val="cs-CZ"/>
        </w:rPr>
        <w:t>46.</w:t>
      </w:r>
      <w:r w:rsidRPr="006F2173">
        <w:rPr>
          <w:lang w:val="cs-CZ"/>
        </w:rPr>
        <w:tab/>
        <w:t xml:space="preserve">požaduje, aby byly volby do Evropského parlamentu v roce 2024 pojaty jako příležitost </w:t>
      </w:r>
      <w:r w:rsidRPr="006F2173">
        <w:rPr>
          <w:lang w:val="cs-CZ"/>
        </w:rPr>
        <w:lastRenderedPageBreak/>
        <w:t xml:space="preserve">k debatě o procesu prohlubování a rozšiřování Evropské unie a o nezbytných evropských politických, institucionálních a finančních reformách a k představení jejich nutnosti a </w:t>
      </w:r>
      <w:proofErr w:type="gramStart"/>
      <w:r w:rsidRPr="006F2173">
        <w:rPr>
          <w:lang w:val="cs-CZ"/>
        </w:rPr>
        <w:t>přínosů ;</w:t>
      </w:r>
      <w:proofErr w:type="gramEnd"/>
      <w:r w:rsidRPr="006F2173">
        <w:rPr>
          <w:lang w:val="cs-CZ"/>
        </w:rPr>
        <w:t xml:space="preserve"> </w:t>
      </w:r>
    </w:p>
    <w:p w:rsidR="000B13EE" w:rsidRPr="006F2173" w:rsidRDefault="000B13EE" w:rsidP="000B13EE">
      <w:pPr>
        <w:pStyle w:val="Normal12Hanging"/>
        <w:jc w:val="center"/>
        <w:rPr>
          <w:rFonts w:eastAsiaTheme="minorHAnsi"/>
          <w:lang w:val="cs-CZ"/>
        </w:rPr>
      </w:pPr>
      <w:r w:rsidRPr="006F2173">
        <w:rPr>
          <w:lang w:val="cs-CZ"/>
        </w:rPr>
        <w:t>°</w:t>
      </w:r>
    </w:p>
    <w:p w:rsidR="000B13EE" w:rsidRPr="006F2173" w:rsidRDefault="000B13EE" w:rsidP="000B13EE">
      <w:pPr>
        <w:pStyle w:val="Normal12Hanging"/>
        <w:jc w:val="center"/>
        <w:rPr>
          <w:rFonts w:eastAsiaTheme="minorHAnsi"/>
          <w:lang w:val="cs-CZ"/>
        </w:rPr>
      </w:pPr>
      <w:r w:rsidRPr="006F2173">
        <w:rPr>
          <w:lang w:val="cs-CZ"/>
        </w:rPr>
        <w:t>°</w:t>
      </w:r>
      <w:r w:rsidRPr="006F2173">
        <w:rPr>
          <w:lang w:val="cs-CZ"/>
        </w:rPr>
        <w:tab/>
        <w:t>°</w:t>
      </w:r>
    </w:p>
    <w:p w:rsidR="000B13EE" w:rsidRPr="006F2173" w:rsidRDefault="000B13EE" w:rsidP="000B13EE">
      <w:pPr>
        <w:pStyle w:val="Normal12Hanging"/>
        <w:rPr>
          <w:rFonts w:eastAsiaTheme="minorHAnsi"/>
          <w:lang w:val="cs-CZ"/>
        </w:rPr>
      </w:pPr>
      <w:r w:rsidRPr="006F2173">
        <w:rPr>
          <w:lang w:val="cs-CZ"/>
        </w:rPr>
        <w:t>47.</w:t>
      </w:r>
      <w:r w:rsidRPr="006F2173">
        <w:rPr>
          <w:lang w:val="cs-CZ"/>
        </w:rPr>
        <w:tab/>
        <w:t>pověřuje svou předsedkyni, aby předala toto usnesení Radě, Komisi, místopředsedovi Komise, vysokému představiteli Unie pro zahraniční věci a bezpečnostní politiku, vládám a parlamentům členských států a vládám a parlamentům přistupujících zemí.</w:t>
      </w:r>
    </w:p>
    <w:sectPr w:rsidR="000B13EE" w:rsidRPr="006F2173" w:rsidSect="006F21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494" w:rsidRPr="006F2173" w:rsidRDefault="00033494">
      <w:r w:rsidRPr="006F2173">
        <w:separator/>
      </w:r>
    </w:p>
  </w:endnote>
  <w:endnote w:type="continuationSeparator" w:id="0">
    <w:p w:rsidR="00033494" w:rsidRPr="006F2173" w:rsidRDefault="00033494">
      <w:r w:rsidRPr="006F21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494" w:rsidRPr="006F2173" w:rsidRDefault="00033494">
      <w:r w:rsidRPr="006F2173">
        <w:separator/>
      </w:r>
    </w:p>
  </w:footnote>
  <w:footnote w:type="continuationSeparator" w:id="0">
    <w:p w:rsidR="00033494" w:rsidRPr="006F2173" w:rsidRDefault="00033494">
      <w:r w:rsidRPr="006F2173">
        <w:continuationSeparator/>
      </w:r>
    </w:p>
  </w:footnote>
  <w:footnote w:id="1">
    <w:p w:rsidR="000B13EE" w:rsidRPr="00523DC2" w:rsidRDefault="000B13EE" w:rsidP="006F2173">
      <w:pPr>
        <w:pStyle w:val="FootnoteText"/>
        <w:ind w:left="567" w:hanging="567"/>
        <w:rPr>
          <w:i/>
          <w:sz w:val="24"/>
          <w:lang w:val="cs-CZ"/>
        </w:rPr>
      </w:pPr>
      <w:r w:rsidRPr="00177B8E">
        <w:rPr>
          <w:rStyle w:val="FootnoteReference"/>
          <w:sz w:val="24"/>
          <w:lang w:val="cs-CZ"/>
        </w:rPr>
        <w:footnoteRef/>
      </w:r>
      <w:r w:rsidR="006F2173" w:rsidRPr="00523DC2">
        <w:rPr>
          <w:rStyle w:val="Emphasis"/>
          <w:i w:val="0"/>
          <w:sz w:val="24"/>
          <w:lang w:val="cs-CZ"/>
        </w:rPr>
        <w:t xml:space="preserve"> </w:t>
      </w:r>
      <w:r w:rsidR="006F2173" w:rsidRPr="00523DC2">
        <w:rPr>
          <w:rStyle w:val="Emphasis"/>
          <w:i w:val="0"/>
          <w:sz w:val="24"/>
          <w:lang w:val="cs-CZ"/>
        </w:rPr>
        <w:tab/>
      </w:r>
      <w:r w:rsidRPr="00523DC2">
        <w:rPr>
          <w:rStyle w:val="Emphasis"/>
          <w:i w:val="0"/>
          <w:sz w:val="24"/>
          <w:lang w:val="cs-CZ"/>
        </w:rPr>
        <w:t>Přijaté texty, P9_TA(2023)0471.</w:t>
      </w:r>
    </w:p>
  </w:footnote>
  <w:footnote w:id="2">
    <w:p w:rsidR="000B13EE" w:rsidRPr="00523DC2" w:rsidRDefault="000B13EE" w:rsidP="006F2173">
      <w:pPr>
        <w:pStyle w:val="FootnoteText"/>
        <w:ind w:left="567" w:hanging="567"/>
        <w:rPr>
          <w:i/>
          <w:sz w:val="24"/>
          <w:lang w:val="cs-CZ"/>
        </w:rPr>
      </w:pPr>
      <w:r w:rsidRPr="00177B8E">
        <w:rPr>
          <w:rStyle w:val="FootnoteReference"/>
          <w:rFonts w:eastAsiaTheme="majorEastAsia"/>
          <w:sz w:val="24"/>
          <w:lang w:val="cs-CZ"/>
        </w:rPr>
        <w:footnoteRef/>
      </w:r>
      <w:r w:rsidR="006F2173" w:rsidRPr="00177B8E">
        <w:rPr>
          <w:rStyle w:val="Emphasis"/>
          <w:sz w:val="24"/>
          <w:lang w:val="cs-CZ"/>
        </w:rPr>
        <w:t xml:space="preserve"> </w:t>
      </w:r>
      <w:r w:rsidR="006F2173" w:rsidRPr="00523DC2">
        <w:rPr>
          <w:rStyle w:val="Emphasis"/>
          <w:i w:val="0"/>
          <w:sz w:val="24"/>
          <w:lang w:val="cs-CZ"/>
        </w:rPr>
        <w:tab/>
      </w:r>
      <w:proofErr w:type="spellStart"/>
      <w:r w:rsidRPr="00523DC2">
        <w:rPr>
          <w:rStyle w:val="Emphasis"/>
          <w:i w:val="0"/>
          <w:sz w:val="24"/>
          <w:lang w:val="cs-CZ"/>
        </w:rPr>
        <w:t>Úř</w:t>
      </w:r>
      <w:proofErr w:type="spellEnd"/>
      <w:r w:rsidRPr="00523DC2">
        <w:rPr>
          <w:rStyle w:val="Emphasis"/>
          <w:i w:val="0"/>
          <w:sz w:val="24"/>
          <w:lang w:val="cs-CZ"/>
        </w:rPr>
        <w:t xml:space="preserve">. </w:t>
      </w:r>
      <w:proofErr w:type="spellStart"/>
      <w:proofErr w:type="gramStart"/>
      <w:r w:rsidRPr="00523DC2">
        <w:rPr>
          <w:rStyle w:val="Emphasis"/>
          <w:i w:val="0"/>
          <w:sz w:val="24"/>
          <w:lang w:val="cs-CZ"/>
        </w:rPr>
        <w:t>věst</w:t>
      </w:r>
      <w:proofErr w:type="spellEnd"/>
      <w:proofErr w:type="gramEnd"/>
      <w:r w:rsidRPr="00523DC2">
        <w:rPr>
          <w:rStyle w:val="Emphasis"/>
          <w:i w:val="0"/>
          <w:sz w:val="24"/>
          <w:lang w:val="cs-CZ"/>
        </w:rPr>
        <w:t xml:space="preserve">. C 167, </w:t>
      </w:r>
      <w:proofErr w:type="gramStart"/>
      <w:r w:rsidRPr="00523DC2">
        <w:rPr>
          <w:rStyle w:val="Emphasis"/>
          <w:i w:val="0"/>
          <w:sz w:val="24"/>
          <w:lang w:val="cs-CZ"/>
        </w:rPr>
        <w:t>11.5.2023</w:t>
      </w:r>
      <w:proofErr w:type="gramEnd"/>
      <w:r w:rsidRPr="00523DC2">
        <w:rPr>
          <w:rStyle w:val="Emphasis"/>
          <w:i w:val="0"/>
          <w:sz w:val="24"/>
          <w:lang w:val="cs-CZ"/>
        </w:rPr>
        <w:t>, s. 105.</w:t>
      </w:r>
    </w:p>
  </w:footnote>
  <w:footnote w:id="3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202, </w:t>
      </w:r>
      <w:proofErr w:type="gramStart"/>
      <w:r w:rsidRPr="006F2173">
        <w:rPr>
          <w:sz w:val="24"/>
          <w:lang w:val="cs-CZ"/>
        </w:rPr>
        <w:t>28.5.2021</w:t>
      </w:r>
      <w:proofErr w:type="gramEnd"/>
      <w:r w:rsidRPr="006F2173">
        <w:rPr>
          <w:sz w:val="24"/>
          <w:lang w:val="cs-CZ"/>
        </w:rPr>
        <w:t>, s. 86.</w:t>
      </w:r>
    </w:p>
  </w:footnote>
  <w:footnote w:id="4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C, C/2023/1066, </w:t>
      </w:r>
      <w:proofErr w:type="gramStart"/>
      <w:r w:rsidRPr="006F2173">
        <w:rPr>
          <w:sz w:val="24"/>
          <w:lang w:val="cs-CZ"/>
        </w:rPr>
        <w:t>15.12.2023</w:t>
      </w:r>
      <w:proofErr w:type="gramEnd"/>
      <w:r w:rsidRPr="006F2173">
        <w:rPr>
          <w:sz w:val="24"/>
          <w:lang w:val="cs-CZ"/>
        </w:rPr>
        <w:t>, ELI: http://data.europa.eu/eli/C/2023/1066/oj.</w:t>
      </w:r>
    </w:p>
  </w:footnote>
  <w:footnote w:id="5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C, C/2023/1065, </w:t>
      </w:r>
      <w:proofErr w:type="gramStart"/>
      <w:r w:rsidRPr="006F2173">
        <w:rPr>
          <w:sz w:val="24"/>
          <w:lang w:val="cs-CZ"/>
        </w:rPr>
        <w:t>15.12.2023</w:t>
      </w:r>
      <w:proofErr w:type="gramEnd"/>
      <w:r w:rsidRPr="006F2173">
        <w:rPr>
          <w:sz w:val="24"/>
          <w:lang w:val="cs-CZ"/>
        </w:rPr>
        <w:t>, ELI: http://data.europa.eu/eli/C/2023/1065/oj.</w:t>
      </w:r>
    </w:p>
  </w:footnote>
  <w:footnote w:id="6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r w:rsidRPr="006F2173">
        <w:rPr>
          <w:sz w:val="24"/>
          <w:lang w:val="cs-CZ"/>
        </w:rPr>
        <w:t>Přijaté texty, P9_TA(2023)0285.</w:t>
      </w:r>
    </w:p>
  </w:footnote>
  <w:footnote w:id="7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r w:rsidRPr="006F2173">
        <w:rPr>
          <w:sz w:val="24"/>
          <w:lang w:val="cs-CZ"/>
        </w:rPr>
        <w:t>Přijaté texty, P9_TA(2023)0284.</w:t>
      </w:r>
    </w:p>
  </w:footnote>
  <w:footnote w:id="8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479, </w:t>
      </w:r>
      <w:proofErr w:type="gramStart"/>
      <w:r w:rsidRPr="006F2173">
        <w:rPr>
          <w:sz w:val="24"/>
          <w:lang w:val="cs-CZ"/>
        </w:rPr>
        <w:t>16.12.2022</w:t>
      </w:r>
      <w:proofErr w:type="gramEnd"/>
      <w:r w:rsidRPr="006F2173">
        <w:rPr>
          <w:sz w:val="24"/>
          <w:lang w:val="cs-CZ"/>
        </w:rPr>
        <w:t>, s. 33.</w:t>
      </w:r>
    </w:p>
  </w:footnote>
  <w:footnote w:id="9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32, </w:t>
      </w:r>
      <w:proofErr w:type="gramStart"/>
      <w:r w:rsidRPr="006F2173">
        <w:rPr>
          <w:sz w:val="24"/>
          <w:lang w:val="cs-CZ"/>
        </w:rPr>
        <w:t>27.1.2023</w:t>
      </w:r>
      <w:proofErr w:type="gramEnd"/>
      <w:r w:rsidRPr="006F2173">
        <w:rPr>
          <w:sz w:val="24"/>
          <w:lang w:val="cs-CZ"/>
        </w:rPr>
        <w:t>, s. 63.</w:t>
      </w:r>
    </w:p>
  </w:footnote>
  <w:footnote w:id="10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362, </w:t>
      </w:r>
      <w:proofErr w:type="gramStart"/>
      <w:r w:rsidRPr="006F2173">
        <w:rPr>
          <w:sz w:val="24"/>
          <w:lang w:val="cs-CZ"/>
        </w:rPr>
        <w:t>8.9.2021</w:t>
      </w:r>
      <w:proofErr w:type="gramEnd"/>
      <w:r w:rsidRPr="006F2173">
        <w:rPr>
          <w:sz w:val="24"/>
          <w:lang w:val="cs-CZ"/>
        </w:rPr>
        <w:t>, s. 129.</w:t>
      </w:r>
    </w:p>
  </w:footnote>
  <w:footnote w:id="11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L 107, </w:t>
      </w:r>
      <w:proofErr w:type="gramStart"/>
      <w:r w:rsidRPr="006F2173">
        <w:rPr>
          <w:sz w:val="24"/>
          <w:lang w:val="cs-CZ"/>
        </w:rPr>
        <w:t>28.4.2009</w:t>
      </w:r>
      <w:proofErr w:type="gramEnd"/>
      <w:r w:rsidRPr="006F2173">
        <w:rPr>
          <w:sz w:val="24"/>
          <w:lang w:val="cs-CZ"/>
        </w:rPr>
        <w:t>, s</w:t>
      </w:r>
      <w:r w:rsidR="00511C51">
        <w:rPr>
          <w:sz w:val="24"/>
          <w:lang w:val="cs-CZ"/>
        </w:rPr>
        <w:t>.</w:t>
      </w:r>
      <w:r w:rsidRPr="006F2173">
        <w:rPr>
          <w:sz w:val="24"/>
          <w:lang w:val="cs-CZ"/>
        </w:rPr>
        <w:t xml:space="preserve"> 166.</w:t>
      </w:r>
    </w:p>
  </w:footnote>
  <w:footnote w:id="12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L 164, </w:t>
      </w:r>
      <w:proofErr w:type="gramStart"/>
      <w:r w:rsidRPr="006F2173">
        <w:rPr>
          <w:sz w:val="24"/>
          <w:lang w:val="cs-CZ"/>
        </w:rPr>
        <w:t>30.6.2015</w:t>
      </w:r>
      <w:proofErr w:type="gramEnd"/>
      <w:r w:rsidRPr="006F2173">
        <w:rPr>
          <w:sz w:val="24"/>
          <w:lang w:val="cs-CZ"/>
        </w:rPr>
        <w:t>, s. 2.</w:t>
      </w:r>
    </w:p>
  </w:footnote>
  <w:footnote w:id="13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L 261, </w:t>
      </w:r>
      <w:proofErr w:type="gramStart"/>
      <w:r w:rsidRPr="006F2173">
        <w:rPr>
          <w:sz w:val="24"/>
          <w:lang w:val="cs-CZ"/>
        </w:rPr>
        <w:t>30.8.2014</w:t>
      </w:r>
      <w:proofErr w:type="gramEnd"/>
      <w:r w:rsidRPr="006F2173">
        <w:rPr>
          <w:sz w:val="24"/>
          <w:lang w:val="cs-CZ"/>
        </w:rPr>
        <w:t>, s. 4.</w:t>
      </w:r>
    </w:p>
  </w:footnote>
  <w:footnote w:id="14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</w:t>
      </w:r>
      <w:r w:rsidR="00511C51">
        <w:rPr>
          <w:sz w:val="24"/>
          <w:lang w:val="cs-CZ"/>
        </w:rPr>
        <w:t xml:space="preserve">L </w:t>
      </w:r>
      <w:r w:rsidRPr="006F2173">
        <w:rPr>
          <w:sz w:val="24"/>
          <w:lang w:val="cs-CZ"/>
        </w:rPr>
        <w:t xml:space="preserve">260, </w:t>
      </w:r>
      <w:proofErr w:type="gramStart"/>
      <w:r w:rsidRPr="006F2173">
        <w:rPr>
          <w:sz w:val="24"/>
          <w:lang w:val="cs-CZ"/>
        </w:rPr>
        <w:t>30.8.2014</w:t>
      </w:r>
      <w:proofErr w:type="gramEnd"/>
      <w:r w:rsidRPr="006F2173">
        <w:rPr>
          <w:sz w:val="24"/>
          <w:lang w:val="cs-CZ"/>
        </w:rPr>
        <w:t>, s. 4.</w:t>
      </w:r>
    </w:p>
  </w:footnote>
  <w:footnote w:id="15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L 84, </w:t>
      </w:r>
      <w:proofErr w:type="gramStart"/>
      <w:r w:rsidRPr="006F2173">
        <w:rPr>
          <w:sz w:val="24"/>
          <w:lang w:val="cs-CZ"/>
        </w:rPr>
        <w:t>20.3.2004</w:t>
      </w:r>
      <w:proofErr w:type="gramEnd"/>
      <w:r w:rsidRPr="006F2173">
        <w:rPr>
          <w:sz w:val="24"/>
          <w:lang w:val="cs-CZ"/>
        </w:rPr>
        <w:t>, s. 13.</w:t>
      </w:r>
    </w:p>
  </w:footnote>
  <w:footnote w:id="16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="00523DC2">
        <w:rPr>
          <w:sz w:val="24"/>
          <w:lang w:val="cs-CZ"/>
        </w:rPr>
        <w:t>Úř</w:t>
      </w:r>
      <w:proofErr w:type="spellEnd"/>
      <w:r w:rsidR="00523DC2">
        <w:rPr>
          <w:sz w:val="24"/>
          <w:lang w:val="cs-CZ"/>
        </w:rPr>
        <w:t xml:space="preserve">. </w:t>
      </w:r>
      <w:proofErr w:type="spellStart"/>
      <w:proofErr w:type="gramStart"/>
      <w:r w:rsidR="00523DC2">
        <w:rPr>
          <w:sz w:val="24"/>
          <w:lang w:val="cs-CZ"/>
        </w:rPr>
        <w:t>věst</w:t>
      </w:r>
      <w:proofErr w:type="spellEnd"/>
      <w:proofErr w:type="gramEnd"/>
      <w:r w:rsidR="00523DC2">
        <w:rPr>
          <w:sz w:val="24"/>
          <w:lang w:val="cs-CZ"/>
        </w:rPr>
        <w:t xml:space="preserve">. L 361, </w:t>
      </w:r>
      <w:proofErr w:type="gramStart"/>
      <w:r w:rsidR="00523DC2">
        <w:rPr>
          <w:sz w:val="24"/>
          <w:lang w:val="cs-CZ"/>
        </w:rPr>
        <w:t>31.12.</w:t>
      </w:r>
      <w:r w:rsidR="006A2E67">
        <w:rPr>
          <w:sz w:val="24"/>
          <w:lang w:val="cs-CZ"/>
        </w:rPr>
        <w:t>19</w:t>
      </w:r>
      <w:r w:rsidRPr="006F2173">
        <w:rPr>
          <w:sz w:val="24"/>
          <w:lang w:val="cs-CZ"/>
        </w:rPr>
        <w:t>77</w:t>
      </w:r>
      <w:proofErr w:type="gramEnd"/>
      <w:r w:rsidRPr="006F2173">
        <w:rPr>
          <w:sz w:val="24"/>
          <w:lang w:val="cs-CZ"/>
        </w:rPr>
        <w:t>, s. 29.</w:t>
      </w:r>
    </w:p>
  </w:footnote>
  <w:footnote w:id="17">
    <w:p w:rsidR="000B13EE" w:rsidRPr="006F2173" w:rsidRDefault="000B13EE" w:rsidP="006F2173">
      <w:pPr>
        <w:pStyle w:val="FootnoteText"/>
        <w:ind w:left="567" w:hanging="567"/>
        <w:rPr>
          <w:sz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L 161, </w:t>
      </w:r>
      <w:proofErr w:type="gramStart"/>
      <w:r w:rsidRPr="006F2173">
        <w:rPr>
          <w:sz w:val="24"/>
          <w:lang w:val="cs-CZ"/>
        </w:rPr>
        <w:t>29.5.2014</w:t>
      </w:r>
      <w:proofErr w:type="gramEnd"/>
      <w:r w:rsidRPr="006F2173">
        <w:rPr>
          <w:sz w:val="24"/>
          <w:lang w:val="cs-CZ"/>
        </w:rPr>
        <w:t>, s. 3.</w:t>
      </w:r>
    </w:p>
  </w:footnote>
  <w:footnote w:id="18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rStyle w:val="FootnoteReference"/>
          <w:sz w:val="24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r w:rsidRPr="006F2173">
        <w:rPr>
          <w:sz w:val="24"/>
          <w:lang w:val="cs-CZ"/>
        </w:rPr>
        <w:t>Přijaté texty, P9_TA(2023)0357.</w:t>
      </w:r>
    </w:p>
  </w:footnote>
  <w:footnote w:id="19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L 330, </w:t>
      </w:r>
      <w:proofErr w:type="gramStart"/>
      <w:r w:rsidRPr="006F2173">
        <w:rPr>
          <w:sz w:val="24"/>
          <w:lang w:val="cs-CZ"/>
        </w:rPr>
        <w:t>20.9.2021</w:t>
      </w:r>
      <w:proofErr w:type="gramEnd"/>
      <w:r w:rsidRPr="006F2173">
        <w:rPr>
          <w:sz w:val="24"/>
          <w:lang w:val="cs-CZ"/>
        </w:rPr>
        <w:t>, s</w:t>
      </w:r>
      <w:r w:rsidR="00511C51">
        <w:rPr>
          <w:sz w:val="24"/>
          <w:lang w:val="cs-CZ"/>
        </w:rPr>
        <w:t>.</w:t>
      </w:r>
      <w:r w:rsidRPr="006F2173">
        <w:rPr>
          <w:sz w:val="24"/>
          <w:lang w:val="cs-CZ"/>
        </w:rPr>
        <w:t xml:space="preserve"> 1.</w:t>
      </w:r>
    </w:p>
  </w:footnote>
  <w:footnote w:id="20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r w:rsidR="00177B8E">
        <w:rPr>
          <w:sz w:val="24"/>
          <w:lang w:val="cs-CZ"/>
        </w:rPr>
        <w:t>REX/401-EESC-2014-</w:t>
      </w:r>
      <w:r w:rsidRPr="006F2173">
        <w:rPr>
          <w:sz w:val="24"/>
          <w:lang w:val="cs-CZ"/>
        </w:rPr>
        <w:t>1609.</w:t>
      </w:r>
    </w:p>
  </w:footnote>
  <w:footnote w:id="21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252, </w:t>
      </w:r>
      <w:proofErr w:type="gramStart"/>
      <w:r w:rsidRPr="006F2173">
        <w:rPr>
          <w:sz w:val="24"/>
          <w:lang w:val="cs-CZ"/>
        </w:rPr>
        <w:t>18.7.2018</w:t>
      </w:r>
      <w:proofErr w:type="gramEnd"/>
      <w:r w:rsidRPr="006F2173">
        <w:rPr>
          <w:sz w:val="24"/>
          <w:lang w:val="cs-CZ"/>
        </w:rPr>
        <w:t>, s. 215.</w:t>
      </w:r>
    </w:p>
  </w:footnote>
  <w:footnote w:id="22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r w:rsidRPr="006F2173">
        <w:rPr>
          <w:sz w:val="24"/>
          <w:lang w:val="cs-CZ"/>
        </w:rPr>
        <w:t>Přijaté texty, P9_TA(2023)0269.</w:t>
      </w:r>
    </w:p>
  </w:footnote>
  <w:footnote w:id="23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465, </w:t>
      </w:r>
      <w:proofErr w:type="gramStart"/>
      <w:r w:rsidRPr="006F2173">
        <w:rPr>
          <w:sz w:val="24"/>
          <w:lang w:val="cs-CZ"/>
        </w:rPr>
        <w:t>6.12.2022</w:t>
      </w:r>
      <w:proofErr w:type="gramEnd"/>
      <w:r w:rsidRPr="006F2173">
        <w:rPr>
          <w:sz w:val="24"/>
          <w:lang w:val="cs-CZ"/>
        </w:rPr>
        <w:t>, s. 109.</w:t>
      </w:r>
    </w:p>
  </w:footnote>
  <w:footnote w:id="24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proofErr w:type="spellStart"/>
      <w:r w:rsidRPr="006F2173">
        <w:rPr>
          <w:sz w:val="24"/>
          <w:lang w:val="cs-CZ"/>
        </w:rPr>
        <w:t>Úř</w:t>
      </w:r>
      <w:proofErr w:type="spellEnd"/>
      <w:r w:rsidRPr="006F2173">
        <w:rPr>
          <w:sz w:val="24"/>
          <w:lang w:val="cs-CZ"/>
        </w:rPr>
        <w:t xml:space="preserve">. </w:t>
      </w:r>
      <w:proofErr w:type="spellStart"/>
      <w:proofErr w:type="gramStart"/>
      <w:r w:rsidRPr="006F2173">
        <w:rPr>
          <w:sz w:val="24"/>
          <w:lang w:val="cs-CZ"/>
        </w:rPr>
        <w:t>věst</w:t>
      </w:r>
      <w:proofErr w:type="spellEnd"/>
      <w:proofErr w:type="gramEnd"/>
      <w:r w:rsidRPr="006F2173">
        <w:rPr>
          <w:sz w:val="24"/>
          <w:lang w:val="cs-CZ"/>
        </w:rPr>
        <w:t xml:space="preserve">. C 493, </w:t>
      </w:r>
      <w:proofErr w:type="gramStart"/>
      <w:r w:rsidRPr="006F2173">
        <w:rPr>
          <w:sz w:val="24"/>
          <w:lang w:val="cs-CZ"/>
        </w:rPr>
        <w:t>27.12.2022</w:t>
      </w:r>
      <w:proofErr w:type="gramEnd"/>
      <w:r w:rsidRPr="006F2173">
        <w:rPr>
          <w:sz w:val="24"/>
          <w:lang w:val="cs-CZ"/>
        </w:rPr>
        <w:t>, s. 130.</w:t>
      </w:r>
    </w:p>
  </w:footnote>
  <w:footnote w:id="25">
    <w:p w:rsidR="000B13EE" w:rsidRPr="006F2173" w:rsidRDefault="000B13EE" w:rsidP="006F2173">
      <w:pPr>
        <w:pStyle w:val="FootnoteText"/>
        <w:ind w:left="567" w:hanging="567"/>
        <w:rPr>
          <w:bCs/>
          <w:iCs/>
          <w:sz w:val="24"/>
          <w:szCs w:val="24"/>
          <w:lang w:val="cs-CZ"/>
        </w:rPr>
      </w:pPr>
      <w:r w:rsidRPr="006F2173">
        <w:rPr>
          <w:bCs/>
          <w:iCs/>
          <w:sz w:val="24"/>
          <w:szCs w:val="24"/>
          <w:vertAlign w:val="superscript"/>
          <w:lang w:val="cs-CZ"/>
        </w:rPr>
        <w:footnoteRef/>
      </w:r>
      <w:r w:rsidR="006F2173" w:rsidRPr="006F2173">
        <w:rPr>
          <w:sz w:val="24"/>
          <w:lang w:val="cs-CZ"/>
        </w:rPr>
        <w:t xml:space="preserve"> </w:t>
      </w:r>
      <w:r w:rsidR="006F2173" w:rsidRPr="006F2173">
        <w:rPr>
          <w:sz w:val="24"/>
          <w:lang w:val="cs-CZ"/>
        </w:rPr>
        <w:tab/>
      </w:r>
      <w:r w:rsidRPr="006F2173">
        <w:rPr>
          <w:sz w:val="24"/>
          <w:lang w:val="cs-CZ"/>
        </w:rPr>
        <w:t>Přijaté texty, P9_TA(2023)0427.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5/2024"/>
    <w:docVar w:name="dvlangue" w:val="CS"/>
    <w:docVar w:name="dvnumam" w:val="0"/>
    <w:docVar w:name="dvpe" w:val="752.948"/>
    <w:docVar w:name="dvrapporteur" w:val="Zpravodajové: "/>
    <w:docVar w:name="dvtitre" w:val="Usnesení Evropského parlamentu ze dne.... 2024 o prohloubení integrace EU s ohledem na budoucí rozšíření(2023/2114(INI))"/>
  </w:docVars>
  <w:rsids>
    <w:rsidRoot w:val="00033494"/>
    <w:rsid w:val="00002272"/>
    <w:rsid w:val="00033494"/>
    <w:rsid w:val="00064002"/>
    <w:rsid w:val="000677B9"/>
    <w:rsid w:val="000831BA"/>
    <w:rsid w:val="000A42CC"/>
    <w:rsid w:val="000B13EE"/>
    <w:rsid w:val="000E7DD9"/>
    <w:rsid w:val="0010095E"/>
    <w:rsid w:val="00125B37"/>
    <w:rsid w:val="00177B8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C51"/>
    <w:rsid w:val="00514517"/>
    <w:rsid w:val="00523DC2"/>
    <w:rsid w:val="00545827"/>
    <w:rsid w:val="00560270"/>
    <w:rsid w:val="005C2568"/>
    <w:rsid w:val="006037C0"/>
    <w:rsid w:val="006631B6"/>
    <w:rsid w:val="00680577"/>
    <w:rsid w:val="006A2E67"/>
    <w:rsid w:val="006F2173"/>
    <w:rsid w:val="006F74FA"/>
    <w:rsid w:val="00731ADD"/>
    <w:rsid w:val="00734777"/>
    <w:rsid w:val="00747932"/>
    <w:rsid w:val="00751A4A"/>
    <w:rsid w:val="00756632"/>
    <w:rsid w:val="00762C74"/>
    <w:rsid w:val="0077357C"/>
    <w:rsid w:val="00786EC0"/>
    <w:rsid w:val="007A1E1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DA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DA09E"/>
  <w15:chartTrackingRefBased/>
  <w15:docId w15:val="{716063D8-9DA6-4905-BE6B-B2C0A0E9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0B13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B13EE"/>
    <w:pPr>
      <w:spacing w:after="240"/>
      <w:ind w:left="567" w:hanging="567"/>
    </w:pPr>
  </w:style>
  <w:style w:type="paragraph" w:customStyle="1" w:styleId="EPComma">
    <w:name w:val="EPComma"/>
    <w:basedOn w:val="Normal"/>
    <w:rsid w:val="000B13EE"/>
    <w:pPr>
      <w:spacing w:before="480" w:after="240"/>
    </w:pPr>
    <w:rPr>
      <w:i/>
    </w:rPr>
  </w:style>
  <w:style w:type="character" w:customStyle="1" w:styleId="Normal12HangingChar">
    <w:name w:val="Normal12Hanging Char"/>
    <w:link w:val="Normal12Hanging"/>
    <w:locked/>
    <w:rsid w:val="000B13EE"/>
    <w:rPr>
      <w:sz w:val="24"/>
    </w:rPr>
  </w:style>
  <w:style w:type="paragraph" w:customStyle="1" w:styleId="Normal12Hanging">
    <w:name w:val="Normal12Hanging"/>
    <w:basedOn w:val="Normal"/>
    <w:link w:val="Normal12HangingChar"/>
    <w:rsid w:val="000B13EE"/>
    <w:pPr>
      <w:spacing w:after="240"/>
      <w:ind w:left="567" w:hanging="567"/>
    </w:pPr>
    <w:rPr>
      <w:lang w:val="en-GB"/>
    </w:rPr>
  </w:style>
  <w:style w:type="character" w:styleId="Emphasis">
    <w:name w:val="Emphasis"/>
    <w:basedOn w:val="DefaultParagraphFont"/>
    <w:uiPriority w:val="20"/>
    <w:qFormat/>
    <w:rsid w:val="000B13EE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0B13EE"/>
    <w:rPr>
      <w:sz w:val="24"/>
      <w:lang w:val="cs-CZ"/>
    </w:rPr>
  </w:style>
  <w:style w:type="paragraph" w:customStyle="1" w:styleId="Avistitre">
    <w:name w:val="Avis titre"/>
    <w:basedOn w:val="Normal"/>
    <w:rsid w:val="000B13EE"/>
    <w:pPr>
      <w:keepNext/>
      <w:snapToGrid w:val="0"/>
      <w:spacing w:after="240"/>
      <w:jc w:val="center"/>
    </w:pPr>
    <w:rPr>
      <w:rFonts w:ascii="Arial" w:hAnsi="Arial"/>
      <w:b/>
      <w:lang w:eastAsia="en-US"/>
    </w:rPr>
  </w:style>
  <w:style w:type="paragraph" w:styleId="BalloonText">
    <w:name w:val="Balloon Text"/>
    <w:basedOn w:val="Normal"/>
    <w:link w:val="BalloonTextChar"/>
    <w:rsid w:val="00D43D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3DA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1F7E4-6117-498A-B884-FB837960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5717</Words>
  <Characters>33805</Characters>
  <Application>Microsoft Office Word</Application>
  <DocSecurity>0</DocSecurity>
  <Lines>1165</Lines>
  <Paragraphs>564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2024-04-04T09:05:00Z</dcterms:created>
  <dcterms:modified xsi:type="dcterms:W3CDTF">2024-04-04T09:05:00Z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A9-0015/2024</vt:lpwstr>
  </property>
  <property fmtid="{D5CDD505-2E9C-101B-9397-08002B2CF9AE}" pid="4" name="&lt;Type&gt;">
    <vt:lpwstr>RR</vt:lpwstr>
  </property>
</Properties>
</file>