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134F" w:rsidTr="0010095E">
        <w:trPr>
          <w:trHeight w:hRule="exact" w:val="1418"/>
        </w:trPr>
        <w:tc>
          <w:tcPr>
            <w:tcW w:w="6804" w:type="dxa"/>
            <w:shd w:val="clear" w:color="auto" w:fill="auto"/>
            <w:vAlign w:val="center"/>
          </w:tcPr>
          <w:p w:rsidR="00751A4A" w:rsidRPr="00E9134F" w:rsidRDefault="00902BA8" w:rsidP="0010095E">
            <w:pPr>
              <w:pStyle w:val="EPName"/>
            </w:pPr>
            <w:r w:rsidRPr="00E9134F">
              <w:t>Europa-Parlamentet</w:t>
            </w:r>
          </w:p>
          <w:p w:rsidR="00751A4A" w:rsidRPr="001D28E2" w:rsidRDefault="00817416" w:rsidP="00756632">
            <w:pPr>
              <w:pStyle w:val="EPTerm"/>
              <w:rPr>
                <w:rStyle w:val="HideTWBExt"/>
                <w:noProof w:val="0"/>
                <w:vanish w:val="0"/>
                <w:color w:val="auto"/>
              </w:rPr>
            </w:pPr>
            <w:r w:rsidRPr="001D28E2">
              <w:t>2019-2024</w:t>
            </w:r>
          </w:p>
        </w:tc>
        <w:tc>
          <w:tcPr>
            <w:tcW w:w="2268" w:type="dxa"/>
            <w:shd w:val="clear" w:color="auto" w:fill="auto"/>
          </w:tcPr>
          <w:p w:rsidR="00751A4A" w:rsidRPr="00E9134F" w:rsidRDefault="00187494" w:rsidP="0010095E">
            <w:pPr>
              <w:pStyle w:val="EPLogo"/>
            </w:pPr>
            <w:r w:rsidRPr="00E913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134F" w:rsidRDefault="00D058B8" w:rsidP="004C5D52">
      <w:pPr>
        <w:pStyle w:val="LineTop"/>
      </w:pPr>
    </w:p>
    <w:p w:rsidR="00680577" w:rsidRPr="00E9134F" w:rsidRDefault="00902BA8" w:rsidP="00680577">
      <w:pPr>
        <w:pStyle w:val="EPBodyTA1"/>
      </w:pPr>
      <w:r w:rsidRPr="00E9134F">
        <w:t>VEDTAGNE TEKSTER</w:t>
      </w:r>
    </w:p>
    <w:p w:rsidR="00D058B8" w:rsidRPr="00E9134F" w:rsidRDefault="00D058B8" w:rsidP="00D058B8">
      <w:pPr>
        <w:pStyle w:val="LineBottom"/>
      </w:pPr>
    </w:p>
    <w:p w:rsidR="00902BA8" w:rsidRPr="001D28E2" w:rsidRDefault="00902BA8" w:rsidP="00902BA8">
      <w:pPr>
        <w:pStyle w:val="ATHeading1"/>
      </w:pPr>
      <w:bookmarkStart w:id="0" w:name="TANumber"/>
      <w:r w:rsidRPr="001D28E2">
        <w:t>P9_TA(2024)0</w:t>
      </w:r>
      <w:r w:rsidR="00CD2147">
        <w:t>120</w:t>
      </w:r>
      <w:bookmarkEnd w:id="0"/>
    </w:p>
    <w:p w:rsidR="00902BA8" w:rsidRPr="001D28E2" w:rsidRDefault="00902BA8" w:rsidP="00902BA8">
      <w:pPr>
        <w:pStyle w:val="ATHeading2"/>
      </w:pPr>
      <w:bookmarkStart w:id="1" w:name="title"/>
      <w:r w:rsidRPr="001D28E2">
        <w:t>Uddybning af EU-integrationen med henblik på fremtidige udvidelser</w:t>
      </w:r>
      <w:bookmarkEnd w:id="1"/>
    </w:p>
    <w:p w:rsidR="00902BA8" w:rsidRPr="00E9134F" w:rsidRDefault="00902BA8" w:rsidP="00902BA8">
      <w:pPr>
        <w:rPr>
          <w:i/>
          <w:vanish/>
        </w:rPr>
      </w:pPr>
      <w:r w:rsidRPr="00E9134F">
        <w:rPr>
          <w:i/>
        </w:rPr>
        <w:fldChar w:fldCharType="begin"/>
      </w:r>
      <w:r w:rsidRPr="00E9134F">
        <w:rPr>
          <w:i/>
        </w:rPr>
        <w:instrText xml:space="preserve"> TC"(</w:instrText>
      </w:r>
      <w:bookmarkStart w:id="2" w:name="DocNumber"/>
      <w:r w:rsidRPr="00E9134F">
        <w:rPr>
          <w:i/>
        </w:rPr>
        <w:instrText>A9-0015/2024</w:instrText>
      </w:r>
      <w:bookmarkEnd w:id="2"/>
      <w:r w:rsidRPr="00E9134F">
        <w:rPr>
          <w:i/>
        </w:rPr>
        <w:instrText xml:space="preserve"> - Ordfører</w:instrText>
      </w:r>
      <w:r w:rsidR="00F15569" w:rsidRPr="00E9134F">
        <w:rPr>
          <w:i/>
        </w:rPr>
        <w:instrText>e</w:instrText>
      </w:r>
      <w:r w:rsidRPr="00E9134F">
        <w:rPr>
          <w:i/>
        </w:rPr>
        <w:instrText xml:space="preserve">: Petras </w:instrText>
      </w:r>
      <w:proofErr w:type="spellStart"/>
      <w:r w:rsidRPr="00E9134F">
        <w:rPr>
          <w:i/>
        </w:rPr>
        <w:instrText>Auštrevičius</w:instrText>
      </w:r>
      <w:proofErr w:type="spellEnd"/>
      <w:r w:rsidRPr="00E9134F">
        <w:rPr>
          <w:i/>
        </w:rPr>
        <w:instrText xml:space="preserve">, Pedro Silva </w:instrText>
      </w:r>
      <w:proofErr w:type="spellStart"/>
      <w:r w:rsidRPr="00E9134F">
        <w:rPr>
          <w:i/>
        </w:rPr>
        <w:instrText>Pereira</w:instrText>
      </w:r>
      <w:proofErr w:type="spellEnd"/>
      <w:r w:rsidRPr="00E9134F">
        <w:rPr>
          <w:i/>
        </w:rPr>
        <w:instrText xml:space="preserve">)"\l3 \n&gt; \* MERGEFORMAT </w:instrText>
      </w:r>
      <w:r w:rsidRPr="00E9134F">
        <w:rPr>
          <w:i/>
        </w:rPr>
        <w:fldChar w:fldCharType="end"/>
      </w:r>
    </w:p>
    <w:p w:rsidR="00902BA8" w:rsidRPr="00E9134F" w:rsidRDefault="00902BA8" w:rsidP="00902BA8">
      <w:pPr>
        <w:rPr>
          <w:vanish/>
        </w:rPr>
      </w:pPr>
      <w:bookmarkStart w:id="3" w:name="Commission"/>
      <w:r w:rsidRPr="00E9134F">
        <w:rPr>
          <w:vanish/>
        </w:rPr>
        <w:t>Udenrigsudvalge</w:t>
      </w:r>
      <w:r w:rsidR="00F15569" w:rsidRPr="00E9134F">
        <w:rPr>
          <w:vanish/>
        </w:rPr>
        <w:t xml:space="preserve">t </w:t>
      </w:r>
      <w:r w:rsidR="00E9134F">
        <w:rPr>
          <w:vanish/>
        </w:rPr>
        <w:t xml:space="preserve">og </w:t>
      </w:r>
      <w:r w:rsidR="00F15569" w:rsidRPr="00E9134F">
        <w:rPr>
          <w:vanish/>
        </w:rPr>
        <w:t>Udvalget om Konstitutionelle Anliggender</w:t>
      </w:r>
      <w:r w:rsidRPr="00E9134F">
        <w:rPr>
          <w:vanish/>
        </w:rPr>
        <w:t xml:space="preserve"> </w:t>
      </w:r>
      <w:bookmarkEnd w:id="3"/>
    </w:p>
    <w:p w:rsidR="00902BA8" w:rsidRPr="00E9134F" w:rsidRDefault="00902BA8" w:rsidP="00902BA8">
      <w:pPr>
        <w:rPr>
          <w:vanish/>
        </w:rPr>
      </w:pPr>
      <w:bookmarkStart w:id="4" w:name="PE"/>
      <w:r w:rsidRPr="00E9134F">
        <w:rPr>
          <w:vanish/>
        </w:rPr>
        <w:t>PE752.948</w:t>
      </w:r>
      <w:bookmarkEnd w:id="4"/>
    </w:p>
    <w:p w:rsidR="00902BA8" w:rsidRPr="001D28E2" w:rsidRDefault="00902BA8" w:rsidP="00902BA8">
      <w:pPr>
        <w:pStyle w:val="ATHeading3"/>
      </w:pPr>
      <w:bookmarkStart w:id="5" w:name="Sujet"/>
      <w:r w:rsidRPr="001D28E2">
        <w:t>Europa-Parlamentets beslutning af 29. februar 2024 om uddybning af EU-integrationen med henblik på fremtidige udvidelser</w:t>
      </w:r>
      <w:bookmarkEnd w:id="5"/>
      <w:r w:rsidRPr="001D28E2">
        <w:t xml:space="preserve"> </w:t>
      </w:r>
      <w:bookmarkStart w:id="6" w:name="References"/>
      <w:r w:rsidRPr="001D28E2">
        <w:t>(2023/2114(INI))</w:t>
      </w:r>
      <w:bookmarkEnd w:id="6"/>
    </w:p>
    <w:p w:rsidR="005266C6" w:rsidRPr="00E9134F" w:rsidRDefault="005266C6" w:rsidP="005266C6">
      <w:pPr>
        <w:pStyle w:val="EPComma"/>
      </w:pPr>
      <w:bookmarkStart w:id="7" w:name="TextBodyBegin"/>
      <w:bookmarkEnd w:id="7"/>
      <w:r w:rsidRPr="00E9134F">
        <w:t>Europa-Parlamentet,</w:t>
      </w:r>
    </w:p>
    <w:p w:rsidR="005266C6" w:rsidRPr="00E9134F" w:rsidRDefault="005266C6" w:rsidP="005266C6">
      <w:pPr>
        <w:pStyle w:val="Normal12Hanging"/>
        <w:rPr>
          <w:bCs/>
          <w:iCs/>
          <w:szCs w:val="24"/>
          <w:lang w:val="da-DK"/>
        </w:rPr>
      </w:pPr>
      <w:r w:rsidRPr="00E9134F">
        <w:rPr>
          <w:szCs w:val="24"/>
          <w:lang w:val="da-DK"/>
        </w:rPr>
        <w:t>–</w:t>
      </w:r>
      <w:r w:rsidRPr="00E9134F">
        <w:rPr>
          <w:szCs w:val="24"/>
          <w:lang w:val="da-DK"/>
        </w:rPr>
        <w:tab/>
        <w:t>der henviser til traktaten om Den Europæiske Union (TEU), særlig artikel 5, stk. 3, artikel 48 og 49,</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traktaten om Den Europæiske Unions funktionsmåde,</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Rådets konklusioner fra december 2006 og marts 2020 samt konklusionerne fra Det Europæiske Råds formandskab i København den 21.-22. juni 1993, også kendt som Københavnskriterierne,</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 xml:space="preserve">der </w:t>
      </w:r>
      <w:r w:rsidR="00C03092">
        <w:rPr>
          <w:szCs w:val="24"/>
          <w:lang w:val="da-DK"/>
        </w:rPr>
        <w:t xml:space="preserve">henviser til sin beslutning af 13. </w:t>
      </w:r>
      <w:r w:rsidRPr="00E9134F">
        <w:rPr>
          <w:szCs w:val="24"/>
          <w:lang w:val="da-DK"/>
        </w:rPr>
        <w:t>december 2023 om 30 år med Københavnskriterierne – yderligere fremdrift for EU's udvidelsespolitik</w:t>
      </w:r>
      <w:r w:rsidRPr="00E9134F">
        <w:rPr>
          <w:rStyle w:val="FootnoteReference"/>
          <w:szCs w:val="24"/>
          <w:lang w:val="da-DK"/>
        </w:rPr>
        <w:footnoteReference w:id="1"/>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den europæiske konvention til beskyttelse af menneskerettigheder og grundlæggende frihedsrettigheder (den europæiske menneskerettighedskonvention – EMRK) samt til Den Europæiske Unions charter om grundlæggende rettigheder,</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 xml:space="preserve">der henviser til </w:t>
      </w:r>
      <w:proofErr w:type="spellStart"/>
      <w:r w:rsidRPr="00E9134F">
        <w:rPr>
          <w:szCs w:val="24"/>
          <w:lang w:val="da-DK"/>
        </w:rPr>
        <w:t>Ventotene</w:t>
      </w:r>
      <w:proofErr w:type="spellEnd"/>
      <w:r w:rsidRPr="00E9134F">
        <w:rPr>
          <w:szCs w:val="24"/>
          <w:lang w:val="da-DK"/>
        </w:rPr>
        <w:t>-manifestet,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sin henstilling af 23. november 2022 til Rådet, Kommissionen og næstformanden for Kommissionen/Unionens højtstående repræsentant for udenrigsanliggender og sikkerhedspolitik om EU's nye udvidelsesstrategi</w:t>
      </w:r>
      <w:r w:rsidRPr="00E9134F">
        <w:rPr>
          <w:rStyle w:val="FootnoteReference"/>
          <w:rFonts w:eastAsiaTheme="majorEastAsia"/>
          <w:szCs w:val="24"/>
          <w:lang w:val="da-DK"/>
        </w:rPr>
        <w:footnoteReference w:id="2"/>
      </w:r>
      <w:r w:rsidRPr="00E9134F">
        <w:rPr>
          <w:szCs w:val="24"/>
          <w:lang w:val="da-DK"/>
        </w:rPr>
        <w:t>,</w:t>
      </w:r>
    </w:p>
    <w:p w:rsidR="005266C6" w:rsidRPr="00E9134F" w:rsidRDefault="005266C6" w:rsidP="005266C6">
      <w:pPr>
        <w:pStyle w:val="Normal12Hanging"/>
        <w:rPr>
          <w:bCs/>
          <w:iCs/>
          <w:szCs w:val="24"/>
          <w:lang w:val="da-DK"/>
        </w:rPr>
      </w:pPr>
      <w:r w:rsidRPr="00E9134F">
        <w:rPr>
          <w:szCs w:val="24"/>
          <w:lang w:val="da-DK"/>
        </w:rPr>
        <w:t>–</w:t>
      </w:r>
      <w:r w:rsidRPr="00E9134F">
        <w:rPr>
          <w:szCs w:val="24"/>
          <w:lang w:val="da-DK"/>
        </w:rPr>
        <w:tab/>
        <w:t>der henviser til Regionsudvalgets udtalelse af 5.-6. juli 2022 om Kommissionens udvidelsespakke 2022 og til Regionsudvalgets formands erklæring af 8. november 2023 om Kommissionens udvidelsespakke 2023,</w:t>
      </w:r>
    </w:p>
    <w:p w:rsidR="005266C6" w:rsidRPr="00E9134F" w:rsidRDefault="005266C6" w:rsidP="005266C6">
      <w:pPr>
        <w:pStyle w:val="Normal12Hanging"/>
        <w:rPr>
          <w:bCs/>
          <w:iCs/>
          <w:szCs w:val="24"/>
          <w:lang w:val="da-DK"/>
        </w:rPr>
      </w:pPr>
      <w:r w:rsidRPr="00E9134F">
        <w:rPr>
          <w:szCs w:val="24"/>
          <w:lang w:val="da-DK"/>
        </w:rPr>
        <w:lastRenderedPageBreak/>
        <w:t>–</w:t>
      </w:r>
      <w:r w:rsidRPr="00E9134F">
        <w:rPr>
          <w:szCs w:val="24"/>
          <w:lang w:val="da-DK"/>
        </w:rPr>
        <w:tab/>
        <w:t>der henviser til Kommissionens rapport af 9. februar 2022 om samhørighed i Europa frem mod 2050,</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Det Europæiske Råds konklusioner af 23.-24. juni 2022, 29.-30. juni 2023, 26.-27. oktober 2023 og 14.-15. december 2023,</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Kommissionens analytiske rapporter af 2. februar 2023 om Ukraines (</w:t>
      </w:r>
      <w:proofErr w:type="gramStart"/>
      <w:r w:rsidRPr="00E9134F">
        <w:rPr>
          <w:szCs w:val="24"/>
          <w:lang w:val="da-DK"/>
        </w:rPr>
        <w:t>SWD(</w:t>
      </w:r>
      <w:proofErr w:type="gramEnd"/>
      <w:r w:rsidRPr="00E9134F">
        <w:rPr>
          <w:szCs w:val="24"/>
          <w:lang w:val="da-DK"/>
        </w:rPr>
        <w:t>2023)0030), Moldovas (SWD(2023)0032) og Georgiens (SWD(2023)0031) tilpasning til gældende EU-ret,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Kommissionens fælles meddelelse til Det Europæiske Råd af 29. november 2023 om status vedrørende de politiske, økonomiske og handelsmæssige forbindelser mellem EU og Tyrkiet (</w:t>
      </w:r>
      <w:proofErr w:type="gramStart"/>
      <w:r w:rsidRPr="00E9134F">
        <w:rPr>
          <w:szCs w:val="24"/>
          <w:lang w:val="da-DK"/>
        </w:rPr>
        <w:t>JOIN(</w:t>
      </w:r>
      <w:proofErr w:type="gramEnd"/>
      <w:r w:rsidRPr="00E9134F">
        <w:rPr>
          <w:szCs w:val="24"/>
          <w:lang w:val="da-DK"/>
        </w:rPr>
        <w:t>2023)0050),</w:t>
      </w:r>
    </w:p>
    <w:p w:rsidR="005266C6" w:rsidRPr="00E9134F" w:rsidRDefault="005266C6" w:rsidP="005266C6">
      <w:pPr>
        <w:pStyle w:val="Normal12Hanging"/>
        <w:rPr>
          <w:bCs/>
          <w:iCs/>
          <w:szCs w:val="24"/>
          <w:lang w:val="da-DK"/>
        </w:rPr>
      </w:pPr>
      <w:r w:rsidRPr="00E9134F">
        <w:rPr>
          <w:szCs w:val="24"/>
          <w:lang w:val="da-DK"/>
        </w:rPr>
        <w:t>–</w:t>
      </w:r>
      <w:r w:rsidRPr="00E9134F">
        <w:rPr>
          <w:szCs w:val="24"/>
          <w:lang w:val="da-DK"/>
        </w:rPr>
        <w:tab/>
        <w:t xml:space="preserve">der henviser til konklusionerne fra samlingen i Rådet for Almindelige Anliggender den 29.-30. april 1997 om anvendelse af </w:t>
      </w:r>
      <w:proofErr w:type="spellStart"/>
      <w:r w:rsidRPr="00E9134F">
        <w:rPr>
          <w:szCs w:val="24"/>
          <w:lang w:val="da-DK"/>
        </w:rPr>
        <w:t>konditionalitet</w:t>
      </w:r>
      <w:proofErr w:type="spellEnd"/>
      <w:r w:rsidRPr="00E9134F">
        <w:rPr>
          <w:szCs w:val="24"/>
          <w:lang w:val="da-DK"/>
        </w:rPr>
        <w:t xml:space="preserve"> for at udvikle en sammenhængende EU-strategi for forbindelserne med landene i </w:t>
      </w:r>
      <w:proofErr w:type="spellStart"/>
      <w:r w:rsidRPr="00E9134F">
        <w:rPr>
          <w:szCs w:val="24"/>
          <w:lang w:val="da-DK"/>
        </w:rPr>
        <w:t>Vestbalkanregionen</w:t>
      </w:r>
      <w:proofErr w:type="spellEnd"/>
      <w:r w:rsidRPr="00E9134F">
        <w:rPr>
          <w:szCs w:val="24"/>
          <w:lang w:val="da-DK"/>
        </w:rPr>
        <w:t>,</w:t>
      </w:r>
    </w:p>
    <w:p w:rsidR="005266C6" w:rsidRPr="00E9134F" w:rsidRDefault="005266C6" w:rsidP="005266C6">
      <w:pPr>
        <w:pStyle w:val="Normal12Hanging"/>
        <w:rPr>
          <w:bCs/>
          <w:iCs/>
          <w:szCs w:val="24"/>
          <w:lang w:val="da-DK"/>
        </w:rPr>
      </w:pPr>
      <w:r w:rsidRPr="00E9134F">
        <w:rPr>
          <w:szCs w:val="24"/>
          <w:lang w:val="da-DK"/>
        </w:rPr>
        <w:t>–</w:t>
      </w:r>
      <w:r w:rsidRPr="00E9134F">
        <w:rPr>
          <w:szCs w:val="24"/>
          <w:lang w:val="da-DK"/>
        </w:rPr>
        <w:tab/>
        <w:t>der henviser til sine tidligere beslutninger om spørgsmålet, navnlig beslutningen af 24. oktober 2019 om indledning af tiltrædelsesforhandlinger med Nordmakedonien og Albanien</w:t>
      </w:r>
      <w:r w:rsidRPr="00E9134F">
        <w:rPr>
          <w:rStyle w:val="FootnoteReference"/>
          <w:bCs/>
          <w:iCs/>
          <w:szCs w:val="24"/>
          <w:lang w:val="da-DK"/>
        </w:rPr>
        <w:footnoteReference w:id="3"/>
      </w:r>
      <w:r w:rsidRPr="00E9134F">
        <w:rPr>
          <w:szCs w:val="24"/>
          <w:lang w:val="da-DK"/>
        </w:rPr>
        <w:t>, og sine beslutninger om Kommissionens 2022-rapporter om Kosovo</w:t>
      </w:r>
      <w:r w:rsidRPr="00E9134F">
        <w:rPr>
          <w:rStyle w:val="FootnoteReference"/>
          <w:bCs/>
          <w:iCs/>
          <w:szCs w:val="24"/>
          <w:lang w:val="da-DK"/>
        </w:rPr>
        <w:footnoteReference w:id="4"/>
      </w:r>
      <w:r w:rsidRPr="00E9134F">
        <w:rPr>
          <w:szCs w:val="24"/>
          <w:lang w:val="da-DK"/>
        </w:rPr>
        <w:t>, Serbien</w:t>
      </w:r>
      <w:r w:rsidRPr="00E9134F">
        <w:rPr>
          <w:rStyle w:val="FootnoteReference"/>
          <w:bCs/>
          <w:iCs/>
          <w:szCs w:val="24"/>
          <w:lang w:val="da-DK"/>
        </w:rPr>
        <w:footnoteReference w:id="5"/>
      </w:r>
      <w:r w:rsidRPr="00E9134F">
        <w:rPr>
          <w:szCs w:val="24"/>
          <w:lang w:val="da-DK"/>
        </w:rPr>
        <w:t>, Albanien</w:t>
      </w:r>
      <w:r w:rsidRPr="00E9134F">
        <w:rPr>
          <w:rStyle w:val="FootnoteReference"/>
          <w:bCs/>
          <w:iCs/>
          <w:szCs w:val="24"/>
          <w:lang w:val="da-DK"/>
        </w:rPr>
        <w:footnoteReference w:id="6"/>
      </w:r>
      <w:r w:rsidRPr="00E9134F">
        <w:rPr>
          <w:szCs w:val="24"/>
          <w:lang w:val="da-DK"/>
        </w:rPr>
        <w:t>, Bosnien-Hercegovina</w:t>
      </w:r>
      <w:r w:rsidRPr="00E9134F">
        <w:rPr>
          <w:rStyle w:val="FootnoteReference"/>
          <w:bCs/>
          <w:iCs/>
          <w:szCs w:val="24"/>
          <w:lang w:val="da-DK"/>
        </w:rPr>
        <w:footnoteReference w:id="7"/>
      </w:r>
      <w:r w:rsidRPr="00E9134F">
        <w:rPr>
          <w:szCs w:val="24"/>
          <w:lang w:val="da-DK"/>
        </w:rPr>
        <w:t>, Nordmakedonien</w:t>
      </w:r>
      <w:r w:rsidRPr="00E9134F">
        <w:rPr>
          <w:rStyle w:val="FootnoteReference"/>
          <w:bCs/>
          <w:iCs/>
          <w:szCs w:val="24"/>
          <w:lang w:val="da-DK"/>
        </w:rPr>
        <w:footnoteReference w:id="8"/>
      </w:r>
      <w:r w:rsidRPr="00E9134F">
        <w:rPr>
          <w:szCs w:val="24"/>
          <w:lang w:val="da-DK"/>
        </w:rPr>
        <w:t xml:space="preserve"> og Montenegro</w:t>
      </w:r>
      <w:r w:rsidRPr="00E9134F">
        <w:rPr>
          <w:rStyle w:val="FootnoteReference"/>
          <w:bCs/>
          <w:iCs/>
          <w:szCs w:val="24"/>
          <w:lang w:val="da-DK"/>
        </w:rPr>
        <w:footnoteReference w:id="9"/>
      </w:r>
      <w:r w:rsidRPr="00E9134F">
        <w:rPr>
          <w:szCs w:val="24"/>
          <w:lang w:val="da-DK"/>
        </w:rPr>
        <w:t>,</w:t>
      </w:r>
    </w:p>
    <w:p w:rsidR="005266C6" w:rsidRPr="00E9134F" w:rsidRDefault="005266C6" w:rsidP="005266C6">
      <w:pPr>
        <w:pStyle w:val="Normal12Hanging"/>
        <w:rPr>
          <w:rFonts w:eastAsiaTheme="minorEastAsia"/>
          <w:szCs w:val="24"/>
          <w:lang w:val="da-DK"/>
        </w:rPr>
      </w:pPr>
      <w:r w:rsidRPr="00E9134F">
        <w:rPr>
          <w:szCs w:val="24"/>
          <w:lang w:val="da-DK"/>
        </w:rPr>
        <w:t>–</w:t>
      </w:r>
      <w:r w:rsidRPr="00E9134F">
        <w:rPr>
          <w:szCs w:val="24"/>
          <w:lang w:val="da-DK"/>
        </w:rPr>
        <w:tab/>
        <w:t>der henviser til sin henstilling af 19. juni 2020 til Rådet, Kommissionen og næstformanden for Kommissionen/Unionens højtstående repræsentant for udenrigsanliggender og sikkerhedspolitik om Vestbalkan efter topmødet i 2020</w:t>
      </w:r>
      <w:r w:rsidRPr="00E9134F">
        <w:rPr>
          <w:rStyle w:val="FootnoteReference"/>
          <w:rFonts w:eastAsiaTheme="majorEastAsia"/>
          <w:szCs w:val="24"/>
          <w:lang w:val="da-DK"/>
        </w:rPr>
        <w:footnoteReference w:id="10"/>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Det Europæiske Råds konklusioner af 19.-20. juni 2003 samt Thessalonikidagsordenen for landene på Vestbalkan,</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EU's associeringsaftaler med Albanien</w:t>
      </w:r>
      <w:r w:rsidRPr="00E9134F">
        <w:rPr>
          <w:rStyle w:val="FootnoteReference"/>
          <w:bCs/>
          <w:iCs/>
          <w:szCs w:val="24"/>
          <w:lang w:val="da-DK"/>
        </w:rPr>
        <w:footnoteReference w:id="11"/>
      </w:r>
      <w:r w:rsidRPr="00E9134F">
        <w:rPr>
          <w:szCs w:val="24"/>
          <w:lang w:val="da-DK"/>
        </w:rPr>
        <w:t>, Bosnien-Hercegovina</w:t>
      </w:r>
      <w:r w:rsidRPr="00E9134F">
        <w:rPr>
          <w:rStyle w:val="FootnoteReference"/>
          <w:bCs/>
          <w:iCs/>
          <w:szCs w:val="24"/>
          <w:lang w:val="da-DK"/>
        </w:rPr>
        <w:footnoteReference w:id="12"/>
      </w:r>
      <w:r w:rsidRPr="00E9134F">
        <w:rPr>
          <w:szCs w:val="24"/>
          <w:lang w:val="da-DK"/>
        </w:rPr>
        <w:t>, Georgien</w:t>
      </w:r>
      <w:r w:rsidRPr="00E9134F">
        <w:rPr>
          <w:rStyle w:val="FootnoteReference"/>
          <w:bCs/>
          <w:iCs/>
          <w:szCs w:val="24"/>
          <w:lang w:val="da-DK"/>
        </w:rPr>
        <w:footnoteReference w:id="13"/>
      </w:r>
      <w:r w:rsidRPr="00E9134F">
        <w:rPr>
          <w:szCs w:val="24"/>
          <w:lang w:val="da-DK"/>
        </w:rPr>
        <w:t>, Kosovo, Republikken Moldova</w:t>
      </w:r>
      <w:r w:rsidRPr="00E9134F">
        <w:rPr>
          <w:rStyle w:val="FootnoteReference"/>
          <w:bCs/>
          <w:iCs/>
          <w:szCs w:val="24"/>
          <w:lang w:val="da-DK"/>
        </w:rPr>
        <w:footnoteReference w:id="14"/>
      </w:r>
      <w:r w:rsidRPr="00E9134F">
        <w:rPr>
          <w:szCs w:val="24"/>
          <w:lang w:val="da-DK"/>
        </w:rPr>
        <w:t>, Montenegro, Nordmakedonien</w:t>
      </w:r>
      <w:r w:rsidRPr="00E9134F">
        <w:rPr>
          <w:rStyle w:val="FootnoteReference"/>
          <w:bCs/>
          <w:iCs/>
          <w:szCs w:val="24"/>
          <w:lang w:val="da-DK"/>
        </w:rPr>
        <w:footnoteReference w:id="15"/>
      </w:r>
      <w:r w:rsidRPr="00E9134F">
        <w:rPr>
          <w:szCs w:val="24"/>
          <w:lang w:val="da-DK"/>
        </w:rPr>
        <w:t>, Serbien, Tyrkiet</w:t>
      </w:r>
      <w:r w:rsidRPr="00E9134F">
        <w:rPr>
          <w:rStyle w:val="FootnoteReference"/>
          <w:szCs w:val="24"/>
          <w:lang w:val="da-DK"/>
        </w:rPr>
        <w:footnoteReference w:id="16"/>
      </w:r>
      <w:r w:rsidRPr="00E9134F">
        <w:rPr>
          <w:szCs w:val="24"/>
          <w:lang w:val="da-DK"/>
        </w:rPr>
        <w:t xml:space="preserve"> og Ukraine</w:t>
      </w:r>
      <w:r w:rsidRPr="00E9134F">
        <w:rPr>
          <w:rStyle w:val="FootnoteReference"/>
          <w:bCs/>
          <w:iCs/>
          <w:szCs w:val="24"/>
          <w:lang w:val="da-DK"/>
        </w:rPr>
        <w:footnoteReference w:id="17"/>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lastRenderedPageBreak/>
        <w:t>–</w:t>
      </w:r>
      <w:r w:rsidRPr="00E9134F">
        <w:rPr>
          <w:szCs w:val="24"/>
          <w:lang w:val="da-DK"/>
        </w:rPr>
        <w:tab/>
        <w:t>der henviser til forslag til Europa-Parlamentets og Rådets forordning om oprettelse af reform- og vækstfaciliteten for landene på Vestbalkan (</w:t>
      </w:r>
      <w:proofErr w:type="gramStart"/>
      <w:r w:rsidRPr="00E9134F">
        <w:rPr>
          <w:szCs w:val="24"/>
          <w:lang w:val="da-DK"/>
        </w:rPr>
        <w:t>COM(</w:t>
      </w:r>
      <w:proofErr w:type="gramEnd"/>
      <w:r w:rsidRPr="00E9134F">
        <w:rPr>
          <w:szCs w:val="24"/>
          <w:lang w:val="da-DK"/>
        </w:rPr>
        <w:t>2023)0692),</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Kommissionens meddelelse af 5. februar 2020 med titlen "Styrkelse af tiltrædelsesprocessen – Et troværdigt EU-perspektiv for landene på Vestbalkan" (</w:t>
      </w:r>
      <w:proofErr w:type="gramStart"/>
      <w:r w:rsidRPr="00E9134F">
        <w:rPr>
          <w:szCs w:val="24"/>
          <w:lang w:val="da-DK"/>
        </w:rPr>
        <w:t>COM(</w:t>
      </w:r>
      <w:proofErr w:type="gramEnd"/>
      <w:r w:rsidRPr="00E9134F">
        <w:rPr>
          <w:szCs w:val="24"/>
          <w:lang w:val="da-DK"/>
        </w:rPr>
        <w:t>2020)0057) og til Kommissionens strategi for "Et troværdigt udvidelsesperspektiv for landene på Vestbalkan og et øget engagement heri fra Den Europæiske Unions side" fra februar 2018,</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sin beslutning af 23. juni 2022 om status som kandidatland for Ukraine, Republikken Moldova og Georgien,</w:t>
      </w:r>
    </w:p>
    <w:p w:rsidR="005266C6" w:rsidRPr="00E9134F" w:rsidRDefault="005266C6" w:rsidP="005266C6">
      <w:pPr>
        <w:pStyle w:val="Normal12Hanging"/>
        <w:keepLines/>
        <w:rPr>
          <w:rFonts w:eastAsia="Calibri"/>
          <w:bCs/>
          <w:iCs/>
          <w:szCs w:val="24"/>
          <w:lang w:val="da-DK"/>
        </w:rPr>
      </w:pPr>
      <w:r w:rsidRPr="00E9134F">
        <w:rPr>
          <w:szCs w:val="24"/>
          <w:lang w:val="da-DK"/>
        </w:rPr>
        <w:t>–</w:t>
      </w:r>
      <w:r w:rsidRPr="00E9134F">
        <w:rPr>
          <w:szCs w:val="24"/>
          <w:lang w:val="da-DK"/>
        </w:rPr>
        <w:tab/>
        <w:t>der henviser til sin beslutning af 5. oktober 2023 om en statusrapport med hensyn til Moldovas vej til EU</w:t>
      </w:r>
      <w:r w:rsidRPr="00E9134F">
        <w:rPr>
          <w:rStyle w:val="FootnoteReference"/>
          <w:rFonts w:eastAsia="Calibri"/>
          <w:bCs/>
          <w:iCs/>
          <w:szCs w:val="24"/>
          <w:lang w:val="da-DK"/>
        </w:rPr>
        <w:footnoteReference w:id="18"/>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Den Europæiske Revisionsrets særberetning nr. 1/2022 af 10. januar 2022 med titlen "EU's støtte til retsstatsprincippet i Vestbalkan: Trods indsatsen er der stadig grundlæggende problemer",</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Kommissionens udvidelsespakke af 12. oktober 2022,</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meddelelsen om EU's udvidelsespolitik 2023 til udvidelsespakken, som blev vedtaget af Kommissionen den 8. november 2023 (</w:t>
      </w:r>
      <w:proofErr w:type="gramStart"/>
      <w:r w:rsidRPr="00E9134F">
        <w:rPr>
          <w:szCs w:val="24"/>
          <w:lang w:val="da-DK"/>
        </w:rPr>
        <w:t>COM(</w:t>
      </w:r>
      <w:proofErr w:type="gramEnd"/>
      <w:r w:rsidRPr="00E9134F">
        <w:rPr>
          <w:szCs w:val="24"/>
          <w:lang w:val="da-DK"/>
        </w:rPr>
        <w:t>2023)0690),</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 xml:space="preserve">der henviser til Europa-Parlamentets og Rådets forordning (EU) 2021/1529 af 15. september 2021 om oprettelse af et instrument til </w:t>
      </w:r>
      <w:proofErr w:type="spellStart"/>
      <w:r w:rsidRPr="00E9134F">
        <w:rPr>
          <w:szCs w:val="24"/>
          <w:lang w:val="da-DK"/>
        </w:rPr>
        <w:t>førtiltrædelsesbistand</w:t>
      </w:r>
      <w:proofErr w:type="spellEnd"/>
      <w:r w:rsidRPr="00E9134F">
        <w:rPr>
          <w:szCs w:val="24"/>
          <w:lang w:val="da-DK"/>
        </w:rPr>
        <w:t xml:space="preserve"> (IPA III)</w:t>
      </w:r>
      <w:r w:rsidRPr="00E9134F">
        <w:rPr>
          <w:rStyle w:val="FootnoteReference"/>
          <w:bCs/>
          <w:iCs/>
          <w:szCs w:val="24"/>
          <w:lang w:val="da-DK"/>
        </w:rPr>
        <w:footnoteReference w:id="19"/>
      </w:r>
      <w:r w:rsidRPr="00E9134F">
        <w:rPr>
          <w:szCs w:val="24"/>
          <w:lang w:val="da-DK"/>
        </w:rPr>
        <w:t>,</w:t>
      </w:r>
    </w:p>
    <w:p w:rsidR="005266C6" w:rsidRPr="00E9134F" w:rsidRDefault="005266C6" w:rsidP="005266C6">
      <w:pPr>
        <w:pStyle w:val="Normal12Hanging"/>
        <w:rPr>
          <w:bCs/>
          <w:iCs/>
          <w:szCs w:val="24"/>
          <w:lang w:val="da-DK"/>
        </w:rPr>
      </w:pPr>
      <w:r w:rsidRPr="00E9134F">
        <w:rPr>
          <w:szCs w:val="24"/>
          <w:lang w:val="da-DK"/>
        </w:rPr>
        <w:t>–</w:t>
      </w:r>
      <w:r w:rsidRPr="00E9134F">
        <w:rPr>
          <w:szCs w:val="24"/>
          <w:lang w:val="da-DK"/>
        </w:rPr>
        <w:tab/>
        <w:t>der henviser til Det Europæiske Økonomiske og Sociale Udvalgs udtalelse af 10. juli 2014 om styrkelse af gennemsigtigheden og medinddragelsen i EU-tiltrædelsesprocessen</w:t>
      </w:r>
      <w:r w:rsidRPr="00E9134F">
        <w:rPr>
          <w:rStyle w:val="FootnoteReference"/>
          <w:szCs w:val="24"/>
          <w:lang w:val="da-DK"/>
        </w:rPr>
        <w:footnoteReference w:id="20"/>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sin beslutning af 16. februar 2017 om forbedring af Den Europæiske Unions funktionsmåde ved at drage fordel af Lissabontraktatens potentiale</w:t>
      </w:r>
      <w:r w:rsidRPr="00E9134F">
        <w:rPr>
          <w:rStyle w:val="FootnoteReference"/>
          <w:szCs w:val="24"/>
          <w:lang w:val="da-DK"/>
        </w:rPr>
        <w:footnoteReference w:id="21"/>
      </w:r>
      <w:r w:rsidRPr="00E9134F">
        <w:rPr>
          <w:szCs w:val="24"/>
          <w:lang w:val="da-DK"/>
        </w:rPr>
        <w:t>, og af 11. juli 2023 om gennemførelsen af passerellebestemmelserne i EU-traktaterne</w:t>
      </w:r>
      <w:r w:rsidRPr="00E9134F">
        <w:rPr>
          <w:rStyle w:val="FootnoteReference"/>
          <w:szCs w:val="24"/>
          <w:lang w:val="da-DK"/>
        </w:rPr>
        <w:footnoteReference w:id="22"/>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rapporten af 9. maj 2022 om det endelige resultat af konferencen om Europas fremtid og til</w:t>
      </w:r>
      <w:bookmarkStart w:id="8" w:name="_GoBack"/>
      <w:bookmarkEnd w:id="8"/>
      <w:r w:rsidRPr="00E9134F">
        <w:rPr>
          <w:szCs w:val="24"/>
          <w:lang w:val="da-DK"/>
        </w:rPr>
        <w:t xml:space="preserve"> sin beslutning af 4. maj 2022 om opfølgning på konklusionerne fra konferencen om Europas fremtid</w:t>
      </w:r>
      <w:r w:rsidRPr="00E9134F">
        <w:rPr>
          <w:rStyle w:val="FootnoteReference"/>
          <w:bCs/>
          <w:iCs/>
          <w:szCs w:val="24"/>
          <w:lang w:val="da-DK"/>
        </w:rPr>
        <w:footnoteReference w:id="23"/>
      </w:r>
      <w:r w:rsidRPr="00E9134F">
        <w:rPr>
          <w:szCs w:val="24"/>
          <w:lang w:val="da-DK"/>
        </w:rPr>
        <w:t>,</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sin beslutning af 9. juni 2022 om opfordringen til et konvent om revision af traktaterne</w:t>
      </w:r>
      <w:r w:rsidRPr="00E9134F">
        <w:rPr>
          <w:rStyle w:val="FootnoteReference"/>
          <w:szCs w:val="24"/>
          <w:lang w:val="da-DK"/>
        </w:rPr>
        <w:footnoteReference w:id="24"/>
      </w:r>
      <w:r w:rsidRPr="00E9134F">
        <w:rPr>
          <w:szCs w:val="24"/>
          <w:lang w:val="da-DK"/>
        </w:rPr>
        <w:t xml:space="preserve"> og af 22. november 2023 om Europa-Parlamentets forslag til ændringer af traktaterne</w:t>
      </w:r>
      <w:r w:rsidRPr="00E9134F">
        <w:rPr>
          <w:rStyle w:val="FootnoteReference"/>
          <w:bCs/>
          <w:iCs/>
          <w:szCs w:val="24"/>
          <w:lang w:val="da-DK"/>
        </w:rPr>
        <w:footnoteReference w:id="25"/>
      </w:r>
      <w:r w:rsidRPr="00E9134F">
        <w:rPr>
          <w:szCs w:val="24"/>
          <w:lang w:val="da-DK"/>
        </w:rPr>
        <w:t xml:space="preserve"> og aktivering af artikel 48 i TEU, hvori Det Europæiske Råd </w:t>
      </w:r>
      <w:r w:rsidRPr="00E9134F">
        <w:rPr>
          <w:szCs w:val="24"/>
          <w:lang w:val="da-DK"/>
        </w:rPr>
        <w:lastRenderedPageBreak/>
        <w:t>anmodes om at nå til enighed om at opfordre til et konvent om at reformere traktaterne,</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forretningsordenens artikel 54,</w:t>
      </w:r>
    </w:p>
    <w:p w:rsidR="005266C6" w:rsidRPr="00E9134F" w:rsidRDefault="005266C6" w:rsidP="005266C6">
      <w:pPr>
        <w:pStyle w:val="Normal12Hanging"/>
        <w:rPr>
          <w:szCs w:val="24"/>
          <w:lang w:val="da-DK"/>
        </w:rPr>
      </w:pPr>
      <w:r w:rsidRPr="00E9134F">
        <w:rPr>
          <w:szCs w:val="24"/>
          <w:lang w:val="da-DK"/>
        </w:rPr>
        <w:t>–</w:t>
      </w:r>
      <w:r w:rsidRPr="00E9134F">
        <w:rPr>
          <w:szCs w:val="24"/>
          <w:lang w:val="da-DK"/>
        </w:rPr>
        <w:tab/>
        <w:t>der henviser til betænkning fra Udenrigsudvalget og Udvalget om Konstitutionelle Anliggender (A9-0015/2024),</w:t>
      </w:r>
    </w:p>
    <w:p w:rsidR="005266C6" w:rsidRPr="00E9134F" w:rsidRDefault="005266C6" w:rsidP="005266C6">
      <w:pPr>
        <w:pStyle w:val="Normal12Hanging"/>
        <w:rPr>
          <w:szCs w:val="24"/>
          <w:lang w:val="da-DK"/>
        </w:rPr>
      </w:pPr>
      <w:r w:rsidRPr="00E9134F">
        <w:rPr>
          <w:szCs w:val="24"/>
          <w:lang w:val="da-DK"/>
        </w:rPr>
        <w:t>A.</w:t>
      </w:r>
      <w:r w:rsidRPr="00E9134F">
        <w:rPr>
          <w:szCs w:val="24"/>
          <w:lang w:val="da-DK"/>
        </w:rPr>
        <w:tab/>
        <w:t>der henviser til, at 9 ud af de 10 lande, der i øjeblikket ønsker at tiltræde EU, har kandidatstatus, hvoraf nogle har haft denne status i mange år; der henviser til, at disse kandidatlande befinder sig på forskellige stadier af tiltrædelsesprocessen og -forhandlingerne;</w:t>
      </w:r>
    </w:p>
    <w:p w:rsidR="005266C6" w:rsidRPr="00E9134F" w:rsidRDefault="005266C6" w:rsidP="005266C6">
      <w:pPr>
        <w:pStyle w:val="Normal12Hanging"/>
        <w:rPr>
          <w:szCs w:val="24"/>
          <w:lang w:val="da-DK"/>
        </w:rPr>
      </w:pPr>
      <w:r w:rsidRPr="00E9134F">
        <w:rPr>
          <w:szCs w:val="24"/>
          <w:lang w:val="da-DK"/>
        </w:rPr>
        <w:t>B.</w:t>
      </w:r>
      <w:r w:rsidRPr="00E9134F">
        <w:rPr>
          <w:szCs w:val="24"/>
          <w:lang w:val="da-DK"/>
        </w:rPr>
        <w:tab/>
        <w:t>der henviser til, at Det Europæiske Råd efter Kommissionens henstillinger i udvidelsespakken fra 2023 den 14. december 2023 besluttede at give Georgien kandidatstatus og indlede tiltrædelsesforhandlinger med Ukraine og Republikken Moldova samt med Bosnien-Hercegovina, så snart den nødvendige grad af overholdelse af medlemskabskriterierne er opnået;</w:t>
      </w:r>
    </w:p>
    <w:p w:rsidR="005266C6" w:rsidRPr="00E9134F" w:rsidRDefault="005266C6" w:rsidP="005266C6">
      <w:pPr>
        <w:pStyle w:val="Normal12Hanging"/>
        <w:rPr>
          <w:szCs w:val="24"/>
          <w:lang w:val="da-DK"/>
        </w:rPr>
      </w:pPr>
      <w:r w:rsidRPr="00E9134F">
        <w:rPr>
          <w:szCs w:val="24"/>
          <w:lang w:val="da-DK"/>
        </w:rPr>
        <w:t>C.</w:t>
      </w:r>
      <w:r w:rsidRPr="00E9134F">
        <w:rPr>
          <w:szCs w:val="24"/>
          <w:lang w:val="da-DK"/>
        </w:rPr>
        <w:tab/>
        <w:t>der henviser til, at Ruslands angrebskrig mod Ukraine og andre igangværende geopolitiske udfordringer har givet udvidelsen af Den Europæiske Union en ny geostrategisk betydning; der henviser til, at Vestbalkans og de østlige naboskabslandes stabilitet, sikkerhed og demokratiske modstandsdygtighed er uløseligt knyttet til EU's egen sikkerhed, stabilitet og demokratiske modstandsdygtighed;</w:t>
      </w:r>
    </w:p>
    <w:p w:rsidR="005266C6" w:rsidRPr="00E9134F" w:rsidRDefault="005266C6" w:rsidP="005266C6">
      <w:pPr>
        <w:pStyle w:val="Normal12Hanging"/>
        <w:rPr>
          <w:szCs w:val="24"/>
          <w:lang w:val="da-DK"/>
        </w:rPr>
      </w:pPr>
      <w:r w:rsidRPr="00E9134F">
        <w:rPr>
          <w:szCs w:val="24"/>
          <w:lang w:val="da-DK"/>
        </w:rPr>
        <w:t>D.</w:t>
      </w:r>
      <w:r w:rsidRPr="00E9134F">
        <w:rPr>
          <w:szCs w:val="24"/>
          <w:lang w:val="da-DK"/>
        </w:rPr>
        <w:tab/>
        <w:t>der henviser til, at udvidelse er en moralsk og historisk forpligtelse og en strategisk geopolitisk prioritet, der repræsenterer en geostrategisk investering i fremtiden, som vil bidrage til fred, stabilitet, sikkerhed, demokrati, enhed, bekæmpelse af klimaændringer samt sikring af velstand og velfærd på det europæiske kontinent; der henviser til, at EU's sikkerhed også hviler på dets evne til at forsvare, fremme og bevare fred, demokrati, retsstatsprincippet, menneskerettigheder og grundlæggende værdier; der henviser til, at udvidelse kan være til gensidig gavn for både nuværende og fremtidige medlemsstater og deres borgere, så længe de rette betingelser og krav er opfyldt;</w:t>
      </w:r>
    </w:p>
    <w:p w:rsidR="005266C6" w:rsidRPr="00E9134F" w:rsidRDefault="005266C6" w:rsidP="005266C6">
      <w:pPr>
        <w:pStyle w:val="Normal12Hanging"/>
        <w:rPr>
          <w:bCs/>
          <w:iCs/>
          <w:szCs w:val="24"/>
          <w:lang w:val="da-DK"/>
        </w:rPr>
      </w:pPr>
      <w:r w:rsidRPr="00E9134F">
        <w:rPr>
          <w:szCs w:val="24"/>
          <w:lang w:val="da-DK"/>
        </w:rPr>
        <w:t>E.</w:t>
      </w:r>
      <w:r w:rsidRPr="00E9134F">
        <w:rPr>
          <w:szCs w:val="24"/>
          <w:lang w:val="da-DK"/>
        </w:rPr>
        <w:tab/>
        <w:t>der henviser til, at udvidelse er blevet et af EU's stærkeste politiske og geopolitiske værktøjer; der henviser til, at størstedelen af EU's befolkning ifølge Eurobarometerundersøgelsen fra juni 2023 går ind for den fremtidige udvidelse af EU; der henviser til, at der er et tvingende behov for nye impulser, et nyt engagement og nye visioner for at puste liv i udvidelsesprocessen og sikre dens kontinuitet, sammenhæng og gennemslagskraft; der henviser til, at manglen på engagement i de seneste år har skabt et tomrum, som har givet plads til Rusland og Kina og andre eksterne aktører; der henviser til, at principperne om gensidigt og loyalt samarbejde altid skal respekteres;</w:t>
      </w:r>
    </w:p>
    <w:p w:rsidR="005266C6" w:rsidRPr="00E9134F" w:rsidRDefault="005266C6" w:rsidP="005266C6">
      <w:pPr>
        <w:pStyle w:val="Normal12Hanging"/>
        <w:rPr>
          <w:bCs/>
          <w:iCs/>
          <w:szCs w:val="24"/>
          <w:lang w:val="da-DK"/>
        </w:rPr>
      </w:pPr>
      <w:r w:rsidRPr="00E9134F">
        <w:rPr>
          <w:szCs w:val="24"/>
          <w:lang w:val="da-DK"/>
        </w:rPr>
        <w:t>F.</w:t>
      </w:r>
      <w:r w:rsidRPr="00E9134F">
        <w:rPr>
          <w:szCs w:val="24"/>
          <w:lang w:val="da-DK"/>
        </w:rPr>
        <w:tab/>
        <w:t>der henviser til, at tiltrædelse af EU altid skal være en meritbaseret procedure, hvorved hver ansøger vurderes ud fra sine egen meritter med hensyn til at opfylde Københavnskriterierne fuldt ud, herunder kriterierne om at sikre vedvarende fuld overholdelse af menneskerettighederne, herunder mindretalsrettigheder, demokratiet og retsstatsprincippet, samt af EU's øvrige grundlæggende værdier; der henviser til, at der bør tilstræbes positive resultater så hurtigt som muligt, samtidig med at man dog bør undgå forhastet behandling eller på forhånd fastsatte frister;</w:t>
      </w:r>
    </w:p>
    <w:p w:rsidR="005266C6" w:rsidRPr="00E9134F" w:rsidRDefault="005266C6" w:rsidP="005266C6">
      <w:pPr>
        <w:pStyle w:val="Normal12Hanging"/>
        <w:ind w:hanging="566"/>
        <w:rPr>
          <w:rFonts w:eastAsiaTheme="minorEastAsia"/>
          <w:bCs/>
          <w:iCs/>
          <w:szCs w:val="24"/>
          <w:lang w:val="da-DK"/>
        </w:rPr>
      </w:pPr>
      <w:r w:rsidRPr="00E9134F">
        <w:rPr>
          <w:szCs w:val="24"/>
          <w:lang w:val="da-DK"/>
        </w:rPr>
        <w:t>G.</w:t>
      </w:r>
      <w:r w:rsidRPr="00E9134F">
        <w:rPr>
          <w:szCs w:val="24"/>
          <w:lang w:val="da-DK"/>
        </w:rPr>
        <w:tab/>
        <w:t xml:space="preserve">der henviser til, at stilstand eller tilbageskridt skal have konsekvenser, da hele </w:t>
      </w:r>
      <w:r w:rsidRPr="00E9134F">
        <w:rPr>
          <w:szCs w:val="24"/>
          <w:lang w:val="da-DK"/>
        </w:rPr>
        <w:lastRenderedPageBreak/>
        <w:t xml:space="preserve">tiltrædelsesprocessen skal være baseret på retfærdig og streng </w:t>
      </w:r>
      <w:proofErr w:type="spellStart"/>
      <w:r w:rsidRPr="00E9134F">
        <w:rPr>
          <w:szCs w:val="24"/>
          <w:lang w:val="da-DK"/>
        </w:rPr>
        <w:t>konditionalitet</w:t>
      </w:r>
      <w:proofErr w:type="spellEnd"/>
      <w:r w:rsidRPr="00E9134F">
        <w:rPr>
          <w:szCs w:val="24"/>
          <w:lang w:val="da-DK"/>
        </w:rPr>
        <w:t>;</w:t>
      </w:r>
    </w:p>
    <w:p w:rsidR="005266C6" w:rsidRPr="00E9134F" w:rsidRDefault="005266C6" w:rsidP="005266C6">
      <w:pPr>
        <w:pStyle w:val="Normal12Hanging"/>
        <w:rPr>
          <w:bCs/>
          <w:iCs/>
          <w:szCs w:val="24"/>
          <w:lang w:val="da-DK"/>
        </w:rPr>
      </w:pPr>
      <w:r w:rsidRPr="00E9134F">
        <w:rPr>
          <w:szCs w:val="24"/>
          <w:lang w:val="da-DK"/>
        </w:rPr>
        <w:t>H.</w:t>
      </w:r>
      <w:r w:rsidRPr="00E9134F">
        <w:rPr>
          <w:szCs w:val="24"/>
          <w:lang w:val="da-DK"/>
        </w:rPr>
        <w:tab/>
        <w:t>der henviser til, at tiltrædelse af EU kræver kapacitet til en ambitiøs integrationsdagsorden af både EU og kandidatlandene; der henviser til, at grundlæggende reformer inden for retsvæsenet, bekæmpelse af korruption, mediefrihed og pluralisme er nødvendige, for at kandidatlandene kan gøre fremskridt på deres vej mod EU;</w:t>
      </w:r>
    </w:p>
    <w:p w:rsidR="005266C6" w:rsidRPr="00E9134F" w:rsidRDefault="005266C6" w:rsidP="005266C6">
      <w:pPr>
        <w:pStyle w:val="Normal12Hanging"/>
        <w:rPr>
          <w:bCs/>
          <w:iCs/>
          <w:szCs w:val="24"/>
          <w:lang w:val="da-DK"/>
        </w:rPr>
      </w:pPr>
      <w:r w:rsidRPr="00E9134F">
        <w:rPr>
          <w:szCs w:val="24"/>
          <w:lang w:val="da-DK"/>
        </w:rPr>
        <w:t>I.</w:t>
      </w:r>
      <w:r w:rsidRPr="00E9134F">
        <w:rPr>
          <w:szCs w:val="24"/>
          <w:lang w:val="da-DK"/>
        </w:rPr>
        <w:tab/>
        <w:t>der henviser til, at det ville være fordelagtigt at fuldføre de eksisterende medlemsstaters medlemskab af euroområdet og Schengenområdet samtidig med den næste udvidelse;</w:t>
      </w:r>
    </w:p>
    <w:p w:rsidR="005266C6" w:rsidRPr="00E9134F" w:rsidRDefault="005266C6" w:rsidP="005266C6">
      <w:pPr>
        <w:pStyle w:val="Normal12Hanging"/>
        <w:rPr>
          <w:szCs w:val="24"/>
          <w:lang w:val="da-DK"/>
        </w:rPr>
      </w:pPr>
      <w:r w:rsidRPr="00E9134F">
        <w:rPr>
          <w:szCs w:val="24"/>
          <w:lang w:val="da-DK"/>
        </w:rPr>
        <w:t>J.</w:t>
      </w:r>
      <w:r w:rsidRPr="00E9134F">
        <w:rPr>
          <w:szCs w:val="24"/>
          <w:lang w:val="da-DK"/>
        </w:rPr>
        <w:tab/>
        <w:t xml:space="preserve">der henviser til, at landene på Vestbalkan også skal fokusere på konfliktløsning, regionalt samarbejde og forsoning; der henviser til, at der ikke er plads i hverken EU eller i lande, der ønsker at blive medlemmer, til </w:t>
      </w:r>
      <w:proofErr w:type="spellStart"/>
      <w:r w:rsidRPr="00E9134F">
        <w:rPr>
          <w:szCs w:val="24"/>
          <w:lang w:val="da-DK"/>
        </w:rPr>
        <w:t>opvigleri</w:t>
      </w:r>
      <w:proofErr w:type="spellEnd"/>
      <w:r w:rsidRPr="00E9134F">
        <w:rPr>
          <w:szCs w:val="24"/>
          <w:lang w:val="da-DK"/>
        </w:rPr>
        <w:t>, benægtelse af folkedrab eller forherligelse af krigsforbrydere fra nogen sider; der henviser til, at accept af fortiden er den eneste vej til reel forsoning, hvilket er vigtigt for at sikre fremgangsrige samfund og en vellykket integration;</w:t>
      </w:r>
    </w:p>
    <w:p w:rsidR="005266C6" w:rsidRPr="00E9134F" w:rsidRDefault="005266C6" w:rsidP="005266C6">
      <w:pPr>
        <w:pStyle w:val="Normal12Hanging"/>
        <w:rPr>
          <w:bCs/>
          <w:iCs/>
          <w:szCs w:val="24"/>
          <w:lang w:val="da-DK"/>
        </w:rPr>
      </w:pPr>
      <w:r w:rsidRPr="00E9134F">
        <w:rPr>
          <w:szCs w:val="24"/>
          <w:lang w:val="da-DK"/>
        </w:rPr>
        <w:t>K.</w:t>
      </w:r>
      <w:r w:rsidRPr="00E9134F">
        <w:rPr>
          <w:szCs w:val="24"/>
          <w:lang w:val="da-DK"/>
        </w:rPr>
        <w:tab/>
        <w:t>der henviser til, at processerne med udvidelse og uddybning af EU skal forløbe parallelt, da de har kapaciteten til gensidigt at forstærke hinanden, mangfoldiggøre deres virkning og i væsentlig grad bidrage til de overordnede mål, som EU blev oprettet for;</w:t>
      </w:r>
    </w:p>
    <w:p w:rsidR="005266C6" w:rsidRPr="00E9134F" w:rsidRDefault="005266C6" w:rsidP="005266C6">
      <w:pPr>
        <w:pStyle w:val="Normal12Hanging"/>
        <w:rPr>
          <w:bCs/>
          <w:iCs/>
          <w:szCs w:val="24"/>
          <w:lang w:val="da-DK"/>
        </w:rPr>
      </w:pPr>
      <w:r w:rsidRPr="00E9134F">
        <w:rPr>
          <w:szCs w:val="24"/>
          <w:lang w:val="da-DK"/>
        </w:rPr>
        <w:t>L.</w:t>
      </w:r>
      <w:r w:rsidRPr="00E9134F">
        <w:rPr>
          <w:szCs w:val="24"/>
          <w:lang w:val="da-DK"/>
        </w:rPr>
        <w:tab/>
        <w:t>der henviser til, at udfordringen med et større EU kræver en forbedret udvidelsespolitik, der er baseret på gradvis integration i fælles politikker og med klare fordele for borgerne gennem hele processen;</w:t>
      </w:r>
    </w:p>
    <w:p w:rsidR="005266C6" w:rsidRPr="00E9134F" w:rsidRDefault="005266C6" w:rsidP="005266C6">
      <w:pPr>
        <w:pStyle w:val="Normal12Hanging"/>
        <w:rPr>
          <w:rFonts w:eastAsia="Calibri"/>
          <w:bCs/>
          <w:iCs/>
          <w:szCs w:val="24"/>
          <w:lang w:val="da-DK"/>
        </w:rPr>
      </w:pPr>
      <w:r w:rsidRPr="00E9134F">
        <w:rPr>
          <w:szCs w:val="24"/>
          <w:lang w:val="da-DK"/>
        </w:rPr>
        <w:t>M.</w:t>
      </w:r>
      <w:r w:rsidRPr="00E9134F">
        <w:rPr>
          <w:szCs w:val="24"/>
          <w:lang w:val="da-DK"/>
        </w:rPr>
        <w:tab/>
        <w:t>der henviser til, at der i forbindelse med udvidelsen er behov for at se holistisk på revisionen af nuværende og fremtidige europæiske politikker, strukturreformer, institutionelle ændringer og den flerårige finansielle ramme (FFR) for 2028-2034;</w:t>
      </w:r>
    </w:p>
    <w:p w:rsidR="005266C6" w:rsidRPr="00E9134F" w:rsidRDefault="005266C6" w:rsidP="005266C6">
      <w:pPr>
        <w:pStyle w:val="Normal12Hanging"/>
        <w:rPr>
          <w:szCs w:val="24"/>
          <w:lang w:val="da-DK"/>
        </w:rPr>
      </w:pPr>
      <w:r w:rsidRPr="00E9134F">
        <w:rPr>
          <w:szCs w:val="24"/>
          <w:lang w:val="da-DK"/>
        </w:rPr>
        <w:t>N.</w:t>
      </w:r>
      <w:r w:rsidRPr="00E9134F">
        <w:rPr>
          <w:szCs w:val="24"/>
          <w:lang w:val="da-DK"/>
        </w:rPr>
        <w:tab/>
        <w:t>der henviser til, at landene på Vestbalkan i årtier har erklæret, at de er fast besluttet på at tiltræde EU; der henviser til, at EU's ledere den 23.-24. juni 2022 på ny bekræftede et fuldstændigt og utvetydigt engagement i perspektivet om EU-medlemskab for landene på Vestbalkan;</w:t>
      </w:r>
    </w:p>
    <w:p w:rsidR="005266C6" w:rsidRPr="00E9134F" w:rsidRDefault="005266C6" w:rsidP="005266C6">
      <w:pPr>
        <w:pStyle w:val="Normal12Hanging"/>
        <w:rPr>
          <w:szCs w:val="24"/>
          <w:lang w:val="da-DK"/>
        </w:rPr>
      </w:pPr>
      <w:r w:rsidRPr="00E9134F">
        <w:rPr>
          <w:szCs w:val="24"/>
          <w:lang w:val="da-DK"/>
        </w:rPr>
        <w:t>O.</w:t>
      </w:r>
      <w:r w:rsidRPr="00E9134F">
        <w:rPr>
          <w:szCs w:val="24"/>
          <w:lang w:val="da-DK"/>
        </w:rPr>
        <w:tab/>
        <w:t>der henviser til, at kandidatlandene skal vise, at de tilslutter sig EU's grundlæggende værdier, og at de har tilpasset sig EU's politikker og holdninger, herunder inden for den fælles udenrigs- og sikkerhedspolitik (FUSP);</w:t>
      </w:r>
    </w:p>
    <w:p w:rsidR="005266C6" w:rsidRPr="00E9134F" w:rsidRDefault="005266C6" w:rsidP="005266C6">
      <w:pPr>
        <w:pStyle w:val="Normal12Hanging"/>
        <w:rPr>
          <w:szCs w:val="24"/>
          <w:lang w:val="da-DK"/>
        </w:rPr>
      </w:pPr>
      <w:r w:rsidRPr="00E9134F">
        <w:rPr>
          <w:szCs w:val="24"/>
          <w:lang w:val="da-DK"/>
        </w:rPr>
        <w:t>P.</w:t>
      </w:r>
      <w:r w:rsidRPr="00E9134F">
        <w:rPr>
          <w:b/>
          <w:i/>
          <w:szCs w:val="24"/>
          <w:lang w:val="da-DK"/>
        </w:rPr>
        <w:tab/>
      </w:r>
      <w:r w:rsidRPr="00E9134F">
        <w:rPr>
          <w:szCs w:val="24"/>
          <w:lang w:val="da-DK"/>
        </w:rPr>
        <w:t>der henviser til, at nogle lande på Vestbalkan har opnået en høj grad af tilpasning til EU's FUSP i de seneste år, herunder sanktioner mod Rusland som reaktion på dets aggressionskrig mod Ukraine; der henviser til, at udenrigsministrene fra Albanien, Kosovo, Montenegro og Nordmakedonien i marts 2023 lancerede platformen "Vestbalkans QUAD – 100 % tilpasning til EU's fælles udenrigs- og sikkerhedspolitik (FUSP)";</w:t>
      </w:r>
    </w:p>
    <w:p w:rsidR="005266C6" w:rsidRPr="00E9134F" w:rsidRDefault="005266C6" w:rsidP="005266C6">
      <w:pPr>
        <w:pStyle w:val="Normal12Hanging"/>
        <w:rPr>
          <w:bCs/>
          <w:iCs/>
          <w:szCs w:val="24"/>
          <w:lang w:val="da-DK"/>
        </w:rPr>
      </w:pPr>
      <w:r w:rsidRPr="00E9134F">
        <w:rPr>
          <w:szCs w:val="24"/>
          <w:lang w:val="da-DK"/>
        </w:rPr>
        <w:t>Q.</w:t>
      </w:r>
      <w:r w:rsidRPr="00E9134F">
        <w:rPr>
          <w:szCs w:val="24"/>
          <w:lang w:val="da-DK"/>
        </w:rPr>
        <w:tab/>
        <w:t>der henviser til, at EU skal udvise en klar politisk vilje til at støtte kandidatlandene og bør øge sin betingede tekniske og finansielle støtte til grundlæggende reformer, bilæggelse af bilaterale tvister, økonomisk konvergens og regional økonomisk integration i tiltrædelseslandene betydeligt; der henviser til, at den nye vækstplan for Vestbalkan har til formål at fremskynde grundlæggende reformer, styrke landenes integration i EU's indre marked samt fremme den økonomiske integration af regionen;</w:t>
      </w:r>
    </w:p>
    <w:p w:rsidR="005266C6" w:rsidRPr="00E9134F" w:rsidRDefault="005266C6" w:rsidP="005266C6">
      <w:pPr>
        <w:pStyle w:val="Normal12Hanging"/>
        <w:rPr>
          <w:bCs/>
          <w:iCs/>
          <w:szCs w:val="24"/>
          <w:lang w:val="da-DK"/>
        </w:rPr>
      </w:pPr>
      <w:r w:rsidRPr="00E9134F">
        <w:rPr>
          <w:szCs w:val="24"/>
          <w:lang w:val="da-DK"/>
        </w:rPr>
        <w:lastRenderedPageBreak/>
        <w:t>R.</w:t>
      </w:r>
      <w:r w:rsidRPr="00E9134F">
        <w:rPr>
          <w:szCs w:val="24"/>
          <w:lang w:val="da-DK"/>
        </w:rPr>
        <w:tab/>
        <w:t>der henviser til, at ondsindede udenlandske aktører bruger hybride interferensmetoder til at påvirke og afspore EU-integrationen;</w:t>
      </w:r>
    </w:p>
    <w:p w:rsidR="005266C6" w:rsidRPr="00E9134F" w:rsidRDefault="005266C6" w:rsidP="005266C6">
      <w:pPr>
        <w:pStyle w:val="Normal12Hanging"/>
        <w:rPr>
          <w:bCs/>
          <w:iCs/>
          <w:szCs w:val="24"/>
          <w:lang w:val="da-DK"/>
        </w:rPr>
      </w:pPr>
      <w:r w:rsidRPr="00E9134F">
        <w:rPr>
          <w:szCs w:val="24"/>
          <w:lang w:val="da-DK"/>
        </w:rPr>
        <w:t>S.</w:t>
      </w:r>
      <w:r w:rsidRPr="00E9134F">
        <w:rPr>
          <w:szCs w:val="24"/>
          <w:lang w:val="da-DK"/>
        </w:rPr>
        <w:tab/>
        <w:t xml:space="preserve">der henviser til, at Parlamentet utvivlsomt er den mest støttende EU-institution, hvad angår udvidelse; der henviser til, at Parlamentets rolle fortsat er yderst begrænset i hele udvidelsesprocessen og bør styrkes for at øge den demokratiske legitimitet og ansvarlighed, herunder i forbindelse med evalueringen af de mellemliggende trin i tiltrædelsen, bl.a. gennem regelmæssige udvalgsmøder og parlamentarisk kontrol med </w:t>
      </w:r>
      <w:proofErr w:type="spellStart"/>
      <w:r w:rsidRPr="00E9134F">
        <w:rPr>
          <w:szCs w:val="24"/>
          <w:lang w:val="da-DK"/>
        </w:rPr>
        <w:t>førtiltrædelsesfinansiering</w:t>
      </w:r>
      <w:proofErr w:type="spellEnd"/>
      <w:r w:rsidRPr="00E9134F">
        <w:rPr>
          <w:szCs w:val="24"/>
          <w:lang w:val="da-DK"/>
        </w:rPr>
        <w:t>, samtidig med at der gøres brug af dets eksisterende værktøjer og instrumenter, herunder demokratistøtteprogrammer; der henviser til, at regionale og lokale forvaltninger og civilsamfundsorganisationer bør inddrages strukturelt i udvidelsesprocessen og dens kontrol;</w:t>
      </w:r>
    </w:p>
    <w:p w:rsidR="005266C6" w:rsidRPr="00E9134F" w:rsidRDefault="005266C6" w:rsidP="005266C6">
      <w:pPr>
        <w:pStyle w:val="Normal12Hanging"/>
        <w:rPr>
          <w:szCs w:val="24"/>
          <w:lang w:val="da-DK"/>
        </w:rPr>
      </w:pPr>
      <w:r w:rsidRPr="00E9134F">
        <w:rPr>
          <w:szCs w:val="24"/>
          <w:lang w:val="da-DK"/>
        </w:rPr>
        <w:t>T.</w:t>
      </w:r>
      <w:r w:rsidRPr="00E9134F">
        <w:rPr>
          <w:szCs w:val="24"/>
          <w:lang w:val="da-DK"/>
        </w:rPr>
        <w:tab/>
        <w:t>der henviser til, at store initiativer såsom det europæiske politiske fællesskab, som allerede har afholdt tre officielle møder, muliggør politisk samarbejde og bidrager til regionale dialoger på forskellige områder mellem EU og andre lande, men ikke er alternativer til EU-medlemskab;</w:t>
      </w:r>
    </w:p>
    <w:p w:rsidR="005266C6" w:rsidRPr="00E9134F" w:rsidRDefault="005266C6" w:rsidP="005266C6">
      <w:pPr>
        <w:pStyle w:val="Normal12Hanging"/>
        <w:rPr>
          <w:szCs w:val="24"/>
          <w:lang w:val="da-DK"/>
        </w:rPr>
      </w:pPr>
      <w:r w:rsidRPr="00E9134F">
        <w:rPr>
          <w:szCs w:val="24"/>
          <w:lang w:val="da-DK"/>
        </w:rPr>
        <w:t>U.</w:t>
      </w:r>
      <w:r w:rsidRPr="00E9134F">
        <w:rPr>
          <w:szCs w:val="24"/>
          <w:lang w:val="da-DK"/>
        </w:rPr>
        <w:tab/>
        <w:t>der henviser til, at der er behov for betydelige reformer forud for udvidelsen for at sikre, at det udvidede EU fungerer effektivt og har kapacitet til at optage nye medlemmer og fremme deres vellykkede integration samt reagere hensigtsmæssigt på de mange udfordringer, EU står over for i øjeblikket; der henviser til, at dette kan indebære betydelige ændringer i EU's institutionelle rammer og eventuelle fremskridt med differentierede integrationsløsninger, når traktaterne tillader det; der henviser til, at nogle af disse løsninger allerede har været drøftet i nogen tid; der henviser til, at EU for at opnå dette også bør drage fuld fordel af den fleksibilitet, som Lissabontraktaten giver, forud for en mere dybtgående reform i forbindelse med en eventuel revision af traktaterne;</w:t>
      </w:r>
    </w:p>
    <w:p w:rsidR="005266C6" w:rsidRPr="00E9134F" w:rsidRDefault="005266C6" w:rsidP="005266C6">
      <w:pPr>
        <w:pStyle w:val="Normal12Hanging"/>
        <w:rPr>
          <w:szCs w:val="24"/>
          <w:lang w:val="da-DK"/>
        </w:rPr>
      </w:pPr>
      <w:r w:rsidRPr="00E9134F">
        <w:rPr>
          <w:szCs w:val="24"/>
          <w:lang w:val="da-DK"/>
        </w:rPr>
        <w:t>V.</w:t>
      </w:r>
      <w:r w:rsidRPr="00E9134F">
        <w:rPr>
          <w:szCs w:val="24"/>
          <w:lang w:val="da-DK"/>
        </w:rPr>
        <w:tab/>
        <w:t>der henviser til, at EU står over for betydelige udfordringer med hensyn til at levere effektiv krisestyring og navnlig i beslutningsprocedurer, samt at EU's troværdighed og evne til at handle rettidigt og effektivt afhænger af demokratisk og effektiv beslutningstagning og i endnu højere grad i et udvidet EU med 30 eller flere medlemsstater; der henviser til, at det er klart, at EU-institutionerne og beslutningsmekanismerne, navnlig i Rådet, ikke er egnede til en Union med et stigende antal medlemsstater; der henviser til, at politisk vilje og effektiv beslutningstagning, der fører til rettidige og koordinerede interne og eksterne foranstaltninger, er afgørende for at beskytte EU's interesser og dets globale geopolitiske lederskab og troværdighed; der henviser til, at de seneste vanskeligheder med EU-beslutninger om sanktioner bekræfter behovet for at gå væk fra enstemmighed; der henviser til, at der om nødvendigt skal gennemføres en gennemgribende reform af EU's institutionelle rammer og forvaltningsstrukturer med forenklede, mere effektive og demokratiske beslutningsprocedurer sideløbende med de igangværende tiltrædelsesforhandlinger;</w:t>
      </w:r>
    </w:p>
    <w:p w:rsidR="005266C6" w:rsidRPr="00E9134F" w:rsidRDefault="005266C6" w:rsidP="005266C6">
      <w:pPr>
        <w:pStyle w:val="Normal12Hanging"/>
        <w:rPr>
          <w:szCs w:val="24"/>
          <w:lang w:val="da-DK"/>
        </w:rPr>
      </w:pPr>
      <w:r w:rsidRPr="00E9134F">
        <w:rPr>
          <w:szCs w:val="24"/>
          <w:lang w:val="da-DK"/>
        </w:rPr>
        <w:t>W.</w:t>
      </w:r>
      <w:r w:rsidRPr="00E9134F">
        <w:rPr>
          <w:szCs w:val="24"/>
          <w:lang w:val="da-DK"/>
        </w:rPr>
        <w:tab/>
        <w:t xml:space="preserve">der henviser til, at passerellebestemmelser kan anvendes straks til at overgå fra kravet om enstemmighed til anvendelse af afstemning med kvalificeret flertal på specifikke politikområder; der henviser til, at Europa-Parlamentet har aktiveret traktatrevisionsproceduren og har forelagt forslag til revision af traktaterne for Rådet i overensstemmelse med artikel 48, stk. 2, i TEU; der henviser til, at Kommissionens formand i sin tale i Europa-Parlamentet den 17. januar 2024 bebudede den kommende forelæggelse af en meddelelse om en reform af traktaten, der baner vejen for en </w:t>
      </w:r>
      <w:r w:rsidRPr="00E9134F">
        <w:rPr>
          <w:szCs w:val="24"/>
          <w:lang w:val="da-DK"/>
        </w:rPr>
        <w:lastRenderedPageBreak/>
        <w:t>drøftelse i Det Europæiske Råd i den nærmeste fremtid;</w:t>
      </w:r>
    </w:p>
    <w:p w:rsidR="005266C6" w:rsidRPr="00E9134F" w:rsidRDefault="005266C6" w:rsidP="005266C6">
      <w:pPr>
        <w:pStyle w:val="Normal12Hanging"/>
        <w:rPr>
          <w:bCs/>
          <w:iCs/>
          <w:szCs w:val="24"/>
          <w:lang w:val="da-DK"/>
        </w:rPr>
      </w:pPr>
      <w:r w:rsidRPr="00E9134F">
        <w:rPr>
          <w:szCs w:val="24"/>
          <w:lang w:val="da-DK"/>
        </w:rPr>
        <w:t>X.</w:t>
      </w:r>
      <w:r w:rsidRPr="00E9134F">
        <w:rPr>
          <w:szCs w:val="24"/>
          <w:lang w:val="da-DK"/>
        </w:rPr>
        <w:tab/>
        <w:t>der henviser til, at Europa-Parlamentet, Rådet og Kommissionen har forpligtet sig til at følge effektivt op på konklusionerne fra konferencen om Europas fremtid; der henviser til, at konferencen om Europas fremtid opfordrede EU til at blive enig om en stærk vision og en fælles strategi for at konsolidere EU's enhed og forbedre EU's beslutningskapacitet med henblik på den fremtidige udvidelse; der henviser til, at mange af disse forslag kun kan gennemføres, hvis der sker ændringer i traktaterne;</w:t>
      </w:r>
    </w:p>
    <w:p w:rsidR="005266C6" w:rsidRPr="00E9134F" w:rsidRDefault="005266C6" w:rsidP="005266C6">
      <w:pPr>
        <w:pStyle w:val="Normal12Hanging"/>
        <w:rPr>
          <w:b/>
          <w:bCs/>
          <w:i/>
          <w:iCs/>
          <w:szCs w:val="24"/>
          <w:lang w:val="da-DK"/>
        </w:rPr>
      </w:pPr>
      <w:r w:rsidRPr="00E9134F">
        <w:rPr>
          <w:szCs w:val="24"/>
          <w:lang w:val="da-DK"/>
        </w:rPr>
        <w:t>Y.</w:t>
      </w:r>
      <w:r w:rsidRPr="00E9134F">
        <w:rPr>
          <w:szCs w:val="24"/>
          <w:lang w:val="da-DK"/>
        </w:rPr>
        <w:tab/>
        <w:t>der henviser til, at demokratisk tilbageskridt er en af de største trusler, som EU står over for, både internt og eksternt;</w:t>
      </w:r>
    </w:p>
    <w:p w:rsidR="005266C6" w:rsidRPr="00E9134F" w:rsidRDefault="005266C6" w:rsidP="005266C6">
      <w:pPr>
        <w:pStyle w:val="Normal12Hanging"/>
        <w:rPr>
          <w:szCs w:val="24"/>
          <w:lang w:val="da-DK"/>
        </w:rPr>
      </w:pPr>
      <w:r w:rsidRPr="00E9134F">
        <w:rPr>
          <w:szCs w:val="24"/>
          <w:lang w:val="da-DK"/>
        </w:rPr>
        <w:t>Z.</w:t>
      </w:r>
      <w:r w:rsidRPr="00E9134F">
        <w:rPr>
          <w:szCs w:val="24"/>
          <w:lang w:val="da-DK"/>
        </w:rPr>
        <w:tab/>
        <w:t>der henviser til, at mekanismen til sikring af overholdelse af EU's grundlæggende principper og værdier og gældende fællesskabsret ("</w:t>
      </w:r>
      <w:proofErr w:type="spellStart"/>
      <w:r w:rsidRPr="00E9134F">
        <w:rPr>
          <w:szCs w:val="24"/>
          <w:lang w:val="da-DK"/>
        </w:rPr>
        <w:t>acquis</w:t>
      </w:r>
      <w:proofErr w:type="spellEnd"/>
      <w:r w:rsidRPr="00E9134F">
        <w:rPr>
          <w:szCs w:val="24"/>
          <w:lang w:val="da-DK"/>
        </w:rPr>
        <w:t xml:space="preserve"> </w:t>
      </w:r>
      <w:proofErr w:type="spellStart"/>
      <w:r w:rsidRPr="00E9134F">
        <w:rPr>
          <w:szCs w:val="24"/>
          <w:lang w:val="da-DK"/>
        </w:rPr>
        <w:t>communautaire</w:t>
      </w:r>
      <w:proofErr w:type="spellEnd"/>
      <w:r w:rsidRPr="00E9134F">
        <w:rPr>
          <w:szCs w:val="24"/>
          <w:lang w:val="da-DK"/>
        </w:rPr>
        <w:t>") også skal styrkes sideløbende med den næste udvidelse; der henviser til, at gennemførelsen af gældende fællesskabsret bør overvåges grundigt og objektivt for hvert kandidatland;</w:t>
      </w:r>
    </w:p>
    <w:p w:rsidR="005266C6" w:rsidRPr="00E9134F" w:rsidRDefault="005266C6" w:rsidP="005266C6">
      <w:pPr>
        <w:pStyle w:val="Normal12Hanging"/>
        <w:rPr>
          <w:szCs w:val="24"/>
          <w:lang w:val="da-DK"/>
        </w:rPr>
      </w:pPr>
      <w:r w:rsidRPr="00E9134F">
        <w:rPr>
          <w:szCs w:val="24"/>
          <w:lang w:val="da-DK"/>
        </w:rPr>
        <w:t>AA.</w:t>
      </w:r>
      <w:r w:rsidRPr="00E9134F">
        <w:rPr>
          <w:szCs w:val="24"/>
          <w:lang w:val="da-DK"/>
        </w:rPr>
        <w:tab/>
        <w:t xml:space="preserve">der henviser til, at udvidelsen både er en stor finansiel udfordring for EU, navnlig hvad angår samhørigheds- og landbrugspolitikker såvel som andre EU-programmer og -politikker, og en mulighed for at reformere EU; der henviser til, at de nuværende og fremtidige </w:t>
      </w:r>
      <w:proofErr w:type="spellStart"/>
      <w:r w:rsidRPr="00E9134F">
        <w:rPr>
          <w:szCs w:val="24"/>
          <w:lang w:val="da-DK"/>
        </w:rPr>
        <w:t>FFR'er</w:t>
      </w:r>
      <w:proofErr w:type="spellEnd"/>
      <w:r w:rsidRPr="00E9134F">
        <w:rPr>
          <w:szCs w:val="24"/>
          <w:lang w:val="da-DK"/>
        </w:rPr>
        <w:t xml:space="preserve"> bør revideres, omprioriteres, konstrueres korrekt og styrkes betydeligt, og at deres forvaltning bør revideres for at muliggøre og understøtte en betydelig udvidelse af EU uden at bringe den støtte, der er behov for i de nuværende medlemsstater, i fare; der henviser til, at dette finansielle grundlag skal være på plads forud for udvidelsen;</w:t>
      </w:r>
    </w:p>
    <w:p w:rsidR="005266C6" w:rsidRPr="00E9134F" w:rsidRDefault="005266C6" w:rsidP="005266C6">
      <w:pPr>
        <w:pStyle w:val="Normal12Hanging"/>
        <w:rPr>
          <w:szCs w:val="24"/>
          <w:lang w:val="da-DK"/>
        </w:rPr>
      </w:pPr>
      <w:r w:rsidRPr="00E9134F">
        <w:rPr>
          <w:szCs w:val="24"/>
          <w:lang w:val="da-DK"/>
        </w:rPr>
        <w:t>AB.</w:t>
      </w:r>
      <w:r w:rsidRPr="00E9134F">
        <w:rPr>
          <w:szCs w:val="24"/>
          <w:lang w:val="da-DK"/>
        </w:rPr>
        <w:tab/>
        <w:t>der henviser til, at genopbygningen og genopretningen af Ukraine efter krigen er en yderligere udfordring, der skal tackles i en bredere sammenhæng med en international indsats;</w:t>
      </w:r>
    </w:p>
    <w:p w:rsidR="005266C6" w:rsidRPr="00E9134F" w:rsidRDefault="005266C6" w:rsidP="005266C6">
      <w:pPr>
        <w:pStyle w:val="Normal12Hanging"/>
        <w:rPr>
          <w:b/>
          <w:bCs/>
          <w:i/>
          <w:iCs/>
          <w:szCs w:val="24"/>
          <w:lang w:val="da-DK"/>
        </w:rPr>
      </w:pPr>
      <w:r w:rsidRPr="00E9134F">
        <w:rPr>
          <w:b/>
          <w:i/>
          <w:szCs w:val="24"/>
          <w:lang w:val="da-DK"/>
        </w:rPr>
        <w:t>Om den strategiske dimension af udvidelsen</w:t>
      </w:r>
    </w:p>
    <w:p w:rsidR="005266C6" w:rsidRPr="00E9134F" w:rsidRDefault="005266C6" w:rsidP="005266C6">
      <w:pPr>
        <w:pStyle w:val="Normal12Hanging"/>
        <w:rPr>
          <w:szCs w:val="24"/>
          <w:lang w:val="da-DK"/>
        </w:rPr>
      </w:pPr>
      <w:r w:rsidRPr="00E9134F">
        <w:rPr>
          <w:szCs w:val="24"/>
          <w:lang w:val="da-DK"/>
        </w:rPr>
        <w:t>1.</w:t>
      </w:r>
      <w:r w:rsidRPr="00E9134F">
        <w:rPr>
          <w:szCs w:val="24"/>
          <w:lang w:val="da-DK"/>
        </w:rPr>
        <w:tab/>
        <w:t>glæder sig over mange europæiske landes og deres borgeres ønske om at tiltræde EU og anerkender deres politiske vilje og den seriøse indsats, de har gjort for at opfylde kravene til medlemskab;</w:t>
      </w:r>
    </w:p>
    <w:p w:rsidR="005266C6" w:rsidRPr="00E9134F" w:rsidRDefault="005266C6" w:rsidP="005266C6">
      <w:pPr>
        <w:pStyle w:val="Normal12Hanging"/>
        <w:rPr>
          <w:szCs w:val="24"/>
          <w:lang w:val="da-DK"/>
        </w:rPr>
      </w:pPr>
      <w:r w:rsidRPr="00E9134F">
        <w:rPr>
          <w:szCs w:val="24"/>
          <w:lang w:val="da-DK"/>
        </w:rPr>
        <w:t>2.</w:t>
      </w:r>
      <w:r w:rsidRPr="00E9134F">
        <w:rPr>
          <w:szCs w:val="24"/>
          <w:lang w:val="da-DK"/>
        </w:rPr>
        <w:tab/>
        <w:t>mener, at udvidelsen er af største strategiske betydning for EU; bekræfter på ny, at en styrket udvidelsespolitik er blevet et af EU's stærkeste politiske og geopolitiske værktøjer, der udgør en geostrategisk investering i langsigtet fred, demokrati, stabilitet, sikkerhed, klimabeskyttelse og velstand på tværs af kontinentet og især i lyset af Ruslands angrebskrig mod Ukraine og andre fælles geopolitiske udfordringer, der kræver en langsigtet politisk vision og modige beslutninger; understreger, at det er bydende nødvendigt at vise EU's engagement i den internationale regelbaserede orden; insisterer på, at udvidelsen af EU og inddragelsen af Ukraine i de vestlige kollektive sikkerheds- og forsvarssystemer vil styrke den europæiske sikkerhed i betragtning af de store sikkerhedsmæssige udfordringer, som Europa står over for;</w:t>
      </w:r>
    </w:p>
    <w:p w:rsidR="005266C6" w:rsidRPr="00E9134F" w:rsidRDefault="005266C6" w:rsidP="005266C6">
      <w:pPr>
        <w:pStyle w:val="Normal12Hanging"/>
        <w:rPr>
          <w:bCs/>
          <w:iCs/>
          <w:szCs w:val="24"/>
          <w:lang w:val="da-DK"/>
        </w:rPr>
      </w:pPr>
      <w:r w:rsidRPr="00E9134F">
        <w:rPr>
          <w:szCs w:val="24"/>
          <w:lang w:val="da-DK"/>
        </w:rPr>
        <w:t>3.</w:t>
      </w:r>
      <w:r w:rsidRPr="00E9134F">
        <w:rPr>
          <w:szCs w:val="24"/>
          <w:lang w:val="da-DK"/>
        </w:rPr>
        <w:tab/>
        <w:t xml:space="preserve">glæder sig over Kommissionens henstillinger i udvidelsespakken fra 2023 og glæder sig endvidere over Det Europæiske Råds beslutninger om at indlede tiltrædelsesforhandlinger med Ukraine og Republikken Moldova, give Georgien status som kandidatland, under forudsætning af at de relevante skridt, der er fastsat i </w:t>
      </w:r>
      <w:r w:rsidRPr="00E9134F">
        <w:rPr>
          <w:szCs w:val="24"/>
          <w:lang w:val="da-DK"/>
        </w:rPr>
        <w:lastRenderedPageBreak/>
        <w:t>Kommissionens henstilling af 8. november 2023, tages, og at indlede tiltrædelsesforhandlinger med Bosnien-Hercegovina, når den nødvendige grad af overholdelse af medlemskabskriterierne er opnået; opfordrer Rådet til at pålægge Kommissionen straks at forelægge forslag til de relevante forhandlingsrammer og vedtage dem, når de relevante skridt, der er fastsat i Kommissionens respektive henstillinger af 8. november 2023, er taget;</w:t>
      </w:r>
    </w:p>
    <w:p w:rsidR="005266C6" w:rsidRPr="00E9134F" w:rsidRDefault="005266C6" w:rsidP="005266C6">
      <w:pPr>
        <w:pStyle w:val="Normal12Hanging"/>
        <w:rPr>
          <w:rFonts w:eastAsia="Calibri"/>
          <w:b/>
          <w:i/>
          <w:szCs w:val="24"/>
          <w:lang w:val="da-DK"/>
        </w:rPr>
      </w:pPr>
      <w:r w:rsidRPr="00E9134F">
        <w:rPr>
          <w:b/>
          <w:i/>
          <w:szCs w:val="24"/>
          <w:lang w:val="da-DK"/>
        </w:rPr>
        <w:t>Om tiltrædelsesprocedurer og Europa-Parlamentets rolle</w:t>
      </w:r>
    </w:p>
    <w:p w:rsidR="005266C6" w:rsidRPr="00E9134F" w:rsidRDefault="005266C6" w:rsidP="005266C6">
      <w:pPr>
        <w:pStyle w:val="Normal12Hanging"/>
        <w:rPr>
          <w:szCs w:val="24"/>
          <w:lang w:val="da-DK"/>
        </w:rPr>
      </w:pPr>
      <w:r w:rsidRPr="00E9134F">
        <w:rPr>
          <w:szCs w:val="24"/>
          <w:lang w:val="da-DK"/>
        </w:rPr>
        <w:t>4.</w:t>
      </w:r>
      <w:r w:rsidRPr="00E9134F">
        <w:rPr>
          <w:szCs w:val="24"/>
          <w:lang w:val="da-DK"/>
        </w:rPr>
        <w:tab/>
        <w:t>anerkender den historiske mulighed og udfordring, som EU står over for med hensyn til at opfylde sine forpligtelser over for landene og befolkningerne i Albanien, Bosnien-Hercegovina, Nordmakedonien, Kosovo, Montenegro og Serbien samt Ukraine, Republikken Moldova og Georgien; anerkender betydningen af den europæiske integration af disse vigtige partnere; anerkender også betydningen af regionalt samarbejde inden for de respektive regioner i Det Østlige Partnerskab og Vestbalkan;</w:t>
      </w:r>
    </w:p>
    <w:p w:rsidR="005266C6" w:rsidRPr="00E9134F" w:rsidRDefault="005266C6" w:rsidP="005266C6">
      <w:pPr>
        <w:pStyle w:val="Normal12Hanging"/>
        <w:rPr>
          <w:szCs w:val="24"/>
          <w:lang w:val="da-DK"/>
        </w:rPr>
      </w:pPr>
      <w:r w:rsidRPr="00E9134F">
        <w:rPr>
          <w:szCs w:val="24"/>
          <w:lang w:val="da-DK"/>
        </w:rPr>
        <w:t>5.</w:t>
      </w:r>
      <w:r w:rsidRPr="00E9134F">
        <w:rPr>
          <w:szCs w:val="24"/>
          <w:lang w:val="da-DK"/>
        </w:rPr>
        <w:tab/>
        <w:t>gentager det synspunkt, at Tyrkiets EU-tiltrædelsesproces ikke kan genoptages under de nuværende omstændigheder; opfordrer indtrængende den tyrkiske regering til at bryde det nuværende dødvande og bevæge sig i retning af et tættere, mere dynamisk og strategisk partnerskab ved at udvikle en realistisk, parallel samarbejdsramme, såsom en moderniseret associeringsaftale, og opfordrer Kommissionen til at undersøge mulige formater for en sådan ramme; minder om, at enhver forbedring af forbindelserne mellem EU og Tyrkiet skal være baseret på håndgribelige fremskridt med hensyn til menneskerettigheder, demokrati og respektfulde naboskabsforbindelser;</w:t>
      </w:r>
    </w:p>
    <w:p w:rsidR="005266C6" w:rsidRPr="00E9134F" w:rsidRDefault="005266C6" w:rsidP="005266C6">
      <w:pPr>
        <w:pStyle w:val="Normal12Hanging"/>
        <w:rPr>
          <w:szCs w:val="24"/>
          <w:lang w:val="da-DK"/>
        </w:rPr>
      </w:pPr>
      <w:r w:rsidRPr="00E9134F">
        <w:rPr>
          <w:szCs w:val="24"/>
          <w:lang w:val="da-DK"/>
        </w:rPr>
        <w:t>6.</w:t>
      </w:r>
      <w:r w:rsidRPr="00E9134F">
        <w:rPr>
          <w:szCs w:val="24"/>
          <w:lang w:val="da-DK"/>
        </w:rPr>
        <w:tab/>
        <w:t>understreger, at tiltrædelse af EU altid skal være en meritbaseret procedure, og at hver ansøger skal vurderes ud fra sine egen meritter med hensyn til at opfylde Københavnskriterierne i deres fulde udstrækning; understreger, at der ikke kan foreligge nogen kortsigtede begrænsninger af EU's værdier og grundlæggende principper; fremhæver, at retsstatsprincippet, demokratiske reformer, mediefrihed og respekt for menneskerettighederne, herunder mindretalsrettigheder, bør sættes i spidsen for tiltrædelsesprocessen, idet retsvæsenets uafhængighed, bekæmpelse af korruption og styrkelse af civilsamfundet er afgørende forudsætninger for fremskridt hen imod EU-medlemskab;</w:t>
      </w:r>
    </w:p>
    <w:p w:rsidR="005266C6" w:rsidRPr="00E9134F" w:rsidRDefault="005266C6" w:rsidP="005266C6">
      <w:pPr>
        <w:pStyle w:val="Normal12Hanging"/>
        <w:rPr>
          <w:b/>
          <w:bCs/>
          <w:i/>
          <w:iCs/>
          <w:szCs w:val="24"/>
          <w:lang w:val="da-DK"/>
        </w:rPr>
      </w:pPr>
      <w:r w:rsidRPr="00E9134F">
        <w:rPr>
          <w:szCs w:val="24"/>
          <w:lang w:val="da-DK"/>
        </w:rPr>
        <w:t>7.</w:t>
      </w:r>
      <w:r w:rsidRPr="00E9134F">
        <w:rPr>
          <w:szCs w:val="24"/>
          <w:lang w:val="da-DK"/>
        </w:rPr>
        <w:tab/>
        <w:t xml:space="preserve">anmoder om, at effektive overvågningsmekanismer til beskyttelse af grundlæggende værdier og Unionens sunde finansielle interesser i forbindelse med tiltrædelsesprocedurer styrkes; gentager i den forbindelse sine opfordringer til at inddrage kandidatlande i EU's retsstatsmekanisme og dens årlige rapportering og dermed automatisk aktivere </w:t>
      </w:r>
      <w:proofErr w:type="spellStart"/>
      <w:r w:rsidRPr="00E9134F">
        <w:rPr>
          <w:szCs w:val="24"/>
          <w:lang w:val="da-DK"/>
        </w:rPr>
        <w:t>førtiltrædelsessamarbejdet</w:t>
      </w:r>
      <w:proofErr w:type="spellEnd"/>
      <w:r w:rsidRPr="00E9134F">
        <w:rPr>
          <w:szCs w:val="24"/>
          <w:lang w:val="da-DK"/>
        </w:rPr>
        <w:t xml:space="preserve"> og kontrolmekanismerne; støtter Kommissionens hensigt om at medtage tiltrædelseslandene i retsstatsrapporterne og insisterer på, at de skal indgå i de årlige statusrapporter;</w:t>
      </w:r>
    </w:p>
    <w:p w:rsidR="005266C6" w:rsidRPr="00E9134F" w:rsidRDefault="005266C6" w:rsidP="005266C6">
      <w:pPr>
        <w:pStyle w:val="Normal12Hanging"/>
        <w:rPr>
          <w:szCs w:val="24"/>
          <w:lang w:val="da-DK"/>
        </w:rPr>
      </w:pPr>
      <w:r w:rsidRPr="00E9134F">
        <w:rPr>
          <w:szCs w:val="24"/>
          <w:lang w:val="da-DK"/>
        </w:rPr>
        <w:t>8.</w:t>
      </w:r>
      <w:r w:rsidRPr="00E9134F">
        <w:rPr>
          <w:szCs w:val="24"/>
          <w:lang w:val="da-DK"/>
        </w:rPr>
        <w:tab/>
        <w:t>tilskynder udvidelseslandene til at fortsætte med beslutsomt at gennemføre de nødvendige reformer og gøre håndgribelige og uigenkaldelige fremskridt, begyndende med de grundlæggende elementer i EU-tiltrædelsesprocessen;</w:t>
      </w:r>
    </w:p>
    <w:p w:rsidR="005266C6" w:rsidRPr="00E9134F" w:rsidRDefault="005266C6" w:rsidP="005266C6">
      <w:pPr>
        <w:pStyle w:val="Normal12Hanging"/>
        <w:rPr>
          <w:szCs w:val="24"/>
          <w:lang w:val="da-DK"/>
        </w:rPr>
      </w:pPr>
      <w:r w:rsidRPr="00E9134F">
        <w:rPr>
          <w:szCs w:val="24"/>
          <w:lang w:val="da-DK"/>
        </w:rPr>
        <w:t>9.</w:t>
      </w:r>
      <w:r w:rsidRPr="00E9134F">
        <w:rPr>
          <w:szCs w:val="24"/>
          <w:lang w:val="da-DK"/>
        </w:rPr>
        <w:tab/>
        <w:t>insisterer på behovet for en kontinuerlig indsats for at fremme mediepluralisme, forsvare journalisters rettigheder og sikre ytringsfrihed i alle kandidatlande;</w:t>
      </w:r>
    </w:p>
    <w:p w:rsidR="005266C6" w:rsidRPr="00E9134F" w:rsidRDefault="005266C6" w:rsidP="005266C6">
      <w:pPr>
        <w:pStyle w:val="Normal12Hanging"/>
        <w:rPr>
          <w:szCs w:val="24"/>
          <w:lang w:val="da-DK"/>
        </w:rPr>
      </w:pPr>
      <w:r w:rsidRPr="00E9134F">
        <w:rPr>
          <w:szCs w:val="24"/>
          <w:lang w:val="da-DK"/>
        </w:rPr>
        <w:t>10.</w:t>
      </w:r>
      <w:r w:rsidRPr="00E9134F">
        <w:rPr>
          <w:b/>
          <w:i/>
          <w:szCs w:val="24"/>
          <w:lang w:val="da-DK"/>
        </w:rPr>
        <w:tab/>
      </w:r>
      <w:r w:rsidRPr="00E9134F">
        <w:rPr>
          <w:szCs w:val="24"/>
          <w:lang w:val="da-DK"/>
        </w:rPr>
        <w:t xml:space="preserve">påpeger, at tilpasning til EU's fælles udenrigs- og sikkerhedspolitik (FUSP) også er en </w:t>
      </w:r>
      <w:r w:rsidRPr="00E9134F">
        <w:rPr>
          <w:szCs w:val="24"/>
          <w:lang w:val="da-DK"/>
        </w:rPr>
        <w:lastRenderedPageBreak/>
        <w:t>væsentlig indikator for fuld overholdelse af EU's grundlæggende principper og bæredygtigt fremtidigt medlemskab; opfordrer indtrængende alle kandidatlande og potentielle kandidatlande til at prioritere en hurtig og fuldstændig tilpasning til FUSP og gentager, at et givet lands tiltrædelse først kan ske, når den er i overensstemmelse med EU's restriktive foranstaltninger, herunder sanktioner, der er indført som reaktion på Ruslands angrebskrig mod Ukraine;</w:t>
      </w:r>
    </w:p>
    <w:p w:rsidR="005266C6" w:rsidRPr="00E9134F" w:rsidRDefault="005266C6" w:rsidP="005266C6">
      <w:pPr>
        <w:pStyle w:val="Normal12Hanging"/>
        <w:rPr>
          <w:szCs w:val="24"/>
          <w:lang w:val="da-DK"/>
        </w:rPr>
      </w:pPr>
      <w:r w:rsidRPr="00E9134F">
        <w:rPr>
          <w:szCs w:val="24"/>
          <w:lang w:val="da-DK"/>
        </w:rPr>
        <w:t>11.</w:t>
      </w:r>
      <w:r w:rsidRPr="00E9134F">
        <w:rPr>
          <w:szCs w:val="24"/>
          <w:lang w:val="da-DK"/>
        </w:rPr>
        <w:tab/>
        <w:t>opfordrer til en grundig evaluering af EU's udvidelsesstrategi og af årsagerne til, at visse udvidelseslande kun har gjort begrænsede fremskridt, navnlig på områderne retsstatsprincippet, menneskerettigheder og demokrati;</w:t>
      </w:r>
    </w:p>
    <w:p w:rsidR="005266C6" w:rsidRPr="00E9134F" w:rsidRDefault="005266C6" w:rsidP="005266C6">
      <w:pPr>
        <w:pStyle w:val="Normal12Hanging"/>
        <w:rPr>
          <w:bCs/>
          <w:iCs/>
          <w:szCs w:val="24"/>
          <w:lang w:val="da-DK"/>
        </w:rPr>
      </w:pPr>
      <w:r w:rsidRPr="00E9134F">
        <w:rPr>
          <w:szCs w:val="24"/>
          <w:lang w:val="da-DK"/>
        </w:rPr>
        <w:t>12.</w:t>
      </w:r>
      <w:r w:rsidRPr="00E9134F">
        <w:rPr>
          <w:szCs w:val="24"/>
          <w:lang w:val="da-DK"/>
        </w:rPr>
        <w:tab/>
        <w:t>mener, at Kommissionens reviderede metode, som bør ajourføres, så den omfatter Ukraines, Republikken Moldovas og Georgiens tiltrædelsesprocesser, er en langsigtet politisk ramme, der styrer udvidelsesprocessen;</w:t>
      </w:r>
    </w:p>
    <w:p w:rsidR="005266C6" w:rsidRPr="00E9134F" w:rsidRDefault="005266C6" w:rsidP="005266C6">
      <w:pPr>
        <w:pStyle w:val="Normal12Hanging"/>
        <w:rPr>
          <w:b/>
          <w:bCs/>
          <w:i/>
          <w:iCs/>
          <w:szCs w:val="24"/>
          <w:lang w:val="da-DK"/>
        </w:rPr>
      </w:pPr>
      <w:r w:rsidRPr="00E9134F">
        <w:rPr>
          <w:szCs w:val="24"/>
          <w:lang w:val="da-DK"/>
        </w:rPr>
        <w:t>13.</w:t>
      </w:r>
      <w:r w:rsidRPr="00E9134F">
        <w:rPr>
          <w:szCs w:val="24"/>
          <w:lang w:val="da-DK"/>
        </w:rPr>
        <w:tab/>
        <w:t>understreger, at selv om processen bør blive mere gradvis og dynamisk, og EU bør fastsætte konkrete individuelle reformmål, køreplaner og mellemliggende tidsplaner for hvert tiltrædelsesland, kan der ikke være nogen hurtige eller foruddefinerede frister for medlemskab, da de kan påvirke tiltrædelsesprocessens integritet; mener imidlertid, at den næste udvidelse af EU bør finde sted, så snart alle tiltrædelsesbetingelser er opfyldt i de pågældende kandidatlande, og de nødvendige europæiske reformer samtidig er vedtaget og gennemført; forventer, at de første kandidatlande vil være klar til at tiltræde Unionen inden udgangen af dette årti;</w:t>
      </w:r>
    </w:p>
    <w:p w:rsidR="005266C6" w:rsidRPr="00E9134F" w:rsidRDefault="005266C6" w:rsidP="005266C6">
      <w:pPr>
        <w:pStyle w:val="Normal12Hanging"/>
        <w:rPr>
          <w:szCs w:val="24"/>
          <w:lang w:val="da-DK"/>
        </w:rPr>
      </w:pPr>
      <w:r w:rsidRPr="00E9134F">
        <w:rPr>
          <w:szCs w:val="24"/>
          <w:lang w:val="da-DK"/>
        </w:rPr>
        <w:t>14.</w:t>
      </w:r>
      <w:r w:rsidRPr="00E9134F">
        <w:rPr>
          <w:szCs w:val="24"/>
          <w:lang w:val="da-DK"/>
        </w:rPr>
        <w:tab/>
        <w:t>insisterer på, at EU's udvidelse er et fælles ansvar for de nuværende medlemsstater og de lande, der ønsker medlemskab; opfordrer medlemsstaterne til at udvise et klart og utvetydigt politisk engagement i udvidelsesprocessen baseret på objektive kriterier og ikke misbrugt til at bilægge bilaterale tvister, som bør løses uafhængigt af tiltrædelsesprocessen; understreger, at uforholdsmæssigt store forsinkelser på vejen mod fuldt EU-medlemskab kan påvirke både den offentlige mening og kandidatlandenes politiske engagement negativt;</w:t>
      </w:r>
    </w:p>
    <w:p w:rsidR="005266C6" w:rsidRPr="00E9134F" w:rsidRDefault="005266C6" w:rsidP="005266C6">
      <w:pPr>
        <w:pStyle w:val="Normal12Hanging"/>
        <w:rPr>
          <w:szCs w:val="24"/>
          <w:lang w:val="da-DK"/>
        </w:rPr>
      </w:pPr>
      <w:r w:rsidRPr="00E9134F">
        <w:rPr>
          <w:szCs w:val="24"/>
          <w:lang w:val="da-DK"/>
        </w:rPr>
        <w:t>15.</w:t>
      </w:r>
      <w:r w:rsidRPr="00E9134F">
        <w:rPr>
          <w:szCs w:val="24"/>
          <w:lang w:val="da-DK"/>
        </w:rPr>
        <w:tab/>
        <w:t xml:space="preserve">understreger, at tiltrædelsesprocesser kan finde sted på en reversibel måde, og at den meritbaserede tilgang også kan føre til fastfrysning af tiltrædelsesforhandlingerne i tilfælde af tilbageskridt med hensyn til grundlæggende værdier og først kan genoptages efter betydelige reformfremskridt; opfordrer til solid og forbedret overvågning, rapportering og vurdering af de reformer og fremskridt, som kandidatlandene har gjort i alle forhandlingskapitlerne, med en strategisk anvendt målrettet </w:t>
      </w:r>
      <w:proofErr w:type="spellStart"/>
      <w:r w:rsidRPr="00E9134F">
        <w:rPr>
          <w:szCs w:val="24"/>
          <w:lang w:val="da-DK"/>
        </w:rPr>
        <w:t>konditionalitet</w:t>
      </w:r>
      <w:proofErr w:type="spellEnd"/>
      <w:r w:rsidRPr="00E9134F">
        <w:rPr>
          <w:szCs w:val="24"/>
          <w:lang w:val="da-DK"/>
        </w:rPr>
        <w:t xml:space="preserve"> baseret på klare </w:t>
      </w:r>
      <w:proofErr w:type="spellStart"/>
      <w:r w:rsidRPr="00E9134F">
        <w:rPr>
          <w:szCs w:val="24"/>
          <w:lang w:val="da-DK"/>
        </w:rPr>
        <w:t>benchmarks</w:t>
      </w:r>
      <w:proofErr w:type="spellEnd"/>
      <w:r w:rsidRPr="00E9134F">
        <w:rPr>
          <w:szCs w:val="24"/>
          <w:lang w:val="da-DK"/>
        </w:rPr>
        <w:t xml:space="preserve"> for fremskridt, sanktionering af forringelser af grundlæggende faktorer eller vedvarende stilstand i reformer og belønning af reformer og opfyldelse af </w:t>
      </w:r>
      <w:proofErr w:type="spellStart"/>
      <w:r w:rsidRPr="00E9134F">
        <w:rPr>
          <w:szCs w:val="24"/>
          <w:lang w:val="da-DK"/>
        </w:rPr>
        <w:t>benchmarks</w:t>
      </w:r>
      <w:proofErr w:type="spellEnd"/>
      <w:r w:rsidRPr="00E9134F">
        <w:rPr>
          <w:szCs w:val="24"/>
          <w:lang w:val="da-DK"/>
        </w:rPr>
        <w:t xml:space="preserve"> gennem klare forhandlingsfrister;</w:t>
      </w:r>
    </w:p>
    <w:p w:rsidR="005266C6" w:rsidRPr="00E9134F" w:rsidRDefault="005266C6" w:rsidP="005266C6">
      <w:pPr>
        <w:pStyle w:val="Normal12Hanging"/>
        <w:rPr>
          <w:szCs w:val="24"/>
          <w:lang w:val="da-DK"/>
        </w:rPr>
      </w:pPr>
      <w:r w:rsidRPr="00E9134F">
        <w:rPr>
          <w:szCs w:val="24"/>
          <w:lang w:val="da-DK"/>
        </w:rPr>
        <w:t>16.</w:t>
      </w:r>
      <w:r w:rsidRPr="00E9134F">
        <w:rPr>
          <w:szCs w:val="24"/>
          <w:lang w:val="da-DK"/>
        </w:rPr>
        <w:tab/>
        <w:t xml:space="preserve">opfordrer Kommissionen til at forbedre sammenhængen, effektiviteten og gennemsigtigheden af </w:t>
      </w:r>
      <w:proofErr w:type="spellStart"/>
      <w:r w:rsidRPr="00E9134F">
        <w:rPr>
          <w:szCs w:val="24"/>
          <w:lang w:val="da-DK"/>
        </w:rPr>
        <w:t>førtiltrædelsesbistanden</w:t>
      </w:r>
      <w:proofErr w:type="spellEnd"/>
      <w:r w:rsidRPr="00E9134F">
        <w:rPr>
          <w:szCs w:val="24"/>
          <w:lang w:val="da-DK"/>
        </w:rPr>
        <w:t xml:space="preserve">, så den klart afspejler prioriteterne på de grundlæggende områder i tildelingen af IPA III-midler; opfordrer navnlig til indførelse af strengere og mere retskraftig ansvarlighed med hensyn til udgifter og til forbedring af den overordnede cyklus for udbetaling, gennemførelse og kontrol af </w:t>
      </w:r>
      <w:proofErr w:type="spellStart"/>
      <w:r w:rsidRPr="00E9134F">
        <w:rPr>
          <w:szCs w:val="24"/>
          <w:lang w:val="da-DK"/>
        </w:rPr>
        <w:t>førtiltrædelsesfinansiering</w:t>
      </w:r>
      <w:proofErr w:type="spellEnd"/>
      <w:r w:rsidRPr="00E9134F">
        <w:rPr>
          <w:szCs w:val="24"/>
          <w:lang w:val="da-DK"/>
        </w:rPr>
        <w:t xml:space="preserve">, idet der anvendes strenge betingelser, herunder i forbindelse med gennemførelsen af den økonomiske plan og investeringsplanen og den nye vækstplan for Vestbalkan; opfordrer Kommissionen til at foretage en midtvejsevaluering af IPA III-forordningen og til at foreslå, at Ukraine, Republikken </w:t>
      </w:r>
      <w:r w:rsidRPr="00E9134F">
        <w:rPr>
          <w:szCs w:val="24"/>
          <w:lang w:val="da-DK"/>
        </w:rPr>
        <w:lastRenderedPageBreak/>
        <w:t>Moldova og Georgien opføres på listen over modtagere heraf; opfordrer Kommissionen til hurtigt at gennemføre anbefalingerne i Den Europæiske Revisionsrets særberetning nr. 1/2022;</w:t>
      </w:r>
    </w:p>
    <w:p w:rsidR="005266C6" w:rsidRPr="00E9134F" w:rsidRDefault="005266C6" w:rsidP="005266C6">
      <w:pPr>
        <w:pStyle w:val="Normal12Hanging"/>
        <w:rPr>
          <w:szCs w:val="24"/>
          <w:lang w:val="da-DK"/>
        </w:rPr>
      </w:pPr>
      <w:r w:rsidRPr="00E9134F">
        <w:rPr>
          <w:szCs w:val="24"/>
          <w:lang w:val="da-DK"/>
        </w:rPr>
        <w:t>17.</w:t>
      </w:r>
      <w:r w:rsidRPr="00E9134F">
        <w:rPr>
          <w:szCs w:val="24"/>
          <w:lang w:val="da-DK"/>
        </w:rPr>
        <w:tab/>
        <w:t>opfordrer til, at mulighederne for yderligere at styrke beskyttelsen af retsstatsprincippet og EU's demokratiske værdier mod tilbageskridt for både eksisterende og fremtidige medlemsstater undersøges i forbindelse med traktatreformer, der sikrer, at udvidelsen styrker EU og det indre marked;</w:t>
      </w:r>
    </w:p>
    <w:p w:rsidR="005266C6" w:rsidRPr="00E9134F" w:rsidRDefault="005266C6" w:rsidP="005266C6">
      <w:pPr>
        <w:pStyle w:val="Normal12Hanging"/>
        <w:rPr>
          <w:szCs w:val="24"/>
          <w:lang w:val="da-DK"/>
        </w:rPr>
      </w:pPr>
      <w:r w:rsidRPr="00E9134F">
        <w:rPr>
          <w:szCs w:val="24"/>
          <w:lang w:val="da-DK"/>
        </w:rPr>
        <w:t>18.</w:t>
      </w:r>
      <w:r w:rsidRPr="00E9134F">
        <w:rPr>
          <w:b/>
          <w:i/>
          <w:szCs w:val="24"/>
          <w:lang w:val="da-DK"/>
        </w:rPr>
        <w:tab/>
      </w:r>
      <w:r w:rsidRPr="00E9134F">
        <w:rPr>
          <w:szCs w:val="24"/>
          <w:lang w:val="da-DK"/>
        </w:rPr>
        <w:t>understreger behovet for at sikre, at EU-midler, der ydes til udvidelseslandene, er i overensstemmelse med EU's egne strategiske mål og interesser; opfordrer Kommissionen til at støtte de tiltrædelseslande, der arbejder for gode naboskabsforbindelser, herunder regionalt samarbejde og bæredygtig forsoning, herunder, men ikke begrænset til, retsforfølgning af krigsforbrydere og sikring af adgang til sandhed, retfærdighed og effektiv erstatning til ofre for krigsforbrydelser, forbrydelser mod menneskeheden og folkedrab;</w:t>
      </w:r>
    </w:p>
    <w:p w:rsidR="005266C6" w:rsidRPr="00E9134F" w:rsidRDefault="005266C6" w:rsidP="005266C6">
      <w:pPr>
        <w:pStyle w:val="Normal12Hanging"/>
        <w:rPr>
          <w:szCs w:val="24"/>
          <w:lang w:val="da-DK"/>
        </w:rPr>
      </w:pPr>
      <w:r w:rsidRPr="00E9134F">
        <w:rPr>
          <w:szCs w:val="24"/>
          <w:lang w:val="da-DK"/>
        </w:rPr>
        <w:t>19.</w:t>
      </w:r>
      <w:r w:rsidRPr="00E9134F">
        <w:rPr>
          <w:szCs w:val="24"/>
          <w:lang w:val="da-DK"/>
        </w:rPr>
        <w:tab/>
        <w:t>opfordrer tiltrædelseslandene til at styrke det retlige samarbejde med EU i straffesager inden for rammerne af samarbejdsordningerne med Den Europæiske Anklagemyndighed (EPPO) for at lette en effektiv efterforskning og retsforfølgning af misbrug af EU-midler, herunder gennem udstationering af nationale forbindelsesofficerer til EPPO, og øge de lokale forvaltningers administrative kapacitet;</w:t>
      </w:r>
    </w:p>
    <w:p w:rsidR="005266C6" w:rsidRPr="00E9134F" w:rsidRDefault="005266C6" w:rsidP="005266C6">
      <w:pPr>
        <w:pStyle w:val="Normal12Hanging"/>
        <w:rPr>
          <w:szCs w:val="24"/>
          <w:lang w:val="da-DK"/>
        </w:rPr>
      </w:pPr>
      <w:r w:rsidRPr="00E9134F">
        <w:rPr>
          <w:szCs w:val="24"/>
          <w:lang w:val="da-DK"/>
        </w:rPr>
        <w:t>20.</w:t>
      </w:r>
      <w:r w:rsidRPr="00E9134F">
        <w:rPr>
          <w:szCs w:val="24"/>
          <w:lang w:val="da-DK"/>
        </w:rPr>
        <w:tab/>
        <w:t>gentager sin holdning til behovet for et styrket, formelt, struktureret og systematisk samarbejde mellem EU og Europarådet om at støtte tiltrædelseslandene med hensyn til reformer og sikre, at de overholder alle Venedigkommissionens henstillinger på deres vej mod EU-medlemskab;</w:t>
      </w:r>
    </w:p>
    <w:p w:rsidR="005266C6" w:rsidRPr="00E9134F" w:rsidRDefault="005266C6" w:rsidP="005266C6">
      <w:pPr>
        <w:pStyle w:val="Normal12Hanging"/>
        <w:rPr>
          <w:b/>
          <w:bCs/>
          <w:i/>
          <w:iCs/>
          <w:szCs w:val="24"/>
          <w:lang w:val="da-DK"/>
        </w:rPr>
      </w:pPr>
      <w:r w:rsidRPr="00E9134F">
        <w:rPr>
          <w:szCs w:val="24"/>
          <w:lang w:val="da-DK"/>
        </w:rPr>
        <w:t>21.</w:t>
      </w:r>
      <w:r w:rsidRPr="00E9134F">
        <w:rPr>
          <w:szCs w:val="24"/>
          <w:lang w:val="da-DK"/>
        </w:rPr>
        <w:tab/>
        <w:t>mener, at udfordringen med et udvidet EU kræver en styrket udvidelsespolitik, der indfører en klar trinvis vej mod EU-medlemskab, herunder gradvis integration i de fælles politikker såsom det indre marked for de lande, der afslutter forhandlingerne om et givet politisk kapitel, eller som gør betydelige fremskridt med EU-relaterede reformer; bemærker, at sådanne fremskridt bør give adgang til EU-midler på de respektive områder for at skabe klare fordele for borgerne gennem hele processen; bemærker, at denne vej bør ledsages af øget teknisk og betinget finansiel bistand med særligt fokus på gennemførelse og håndhævelse af love under forhandlingsklynger om grundlæggende elementer og eksterne forbindelser, navnlig kapitel 23, 24, 30 og 31; opfordrer Kommissionen til at forelægge detaljerede forslag til den trinvise tiltrædelsesmetode, herunder klare "gradueringsklausuler" og reversibilitetsklausuler; understreger, at indfasningen af kandidatlande til udvalgte politikområder med begrænsede rettigheder og forpligtelser på ingen måde er en erstatning for eller et alternativ til fuldt medlemskab;</w:t>
      </w:r>
    </w:p>
    <w:p w:rsidR="005266C6" w:rsidRPr="00E9134F" w:rsidRDefault="005266C6" w:rsidP="005266C6">
      <w:pPr>
        <w:pStyle w:val="Normal12Hanging"/>
        <w:rPr>
          <w:szCs w:val="24"/>
          <w:lang w:val="da-DK"/>
        </w:rPr>
      </w:pPr>
      <w:r w:rsidRPr="00E9134F">
        <w:rPr>
          <w:szCs w:val="24"/>
          <w:lang w:val="da-DK"/>
        </w:rPr>
        <w:t>22.</w:t>
      </w:r>
      <w:r w:rsidRPr="00E9134F">
        <w:rPr>
          <w:szCs w:val="24"/>
          <w:lang w:val="da-DK"/>
        </w:rPr>
        <w:tab/>
        <w:t>anerkender betydningen af initiativer såsom det europæiske politiske fællesskab, som muliggør politisk samarbejde og bidrager til regionale dialoger, og som kan lette kandidatlandenes gradvise integration i Unionen og dens politikker, men som ikke er alternativer til EU-medlemskab;</w:t>
      </w:r>
    </w:p>
    <w:p w:rsidR="005266C6" w:rsidRPr="00E9134F" w:rsidRDefault="005266C6" w:rsidP="005266C6">
      <w:pPr>
        <w:pStyle w:val="Normal12Hanging"/>
        <w:rPr>
          <w:szCs w:val="24"/>
          <w:lang w:val="da-DK"/>
        </w:rPr>
      </w:pPr>
      <w:r w:rsidRPr="00E9134F">
        <w:rPr>
          <w:szCs w:val="24"/>
          <w:lang w:val="da-DK"/>
        </w:rPr>
        <w:t>23.</w:t>
      </w:r>
      <w:r w:rsidRPr="00E9134F">
        <w:rPr>
          <w:szCs w:val="24"/>
          <w:lang w:val="da-DK"/>
        </w:rPr>
        <w:tab/>
        <w:t>understreger, at det kunne være nyttigt at have en særskilt stilling som kommissær med ansvar for udvidelse;</w:t>
      </w:r>
    </w:p>
    <w:p w:rsidR="005266C6" w:rsidRPr="00E9134F" w:rsidRDefault="005266C6" w:rsidP="005266C6">
      <w:pPr>
        <w:pStyle w:val="Normal12Hanging"/>
        <w:rPr>
          <w:szCs w:val="24"/>
          <w:lang w:val="da-DK"/>
        </w:rPr>
      </w:pPr>
      <w:r w:rsidRPr="00E9134F">
        <w:rPr>
          <w:szCs w:val="24"/>
          <w:lang w:val="da-DK"/>
        </w:rPr>
        <w:lastRenderedPageBreak/>
        <w:t>24.</w:t>
      </w:r>
      <w:r w:rsidRPr="00E9134F">
        <w:rPr>
          <w:szCs w:val="24"/>
          <w:lang w:val="da-DK"/>
        </w:rPr>
        <w:tab/>
        <w:t>foreslår, at det overvejes at give kandidatlande observatørstatus i relevante organer og institutioner, herunder Parlamentet, i første omgang på grundlag af midlertidige ordninger, hvis forhandlingerne er tilstrækkeligt fremskredne, navnlig om klynger om grundlæggende forhold og eksterne forbindelser, og alle betingelser er opfyldt og aftalt, indtil tiltrædelsestraktaterne er undertegnet; glæder sig i den forbindelse over Det Europæiske Økonomiske og Sociale Udvalgs beslutning om at inkludere observatører fra kandidatlandene fra 2024;</w:t>
      </w:r>
    </w:p>
    <w:p w:rsidR="005266C6" w:rsidRPr="00E9134F" w:rsidRDefault="005266C6" w:rsidP="005266C6">
      <w:pPr>
        <w:pStyle w:val="Normal12Hanging"/>
        <w:rPr>
          <w:szCs w:val="24"/>
          <w:lang w:val="da-DK"/>
        </w:rPr>
      </w:pPr>
      <w:r w:rsidRPr="00E9134F">
        <w:rPr>
          <w:szCs w:val="24"/>
          <w:lang w:val="da-DK"/>
        </w:rPr>
        <w:t>25.</w:t>
      </w:r>
      <w:r w:rsidRPr="00E9134F">
        <w:rPr>
          <w:szCs w:val="24"/>
          <w:lang w:val="da-DK"/>
        </w:rPr>
        <w:tab/>
        <w:t>mener, at der er behov for en stærkere, mere effektiv og meningsfuld beslutningstagning og kontrol med EU's udvidelsespolitik og finansieringen heraf for at øge den demokratiske legitimitet og ansvarlighed; insisterer på at styrke Parlamentets rolle i hele tiltrædelsesprocessen, herunder de mellemliggende skridt, der omfatter en fuldstændig kontrol af de fremskridt, som kandidatlandene har gjort på tværs af politikområder; forpligter sig til at styrke regelmæssig og gennemsigtig dialog og samarbejde med kandidatlandenes nationale parlamenter som en model for parlamentarisk kontrol med EU-integrationen;</w:t>
      </w:r>
    </w:p>
    <w:p w:rsidR="005266C6" w:rsidRPr="00E9134F" w:rsidRDefault="005266C6" w:rsidP="005266C6">
      <w:pPr>
        <w:pStyle w:val="Normal12Hanging"/>
        <w:rPr>
          <w:bCs/>
          <w:iCs/>
          <w:szCs w:val="24"/>
          <w:lang w:val="da-DK"/>
        </w:rPr>
      </w:pPr>
      <w:r w:rsidRPr="00E9134F">
        <w:rPr>
          <w:szCs w:val="24"/>
          <w:lang w:val="da-DK"/>
        </w:rPr>
        <w:t>26.</w:t>
      </w:r>
      <w:r w:rsidRPr="00E9134F">
        <w:rPr>
          <w:szCs w:val="24"/>
          <w:lang w:val="da-DK"/>
        </w:rPr>
        <w:tab/>
        <w:t>understreger behovet for at styrke demokratistøtten gennem de eksisterende kanaler og instrumenter såsom Jean Monnet-dialogen, dialogen mellem partierne og den parlamentariske dialogproces (PDP);</w:t>
      </w:r>
    </w:p>
    <w:p w:rsidR="005266C6" w:rsidRPr="00E9134F" w:rsidRDefault="005266C6" w:rsidP="005266C6">
      <w:pPr>
        <w:pStyle w:val="Normal12Hanging"/>
        <w:rPr>
          <w:bCs/>
          <w:iCs/>
          <w:szCs w:val="24"/>
          <w:lang w:val="da-DK"/>
        </w:rPr>
      </w:pPr>
      <w:r w:rsidRPr="00E9134F">
        <w:rPr>
          <w:szCs w:val="24"/>
          <w:lang w:val="da-DK"/>
        </w:rPr>
        <w:t>27.</w:t>
      </w:r>
      <w:r w:rsidRPr="00E9134F">
        <w:rPr>
          <w:szCs w:val="24"/>
          <w:lang w:val="da-DK"/>
        </w:rPr>
        <w:tab/>
        <w:t>opfordrer EU-institutionerne og medlemsstaterne til fuldt ud at engagere sig i en yderligere styrkelse af reformprocesserne i kandidatlandene, navnlig deres administrative kapacitet;</w:t>
      </w:r>
    </w:p>
    <w:p w:rsidR="005266C6" w:rsidRPr="00E9134F" w:rsidRDefault="005266C6" w:rsidP="005266C6">
      <w:pPr>
        <w:pStyle w:val="Normal12Hanging"/>
        <w:rPr>
          <w:bCs/>
          <w:iCs/>
          <w:szCs w:val="24"/>
          <w:lang w:val="da-DK"/>
        </w:rPr>
      </w:pPr>
      <w:r w:rsidRPr="00E9134F">
        <w:rPr>
          <w:szCs w:val="24"/>
          <w:lang w:val="da-DK"/>
        </w:rPr>
        <w:t>28.</w:t>
      </w:r>
      <w:r w:rsidRPr="00E9134F">
        <w:rPr>
          <w:szCs w:val="24"/>
          <w:lang w:val="da-DK"/>
        </w:rPr>
        <w:tab/>
        <w:t>fremhæver behovet for at øge gennemsigtigheden, styrke borgernes deltagelse og tæt inddragelse af civilsamfundet i udvidelsesprocessen og dets kontrol og sikre bæredygtig finansiering heraf;</w:t>
      </w:r>
    </w:p>
    <w:p w:rsidR="005266C6" w:rsidRPr="00E9134F" w:rsidRDefault="005266C6" w:rsidP="005266C6">
      <w:pPr>
        <w:pStyle w:val="NormalHanging12a"/>
        <w:rPr>
          <w:szCs w:val="24"/>
        </w:rPr>
      </w:pPr>
      <w:r w:rsidRPr="00E9134F">
        <w:rPr>
          <w:szCs w:val="24"/>
        </w:rPr>
        <w:t>29.</w:t>
      </w:r>
      <w:r w:rsidRPr="00E9134F">
        <w:rPr>
          <w:szCs w:val="24"/>
        </w:rPr>
        <w:tab/>
        <w:t>understreger, at udvidelsesprocessen ikke utilsigtet må videreføre eller forværre uligheder baseret på seksuel orientering og kønsidentitet; opfordrer indtrængende Kommissionen og kandidatlandene til at integrere foranstaltninger i udvidelsesprocessen, der aktivt fremmer og sikrer LGBTIQ-individers rettigheder, såsom udvikling af politikker, der fjerner forskelsbehandling baseret på seksuel orientering og kønsidentitet, styrkelse af LGBTIQ-deltagelse i beslutningsprocesser og fremme rummelighed på det politiske, økonomiske og sociale område gennem uddannelse og bevidstgørelsesaktiviteter; opfordrer Kommissionen og kandidatlandene til behørigt at overvåge og evaluere status for LGBTIQ-rettigheder i kandidatlandene;</w:t>
      </w:r>
    </w:p>
    <w:p w:rsidR="005266C6" w:rsidRPr="00E9134F" w:rsidRDefault="005266C6" w:rsidP="005266C6">
      <w:pPr>
        <w:pStyle w:val="NormalHanging12a"/>
        <w:rPr>
          <w:szCs w:val="24"/>
        </w:rPr>
      </w:pPr>
      <w:r w:rsidRPr="00E9134F">
        <w:rPr>
          <w:szCs w:val="24"/>
        </w:rPr>
        <w:t>30.</w:t>
      </w:r>
      <w:r w:rsidRPr="00E9134F">
        <w:rPr>
          <w:szCs w:val="24"/>
        </w:rPr>
        <w:tab/>
        <w:t xml:space="preserve">mener, at tiltrædelsesprocessen skal sikre, at kandidatlandene øger deres indsats i forbindelse med lige rettigheder for personer med handicap; understreger behovet for at øge presset på kandidatlandene for at gennemføre reformer, der kan forbedre situationen for personer med handicap, og for at øge deres indsats for en </w:t>
      </w:r>
      <w:proofErr w:type="spellStart"/>
      <w:r w:rsidRPr="00E9134F">
        <w:rPr>
          <w:szCs w:val="24"/>
        </w:rPr>
        <w:t>afinstitutionalisering</w:t>
      </w:r>
      <w:proofErr w:type="spellEnd"/>
      <w:r w:rsidRPr="00E9134F">
        <w:rPr>
          <w:szCs w:val="24"/>
        </w:rPr>
        <w:t>, herunder overgangen fra institutionel pleje til familie- og lokalsamfundsbaseret pleje;</w:t>
      </w:r>
    </w:p>
    <w:p w:rsidR="005266C6" w:rsidRPr="00E9134F" w:rsidRDefault="005266C6" w:rsidP="005266C6">
      <w:pPr>
        <w:pStyle w:val="Normal12Hanging"/>
        <w:rPr>
          <w:rFonts w:eastAsia="Calibri"/>
          <w:b/>
          <w:i/>
          <w:szCs w:val="24"/>
          <w:lang w:val="da-DK"/>
        </w:rPr>
      </w:pPr>
      <w:r w:rsidRPr="00E9134F">
        <w:rPr>
          <w:b/>
          <w:i/>
          <w:szCs w:val="24"/>
          <w:lang w:val="da-DK"/>
        </w:rPr>
        <w:t>Om europæiske institutionelle og finansielle reformer</w:t>
      </w:r>
    </w:p>
    <w:p w:rsidR="005266C6" w:rsidRPr="00E9134F" w:rsidRDefault="005266C6" w:rsidP="005266C6">
      <w:pPr>
        <w:pStyle w:val="Normal12Hanging"/>
        <w:rPr>
          <w:bCs/>
          <w:iCs/>
          <w:szCs w:val="24"/>
          <w:lang w:val="da-DK"/>
        </w:rPr>
      </w:pPr>
      <w:r w:rsidRPr="00E9134F">
        <w:rPr>
          <w:szCs w:val="24"/>
          <w:lang w:val="da-DK"/>
        </w:rPr>
        <w:t>31.</w:t>
      </w:r>
      <w:r w:rsidRPr="00E9134F">
        <w:rPr>
          <w:szCs w:val="24"/>
          <w:lang w:val="da-DK"/>
        </w:rPr>
        <w:tab/>
        <w:t>mener, at forberedelserne til udvidelsen bør fortsætte sideløbende i EU og tiltrædelseslandene; understreger, at der er behov for europæiske institutionelle og finansielle reformer for at imødegå de aktuelle udfordringer og sikre EU's evne til at absorbere nye medlemmer og fremme deres vellykkede integration; opfordrer EU-</w:t>
      </w:r>
      <w:r w:rsidRPr="00E9134F">
        <w:rPr>
          <w:szCs w:val="24"/>
          <w:lang w:val="da-DK"/>
        </w:rPr>
        <w:lastRenderedPageBreak/>
        <w:t>institutionerne og medlemsstaterne til at gennemføre de nødvendige reformer for at sikre, at deres fravær ikke forsinker nye medlemsstaters tiltrædelse; bemærker, at disse reformer er nødvendige for at styrke EU og dets institutioner med henblik på at fremme demokratisk legitimitet, god regeringsførelse, funktionalitet, ansvarlighed, gennemsigtighed og bæredygtighed; understreger navnlig betydningen af at styrke EU-politikkernes demokratiske legitimitet ved at styrke Parlamentets beslutningstagnings- og kontrolrettigheder; gentager derfor sine opfordringer til at give Parlamentet en generel og direkte initiativret til lovgivning;</w:t>
      </w:r>
    </w:p>
    <w:p w:rsidR="005266C6" w:rsidRPr="00E9134F" w:rsidRDefault="005266C6" w:rsidP="005266C6">
      <w:pPr>
        <w:pStyle w:val="Normal12Hanging"/>
        <w:rPr>
          <w:szCs w:val="24"/>
          <w:lang w:val="da-DK"/>
        </w:rPr>
      </w:pPr>
      <w:r w:rsidRPr="00E9134F">
        <w:rPr>
          <w:szCs w:val="24"/>
          <w:lang w:val="da-DK"/>
        </w:rPr>
        <w:t>32.</w:t>
      </w:r>
      <w:r w:rsidRPr="00E9134F">
        <w:rPr>
          <w:szCs w:val="24"/>
          <w:lang w:val="da-DK"/>
        </w:rPr>
        <w:tab/>
        <w:t>er af den faste overbevisning, at europæiske institutionelle reformer bør øge EU's handleevne og omfatte forenklede og mere effektive beslutningsprocedurer og bevæge sig væk fra enstemmighed;</w:t>
      </w:r>
      <w:r w:rsidRPr="00E9134F">
        <w:rPr>
          <w:b/>
          <w:i/>
          <w:szCs w:val="24"/>
          <w:lang w:val="da-DK"/>
        </w:rPr>
        <w:t xml:space="preserve"> </w:t>
      </w:r>
      <w:r w:rsidRPr="00E9134F">
        <w:rPr>
          <w:szCs w:val="24"/>
          <w:lang w:val="da-DK"/>
        </w:rPr>
        <w:t>gentager, at afstemning med kvalificeret flertal bør gennemføres på områder såsom beskyttelse af demokrati, menneskerettigheder og retsstatsprincippet, FFR, sanktioner og andre relevante udenrigspolitiske beslutninger såsom indledning af EU-tiltrædelsesforhandlinger, åbning og lukning af individuelle forhandlingsklynger og sanktioner for tilbageskridt, men med undtagelse af afgørelser om godkendelse af militære missioner eller operationer med et eksekutivt mandat;</w:t>
      </w:r>
    </w:p>
    <w:p w:rsidR="005266C6" w:rsidRPr="00E9134F" w:rsidRDefault="005266C6" w:rsidP="005266C6">
      <w:pPr>
        <w:pStyle w:val="Normal12Hanging"/>
        <w:rPr>
          <w:bCs/>
          <w:iCs/>
          <w:szCs w:val="24"/>
          <w:lang w:val="da-DK"/>
        </w:rPr>
      </w:pPr>
      <w:r w:rsidRPr="00E9134F">
        <w:rPr>
          <w:szCs w:val="24"/>
          <w:lang w:val="da-DK"/>
        </w:rPr>
        <w:t>33.</w:t>
      </w:r>
      <w:r w:rsidRPr="00E9134F">
        <w:rPr>
          <w:szCs w:val="24"/>
          <w:lang w:val="da-DK"/>
        </w:rPr>
        <w:tab/>
        <w:t xml:space="preserve">opfordrer til, at mekanismen til beskyttelse af retsstatsprincippet og EU's grundlæggende principper og værdier samt overvågningskapaciteten til at sikre overholdelse af Københavnskriterierne styrkes forud for den næste udvidelsesrunde; foreslår, at proceduren i artikel 7 i TEU reformeres ved at bringe enstemmighed i Rådets afgørelser til ophør, ved at indføre en klar tidsramme og ved at gøre Domstolen til dommer ved overtrædelser; påpeger, at indførelsen af afstemning med kvalificeret flertal i denne henseende vil lette udvidelsesprocessen; understreger behovet for yderligere reform af </w:t>
      </w:r>
      <w:proofErr w:type="spellStart"/>
      <w:r w:rsidRPr="00E9134F">
        <w:rPr>
          <w:szCs w:val="24"/>
          <w:lang w:val="da-DK"/>
        </w:rPr>
        <w:t>konditionalitetsmekanismen</w:t>
      </w:r>
      <w:proofErr w:type="spellEnd"/>
      <w:r w:rsidRPr="00E9134F">
        <w:rPr>
          <w:szCs w:val="24"/>
          <w:lang w:val="da-DK"/>
        </w:rPr>
        <w:t xml:space="preserve"> for retsstatsprincippet for at dække og garantere alle Unionens grundlæggende værdier som fastsat i artikel 2 i TEU;</w:t>
      </w:r>
    </w:p>
    <w:p w:rsidR="005266C6" w:rsidRPr="00E9134F" w:rsidRDefault="005266C6" w:rsidP="005266C6">
      <w:pPr>
        <w:pStyle w:val="Normal12Hanging"/>
        <w:rPr>
          <w:szCs w:val="24"/>
          <w:lang w:val="da-DK"/>
        </w:rPr>
      </w:pPr>
      <w:r w:rsidRPr="00E9134F">
        <w:rPr>
          <w:szCs w:val="24"/>
          <w:lang w:val="da-DK"/>
        </w:rPr>
        <w:t>34.</w:t>
      </w:r>
      <w:r w:rsidRPr="00E9134F">
        <w:rPr>
          <w:szCs w:val="24"/>
          <w:lang w:val="da-DK"/>
        </w:rPr>
        <w:tab/>
        <w:t>mener, at differentieret integration i forbindelse med fuldt medlemskab er en del af løsningen for et effektivt og uddybende udvidet EU; understreger imidlertid, at overholdelsen af Unionens værdier som fastsat i artikel 2 i TEU ikke kan forhandles og bør ikke gøres til genstand for undtagelser eller fravalg, og at medlemskab af Unionen skal kræve et stærkt tilsagn om at overholde al EU-lovgivning; mener også, at der altid skal sikres et bredt område af fælles europæisk grundlag, der dækker områder som toldunionen, det indre marked og dens fire friheder, det centrale sociale regelsæt samt landbrugs-, konkurrence- og handelspolitik; bemærker, at ud over dette fælles grundlag bør medlemsstater, der er villige til at fremme den europæiske integration, have lov til at gøre dette; understreger, at i henhold til et sådant system med differentieret integration vil alle medlemsstater deltage i beslutninger om spørgsmål på det fælles område, men at kun medlemsstater, der er villige til at deltage i områder med dybere integration, vil deltage i de pågældende beslutninger; bemærker, at differentieret integration også indebærer differentierede finansielle ordninger;</w:t>
      </w:r>
    </w:p>
    <w:p w:rsidR="005266C6" w:rsidRPr="00E9134F" w:rsidRDefault="005266C6" w:rsidP="005266C6">
      <w:pPr>
        <w:pStyle w:val="Normal12Hanging"/>
        <w:rPr>
          <w:szCs w:val="24"/>
          <w:lang w:val="da-DK"/>
        </w:rPr>
      </w:pPr>
      <w:r w:rsidRPr="00E9134F">
        <w:rPr>
          <w:szCs w:val="24"/>
          <w:lang w:val="da-DK"/>
        </w:rPr>
        <w:t>35.</w:t>
      </w:r>
      <w:r w:rsidRPr="00E9134F">
        <w:rPr>
          <w:szCs w:val="24"/>
          <w:lang w:val="da-DK"/>
        </w:rPr>
        <w:tab/>
        <w:t xml:space="preserve">opfordrer til fuld udnyttelse af den fleksibilitet, der er fastsat i Lissabontraktaten, forud for en mere dybtgående reform i forbindelse med en eventuel revision af traktaterne; minder om, at en række fleksibilitetsinstrumenter såsom passerellebestemmelser, forstærket samarbejde, konstruktiv afståelse, permanent struktureret samarbejde (PESCO) og fravalgsmekanismer allerede er mulige under EU's nuværende retlige ramme, hvilket erfaringerne fra Schengenområdet, et af Unionens største resultater, og euroområdet klart viser; minder om, at indfasningsløsninger, midlertidige undtagelser og overgangsperioder kan forhandles i forbindelse med tiltrædelsesprocedurer; påpeger, </w:t>
      </w:r>
      <w:r w:rsidRPr="00E9134F">
        <w:rPr>
          <w:szCs w:val="24"/>
          <w:lang w:val="da-DK"/>
        </w:rPr>
        <w:lastRenderedPageBreak/>
        <w:t>at anvendelsen af disse fleksibilitetsmekanismer ikke bør forhindre konstruktive drøftelser om traktatrevision som godkendt af Parlamentet i dets beslutning af 22. november 2023;</w:t>
      </w:r>
    </w:p>
    <w:p w:rsidR="005266C6" w:rsidRPr="00E9134F" w:rsidRDefault="005266C6" w:rsidP="005266C6">
      <w:pPr>
        <w:pStyle w:val="Normal12Hanging"/>
        <w:rPr>
          <w:b/>
          <w:bCs/>
          <w:i/>
          <w:iCs/>
          <w:szCs w:val="24"/>
          <w:lang w:val="da-DK"/>
        </w:rPr>
      </w:pPr>
      <w:r w:rsidRPr="00E9134F">
        <w:rPr>
          <w:szCs w:val="24"/>
          <w:lang w:val="da-DK"/>
        </w:rPr>
        <w:t>36.</w:t>
      </w:r>
      <w:r w:rsidRPr="00E9134F">
        <w:rPr>
          <w:szCs w:val="24"/>
          <w:lang w:val="da-DK"/>
        </w:rPr>
        <w:tab/>
        <w:t>bemærker, at institutionelle reformer forud for udvidelsen også skal tage højde for konsekvenserne af udvidelsen på Europa-Parlamentets sammensætning; minder om, at Europa-Parlamentet er den eneste direkte valgte institution, der repræsenterer EU-borgerne; understreger, at samtidig med at der bør sikres en passende demokratisk repræsentativitet, bør Parlamentet forblive i en funktionsdygtig størrelse; påpeger imidlertid, at en rimelig forøgelse af Europa-Parlamentets størrelse ikke kan udelukkes for at sikre tilstrækkelig demokratisk repræsentativitet i et udvidet EU;</w:t>
      </w:r>
      <w:r w:rsidRPr="00E9134F">
        <w:rPr>
          <w:b/>
          <w:i/>
          <w:szCs w:val="24"/>
          <w:lang w:val="da-DK"/>
        </w:rPr>
        <w:t xml:space="preserve"> </w:t>
      </w:r>
      <w:r w:rsidRPr="00E9134F">
        <w:rPr>
          <w:szCs w:val="24"/>
          <w:lang w:val="da-DK"/>
        </w:rPr>
        <w:t>insisterer på et nyt system for tildeling af pladser baseret på en permanent matematisk formel, som er objektiv, retfærdig, gennemsigtig og holdbar; minder om sin holdning om, at fordelingen af pladser i Europa-Parlamentet bør overvejes sammen med afstemningssystemet i Rådet;</w:t>
      </w:r>
    </w:p>
    <w:p w:rsidR="005266C6" w:rsidRPr="00E9134F" w:rsidRDefault="005266C6" w:rsidP="005266C6">
      <w:pPr>
        <w:pStyle w:val="Normal12Hanging"/>
        <w:rPr>
          <w:b/>
          <w:bCs/>
          <w:i/>
          <w:iCs/>
          <w:szCs w:val="24"/>
          <w:lang w:val="da-DK"/>
        </w:rPr>
      </w:pPr>
      <w:r w:rsidRPr="00E9134F">
        <w:rPr>
          <w:szCs w:val="24"/>
          <w:lang w:val="da-DK"/>
        </w:rPr>
        <w:t>37.</w:t>
      </w:r>
      <w:r w:rsidRPr="00E9134F">
        <w:rPr>
          <w:szCs w:val="24"/>
          <w:lang w:val="da-DK"/>
        </w:rPr>
        <w:tab/>
        <w:t>understreger behovet for en hurtig revision af Rådets funktionsmåde og beslutningsproces i lyset af udvidelsen; foreslår at revidere systemet med roterende formandskaber for Rådet; bemærker, at beregningen af tærskler for afstemning med kvalificeret flertal også bør genovervejes for at forbedre balancen mellem større og mindre stater og fastsætte højere tærskler for de vigtigste beslutninger; opfordrer til størst mulig gennemsigtighed og integritet i Rådets beslutningsproces i forbindelse med udvidelsen;</w:t>
      </w:r>
    </w:p>
    <w:p w:rsidR="005266C6" w:rsidRPr="00E9134F" w:rsidRDefault="005266C6" w:rsidP="005266C6">
      <w:pPr>
        <w:pStyle w:val="Normal12Hanging"/>
        <w:rPr>
          <w:szCs w:val="24"/>
          <w:lang w:val="da-DK"/>
        </w:rPr>
      </w:pPr>
      <w:r w:rsidRPr="00E9134F">
        <w:rPr>
          <w:szCs w:val="24"/>
          <w:lang w:val="da-DK"/>
        </w:rPr>
        <w:t>38.</w:t>
      </w:r>
      <w:r w:rsidRPr="00E9134F">
        <w:rPr>
          <w:szCs w:val="24"/>
          <w:lang w:val="da-DK"/>
        </w:rPr>
        <w:tab/>
        <w:t>bemærker, at Kommissionens sammensætning skal tage hensyn til udvidelsen, og minder i den forbindelse om den fleksibilitet, som Lissabontraktaten giver mulighed for; fremhæver, at enhver revurdering af praksis med at udnævne én kommissær pr. medlemsstat skal sikre en geografisk afbalanceret sammensætning af Kommissionen;</w:t>
      </w:r>
    </w:p>
    <w:p w:rsidR="005266C6" w:rsidRPr="00E9134F" w:rsidRDefault="005266C6" w:rsidP="005266C6">
      <w:pPr>
        <w:pStyle w:val="NormalHanging12a"/>
        <w:rPr>
          <w:szCs w:val="24"/>
        </w:rPr>
      </w:pPr>
      <w:r w:rsidRPr="00E9134F">
        <w:rPr>
          <w:szCs w:val="24"/>
        </w:rPr>
        <w:t>39.</w:t>
      </w:r>
      <w:r w:rsidRPr="00E9134F">
        <w:rPr>
          <w:szCs w:val="24"/>
        </w:rPr>
        <w:tab/>
        <w:t>gentager sin opfordring til at styrke instrumenterne for borgernes deltagelse i EU's beslutningsproces;</w:t>
      </w:r>
    </w:p>
    <w:p w:rsidR="005266C6" w:rsidRPr="00E9134F" w:rsidRDefault="005266C6" w:rsidP="005266C6">
      <w:pPr>
        <w:pStyle w:val="Normal12Hanging"/>
        <w:rPr>
          <w:szCs w:val="24"/>
          <w:lang w:val="da-DK"/>
        </w:rPr>
      </w:pPr>
      <w:r w:rsidRPr="00E9134F">
        <w:rPr>
          <w:szCs w:val="24"/>
          <w:lang w:val="da-DK"/>
        </w:rPr>
        <w:t>40.</w:t>
      </w:r>
      <w:r w:rsidRPr="00E9134F">
        <w:rPr>
          <w:szCs w:val="24"/>
          <w:lang w:val="da-DK"/>
        </w:rPr>
        <w:tab/>
        <w:t xml:space="preserve">understreger, at udvidelsen både er en stor finansiel udfordring for EU, navnlig hvad angår samhørigheds- og landbrugspolitikkerne, og en mulighed for at reformere EU; påpeger, at denne udfordring kræver en korrekt udformet, prioriteret og finansieret FFR og et mere effektivt EU-budget, der sætter Unionen i stand til at påtage sig nye forpligtelser og samtidig fortsætte med at indfri eksisterende programmer og politiske prioriteter; understreger endvidere, at der også er behov for tilstrækkelige supplerende og reelle egne indtægter for at imødegå udfordringen med udvidelsen; bemærker, at udvidelsen skal lægges til andre øgede behov for EU-finansiering inden for finansiel stabilitet, strategisk autonomi, sundhed, energi, </w:t>
      </w:r>
      <w:proofErr w:type="spellStart"/>
      <w:r w:rsidRPr="00E9134F">
        <w:rPr>
          <w:szCs w:val="24"/>
          <w:lang w:val="da-DK"/>
        </w:rPr>
        <w:t>dekarbonisering</w:t>
      </w:r>
      <w:proofErr w:type="spellEnd"/>
      <w:r w:rsidRPr="00E9134F">
        <w:rPr>
          <w:szCs w:val="24"/>
          <w:lang w:val="da-DK"/>
        </w:rPr>
        <w:t>, omstillingen til ren energi, miljøbeskyttelse, digitalisering, forskning, forsvar og sikkerhed; understreger, at sådanne finansielle reformer skal overvejes sideløbende med de igangværende tiltrædelsesforhandlinger og vedtages forud for udvidelsen; forsvarer sin holdning om, at den nuværende og fremtidige FFR-arkitektur bør omstruktureres og styrkes betydeligt for at øge modstandsdygtigheden; understreger behovet for at tage hensyn til nye medlemmers tiltrædelse under forberedelsen af FFR for 2028-2034;</w:t>
      </w:r>
    </w:p>
    <w:p w:rsidR="005266C6" w:rsidRPr="00E9134F" w:rsidRDefault="005266C6" w:rsidP="005266C6">
      <w:pPr>
        <w:pStyle w:val="NormalHanging12a"/>
        <w:rPr>
          <w:szCs w:val="24"/>
        </w:rPr>
      </w:pPr>
      <w:r w:rsidRPr="00E9134F">
        <w:rPr>
          <w:szCs w:val="24"/>
        </w:rPr>
        <w:t>41.</w:t>
      </w:r>
      <w:r w:rsidRPr="00E9134F">
        <w:rPr>
          <w:szCs w:val="24"/>
        </w:rPr>
        <w:tab/>
        <w:t xml:space="preserve">opfordrer Kommissionen og kandidatlandene til at garantere </w:t>
      </w:r>
      <w:proofErr w:type="spellStart"/>
      <w:r w:rsidRPr="00E9134F">
        <w:rPr>
          <w:szCs w:val="24"/>
        </w:rPr>
        <w:t>SMV'ernes</w:t>
      </w:r>
      <w:proofErr w:type="spellEnd"/>
      <w:r w:rsidRPr="00E9134F">
        <w:rPr>
          <w:szCs w:val="24"/>
        </w:rPr>
        <w:t xml:space="preserve"> særlige rolle som et hovedelement i styrkelsen af industripolitikkerne og for forbedringen af landenes evne til at gennemføre en retfærdig omstilling og tilpasse sig teknologiske udfordringer </w:t>
      </w:r>
      <w:r w:rsidRPr="00E9134F">
        <w:rPr>
          <w:szCs w:val="24"/>
        </w:rPr>
        <w:lastRenderedPageBreak/>
        <w:t>på vejen mod en inklusiv digital omstilling;</w:t>
      </w:r>
    </w:p>
    <w:p w:rsidR="005266C6" w:rsidRPr="00E9134F" w:rsidRDefault="005266C6" w:rsidP="005266C6">
      <w:pPr>
        <w:pStyle w:val="Normal12Hanging"/>
        <w:rPr>
          <w:szCs w:val="24"/>
          <w:lang w:val="da-DK"/>
        </w:rPr>
      </w:pPr>
      <w:r w:rsidRPr="00E9134F">
        <w:rPr>
          <w:szCs w:val="24"/>
          <w:lang w:val="da-DK"/>
        </w:rPr>
        <w:t>42.</w:t>
      </w:r>
      <w:r w:rsidRPr="00E9134F">
        <w:rPr>
          <w:szCs w:val="24"/>
          <w:lang w:val="da-DK"/>
        </w:rPr>
        <w:tab/>
        <w:t>gentager sin opfordring til Rådet, Kommissionen og EU-Udenrigstjenesten om at forbedre den strategiske kommunikation og synligheden af både de gensidige socioøkonomiske fordele og udfordringer ved udvidelsen i tiltrædelseslandene og medlemsstaterne ved hjælp af en effektiv informationskampagnestrategi under hele udvidelsesprocessen, der viser håndgribelige resultater af den igangværende tiltrædelsesproces og af hver forhandlingsrunde;</w:t>
      </w:r>
    </w:p>
    <w:p w:rsidR="005266C6" w:rsidRPr="00E9134F" w:rsidRDefault="005266C6" w:rsidP="005266C6">
      <w:pPr>
        <w:pStyle w:val="Normal12Hanging"/>
        <w:rPr>
          <w:szCs w:val="24"/>
          <w:lang w:val="da-DK"/>
        </w:rPr>
      </w:pPr>
      <w:r w:rsidRPr="00E9134F">
        <w:rPr>
          <w:szCs w:val="24"/>
          <w:lang w:val="da-DK"/>
        </w:rPr>
        <w:t>43.</w:t>
      </w:r>
      <w:r w:rsidRPr="00E9134F">
        <w:rPr>
          <w:szCs w:val="24"/>
          <w:lang w:val="da-DK"/>
        </w:rPr>
        <w:tab/>
        <w:t>gentager sin opfordring til, at henstillingerne fra Det Særlige Udvalg om Udenlandsk Indblanding, herunder Spredning af Desinformation, i alle Demokratiske Processer i Den Europæiske Union (INGE) gennemføres, navnlig ved at intensivere indsatsen for at bekæmpe desinformation og forebygge udenlandsk ondsindet indblanding og forsøg på at undergrave demokratiet og afspore EU's integration ved at sabotere politisk, økonomisk og social stabilitet i kandidatlandene;</w:t>
      </w:r>
    </w:p>
    <w:p w:rsidR="005266C6" w:rsidRPr="00E9134F" w:rsidRDefault="005266C6" w:rsidP="005266C6">
      <w:pPr>
        <w:pStyle w:val="Normal12Hanging"/>
        <w:rPr>
          <w:bCs/>
          <w:iCs/>
          <w:szCs w:val="24"/>
          <w:lang w:val="da-DK"/>
        </w:rPr>
      </w:pPr>
      <w:r w:rsidRPr="00E9134F">
        <w:rPr>
          <w:szCs w:val="24"/>
          <w:lang w:val="da-DK"/>
        </w:rPr>
        <w:t>44.</w:t>
      </w:r>
      <w:r w:rsidRPr="00E9134F">
        <w:rPr>
          <w:szCs w:val="24"/>
          <w:lang w:val="da-DK"/>
        </w:rPr>
        <w:tab/>
        <w:t xml:space="preserve">påpeger, at genopbygningen og genopretningen af Ukraine efter krigen er en </w:t>
      </w:r>
      <w:proofErr w:type="spellStart"/>
      <w:r w:rsidRPr="00E9134F">
        <w:rPr>
          <w:szCs w:val="24"/>
          <w:lang w:val="da-DK"/>
        </w:rPr>
        <w:t>multidimensional</w:t>
      </w:r>
      <w:proofErr w:type="spellEnd"/>
      <w:r w:rsidRPr="00E9134F">
        <w:rPr>
          <w:szCs w:val="24"/>
          <w:lang w:val="da-DK"/>
        </w:rPr>
        <w:t xml:space="preserve"> udfordring, der skal håndteres i en bredere sammenhæng med en international indsats; understreger, at finansieringen til Ukraine skal komme fra flere internationale kilder, herunder indefrosne russiske aktiver; understreger, at disse investeringer vil være forbundet med finansielle risici, og insisterer på, at denne proces skal overvåges nøje og integreres i en veludformet, skræddersyet lovgivningsmæssig ramme, som er sikret mod korruption og svig; opfordrer i denne forbindelse til en hurtig vedtagelse af forordningen om oprettelse af Ukrainefaciliteten;</w:t>
      </w:r>
    </w:p>
    <w:p w:rsidR="005266C6" w:rsidRPr="00E9134F" w:rsidRDefault="005266C6" w:rsidP="005266C6">
      <w:pPr>
        <w:pStyle w:val="Normal12Hanging"/>
        <w:rPr>
          <w:szCs w:val="24"/>
          <w:lang w:val="da-DK"/>
        </w:rPr>
      </w:pPr>
      <w:r w:rsidRPr="00E9134F">
        <w:rPr>
          <w:szCs w:val="24"/>
          <w:lang w:val="da-DK"/>
        </w:rPr>
        <w:t>45.</w:t>
      </w:r>
      <w:r w:rsidRPr="00E9134F">
        <w:rPr>
          <w:szCs w:val="24"/>
          <w:lang w:val="da-DK"/>
        </w:rPr>
        <w:tab/>
        <w:t>glæder sig over Kommissionens arbejde med før-udvidelsespolitik og revisionen af finansieringen og opfordrer til en grundig konsekvensanalyse af udvidelsens konsekvenser;</w:t>
      </w:r>
      <w:r w:rsidRPr="00E9134F">
        <w:rPr>
          <w:b/>
          <w:i/>
          <w:szCs w:val="24"/>
          <w:lang w:val="da-DK"/>
        </w:rPr>
        <w:t xml:space="preserve"> </w:t>
      </w:r>
      <w:r w:rsidRPr="00E9134F">
        <w:rPr>
          <w:szCs w:val="24"/>
          <w:lang w:val="da-DK"/>
        </w:rPr>
        <w:t>støtter oprettelsen af en effektiv EU-støttet konfliktløsnings- og mæglingsmekanisme uden for udvidelsesrammen, som skal kunne fremme forsoning og løsning af bilaterale spørgsmål i tiltrædelseslandene og hjælpe med at finde og implementere endelige bindende løsninger på regionale og bilaterale tvister og fortidens arv;</w:t>
      </w:r>
    </w:p>
    <w:p w:rsidR="005266C6" w:rsidRPr="00E9134F" w:rsidRDefault="005266C6" w:rsidP="005266C6">
      <w:pPr>
        <w:pStyle w:val="Normal12Hanging"/>
        <w:rPr>
          <w:szCs w:val="24"/>
          <w:lang w:val="da-DK"/>
        </w:rPr>
      </w:pPr>
      <w:r w:rsidRPr="00E9134F">
        <w:rPr>
          <w:szCs w:val="24"/>
          <w:lang w:val="da-DK"/>
        </w:rPr>
        <w:t>46.</w:t>
      </w:r>
      <w:r w:rsidRPr="00E9134F">
        <w:rPr>
          <w:szCs w:val="24"/>
          <w:lang w:val="da-DK"/>
        </w:rPr>
        <w:tab/>
        <w:t>opfordrer til, at valget til Europa-Parlamentet i 2024 bruges som en lejlighed til at drøfte og redegøre for behovet for og fordelene ved processen med at uddybe og udvide Den Europæiske Union og de nødvendige europæiske politiske, institutionelle og finansielle reformer;</w:t>
      </w:r>
    </w:p>
    <w:p w:rsidR="005266C6" w:rsidRPr="00E9134F" w:rsidRDefault="005266C6" w:rsidP="005266C6">
      <w:pPr>
        <w:pStyle w:val="Normal12Hanging"/>
        <w:jc w:val="center"/>
        <w:rPr>
          <w:rFonts w:eastAsiaTheme="minorHAnsi"/>
          <w:szCs w:val="24"/>
          <w:lang w:val="da-DK"/>
        </w:rPr>
      </w:pPr>
      <w:r w:rsidRPr="00E9134F">
        <w:rPr>
          <w:szCs w:val="24"/>
          <w:lang w:val="da-DK"/>
        </w:rPr>
        <w:t>°</w:t>
      </w:r>
    </w:p>
    <w:p w:rsidR="005266C6" w:rsidRPr="00E9134F" w:rsidRDefault="005266C6" w:rsidP="005266C6">
      <w:pPr>
        <w:pStyle w:val="Normal12Hanging"/>
        <w:jc w:val="center"/>
        <w:rPr>
          <w:rFonts w:eastAsiaTheme="minorHAnsi"/>
          <w:szCs w:val="24"/>
          <w:lang w:val="da-DK"/>
        </w:rPr>
      </w:pPr>
      <w:r w:rsidRPr="00E9134F">
        <w:rPr>
          <w:szCs w:val="24"/>
          <w:lang w:val="da-DK"/>
        </w:rPr>
        <w:t>°</w:t>
      </w:r>
      <w:r w:rsidRPr="00E9134F">
        <w:rPr>
          <w:szCs w:val="24"/>
          <w:lang w:val="da-DK"/>
        </w:rPr>
        <w:tab/>
        <w:t>°</w:t>
      </w:r>
    </w:p>
    <w:p w:rsidR="005266C6" w:rsidRPr="00E9134F" w:rsidRDefault="005266C6" w:rsidP="005266C6">
      <w:pPr>
        <w:pStyle w:val="Normal12Hanging"/>
        <w:rPr>
          <w:szCs w:val="24"/>
          <w:lang w:val="da-DK"/>
        </w:rPr>
      </w:pPr>
      <w:r w:rsidRPr="00E9134F">
        <w:rPr>
          <w:szCs w:val="24"/>
          <w:lang w:val="da-DK"/>
        </w:rPr>
        <w:t>47.</w:t>
      </w:r>
      <w:r w:rsidRPr="00E9134F">
        <w:rPr>
          <w:szCs w:val="24"/>
          <w:lang w:val="da-DK"/>
        </w:rPr>
        <w:tab/>
        <w:t>pålægger sin formand at sende denne beslutning til Rådet, Kommissionen, næstformanden i Kommissionen/Unionens højtstående repræsentant for udenrigsanliggender og sikkerhedspolitik, medlemsstaternes regeringer og parlamenter samt regeringen og parlamentet i tiltrædelseslandene.</w:t>
      </w:r>
    </w:p>
    <w:p w:rsidR="005266C6" w:rsidRPr="00E9134F" w:rsidRDefault="005266C6" w:rsidP="005266C6">
      <w:pPr>
        <w:pStyle w:val="Normal12Hanging"/>
        <w:rPr>
          <w:rFonts w:eastAsiaTheme="minorHAnsi"/>
          <w:szCs w:val="24"/>
          <w:lang w:val="da-DK"/>
        </w:rPr>
      </w:pPr>
    </w:p>
    <w:sectPr w:rsidR="005266C6" w:rsidRPr="00E9134F" w:rsidSect="00E14D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BA8" w:rsidRPr="00E14D23" w:rsidRDefault="00902BA8">
      <w:r w:rsidRPr="00E14D23">
        <w:separator/>
      </w:r>
    </w:p>
  </w:endnote>
  <w:endnote w:type="continuationSeparator" w:id="0">
    <w:p w:rsidR="00902BA8" w:rsidRPr="00E14D23" w:rsidRDefault="00902BA8">
      <w:r w:rsidRPr="00E14D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BA8" w:rsidRPr="00E14D23" w:rsidRDefault="00902BA8">
      <w:r w:rsidRPr="00E14D23">
        <w:separator/>
      </w:r>
    </w:p>
  </w:footnote>
  <w:footnote w:type="continuationSeparator" w:id="0">
    <w:p w:rsidR="00902BA8" w:rsidRPr="00E14D23" w:rsidRDefault="00902BA8">
      <w:r w:rsidRPr="00E14D23">
        <w:continuationSeparator/>
      </w:r>
    </w:p>
  </w:footnote>
  <w:footnote w:id="1">
    <w:p w:rsidR="005266C6" w:rsidRPr="001D28E2" w:rsidRDefault="005266C6" w:rsidP="00E14D23">
      <w:pPr>
        <w:pStyle w:val="FootnoteText"/>
        <w:ind w:left="567" w:hanging="567"/>
        <w:rPr>
          <w:i/>
          <w:sz w:val="24"/>
          <w:lang w:val="da-DK"/>
        </w:rPr>
      </w:pPr>
      <w:r w:rsidRPr="00E14D23">
        <w:rPr>
          <w:rStyle w:val="FootnoteReference"/>
          <w:sz w:val="24"/>
          <w:lang w:val="da-DK"/>
        </w:rPr>
        <w:footnoteRef/>
      </w:r>
      <w:r w:rsidR="00E14D23" w:rsidRPr="00E14D23">
        <w:rPr>
          <w:rStyle w:val="Emphasis"/>
          <w:sz w:val="24"/>
          <w:lang w:val="da-DK"/>
        </w:rPr>
        <w:t xml:space="preserve"> </w:t>
      </w:r>
      <w:r w:rsidR="00E14D23" w:rsidRPr="00E14D23">
        <w:rPr>
          <w:rStyle w:val="Emphasis"/>
          <w:sz w:val="24"/>
          <w:lang w:val="da-DK"/>
        </w:rPr>
        <w:tab/>
      </w:r>
      <w:r w:rsidRPr="001D28E2">
        <w:rPr>
          <w:rStyle w:val="Emphasis"/>
          <w:i w:val="0"/>
          <w:sz w:val="24"/>
          <w:lang w:val="da-DK"/>
        </w:rPr>
        <w:t>Vedtagne tekster, P9_</w:t>
      </w:r>
      <w:proofErr w:type="gramStart"/>
      <w:r w:rsidRPr="001D28E2">
        <w:rPr>
          <w:rStyle w:val="Emphasis"/>
          <w:i w:val="0"/>
          <w:sz w:val="24"/>
          <w:lang w:val="da-DK"/>
        </w:rPr>
        <w:t>TA(</w:t>
      </w:r>
      <w:proofErr w:type="gramEnd"/>
      <w:r w:rsidRPr="001D28E2">
        <w:rPr>
          <w:rStyle w:val="Emphasis"/>
          <w:i w:val="0"/>
          <w:sz w:val="24"/>
          <w:lang w:val="da-DK"/>
        </w:rPr>
        <w:t>2023)0471.</w:t>
      </w:r>
    </w:p>
  </w:footnote>
  <w:footnote w:id="2">
    <w:p w:rsidR="005266C6" w:rsidRPr="001D28E2" w:rsidRDefault="005266C6" w:rsidP="00E14D23">
      <w:pPr>
        <w:pStyle w:val="FootnoteText"/>
        <w:ind w:left="567" w:hanging="567"/>
        <w:rPr>
          <w:i/>
          <w:sz w:val="24"/>
          <w:lang w:val="da-DK"/>
        </w:rPr>
      </w:pPr>
      <w:r w:rsidRPr="00E14D23">
        <w:rPr>
          <w:rStyle w:val="FootnoteReference"/>
          <w:rFonts w:eastAsiaTheme="majorEastAsia"/>
          <w:sz w:val="24"/>
          <w:lang w:val="da-DK"/>
        </w:rPr>
        <w:footnoteRef/>
      </w:r>
      <w:r w:rsidR="00E14D23" w:rsidRPr="00E14D23">
        <w:rPr>
          <w:rStyle w:val="Emphasis"/>
          <w:sz w:val="24"/>
          <w:lang w:val="da-DK"/>
        </w:rPr>
        <w:t xml:space="preserve"> </w:t>
      </w:r>
      <w:r w:rsidR="00E14D23" w:rsidRPr="00E14D23">
        <w:rPr>
          <w:rStyle w:val="Emphasis"/>
          <w:sz w:val="24"/>
          <w:lang w:val="da-DK"/>
        </w:rPr>
        <w:tab/>
      </w:r>
      <w:r w:rsidRPr="001D28E2">
        <w:rPr>
          <w:rStyle w:val="Emphasis"/>
          <w:i w:val="0"/>
          <w:sz w:val="24"/>
          <w:lang w:val="da-DK"/>
        </w:rPr>
        <w:t>EUT C 167 af 11.5.2023, s. 105.</w:t>
      </w:r>
    </w:p>
  </w:footnote>
  <w:footnote w:id="3">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202 af 28.5.2021, s. 86.</w:t>
      </w:r>
    </w:p>
  </w:footnote>
  <w:footnote w:id="4">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C/2023/1066 af 15.12.2023, ELI: https://eur-lex.europa.eu/legal-content/DA/TXT/?uri=CELEX:52023IP0193</w:t>
      </w:r>
    </w:p>
  </w:footnote>
  <w:footnote w:id="5">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C/2023/1065 af 15.12.2023, ELI: https://eur-lex.europa.eu/legal-content/DA/TXT/?uri=CELEX:52023IP0192</w:t>
      </w:r>
    </w:p>
  </w:footnote>
  <w:footnote w:id="6">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Vedtagne tekster, P9_</w:t>
      </w:r>
      <w:proofErr w:type="gramStart"/>
      <w:r w:rsidRPr="00E14D23">
        <w:rPr>
          <w:sz w:val="24"/>
          <w:lang w:val="da-DK"/>
        </w:rPr>
        <w:t>TA(</w:t>
      </w:r>
      <w:proofErr w:type="gramEnd"/>
      <w:r w:rsidRPr="00E14D23">
        <w:rPr>
          <w:sz w:val="24"/>
          <w:lang w:val="da-DK"/>
        </w:rPr>
        <w:t>2023)0285.</w:t>
      </w:r>
    </w:p>
  </w:footnote>
  <w:footnote w:id="7">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Vedtagne tekster, P9_</w:t>
      </w:r>
      <w:proofErr w:type="gramStart"/>
      <w:r w:rsidRPr="00E14D23">
        <w:rPr>
          <w:sz w:val="24"/>
          <w:lang w:val="da-DK"/>
        </w:rPr>
        <w:t>TA(</w:t>
      </w:r>
      <w:proofErr w:type="gramEnd"/>
      <w:r w:rsidRPr="00E14D23">
        <w:rPr>
          <w:sz w:val="24"/>
          <w:lang w:val="da-DK"/>
        </w:rPr>
        <w:t>2023)0284.</w:t>
      </w:r>
    </w:p>
  </w:footnote>
  <w:footnote w:id="8">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479 af 16.12.2022, s. 33.</w:t>
      </w:r>
    </w:p>
  </w:footnote>
  <w:footnote w:id="9">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32 af 27.1.2023, s. 63.</w:t>
      </w:r>
    </w:p>
  </w:footnote>
  <w:footnote w:id="10">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362 af 8.9.2021, s. 129.</w:t>
      </w:r>
    </w:p>
  </w:footnote>
  <w:footnote w:id="11">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107 af 28.4.2009, s. 166.</w:t>
      </w:r>
    </w:p>
  </w:footnote>
  <w:footnote w:id="12">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164 af 30.6.2015, s. 2.</w:t>
      </w:r>
    </w:p>
  </w:footnote>
  <w:footnote w:id="13">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261 af 30.8.2014, s. 4.</w:t>
      </w:r>
    </w:p>
  </w:footnote>
  <w:footnote w:id="14">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260 af 30.8.2014, s. 4.</w:t>
      </w:r>
    </w:p>
  </w:footnote>
  <w:footnote w:id="15">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84 af 20.3.2004, s. 13.</w:t>
      </w:r>
    </w:p>
  </w:footnote>
  <w:footnote w:id="16">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EFT L 361 af 31.12.1977, s. 29.</w:t>
      </w:r>
    </w:p>
  </w:footnote>
  <w:footnote w:id="17">
    <w:p w:rsidR="005266C6" w:rsidRPr="00E14D23" w:rsidRDefault="005266C6" w:rsidP="00E14D23">
      <w:pPr>
        <w:pStyle w:val="FootnoteText"/>
        <w:ind w:left="567" w:hanging="567"/>
        <w:rPr>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161 af 29.5.2014, s. 3.</w:t>
      </w:r>
    </w:p>
  </w:footnote>
  <w:footnote w:id="18">
    <w:p w:rsidR="005266C6" w:rsidRPr="00E14D23" w:rsidRDefault="005266C6" w:rsidP="00E14D23">
      <w:pPr>
        <w:pStyle w:val="FootnoteText"/>
        <w:ind w:left="567" w:hanging="567"/>
        <w:rPr>
          <w:bCs/>
          <w:iCs/>
          <w:sz w:val="24"/>
          <w:lang w:val="da-DK"/>
        </w:rPr>
      </w:pPr>
      <w:r w:rsidRPr="00E14D23">
        <w:rPr>
          <w:rStyle w:val="FootnoteReference"/>
          <w:sz w:val="24"/>
          <w:lang w:val="da-DK"/>
        </w:rPr>
        <w:footnoteRef/>
      </w:r>
      <w:r w:rsidR="00E14D23" w:rsidRPr="00E14D23">
        <w:rPr>
          <w:sz w:val="24"/>
          <w:lang w:val="da-DK"/>
        </w:rPr>
        <w:t xml:space="preserve"> </w:t>
      </w:r>
      <w:r w:rsidR="00E14D23" w:rsidRPr="00E14D23">
        <w:rPr>
          <w:sz w:val="24"/>
          <w:lang w:val="da-DK"/>
        </w:rPr>
        <w:tab/>
      </w:r>
      <w:r w:rsidRPr="00E14D23">
        <w:rPr>
          <w:sz w:val="24"/>
          <w:lang w:val="da-DK"/>
        </w:rPr>
        <w:t>Vedtagne tekster, P9_</w:t>
      </w:r>
      <w:proofErr w:type="gramStart"/>
      <w:r w:rsidRPr="00E14D23">
        <w:rPr>
          <w:sz w:val="24"/>
          <w:lang w:val="da-DK"/>
        </w:rPr>
        <w:t>TA(</w:t>
      </w:r>
      <w:proofErr w:type="gramEnd"/>
      <w:r w:rsidRPr="00E14D23">
        <w:rPr>
          <w:sz w:val="24"/>
          <w:lang w:val="da-DK"/>
        </w:rPr>
        <w:t>2023)0357.</w:t>
      </w:r>
    </w:p>
  </w:footnote>
  <w:footnote w:id="19">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L 330 af 20.9.2021, s. 1.</w:t>
      </w:r>
    </w:p>
  </w:footnote>
  <w:footnote w:id="20">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REX/401-EESC-2014- 1609.</w:t>
      </w:r>
    </w:p>
  </w:footnote>
  <w:footnote w:id="21">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252 af 18.7.2018, s. 215.</w:t>
      </w:r>
    </w:p>
  </w:footnote>
  <w:footnote w:id="22">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Vedtagne tekster, P9_</w:t>
      </w:r>
      <w:proofErr w:type="gramStart"/>
      <w:r w:rsidRPr="00E14D23">
        <w:rPr>
          <w:sz w:val="24"/>
          <w:lang w:val="da-DK"/>
        </w:rPr>
        <w:t>TA(</w:t>
      </w:r>
      <w:proofErr w:type="gramEnd"/>
      <w:r w:rsidRPr="00E14D23">
        <w:rPr>
          <w:sz w:val="24"/>
          <w:lang w:val="da-DK"/>
        </w:rPr>
        <w:t>2023)0269.</w:t>
      </w:r>
    </w:p>
  </w:footnote>
  <w:footnote w:id="23">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465 af 6.12.2022, s. 109.</w:t>
      </w:r>
    </w:p>
  </w:footnote>
  <w:footnote w:id="24">
    <w:p w:rsidR="005266C6" w:rsidRPr="00E14D23" w:rsidRDefault="005266C6" w:rsidP="00E14D23">
      <w:pPr>
        <w:pStyle w:val="FootnoteText"/>
        <w:ind w:left="567" w:hanging="567"/>
        <w:rPr>
          <w:bCs/>
          <w:iCs/>
          <w:sz w:val="24"/>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EUT C 493 af 27.12.2022, s. 130.</w:t>
      </w:r>
    </w:p>
  </w:footnote>
  <w:footnote w:id="25">
    <w:p w:rsidR="005266C6" w:rsidRPr="00E14D23" w:rsidRDefault="005266C6" w:rsidP="00E14D23">
      <w:pPr>
        <w:pStyle w:val="FootnoteText"/>
        <w:ind w:left="567" w:hanging="567"/>
        <w:rPr>
          <w:bCs/>
          <w:iCs/>
          <w:sz w:val="24"/>
          <w:szCs w:val="40"/>
          <w:lang w:val="da-DK"/>
        </w:rPr>
      </w:pPr>
      <w:r w:rsidRPr="00E14D23">
        <w:rPr>
          <w:bCs/>
          <w:iCs/>
          <w:sz w:val="24"/>
          <w:vertAlign w:val="superscript"/>
          <w:lang w:val="da-DK"/>
        </w:rPr>
        <w:footnoteRef/>
      </w:r>
      <w:r w:rsidR="00E14D23" w:rsidRPr="00E14D23">
        <w:rPr>
          <w:sz w:val="24"/>
          <w:lang w:val="da-DK"/>
        </w:rPr>
        <w:t xml:space="preserve"> </w:t>
      </w:r>
      <w:r w:rsidR="00E14D23" w:rsidRPr="00E14D23">
        <w:rPr>
          <w:sz w:val="24"/>
          <w:lang w:val="da-DK"/>
        </w:rPr>
        <w:tab/>
      </w:r>
      <w:r w:rsidRPr="00E14D23">
        <w:rPr>
          <w:sz w:val="24"/>
          <w:lang w:val="da-DK"/>
        </w:rPr>
        <w:t>Vedtagne tekster, P9_</w:t>
      </w:r>
      <w:proofErr w:type="gramStart"/>
      <w:r w:rsidRPr="00E14D23">
        <w:rPr>
          <w:sz w:val="24"/>
          <w:lang w:val="da-DK"/>
        </w:rPr>
        <w:t>TA(</w:t>
      </w:r>
      <w:proofErr w:type="gramEnd"/>
      <w:r w:rsidRPr="00E14D23">
        <w:rPr>
          <w:sz w:val="24"/>
          <w:lang w:val="da-DK"/>
        </w:rPr>
        <w:t>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4D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DA"/>
    <w:docVar w:name="dvnumam" w:val="0"/>
    <w:docVar w:name="dvpe" w:val="752.948"/>
    <w:docVar w:name="dvrapporteur" w:val="Ordfører: "/>
    <w:docVar w:name="dvtitre" w:val="Europa-Parlamentets beslutning af 29. februar 2024 om uddybning af EU-integrationen med henblik på fremtidige udvidelser(2023/2114(INI))"/>
  </w:docVars>
  <w:rsids>
    <w:rsidRoot w:val="00902BA8"/>
    <w:rsid w:val="00002272"/>
    <w:rsid w:val="00064002"/>
    <w:rsid w:val="000677B9"/>
    <w:rsid w:val="000831BA"/>
    <w:rsid w:val="000A42CC"/>
    <w:rsid w:val="000E7DD9"/>
    <w:rsid w:val="0010095E"/>
    <w:rsid w:val="00125B37"/>
    <w:rsid w:val="00187494"/>
    <w:rsid w:val="001D28E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6C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F28"/>
    <w:rsid w:val="007D1690"/>
    <w:rsid w:val="007E22AD"/>
    <w:rsid w:val="00817416"/>
    <w:rsid w:val="00842779"/>
    <w:rsid w:val="00865F67"/>
    <w:rsid w:val="00881A7B"/>
    <w:rsid w:val="008840E5"/>
    <w:rsid w:val="00887B3E"/>
    <w:rsid w:val="008C2AC6"/>
    <w:rsid w:val="00902BA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A30"/>
    <w:rsid w:val="00BD48FE"/>
    <w:rsid w:val="00BD7BD8"/>
    <w:rsid w:val="00BE6ADC"/>
    <w:rsid w:val="00C03092"/>
    <w:rsid w:val="00C05BFE"/>
    <w:rsid w:val="00C23CD4"/>
    <w:rsid w:val="00C61C0C"/>
    <w:rsid w:val="00C941CB"/>
    <w:rsid w:val="00CC2357"/>
    <w:rsid w:val="00CD2147"/>
    <w:rsid w:val="00CF071A"/>
    <w:rsid w:val="00D058B8"/>
    <w:rsid w:val="00D56C11"/>
    <w:rsid w:val="00D834A0"/>
    <w:rsid w:val="00D872DF"/>
    <w:rsid w:val="00D91E21"/>
    <w:rsid w:val="00DA7FCD"/>
    <w:rsid w:val="00E14D23"/>
    <w:rsid w:val="00E365E1"/>
    <w:rsid w:val="00E820A4"/>
    <w:rsid w:val="00E9134F"/>
    <w:rsid w:val="00EB006A"/>
    <w:rsid w:val="00EB4772"/>
    <w:rsid w:val="00ED169E"/>
    <w:rsid w:val="00ED4235"/>
    <w:rsid w:val="00F04346"/>
    <w:rsid w:val="00F075DC"/>
    <w:rsid w:val="00F149E9"/>
    <w:rsid w:val="00F155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F2FA8"/>
  <w15:chartTrackingRefBased/>
  <w15:docId w15:val="{B92B6E35-DC2A-4B07-ABCE-A24CAEBC2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66C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266C6"/>
    <w:pPr>
      <w:keepNext/>
      <w:spacing w:after="480"/>
      <w:jc w:val="center"/>
    </w:pPr>
    <w:rPr>
      <w:rFonts w:ascii="Arial" w:hAnsi="Arial" w:cs="Arial"/>
      <w:b/>
    </w:rPr>
  </w:style>
  <w:style w:type="paragraph" w:customStyle="1" w:styleId="NormalHanging12a">
    <w:name w:val="NormalHanging12a"/>
    <w:basedOn w:val="Normal"/>
    <w:link w:val="NormalHanging12aChar"/>
    <w:rsid w:val="005266C6"/>
    <w:pPr>
      <w:spacing w:after="240"/>
      <w:ind w:left="567" w:hanging="567"/>
    </w:pPr>
  </w:style>
  <w:style w:type="paragraph" w:styleId="Header">
    <w:name w:val="header"/>
    <w:basedOn w:val="Normal"/>
    <w:link w:val="HeaderChar"/>
    <w:rsid w:val="005266C6"/>
    <w:pPr>
      <w:tabs>
        <w:tab w:val="center" w:pos="4513"/>
        <w:tab w:val="right" w:pos="9026"/>
      </w:tabs>
    </w:pPr>
  </w:style>
  <w:style w:type="character" w:customStyle="1" w:styleId="HeaderChar">
    <w:name w:val="Header Char"/>
    <w:basedOn w:val="DefaultParagraphFont"/>
    <w:link w:val="Header"/>
    <w:rsid w:val="005266C6"/>
    <w:rPr>
      <w:sz w:val="24"/>
      <w:lang w:val="da-DK"/>
    </w:rPr>
  </w:style>
  <w:style w:type="paragraph" w:customStyle="1" w:styleId="EPFooter">
    <w:name w:val="EPFooter"/>
    <w:basedOn w:val="Normal"/>
    <w:rsid w:val="005266C6"/>
    <w:pPr>
      <w:tabs>
        <w:tab w:val="center" w:pos="4535"/>
        <w:tab w:val="right" w:pos="9071"/>
      </w:tabs>
      <w:spacing w:before="240" w:after="240"/>
    </w:pPr>
    <w:rPr>
      <w:color w:val="010000"/>
      <w:sz w:val="22"/>
    </w:rPr>
  </w:style>
  <w:style w:type="paragraph" w:customStyle="1" w:styleId="EPComma">
    <w:name w:val="EPComma"/>
    <w:basedOn w:val="Normal"/>
    <w:rsid w:val="005266C6"/>
    <w:pPr>
      <w:spacing w:before="480" w:after="240"/>
    </w:pPr>
    <w:rPr>
      <w:i/>
    </w:rPr>
  </w:style>
  <w:style w:type="character" w:customStyle="1" w:styleId="Normal12HangingChar">
    <w:name w:val="Normal12Hanging Char"/>
    <w:link w:val="Normal12Hanging"/>
    <w:locked/>
    <w:rsid w:val="005266C6"/>
    <w:rPr>
      <w:sz w:val="24"/>
    </w:rPr>
  </w:style>
  <w:style w:type="paragraph" w:customStyle="1" w:styleId="Normal12Hanging">
    <w:name w:val="Normal12Hanging"/>
    <w:basedOn w:val="Normal"/>
    <w:link w:val="Normal12HangingChar"/>
    <w:rsid w:val="005266C6"/>
    <w:pPr>
      <w:spacing w:after="240"/>
      <w:ind w:left="567" w:hanging="567"/>
    </w:pPr>
    <w:rPr>
      <w:lang w:val="en-GB"/>
    </w:rPr>
  </w:style>
  <w:style w:type="character" w:styleId="Emphasis">
    <w:name w:val="Emphasis"/>
    <w:basedOn w:val="DefaultParagraphFont"/>
    <w:uiPriority w:val="20"/>
    <w:qFormat/>
    <w:rsid w:val="005266C6"/>
    <w:rPr>
      <w:i/>
      <w:iCs/>
    </w:rPr>
  </w:style>
  <w:style w:type="character" w:customStyle="1" w:styleId="NormalHanging12aChar">
    <w:name w:val="NormalHanging12a Char"/>
    <w:basedOn w:val="DefaultParagraphFont"/>
    <w:link w:val="NormalHanging12a"/>
    <w:locked/>
    <w:rsid w:val="005266C6"/>
    <w:rPr>
      <w:sz w:val="24"/>
      <w:lang w:val="da-DK"/>
    </w:rPr>
  </w:style>
  <w:style w:type="paragraph" w:styleId="BalloonText">
    <w:name w:val="Balloon Text"/>
    <w:basedOn w:val="Normal"/>
    <w:link w:val="BalloonTextChar"/>
    <w:rsid w:val="00F15569"/>
    <w:rPr>
      <w:rFonts w:ascii="Segoe UI" w:hAnsi="Segoe UI" w:cs="Segoe UI"/>
      <w:sz w:val="18"/>
      <w:szCs w:val="18"/>
    </w:rPr>
  </w:style>
  <w:style w:type="character" w:customStyle="1" w:styleId="BalloonTextChar">
    <w:name w:val="Balloon Text Char"/>
    <w:basedOn w:val="DefaultParagraphFont"/>
    <w:link w:val="BalloonText"/>
    <w:rsid w:val="00F1556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B2CA2-F933-49FE-BB0E-AF894F2D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5738</Words>
  <Characters>36774</Characters>
  <Application>Microsoft Office Word</Application>
  <DocSecurity>0</DocSecurity>
  <Lines>306</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RORMAND Mia</cp:lastModifiedBy>
  <cp:revision>2</cp:revision>
  <cp:lastPrinted>2004-11-19T15:42:00Z</cp:lastPrinted>
  <dcterms:created xsi:type="dcterms:W3CDTF">2024-03-27T13:42:00Z</dcterms:created>
  <dcterms:modified xsi:type="dcterms:W3CDTF">2024-03-27T13:42:00Z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A9-0015/2024</vt:lpwstr>
  </property>
  <property fmtid="{D5CDD505-2E9C-101B-9397-08002B2CF9AE}" pid="4" name="&lt;Type&gt;">
    <vt:lpwstr>RR</vt:lpwstr>
  </property>
</Properties>
</file>