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F78" w:rsidTr="0010095E">
        <w:trPr>
          <w:trHeight w:hRule="exact" w:val="1418"/>
        </w:trPr>
        <w:tc>
          <w:tcPr>
            <w:tcW w:w="6804" w:type="dxa"/>
            <w:shd w:val="clear" w:color="auto" w:fill="auto"/>
            <w:vAlign w:val="center"/>
          </w:tcPr>
          <w:p w:rsidR="00751A4A" w:rsidRPr="00FD2F78" w:rsidRDefault="00A95684" w:rsidP="0010095E">
            <w:pPr>
              <w:pStyle w:val="EPName"/>
            </w:pPr>
            <w:r w:rsidRPr="00FD2F78">
              <w:t>Ευρωπαϊκό Κοινοβούλιο</w:t>
            </w:r>
          </w:p>
          <w:p w:rsidR="00751A4A" w:rsidRPr="00FD2F78" w:rsidRDefault="00817416" w:rsidP="00756632">
            <w:pPr>
              <w:pStyle w:val="EPTerm"/>
              <w:rPr>
                <w:rStyle w:val="HideTWBExt"/>
                <w:noProof w:val="0"/>
                <w:vanish w:val="0"/>
                <w:color w:val="auto"/>
              </w:rPr>
            </w:pPr>
            <w:r w:rsidRPr="00FD2F78">
              <w:t>2019-2024</w:t>
            </w:r>
          </w:p>
        </w:tc>
        <w:tc>
          <w:tcPr>
            <w:tcW w:w="2268" w:type="dxa"/>
            <w:shd w:val="clear" w:color="auto" w:fill="auto"/>
          </w:tcPr>
          <w:p w:rsidR="00751A4A" w:rsidRPr="00FD2F78" w:rsidRDefault="00187494" w:rsidP="0010095E">
            <w:pPr>
              <w:pStyle w:val="EPLogo"/>
            </w:pPr>
            <w:r w:rsidRPr="00FD2F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2F78" w:rsidRDefault="00D058B8" w:rsidP="004C5D52">
      <w:pPr>
        <w:pStyle w:val="LineTop"/>
      </w:pPr>
    </w:p>
    <w:p w:rsidR="00680577" w:rsidRPr="00FD2F78" w:rsidRDefault="00A95684" w:rsidP="00680577">
      <w:pPr>
        <w:pStyle w:val="EPBodyTA1"/>
      </w:pPr>
      <w:r w:rsidRPr="00FD2F78">
        <w:t>ΚΕΙΜΕΝΑ ΠΟΥ ΕΓΚΡΙΘΗΚΑΝ</w:t>
      </w:r>
    </w:p>
    <w:p w:rsidR="00D058B8" w:rsidRPr="00FD2F78" w:rsidRDefault="00D058B8" w:rsidP="00D058B8">
      <w:pPr>
        <w:pStyle w:val="LineBottom"/>
      </w:pPr>
    </w:p>
    <w:p w:rsidR="00A95684" w:rsidRPr="00FD2F78" w:rsidRDefault="00A95684" w:rsidP="00A95684">
      <w:pPr>
        <w:pStyle w:val="ATHeading1"/>
      </w:pPr>
      <w:bookmarkStart w:id="0" w:name="TANumber"/>
      <w:r w:rsidRPr="00FD2F78">
        <w:t>P9_TA(2024)0</w:t>
      </w:r>
      <w:r w:rsidR="00DE0B6A">
        <w:t>120</w:t>
      </w:r>
      <w:bookmarkEnd w:id="0"/>
    </w:p>
    <w:p w:rsidR="00A95684" w:rsidRPr="00FD2F78" w:rsidRDefault="00A95684" w:rsidP="00A95684">
      <w:pPr>
        <w:pStyle w:val="ATHeading2"/>
      </w:pPr>
      <w:bookmarkStart w:id="1" w:name="title"/>
      <w:r w:rsidRPr="00FD2F78">
        <w:t>Εμβάθυνση της ολοκλήρωσης της ΕΕ ενόψει της μελλοντικής διεύρυνσης</w:t>
      </w:r>
      <w:bookmarkEnd w:id="1"/>
    </w:p>
    <w:p w:rsidR="00A95684" w:rsidRPr="00FD2F78" w:rsidRDefault="00A95684" w:rsidP="00A95684">
      <w:pPr>
        <w:rPr>
          <w:i/>
          <w:vanish/>
        </w:rPr>
      </w:pPr>
      <w:r w:rsidRPr="00FD2F78">
        <w:rPr>
          <w:i/>
        </w:rPr>
        <w:fldChar w:fldCharType="begin"/>
      </w:r>
      <w:r w:rsidRPr="00FD2F78">
        <w:rPr>
          <w:i/>
        </w:rPr>
        <w:instrText xml:space="preserve"> TC"(</w:instrText>
      </w:r>
      <w:bookmarkStart w:id="2" w:name="DocNumber"/>
      <w:r w:rsidRPr="00FD2F78">
        <w:rPr>
          <w:i/>
        </w:rPr>
        <w:instrText>A9-0015/2024</w:instrText>
      </w:r>
      <w:bookmarkEnd w:id="2"/>
      <w:r w:rsidRPr="00FD2F78">
        <w:rPr>
          <w:i/>
        </w:rPr>
        <w:instrText xml:space="preserve"> - Εισηγητές: Petras Auštrevičius, Pedro Silva Pereira)"\l3 \n&gt; \* MERGEFORMAT </w:instrText>
      </w:r>
      <w:r w:rsidRPr="00FD2F78">
        <w:rPr>
          <w:i/>
        </w:rPr>
        <w:fldChar w:fldCharType="end"/>
      </w:r>
    </w:p>
    <w:p w:rsidR="00A95684" w:rsidRPr="00FD2F78" w:rsidRDefault="00A95684" w:rsidP="00A95684">
      <w:pPr>
        <w:rPr>
          <w:vanish/>
        </w:rPr>
      </w:pPr>
      <w:bookmarkStart w:id="3" w:name="Commission"/>
      <w:r w:rsidRPr="00FD2F78">
        <w:rPr>
          <w:vanish/>
        </w:rPr>
        <w:t>Επιτροπή Εξωτερικών Υποθέσεων</w:t>
      </w:r>
      <w:bookmarkEnd w:id="3"/>
      <w:r w:rsidR="00E92BA8">
        <w:rPr>
          <w:vanish/>
        </w:rPr>
        <w:t xml:space="preserve"> και </w:t>
      </w:r>
      <w:r w:rsidR="00E92BA8" w:rsidRPr="00E92BA8">
        <w:rPr>
          <w:vanish/>
        </w:rPr>
        <w:t>Επιτροπή Συνταγματικών Υποθέσεων</w:t>
      </w:r>
    </w:p>
    <w:p w:rsidR="00A95684" w:rsidRPr="00FD2F78" w:rsidRDefault="00A95684" w:rsidP="00A95684">
      <w:pPr>
        <w:rPr>
          <w:vanish/>
        </w:rPr>
      </w:pPr>
      <w:bookmarkStart w:id="4" w:name="PE"/>
      <w:r w:rsidRPr="00FD2F78">
        <w:rPr>
          <w:vanish/>
        </w:rPr>
        <w:t>PE752.948</w:t>
      </w:r>
      <w:bookmarkEnd w:id="4"/>
    </w:p>
    <w:p w:rsidR="00A95684" w:rsidRPr="00FD2F78" w:rsidRDefault="00A95684" w:rsidP="00A95684">
      <w:pPr>
        <w:pStyle w:val="ATHeading3"/>
      </w:pPr>
      <w:bookmarkStart w:id="5" w:name="Sujet"/>
      <w:r w:rsidRPr="00FD2F78">
        <w:t xml:space="preserve">Ψήφισμα του Ευρωπαϊκού Κοινοβουλίου </w:t>
      </w:r>
      <w:r w:rsidR="00985470">
        <w:t xml:space="preserve">της </w:t>
      </w:r>
      <w:r w:rsidR="001E748E">
        <w:t>29</w:t>
      </w:r>
      <w:r w:rsidR="00985470">
        <w:t xml:space="preserve">ης Φεβρουαρίου 2024 </w:t>
      </w:r>
      <w:r w:rsidRPr="00FD2F78">
        <w:t>σχετικά με την εμβάθυνση της ολοκλήρωσης της ΕΕ ενόψει της μελλοντικής διεύρυνσης</w:t>
      </w:r>
      <w:bookmarkEnd w:id="5"/>
      <w:r w:rsidRPr="00FD2F78">
        <w:t xml:space="preserve"> </w:t>
      </w:r>
      <w:bookmarkStart w:id="6" w:name="References"/>
      <w:r w:rsidRPr="00FD2F78">
        <w:t>(2023/2114(INI))</w:t>
      </w:r>
      <w:bookmarkEnd w:id="6"/>
    </w:p>
    <w:p w:rsidR="0012148F" w:rsidRPr="00FD2F78" w:rsidRDefault="0012148F" w:rsidP="0012148F">
      <w:pPr>
        <w:pStyle w:val="EPComma"/>
      </w:pPr>
      <w:bookmarkStart w:id="7" w:name="TextBodyBegin"/>
      <w:bookmarkEnd w:id="7"/>
      <w:r w:rsidRPr="00FD2F78">
        <w:t>Το Ευρωπαϊκό Κοινοβούλιο,</w:t>
      </w:r>
    </w:p>
    <w:p w:rsidR="0012148F" w:rsidRPr="00FD2F78" w:rsidRDefault="0012148F" w:rsidP="00D3113D">
      <w:pPr>
        <w:pStyle w:val="Normal12Hanging"/>
        <w:widowControl/>
        <w:rPr>
          <w:bCs/>
          <w:iCs/>
          <w:szCs w:val="24"/>
          <w:lang w:val="el-GR"/>
        </w:rPr>
      </w:pPr>
      <w:r w:rsidRPr="00FD2F78">
        <w:rPr>
          <w:sz w:val="20"/>
          <w:lang w:val="el-GR"/>
        </w:rPr>
        <w:t>–</w:t>
      </w:r>
      <w:r w:rsidRPr="00FD2F78">
        <w:rPr>
          <w:lang w:val="el-GR"/>
        </w:rPr>
        <w:tab/>
        <w:t>έχοντας υπόψη τη Συνθήκη για την Ευρωπαϊκή Ένωση (ΣΕΕ), ιδίως το άρθρο 5 παράγραφος 3, και τα άρθρα 48 και 49 αυτής,</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 Συνθήκη για τη λειτουργία της Ευρωπαϊκής Ένωσης,</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τα συμπεράσματα του Συμβουλίου του Δεκεμβρίου 2006 και του Μαρτίου 2020, καθώς και τα συμπεράσματα της Προεδρίας του Ευρωπαϊκού Συμβουλίου της Κοπεγχάγης της 21ης και 22ας Ιουνίου 1993, γνωστά και ως κριτήρια της Κοπεγχάγης,</w:t>
      </w:r>
    </w:p>
    <w:p w:rsidR="0012148F" w:rsidRPr="00FD2F78" w:rsidRDefault="0012148F" w:rsidP="00D3113D">
      <w:pPr>
        <w:pStyle w:val="Normal12Hanging"/>
        <w:widowControl/>
        <w:rPr>
          <w:lang w:val="el-GR"/>
        </w:rPr>
      </w:pPr>
      <w:r w:rsidRPr="00FD2F78">
        <w:rPr>
          <w:lang w:val="el-GR"/>
        </w:rPr>
        <w:t>–</w:t>
      </w:r>
      <w:r w:rsidRPr="00FD2F78">
        <w:rPr>
          <w:lang w:val="el-GR"/>
        </w:rPr>
        <w:tab/>
        <w:t>έχοντας υπόψη το ψήφισμα του Ευρωπαϊκού Κοινοβουλίου της 13ης Δεκεμβρίου 2023 σχετικά με τα 30 χρόνια από τη θέσπιση των κριτηρίων της Κοπεγχάγης – περαιτέρω ώθηση στην πολιτική διεύρυνσης της ΕΕ</w:t>
      </w:r>
      <w:r w:rsidRPr="00FD2F78">
        <w:rPr>
          <w:rStyle w:val="FootnoteReference"/>
          <w:lang w:val="el-GR"/>
        </w:rPr>
        <w:footnoteReference w:id="1"/>
      </w:r>
      <w:r w:rsidRPr="00FD2F78">
        <w:rPr>
          <w:lang w:val="el-GR"/>
        </w:rPr>
        <w:t>,</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την Ευρωπαϊκή Σύμβαση για την Προστασία των Δικαιωμάτων του Ανθρώπου και των Θεμελιωδών Ελευθεριών (ΕΣΔΑ) και τον Χάρτη των Θεμελιωδών Δικαιωμάτων της Ευρωπαϊκής Ένωσης,</w:t>
      </w:r>
    </w:p>
    <w:p w:rsidR="0012148F" w:rsidRPr="00FD2F78" w:rsidRDefault="0012148F" w:rsidP="00D3113D">
      <w:pPr>
        <w:pStyle w:val="Normal12Hanging"/>
        <w:widowControl/>
        <w:rPr>
          <w:szCs w:val="24"/>
          <w:lang w:val="el-GR"/>
        </w:rPr>
      </w:pPr>
      <w:r w:rsidRPr="00FD2F78">
        <w:rPr>
          <w:lang w:val="el-GR"/>
        </w:rPr>
        <w:t>–</w:t>
      </w:r>
      <w:r w:rsidRPr="00FD2F78">
        <w:rPr>
          <w:lang w:val="el-GR"/>
        </w:rPr>
        <w:tab/>
        <w:t xml:space="preserve">έχοντας υπόψη το Μανιφέστο του </w:t>
      </w:r>
      <w:proofErr w:type="spellStart"/>
      <w:r w:rsidRPr="00FD2F78">
        <w:rPr>
          <w:lang w:val="el-GR"/>
        </w:rPr>
        <w:t>Bεντοτένε</w:t>
      </w:r>
      <w:proofErr w:type="spellEnd"/>
      <w:r w:rsidRPr="00FD2F78">
        <w:rPr>
          <w:lang w:val="el-GR"/>
        </w:rPr>
        <w:t>,</w:t>
      </w:r>
    </w:p>
    <w:p w:rsidR="0012148F" w:rsidRPr="00FD2F78" w:rsidRDefault="0012148F" w:rsidP="00D3113D">
      <w:pPr>
        <w:pStyle w:val="Normal12Hanging"/>
        <w:widowControl/>
        <w:rPr>
          <w:szCs w:val="24"/>
          <w:lang w:val="el-GR"/>
        </w:rPr>
      </w:pPr>
      <w:r w:rsidRPr="00FD2F78">
        <w:rPr>
          <w:lang w:val="el-GR"/>
        </w:rPr>
        <w:t>–</w:t>
      </w:r>
      <w:r w:rsidRPr="00FD2F78">
        <w:rPr>
          <w:sz w:val="20"/>
          <w:lang w:val="el-GR"/>
        </w:rPr>
        <w:tab/>
      </w:r>
      <w:r w:rsidRPr="00FD2F78">
        <w:rPr>
          <w:lang w:val="el-GR"/>
        </w:rPr>
        <w:t>έχοντας υπόψη τη σύστασή του, της 23ης Νοεμβρίου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 νέα στρατηγική της ΕΕ για τη διεύρυνση</w:t>
      </w:r>
      <w:r w:rsidRPr="00FD2F78">
        <w:rPr>
          <w:rStyle w:val="FootnoteReference"/>
          <w:rFonts w:eastAsiaTheme="majorEastAsia"/>
          <w:szCs w:val="24"/>
          <w:lang w:val="el-GR"/>
        </w:rPr>
        <w:footnoteReference w:id="2"/>
      </w:r>
      <w:r w:rsidRPr="00FD2F78">
        <w:rPr>
          <w:lang w:val="el-GR"/>
        </w:rPr>
        <w:t>,</w:t>
      </w:r>
    </w:p>
    <w:p w:rsidR="0012148F" w:rsidRPr="00FD2F78" w:rsidRDefault="0012148F" w:rsidP="00D3113D">
      <w:pPr>
        <w:pStyle w:val="Normal12Hanging"/>
        <w:widowControl/>
        <w:rPr>
          <w:bCs/>
          <w:iCs/>
          <w:szCs w:val="24"/>
          <w:lang w:val="el-GR"/>
        </w:rPr>
      </w:pPr>
      <w:r w:rsidRPr="00FD2F78">
        <w:rPr>
          <w:lang w:val="el-GR"/>
        </w:rPr>
        <w:lastRenderedPageBreak/>
        <w:t>–</w:t>
      </w:r>
      <w:r w:rsidRPr="00FD2F78">
        <w:rPr>
          <w:lang w:val="el-GR"/>
        </w:rPr>
        <w:tab/>
        <w:t>έχοντας υπόψη τη γνωμοδότηση της Ευρωπαϊκής Επιτροπής των Περιφερειών, της 5ης-6ης Ιουλίου 2022, σχετικά με τη δέσμη μέτρων της Επιτροπής του 2022 για τη διεύρυνση, καθώς και τη δήλωση του προέδρου της Επιτροπής των Περιφερειών, της 8ης Νοεμβρίου 2023, σχετικά με τη δέσμη μέτρων της Επιτροπής του 2023 για τη διεύρυνση,</w:t>
      </w:r>
    </w:p>
    <w:p w:rsidR="0012148F" w:rsidRPr="00FD2F78" w:rsidRDefault="0012148F" w:rsidP="00D3113D">
      <w:pPr>
        <w:pStyle w:val="Normal12Hanging"/>
        <w:widowControl/>
        <w:rPr>
          <w:bCs/>
          <w:iCs/>
          <w:szCs w:val="24"/>
          <w:lang w:val="el-GR"/>
        </w:rPr>
      </w:pPr>
      <w:r w:rsidRPr="00FD2F78">
        <w:rPr>
          <w:lang w:val="el-GR"/>
        </w:rPr>
        <w:t>–</w:t>
      </w:r>
      <w:r w:rsidRPr="00FD2F78">
        <w:rPr>
          <w:lang w:val="el-GR"/>
        </w:rPr>
        <w:tab/>
        <w:t>έχοντας υπόψη την έκθεση της Επιτροπής, της 9ης Φεβρουαρίου 2022, με τίτλο «Συνοχή στην Ευρώπη με ορίζοντα το 2050»,</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τα συμπεράσματα του Ευρωπαϊκού Συμβουλίου της 23ης και 24ης Ιουνίου 2022, της 29ης και 30ής Ιουνίου 2023, της 26ης και 27ης Οκτωβρίου 2023 και της 14ης και 15ης Δεκεμβρίου 2023,</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τις αναλυτικές εκθέσεις της Επιτροπής, της 2ας Φεβρουαρίου 2023, σχετικά με την ευθυγράμμιση της Ουκρανίας (SWD(2023)0030), της Μολδαβίας (SWD(2023)0032) και της Γεωργίας (SWD(2023)0031) με το ευρωπαϊκό κεκτημένο,</w:t>
      </w:r>
    </w:p>
    <w:p w:rsidR="0012148F" w:rsidRPr="00FD2F78" w:rsidRDefault="0012148F" w:rsidP="00D3113D">
      <w:pPr>
        <w:pStyle w:val="Normal12Hanging"/>
        <w:widowControl/>
        <w:rPr>
          <w:lang w:val="el-GR"/>
        </w:rPr>
      </w:pPr>
      <w:r w:rsidRPr="00FD2F78">
        <w:rPr>
          <w:lang w:val="el-GR"/>
        </w:rPr>
        <w:t>–</w:t>
      </w:r>
      <w:r w:rsidRPr="00FD2F78">
        <w:rPr>
          <w:lang w:val="el-GR"/>
        </w:rPr>
        <w:tab/>
        <w:t>έχοντας υπόψη την κοινή ανακοίνωση της Επιτροπής προς το Ευρωπαϊκό Συμβούλιο, της 29 Νοεμβρίου 2023, σχετικά με την τρέχουσα κατάσταση των πολιτικών, οικονομικών και εμπορικών σχέσεων ΕΕ-Τουρκίας (JOIN(2023)0050),</w:t>
      </w:r>
    </w:p>
    <w:p w:rsidR="0012148F" w:rsidRPr="00FD2F78" w:rsidRDefault="0012148F" w:rsidP="00D3113D">
      <w:pPr>
        <w:pStyle w:val="Normal12Hanging"/>
        <w:widowControl/>
        <w:rPr>
          <w:bCs/>
          <w:iCs/>
          <w:szCs w:val="24"/>
          <w:lang w:val="el-GR"/>
        </w:rPr>
      </w:pPr>
      <w:r w:rsidRPr="00FD2F78">
        <w:rPr>
          <w:lang w:val="el-GR"/>
        </w:rPr>
        <w:t>–</w:t>
      </w:r>
      <w:r w:rsidRPr="00FD2F78">
        <w:rPr>
          <w:lang w:val="el-GR"/>
        </w:rPr>
        <w:tab/>
        <w:t>έχοντας υπόψη τα συμπεράσματα του Συμβουλίου Γενικών Υποθέσεων, της 29ης και 30ής Απριλίου 1997, σχετικά με την εφαρμογή αιρεσιμότητας, με σκοπό την ανάπτυξη μιας συνεκτικής στρατηγικής της ΕΕ για τις σχέσεις με τις χώρες της περιοχής των Δυτικών Βαλκανίων,</w:t>
      </w:r>
    </w:p>
    <w:p w:rsidR="0012148F" w:rsidRPr="00FD2F78" w:rsidRDefault="0012148F" w:rsidP="00D3113D">
      <w:pPr>
        <w:pStyle w:val="Normal12Hanging"/>
        <w:widowControl/>
        <w:rPr>
          <w:bCs/>
          <w:iCs/>
          <w:szCs w:val="24"/>
          <w:lang w:val="el-GR"/>
        </w:rPr>
      </w:pPr>
      <w:r w:rsidRPr="00FD2F78">
        <w:rPr>
          <w:lang w:val="el-GR"/>
        </w:rPr>
        <w:t>–</w:t>
      </w:r>
      <w:r w:rsidRPr="00FD2F78">
        <w:rPr>
          <w:lang w:val="el-GR"/>
        </w:rPr>
        <w:tab/>
        <w:t>έχοντας υπόψη τα προηγούμενα ψηφίσματά του επί του θέματος, και ιδίως το ψήφισμα της 24ης Οκτωβρίου 2019 σχετικά με την έναρξη ενταξιακών διαπραγματεύσεων με τη Βόρεια Μακεδονία και την Αλβανία</w:t>
      </w:r>
      <w:r w:rsidRPr="00FD2F78">
        <w:rPr>
          <w:rStyle w:val="FootnoteReference"/>
          <w:bCs/>
          <w:iCs/>
          <w:szCs w:val="24"/>
          <w:lang w:val="el-GR"/>
        </w:rPr>
        <w:footnoteReference w:id="3"/>
      </w:r>
      <w:r w:rsidRPr="00FD2F78">
        <w:rPr>
          <w:lang w:val="el-GR"/>
        </w:rPr>
        <w:t xml:space="preserve"> και τα ψηφίσματά του σχετικά με τις εκθέσεις της Επιτροπής του 2022 που αφορούν το Κόσοβο</w:t>
      </w:r>
      <w:r w:rsidRPr="00FD2F78">
        <w:rPr>
          <w:rStyle w:val="FootnoteReference"/>
          <w:bCs/>
          <w:iCs/>
          <w:szCs w:val="24"/>
          <w:lang w:val="el-GR"/>
        </w:rPr>
        <w:footnoteReference w:id="4"/>
      </w:r>
      <w:r w:rsidRPr="00FD2F78">
        <w:rPr>
          <w:lang w:val="el-GR"/>
        </w:rPr>
        <w:t xml:space="preserve"> τη Σερβία</w:t>
      </w:r>
      <w:r w:rsidRPr="00FD2F78">
        <w:rPr>
          <w:rStyle w:val="FootnoteReference"/>
          <w:bCs/>
          <w:iCs/>
          <w:szCs w:val="24"/>
          <w:lang w:val="el-GR"/>
        </w:rPr>
        <w:footnoteReference w:id="5"/>
      </w:r>
      <w:r w:rsidRPr="00FD2F78">
        <w:rPr>
          <w:lang w:val="el-GR"/>
        </w:rPr>
        <w:t>, την Αλβανία</w:t>
      </w:r>
      <w:r w:rsidRPr="00FD2F78">
        <w:rPr>
          <w:rStyle w:val="FootnoteReference"/>
          <w:bCs/>
          <w:iCs/>
          <w:szCs w:val="24"/>
          <w:lang w:val="el-GR"/>
        </w:rPr>
        <w:footnoteReference w:id="6"/>
      </w:r>
      <w:r w:rsidRPr="00FD2F78">
        <w:rPr>
          <w:lang w:val="el-GR"/>
        </w:rPr>
        <w:t>, τη Βοσνία και Ερζεγοβίνη</w:t>
      </w:r>
      <w:r w:rsidRPr="00FD2F78">
        <w:rPr>
          <w:rStyle w:val="FootnoteReference"/>
          <w:bCs/>
          <w:iCs/>
          <w:szCs w:val="24"/>
          <w:lang w:val="el-GR"/>
        </w:rPr>
        <w:footnoteReference w:id="7"/>
      </w:r>
      <w:r w:rsidRPr="00FD2F78">
        <w:rPr>
          <w:lang w:val="el-GR"/>
        </w:rPr>
        <w:t>, τη Βόρεια Μακεδονία</w:t>
      </w:r>
      <w:r w:rsidRPr="00FD2F78">
        <w:rPr>
          <w:rStyle w:val="FootnoteReference"/>
          <w:bCs/>
          <w:iCs/>
          <w:szCs w:val="24"/>
          <w:lang w:val="el-GR"/>
        </w:rPr>
        <w:footnoteReference w:id="8"/>
      </w:r>
      <w:r w:rsidRPr="00FD2F78">
        <w:rPr>
          <w:lang w:val="el-GR"/>
        </w:rPr>
        <w:t xml:space="preserve"> και το Μαυροβούνιο</w:t>
      </w:r>
      <w:r w:rsidRPr="00FD2F78">
        <w:rPr>
          <w:rStyle w:val="FootnoteReference"/>
          <w:bCs/>
          <w:iCs/>
          <w:szCs w:val="24"/>
          <w:lang w:val="el-GR"/>
        </w:rPr>
        <w:footnoteReference w:id="9"/>
      </w:r>
      <w:r w:rsidRPr="00FD2F78">
        <w:rPr>
          <w:lang w:val="el-GR"/>
        </w:rPr>
        <w:t>,</w:t>
      </w:r>
    </w:p>
    <w:p w:rsidR="0012148F" w:rsidRPr="00FD2F78" w:rsidRDefault="0012148F" w:rsidP="00D3113D">
      <w:pPr>
        <w:pStyle w:val="Normal12Hanging"/>
        <w:widowControl/>
        <w:rPr>
          <w:rFonts w:eastAsiaTheme="minorEastAsia"/>
          <w:szCs w:val="24"/>
          <w:lang w:val="el-GR"/>
        </w:rPr>
      </w:pPr>
      <w:r w:rsidRPr="00FD2F78">
        <w:rPr>
          <w:lang w:val="el-GR"/>
        </w:rPr>
        <w:t>–</w:t>
      </w:r>
      <w:r w:rsidRPr="00FD2F78">
        <w:rPr>
          <w:sz w:val="20"/>
          <w:lang w:val="el-GR"/>
        </w:rPr>
        <w:tab/>
      </w:r>
      <w:r w:rsidRPr="00FD2F78">
        <w:rPr>
          <w:lang w:val="el-GR"/>
        </w:rPr>
        <w:t>έχοντας υπόψη τη σύστασή του, της 19ης Ιουνίου 2020, προς το Συμβούλιο, την Επιτροπή και τον Αντιπρόεδρο της Επιτροπής/Ύπατο Εκπρόσωπο της Ένωσης για θέματα Εξωτερικής Πολιτικής και Πολιτικής Ασφαλείας σχετικά με τα Δυτικά Βαλκάνια, σε συνέχεια της συνόδου κορυφής του 2020</w:t>
      </w:r>
      <w:r w:rsidRPr="00FD2F78">
        <w:rPr>
          <w:rStyle w:val="FootnoteReference"/>
          <w:rFonts w:eastAsiaTheme="majorEastAsia"/>
          <w:szCs w:val="24"/>
          <w:lang w:val="el-GR"/>
        </w:rPr>
        <w:footnoteReference w:id="10"/>
      </w:r>
      <w:r w:rsidRPr="00FD2F78">
        <w:rPr>
          <w:lang w:val="el-GR"/>
        </w:rPr>
        <w:t>,</w:t>
      </w:r>
    </w:p>
    <w:p w:rsidR="0012148F" w:rsidRPr="00FD2F78" w:rsidRDefault="0012148F" w:rsidP="00D3113D">
      <w:pPr>
        <w:pStyle w:val="Normal12Hanging"/>
        <w:widowControl/>
        <w:rPr>
          <w:lang w:val="el-GR"/>
        </w:rPr>
      </w:pPr>
      <w:r w:rsidRPr="00FD2F78">
        <w:rPr>
          <w:lang w:val="el-GR"/>
        </w:rPr>
        <w:t>–</w:t>
      </w:r>
      <w:r w:rsidRPr="00FD2F78">
        <w:rPr>
          <w:lang w:val="el-GR"/>
        </w:rPr>
        <w:tab/>
        <w:t>έχοντας υπόψη τα συμπεράσματα του Ευρωπαϊκού Συμβουλίου, της 19ης και 20ής Ιουνίου 2003, και το Θεματολόγιο της Θεσσαλονίκης,</w:t>
      </w:r>
    </w:p>
    <w:p w:rsidR="0012148F" w:rsidRPr="00FD2F78" w:rsidRDefault="0012148F" w:rsidP="00D3113D">
      <w:pPr>
        <w:pStyle w:val="Normal12Hanging"/>
        <w:widowControl/>
        <w:rPr>
          <w:lang w:val="el-GR"/>
        </w:rPr>
      </w:pPr>
      <w:r w:rsidRPr="00FD2F78">
        <w:rPr>
          <w:lang w:val="el-GR"/>
        </w:rPr>
        <w:lastRenderedPageBreak/>
        <w:t>–</w:t>
      </w:r>
      <w:r w:rsidRPr="00FD2F78">
        <w:rPr>
          <w:lang w:val="el-GR"/>
        </w:rPr>
        <w:tab/>
        <w:t>έχοντας υπόψη τις συμφωνίες σύνδεσης της ΕΕ με την Αλβανία</w:t>
      </w:r>
      <w:r w:rsidRPr="00FD2F78">
        <w:rPr>
          <w:rStyle w:val="FootnoteReference"/>
          <w:bCs/>
          <w:iCs/>
          <w:szCs w:val="24"/>
          <w:lang w:val="el-GR"/>
        </w:rPr>
        <w:footnoteReference w:id="11"/>
      </w:r>
      <w:r w:rsidRPr="00FD2F78">
        <w:rPr>
          <w:lang w:val="el-GR"/>
        </w:rPr>
        <w:t>, τη Βοσνία-Ερζεγοβίνη</w:t>
      </w:r>
      <w:r w:rsidRPr="00FD2F78">
        <w:rPr>
          <w:rStyle w:val="FootnoteReference"/>
          <w:bCs/>
          <w:iCs/>
          <w:szCs w:val="24"/>
          <w:lang w:val="el-GR"/>
        </w:rPr>
        <w:footnoteReference w:id="12"/>
      </w:r>
      <w:r w:rsidRPr="00FD2F78">
        <w:rPr>
          <w:lang w:val="el-GR"/>
        </w:rPr>
        <w:t>, τη Γεωργία</w:t>
      </w:r>
      <w:r w:rsidRPr="00FD2F78">
        <w:rPr>
          <w:rStyle w:val="FootnoteReference"/>
          <w:bCs/>
          <w:iCs/>
          <w:szCs w:val="24"/>
          <w:lang w:val="el-GR"/>
        </w:rPr>
        <w:footnoteReference w:id="13"/>
      </w:r>
      <w:r w:rsidRPr="00FD2F78">
        <w:rPr>
          <w:lang w:val="el-GR"/>
        </w:rPr>
        <w:t xml:space="preserve"> το Κόσοβο, τη Δημοκρατία της Μολδαβίας</w:t>
      </w:r>
      <w:r w:rsidRPr="00FD2F78">
        <w:rPr>
          <w:rStyle w:val="FootnoteReference"/>
          <w:bCs/>
          <w:iCs/>
          <w:szCs w:val="24"/>
          <w:lang w:val="el-GR"/>
        </w:rPr>
        <w:footnoteReference w:id="14"/>
      </w:r>
      <w:r w:rsidRPr="00FD2F78">
        <w:rPr>
          <w:lang w:val="el-GR"/>
        </w:rPr>
        <w:t>, το Μαυροβούνιο, τη Βόρεια Μακεδονία</w:t>
      </w:r>
      <w:r w:rsidRPr="00FD2F78">
        <w:rPr>
          <w:rStyle w:val="FootnoteReference"/>
          <w:bCs/>
          <w:iCs/>
          <w:szCs w:val="24"/>
          <w:lang w:val="el-GR"/>
        </w:rPr>
        <w:footnoteReference w:id="15"/>
      </w:r>
      <w:r w:rsidRPr="00FD2F78">
        <w:rPr>
          <w:lang w:val="el-GR"/>
        </w:rPr>
        <w:t>, τη Σερβία, την Τουρκία</w:t>
      </w:r>
      <w:r w:rsidRPr="00FD2F78">
        <w:rPr>
          <w:rStyle w:val="FootnoteReference"/>
          <w:szCs w:val="24"/>
          <w:lang w:val="el-GR"/>
        </w:rPr>
        <w:footnoteReference w:id="16"/>
      </w:r>
      <w:r w:rsidRPr="00FD2F78">
        <w:rPr>
          <w:lang w:val="el-GR"/>
        </w:rPr>
        <w:t xml:space="preserve"> και την Ουκρανία</w:t>
      </w:r>
      <w:r w:rsidRPr="00FD2F78">
        <w:rPr>
          <w:rStyle w:val="FootnoteReference"/>
          <w:bCs/>
          <w:iCs/>
          <w:szCs w:val="24"/>
          <w:lang w:val="el-GR"/>
        </w:rPr>
        <w:footnoteReference w:id="17"/>
      </w:r>
      <w:r w:rsidRPr="00FD2F78">
        <w:rPr>
          <w:lang w:val="el-GR"/>
        </w:rPr>
        <w:t>,</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την πρόταση κανονισμού του Ευρωπαϊκού Κοινοβουλίου και του Συμβουλίου σχετικά με τη θέσπιση της διευκόλυνσης μεταρρυθμίσεων και ανάπτυξης για τα Δυτικά Βαλκάνια (COM(2023)0692),</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 και τη στρατηγική της Επιτροπής για «Μια αξιόπιστη προοπτική διεύρυνσης για τα Δυτικά Βαλκάνια και αυξημένη δέσμευση της ΕΕ απέναντί τους» του Φεβρουαρίου 2018,</w:t>
      </w:r>
    </w:p>
    <w:p w:rsidR="0012148F" w:rsidRPr="00FD2F78" w:rsidRDefault="0012148F" w:rsidP="00D3113D">
      <w:pPr>
        <w:pStyle w:val="Normal12Hanging"/>
        <w:widowControl/>
        <w:rPr>
          <w:lang w:val="el-GR"/>
        </w:rPr>
      </w:pPr>
      <w:r w:rsidRPr="00FD2F78">
        <w:rPr>
          <w:lang w:val="el-GR"/>
        </w:rPr>
        <w:t>–</w:t>
      </w:r>
      <w:r w:rsidRPr="00FD2F78">
        <w:rPr>
          <w:lang w:val="el-GR"/>
        </w:rPr>
        <w:tab/>
        <w:t>έχοντας υπόψη το ψήφισμά του της 23ης Ιουνίου 2022 σχετικά με το καθεστώς υποψήφιας προς ένταξη χώρας για την Ουκρανία, τη Δημοκρατία της Μολδαβίας και τη Γεωργία,</w:t>
      </w:r>
    </w:p>
    <w:p w:rsidR="0012148F" w:rsidRPr="00FD2F78" w:rsidRDefault="0012148F" w:rsidP="00D3113D">
      <w:pPr>
        <w:pStyle w:val="Normal12Hanging"/>
        <w:widowControl/>
        <w:rPr>
          <w:rFonts w:eastAsia="Calibri"/>
          <w:bCs/>
          <w:iCs/>
          <w:lang w:val="el-GR"/>
        </w:rPr>
      </w:pPr>
      <w:r w:rsidRPr="00FD2F78">
        <w:rPr>
          <w:lang w:val="el-GR"/>
        </w:rPr>
        <w:t>–</w:t>
      </w:r>
      <w:r w:rsidRPr="00FD2F78">
        <w:rPr>
          <w:lang w:val="el-GR"/>
        </w:rPr>
        <w:tab/>
        <w:t>έχοντας υπόψη το ψήφισμά του της 5ης Οκτωβρίου 2023 σχετικά με τον απολογισμό της πορείας της Μολδαβίας προς την ΕΕ</w:t>
      </w:r>
      <w:r w:rsidRPr="00FD2F78">
        <w:rPr>
          <w:rStyle w:val="FootnoteReference"/>
          <w:rFonts w:eastAsia="Calibri"/>
          <w:bCs/>
          <w:iCs/>
          <w:lang w:val="el-GR"/>
        </w:rPr>
        <w:footnoteReference w:id="18"/>
      </w:r>
      <w:r w:rsidRPr="00FD2F78">
        <w:rPr>
          <w:lang w:val="el-GR"/>
        </w:rPr>
        <w:t>,</w:t>
      </w:r>
    </w:p>
    <w:p w:rsidR="0012148F" w:rsidRPr="00FD2F78" w:rsidRDefault="0012148F" w:rsidP="00D3113D">
      <w:pPr>
        <w:pStyle w:val="Normal12Hanging"/>
        <w:widowControl/>
        <w:rPr>
          <w:lang w:val="el-GR"/>
        </w:rPr>
      </w:pPr>
      <w:r w:rsidRPr="00FD2F78">
        <w:rPr>
          <w:lang w:val="el-GR"/>
        </w:rPr>
        <w:t>–</w:t>
      </w:r>
      <w:r w:rsidRPr="00FD2F78">
        <w:rPr>
          <w:lang w:val="el-GR"/>
        </w:rPr>
        <w:tab/>
        <w:t>έχοντας υπόψη την ειδική έκθεση 01/2022 του Ευρωπαϊκού Ελεγκτικού Συνεδρίου, της 10ης Ιανουαρίου 2022, με τίτλο «Ενωσιακή στήριξη για το κράτος δικαίου στα Δυτικά Βαλκάνια: παρά τις προσπάθειες, εξακολουθούν να υπάρχουν θεμελιώδη προβλήματα»,</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 δέσμη μέτρων της Επιτροπής του 2022 για τη διεύρυνση, της 12ης Οκτωβρίου 2022,</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την ανακοίνωση του 2023 σχετικά με την πολιτική διεύρυνσης της ΕΕ στη δέσμη μέτρων για τη διεύρυνση, η οποία εγκρίθηκε από την Ευρωπαϊκή Επιτροπή στις 8 Νοεμβρίου 2023 (COM(2023)0690),</w:t>
      </w:r>
    </w:p>
    <w:p w:rsidR="0012148F" w:rsidRPr="00FD2F78" w:rsidRDefault="0012148F" w:rsidP="00D3113D">
      <w:pPr>
        <w:pStyle w:val="Normal12Hanging"/>
        <w:widowControl/>
        <w:rPr>
          <w:lang w:val="el-GR"/>
        </w:rPr>
      </w:pPr>
      <w:r w:rsidRPr="00FD2F78">
        <w:rPr>
          <w:lang w:val="el-GR"/>
        </w:rPr>
        <w:t>–</w:t>
      </w:r>
      <w:r w:rsidRPr="00FD2F78">
        <w:rPr>
          <w:lang w:val="el-GR"/>
        </w:rPr>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III)</w:t>
      </w:r>
      <w:r w:rsidRPr="00FD2F78">
        <w:rPr>
          <w:rStyle w:val="FootnoteReference"/>
          <w:bCs/>
          <w:iCs/>
          <w:szCs w:val="24"/>
          <w:lang w:val="el-GR"/>
        </w:rPr>
        <w:footnoteReference w:id="19"/>
      </w:r>
      <w:r w:rsidRPr="00FD2F78">
        <w:rPr>
          <w:lang w:val="el-GR"/>
        </w:rPr>
        <w:t>,</w:t>
      </w:r>
    </w:p>
    <w:p w:rsidR="0012148F" w:rsidRPr="00FD2F78" w:rsidRDefault="0012148F" w:rsidP="00D3113D">
      <w:pPr>
        <w:pStyle w:val="Normal12Hanging"/>
        <w:widowControl/>
        <w:rPr>
          <w:bCs/>
          <w:iCs/>
          <w:szCs w:val="24"/>
          <w:lang w:val="el-GR"/>
        </w:rPr>
      </w:pPr>
      <w:r w:rsidRPr="00FD2F78">
        <w:rPr>
          <w:lang w:val="el-GR"/>
        </w:rPr>
        <w:t>–</w:t>
      </w:r>
      <w:r w:rsidRPr="00FD2F78">
        <w:rPr>
          <w:lang w:val="el-GR"/>
        </w:rPr>
        <w:tab/>
        <w:t>έχοντας υπόψη τη γνωμοδότηση της Ευρωπαϊκής Οικονομικής και Κοινωνικής Επιτροπής, της 10ης Ιουλίου 2014, με θέμα «Ενίσχυση της διαφάνειας και της συμμετοχικότητας στη διαδικασία προσχώρησης στην ΕΕ»</w:t>
      </w:r>
      <w:r w:rsidRPr="00FD2F78">
        <w:rPr>
          <w:rStyle w:val="FootnoteReference"/>
          <w:lang w:val="el-GR"/>
        </w:rPr>
        <w:footnoteReference w:id="20"/>
      </w:r>
      <w:r w:rsidRPr="00FD2F78">
        <w:rPr>
          <w:lang w:val="el-GR"/>
        </w:rPr>
        <w:t>,</w:t>
      </w:r>
    </w:p>
    <w:p w:rsidR="0012148F" w:rsidRPr="00FD2F78" w:rsidRDefault="0012148F" w:rsidP="00D3113D">
      <w:pPr>
        <w:pStyle w:val="Normal12Hanging"/>
        <w:widowControl/>
        <w:rPr>
          <w:szCs w:val="24"/>
          <w:lang w:val="el-GR"/>
        </w:rPr>
      </w:pPr>
      <w:r w:rsidRPr="00FD2F78">
        <w:rPr>
          <w:lang w:val="el-GR"/>
        </w:rPr>
        <w:lastRenderedPageBreak/>
        <w:t>–</w:t>
      </w:r>
      <w:r w:rsidRPr="00FD2F78">
        <w:rPr>
          <w:lang w:val="el-GR"/>
        </w:rPr>
        <w:tab/>
        <w:t>έχοντας υπόψη το ψήφισμά του της 16ης Φεβρουαρίου 2017 σχετικά με τη βελτίωση της λειτουργίας της Ευρωπαϊκής Ένωσης με βάση τις δυνατότητες της Συνθήκης της Λισαβόνας</w:t>
      </w:r>
      <w:r w:rsidRPr="00FD2F78">
        <w:rPr>
          <w:rStyle w:val="FootnoteReference"/>
          <w:szCs w:val="24"/>
          <w:lang w:val="el-GR"/>
        </w:rPr>
        <w:footnoteReference w:id="21"/>
      </w:r>
      <w:r w:rsidRPr="00FD2F78">
        <w:rPr>
          <w:lang w:val="el-GR"/>
        </w:rPr>
        <w:t>, και το ψήφισμά του της 11ης Ιουλίου 2023 σχετικά με την εφαρμογή των ρητρών «γέφυρας» στις Συνθήκες της ΕΕ</w:t>
      </w:r>
      <w:r w:rsidRPr="00FD2F78">
        <w:rPr>
          <w:rStyle w:val="FootnoteReference"/>
          <w:szCs w:val="24"/>
          <w:lang w:val="el-GR"/>
        </w:rPr>
        <w:footnoteReference w:id="22"/>
      </w:r>
    </w:p>
    <w:p w:rsidR="0012148F" w:rsidRPr="00FD2F78" w:rsidRDefault="0012148F" w:rsidP="00D3113D">
      <w:pPr>
        <w:pStyle w:val="Normal12Hanging"/>
        <w:widowControl/>
        <w:rPr>
          <w:szCs w:val="24"/>
          <w:lang w:val="el-GR"/>
        </w:rPr>
      </w:pPr>
      <w:r w:rsidRPr="00FD2F78">
        <w:rPr>
          <w:lang w:val="el-GR"/>
        </w:rPr>
        <w:t>–</w:t>
      </w:r>
      <w:r w:rsidRPr="00FD2F78">
        <w:rPr>
          <w:lang w:val="el-GR"/>
        </w:rPr>
        <w:tab/>
        <w:t xml:space="preserve">έχοντας υπόψη την έκθεση, της 9ης </w:t>
      </w:r>
      <w:r w:rsidR="00F621F1">
        <w:rPr>
          <w:lang w:val="el-GR"/>
        </w:rPr>
        <w:t>Μαΐου</w:t>
      </w:r>
      <w:r w:rsidRPr="00FD2F78">
        <w:rPr>
          <w:lang w:val="el-GR"/>
        </w:rPr>
        <w:t xml:space="preserve"> 2022, σχετικά με το τελικό αποτέλεσμα της Διάσκεψης για το Μέλλον της Ευρώπης, και το ψήφισμα του Ευρωπαϊκού Κοινοβουλίου, της 4ης Μαΐου 2022, σχετικά με τη συνέχεια στα συμπεράσματα της Διάσκεψης για το μέλλον της Ευρώπης</w:t>
      </w:r>
      <w:r w:rsidRPr="00FD2F78">
        <w:rPr>
          <w:rStyle w:val="FootnoteReference"/>
          <w:bCs/>
          <w:iCs/>
          <w:szCs w:val="24"/>
          <w:lang w:val="el-GR"/>
        </w:rPr>
        <w:footnoteReference w:id="23"/>
      </w:r>
      <w:r w:rsidRPr="00FD2F78">
        <w:rPr>
          <w:lang w:val="el-GR"/>
        </w:rPr>
        <w:t>,</w:t>
      </w:r>
    </w:p>
    <w:p w:rsidR="0012148F" w:rsidRPr="00FD2F78" w:rsidRDefault="0012148F" w:rsidP="00D3113D">
      <w:pPr>
        <w:pStyle w:val="Normal12Hanging"/>
        <w:widowControl/>
        <w:rPr>
          <w:szCs w:val="24"/>
          <w:lang w:val="el-GR"/>
        </w:rPr>
      </w:pPr>
      <w:r w:rsidRPr="00FD2F78">
        <w:rPr>
          <w:lang w:val="el-GR"/>
        </w:rPr>
        <w:t>–</w:t>
      </w:r>
      <w:r w:rsidRPr="00FD2F78">
        <w:rPr>
          <w:sz w:val="20"/>
          <w:lang w:val="el-GR"/>
        </w:rPr>
        <w:tab/>
      </w:r>
      <w:r w:rsidRPr="00FD2F78">
        <w:rPr>
          <w:lang w:val="el-GR"/>
        </w:rPr>
        <w:t>έχοντας υπόψη τα ψηφίσματά του της 9ης Ιουνίου 2022 σχετικά με το αίτημα για σύγκληση Συνέλευσης για την αναθεώρηση των Συνθηκών</w:t>
      </w:r>
      <w:r w:rsidRPr="00FD2F78">
        <w:rPr>
          <w:rStyle w:val="FootnoteReference"/>
          <w:szCs w:val="24"/>
          <w:lang w:val="el-GR"/>
        </w:rPr>
        <w:footnoteReference w:id="24"/>
      </w:r>
      <w:r w:rsidRPr="00FD2F78">
        <w:rPr>
          <w:lang w:val="el-GR"/>
        </w:rPr>
        <w:t>, και το ψήφισμά του της 22ας Νοεμβρίου 2023 σχετικά με τις Προτάσεις του Ευρωπαϊκού Κοινοβουλίου για την τροποποίηση των Συνθηκών</w:t>
      </w:r>
      <w:r w:rsidRPr="00FD2F78">
        <w:rPr>
          <w:rStyle w:val="FootnoteReference"/>
          <w:bCs/>
          <w:iCs/>
          <w:szCs w:val="24"/>
          <w:lang w:val="el-GR"/>
        </w:rPr>
        <w:footnoteReference w:id="25"/>
      </w:r>
      <w:r w:rsidRPr="00FD2F78">
        <w:rPr>
          <w:lang w:val="el-GR"/>
        </w:rPr>
        <w:t>, καθώς και την ενεργοποίηση του άρθρου 48 ΣΕΕ, με τα οποία ζητείται από το Ευρωπαϊκό Συμβούλιο να συμφωνήσει να συγκαλέσει Συνέλευση για τη μεταρρύθμιση των Συνθηκών,</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το άρθρο 54 του Κανονισμού του,</w:t>
      </w:r>
    </w:p>
    <w:p w:rsidR="0012148F" w:rsidRPr="00FD2F78" w:rsidRDefault="0012148F" w:rsidP="00D3113D">
      <w:pPr>
        <w:pStyle w:val="Normal12Hanging"/>
        <w:widowControl/>
        <w:rPr>
          <w:szCs w:val="24"/>
          <w:lang w:val="el-GR"/>
        </w:rPr>
      </w:pPr>
      <w:r w:rsidRPr="00FD2F78">
        <w:rPr>
          <w:lang w:val="el-GR"/>
        </w:rPr>
        <w:t>–</w:t>
      </w:r>
      <w:r w:rsidRPr="00FD2F78">
        <w:rPr>
          <w:lang w:val="el-GR"/>
        </w:rPr>
        <w:tab/>
        <w:t>έχοντας υπόψη την έκθεση της Επιτροπής Εξωτερικών Υποθέσεων και της Επιτροπής Συνταγματικών Υποθέσεων (A9-0015/2024),</w:t>
      </w:r>
    </w:p>
    <w:p w:rsidR="0012148F" w:rsidRPr="00FD2F78" w:rsidRDefault="0012148F" w:rsidP="00D3113D">
      <w:pPr>
        <w:pStyle w:val="Normal12Hanging"/>
        <w:widowControl/>
        <w:rPr>
          <w:lang w:val="el-GR"/>
        </w:rPr>
      </w:pPr>
      <w:r w:rsidRPr="00FD2F78">
        <w:rPr>
          <w:lang w:val="el-GR"/>
        </w:rPr>
        <w:t>Α.</w:t>
      </w:r>
      <w:r w:rsidRPr="00FD2F78">
        <w:rPr>
          <w:lang w:val="el-GR"/>
        </w:rPr>
        <w:tab/>
        <w:t>λαμβάνοντας υπόψη ότι εννέα από τις δέκα χώρες που φιλοδοξούν επί του παρόντος να προσχωρήσουν στην ΕΕ έχουν καθεστώς υποψήφιας χώρας, και ορισμένες από αυτές εδώ και πολλά χρόνια· λαμβάνοντας υπόψη ότι οι εν λόγω υποψήφιες χώρες βρίσκονται σε διάφορα στάδια της διαδικασίας προσχώρησης και των διαπραγματεύσεων·</w:t>
      </w:r>
    </w:p>
    <w:p w:rsidR="0012148F" w:rsidRPr="00FD2F78" w:rsidRDefault="0012148F" w:rsidP="00D3113D">
      <w:pPr>
        <w:pStyle w:val="Normal12Hanging"/>
        <w:widowControl/>
        <w:rPr>
          <w:lang w:val="el-GR"/>
        </w:rPr>
      </w:pPr>
      <w:r w:rsidRPr="00FD2F78">
        <w:rPr>
          <w:lang w:val="el-GR"/>
        </w:rPr>
        <w:t>Β.</w:t>
      </w:r>
      <w:r w:rsidRPr="00FD2F78">
        <w:rPr>
          <w:lang w:val="el-GR"/>
        </w:rPr>
        <w:tab/>
        <w:t>λαμβάνοντας υπόψη ότι, σύμφωνα με τις συστάσεις της Επιτροπής που περιλαμβάνονται στη δέσμη μέτρων για τη διεύρυνση του 2023, στις 14 Δεκεμβρίου 2023 το Ευρωπαϊκό Συμβούλιο αποφάσισε να χορηγήσει καθεστώς υποψήφιας χώρας στη Γεωργία και να αρχίσει ενταξιακές διαπραγματεύσεις με την Ουκρανία και τη Δημοκρατία της Μολδαβίας, καθώς και με τη Βοσνία-Ερζεγοβίνη, μόλις επιτευχθεί ο αναγκαίος βαθμός συμμόρφωσης με τα κριτήρια προσχώρησης·</w:t>
      </w:r>
    </w:p>
    <w:p w:rsidR="0012148F" w:rsidRPr="00FD2F78" w:rsidRDefault="0012148F" w:rsidP="00D3113D">
      <w:pPr>
        <w:pStyle w:val="Normal12Hanging"/>
        <w:widowControl/>
        <w:rPr>
          <w:lang w:val="el-GR"/>
        </w:rPr>
      </w:pPr>
      <w:r w:rsidRPr="00FD2F78">
        <w:rPr>
          <w:lang w:val="el-GR"/>
        </w:rPr>
        <w:t>Γ.</w:t>
      </w:r>
      <w:r w:rsidRPr="00FD2F78">
        <w:rPr>
          <w:lang w:val="el-GR"/>
        </w:rPr>
        <w:tab/>
        <w:t>λαμβάνοντας υπόψη ότι ο επιθετικός πόλεμος της Ρωσίας κατά της Ουκρανίας και άλλες υφιστάμενες γεωπολιτικές προκλήσεις έχουν προσδώσει νέα γεωστρατηγική σημασία στη διεύρυνση της Ευρωπαϊκής Ένωσης· λαμβάνοντας υπόψη ότι η σταθερότητα, η ασφάλεια και η δημοκρατική ανθεκτικότητα των Δυτικών Βαλκανίων και της Ανατολικής Γειτονίας συνδέονται άρρηκτα με την ασφάλεια, τη σταθερότητα και τη δημοκρατική ανθεκτικότητα της ίδιας της ΕΕ·</w:t>
      </w:r>
    </w:p>
    <w:p w:rsidR="0012148F" w:rsidRPr="00FD2F78" w:rsidRDefault="0012148F" w:rsidP="00D3113D">
      <w:pPr>
        <w:pStyle w:val="Normal12Hanging"/>
        <w:widowControl/>
        <w:rPr>
          <w:lang w:val="el-GR"/>
        </w:rPr>
      </w:pPr>
      <w:r w:rsidRPr="00FD2F78">
        <w:rPr>
          <w:lang w:val="el-GR"/>
        </w:rPr>
        <w:t>Δ.</w:t>
      </w:r>
      <w:r w:rsidRPr="00FD2F78">
        <w:rPr>
          <w:lang w:val="el-GR"/>
        </w:rPr>
        <w:tab/>
        <w:t xml:space="preserve">λαμβάνοντας υπόψη ότι η διεύρυνση αποτελεί ηθική και ιστορική δέσμευση και στρατηγική γεωπολιτική προτεραιότητα που αντιπροσωπεύει γεωστρατηγική επένδυση στο μέλλον, η οποία θα συμβάλει στην ειρήνη, τη σταθερότητα, την ασφάλεια, τη δημοκρατία, την ενότητα, την καταπολέμηση της κλιματικής αλλαγής, και διασφαλίζει </w:t>
      </w:r>
      <w:r w:rsidRPr="00FD2F78">
        <w:rPr>
          <w:lang w:val="el-GR"/>
        </w:rPr>
        <w:lastRenderedPageBreak/>
        <w:t>την ευημερία και την ευμάρεια στην ευρωπαϊκή ήπειρο· λαμβάνοντας υπόψη ότι η ασφάλεια της ΕΕ βασίζεται στην ικανότητά της να υπερασπίζεται, να προάγει και να διατηρεί την ειρήνη, τη δημοκρατία, το κράτος δικαίου, τα ανθρώπινα δικαιώματα και τις θεμελιώδεις αξίες· λαμβάνοντας υπόψη ότι η διεύρυνση μπορεί να είναι αμοιβαία επωφελής τόσο για τα υφιστάμενα όσο και για τα μελλοντικά κράτη μέλη και τους πολίτες τους, εφόσον πληρούνται οι κατάλληλες προϋποθέσεις και απαιτήσεις·</w:t>
      </w:r>
    </w:p>
    <w:p w:rsidR="0012148F" w:rsidRPr="00FD2F78" w:rsidRDefault="0012148F" w:rsidP="00D3113D">
      <w:pPr>
        <w:pStyle w:val="Normal12Hanging"/>
        <w:widowControl/>
        <w:rPr>
          <w:bCs/>
          <w:iCs/>
          <w:lang w:val="el-GR"/>
        </w:rPr>
      </w:pPr>
      <w:r w:rsidRPr="00FD2F78">
        <w:rPr>
          <w:lang w:val="el-GR"/>
        </w:rPr>
        <w:t>Ε.</w:t>
      </w:r>
      <w:r w:rsidRPr="00FD2F78">
        <w:rPr>
          <w:lang w:val="el-GR"/>
        </w:rPr>
        <w:tab/>
        <w:t xml:space="preserve">λαμβάνοντας υπόψη ότι η διεύρυνση έχει καταστεί ένα από τα ισχυρότερα πολιτικά και γεωπολιτικά εργαλεία της ΕΕ· λαμβάνοντας υπόψη ότι, σύμφωνα με το Ευρωβαρόμετρο του Ιουνίου </w:t>
      </w:r>
      <w:r w:rsidR="00D3113D">
        <w:rPr>
          <w:lang w:val="el-GR"/>
        </w:rPr>
        <w:t xml:space="preserve">του </w:t>
      </w:r>
      <w:r w:rsidRPr="00FD2F78">
        <w:rPr>
          <w:lang w:val="el-GR"/>
        </w:rPr>
        <w:t>2023, η πλειονότητα του πληθυσμού της ΕΕ τάσσεται υπέρ της μελλοντικής διεύρυνσης της ΕΕ· λαμβάνοντας υπόψη ότι απαιτούνται επειγόντως νέα ώθηση, νέες δεσμεύσεις και νέο όραμα για την αναζωογόνηση της διαδικασίας διεύρυνσης, ενώ παράλληλα πρέπει να διασφαλιστούν η συνέχεια, η συνοχή, η αξιοπιστία και ο αντίκτυπός της· λαμβάνοντας υπόψη ότι η έλλειψη δέσμευσης τα προηγούμενα έτη έχει δημιουργήσει ένα κενό, με αποτέλεσμα να διευρυνθεί το πεδίο δράσης για τη Ρωσία και την Κίνα καθώς και για άλλους εξωτερικούς παράγοντες· λαμβάνοντας υπόψη ότι η αρχή της αμοιβαίας και ειλικρινούς συνεργασίας πρέπει να τηρείται ανελλιπώς·</w:t>
      </w:r>
    </w:p>
    <w:p w:rsidR="0012148F" w:rsidRPr="00FD2F78" w:rsidRDefault="0012148F" w:rsidP="00D3113D">
      <w:pPr>
        <w:pStyle w:val="Normal12Hanging"/>
        <w:widowControl/>
        <w:rPr>
          <w:bCs/>
          <w:iCs/>
          <w:lang w:val="el-GR"/>
        </w:rPr>
      </w:pPr>
      <w:r w:rsidRPr="00FD2F78">
        <w:rPr>
          <w:lang w:val="el-GR"/>
        </w:rPr>
        <w:t>ΣΤ.</w:t>
      </w:r>
      <w:r w:rsidRPr="00FD2F78">
        <w:rPr>
          <w:lang w:val="el-GR"/>
        </w:rPr>
        <w:tab/>
        <w:t>λαμβάνοντας υπόψη ότι η προσχώρηση στην ΕΕ πρέπει να είναι πάντα μια αξιοκρατική διαδικασία στο πλαίσιο της οποίας κάθε αιτούσα χώρα θα αξιολογείται με βάση τις επιδόσεις της όσον αφορά την εκπλήρωση όλων των κριτηρίων της Κοπεγχάγης, συμπεριλαμβανομένων των κριτηρίων της που αφορούν τη διασφάλιση του συνεχούς πλήρους σεβασμού των ανθρωπίνων δικαιωμάτων, συμπεριλαμβανομένων των δικαιωμάτων των μειονοτήτων, της δημοκρατίας και του κράτους δικαίου, καθώς και των λοιπών θεμελιωδών αξιών της ΕΕ· λαμβάνοντας υπόψη ότι θα πρέπει να επιδιωχθούν θετικά αποτελέσματα το συντομότερο δυνατόν και, παράλληλα, να αποφευχθούν η επίσπευση της διαδικασίας ή οι προκαθορισμένες προθεσμίες·</w:t>
      </w:r>
    </w:p>
    <w:p w:rsidR="0012148F" w:rsidRPr="00FD2F78" w:rsidRDefault="0012148F" w:rsidP="00D3113D">
      <w:pPr>
        <w:pStyle w:val="Normal12Hanging"/>
        <w:widowControl/>
        <w:rPr>
          <w:rFonts w:eastAsiaTheme="minorEastAsia"/>
          <w:bCs/>
          <w:iCs/>
          <w:lang w:val="el-GR"/>
        </w:rPr>
      </w:pPr>
      <w:r w:rsidRPr="00FD2F78">
        <w:rPr>
          <w:lang w:val="el-GR"/>
        </w:rPr>
        <w:t>Ζ.</w:t>
      </w:r>
      <w:r w:rsidRPr="00FD2F78">
        <w:rPr>
          <w:lang w:val="el-GR"/>
        </w:rPr>
        <w:tab/>
        <w:t>λαμβάνοντας υπόψη ότι η στασιμότητα ή η οπισθοδρόμηση πρέπει να έχουν συνέπειες, καθώς ολόκληρη η ενταξιακή διαδικασία πρέπει να βασίζεται σε δίκαιες και αυστηρές προϋποθέσεις·</w:t>
      </w:r>
    </w:p>
    <w:p w:rsidR="0012148F" w:rsidRPr="00FD2F78" w:rsidRDefault="0012148F" w:rsidP="00D3113D">
      <w:pPr>
        <w:pStyle w:val="Normal12Hanging"/>
        <w:widowControl/>
        <w:rPr>
          <w:bCs/>
          <w:iCs/>
          <w:szCs w:val="24"/>
          <w:lang w:val="el-GR"/>
        </w:rPr>
      </w:pPr>
      <w:r w:rsidRPr="00FD2F78">
        <w:rPr>
          <w:lang w:val="el-GR"/>
        </w:rPr>
        <w:t>Η.</w:t>
      </w:r>
      <w:r w:rsidRPr="00FD2F78">
        <w:rPr>
          <w:lang w:val="el-GR"/>
        </w:rPr>
        <w:tab/>
        <w:t>λαμβάνοντας υπόψη ότι, για την προσχώρηση στην ΕΕ, απαιτείται φιλόδοξη ατζέντα ολοκλήρωσης και από τις δύο πλευρές, την ΕΕ και τις υποψήφιες χώρες· λαμβάνοντας υπόψη ότι απαιτούνται θεμελιώδεις μεταρρυθμίσεις στους τομείς του δικαστικού συστήματος, της καταπολέμησης της διαφθοράς, της ελευθερίας και της πολυφωνίας των μέσων ενημέρωσης προκειμένου οι υποψήφιες χώρες να προχωρήσουν στην πορεία τους προς την ΕΕ·</w:t>
      </w:r>
    </w:p>
    <w:p w:rsidR="0012148F" w:rsidRPr="00FD2F78" w:rsidRDefault="0012148F" w:rsidP="00D3113D">
      <w:pPr>
        <w:pStyle w:val="Normal12Hanging"/>
        <w:widowControl/>
        <w:rPr>
          <w:bCs/>
          <w:iCs/>
          <w:szCs w:val="24"/>
          <w:lang w:val="el-GR"/>
        </w:rPr>
      </w:pPr>
      <w:r w:rsidRPr="00FD2F78">
        <w:rPr>
          <w:lang w:val="el-GR"/>
        </w:rPr>
        <w:t>Θ.</w:t>
      </w:r>
      <w:r w:rsidRPr="00FD2F78">
        <w:rPr>
          <w:lang w:val="el-GR"/>
        </w:rPr>
        <w:tab/>
        <w:t>λαμβάνοντας υπόψη ότι θα ήταν επωφελές να ολοκληρωθεί η εκκρεμούσα προσχώρηση των υφιστάμενων κρατών μελών στο ευρώ και στον χώρο Σένγκεν μαζί με την επόμενη διεύρυνση·</w:t>
      </w:r>
    </w:p>
    <w:p w:rsidR="0012148F" w:rsidRPr="00FD2F78" w:rsidRDefault="0012148F" w:rsidP="00D3113D">
      <w:pPr>
        <w:pStyle w:val="Normal12Hanging"/>
        <w:widowControl/>
        <w:rPr>
          <w:lang w:val="el-GR"/>
        </w:rPr>
      </w:pPr>
      <w:r w:rsidRPr="00FD2F78">
        <w:rPr>
          <w:lang w:val="el-GR"/>
        </w:rPr>
        <w:t>Ι.</w:t>
      </w:r>
      <w:r w:rsidRPr="00FD2F78">
        <w:rPr>
          <w:lang w:val="el-GR"/>
        </w:rPr>
        <w:tab/>
        <w:t xml:space="preserve">λαμβάνοντας υπόψη ότι οι χώρες των Δυτικών Βαλκανίων πρέπει επίσης να επικεντρωθούν στην επίλυση των συγκρούσεων, την περιφερειακή συνεργασία και τη συμφιλίωση· λαμβάνοντας υπόψη ότι δεν υπάρχει θέση στην ΕΕ ή στις χώρες που επιθυμούν να γίνουν κράτη μέλη για εμπρηστική ρητορική, άρνηση γενοκτονίας ή εξύμνηση εγκληματιών πολέμου από οποιαδήποτε πλευρά· λαμβάνοντας υπόψη ότι η αποδοχή του παρελθόντος είναι ο μόνος τρόπος για να επιτευχθεί πραγματική </w:t>
      </w:r>
      <w:r w:rsidRPr="00FD2F78">
        <w:rPr>
          <w:lang w:val="el-GR"/>
        </w:rPr>
        <w:lastRenderedPageBreak/>
        <w:t>συμφιλίωση, η οποία είναι ζωτικής σημασίας για την εξασφάλιση της ευημερίας των κοινωνιών και την επιτυχή ένταξη·</w:t>
      </w:r>
    </w:p>
    <w:p w:rsidR="0012148F" w:rsidRPr="00FD2F78" w:rsidRDefault="0012148F" w:rsidP="00D3113D">
      <w:pPr>
        <w:pStyle w:val="Normal12Hanging"/>
        <w:widowControl/>
        <w:rPr>
          <w:bCs/>
          <w:iCs/>
          <w:lang w:val="el-GR"/>
        </w:rPr>
      </w:pPr>
      <w:r w:rsidRPr="00FD2F78">
        <w:rPr>
          <w:lang w:val="el-GR"/>
        </w:rPr>
        <w:t>ΙΑ.</w:t>
      </w:r>
      <w:r w:rsidRPr="00FD2F78">
        <w:rPr>
          <w:lang w:val="el-GR"/>
        </w:rPr>
        <w:tab/>
        <w:t xml:space="preserve">λαμβάνοντας υπόψη ότι οι διαδικασίες διεύρυνσης και εμβάθυνσης της ΕΕ πρέπει να έχουν παράλληλη εξέλιξη, δεδομένου ότι έχουν την ικανότητα να </w:t>
      </w:r>
      <w:proofErr w:type="spellStart"/>
      <w:r w:rsidRPr="00FD2F78">
        <w:rPr>
          <w:lang w:val="el-GR"/>
        </w:rPr>
        <w:t>αλληλοενισχύονται</w:t>
      </w:r>
      <w:proofErr w:type="spellEnd"/>
      <w:r w:rsidRPr="00FD2F78">
        <w:rPr>
          <w:lang w:val="el-GR"/>
        </w:rPr>
        <w:t>, με αποτέλεσμα να πολλαπλασιάζεται ο αντίκτυπός τους και να συμβάλλουν σημαντικά στους πρωταρχικούς στόχους για τους οποίους δημιουργήθηκε η ΕΕ·</w:t>
      </w:r>
    </w:p>
    <w:p w:rsidR="0012148F" w:rsidRPr="00FD2F78" w:rsidRDefault="0012148F" w:rsidP="00D3113D">
      <w:pPr>
        <w:pStyle w:val="Normal12Hanging"/>
        <w:widowControl/>
        <w:rPr>
          <w:bCs/>
          <w:iCs/>
          <w:szCs w:val="24"/>
          <w:lang w:val="el-GR"/>
        </w:rPr>
      </w:pPr>
      <w:r w:rsidRPr="00FD2F78">
        <w:rPr>
          <w:lang w:val="el-GR"/>
        </w:rPr>
        <w:t>ΙΒ.</w:t>
      </w:r>
      <w:r w:rsidRPr="00FD2F78">
        <w:rPr>
          <w:lang w:val="el-GR"/>
        </w:rPr>
        <w:tab/>
        <w:t>λαμβάνοντας υπόψη ότι η πρόκληση μιας μεγαλύτερης Ευρωπαϊκής Ένωσης απαιτεί ενισχυμένη πολιτική διεύρυνσης που να βασίζεται στη σταδιακή ένταξη στις κοινές πολιτικές και να αποφέρει σαφή οφέλη για τους πολίτες καθ’ όλη τη διάρκεια της διαδικασίας·</w:t>
      </w:r>
    </w:p>
    <w:p w:rsidR="0012148F" w:rsidRPr="00FD2F78" w:rsidRDefault="0012148F" w:rsidP="00D3113D">
      <w:pPr>
        <w:pStyle w:val="Normal12Hanging"/>
        <w:widowControl/>
        <w:rPr>
          <w:rFonts w:eastAsia="Calibri"/>
          <w:bCs/>
          <w:iCs/>
          <w:lang w:val="el-GR"/>
        </w:rPr>
      </w:pPr>
      <w:r w:rsidRPr="00FD2F78">
        <w:rPr>
          <w:lang w:val="el-GR"/>
        </w:rPr>
        <w:t>ΙΓ.</w:t>
      </w:r>
      <w:r w:rsidRPr="00FD2F78">
        <w:rPr>
          <w:lang w:val="el-GR"/>
        </w:rPr>
        <w:tab/>
        <w:t>λαμβάνοντας υπόψη ότι, στο πλαίσιο της διεύρυνσης, είναι αναγκαίο να υιοθετηθεί ολιστική προσέγγιση όσον αφορά την επανεξέταση των σημερινών και μελλοντικών ευρωπαϊκών πολιτικών, των διαρθρωτικών μεταρρυθμίσεων, των θεσμικών τροποποιήσεων και του πολυετούς δημοσιονομικού πλαισίου 2028-2034·</w:t>
      </w:r>
    </w:p>
    <w:p w:rsidR="0012148F" w:rsidRPr="00FD2F78" w:rsidRDefault="0012148F" w:rsidP="00D3113D">
      <w:pPr>
        <w:pStyle w:val="Normal12Hanging"/>
        <w:widowControl/>
        <w:rPr>
          <w:lang w:val="el-GR"/>
        </w:rPr>
      </w:pPr>
      <w:r w:rsidRPr="00FD2F78">
        <w:rPr>
          <w:lang w:val="el-GR"/>
        </w:rPr>
        <w:t>ΙΔ.</w:t>
      </w:r>
      <w:r w:rsidRPr="00FD2F78">
        <w:rPr>
          <w:lang w:val="el-GR"/>
        </w:rPr>
        <w:tab/>
        <w:t>λαμβάνοντας υπόψη ότι οι χώρες των Δυτικών Βαλκανίων έχουν δηλώσει εδώ και δεκαετίες ότι είναι αποφασισμένες να προσχωρήσουν στην ΕΕ· λαμβάνοντας υπόψη ότι, στις 23-24 Ιουνίου 2022, οι ηγέτες της ΕΕ επιβεβαίωσαν εκ νέου την πλήρη και αδιαμφισβήτητη προσήλωση στην προοπτική προσχώρησης των Δυτικών Βαλκανίων στην ΕΕ·</w:t>
      </w:r>
    </w:p>
    <w:p w:rsidR="0012148F" w:rsidRPr="00FD2F78" w:rsidRDefault="0012148F" w:rsidP="00D3113D">
      <w:pPr>
        <w:pStyle w:val="Normal12Hanging"/>
        <w:widowControl/>
        <w:rPr>
          <w:lang w:val="el-GR"/>
        </w:rPr>
      </w:pPr>
      <w:r w:rsidRPr="00FD2F78">
        <w:rPr>
          <w:lang w:val="el-GR"/>
        </w:rPr>
        <w:t>ΙΕ.</w:t>
      </w:r>
      <w:r w:rsidRPr="00FD2F78">
        <w:rPr>
          <w:lang w:val="el-GR"/>
        </w:rPr>
        <w:tab/>
        <w:t>λαμβάνοντας υπόψη ότι οι υποψήφιες χώρες πρέπει να αποδείξουν την προσήλωσή τους στις θεμελιώδεις αξίες της ΕΕ καθώς και την ευθυγράμμισή τους με τις πολιτικές και τις θέσεις της ΕΕ, συμπεριλαμβανομένης της κοινής εξωτερικής πολιτικής και της πολιτικής ασφάλειας·</w:t>
      </w:r>
    </w:p>
    <w:p w:rsidR="0012148F" w:rsidRPr="00FD2F78" w:rsidRDefault="0012148F" w:rsidP="00D3113D">
      <w:pPr>
        <w:pStyle w:val="Normal12Hanging"/>
        <w:widowControl/>
        <w:rPr>
          <w:lang w:val="el-GR"/>
        </w:rPr>
      </w:pPr>
      <w:r w:rsidRPr="00FD2F78">
        <w:rPr>
          <w:lang w:val="el-GR"/>
        </w:rPr>
        <w:t>ΙΣΤ.</w:t>
      </w:r>
      <w:r w:rsidRPr="00FD2F78">
        <w:rPr>
          <w:b/>
          <w:i/>
          <w:lang w:val="el-GR"/>
        </w:rPr>
        <w:tab/>
      </w:r>
      <w:r w:rsidRPr="00FD2F78">
        <w:rPr>
          <w:lang w:val="el-GR"/>
        </w:rPr>
        <w:t>λαμβάνοντας υπόψη ότι τα τελευταία χρόνια ορισμένες χώρες των Δυτικών Βαλκανίων έχουν επιτύχει υψηλό επίπεδο ευθυγράμμισης με την ΚΕΠΠΑ της ΕΕ καθώς και με τις κυρώσεις που επιβλήθηκαν στη Ρωσία ως απάντηση στον επιθετικό της πόλεμο κατά της Ουκρανίας· λαμβάνοντας υπόψη ότι, τον Μάρτιο του 2023, οι υπουργοί Εξωτερικών της Αλβανίας, του Κοσσυφοπεδίου, του Μαυροβουνίου και της Βόρειας Μακεδονίας δρομολόγησαν την πλατφόρμα «Τετραμελής των Δυτικών Βαλκανίων – 100 % ευθυγράμμιση με την κοινή εξωτερική πολιτική και πολιτική ασφαλείας (ΚΕΠΠΑ) της ΕΕ»·</w:t>
      </w:r>
    </w:p>
    <w:p w:rsidR="0012148F" w:rsidRPr="00FD2F78" w:rsidRDefault="0012148F" w:rsidP="00D3113D">
      <w:pPr>
        <w:pStyle w:val="Normal12Hanging"/>
        <w:widowControl/>
        <w:rPr>
          <w:bCs/>
          <w:iCs/>
          <w:lang w:val="el-GR"/>
        </w:rPr>
      </w:pPr>
      <w:r w:rsidRPr="00FD2F78">
        <w:rPr>
          <w:lang w:val="el-GR"/>
        </w:rPr>
        <w:t>ΙΖ.</w:t>
      </w:r>
      <w:r w:rsidRPr="00FD2F78">
        <w:rPr>
          <w:lang w:val="el-GR"/>
        </w:rPr>
        <w:tab/>
        <w:t>λαμβάνοντας υπόψη ότι η ΕΕ πρέπει να επιδείξει σαφή πολιτική βούληση να υποστηρίξει τις υποψήφιες χώρες και ότι θα πρέπει να εντείνει σημαντικά την υπό όρους τεχνική και χρηματοδοτική της στήριξη για θεμελιώδεις μεταρρυθμίσεις, την επίλυση διμερών διαφορών, την οικονομική σύγκλιση και την περιφερειακή οικονομική ολοκλήρωση στις υποψήφιες για ένταξη χώρες· λαμβάνοντας υπόψη ότι στόχος του νέου σχεδίου ανάπτυξης για τα Δυτικά Βαλκάνια είναι να επιταχυνθεί η πραγματοποίηση θεμελιωδών μεταρρυθμίσεων, να ενισχυθεί η ένταξη των χωρών στην ενιαία αγορά της ΕΕ και να δοθεί ώθηση στην οικονομική ολοκλήρωση της περιοχής·</w:t>
      </w:r>
    </w:p>
    <w:p w:rsidR="0012148F" w:rsidRPr="00FD2F78" w:rsidRDefault="0012148F" w:rsidP="00D3113D">
      <w:pPr>
        <w:pStyle w:val="Normal12Hanging"/>
        <w:widowControl/>
        <w:rPr>
          <w:bCs/>
          <w:iCs/>
          <w:szCs w:val="24"/>
          <w:lang w:val="el-GR"/>
        </w:rPr>
      </w:pPr>
      <w:r w:rsidRPr="00FD2F78">
        <w:rPr>
          <w:lang w:val="el-GR"/>
        </w:rPr>
        <w:t>ΙΗ.</w:t>
      </w:r>
      <w:r w:rsidRPr="00FD2F78">
        <w:rPr>
          <w:lang w:val="el-GR"/>
        </w:rPr>
        <w:tab/>
        <w:t>λαμβάνοντας υπόψη ότι κακόβουλοι ξένοι παράγοντες χρησιμοποιούν μεθόδους υβριδικής παρέμβασης για να επηρεάσουν και να εκτροχιάσουν την ολοκλήρωση της ΕΕ·</w:t>
      </w:r>
    </w:p>
    <w:p w:rsidR="0012148F" w:rsidRPr="00FD2F78" w:rsidRDefault="0012148F" w:rsidP="00D3113D">
      <w:pPr>
        <w:pStyle w:val="Normal12Hanging"/>
        <w:widowControl/>
        <w:rPr>
          <w:bCs/>
          <w:iCs/>
          <w:lang w:val="el-GR"/>
        </w:rPr>
      </w:pPr>
      <w:r w:rsidRPr="00FD2F78">
        <w:rPr>
          <w:lang w:val="el-GR"/>
        </w:rPr>
        <w:lastRenderedPageBreak/>
        <w:t>ΙΘ.</w:t>
      </w:r>
      <w:r w:rsidRPr="00FD2F78">
        <w:rPr>
          <w:lang w:val="el-GR"/>
        </w:rPr>
        <w:tab/>
        <w:t>λαμβάνοντας υπόψη ότι το Κοινοβούλιο είναι αναμφισβήτητα το πιο υποστηρικτικό θεσμικό όργανο της ΕΕ όσον αφορά τη διεύρυνση· λαμβάνοντας υπόψη ότι ο ρόλος του Κοινοβουλίου παραμένει εξαιρετικά περιορισμένος καθ’ όλη τη διάρκεια της διαδικασίας διεύρυνσης και ότι θα πρέπει να ενισχυθεί προκειμένου να αυξηθεί η δημοκρατική νομιμότητα και λογοδοσία, μεταξύ άλλων, κατά την αξιολόγηση των ενδιάμεσων σταδίων της προσχώρησης, μέσω, μεταξύ άλλων, τακτικών συνεδριάσεων επιτροπών και κοινοβουλευτικού ελέγχου της προενταξιακής χρηματοδότησης και με παράλληλη χρήση των υφιστάμενων εργαλείων και μέσων του, συμπεριλαμβανομένων των προγραμμάτων στήριξης της δημοκρατίας· λαμβάνοντας υπόψη ότι οι περιφερειακές και τοπικές διοικήσεις και οι οργανώσεις της κοινωνίας των πολιτών θα πρέπει να συμμετέχουν σε διαρθρωτικό επίπεδο στη διαδικασία διεύρυνσης και στον έλεγχό της·</w:t>
      </w:r>
    </w:p>
    <w:p w:rsidR="0012148F" w:rsidRPr="00FD2F78" w:rsidRDefault="0012148F" w:rsidP="00D3113D">
      <w:pPr>
        <w:pStyle w:val="Normal12Hanging"/>
        <w:widowControl/>
        <w:rPr>
          <w:lang w:val="el-GR"/>
        </w:rPr>
      </w:pPr>
      <w:r w:rsidRPr="00FD2F78">
        <w:rPr>
          <w:lang w:val="el-GR"/>
        </w:rPr>
        <w:t>Κ.</w:t>
      </w:r>
      <w:r w:rsidRPr="00FD2F78">
        <w:rPr>
          <w:lang w:val="el-GR"/>
        </w:rPr>
        <w:tab/>
        <w:t>λαμβάνοντας υπόψη ότι σημαντικές πρωτοβουλίες όπως η Ευρωπαϊκή Πολιτική Κοινότητα, η οποία έχει ήδη πραγματοποιήσει τρεις επίσημες συνεδριάσεις, καθιστούν δυνατή την πολιτική συνεργασία και συμβάλλουν στους περιφερειακούς διαλόγους σε διάφορους τομείς μεταξύ της ΕΕ και άλλων χωρών, αλλά δεν αποτελούν εναλλακτικές λύσεις αντί της ένταξης στην ΕΕ·</w:t>
      </w:r>
    </w:p>
    <w:p w:rsidR="0012148F" w:rsidRPr="00FD2F78" w:rsidRDefault="0012148F" w:rsidP="00D3113D">
      <w:pPr>
        <w:pStyle w:val="Normal12Hanging"/>
        <w:widowControl/>
        <w:rPr>
          <w:lang w:val="el-GR"/>
        </w:rPr>
      </w:pPr>
      <w:r w:rsidRPr="00FD2F78">
        <w:rPr>
          <w:lang w:val="el-GR"/>
        </w:rPr>
        <w:t>ΚΑ.</w:t>
      </w:r>
      <w:r w:rsidRPr="00FD2F78">
        <w:rPr>
          <w:lang w:val="el-GR"/>
        </w:rPr>
        <w:tab/>
        <w:t>λαμβάνοντας υπόψη ότι απαιτούνται σημαντικές μεταρρυθμίσεις πριν από τη διεύρυνση για να διασφαλιστεί η αποτελεσματική λειτουργία της διευρυμένης ΕΕ και η ικανότητά της να απορροφήσει νέα μέλη και να προωθήσει την επιτυχή ένταξή τους, καθώς και να ανταποκριθεί κατάλληλα στις πολυάριθμες προκλήσεις που αντιμετωπίζει σήμερα· λαμβάνοντας υπόψη ότι αυτό μπορεί να συνεπάγεται σημαντικές αλλαγές στο θεσμικό πλαίσιο της ΕΕ και την πιθανή προώθηση διαφοροποιημένων λύσεων ένταξης εφόσον το επιτρέπουν οι Συνθήκες· λαμβάνοντας υπόψη ότι ορισμένες από τις λύσεις αυτές έχουν ήδη αποτελέσει αντικείμενο συζήτησης εδώ και αρκετό καιρό· λαμβάνοντας υπόψη ότι για να επιτευχθούν τα προαναφερθέντα, η ΕΕ πρέπει να αξιοποιήσει στο έπακρο την ευελιξία που παρέχει η Συνθήκη της Λισαβόνας ενόψει της διεξοδικότερης μεταρρύθμισης που επίκειται στο πλαίσιο ενδεχόμενης αναθεώρησης των Συνθηκών·</w:t>
      </w:r>
    </w:p>
    <w:p w:rsidR="0012148F" w:rsidRPr="00FD2F78" w:rsidRDefault="0012148F" w:rsidP="00D3113D">
      <w:pPr>
        <w:pStyle w:val="Normal12Hanging"/>
        <w:widowControl/>
        <w:rPr>
          <w:lang w:val="el-GR"/>
        </w:rPr>
      </w:pPr>
      <w:r w:rsidRPr="00FD2F78">
        <w:rPr>
          <w:lang w:val="el-GR"/>
        </w:rPr>
        <w:t>ΚΒ.</w:t>
      </w:r>
      <w:r w:rsidRPr="00FD2F78">
        <w:rPr>
          <w:lang w:val="el-GR"/>
        </w:rPr>
        <w:tab/>
        <w:t>λαμβάνοντας υπόψη ότι η ΕΕ αντιμετωπίζει σημαντικές προκλήσεις όσον αφορά την αποτελεσματική διαχείριση των κρίσεων και, ειδικότερα, τις διαδικασίες λήψης αποφάσεων και ότι η αξιοπιστία και η ικανότητα της Ένωσης να ενεργεί εγκαίρως και αποτελεσματικά εξαρτώνται από τη δημοκρατική και την αποτελεσματική λήψη αποφάσεων, και ακόμη περισσότερο σε μια διευρυμένη ΕΕ 30 ή περισσότερων κρατών μελών· λαμβάνοντας υπόψη ότι είναι σαφές ότι τα θεσμικά όργανα και οι μηχανισμοί λήψης αποφάσεων της ΕΕ, ιδίως στο Συμβούλιο, δεν είναι κατάλληλα για μια Ένωση με μεγαλύτερο αριθμό κρατών μελών· λαμβάνοντας υπόψη ότι η πολιτική βούληση και η αποτελεσματική λήψη αποφάσεων που οδηγεί σε έγκαιρη και συντονισμένη εσωτερική και εξωτερική δράση είναι ζωτικής σημασίας για την περιφρούρηση των συμφερόντων της ΕΕ και της παγκόσμιας γεωπολιτικής ηγεσίας και αξιοπιστίας της· λαμβάνοντας υπόψη ότι οι πρόσφατες δυσκολίες που προέκυψαν όσον αφορά τη λήψη αποφάσεων σε επίπεδο ΕΕ σχετικά με την επιβολή κυρώσεων επιβεβαιώνουν την ανάγκη κατάργησης της ομοφωνίας· λαμβάνοντας υπόψη ότι. εφόσον είναι αναγκαίο, πρέπει να πραγματοποιηθεί ριζική μεταρρύθμιση του θεσμικού πλαισίου και των δομών διακυβέρνησης της ΕΕ, με απλουστευμένες, πιο αποτελεσματικές και δημοκρατικές διαδικασίες λήψης αποφάσεων, παράλληλα με τις εν εξελίξει ενταξιακές διαπραγματεύσεις·</w:t>
      </w:r>
    </w:p>
    <w:p w:rsidR="0012148F" w:rsidRPr="00FD2F78" w:rsidRDefault="0012148F" w:rsidP="00D3113D">
      <w:pPr>
        <w:pStyle w:val="Normal12Hanging"/>
        <w:widowControl/>
        <w:rPr>
          <w:lang w:val="el-GR"/>
        </w:rPr>
      </w:pPr>
      <w:r w:rsidRPr="00FD2F78">
        <w:rPr>
          <w:lang w:val="el-GR"/>
        </w:rPr>
        <w:lastRenderedPageBreak/>
        <w:t>ΚΓ.</w:t>
      </w:r>
      <w:r w:rsidRPr="00FD2F78">
        <w:rPr>
          <w:lang w:val="el-GR"/>
        </w:rPr>
        <w:tab/>
        <w:t>λαμβάνοντας υπόψη ότι οι ρήτρες «γέφυρας» θα μπορούσαν να χρησιμοποιηθούν αμέσως για τη μετάβαση από την απαίτηση για ψηφοφορία με ομοφωνία στην ψηφοφορία με ειδική πλειοψηφία σε συγκεκριμένους τομείς πολιτικής· λαμβάνοντας υπόψη ότι το Κοινοβούλιο έχει ενεργοποιήσει τη διαδικασία αναθεώρησης των Συνθηκών και έχει υποβάλει στο Συμβούλιο προτάσεις για την τροποποίηση των Συνθηκών σύμφωνα με το άρθρο 48 παράγραφος 2 ΣΕΕ· λαμβάνοντας υπόψη ότι η Πρόεδρος της Επιτροπής ανακοίνωσε, κατά τη διάρκεια της ομιλίας της στο Ευρωπαϊκό Κοινοβούλιο στις 17 Ιανουαρίου 2024, την επικείμενη παρουσίαση ανακοίνωσης για τη μεταρρύθμιση της Συνθήκης που ανοίγει το δρόμο για συζήτηση στο Ευρωπαϊκό Συμβούλιο, στο εγγύς μέλλον·</w:t>
      </w:r>
    </w:p>
    <w:p w:rsidR="0012148F" w:rsidRPr="00FD2F78" w:rsidRDefault="0012148F" w:rsidP="00D3113D">
      <w:pPr>
        <w:pStyle w:val="Normal12Hanging"/>
        <w:widowControl/>
        <w:rPr>
          <w:bCs/>
          <w:iCs/>
          <w:lang w:val="el-GR"/>
        </w:rPr>
      </w:pPr>
      <w:r w:rsidRPr="00FD2F78">
        <w:rPr>
          <w:lang w:val="el-GR"/>
        </w:rPr>
        <w:t>ΚΔ.</w:t>
      </w:r>
      <w:r w:rsidRPr="00FD2F78">
        <w:rPr>
          <w:lang w:val="el-GR"/>
        </w:rPr>
        <w:tab/>
        <w:t>λαμβάνοντας υπόψη ότι το Ευρωπαϊκό Κοινοβούλιο, το Συμβούλιο και η Επιτροπή έχουν δεσμευτεί να λάβουν αποτελεσματικά επακόλουθα μέτρα σε συνάρτηση με τα συμπεράσματα της Διάσκεψης για το μέλλον της Ευρώπης· λαμβάνοντας υπόψη ότι η Διάσκεψη για το μέλλον της Ευρώπης ζήτησε από την ΕΕ να συμφωνήσει επί ενός ισχυρού οράματος και μιας κοινής στρατηγικής για την παγίωση της ενότητας και την βελτίωση της ικανότητας λήψης αποφάσεων της ΕΕ ενόψει της μελλοντικής διεύρυνσης· λαμβάνοντας υπόψη ότι πολλές από τις προτάσεις αυτές είναι δυνατό να εφαρμοστούν μόνον εάν τροποποιηθούν οι Συνθήκες·</w:t>
      </w:r>
    </w:p>
    <w:p w:rsidR="0012148F" w:rsidRPr="00FD2F78" w:rsidRDefault="0012148F" w:rsidP="00D3113D">
      <w:pPr>
        <w:pStyle w:val="Normal12Hanging"/>
        <w:widowControl/>
        <w:rPr>
          <w:b/>
          <w:bCs/>
          <w:i/>
          <w:iCs/>
          <w:lang w:val="el-GR"/>
        </w:rPr>
      </w:pPr>
      <w:r w:rsidRPr="00FD2F78">
        <w:rPr>
          <w:lang w:val="el-GR"/>
        </w:rPr>
        <w:t>ΚΕ.</w:t>
      </w:r>
      <w:r w:rsidRPr="00FD2F78">
        <w:rPr>
          <w:lang w:val="el-GR"/>
        </w:rPr>
        <w:tab/>
        <w:t>λαμβάνοντας υπόψη ότι η δημοκρατική οπισθοδρόμηση αποτελεί μία από τις μεγαλύτερες απειλές που αντιμετωπίζει η Ευρωπαϊκή Ένωση, τόσο σε εσωτερικό όσο και εξωτερικό επίπεδο·</w:t>
      </w:r>
    </w:p>
    <w:p w:rsidR="0012148F" w:rsidRPr="00FD2F78" w:rsidRDefault="0012148F" w:rsidP="00D3113D">
      <w:pPr>
        <w:pStyle w:val="Normal12Hanging"/>
        <w:widowControl/>
        <w:rPr>
          <w:lang w:val="el-GR"/>
        </w:rPr>
      </w:pPr>
      <w:r w:rsidRPr="00FD2F78">
        <w:rPr>
          <w:lang w:val="el-GR"/>
        </w:rPr>
        <w:t>ΚΣΤ.</w:t>
      </w:r>
      <w:r w:rsidRPr="00FD2F78">
        <w:rPr>
          <w:lang w:val="el-GR"/>
        </w:rPr>
        <w:tab/>
        <w:t>λαμβάνοντας υπόψη ότι ο μηχανισμός για τη διασφάλιση της συμμόρφωσης με τις θεμελιώδεις αρχές και αξίες της ΕΕ και το κοινοτικό κεκτημένο πρέπει επίσης να ενισχυθεί παράλληλα με την επόμενη διεύρυνση· λαμβάνοντας υπόψη ότι η εφαρμογή του κεκτημένου θα πρέπει να παρακολουθείται διεξοδικά και αντικειμενικά σε κάθε υποψήφιο κράτος·</w:t>
      </w:r>
    </w:p>
    <w:p w:rsidR="0012148F" w:rsidRPr="00FD2F78" w:rsidRDefault="0012148F" w:rsidP="00D3113D">
      <w:pPr>
        <w:pStyle w:val="Normal12Hanging"/>
        <w:widowControl/>
        <w:rPr>
          <w:lang w:val="el-GR"/>
        </w:rPr>
      </w:pPr>
      <w:r w:rsidRPr="00FD2F78">
        <w:rPr>
          <w:lang w:val="el-GR"/>
        </w:rPr>
        <w:t>ΚΖ.</w:t>
      </w:r>
      <w:r w:rsidRPr="00FD2F78">
        <w:rPr>
          <w:lang w:val="el-GR"/>
        </w:rPr>
        <w:tab/>
        <w:t>λαμβάνοντας υπόψη ότι η διεύρυνση αποτελεί τόσο μείζονα οικονομική πρόκληση για την ΕΕ, και ειδικότερα για τις πολιτικές συνοχής και γεωργίας καθώς και για άλλα προγράμματα και πολιτικές της ΕΕ, όσο και ευκαιρία για μεταρρύθμιση της ΕΕ· λαμβάνοντας υπόψη ότι τα υφιστάμενα και τα μελλοντικά ΠΔΠ θα πρέπει να επανεξεταστούν, να ιεραρχηθούν εκ νέου, να διαμορφωθούν με τον ενδεδειγμένο τρόπο και να ενισχυθούν σημαντικά, ενώ η διακυβέρνησή τους πρέπει να αναθεωρηθεί ώστε να καταστεί δυνατή και να υποστηριχθεί η ουσιαστική διεύρυνση της ΕΕ χωρίς να τεθεί σε κίνδυνο η στήριξη που απαιτείται στα σημερινά κράτη μέλη· λαμβάνοντας υπόψη ότι αυτές οι οικονομικές βάσεις πρέπει να τεθούν πριν από τη διεύρυνση·</w:t>
      </w:r>
    </w:p>
    <w:p w:rsidR="0012148F" w:rsidRPr="00FD2F78" w:rsidRDefault="0012148F" w:rsidP="00D3113D">
      <w:pPr>
        <w:pStyle w:val="Normal12Hanging"/>
        <w:widowControl/>
        <w:rPr>
          <w:szCs w:val="24"/>
          <w:lang w:val="el-GR"/>
        </w:rPr>
      </w:pPr>
      <w:r w:rsidRPr="00FD2F78">
        <w:rPr>
          <w:lang w:val="el-GR"/>
        </w:rPr>
        <w:t>ΚΗ.</w:t>
      </w:r>
      <w:r w:rsidRPr="00FD2F78">
        <w:rPr>
          <w:lang w:val="el-GR"/>
        </w:rPr>
        <w:tab/>
        <w:t xml:space="preserve">λαμβάνοντας υπόψη ότι η ανασυγκρότηση και η μεταπολεμική ανάκαμψη της Ουκρανίας αποτελούν πρόσθετη πρόκληση που πρέπει να αντιμετωπιστεί στο ευρύτερο πλαίσιο μιας διεθνούς προσπάθειας· </w:t>
      </w:r>
    </w:p>
    <w:p w:rsidR="0012148F" w:rsidRPr="00FD2F78" w:rsidRDefault="0012148F" w:rsidP="00D3113D">
      <w:pPr>
        <w:pStyle w:val="Normal12Hanging"/>
        <w:widowControl/>
        <w:rPr>
          <w:b/>
          <w:bCs/>
          <w:i/>
          <w:iCs/>
          <w:szCs w:val="24"/>
          <w:lang w:val="el-GR"/>
        </w:rPr>
      </w:pPr>
      <w:r w:rsidRPr="00FD2F78">
        <w:rPr>
          <w:b/>
          <w:i/>
          <w:lang w:val="el-GR"/>
        </w:rPr>
        <w:t>Σχετικά με τη στρατηγική διάσταση της διεύρυνσης</w:t>
      </w:r>
    </w:p>
    <w:p w:rsidR="0012148F" w:rsidRPr="00FD2F78" w:rsidRDefault="00DE0B6A" w:rsidP="00DE0B6A">
      <w:pPr>
        <w:pStyle w:val="Normal12Hanging"/>
        <w:widowControl/>
        <w:ind w:left="570" w:hanging="570"/>
        <w:rPr>
          <w:lang w:val="el-GR"/>
        </w:rPr>
      </w:pPr>
      <w:r w:rsidRPr="00FD2F78">
        <w:rPr>
          <w:lang w:val="el-GR"/>
        </w:rPr>
        <w:t>1.</w:t>
      </w:r>
      <w:r w:rsidRPr="00FD2F78">
        <w:rPr>
          <w:lang w:val="el-GR"/>
        </w:rPr>
        <w:tab/>
      </w:r>
      <w:r w:rsidR="0012148F" w:rsidRPr="00FD2F78">
        <w:rPr>
          <w:lang w:val="el-GR"/>
        </w:rPr>
        <w:t>χαιρετίζει την επιθυμία πολλών ευρωπαϊκών χωρών και των πολιτών τους να προσχωρήσουν στην ΕΕ και αναγνωρίζει την πολιτική τους βούληση και τις σοβαρές προσπάθειες που έχουν καταβάλει για να ανταποκριθούν στις απαιτήσεις προσχώρησης·</w:t>
      </w:r>
    </w:p>
    <w:p w:rsidR="0012148F" w:rsidRPr="00FD2F78" w:rsidRDefault="00DE0B6A" w:rsidP="00DE0B6A">
      <w:pPr>
        <w:pStyle w:val="Normal12Hanging"/>
        <w:widowControl/>
        <w:ind w:left="570" w:hanging="570"/>
        <w:rPr>
          <w:lang w:val="el-GR"/>
        </w:rPr>
      </w:pPr>
      <w:r w:rsidRPr="00FD2F78">
        <w:rPr>
          <w:lang w:val="el-GR"/>
        </w:rPr>
        <w:lastRenderedPageBreak/>
        <w:t>2.</w:t>
      </w:r>
      <w:r w:rsidRPr="00FD2F78">
        <w:rPr>
          <w:lang w:val="el-GR"/>
        </w:rPr>
        <w:tab/>
      </w:r>
      <w:r w:rsidR="0012148F" w:rsidRPr="00FD2F78">
        <w:rPr>
          <w:lang w:val="el-GR"/>
        </w:rPr>
        <w:t>τονίζει ότι η διεύρυνση έχει τεράστια στρατηγική σημασία για την ΕΕ· επαναβεβαιώνει ότι μια ενισχυμένη πολιτική διεύρυνσης είναι πλέον ένα από τα ισχυρότερα εργαλεία πολιτικής και εργαλεία γεωπολιτικού χαρακτήρα της ΕΕ, δεδομένου ότι συνιστά γεωστρατηγική επένδυση στη μακροπρόθεσμη ειρήνη, δημοκρατία, σταθερότητα, ασφάλεια, προστασία του κλίματος και ευημερία σε ολόκληρη την ήπειρο, ιδίως υπό το φως του επιθετικού πολέμου της Ρωσίας κατά της Ουκρανίας και άλλων κοινών γεωπολιτικών προκλήσεων, που απαιτούν ένα μακροπρόθεσμο πολιτικό όραμα και τολμηρές αποφάσεις· υπογραμμίζει ότι είναι επειγόντος αναγκαίο σε πολιτικό επίπεδο να αποδειχθεί η προσήλωση της ΕΕ στη βασισμένη σε κανόνες διεθνή τάξη· επιμένει ότι, δεδομένων των μεγάλων προκλήσεων στον τομέα της ασφάλειας που αντιμετωπίζει η Ευρώπη, η διεύρυνση της ΕΕ και η ένταξη της Ουκρανίας στα δυτικά συλλογικά συστήματα ασφάλειας και άμυνας θα ενισχύσουν την ευρωπαϊκή ασφάλεια·</w:t>
      </w:r>
    </w:p>
    <w:p w:rsidR="0012148F" w:rsidRPr="00FD2F78" w:rsidRDefault="00DE0B6A" w:rsidP="00DE0B6A">
      <w:pPr>
        <w:pStyle w:val="Normal12Hanging"/>
        <w:widowControl/>
        <w:ind w:left="570" w:hanging="570"/>
        <w:rPr>
          <w:bCs/>
          <w:iCs/>
          <w:lang w:val="el-GR"/>
        </w:rPr>
      </w:pPr>
      <w:r w:rsidRPr="00FD2F78">
        <w:rPr>
          <w:bCs/>
          <w:iCs/>
          <w:lang w:val="el-GR"/>
        </w:rPr>
        <w:t>3.</w:t>
      </w:r>
      <w:r w:rsidRPr="00FD2F78">
        <w:rPr>
          <w:bCs/>
          <w:iCs/>
          <w:lang w:val="el-GR"/>
        </w:rPr>
        <w:tab/>
      </w:r>
      <w:r w:rsidR="0012148F" w:rsidRPr="00FD2F78">
        <w:rPr>
          <w:lang w:val="el-GR"/>
        </w:rPr>
        <w:t>εκφράζει ικανοποίηση για τις συστάσεις της Επιτροπής που περιλαμβάνονται στη δέσμη μέτρων για τη διεύρυνση του 2023 και χαιρετίζει περαιτέρω τις αποφάσεις του Ευρωπαϊκού Συμβουλίου σχετικά με την έναρξη διαπραγματεύσεων με την Ουκρανία και τη Δημοκρατία της Μολδαβίας, την χορήγηση καθεστώτος υποψήφιας χώρας στη Γεωργία καθεστώς υποψήφιας χώρας υπό την προϋπόθεση ότι θα ληφθούν τα σχετικά μέτρα που ορίζονται στη σύσταση της Επιτροπής της 8ης Νοεμβρίου 2023 και την έναρξη ενταξιακών διαπραγματεύσεων με τη Βοσνία-Ερζεγοβίνη, μόλις επιτευχθεί ο αναγκαίος βαθμός συμμόρφωσης με τα κριτήρια προσχώρησης· καλεί το Συμβούλιο να αναθέσει στην Επιτροπή να υποβάλει αμέσως προτάσεις για τα σχετικά διαπραγματευτικά πλαίσια και να τις εγκρίνει μόλις ληφθούν τα σχετικά μέτρα που ορίζονται στις αντίστοιχες συστάσεις της Επιτροπής της 8ης Νοεμβρίου 2023·</w:t>
      </w:r>
    </w:p>
    <w:p w:rsidR="0012148F" w:rsidRPr="00FD2F78" w:rsidRDefault="0012148F" w:rsidP="00985470">
      <w:pPr>
        <w:pStyle w:val="Normal12Hanging"/>
        <w:widowControl/>
        <w:ind w:left="0" w:firstLine="0"/>
        <w:rPr>
          <w:rFonts w:eastAsia="Calibri"/>
          <w:b/>
          <w:i/>
          <w:lang w:val="el-GR"/>
        </w:rPr>
      </w:pPr>
      <w:r w:rsidRPr="00FD2F78">
        <w:rPr>
          <w:b/>
          <w:i/>
          <w:lang w:val="el-GR"/>
        </w:rPr>
        <w:t>Διαδικασίες προσχώρησης και ρόλος του Ευρωπαϊκού Κοινοβουλίου</w:t>
      </w:r>
    </w:p>
    <w:p w:rsidR="0012148F" w:rsidRPr="00FD2F78" w:rsidRDefault="00DE0B6A" w:rsidP="00DE0B6A">
      <w:pPr>
        <w:pStyle w:val="Normal12Hanging"/>
        <w:widowControl/>
        <w:ind w:left="570" w:hanging="570"/>
        <w:rPr>
          <w:lang w:val="el-GR"/>
        </w:rPr>
      </w:pPr>
      <w:r w:rsidRPr="00FD2F78">
        <w:rPr>
          <w:lang w:val="el-GR"/>
        </w:rPr>
        <w:t>4.</w:t>
      </w:r>
      <w:r w:rsidRPr="00FD2F78">
        <w:rPr>
          <w:lang w:val="el-GR"/>
        </w:rPr>
        <w:tab/>
      </w:r>
      <w:r w:rsidR="0012148F" w:rsidRPr="00FD2F78">
        <w:rPr>
          <w:lang w:val="el-GR"/>
        </w:rPr>
        <w:t>αναγνωρίζει την ιστορική ευκαιρία και πρόκληση που αντιμετωπίζει η ΕΕ όσον αφορά την εκπλήρωση των δεσμεύσεών της έναντι των χωρών και των λαών της Αλβανίας, της Βοσνίας και Ερζεγοβίνης, της Βόρειας Μακεδονίας, του Κοσσυφοπεδίου, του Μαυροβουνίου και της Σερβίας και της Ουκρανίας, της Δημοκρατίας της Μολδαβίας και της Γεωργίας· αναγνωρίζει τη σημασία της ευρωπαϊκής ολοκλήρωσης αυτών των κομβικής σημασίας εταίρων· αναγνωρίζει επίσης τη σημασία της περιφερειακής συνεργασίας στις αντίστοιχες περιοχές της Ανατολικής Εταιρικής Σχέσης και των Δυτικών Βαλκανίων·</w:t>
      </w:r>
    </w:p>
    <w:p w:rsidR="0012148F" w:rsidRPr="00FD2F78" w:rsidRDefault="00DE0B6A" w:rsidP="00DE0B6A">
      <w:pPr>
        <w:pStyle w:val="Normal12Hanging"/>
        <w:widowControl/>
        <w:ind w:left="570" w:hanging="570"/>
        <w:rPr>
          <w:lang w:val="el-GR"/>
        </w:rPr>
      </w:pPr>
      <w:r w:rsidRPr="00FD2F78">
        <w:rPr>
          <w:lang w:val="el-GR"/>
        </w:rPr>
        <w:t>5.</w:t>
      </w:r>
      <w:r w:rsidRPr="00FD2F78">
        <w:rPr>
          <w:lang w:val="el-GR"/>
        </w:rPr>
        <w:tab/>
      </w:r>
      <w:r w:rsidR="0012148F" w:rsidRPr="00FD2F78">
        <w:rPr>
          <w:lang w:val="el-GR"/>
        </w:rPr>
        <w:t>επαναλαμβάνει την άποψή του ότι η διαδικασία προσχώρησης της Τουρκίας στην ΕΕ δεν μπορεί να συνεχιστεί υπό τις παρούσες συνθήκες· παροτρύνει την τουρκική κυβέρνηση να άρει το σημερινό αδιέξοδο και να προχωρήσει προς μια στενότερη, πιο δυναμική και στρατηγική εταιρική σχέση αναπτύσσοντας ένα ρεαλιστικό παράλληλο πλαίσιο συνεργασίας, όπως μια εκσυγχρονισμένη συμφωνία σύνδεσης, και καλεί την Επιτροπή να διερευνήσει πιθανές μορφές για το πλαίσιο αυτό· υπενθυμίζει ότι οποιαδήποτε βελτίωση των σχέσεων ΕΕ-Τουρκίας πρέπει να βασίζεται σε απτή πρόοδο όσον αφορά τα ανθρώπινα δικαιώματα, τη δημοκρατία και τις βασιζόμενες στον σεβασμό σχέσεις γειτονίας·</w:t>
      </w:r>
    </w:p>
    <w:p w:rsidR="0012148F" w:rsidRPr="00FD2F78" w:rsidRDefault="00DE0B6A" w:rsidP="00DE0B6A">
      <w:pPr>
        <w:pStyle w:val="Normal12Hanging"/>
        <w:widowControl/>
        <w:ind w:left="570" w:hanging="570"/>
        <w:rPr>
          <w:lang w:val="el-GR"/>
        </w:rPr>
      </w:pPr>
      <w:r w:rsidRPr="00FD2F78">
        <w:rPr>
          <w:lang w:val="el-GR"/>
        </w:rPr>
        <w:t>6.</w:t>
      </w:r>
      <w:r w:rsidRPr="00FD2F78">
        <w:rPr>
          <w:lang w:val="el-GR"/>
        </w:rPr>
        <w:tab/>
      </w:r>
      <w:r w:rsidR="0012148F" w:rsidRPr="00FD2F78">
        <w:rPr>
          <w:lang w:val="el-GR"/>
        </w:rPr>
        <w:t xml:space="preserve">υπογραμμίζει ότι η προσχώρηση στην ΕΕ πρέπει πάντα να είναι μια αξιοκρατική διαδικασία και ότι κάθε υποψήφιος πρέπει να αξιολογείται με βάση τις επιδόσεις του όσον αφορά την εκπλήρωση των κριτηρίων της Κοπεγχάγης στο σύνολό τους· υπογραμμίζει ότι δεν μπορούν να υπάρξουν περικοπές στις αξίες και στις θεμελιώδεις αρχές της ΕΕ· επισημαίνει ότι το κράτος δικαίου, η δημοκρατική μεταρρύθμιση, η </w:t>
      </w:r>
      <w:r w:rsidR="0012148F" w:rsidRPr="00FD2F78">
        <w:rPr>
          <w:lang w:val="el-GR"/>
        </w:rPr>
        <w:lastRenderedPageBreak/>
        <w:t>ελευθερία των μέσων ενημέρωσης και ο σεβασμός των ανθρωπίνων δικαιωμάτων, συμπεριλαμβανομένων των δικαιωμάτων των μειονοτήτων, θα πρέπει να τεθούν στο επίκεντρο της διαδικασίας προσχώρησης, με την ανεξαρτησία της δικαιοσύνης, την καταπολέμηση της διαφθοράς και την ενδυνάμωση της κοινωνίας των πολιτών να αποτελούν βασικές προϋποθέσεις για την πρόοδο στην πορεία προς την ένταξη στην ΕΕ·</w:t>
      </w:r>
    </w:p>
    <w:p w:rsidR="0012148F" w:rsidRPr="00985470" w:rsidRDefault="00DE0B6A" w:rsidP="00DE0B6A">
      <w:pPr>
        <w:pStyle w:val="Normal12Hanging"/>
        <w:widowControl/>
        <w:ind w:left="570" w:hanging="570"/>
        <w:rPr>
          <w:bCs/>
          <w:iCs/>
          <w:lang w:val="el-GR"/>
        </w:rPr>
      </w:pPr>
      <w:r w:rsidRPr="00985470">
        <w:rPr>
          <w:bCs/>
          <w:iCs/>
          <w:lang w:val="el-GR"/>
        </w:rPr>
        <w:t>7.</w:t>
      </w:r>
      <w:r w:rsidRPr="00985470">
        <w:rPr>
          <w:bCs/>
          <w:iCs/>
          <w:lang w:val="el-GR"/>
        </w:rPr>
        <w:tab/>
      </w:r>
      <w:r w:rsidR="0012148F" w:rsidRPr="00FD2F78">
        <w:rPr>
          <w:lang w:val="el-GR"/>
        </w:rPr>
        <w:t>ζητεί, ειδικότερα, να ενισχυθούν οι αποτελεσματικοί μηχανισμοί παρακολούθησης για την προστασία των θεμελιωδών αξιών και των οικονομικών συμφερόντων της Ένωσης στο πλαίσιο των διαδικασιών προσχώρησης· επαναλαμβάνει, εν προκειμένω, τις εκκλήσεις του να συμπεριληφθούν οι υποψήφιες χώρες στον μηχανισμό της ΕΕ για το κράτος δικαίου και στην ετήσια διαδικασία υποβολής εκθέσεων, στο πλαίσιο αυτόματης ενεργοποίησης των μηχανισμών προενταξιακής συνεργασίας και επαλήθευσης· υποστηρίζει την πρόθεση της Επιτροπής να συμπεριλάβει τις υπό ένταξη χώρες στις εκθέσεις για το κράτος δικαίου και επιμένει ότι πρέπει να συμβάλλουν στις ετήσιες εκθέσεις προόδου</w:t>
      </w:r>
      <w:r w:rsidR="0012148F" w:rsidRPr="00985470">
        <w:rPr>
          <w:lang w:val="el-GR"/>
        </w:rPr>
        <w:t>·</w:t>
      </w:r>
    </w:p>
    <w:p w:rsidR="0012148F" w:rsidRPr="00FD2F78" w:rsidRDefault="00DE0B6A" w:rsidP="00DE0B6A">
      <w:pPr>
        <w:pStyle w:val="Normal12Hanging"/>
        <w:widowControl/>
        <w:ind w:left="570" w:hanging="570"/>
        <w:rPr>
          <w:lang w:val="el-GR"/>
        </w:rPr>
      </w:pPr>
      <w:r w:rsidRPr="00FD2F78">
        <w:rPr>
          <w:lang w:val="el-GR"/>
        </w:rPr>
        <w:t>8.</w:t>
      </w:r>
      <w:r w:rsidRPr="00FD2F78">
        <w:rPr>
          <w:lang w:val="el-GR"/>
        </w:rPr>
        <w:tab/>
      </w:r>
      <w:r w:rsidR="0012148F" w:rsidRPr="00FD2F78">
        <w:rPr>
          <w:lang w:val="el-GR"/>
        </w:rPr>
        <w:t>ενθαρρύνει τις χώρες της διεύρυνσης να συνεχίσουν να υλοποιούν με αποφασιστικότητα τις αναγκαίες μεταρρυθμίσεις να σημειώνουν απτής και αμετάκλητη πρόοδο, αρχής γενομένης από τα θεμελιώδη στοιχεία της διαδικασίας προσχώρησης στην ΕΕ·</w:t>
      </w:r>
    </w:p>
    <w:p w:rsidR="0012148F" w:rsidRPr="00FD2F78" w:rsidRDefault="00DE0B6A" w:rsidP="00DE0B6A">
      <w:pPr>
        <w:pStyle w:val="Normal12Hanging"/>
        <w:widowControl/>
        <w:ind w:left="570" w:hanging="570"/>
        <w:rPr>
          <w:lang w:val="el-GR"/>
        </w:rPr>
      </w:pPr>
      <w:r w:rsidRPr="00FD2F78">
        <w:rPr>
          <w:lang w:val="el-GR"/>
        </w:rPr>
        <w:t>9.</w:t>
      </w:r>
      <w:r w:rsidRPr="00FD2F78">
        <w:rPr>
          <w:lang w:val="el-GR"/>
        </w:rPr>
        <w:tab/>
      </w:r>
      <w:r w:rsidR="0012148F" w:rsidRPr="00FD2F78">
        <w:rPr>
          <w:lang w:val="el-GR"/>
        </w:rPr>
        <w:t xml:space="preserve">επιμένει ότι πρέπει να καταβάλλονται διαρκώς προσπάθειες για την προώθηση της πολυφωνίας των μέσων μαζικής ενημέρωσης, την προάσπιση των δικαιωμάτων των δημοσιογράφων και τη διασφάλιση της ελευθερίας έκφρασης σε όλες τις υποψήφιες χώρες· </w:t>
      </w:r>
    </w:p>
    <w:p w:rsidR="0012148F" w:rsidRPr="00FD2F78" w:rsidRDefault="00DE0B6A" w:rsidP="00DE0B6A">
      <w:pPr>
        <w:pStyle w:val="Normal12Hanging"/>
        <w:widowControl/>
        <w:ind w:left="570" w:hanging="570"/>
        <w:rPr>
          <w:lang w:val="el-GR"/>
        </w:rPr>
      </w:pPr>
      <w:r w:rsidRPr="00FD2F78">
        <w:rPr>
          <w:lang w:val="el-GR"/>
        </w:rPr>
        <w:t>10.</w:t>
      </w:r>
      <w:r w:rsidRPr="00FD2F78">
        <w:rPr>
          <w:lang w:val="el-GR"/>
        </w:rPr>
        <w:tab/>
      </w:r>
      <w:r w:rsidR="0012148F" w:rsidRPr="00FD2F78">
        <w:rPr>
          <w:lang w:val="el-GR"/>
        </w:rPr>
        <w:t>επισημαίνει ότι η ευθυγράμμιση με την ΚΕΠΠΑ της ΕΕ αποτελεί επίσης σημαντικό δείκτη της πλήρους τήρησης των θεμελιωδών αρχών της ΕΕ και της βιώσιμης μελλοντικής προσχώρησης· παροτρύνει όλες τις υποψήφιες και εν δυνάμει υποψήφιες χώρες να δώσουν προτεραιότητα στην ταχεία και πλήρη ευθυγράμμιση με την ΚΕΠΠΑ και επαναλαμβάνει ότι η προσχώρηση οποιασδήποτε χώρας μπορεί να προχωρήσει μόνον εφόσον ευθυγραμμιστεί με τα περιοριστικά μέτρα της ΕΕ, συμπεριλαμβανομένων των κυρώσεων που επιβάλλονται ως απάντηση στον επιθετικό πόλεμο της Ρωσίας κατά της Ουκρανίας·</w:t>
      </w:r>
    </w:p>
    <w:p w:rsidR="0012148F" w:rsidRPr="00FD2F78" w:rsidRDefault="00DE0B6A" w:rsidP="00DE0B6A">
      <w:pPr>
        <w:pStyle w:val="Normal12Hanging"/>
        <w:widowControl/>
        <w:ind w:left="570" w:hanging="570"/>
        <w:rPr>
          <w:lang w:val="el-GR"/>
        </w:rPr>
      </w:pPr>
      <w:r w:rsidRPr="00FD2F78">
        <w:rPr>
          <w:lang w:val="el-GR"/>
        </w:rPr>
        <w:t>11.</w:t>
      </w:r>
      <w:r w:rsidRPr="00FD2F78">
        <w:rPr>
          <w:lang w:val="el-GR"/>
        </w:rPr>
        <w:tab/>
      </w:r>
      <w:r w:rsidR="0012148F" w:rsidRPr="00FD2F78">
        <w:rPr>
          <w:lang w:val="el-GR"/>
        </w:rPr>
        <w:t>ζητεί να διενεργηθεί διεξοδική εκτίμηση της στρατηγικής της ΕΕ για τη διεύρυνση και να αξιολογηθούν οι λόγοι στους οποίους οφείλεται η περιορισμένη πρόοδος που επιτεύχθηκε από ορισμένες χώρες της διεύρυνσης, ιδίως στους τομείς του κράτους δικαίου, των ανθρωπίνων δικαιωμάτων και της δημοκρατίας·</w:t>
      </w:r>
    </w:p>
    <w:p w:rsidR="0012148F" w:rsidRPr="00FD2F78" w:rsidRDefault="00DE0B6A" w:rsidP="00DE0B6A">
      <w:pPr>
        <w:pStyle w:val="Normal12Hanging"/>
        <w:widowControl/>
        <w:ind w:left="570" w:hanging="570"/>
        <w:rPr>
          <w:bCs/>
          <w:iCs/>
          <w:lang w:val="el-GR"/>
        </w:rPr>
      </w:pPr>
      <w:r w:rsidRPr="00FD2F78">
        <w:rPr>
          <w:bCs/>
          <w:iCs/>
          <w:lang w:val="el-GR"/>
        </w:rPr>
        <w:t>12.</w:t>
      </w:r>
      <w:r w:rsidRPr="00FD2F78">
        <w:rPr>
          <w:bCs/>
          <w:iCs/>
          <w:lang w:val="el-GR"/>
        </w:rPr>
        <w:tab/>
      </w:r>
      <w:r w:rsidR="0012148F" w:rsidRPr="00FD2F78">
        <w:rPr>
          <w:lang w:val="el-GR"/>
        </w:rPr>
        <w:t>θεωρεί ότι η αναθεωρημένη μεθοδολογία της Επιτροπής, η οποία θα πρέπει να επικαιροποιηθεί ώστε να συμπεριλάβει τις διαδικασίες προσχώρησης της Ουκρανίας, της Δημοκρατίας της Μολδαβίας και της Γεωργίας, αποτελεί μακροπρόθεσμο πλαίσιο πολιτικής που καθοδηγεί τη διαδικασία διεύρυνσης·</w:t>
      </w:r>
    </w:p>
    <w:p w:rsidR="0012148F" w:rsidRPr="00D3113D" w:rsidRDefault="00DE0B6A" w:rsidP="00DE0B6A">
      <w:pPr>
        <w:pStyle w:val="Normal12Hanging"/>
        <w:widowControl/>
        <w:ind w:left="570" w:hanging="570"/>
        <w:rPr>
          <w:bCs/>
          <w:iCs/>
          <w:lang w:val="el-GR"/>
        </w:rPr>
      </w:pPr>
      <w:r w:rsidRPr="00D3113D">
        <w:rPr>
          <w:bCs/>
          <w:iCs/>
          <w:lang w:val="el-GR"/>
        </w:rPr>
        <w:t>13.</w:t>
      </w:r>
      <w:r w:rsidRPr="00D3113D">
        <w:rPr>
          <w:bCs/>
          <w:iCs/>
          <w:lang w:val="el-GR"/>
        </w:rPr>
        <w:tab/>
      </w:r>
      <w:r w:rsidR="0012148F" w:rsidRPr="00FD2F78">
        <w:rPr>
          <w:lang w:val="el-GR"/>
        </w:rPr>
        <w:t xml:space="preserve">τονίζει ότι, ενώ η διαδικασία θα πρέπει να γίνει πιο σταδιακή και δυναμική και η ΕΕ θα πρέπει να θέσει συγκεκριμένους επιμέρους μεταρρυθμιστικούς στόχους, χάρτες πορείας και ενδιάμεσα χρονοδιαγράμματα για κάθε υπό ένταξη χώρα, δεν πρέπει να εφαρμόζονται ταχείες διαδικασίες ή προκαθορισμένες προθεσμίες για την προσχώρηση, δεδομένου ότι θα μπορούσαν να επηρεάσουν την ακεραιότητα της διαδικασίας </w:t>
      </w:r>
      <w:r w:rsidR="0012148F" w:rsidRPr="00FD2F78">
        <w:rPr>
          <w:lang w:val="el-GR"/>
        </w:rPr>
        <w:lastRenderedPageBreak/>
        <w:t>προσχώρησης· πιστεύει, ωστόσο, ότι η επόμενη διεύρυνση της ΕΕ θα πρέπει να πραγματοποιηθεί μόλις εκπληρωθούν όλες οι προϋποθέσεις προσχώρησης στις ενδιαφερόμενες υποψήφιες χώρες και παράλληλα συμφωνηθούν και εφαρμοστούν οι αναγκαίες ευρωπαϊκές μεταρρυθμίσεις· αναμένει ότι οι πρώτες υποψήφιες χώρες θα είναι έτοιμες να προσχωρήσουν στην Ένωση έως το τέλος της τρέχουσας δεκαετί</w:t>
      </w:r>
      <w:r w:rsidR="0012148F" w:rsidRPr="00D3113D">
        <w:rPr>
          <w:lang w:val="el-GR"/>
        </w:rPr>
        <w:t>ας·</w:t>
      </w:r>
    </w:p>
    <w:p w:rsidR="0012148F" w:rsidRPr="00FD2F78" w:rsidRDefault="00DE0B6A" w:rsidP="00DE0B6A">
      <w:pPr>
        <w:pStyle w:val="Normal12Hanging"/>
        <w:widowControl/>
        <w:ind w:left="570" w:hanging="570"/>
        <w:rPr>
          <w:lang w:val="el-GR"/>
        </w:rPr>
      </w:pPr>
      <w:r w:rsidRPr="00FD2F78">
        <w:rPr>
          <w:lang w:val="el-GR"/>
        </w:rPr>
        <w:t>14.</w:t>
      </w:r>
      <w:r w:rsidRPr="00FD2F78">
        <w:rPr>
          <w:lang w:val="el-GR"/>
        </w:rPr>
        <w:tab/>
      </w:r>
      <w:r w:rsidR="0012148F" w:rsidRPr="00FD2F78">
        <w:rPr>
          <w:lang w:val="el-GR"/>
        </w:rPr>
        <w:t>εμμένει στην άποψη ότι η διεύρυνση της ΕΕ αποτελεί κοινή ευθύνη των σημερινών και των υποψήφιων κρατών μελών· καλεί τα κράτη μέλη να επιδείξουν σαφή και αδιαμφισβήτητη πολιτική δέσμευση για τη διαδικασία διεύρυνσης, με βάση αντικειμενικά κριτήρια και χωρίς την καταχραστούν για την επίλυση διμερών διαφορών, οι οποίες θα πρέπει να επιλυθεί χωριστά από τη διαδικασία προσχώρησης· υπογραμμίζει ότι οι υπερβολικές καθυστερήσεις στην πορεία προς την πλήρη προσχώρηση στην ΕΕ μπορούν να επηρεάσουν αρνητικά τόσο την κοινή γνώμη όσο και την πολιτική δέσμευση των υποψήφιων χωρών·</w:t>
      </w:r>
    </w:p>
    <w:p w:rsidR="0012148F" w:rsidRPr="00FD2F78" w:rsidRDefault="00DE0B6A" w:rsidP="00DE0B6A">
      <w:pPr>
        <w:pStyle w:val="Normal12Hanging"/>
        <w:widowControl/>
        <w:ind w:left="570" w:hanging="570"/>
        <w:rPr>
          <w:lang w:val="el-GR"/>
        </w:rPr>
      </w:pPr>
      <w:r w:rsidRPr="00FD2F78">
        <w:rPr>
          <w:lang w:val="el-GR"/>
        </w:rPr>
        <w:t>15.</w:t>
      </w:r>
      <w:r w:rsidRPr="00FD2F78">
        <w:rPr>
          <w:lang w:val="el-GR"/>
        </w:rPr>
        <w:tab/>
      </w:r>
      <w:r w:rsidR="0012148F" w:rsidRPr="00FD2F78">
        <w:rPr>
          <w:lang w:val="el-GR"/>
        </w:rPr>
        <w:t>υπογραμμίζει ότι οι ενταξιακές διαδικασίες μπορούν να πραγματοποιηθούν με αναστρέψιμο τρόπο και ότι η αξιοκρατική προσέγγιση μπορεί επίσης να οδηγήσει σε πάγωμα των ενταξιακών διαπραγματεύσεων σε περίπτωση οπισθοδρόμησης όσον αφορά τις θεμελιώδεις αξίες, και θα μπορεί να επαναληφθεί μόνο αφού σημειωθεί σημαντική πρόοδος όσον αφορά τις μεταρρυθμίσεις· ζητεί ισχυρή και ενισχυμένη παρακολούθηση, υποβολή εκθέσεων και αξιολόγηση των μεταρρυθμίσεων και της προόδου που σημειώνουν οι υποψήφιες χώρες σε όλα τα διαπραγματευτικά κεφάλαια με στρατηγική εφαρμογή στοχευμένων προϋποθέσεων που θα βασίζονται σε σαφή κριτήρια αναφοράς όσον αφορά την πρόοδο, επιβολή κυρώσεων σε περίπτωση οπισθοδρόμησης όσον αφορά τις θεμελιώδεις αρχές ή συνεχιζόμενης έλλειψης προόδου των μεταρρυθμίσεων καθώς και επιβράβευση των μεταρρυθμίσεων και της εκπλήρωσης των κριτηρίων αναφοράς μέσω σαφών χρονοδιαγραμμάτων διαπραγμάτευσης·</w:t>
      </w:r>
    </w:p>
    <w:p w:rsidR="0012148F" w:rsidRPr="00FD2F78" w:rsidRDefault="00DE0B6A" w:rsidP="00DE0B6A">
      <w:pPr>
        <w:pStyle w:val="Normal12Hanging"/>
        <w:widowControl/>
        <w:ind w:left="570" w:hanging="570"/>
        <w:rPr>
          <w:lang w:val="el-GR"/>
        </w:rPr>
      </w:pPr>
      <w:r w:rsidRPr="00FD2F78">
        <w:rPr>
          <w:lang w:val="el-GR"/>
        </w:rPr>
        <w:t>16.</w:t>
      </w:r>
      <w:r w:rsidRPr="00FD2F78">
        <w:rPr>
          <w:lang w:val="el-GR"/>
        </w:rPr>
        <w:tab/>
      </w:r>
      <w:r w:rsidR="0012148F" w:rsidRPr="00FD2F78">
        <w:rPr>
          <w:lang w:val="el-GR"/>
        </w:rPr>
        <w:t>καλεί την Επιτροπή να βελτιώσει τη συνοχή, την αποτελεσματικότητα και τη διαφάνεια της προενταξιακής βοήθειας, ώστε να αποτυπώνονται σαφώς οι προτεραιότητες στους θεμελιώδεις τομείς κατά τη χορήγηση της χρηματοδότησης του ΜΠΒ ΙΙΙ· ζητεί, ειδικότερα, τη θέσπιση αυστηρότερης και πιο εκτελεστής λογοδοσίας όσον αφορά τις δαπάνες και τη βελτίωση του συνολικού κύκλου εκταμίευσης, υλοποίησης και ελέγχου της προενταξιακής χρηματοδότησης, με την εφαρμογή αυστηρών προϋποθέσεων, μεταξύ άλλων, κατά την εφαρμογή του οικονομικού και επενδυτικού σχεδίου και του νέου σχεδίου ανάπτυξης για τα Δυτικά Βαλκάνια· καλεί την Επιτροπή να διενεργήσει ενδιάμεση επανεξέταση του κανονισμού ΜΠΒ ΙΙΙ και να προτείνει την καταχώριση της Ουκρανίας, της Δημοκρατίας της Μολδαβίας και της Γεωργίας ως δικαιούχων του και την καλεί επίσης να εφαρμόσει χωρίς καθυστέρηση τις συστάσεις της ειδικής έκθεσης αριθ. 01/2022 του Ευρωπαϊκού Ελεγκτικού Συνεδρίου·</w:t>
      </w:r>
    </w:p>
    <w:p w:rsidR="0012148F" w:rsidRPr="00FD2F78" w:rsidRDefault="00DE0B6A" w:rsidP="00DE0B6A">
      <w:pPr>
        <w:pStyle w:val="Normal12Hanging"/>
        <w:widowControl/>
        <w:ind w:left="570" w:hanging="570"/>
        <w:rPr>
          <w:lang w:val="el-GR"/>
        </w:rPr>
      </w:pPr>
      <w:r w:rsidRPr="00FD2F78">
        <w:rPr>
          <w:lang w:val="el-GR"/>
        </w:rPr>
        <w:t>17.</w:t>
      </w:r>
      <w:r w:rsidRPr="00FD2F78">
        <w:rPr>
          <w:lang w:val="el-GR"/>
        </w:rPr>
        <w:tab/>
      </w:r>
      <w:r w:rsidR="0012148F" w:rsidRPr="00FD2F78">
        <w:rPr>
          <w:lang w:val="el-GR"/>
        </w:rPr>
        <w:t>ζητεί να δημιουργηθούν δυνατότητες για περαιτέρω ενίσχυση της προστασίας του κράτους δικαίου και των δημοκρατικών αξιών της ΕΕ από την οπισθοδρόμηση, ώστε τόσο τα υφιστάμενα όσο και τα μελλοντικά κράτη μέλη να διερευνηθούν στο πλαίσιο της μεταρρύθμισης των Συνθηκών και να εξασφαλιστεί με αυτόν τον τρόπο ότι η διεύρυνση θα ενισχύσει την ΕΕ και την ενιαία αγορά της·</w:t>
      </w:r>
    </w:p>
    <w:p w:rsidR="0012148F" w:rsidRPr="00FD2F78" w:rsidRDefault="00DE0B6A" w:rsidP="00DE0B6A">
      <w:pPr>
        <w:pStyle w:val="Normal12Hanging"/>
        <w:widowControl/>
        <w:ind w:left="570" w:hanging="570"/>
        <w:rPr>
          <w:lang w:val="el-GR"/>
        </w:rPr>
      </w:pPr>
      <w:r w:rsidRPr="00FD2F78">
        <w:rPr>
          <w:lang w:val="el-GR"/>
        </w:rPr>
        <w:t>18.</w:t>
      </w:r>
      <w:r w:rsidRPr="00FD2F78">
        <w:rPr>
          <w:lang w:val="el-GR"/>
        </w:rPr>
        <w:tab/>
      </w:r>
      <w:r w:rsidR="0012148F" w:rsidRPr="00FD2F78">
        <w:rPr>
          <w:lang w:val="el-GR"/>
        </w:rPr>
        <w:t xml:space="preserve">τονίζει την ανάγκη να διασφαλιστεί η συμβατότητα των κονδυλίων της ΕΕ που χορηγούνται στις χώρες της διεύρυνσης με τους στρατηγικούς στόχους και τα συμφέροντα της ΕΕ· καλεί την Επιτροπή να παρέχει χρηματοδοτική στήριξη στις </w:t>
      </w:r>
      <w:r w:rsidR="0012148F" w:rsidRPr="00FD2F78">
        <w:rPr>
          <w:lang w:val="el-GR"/>
        </w:rPr>
        <w:lastRenderedPageBreak/>
        <w:t>υποψήφιες για ένταξη χώρες που καταβάλλουν προσπάθειες για την ανάπτυξη σχέσεων καλής γειτονίας και την επίτευξη περιφερειακής συνεργασίας χωρίς αποκλεισμούς και βιώσιμης συμφιλίωσης που θα καλύπτει τουλάχιστον τη δίωξη των εγκληματιών πολέμου και τη διασφάλιση της πρόσβασης στην αλήθεια, στη δικαιοσύνη και σε ουσιαστικές αποζημιώσεις για τα θύματα εγκλημάτων πολέμου, εγκλημάτων κατά της ανθρωπότητας και γενοκτονίας·</w:t>
      </w:r>
    </w:p>
    <w:p w:rsidR="0012148F" w:rsidRPr="00FD2F78" w:rsidRDefault="00DE0B6A" w:rsidP="00DE0B6A">
      <w:pPr>
        <w:pStyle w:val="Normal12Hanging"/>
        <w:widowControl/>
        <w:ind w:left="570" w:hanging="570"/>
        <w:rPr>
          <w:lang w:val="el-GR"/>
        </w:rPr>
      </w:pPr>
      <w:r w:rsidRPr="00FD2F78">
        <w:rPr>
          <w:lang w:val="el-GR"/>
        </w:rPr>
        <w:t>19.</w:t>
      </w:r>
      <w:r w:rsidRPr="00FD2F78">
        <w:rPr>
          <w:lang w:val="el-GR"/>
        </w:rPr>
        <w:tab/>
      </w:r>
      <w:r w:rsidR="0012148F" w:rsidRPr="00FD2F78">
        <w:rPr>
          <w:lang w:val="el-GR"/>
        </w:rPr>
        <w:t>καλεί τις υπό ένταξη χώρες να ενισχύσουν τη δικαστική συνεργασία με την ΕΕ σε ποινικές υποθέσεις στο πλαίσιο των ρυθμίσεων συνεργασίας με την Ευρωπαϊκή Εισαγγελία, προκειμένου να διευκολυνθεί η αποτελεσματική διερεύνηση και δίωξη της κατάχρησης κονδυλίων της ΕΕ, μεταξύ άλλων μέσω της απόσπασης εθνικών αξιωματικών συνδέσμων στην Ευρωπαϊκή Εισαγγελία, και της ενίσχυσης της διοικητικής ικανότητας των τοπικών διοικήσεων·</w:t>
      </w:r>
    </w:p>
    <w:p w:rsidR="0012148F" w:rsidRPr="00FD2F78" w:rsidRDefault="00DE0B6A" w:rsidP="00DE0B6A">
      <w:pPr>
        <w:pStyle w:val="Normal12Hanging"/>
        <w:widowControl/>
        <w:ind w:left="570" w:hanging="570"/>
        <w:rPr>
          <w:lang w:val="el-GR"/>
        </w:rPr>
      </w:pPr>
      <w:r w:rsidRPr="00FD2F78">
        <w:rPr>
          <w:lang w:val="el-GR"/>
        </w:rPr>
        <w:t>20.</w:t>
      </w:r>
      <w:r w:rsidRPr="00FD2F78">
        <w:rPr>
          <w:lang w:val="el-GR"/>
        </w:rPr>
        <w:tab/>
      </w:r>
      <w:r w:rsidR="0012148F" w:rsidRPr="00FD2F78">
        <w:rPr>
          <w:lang w:val="el-GR"/>
        </w:rPr>
        <w:t>επαναλαμβάνει τη θέση του σχετικά με την ανάγκη για ενισχυμένη, επίσημη, διαρθρωμένη και συστηματική συνεργασία μεταξύ της ΕΕ και του Συμβουλίου της Ευρώπης για τη στήριξη των υπό ένταξη χωρών όσον αφορά τις μεταρρυθμίσεις με ταυτόχρονη διασφάλιση της συμμόρφωσής τους με όλες τις συστάσεις της Επιτροπής της Βενετίας στην πορεία τους προς την ένταξη στην ΕΕ·</w:t>
      </w:r>
    </w:p>
    <w:p w:rsidR="0012148F" w:rsidRPr="00D3113D" w:rsidRDefault="00DE0B6A" w:rsidP="00DE0B6A">
      <w:pPr>
        <w:pStyle w:val="Normal12Hanging"/>
        <w:widowControl/>
        <w:ind w:left="570" w:hanging="570"/>
        <w:rPr>
          <w:bCs/>
          <w:iCs/>
          <w:lang w:val="el-GR"/>
        </w:rPr>
      </w:pPr>
      <w:r w:rsidRPr="00D3113D">
        <w:rPr>
          <w:bCs/>
          <w:iCs/>
          <w:lang w:val="el-GR"/>
        </w:rPr>
        <w:t>21.</w:t>
      </w:r>
      <w:r w:rsidRPr="00D3113D">
        <w:rPr>
          <w:bCs/>
          <w:iCs/>
          <w:lang w:val="el-GR"/>
        </w:rPr>
        <w:tab/>
      </w:r>
      <w:r w:rsidR="0012148F" w:rsidRPr="00FD2F78">
        <w:rPr>
          <w:lang w:val="el-GR"/>
        </w:rPr>
        <w:t xml:space="preserve">πιστεύει ότι η πρόκληση μιας διευρυμένης Ένωσης απαιτεί ενισχυμένη πολιτική διεύρυνσης που να θέτει σε εφαρμογή μια σαφή σταδιακή πορεία προς την προσχώρηση στην ΕΕ, συμπεριλαμβανομένων της βαθμιαίας ένταξης στις κοινές πολιτικές, όπως η ενιαία αγορά, για τις χώρες που ολοκληρώνουν διαπραγματεύσεις που αφορούν ένα συγκεκριμένο κεφάλαιο πολιτικής ή που επιτυγχάνουν ουσιαστική πρόοδο όσον αφορά τις μεταρρυθμίσεις που σχετίζονται με την ΕΕ· σημειώνει ότι η πρόοδος αυτή θα πρέπει να επιτρέπει την πρόσβαση σε κονδύλια της ΕΕ στους αντίστοιχους τομείς, ώστε να αποφέρει σαφή οφέλη για τους πολίτες καθ’ όλη τη διάρκεια της διαδικασίας· σημειώνει ότι η πορεία αυτή θα πρέπει να συνοδεύεται από αυξημένη τεχνική και υπό όρους οικονομική βοήθεια, με ιδιαίτερη έμφαση στην εφαρμογή και την επιβολή των νόμων στο πλαίσιο των διαπραγματευτικών ενοτήτων που αφορούν τις θεμελιώδεις αρχές και τις εξωτερικές σχέσεις, και συγκεκριμένα τα κεφάλαια 23, 24, 30 και 31· καλεί την Επιτροπή να υποβάλει λεπτομερείς προτάσεις σχετικά με τη μέθοδο της σταδιακής προσχώρησης, συμπεριλαμβανομένων σαφών ρητρών «αποφοίτησης» και </w:t>
      </w:r>
      <w:proofErr w:type="spellStart"/>
      <w:r w:rsidR="0012148F" w:rsidRPr="00FD2F78">
        <w:rPr>
          <w:lang w:val="el-GR"/>
        </w:rPr>
        <w:t>αναστρεψιμότητας</w:t>
      </w:r>
      <w:proofErr w:type="spellEnd"/>
      <w:r w:rsidR="0012148F" w:rsidRPr="00FD2F78">
        <w:rPr>
          <w:lang w:val="el-GR"/>
        </w:rPr>
        <w:t>· υπογραμμίζει ότι η σταδιακή ένταξη των υποψήφιων χωρών σε επιλεγμένους τομείς πολιτικής με περιορισμένα δικαιώματα και υποχρεώσεις δεν αποτελεί σε καμία περίπτωση υποκατάστατο εναλλακτικής λύσης αντί της πλήρους ένταξη</w:t>
      </w:r>
      <w:r w:rsidR="0012148F" w:rsidRPr="00D3113D">
        <w:rPr>
          <w:lang w:val="el-GR"/>
        </w:rPr>
        <w:t>ς·</w:t>
      </w:r>
    </w:p>
    <w:p w:rsidR="0012148F" w:rsidRPr="00FD2F78" w:rsidRDefault="00DE0B6A" w:rsidP="00DE0B6A">
      <w:pPr>
        <w:pStyle w:val="Normal12Hanging"/>
        <w:widowControl/>
        <w:ind w:left="570" w:hanging="570"/>
        <w:rPr>
          <w:lang w:val="el-GR"/>
        </w:rPr>
      </w:pPr>
      <w:r w:rsidRPr="00FD2F78">
        <w:rPr>
          <w:lang w:val="el-GR"/>
        </w:rPr>
        <w:t>22.</w:t>
      </w:r>
      <w:r w:rsidRPr="00FD2F78">
        <w:rPr>
          <w:lang w:val="el-GR"/>
        </w:rPr>
        <w:tab/>
      </w:r>
      <w:r w:rsidR="0012148F" w:rsidRPr="00FD2F78">
        <w:rPr>
          <w:lang w:val="el-GR"/>
        </w:rPr>
        <w:t>αναγνωρίζει τη σημασία πρωτοβουλιών όπως η Ευρωπαϊκή Πολιτική Κοινότητα, οι οποίες επιτρέπουν την πολιτική συνεργασία και συμβάλλουν στον περιφερειακό διάλογο και οι οποίες θα μπορούσαν να διευκολύνουν τη σταδιακή ένταξη των υποψήφιων χωρών στην Ένωση και στις πολιτικές της, αλλά δεν αποτελούν εναλλακτικές λύσεις αντί της ένταξης στην ΕΕ·</w:t>
      </w:r>
    </w:p>
    <w:p w:rsidR="0012148F" w:rsidRPr="00FD2F78" w:rsidRDefault="00DE0B6A" w:rsidP="00DE0B6A">
      <w:pPr>
        <w:pStyle w:val="Normal12Hanging"/>
        <w:widowControl/>
        <w:ind w:left="570" w:hanging="570"/>
        <w:rPr>
          <w:lang w:val="el-GR"/>
        </w:rPr>
      </w:pPr>
      <w:r w:rsidRPr="00FD2F78">
        <w:rPr>
          <w:lang w:val="el-GR"/>
        </w:rPr>
        <w:t>23.</w:t>
      </w:r>
      <w:r w:rsidRPr="00FD2F78">
        <w:rPr>
          <w:lang w:val="el-GR"/>
        </w:rPr>
        <w:tab/>
      </w:r>
      <w:r w:rsidR="0012148F" w:rsidRPr="00FD2F78">
        <w:rPr>
          <w:lang w:val="el-GR"/>
        </w:rPr>
        <w:t>τονίζει ότι θα ήταν χρήσιμο να υπάρχει χωριστή θέση Επιτρόπου Διεύρυνσης·</w:t>
      </w:r>
    </w:p>
    <w:p w:rsidR="0012148F" w:rsidRPr="00FD2F78" w:rsidRDefault="00DE0B6A" w:rsidP="00DE0B6A">
      <w:pPr>
        <w:pStyle w:val="Normal12Hanging"/>
        <w:widowControl/>
        <w:ind w:left="570" w:hanging="570"/>
        <w:rPr>
          <w:lang w:val="el-GR"/>
        </w:rPr>
      </w:pPr>
      <w:r w:rsidRPr="00FD2F78">
        <w:rPr>
          <w:lang w:val="el-GR"/>
        </w:rPr>
        <w:t>24.</w:t>
      </w:r>
      <w:r w:rsidRPr="00FD2F78">
        <w:rPr>
          <w:lang w:val="el-GR"/>
        </w:rPr>
        <w:tab/>
      </w:r>
      <w:r w:rsidR="0012148F" w:rsidRPr="00FD2F78">
        <w:rPr>
          <w:lang w:val="el-GR"/>
        </w:rPr>
        <w:t xml:space="preserve">προτείνει να εξεταστεί το ενδεχόμενο να χορηγηθεί στις υποψήφιες χώρες καθεστώς παρατηρητή στους αρμόδιους φορείς και στα αρμόδια θεσμικά όργανα, συμπεριλαμβανομένου του Κοινοβουλίου, αρχικά βάσει προσωρινών ρυθμίσεων, εάν οι διαπραγματεύσεις έχουν προχωρήσει επαρκώς, ιδίως όσον αφορά τις ενότητες που </w:t>
      </w:r>
      <w:r w:rsidR="0012148F" w:rsidRPr="00FD2F78">
        <w:rPr>
          <w:lang w:val="el-GR"/>
        </w:rPr>
        <w:lastRenderedPageBreak/>
        <w:t>αφορούν τις θεμελιώδεις αρχές και τις εξωτερικές σχέσεις, και εάν έχουν εκπληρωθεί και συμφωνηθεί όλες οι προϋποθέσεις, έως ότου υπογραφούν οι συνθήκες προσχώρησης· εκφράζει, στο πλαίσιο αυτό, την ικανοποίησή του για την απόφαση της Ευρωπαϊκής Οικονομικής και Κοινωνικής Επιτροπής να συμπεριλάβει παρατηρητές από τις υποψήφιες χώρες από το 2024 και μετά·</w:t>
      </w:r>
    </w:p>
    <w:p w:rsidR="0012148F" w:rsidRPr="00FD2F78" w:rsidRDefault="00DE0B6A" w:rsidP="00DE0B6A">
      <w:pPr>
        <w:pStyle w:val="Normal12Hanging"/>
        <w:widowControl/>
        <w:ind w:left="570" w:hanging="570"/>
        <w:rPr>
          <w:lang w:val="el-GR"/>
        </w:rPr>
      </w:pPr>
      <w:r w:rsidRPr="00FD2F78">
        <w:rPr>
          <w:lang w:val="el-GR"/>
        </w:rPr>
        <w:t>25.</w:t>
      </w:r>
      <w:r w:rsidRPr="00FD2F78">
        <w:rPr>
          <w:lang w:val="el-GR"/>
        </w:rPr>
        <w:tab/>
      </w:r>
      <w:r w:rsidR="0012148F" w:rsidRPr="00FD2F78">
        <w:rPr>
          <w:lang w:val="el-GR"/>
        </w:rPr>
        <w:t>θεωρεί ότι υπάρχει ανάγκη για ισχυρότερη, αποτελεσματικότερη και ουσιαστικότερη λήψη αποφάσεων και εποπτεία από το Ευρωπαϊκό Κοινοβούλιο της πολιτικής διεύρυνσης και της χρηματοδότησής της, προκειμένου να αυξηθεί η δημοκρατική νομιμότητα και λογοδοσία· επιμένει στην ενίσχυση του ρόλου του Κοινοβουλίου καθ’ όλη τη διάρκεια της ενταξιακής διαδικασίας, μεταξύ άλλων, και στα ενδιάμεσα στάδια, ώστε να καλύπτει τον έλεγχο της προόδου που σημειώνουν οι υποψήφιες χώρες σε όλους τους τομείς πολιτικής· δεσμεύεται να ενισχύσει τον τακτικό και διαφανή διάλογο και τη συνεργασία με τα εθνικά κοινοβούλια των υποψήφιων χωρών ως υπόδειγμα κοινοβουλευτικού ελέγχου της ολοκλήρωσης της ΕΕ·</w:t>
      </w:r>
    </w:p>
    <w:p w:rsidR="0012148F" w:rsidRPr="00FD2F78" w:rsidRDefault="00DE0B6A" w:rsidP="00DE0B6A">
      <w:pPr>
        <w:pStyle w:val="Normal12Hanging"/>
        <w:widowControl/>
        <w:ind w:left="570" w:hanging="570"/>
        <w:rPr>
          <w:bCs/>
          <w:iCs/>
          <w:lang w:val="el-GR"/>
        </w:rPr>
      </w:pPr>
      <w:r w:rsidRPr="00FD2F78">
        <w:rPr>
          <w:bCs/>
          <w:iCs/>
          <w:lang w:val="el-GR"/>
        </w:rPr>
        <w:t>26.</w:t>
      </w:r>
      <w:r w:rsidRPr="00FD2F78">
        <w:rPr>
          <w:bCs/>
          <w:iCs/>
          <w:lang w:val="el-GR"/>
        </w:rPr>
        <w:tab/>
      </w:r>
      <w:r w:rsidR="0012148F" w:rsidRPr="00FD2F78">
        <w:rPr>
          <w:lang w:val="el-GR"/>
        </w:rPr>
        <w:t xml:space="preserve">υπογραμμίζει την ανάγκη να ενισχυθεί η στήριξη της δημοκρατίας μέσω των υφιστάμενων διαύλων και μέσων, όπως ο διάλογος </w:t>
      </w:r>
      <w:proofErr w:type="spellStart"/>
      <w:r w:rsidR="0012148F" w:rsidRPr="00FD2F78">
        <w:rPr>
          <w:lang w:val="el-GR"/>
        </w:rPr>
        <w:t>Jean</w:t>
      </w:r>
      <w:proofErr w:type="spellEnd"/>
      <w:r w:rsidR="0012148F" w:rsidRPr="00FD2F78">
        <w:rPr>
          <w:lang w:val="el-GR"/>
        </w:rPr>
        <w:t xml:space="preserve"> </w:t>
      </w:r>
      <w:proofErr w:type="spellStart"/>
      <w:r w:rsidR="0012148F" w:rsidRPr="00FD2F78">
        <w:rPr>
          <w:lang w:val="el-GR"/>
        </w:rPr>
        <w:t>Monnet</w:t>
      </w:r>
      <w:proofErr w:type="spellEnd"/>
      <w:r w:rsidR="0012148F" w:rsidRPr="00FD2F78">
        <w:rPr>
          <w:lang w:val="el-GR"/>
        </w:rPr>
        <w:t>, ο διακομματικός διάλογος (IPD) και η διαδικασία κοινοβουλευτικού διαλόγου (PDP)·</w:t>
      </w:r>
    </w:p>
    <w:p w:rsidR="0012148F" w:rsidRPr="00FD2F78" w:rsidRDefault="00DE0B6A" w:rsidP="00DE0B6A">
      <w:pPr>
        <w:pStyle w:val="Normal12Hanging"/>
        <w:widowControl/>
        <w:ind w:left="570" w:hanging="570"/>
        <w:rPr>
          <w:bCs/>
          <w:iCs/>
          <w:lang w:val="el-GR"/>
        </w:rPr>
      </w:pPr>
      <w:r w:rsidRPr="00FD2F78">
        <w:rPr>
          <w:bCs/>
          <w:iCs/>
          <w:lang w:val="el-GR"/>
        </w:rPr>
        <w:t>27.</w:t>
      </w:r>
      <w:r w:rsidRPr="00FD2F78">
        <w:rPr>
          <w:bCs/>
          <w:iCs/>
          <w:lang w:val="el-GR"/>
        </w:rPr>
        <w:tab/>
      </w:r>
      <w:r w:rsidR="0012148F" w:rsidRPr="00FD2F78">
        <w:rPr>
          <w:lang w:val="el-GR"/>
        </w:rPr>
        <w:t>καλεί τα θεσμικά όργανα της ΕΕ και τα κράτη μέλη να συμμετάσχουν πλήρως στην περαιτέρω ενίσχυση των διαδικασιών μεταρρύθμισης στις υποψήφιες χώρες, ιδίως των διοικητικών ικανοτήτων τους·</w:t>
      </w:r>
    </w:p>
    <w:p w:rsidR="0012148F" w:rsidRPr="00FD2F78" w:rsidRDefault="00DE0B6A" w:rsidP="00DE0B6A">
      <w:pPr>
        <w:pStyle w:val="Normal12Hanging"/>
        <w:widowControl/>
        <w:ind w:left="570" w:hanging="570"/>
        <w:rPr>
          <w:bCs/>
          <w:iCs/>
          <w:lang w:val="el-GR"/>
        </w:rPr>
      </w:pPr>
      <w:r w:rsidRPr="00FD2F78">
        <w:rPr>
          <w:bCs/>
          <w:iCs/>
          <w:lang w:val="el-GR"/>
        </w:rPr>
        <w:t>28.</w:t>
      </w:r>
      <w:r w:rsidRPr="00FD2F78">
        <w:rPr>
          <w:bCs/>
          <w:iCs/>
          <w:lang w:val="el-GR"/>
        </w:rPr>
        <w:tab/>
      </w:r>
      <w:r w:rsidR="0012148F" w:rsidRPr="00FD2F78">
        <w:rPr>
          <w:lang w:val="el-GR"/>
        </w:rPr>
        <w:t>τονίζει την ανάγκη να αυξηθεί η διαφάνεια, να ενισχυθεί η συμμετοχή των πολιτών και η ουσιαστική σύμπραξη της κοινωνίας των πολιτών στη διαδικασία διεύρυνσης και τον έλεγχό της και, παράλληλα, να ενισχυθεί η βιώσιμη χρηματοδότησή της·</w:t>
      </w:r>
    </w:p>
    <w:p w:rsidR="0012148F" w:rsidRPr="00FD2F78" w:rsidRDefault="00DE0B6A" w:rsidP="00DE0B6A">
      <w:pPr>
        <w:pStyle w:val="NormalHanging12a"/>
        <w:widowControl/>
        <w:ind w:left="570" w:hanging="570"/>
      </w:pPr>
      <w:r w:rsidRPr="00FD2F78">
        <w:t>29.</w:t>
      </w:r>
      <w:r w:rsidRPr="00FD2F78">
        <w:tab/>
      </w:r>
      <w:r w:rsidR="0012148F" w:rsidRPr="00FD2F78">
        <w:t>υπογραμμίζει ότι η διαδικασία διεύρυνσης δεν πρέπει να διαιωνίζει ή να επιδεινώνει ακούσια τις ανισότητες λόγω σεξουαλικού προσανατολισμού και ταυτότητας φύλου· ζητεί επιτακτικά από την Επιτροπή και τις υποψήφιες χώρες να ενσωματώσουν στη διαδικασία διεύρυνσης μέτρα που να προωθούν ενεργά και να διασφαλίζουν τα δικαιώματα των ατόμων ΛΟΑΤΚΙ, όπως η ανάπτυξη πολιτικών που εξαλείφουν τις διακρίσεις λόγω σεξουαλικού προσανατολισμού και ταυτότητας φύλου, η ενίσχυση της συμμετοχής των ΛΟΑΤΚΙ στις διαδικασίες λήψης αποφάσεων και η προώθηση της συμπεριληπτικότητας στον πολιτικό, οικονομικό και κοινωνικό τομέα μέσω δραστηριοτήτων εκπαίδευσης και ευαισθητοποίησης· καλεί την Επιτροπή και τις υποψήφιες χώρες να παρακολουθούν δεόντως και να αξιολογούν την κατάσταση των δικαιωμάτων των ΛΟΑΤΚΙ στις υποψήφιες χώρες·</w:t>
      </w:r>
    </w:p>
    <w:p w:rsidR="0012148F" w:rsidRPr="00FD2F78" w:rsidRDefault="00DE0B6A" w:rsidP="00DE0B6A">
      <w:pPr>
        <w:pStyle w:val="NormalHanging12a"/>
        <w:widowControl/>
        <w:ind w:left="570" w:hanging="570"/>
      </w:pPr>
      <w:r w:rsidRPr="00FD2F78">
        <w:t>30.</w:t>
      </w:r>
      <w:r w:rsidRPr="00FD2F78">
        <w:tab/>
      </w:r>
      <w:r w:rsidR="0012148F" w:rsidRPr="00FD2F78">
        <w:t>θεωρεί ότι, στο πλαίσιο της διαδικασίας προσχώρησης, πρέπει να διασφαλιστεί η αύξηση των προσπαθειών των υποψήφιων χωρών όσον αφορά τα ίσα δικαιώματα των ατόμων με αναπηρία· τονίζει την ανάγκη να αυξηθεί η πίεση που ασκείται στις υποψήφιες χώρες για υλοποίηση μεταρρυθμίσεων προκειμένου να βελτιωθεί η κατάσταση των ατόμων με αναπηρία και για αύξηση των προσπαθειών τους όσον αφορά την αποϊδρυματοποίηση, συμπεριλαμβανομένης της μετάβασης από την ιδρυματική φροντίδα στη φροντίδα σε επίπεδο οικογένειας και κοινότητας·</w:t>
      </w:r>
    </w:p>
    <w:p w:rsidR="0012148F" w:rsidRPr="00FD2F78" w:rsidRDefault="0012148F" w:rsidP="00D3113D">
      <w:pPr>
        <w:pStyle w:val="Normal12Hanging"/>
        <w:widowControl/>
        <w:ind w:left="0" w:firstLine="0"/>
        <w:rPr>
          <w:rFonts w:eastAsia="Calibri"/>
          <w:b/>
          <w:i/>
          <w:szCs w:val="24"/>
          <w:lang w:val="el-GR"/>
        </w:rPr>
      </w:pPr>
      <w:r w:rsidRPr="00FD2F78">
        <w:rPr>
          <w:b/>
          <w:i/>
          <w:lang w:val="el-GR"/>
        </w:rPr>
        <w:t>Ευρωπαϊκές θεσμικές και χρηματοπιστωτικές μεταρρυθμίσεις</w:t>
      </w:r>
    </w:p>
    <w:p w:rsidR="0012148F" w:rsidRPr="00FD2F78" w:rsidRDefault="00DE0B6A" w:rsidP="00DE0B6A">
      <w:pPr>
        <w:pStyle w:val="Normal12Hanging"/>
        <w:widowControl/>
        <w:ind w:left="570" w:hanging="570"/>
        <w:rPr>
          <w:bCs/>
          <w:iCs/>
          <w:lang w:val="el-GR"/>
        </w:rPr>
      </w:pPr>
      <w:r w:rsidRPr="00FD2F78">
        <w:rPr>
          <w:bCs/>
          <w:iCs/>
          <w:lang w:val="el-GR"/>
        </w:rPr>
        <w:lastRenderedPageBreak/>
        <w:t>31.</w:t>
      </w:r>
      <w:r w:rsidRPr="00FD2F78">
        <w:rPr>
          <w:bCs/>
          <w:iCs/>
          <w:lang w:val="el-GR"/>
        </w:rPr>
        <w:tab/>
      </w:r>
      <w:r w:rsidR="0012148F" w:rsidRPr="00FD2F78">
        <w:rPr>
          <w:lang w:val="el-GR"/>
        </w:rPr>
        <w:t>θεωρεί ότι οι διαδικασίες προετοιμασίας για τη διεύρυνση θα πρέπει να προχωρήσουν παράλληλα στην ΕΕ και στις υπό ένταξη χώρες· τονίζει ότι χρειάζονται ευρωπαϊκές θεσμικές και οικονομικές μεταρρυθμίσεις για να αντιμετωπιστούν οι σημερινές προκλήσεις και να εξασφαλιστεί η ικανότητα της ΕΕ να απορροφά νέα μέλη και να προωθεί την επιτυχή ένταξή τους· καλεί τα θεσμικά όργανα της ΕΕ και τα κράτη μέλη να προβούν στις αναγκαίες μεταρρυθμίσεις για να διασφαλίσουν ότι η απουσία τους δεν θα καθυστερήσει την προσχώρηση των νέων κρατών μελών· σημειώνει ότι οι μεταρρυθμίσεις αυτές είναι απαραίτητες για την ενίσχυση της ΕΕ και των θεσμικών της οργάνων, ώστε να προαχθεί η δημοκρατική νομιμότητα, η χρηστή διακυβέρνηση, η λειτουργικότητα, η λογοδοσία, η διαφάνεια και η βιωσιμότητα· τονίζει, συγκεκριμένα, τη σημασία της στήριξης της δημοκρατικής νομιμότητας των πολιτικών της ΕΕ με την ενίσχυση των δικαιωμάτων λήψης αποφάσεων και ελέγχου του Κοινοβουλίου· για τον λόγο αυτό, επαναλαμβάνει τις εκκλήσεις του για χορήγηση στο Κοινοβούλιο γενικού και άμεσου δικαιώματος νομοθετικής πρωτοβουλίας·</w:t>
      </w:r>
    </w:p>
    <w:p w:rsidR="0012148F" w:rsidRPr="00FD2F78" w:rsidRDefault="00DE0B6A" w:rsidP="00DE0B6A">
      <w:pPr>
        <w:pStyle w:val="Normal12Hanging"/>
        <w:widowControl/>
        <w:ind w:left="570" w:hanging="570"/>
        <w:rPr>
          <w:lang w:val="el-GR"/>
        </w:rPr>
      </w:pPr>
      <w:r w:rsidRPr="00FD2F78">
        <w:rPr>
          <w:lang w:val="el-GR"/>
        </w:rPr>
        <w:t>32.</w:t>
      </w:r>
      <w:r w:rsidRPr="00FD2F78">
        <w:rPr>
          <w:lang w:val="el-GR"/>
        </w:rPr>
        <w:tab/>
      </w:r>
      <w:r w:rsidR="0012148F" w:rsidRPr="00FD2F78">
        <w:rPr>
          <w:lang w:val="el-GR"/>
        </w:rPr>
        <w:t>πιστεύει ακράδαντα ότι οι ευρωπαϊκές θεσμικές μεταρρυθμίσεις θα πρέπει να αυξήσουν την ικανότητα δράσης της ΕΕ και να περιλαμβάνουν απλουστευμένες και αποτελεσματικότερες διαδικασίες λήψης αποφάσεων, καταργώντας την ομοφωνία·</w:t>
      </w:r>
      <w:r w:rsidR="0012148F" w:rsidRPr="00FD2F78">
        <w:rPr>
          <w:b/>
          <w:i/>
          <w:lang w:val="el-GR"/>
        </w:rPr>
        <w:t xml:space="preserve"> </w:t>
      </w:r>
      <w:r w:rsidR="0012148F" w:rsidRPr="00FD2F78">
        <w:rPr>
          <w:lang w:val="el-GR"/>
        </w:rPr>
        <w:t>επαναλαμβάνει ότι η ψηφοφορία με ειδική πλειοψηφία θα πρέπει να εφαρμόζεται σε τομείς όπως η προστασία της δημοκρατίας, των ανθρωπίνων δικαιωμάτων και του κράτους δικαίου, το ΠΔΠ, οι κυρώσεις και άλλες σχετικές αποφάσεις εξωτερικής πολιτικής, όπως η έναρξη των ενταξιακών διαπραγματεύσεων στην ΕΕ, η έναρξη και το κλείσιμο επιμέρους διαπραγματευτικών ενοτήτων και η επιβολή κυρώσεων σε περίπτωση οπισθοδρόμησης, αλλά όχι στην περίπτωση των αποφάσεων με τις οποίες εγκρίνονται στρατιωτικές αποστολές ή επιχειρήσεις με εκτελεστική εντολή·</w:t>
      </w:r>
    </w:p>
    <w:p w:rsidR="0012148F" w:rsidRPr="00FD2F78" w:rsidRDefault="00DE0B6A" w:rsidP="00DE0B6A">
      <w:pPr>
        <w:pStyle w:val="Normal12Hanging"/>
        <w:widowControl/>
        <w:ind w:left="570" w:hanging="570"/>
        <w:rPr>
          <w:bCs/>
          <w:iCs/>
          <w:lang w:val="el-GR"/>
        </w:rPr>
      </w:pPr>
      <w:r w:rsidRPr="00FD2F78">
        <w:rPr>
          <w:bCs/>
          <w:iCs/>
          <w:lang w:val="el-GR"/>
        </w:rPr>
        <w:t>33.</w:t>
      </w:r>
      <w:r w:rsidRPr="00FD2F78">
        <w:rPr>
          <w:bCs/>
          <w:iCs/>
          <w:lang w:val="el-GR"/>
        </w:rPr>
        <w:tab/>
      </w:r>
      <w:r w:rsidR="0012148F" w:rsidRPr="00FD2F78">
        <w:rPr>
          <w:lang w:val="el-GR"/>
        </w:rPr>
        <w:t>ζητεί να ενισχυθούν, πριν από την επόμενη διεύρυνση, ο μηχανισμός για την προστασία του κράτους δικαίου και των θεμελιωδών αρχών και αξιών της ΕΕ και η ικανότητα παρακολούθησης για να διασφαλιστεί η συμμόρφωση με τα κριτήρια της Κοπεγχάγης· προτείνει να μεταρρυθμιστεί η διαδικασία του άρθρου 7 ΣΕΕ με την κατάργηση της ομοφωνίας στις αποφάσεις του Συμβουλίου, την καθιέρωση σαφούς προθεσμίας και την ανάδειξη του Δικαστηρίου σε διαιτητή των παραβιάσεων· επισημαίνει ότι η καθιέρωση της ψηφοφορίας με ειδική πλειοψηφία για τον σκοπό αυτό θα διευκόλυνε τη διαδικασία διεύρυνσης· τονίζει την ανάγκη για περαιτέρω μεταρρύθμιση του μηχανισμού αιρεσιμότητας για το κράτος δικαίου, ώστε να καλύπτει και να εγγυάται όλες τις θεμελιώδεις αξίες της Ένωσης όπως ορίζονται στο άρθρο 2 της ΣΕΕ·</w:t>
      </w:r>
    </w:p>
    <w:p w:rsidR="0012148F" w:rsidRPr="00FD2F78" w:rsidRDefault="00DE0B6A" w:rsidP="00DE0B6A">
      <w:pPr>
        <w:pStyle w:val="Normal12Hanging"/>
        <w:widowControl/>
        <w:ind w:left="570" w:hanging="570"/>
        <w:rPr>
          <w:lang w:val="el-GR"/>
        </w:rPr>
      </w:pPr>
      <w:r w:rsidRPr="00FD2F78">
        <w:rPr>
          <w:lang w:val="el-GR"/>
        </w:rPr>
        <w:t>34.</w:t>
      </w:r>
      <w:r w:rsidRPr="00FD2F78">
        <w:rPr>
          <w:lang w:val="el-GR"/>
        </w:rPr>
        <w:tab/>
      </w:r>
      <w:r w:rsidR="0012148F" w:rsidRPr="00FD2F78">
        <w:rPr>
          <w:lang w:val="el-GR"/>
        </w:rPr>
        <w:t xml:space="preserve">πιστεύει ότι, στο πλαίσιο της πλήρους ένταξης, η διαφοροποιημένη ολοκλήρωση αποτελεί μέρος της λύσης για μια αποτελεσματική και βαθύτερη διευρυμένη ΕΕ· υπογραμμίζει, ωστόσο, ότι ο σεβασμός των αξιών της Ένωσης, όπως ορίζεται στο άρθρο 2 ΣΕΕ είναι αδιαπραγμάτευτος, δεν θα πρέπει ποτέ να υπόκειται σε παρεκκλίσεις ή ρήτρες εξαίρεσης και ότι για την προσχώρηση στην Ένωση πρέπει να απαιτείται ανάληψη ισχυρής δέσμευσης για σεβασμό του συνόλου του ενωσιακού δικαίου· θεωρεί επίσης ότι πρέπει πάντα να διασφαλίζεται ένα ευρύ φάσμα τομέων ευρωπαϊκού κοινού ενδιαφέροντος, το οποίο να καλύπτει τομείς όπως η τελωνειακή ένωση, η ενιαία αγορά και οι τέσσερις ελευθερίες της, το βασικό κοινωνικό κεκτημένο και οι πολιτικές για τη γεωργία, τον ανταγωνισμό και το εμπόριο· σημειώνει ότι, πέρα από αυτούς τους τομείς κοινού ενδιαφέροντος, τα κράτη μέλη που επιθυμούν να προωθήσουν την ευρωπαϊκή ολοκλήρωση σε ευρύτερο φάσμα τομέων πολιτικής, θα πρέπει να έχουν τη δυνατότητα να το πράξουν· υπογραμμίζει ότι, στο πλαίσιο αυτού του συστήματος διαφοροποιημένης ολοκλήρωσης, ενώ όλα τα κράτη μέλη θα συμμετέχουν σε </w:t>
      </w:r>
      <w:r w:rsidR="0012148F" w:rsidRPr="00FD2F78">
        <w:rPr>
          <w:lang w:val="el-GR"/>
        </w:rPr>
        <w:lastRenderedPageBreak/>
        <w:t xml:space="preserve">αποφάσεις σχετικά με ζητήματα που εμπίπτουν στο φάσμα των τομέων κοινού ενδιαφέροντος, μόνο τα κράτη μέλη που επιθυμούν να συμμετάσχουν σε τομείς βαθύτερης ολοκλήρωσης θα συμμετέχουν στις σχετικές αποφάσεις· σημειώνει ότι η διαφοροποιημένη ολοκλήρωση συνεπάγεται επίσης διαφοροποιημένες χρηματοδοτικές ρυθμίσεις· </w:t>
      </w:r>
    </w:p>
    <w:p w:rsidR="0012148F" w:rsidRPr="00D3113D" w:rsidRDefault="00DE0B6A" w:rsidP="00DE0B6A">
      <w:pPr>
        <w:pStyle w:val="Normal12Hanging"/>
        <w:widowControl/>
        <w:ind w:left="570" w:hanging="570"/>
        <w:rPr>
          <w:lang w:val="el-GR"/>
        </w:rPr>
      </w:pPr>
      <w:r w:rsidRPr="00D3113D">
        <w:rPr>
          <w:lang w:val="el-GR"/>
        </w:rPr>
        <w:t>35.</w:t>
      </w:r>
      <w:r w:rsidRPr="00D3113D">
        <w:rPr>
          <w:lang w:val="el-GR"/>
        </w:rPr>
        <w:tab/>
      </w:r>
      <w:r w:rsidR="0012148F" w:rsidRPr="00FD2F78">
        <w:rPr>
          <w:lang w:val="el-GR"/>
        </w:rPr>
        <w:t>ζητεί να γίνει πλήρη χρήση της ευελιξίας που προβλέπεται στη Συνθήκη της Λισαβόνας ενόψει της διεξοδικότερης μεταρρύθμισης που επίκειται στο πλαίσιο ενδεχόμενης αναθεώρησης των Συνθηκών· υπενθυμίζει ότι ορισμένα μέσα ευελιξίας, όπως οι ρήτρες «γέφυρας», η ενισχυμένη συνεργασία, η εποικοδομητική αποχή, η μόνιμη διαρθρωμένη συνεργασία (PESCO) και οι μηχανισμοί εξαίρεσης μπορούν ήδη να εφαρμοστούν βάσει του ισχύοντος νομικού πλαισίου της ΕΕ, όπως δείχνουν ξεκάθαρα η εμπειρία του χώρου Σένγκεν, ενός από τα μεγαλύτερα επιτεύγματα της Ένωσης, και η ζώνη του ευρώ· υπενθυμίζει ότι οι λύσεις σταδιακής ένταξης, οι προσωρινές παρεκκλίσεις και οι μεταβατικές περίοδοι μπορούν να αποτελέσουν αντικείμενο διαπραγμάτευσης στο πλαίσιο των διαδικασιών προσχώρησης· τονίζει ότι η χρήση αυτών των μηχανισμών ευελιξίας δεν θα πρέπει να εμποδίζει τη διενέργεια εποικοδομητικών συζητήσεων σχετικά με την αναθεώρηση των Συνθηκ</w:t>
      </w:r>
      <w:r w:rsidR="0012148F" w:rsidRPr="00D3113D">
        <w:rPr>
          <w:lang w:val="el-GR"/>
        </w:rPr>
        <w:t>ών, την οποία ενέκρινε το Κοινοβούλιο στο ψήφισμά του της 22ας Νοεμβρίου 2023·</w:t>
      </w:r>
    </w:p>
    <w:p w:rsidR="0012148F" w:rsidRPr="00D3113D" w:rsidRDefault="00DE0B6A" w:rsidP="00DE0B6A">
      <w:pPr>
        <w:pStyle w:val="Normal12Hanging"/>
        <w:widowControl/>
        <w:ind w:left="570" w:hanging="570"/>
        <w:rPr>
          <w:bCs/>
          <w:iCs/>
          <w:lang w:val="el-GR"/>
        </w:rPr>
      </w:pPr>
      <w:r w:rsidRPr="00D3113D">
        <w:rPr>
          <w:bCs/>
          <w:iCs/>
          <w:lang w:val="el-GR"/>
        </w:rPr>
        <w:t>36.</w:t>
      </w:r>
      <w:r w:rsidRPr="00D3113D">
        <w:rPr>
          <w:bCs/>
          <w:iCs/>
          <w:lang w:val="el-GR"/>
        </w:rPr>
        <w:tab/>
      </w:r>
      <w:r w:rsidR="0012148F" w:rsidRPr="00D3113D">
        <w:rPr>
          <w:lang w:val="el-GR"/>
        </w:rPr>
        <w:t>σημειώνει ότι στο πλαίσιο των θεσμικών μεταρρυθμίσεων πριν από τη διεύρυνση πρέπει επίσης να αντιμετωπιστούν οι επιπτώσεις της διεύρυνσης στη σύνθεση του Κοινοβουλίου· υπενθυμίζει ότι το Ευρωπαϊκό Κοινοβούλιο είναι το μόνο άμεσα εκλεγμένο θεσμικό όργανο που εκπροσωπεί τους πολίτες της ΕΕ· υπογραμμίζει ότι, διασφαλίζοντας παράλληλα την κατάλληλη δημοκρατική αντιπροσωπευτικότητα, το Κοινοβούλιο θα πρέπει να διατηρήσει το λειτουργικό του μέγεθος· τονίζει, ωστόσο, ότι δεν μπορεί να αποκλειστεί μια εύλογη αύξηση του μεγέθους του Κοινοβουλίου προκειμένου να διασφαλιστεί επαρκής δημοκρατική εκπροσώπηση σε μια διευρυμένη Ένωση· επιμένει σε ένα νέο σύστημα κατανομής των εδρών βασισμένο σε έναν μόνιμο μαθηματικό τύπο, το οποίο θα είναι αντικειμενικό, δίκαιο, διαφανές και μόνιμο· υπενθυμίζει τη θέση του ότι η κατανομή των εδρών στο Ευρωπαϊκό Κοινοβούλιο θα πρέπει να εξεταστεί μαζί με το σύστημα ψηφοφορίας στο Συμβούλιο·</w:t>
      </w:r>
    </w:p>
    <w:p w:rsidR="0012148F" w:rsidRPr="00D3113D" w:rsidRDefault="00DE0B6A" w:rsidP="00DE0B6A">
      <w:pPr>
        <w:pStyle w:val="Normal12Hanging"/>
        <w:widowControl/>
        <w:ind w:left="570" w:hanging="570"/>
        <w:rPr>
          <w:bCs/>
          <w:iCs/>
          <w:lang w:val="el-GR"/>
        </w:rPr>
      </w:pPr>
      <w:r w:rsidRPr="00D3113D">
        <w:rPr>
          <w:bCs/>
          <w:iCs/>
          <w:lang w:val="el-GR"/>
        </w:rPr>
        <w:t>37.</w:t>
      </w:r>
      <w:r w:rsidRPr="00D3113D">
        <w:rPr>
          <w:bCs/>
          <w:iCs/>
          <w:lang w:val="el-GR"/>
        </w:rPr>
        <w:tab/>
      </w:r>
      <w:r w:rsidR="0012148F" w:rsidRPr="00D3113D">
        <w:rPr>
          <w:lang w:val="el-GR"/>
        </w:rPr>
        <w:t>τονίζει ότι πρέπει να αναθεωρηθεί χωρίς καθυστέρηση λειτουργία και η διαδικασία λήψης αποφάσεων του Συμβουλίου ενόψει της διεύρυνσης· προτείνει να επανεξεταστεί το σύστημα των εκ περιτροπής προεδριών του Συμβουλίου της Ευρωπαϊκής Ένωσης· σημειώνει ότι ο υπολογισμός των κατώτατων ορίων της ψηφοφορίας με ειδική πλειοψηφία θα πρέπει επίσης να επανεξεταστεί, προκειμένου να βελτιωθεί η ισορροπία μεταξύ μεγαλύτερων και μικρότερων κρατών και να καθοριστούν υψηλότερα κατώτατα όρια για τις σημαντικότερες αποφάσεις· ζητεί να εξασφαλιστεί η μεγαλύτερη δυνατή διαφάνεια και ακεραιότητα της διαδικασίας λήψης αποφάσεων του Συμβουλίου ενόψει της διεύρυνσης·</w:t>
      </w:r>
    </w:p>
    <w:p w:rsidR="0012148F" w:rsidRPr="00FD2F78" w:rsidRDefault="00DE0B6A" w:rsidP="00DE0B6A">
      <w:pPr>
        <w:pStyle w:val="Normal12Hanging"/>
        <w:widowControl/>
        <w:ind w:left="570" w:hanging="570"/>
        <w:rPr>
          <w:sz w:val="22"/>
          <w:lang w:val="el-GR"/>
        </w:rPr>
      </w:pPr>
      <w:r w:rsidRPr="00FD2F78">
        <w:rPr>
          <w:sz w:val="22"/>
          <w:lang w:val="el-GR"/>
        </w:rPr>
        <w:t>38.</w:t>
      </w:r>
      <w:r w:rsidRPr="00FD2F78">
        <w:rPr>
          <w:sz w:val="22"/>
          <w:lang w:val="el-GR"/>
        </w:rPr>
        <w:tab/>
      </w:r>
      <w:r w:rsidR="0012148F" w:rsidRPr="00D3113D">
        <w:rPr>
          <w:lang w:val="el-GR"/>
        </w:rPr>
        <w:t>σημειώνει ότι η σύνθεση της Επιτροπής πρέπει να λαμβάνει υπόψη τη διεύρυνση και υπενθυμίζει, στο πλαίσιο αυτό, την ευελιξία που προβλέπεται στη Συνθήκ</w:t>
      </w:r>
      <w:r w:rsidR="0012148F" w:rsidRPr="00FD2F78">
        <w:rPr>
          <w:lang w:val="el-GR"/>
        </w:rPr>
        <w:t>η της Λισαβόνας· επισημαίνει ότι οποιαδήποτε επαναξιολόγηση της πρακτικής του διορισμού ενός Επιτρόπου ανά κράτος μέλος πρέπει να διασφαλίζει μια γεωγραφικά ισορροπημένη σύνθεση της Επιτροπής·</w:t>
      </w:r>
    </w:p>
    <w:p w:rsidR="0012148F" w:rsidRPr="00FD2F78" w:rsidRDefault="00DE0B6A" w:rsidP="00DE0B6A">
      <w:pPr>
        <w:pStyle w:val="NormalHanging12a"/>
        <w:widowControl/>
        <w:ind w:left="570" w:hanging="570"/>
      </w:pPr>
      <w:r w:rsidRPr="00FD2F78">
        <w:t>39.</w:t>
      </w:r>
      <w:r w:rsidRPr="00FD2F78">
        <w:tab/>
      </w:r>
      <w:r w:rsidR="0012148F" w:rsidRPr="00FD2F78">
        <w:t>επαναλαμβάνει την έκκλησή του για ενίσχυση των μέσων συμμετοχής των πολιτών στη διαδικασία λήψης αποφάσεων της ΕΕ·</w:t>
      </w:r>
    </w:p>
    <w:p w:rsidR="0012148F" w:rsidRPr="00FD2F78" w:rsidRDefault="00DE0B6A" w:rsidP="00DE0B6A">
      <w:pPr>
        <w:pStyle w:val="Normal12Hanging"/>
        <w:widowControl/>
        <w:ind w:left="570" w:hanging="570"/>
        <w:rPr>
          <w:lang w:val="el-GR"/>
        </w:rPr>
      </w:pPr>
      <w:r w:rsidRPr="00FD2F78">
        <w:rPr>
          <w:lang w:val="el-GR"/>
        </w:rPr>
        <w:lastRenderedPageBreak/>
        <w:t>40.</w:t>
      </w:r>
      <w:r w:rsidRPr="00FD2F78">
        <w:rPr>
          <w:lang w:val="el-GR"/>
        </w:rPr>
        <w:tab/>
      </w:r>
      <w:r w:rsidR="0012148F" w:rsidRPr="00FD2F78">
        <w:rPr>
          <w:lang w:val="el-GR"/>
        </w:rPr>
        <w:t xml:space="preserve">τονίζει ότι η διεύρυνση αποτελεί τόσο μείζονα οικονομική πρόκληση για την ΕΕ, ιδίως όσον αφορά τις πολιτικές συνοχής και γεωργίας, όσο και ευκαιρία για μεταρρύθμιση της ΕΕ· επισημαίνει ότι η πρόκληση αυτή απαιτεί ένα κατάλληλα, σχεδιασμένο και χρηματοδοτούμενο ΠΔΠ στο οποίο θα δοθεί η δέουσα προτεραιότητα και έναν αποτελεσματικότερο προϋπολογισμό που να επιτρέπει στην Ένωση να αναλάβει νέες δεσμεύσεις, συνεχίζοντας, παράλληλα, να εφαρμόζει τα υφιστάμενα προγράμματα και πολιτικές προτεραιότητες· τονίζει επίσης ότι, για την αντιμετώπιση της πρόκλησης της διεύρυνσης, απαιτούνται επίσης επαρκείς πρόσθετοι και γνήσιοι ίδιοι πόροι· σημειώνει ότι η διεύρυνση αυξάνει τις άλλες ολοένα και μεγαλύτερες απαιτήσεις για χρηματοδότηση της ΕΕ στους τομείς της χρηματοπιστωτικής σταθερότητας, της στρατηγικής αυτονομίας, της υγείας, της ενέργειας, της απανθρακοποίησης, της καθαρής ενεργειακής μετάβασης, της προστασίας του περιβάλλοντος, της ψηφιοποίησης, της έρευνας, της άμυνας και της ασφάλειας· υπογραμμίζει ότι αυτές οι οικονομικές μεταρρυθμίσεις πρέπει να εξετασθούν παράλληλα με τις εν εξελίξει ενταξιακές διαπραγματεύσεις και να εγκριθούν πριν από τη διεύρυνση· υπερασπίζεται τη θέση του ότι η τρέχουσα και η μελλοντική αρχιτεκτονική του ΠΔΠ θα πρέπει να αναδιαρθρωθούν και να ενισχυθούν σημαντικά ώστε να αυξηθεί η ανθεκτικότητα· υπογραμμίζει ότι πρέπει να ληφθεί υπόψη η προσχώρηση νέων μελών κατά την προετοιμασία του ΠΔΠ 2028-2034· </w:t>
      </w:r>
    </w:p>
    <w:p w:rsidR="0012148F" w:rsidRPr="00FD2F78" w:rsidRDefault="00DE0B6A" w:rsidP="00DE0B6A">
      <w:pPr>
        <w:pStyle w:val="NormalHanging12a"/>
        <w:widowControl/>
        <w:ind w:left="570" w:hanging="570"/>
      </w:pPr>
      <w:r w:rsidRPr="00FD2F78">
        <w:t>41.</w:t>
      </w:r>
      <w:r w:rsidRPr="00FD2F78">
        <w:tab/>
      </w:r>
      <w:r w:rsidR="0012148F" w:rsidRPr="00FD2F78">
        <w:t>καλεί την Επιτροπή και τις υποψήφιες χώρες να διασφαλίσουν τον ειδικό ρόλο που διαδραματίζουν οι ΜΜΕ ως βασικός πυλώνας για την ενίσχυση των βιομηχανικών πολιτικών και την ενδυνάμωση της ικανότητας των χωρών να επιτύχουν τη δίκαιη μετάβαση και να προσαρμοστούν στις τεχνολογικές προκλήσεις που ανακύπτουν στην πορεία προς μια συμπεριληπτική ψηφιακή μετάβαση·</w:t>
      </w:r>
    </w:p>
    <w:p w:rsidR="0012148F" w:rsidRPr="00FD2F78" w:rsidRDefault="00DE0B6A" w:rsidP="00DE0B6A">
      <w:pPr>
        <w:pStyle w:val="Normal12Hanging"/>
        <w:widowControl/>
        <w:ind w:left="570" w:hanging="570"/>
        <w:rPr>
          <w:lang w:val="el-GR"/>
        </w:rPr>
      </w:pPr>
      <w:r w:rsidRPr="00FD2F78">
        <w:rPr>
          <w:lang w:val="el-GR"/>
        </w:rPr>
        <w:t>42.</w:t>
      </w:r>
      <w:r w:rsidRPr="00FD2F78">
        <w:rPr>
          <w:lang w:val="el-GR"/>
        </w:rPr>
        <w:tab/>
      </w:r>
      <w:r w:rsidR="0012148F" w:rsidRPr="00FD2F78">
        <w:rPr>
          <w:lang w:val="el-GR"/>
        </w:rPr>
        <w:t>επαναλαμβάνει τις εκκλήσεις του προς το Συμβούλιο, την Επιτροπή και την ΕΥΕΔ να βελτιώσουν τη στρατηγική επικοινωνία και την προβολή τόσο των αμοιβαίων κοινωνικοοικονομικών οφελών όσο και των προκλήσεων της διεύρυνσης τόσο στις υπό ένταξη χώρες όσο και στα κράτη μέλη, μέσω μιας αποτελεσματικής στρατηγικής ενημερωτικής εκστρατείας καθ’ όλη τη διάρκεια της διαδικασίας διεύρυνσης, αποδεικνύοντας τα απτά αποτελέσματα της εν εξελίξει διαδικασίας προσχώρησης και κάθε γύρου διαπραγματεύσεων·</w:t>
      </w:r>
    </w:p>
    <w:p w:rsidR="0012148F" w:rsidRPr="00FD2F78" w:rsidRDefault="00DE0B6A" w:rsidP="00DE0B6A">
      <w:pPr>
        <w:pStyle w:val="Normal12Hanging"/>
        <w:widowControl/>
        <w:ind w:left="570" w:hanging="570"/>
        <w:rPr>
          <w:lang w:val="el-GR"/>
        </w:rPr>
      </w:pPr>
      <w:r w:rsidRPr="00FD2F78">
        <w:rPr>
          <w:lang w:val="el-GR"/>
        </w:rPr>
        <w:t>43.</w:t>
      </w:r>
      <w:r w:rsidRPr="00FD2F78">
        <w:rPr>
          <w:lang w:val="el-GR"/>
        </w:rPr>
        <w:tab/>
      </w:r>
      <w:r w:rsidR="0012148F" w:rsidRPr="00FD2F78">
        <w:rPr>
          <w:lang w:val="el-GR"/>
        </w:rPr>
        <w:t>επαναλαμβάνει τις εκκλήσεις του για εφαρμογή των συστάσεων της Ειδικής Επιτροπής για τις εξωτερικές παρεμβάσεις, συμπεριλαμβανομένης της παραπληροφόρησης, σε όλες τις δημοκρατικές διαδικασίες στην Ευρωπαϊκή Ένωση (INGE), ιδίως με την ενίσχυση των προσπαθειών για την αντιμετώπιση της παραπληροφόρησης και την πρόληψη ξένων κακόβουλων παρεμβάσεων και προσπαθειών υπονόμευσης της δημοκρατίας και εκτροχιασμού της ολοκλήρωσης της ΕΕ μέσω της υπονόμευσης της πολιτικής, οικονομικής και κοινωνικής σταθερότητας στις υποψήφιες χώρες·</w:t>
      </w:r>
    </w:p>
    <w:p w:rsidR="0012148F" w:rsidRPr="00FD2F78" w:rsidRDefault="00DE0B6A" w:rsidP="00DE0B6A">
      <w:pPr>
        <w:pStyle w:val="Normal12Hanging"/>
        <w:widowControl/>
        <w:ind w:left="570" w:hanging="570"/>
        <w:rPr>
          <w:bCs/>
          <w:iCs/>
          <w:lang w:val="el-GR"/>
        </w:rPr>
      </w:pPr>
      <w:r w:rsidRPr="00FD2F78">
        <w:rPr>
          <w:bCs/>
          <w:iCs/>
          <w:lang w:val="el-GR"/>
        </w:rPr>
        <w:t>44.</w:t>
      </w:r>
      <w:r w:rsidRPr="00FD2F78">
        <w:rPr>
          <w:bCs/>
          <w:iCs/>
          <w:lang w:val="el-GR"/>
        </w:rPr>
        <w:tab/>
      </w:r>
      <w:r w:rsidR="0012148F" w:rsidRPr="00FD2F78">
        <w:rPr>
          <w:lang w:val="el-GR"/>
        </w:rPr>
        <w:t xml:space="preserve">επισημαίνει ότι η ανασυγκρότηση και η μεταπολεμική ανάκαμψη της Ουκρανίας αποτελούν πολυδιάστατη πρόκληση που πρέπει να αντιμετωπιστεί στο ευρύτερο πλαίσιο μιας διεθνούς προσπάθειας· τονίζει ότι η χρηματοδότηση για την Ουκρανία πρέπει να προέρχεται από πολλαπλές διεθνείς πηγές, συμπεριλαμβανομένων των δεσμευμένων ρωσικών περιουσιακών στοιχείων· υπογραμμίζει ότι οι επενδύσεις αυτές θα συνοδεύονται από συναφείς χρηματοοικονομικούς κινδύνους και επιμένει ότι η διαδικασία αυτή πρέπει να παρακολουθείται στενά και να ενσωματωθεί σε ένα καλοσχεδιασμένο, εξατομικευμένο νομοθετικό πλαίσιο, το οποίο θα είναι ανθεκτικό </w:t>
      </w:r>
      <w:r w:rsidR="0012148F" w:rsidRPr="00FD2F78">
        <w:rPr>
          <w:lang w:val="el-GR"/>
        </w:rPr>
        <w:lastRenderedPageBreak/>
        <w:t>στη διαφθορά και την απάτη· ζητεί, στο πλαίσιο αυτό, την ταχεία έγκριση του κανονισμού για τη θέσπιση του μηχανισμού για την Ουκρανία·</w:t>
      </w:r>
    </w:p>
    <w:p w:rsidR="0012148F" w:rsidRPr="00FD2F78" w:rsidRDefault="00DE0B6A" w:rsidP="00DE0B6A">
      <w:pPr>
        <w:pStyle w:val="Normal12Hanging"/>
        <w:widowControl/>
        <w:ind w:left="570" w:hanging="570"/>
        <w:rPr>
          <w:szCs w:val="24"/>
          <w:lang w:val="el-GR"/>
        </w:rPr>
      </w:pPr>
      <w:r w:rsidRPr="00FD2F78">
        <w:rPr>
          <w:szCs w:val="24"/>
          <w:lang w:val="el-GR"/>
        </w:rPr>
        <w:t>45.</w:t>
      </w:r>
      <w:r w:rsidRPr="00FD2F78">
        <w:rPr>
          <w:szCs w:val="24"/>
          <w:lang w:val="el-GR"/>
        </w:rPr>
        <w:tab/>
      </w:r>
      <w:r w:rsidR="0012148F" w:rsidRPr="00FD2F78">
        <w:rPr>
          <w:lang w:val="el-GR"/>
        </w:rPr>
        <w:t>εκφράζει την ικανοποίησή του για το έργο της Επιτροπής όσον αφορά την πολιτική πριν από τη διεύρυνση και την επανεξέταση της χρηματοδότησης, και ζητεί τη διενέργεια ενδελεχούς εκτίμησης των επιπτώσεων της διεύρυνσης·</w:t>
      </w:r>
      <w:r w:rsidR="0012148F" w:rsidRPr="00FD2F78">
        <w:rPr>
          <w:b/>
          <w:i/>
          <w:lang w:val="el-GR"/>
        </w:rPr>
        <w:t xml:space="preserve"> </w:t>
      </w:r>
      <w:r w:rsidR="0012148F" w:rsidRPr="00FD2F78">
        <w:rPr>
          <w:lang w:val="el-GR"/>
        </w:rPr>
        <w:t>τάσσεται υπέρ της δημιουργίας αποτελεσματικού μηχανισμού επίλυσης συγκρούσεων και διαμεσολάβησης υποστηριζόμενου από την ΕΕ εκτός του πλαισίου της διεύρυνσης, ο οποίος θα αφορά ειδικά την ενθάρρυνση της συμφιλίωσης και την επίλυση των διμερών ζητημάτων στις υποψήφιες για ένταξη χώρες και θα συμβάλλει στην εξεύρεση και εφαρμογή οριστικών δεσμευτικών λύσεων για τις περιφερειακές και διμερείς διαφορές και για τα προβλήματα που κληροδότησε το παρελθόν·</w:t>
      </w:r>
    </w:p>
    <w:p w:rsidR="0012148F" w:rsidRPr="00FD2F78" w:rsidRDefault="00DE0B6A" w:rsidP="00DE0B6A">
      <w:pPr>
        <w:pStyle w:val="Normal12Hanging"/>
        <w:widowControl/>
        <w:ind w:left="570" w:hanging="570"/>
        <w:rPr>
          <w:lang w:val="el-GR"/>
        </w:rPr>
      </w:pPr>
      <w:r w:rsidRPr="00FD2F78">
        <w:rPr>
          <w:lang w:val="el-GR"/>
        </w:rPr>
        <w:t>46.</w:t>
      </w:r>
      <w:r w:rsidRPr="00FD2F78">
        <w:rPr>
          <w:lang w:val="el-GR"/>
        </w:rPr>
        <w:tab/>
      </w:r>
      <w:r w:rsidR="0012148F" w:rsidRPr="00FD2F78">
        <w:rPr>
          <w:lang w:val="el-GR"/>
        </w:rPr>
        <w:t>ζητεί να αξιοποιηθούν οι ευρωπαϊκές εκλογές του 2024 ως ευκαιρία για να συζητηθούν και να παρουσιαστούν η αναγκαιότητα και τα οφέλη της διαδικασίας εμβάθυνσης και διεύρυνσης της Ευρωπαϊκής Ένωσης· καθώς και οι αναγκαίες ευρωπαϊκές πολιτικές, θεσμικές και οικονομικές μεταρρυθμίσεις·</w:t>
      </w:r>
    </w:p>
    <w:p w:rsidR="0012148F" w:rsidRPr="00FD2F78" w:rsidRDefault="0012148F" w:rsidP="00D3113D">
      <w:pPr>
        <w:pStyle w:val="Normal12Hanging"/>
        <w:widowControl/>
        <w:ind w:left="0" w:firstLine="0"/>
        <w:jc w:val="center"/>
        <w:rPr>
          <w:rFonts w:eastAsiaTheme="minorHAnsi"/>
          <w:lang w:val="el-GR"/>
        </w:rPr>
      </w:pPr>
      <w:r w:rsidRPr="00FD2F78">
        <w:rPr>
          <w:lang w:val="el-GR"/>
        </w:rPr>
        <w:t>°</w:t>
      </w:r>
    </w:p>
    <w:p w:rsidR="0012148F" w:rsidRPr="00FD2F78" w:rsidRDefault="0012148F" w:rsidP="00D3113D">
      <w:pPr>
        <w:pStyle w:val="Normal12Hanging"/>
        <w:widowControl/>
        <w:ind w:left="0" w:firstLine="0"/>
        <w:jc w:val="center"/>
        <w:rPr>
          <w:rFonts w:eastAsiaTheme="minorHAnsi"/>
          <w:lang w:val="el-GR"/>
        </w:rPr>
      </w:pPr>
      <w:r w:rsidRPr="00FD2F78">
        <w:rPr>
          <w:lang w:val="el-GR"/>
        </w:rPr>
        <w:t>°</w:t>
      </w:r>
      <w:r w:rsidRPr="00FD2F78">
        <w:rPr>
          <w:lang w:val="el-GR"/>
        </w:rPr>
        <w:tab/>
        <w:t>°</w:t>
      </w:r>
    </w:p>
    <w:p w:rsidR="0012148F" w:rsidRDefault="00DE0B6A" w:rsidP="00DE0B6A">
      <w:pPr>
        <w:pStyle w:val="Normal12Hanging"/>
        <w:widowControl/>
        <w:ind w:left="570" w:hanging="570"/>
        <w:rPr>
          <w:lang w:val="el-GR"/>
        </w:rPr>
      </w:pPr>
      <w:r>
        <w:rPr>
          <w:lang w:val="el-GR"/>
        </w:rPr>
        <w:t>47.</w:t>
      </w:r>
      <w:r>
        <w:rPr>
          <w:lang w:val="el-GR"/>
        </w:rPr>
        <w:tab/>
      </w:r>
      <w:r w:rsidR="0012148F" w:rsidRPr="00FD2F78">
        <w:rPr>
          <w:lang w:val="el-GR"/>
        </w:rPr>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Ασφάλειας, στις κυβερνήσεις και τα κοινοβούλια των κρατών μελών, καθώς και στις κυβερνήσεις και τα κοινοβούλια των υποψήφιων για ένταξη χωρών.</w:t>
      </w:r>
    </w:p>
    <w:p w:rsidR="00D3113D" w:rsidRPr="00FD2F78" w:rsidRDefault="00D3113D" w:rsidP="00D3113D">
      <w:pPr>
        <w:pStyle w:val="Normal12Hanging"/>
        <w:widowControl/>
        <w:rPr>
          <w:rFonts w:eastAsiaTheme="minorHAnsi"/>
          <w:lang w:val="el-GR"/>
        </w:rPr>
      </w:pPr>
    </w:p>
    <w:sectPr w:rsidR="00D3113D" w:rsidRPr="00FD2F78" w:rsidSect="00FD2F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684" w:rsidRPr="00FD2F78" w:rsidRDefault="00A95684">
      <w:r w:rsidRPr="00FD2F78">
        <w:separator/>
      </w:r>
    </w:p>
  </w:endnote>
  <w:endnote w:type="continuationSeparator" w:id="0">
    <w:p w:rsidR="00A95684" w:rsidRPr="00FD2F78" w:rsidRDefault="00A95684">
      <w:r w:rsidRPr="00FD2F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F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F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F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684" w:rsidRPr="00FD2F78" w:rsidRDefault="00A95684">
      <w:r w:rsidRPr="00FD2F78">
        <w:separator/>
      </w:r>
    </w:p>
  </w:footnote>
  <w:footnote w:type="continuationSeparator" w:id="0">
    <w:p w:rsidR="00A95684" w:rsidRPr="00FD2F78" w:rsidRDefault="00A95684">
      <w:r w:rsidRPr="00FD2F78">
        <w:continuationSeparator/>
      </w:r>
    </w:p>
  </w:footnote>
  <w:footnote w:id="1">
    <w:p w:rsidR="0012148F" w:rsidRPr="00D3113D" w:rsidRDefault="0012148F" w:rsidP="00D3113D">
      <w:pPr>
        <w:pStyle w:val="FootnoteText"/>
        <w:spacing w:line="240" w:lineRule="auto"/>
        <w:ind w:left="567" w:hanging="567"/>
        <w:rPr>
          <w:sz w:val="24"/>
          <w:lang w:val="el-GR"/>
        </w:rPr>
      </w:pPr>
      <w:r w:rsidRPr="00FD2F78">
        <w:rPr>
          <w:rStyle w:val="FootnoteReference"/>
          <w:sz w:val="24"/>
          <w:lang w:val="el-GR"/>
        </w:rPr>
        <w:footnoteRef/>
      </w:r>
      <w:r w:rsidR="00FD2F78" w:rsidRPr="00FD2F78">
        <w:rPr>
          <w:rStyle w:val="Emphasis"/>
          <w:sz w:val="24"/>
          <w:lang w:val="el-GR"/>
        </w:rPr>
        <w:t xml:space="preserve"> </w:t>
      </w:r>
      <w:r w:rsidR="00FD2F78" w:rsidRPr="00FD2F78">
        <w:rPr>
          <w:rStyle w:val="Emphasis"/>
          <w:sz w:val="24"/>
          <w:lang w:val="el-GR"/>
        </w:rPr>
        <w:tab/>
      </w:r>
      <w:r w:rsidRPr="00D3113D">
        <w:rPr>
          <w:rStyle w:val="Emphasis"/>
          <w:i w:val="0"/>
          <w:sz w:val="24"/>
          <w:lang w:val="el-GR"/>
        </w:rPr>
        <w:t>Κείμενα που εγκρίθηκαν, P9_TA(2023)0471.</w:t>
      </w:r>
    </w:p>
  </w:footnote>
  <w:footnote w:id="2">
    <w:p w:rsidR="0012148F" w:rsidRPr="00D3113D" w:rsidRDefault="0012148F" w:rsidP="00D3113D">
      <w:pPr>
        <w:pStyle w:val="FootnoteText"/>
        <w:spacing w:line="240" w:lineRule="auto"/>
        <w:ind w:left="567" w:hanging="567"/>
        <w:rPr>
          <w:sz w:val="24"/>
          <w:lang w:val="el-GR"/>
        </w:rPr>
      </w:pPr>
      <w:r w:rsidRPr="00D3113D">
        <w:rPr>
          <w:rStyle w:val="FootnoteReference"/>
          <w:rFonts w:eastAsiaTheme="majorEastAsia"/>
          <w:sz w:val="24"/>
          <w:lang w:val="el-GR"/>
        </w:rPr>
        <w:footnoteRef/>
      </w:r>
      <w:r w:rsidR="00FD2F78" w:rsidRPr="00D3113D">
        <w:rPr>
          <w:rStyle w:val="Emphasis"/>
          <w:i w:val="0"/>
          <w:sz w:val="24"/>
          <w:lang w:val="el-GR"/>
        </w:rPr>
        <w:t xml:space="preserve"> </w:t>
      </w:r>
      <w:r w:rsidR="00FD2F78" w:rsidRPr="00D3113D">
        <w:rPr>
          <w:rStyle w:val="Emphasis"/>
          <w:i w:val="0"/>
          <w:sz w:val="24"/>
          <w:lang w:val="el-GR"/>
        </w:rPr>
        <w:tab/>
      </w:r>
      <w:r w:rsidRPr="00D3113D">
        <w:rPr>
          <w:rStyle w:val="Emphasis"/>
          <w:i w:val="0"/>
          <w:sz w:val="24"/>
          <w:lang w:val="el-GR"/>
        </w:rPr>
        <w:t>ΕΕ C 167 της 11.5.2023, σ. 105.</w:t>
      </w:r>
    </w:p>
  </w:footnote>
  <w:footnote w:id="3">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202 της 28.5.2021, σ. 86.</w:t>
      </w:r>
    </w:p>
  </w:footnote>
  <w:footnote w:id="4">
    <w:p w:rsidR="0012148F" w:rsidRPr="00DE0B6A" w:rsidRDefault="0012148F" w:rsidP="00D3113D">
      <w:pPr>
        <w:pStyle w:val="FootnoteText"/>
        <w:spacing w:line="240" w:lineRule="auto"/>
        <w:ind w:left="567" w:hanging="567"/>
        <w:rPr>
          <w:bCs/>
          <w:iCs/>
          <w:sz w:val="24"/>
          <w:szCs w:val="24"/>
          <w:lang w:val="fi-FI"/>
        </w:rPr>
      </w:pPr>
      <w:r w:rsidRPr="00FD2F78">
        <w:rPr>
          <w:bCs/>
          <w:iCs/>
          <w:sz w:val="24"/>
          <w:szCs w:val="24"/>
          <w:vertAlign w:val="superscript"/>
          <w:lang w:val="el-GR"/>
        </w:rPr>
        <w:footnoteRef/>
      </w:r>
      <w:r w:rsidR="00FD2F78" w:rsidRPr="00DE0B6A">
        <w:rPr>
          <w:sz w:val="24"/>
          <w:lang w:val="fi-FI"/>
        </w:rPr>
        <w:t xml:space="preserve"> </w:t>
      </w:r>
      <w:r w:rsidR="00FD2F78" w:rsidRPr="00DE0B6A">
        <w:rPr>
          <w:sz w:val="24"/>
          <w:lang w:val="fi-FI"/>
        </w:rPr>
        <w:tab/>
      </w:r>
      <w:r w:rsidRPr="00FD2F78">
        <w:rPr>
          <w:sz w:val="24"/>
          <w:lang w:val="el-GR"/>
        </w:rPr>
        <w:t>ΕΕ</w:t>
      </w:r>
      <w:r w:rsidRPr="00DE0B6A">
        <w:rPr>
          <w:sz w:val="24"/>
          <w:lang w:val="fi-FI"/>
        </w:rPr>
        <w:t xml:space="preserve"> C, C/2023/1066, 15.12.2023, </w:t>
      </w:r>
      <w:hyperlink r:id="rId1" w:history="1">
        <w:r w:rsidRPr="00DE0B6A">
          <w:rPr>
            <w:rStyle w:val="Hyperlink"/>
            <w:sz w:val="24"/>
            <w:lang w:val="fi-FI"/>
          </w:rPr>
          <w:t>ELI: http://data.europa.eu/eli/C/2023/1066/oj</w:t>
        </w:r>
      </w:hyperlink>
      <w:r w:rsidRPr="00DE0B6A">
        <w:rPr>
          <w:sz w:val="24"/>
          <w:lang w:val="fi-FI"/>
        </w:rPr>
        <w:t>.</w:t>
      </w:r>
    </w:p>
  </w:footnote>
  <w:footnote w:id="5">
    <w:p w:rsidR="0012148F" w:rsidRPr="00DE0B6A" w:rsidRDefault="0012148F" w:rsidP="00D3113D">
      <w:pPr>
        <w:pStyle w:val="FootnoteText"/>
        <w:spacing w:line="240" w:lineRule="auto"/>
        <w:ind w:left="567" w:hanging="567"/>
        <w:rPr>
          <w:bCs/>
          <w:iCs/>
          <w:sz w:val="24"/>
          <w:szCs w:val="24"/>
          <w:lang w:val="fi-FI"/>
        </w:rPr>
      </w:pPr>
      <w:r w:rsidRPr="00FD2F78">
        <w:rPr>
          <w:bCs/>
          <w:iCs/>
          <w:sz w:val="24"/>
          <w:szCs w:val="24"/>
          <w:vertAlign w:val="superscript"/>
          <w:lang w:val="el-GR"/>
        </w:rPr>
        <w:footnoteRef/>
      </w:r>
      <w:r w:rsidR="00FD2F78" w:rsidRPr="00DE0B6A">
        <w:rPr>
          <w:sz w:val="24"/>
          <w:lang w:val="fi-FI"/>
        </w:rPr>
        <w:t xml:space="preserve"> </w:t>
      </w:r>
      <w:r w:rsidR="00FD2F78" w:rsidRPr="00DE0B6A">
        <w:rPr>
          <w:sz w:val="24"/>
          <w:lang w:val="fi-FI"/>
        </w:rPr>
        <w:tab/>
      </w:r>
      <w:r w:rsidRPr="00FD2F78">
        <w:rPr>
          <w:sz w:val="24"/>
          <w:lang w:val="el-GR"/>
        </w:rPr>
        <w:t>ΕΕ</w:t>
      </w:r>
      <w:r w:rsidRPr="00DE0B6A">
        <w:rPr>
          <w:sz w:val="24"/>
          <w:lang w:val="fi-FI"/>
        </w:rPr>
        <w:t xml:space="preserve"> C, C/2023/1065, 15.12.2023, </w:t>
      </w:r>
      <w:hyperlink r:id="rId2" w:history="1">
        <w:r w:rsidRPr="00DE0B6A">
          <w:rPr>
            <w:rStyle w:val="Hyperlink"/>
            <w:sz w:val="24"/>
            <w:lang w:val="fi-FI"/>
          </w:rPr>
          <w:t>ELI: http://data.europa.eu/eli/C/2023/1065/oj</w:t>
        </w:r>
      </w:hyperlink>
      <w:r w:rsidRPr="00DE0B6A">
        <w:rPr>
          <w:sz w:val="24"/>
          <w:lang w:val="fi-FI"/>
        </w:rPr>
        <w:t>.</w:t>
      </w:r>
    </w:p>
  </w:footnote>
  <w:footnote w:id="6">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Κείμενα που εγκρίθηκαν, P9_TA(2023)0285.</w:t>
      </w:r>
    </w:p>
  </w:footnote>
  <w:footnote w:id="7">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Κείμενα που εγκρίθηκαν, P9_TA(2023)0284.</w:t>
      </w:r>
    </w:p>
  </w:footnote>
  <w:footnote w:id="8">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479 της 16.12.2022, σ. 33.</w:t>
      </w:r>
    </w:p>
  </w:footnote>
  <w:footnote w:id="9">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32 της 27.1.2023, σ. 63.</w:t>
      </w:r>
    </w:p>
  </w:footnote>
  <w:footnote w:id="10">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362 της 8.9.2021, σ. 129.</w:t>
      </w:r>
    </w:p>
  </w:footnote>
  <w:footnote w:id="11">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107 της 28.4.2009, σ. 166.</w:t>
      </w:r>
    </w:p>
  </w:footnote>
  <w:footnote w:id="12">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164 της 30.6.2015, σ. 2.</w:t>
      </w:r>
    </w:p>
  </w:footnote>
  <w:footnote w:id="13">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261 της 30.8.2014, σ. 4.</w:t>
      </w:r>
    </w:p>
  </w:footnote>
  <w:footnote w:id="14">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260 της 30.8.2014, σ. 4.</w:t>
      </w:r>
    </w:p>
  </w:footnote>
  <w:footnote w:id="15">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84 της 20.3.2004, σ. 13.</w:t>
      </w:r>
    </w:p>
  </w:footnote>
  <w:footnote w:id="16">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361</w:t>
      </w:r>
      <w:r w:rsidR="001E748E">
        <w:rPr>
          <w:sz w:val="24"/>
          <w:lang w:val="el-GR"/>
        </w:rPr>
        <w:t xml:space="preserve"> της</w:t>
      </w:r>
      <w:r w:rsidRPr="00FD2F78">
        <w:rPr>
          <w:sz w:val="24"/>
          <w:lang w:val="el-GR"/>
        </w:rPr>
        <w:t xml:space="preserve"> 31.12.</w:t>
      </w:r>
      <w:r w:rsidR="001E748E">
        <w:rPr>
          <w:sz w:val="24"/>
          <w:lang w:val="el-GR"/>
        </w:rPr>
        <w:t>19</w:t>
      </w:r>
      <w:r w:rsidR="00DC43EA">
        <w:rPr>
          <w:sz w:val="24"/>
          <w:lang w:val="sk-SK"/>
        </w:rPr>
        <w:t>7</w:t>
      </w:r>
      <w:bookmarkStart w:id="8" w:name="_GoBack"/>
      <w:bookmarkEnd w:id="8"/>
      <w:r w:rsidRPr="00FD2F78">
        <w:rPr>
          <w:sz w:val="24"/>
          <w:lang w:val="el-GR"/>
        </w:rPr>
        <w:t>7</w:t>
      </w:r>
      <w:r w:rsidR="00F621F1">
        <w:rPr>
          <w:sz w:val="24"/>
          <w:lang w:val="fr-BE"/>
        </w:rPr>
        <w:t>,</w:t>
      </w:r>
      <w:r w:rsidRPr="00FD2F78">
        <w:rPr>
          <w:sz w:val="24"/>
          <w:lang w:val="el-GR"/>
        </w:rPr>
        <w:t xml:space="preserve"> σ. 29.</w:t>
      </w:r>
    </w:p>
  </w:footnote>
  <w:footnote w:id="17">
    <w:p w:rsidR="0012148F" w:rsidRPr="00FD2F78" w:rsidRDefault="0012148F" w:rsidP="00D3113D">
      <w:pPr>
        <w:pStyle w:val="FootnoteText"/>
        <w:spacing w:line="240" w:lineRule="auto"/>
        <w:ind w:left="567" w:hanging="567"/>
        <w:rPr>
          <w:sz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161 της 29.5.2014, σ. 3.</w:t>
      </w:r>
    </w:p>
  </w:footnote>
  <w:footnote w:id="18">
    <w:p w:rsidR="0012148F" w:rsidRPr="00FD2F78" w:rsidRDefault="0012148F" w:rsidP="00D3113D">
      <w:pPr>
        <w:pStyle w:val="FootnoteText"/>
        <w:spacing w:line="240" w:lineRule="auto"/>
        <w:ind w:left="567" w:hanging="567"/>
        <w:rPr>
          <w:bCs/>
          <w:iCs/>
          <w:sz w:val="24"/>
          <w:szCs w:val="24"/>
          <w:lang w:val="el-GR"/>
        </w:rPr>
      </w:pPr>
      <w:r w:rsidRPr="00FD2F78">
        <w:rPr>
          <w:rStyle w:val="FootnoteReference"/>
          <w:sz w:val="24"/>
          <w:lang w:val="el-GR"/>
        </w:rPr>
        <w:footnoteRef/>
      </w:r>
      <w:r w:rsidR="00FD2F78" w:rsidRPr="00FD2F78">
        <w:rPr>
          <w:sz w:val="24"/>
          <w:lang w:val="el-GR"/>
        </w:rPr>
        <w:t xml:space="preserve"> </w:t>
      </w:r>
      <w:r w:rsidR="00FD2F78" w:rsidRPr="00FD2F78">
        <w:rPr>
          <w:sz w:val="24"/>
          <w:lang w:val="el-GR"/>
        </w:rPr>
        <w:tab/>
      </w:r>
      <w:r w:rsidRPr="00FD2F78">
        <w:rPr>
          <w:sz w:val="24"/>
          <w:lang w:val="el-GR"/>
        </w:rPr>
        <w:t>Κείμενα που εγκρίθηκαν, P9_TA(2023)0357.</w:t>
      </w:r>
    </w:p>
  </w:footnote>
  <w:footnote w:id="19">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L 330 της 20.9.2021, σ. 1.</w:t>
      </w:r>
    </w:p>
  </w:footnote>
  <w:footnote w:id="20">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REX/401-EESC-2014- 1609.</w:t>
      </w:r>
    </w:p>
  </w:footnote>
  <w:footnote w:id="21">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252 της 18.7.2018, σ. 215.</w:t>
      </w:r>
    </w:p>
  </w:footnote>
  <w:footnote w:id="22">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Κείμενα που εγκρίθηκαν, P9_TA(2023)0269.</w:t>
      </w:r>
    </w:p>
  </w:footnote>
  <w:footnote w:id="23">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465 της 6.12.2022, σ. 109.</w:t>
      </w:r>
    </w:p>
  </w:footnote>
  <w:footnote w:id="24">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ΕΕ C 493 της 27.12.2022, σ. 130.</w:t>
      </w:r>
    </w:p>
  </w:footnote>
  <w:footnote w:id="25">
    <w:p w:rsidR="0012148F" w:rsidRPr="00FD2F78" w:rsidRDefault="0012148F" w:rsidP="00D3113D">
      <w:pPr>
        <w:pStyle w:val="FootnoteText"/>
        <w:spacing w:line="240" w:lineRule="auto"/>
        <w:ind w:left="567" w:hanging="567"/>
        <w:rPr>
          <w:bCs/>
          <w:iCs/>
          <w:sz w:val="24"/>
          <w:szCs w:val="24"/>
          <w:lang w:val="el-GR"/>
        </w:rPr>
      </w:pPr>
      <w:r w:rsidRPr="00FD2F78">
        <w:rPr>
          <w:bCs/>
          <w:iCs/>
          <w:sz w:val="24"/>
          <w:szCs w:val="24"/>
          <w:vertAlign w:val="superscript"/>
          <w:lang w:val="el-GR"/>
        </w:rPr>
        <w:footnoteRef/>
      </w:r>
      <w:r w:rsidR="00FD2F78" w:rsidRPr="00FD2F78">
        <w:rPr>
          <w:sz w:val="24"/>
          <w:lang w:val="el-GR"/>
        </w:rPr>
        <w:t xml:space="preserve"> </w:t>
      </w:r>
      <w:r w:rsidR="00FD2F78" w:rsidRPr="00FD2F78">
        <w:rPr>
          <w:sz w:val="24"/>
          <w:lang w:val="el-GR"/>
        </w:rPr>
        <w:tab/>
      </w:r>
      <w:r w:rsidRPr="00FD2F78">
        <w:rPr>
          <w:sz w:val="24"/>
          <w:lang w:val="el-GR"/>
        </w:rPr>
        <w:t>Κείμενα που εγκρίθηκαν,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F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F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2F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F83AED"/>
    <w:multiLevelType w:val="hybridMultilevel"/>
    <w:tmpl w:val="4D8200D4"/>
    <w:lvl w:ilvl="0" w:tplc="6AC2FA6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507752"/>
    <w:multiLevelType w:val="hybridMultilevel"/>
    <w:tmpl w:val="AD983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EL"/>
    <w:docVar w:name="dvnumam" w:val="0"/>
    <w:docVar w:name="dvpe" w:val="752.948"/>
    <w:docVar w:name="dvrapporteur" w:val="Εισηγητές: "/>
    <w:docVar w:name="dvtitre" w:val="Ψήφισμα του Ευρωπαϊκού Κοινοβουλίου σχετικά με την εμβάθυνση της ολοκλήρωσης της ΕΕ ενόψει της μελλοντικής διεύρυνσης(2023/2114(INI))"/>
  </w:docVars>
  <w:rsids>
    <w:rsidRoot w:val="00A95684"/>
    <w:rsid w:val="00002272"/>
    <w:rsid w:val="00064002"/>
    <w:rsid w:val="000677B9"/>
    <w:rsid w:val="000831BA"/>
    <w:rsid w:val="000A42CC"/>
    <w:rsid w:val="000E7DD9"/>
    <w:rsid w:val="0010095E"/>
    <w:rsid w:val="0012148F"/>
    <w:rsid w:val="00125B37"/>
    <w:rsid w:val="00187494"/>
    <w:rsid w:val="001E748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F7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470"/>
    <w:rsid w:val="00A1687D"/>
    <w:rsid w:val="00A43E52"/>
    <w:rsid w:val="00A4678D"/>
    <w:rsid w:val="00A778C7"/>
    <w:rsid w:val="00A9568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13D"/>
    <w:rsid w:val="00D56C11"/>
    <w:rsid w:val="00D834A0"/>
    <w:rsid w:val="00D872DF"/>
    <w:rsid w:val="00D91E21"/>
    <w:rsid w:val="00DA7FCD"/>
    <w:rsid w:val="00DC43EA"/>
    <w:rsid w:val="00DE0B6A"/>
    <w:rsid w:val="00E365E1"/>
    <w:rsid w:val="00E820A4"/>
    <w:rsid w:val="00E92BA8"/>
    <w:rsid w:val="00EB006A"/>
    <w:rsid w:val="00EB4772"/>
    <w:rsid w:val="00ED169E"/>
    <w:rsid w:val="00ED4235"/>
    <w:rsid w:val="00F04346"/>
    <w:rsid w:val="00F075DC"/>
    <w:rsid w:val="00F149E9"/>
    <w:rsid w:val="00F5134D"/>
    <w:rsid w:val="00F621F1"/>
    <w:rsid w:val="00F74202"/>
    <w:rsid w:val="00F87713"/>
    <w:rsid w:val="00FB4360"/>
    <w:rsid w:val="00FD0C70"/>
    <w:rsid w:val="00FD2F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3D757"/>
  <w15:chartTrackingRefBased/>
  <w15:docId w15:val="{56DC64FB-E920-4A08-A0C5-5C5BC8ED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2148F"/>
    <w:pPr>
      <w:keepNext/>
      <w:spacing w:after="480"/>
      <w:jc w:val="center"/>
    </w:pPr>
    <w:rPr>
      <w:rFonts w:ascii="Arial" w:hAnsi="Arial" w:cs="Arial"/>
      <w:b/>
    </w:rPr>
  </w:style>
  <w:style w:type="paragraph" w:customStyle="1" w:styleId="NormalBold">
    <w:name w:val="NormalBold"/>
    <w:basedOn w:val="Normal"/>
    <w:link w:val="NormalBoldChar"/>
    <w:rsid w:val="0012148F"/>
    <w:rPr>
      <w:b/>
    </w:rPr>
  </w:style>
  <w:style w:type="paragraph" w:customStyle="1" w:styleId="NormalHanging12a">
    <w:name w:val="NormalHanging12a"/>
    <w:basedOn w:val="Normal"/>
    <w:link w:val="NormalHanging12aChar"/>
    <w:rsid w:val="0012148F"/>
    <w:pPr>
      <w:spacing w:after="240"/>
      <w:ind w:left="567" w:hanging="567"/>
    </w:pPr>
  </w:style>
  <w:style w:type="paragraph" w:customStyle="1" w:styleId="EPComma">
    <w:name w:val="EPComma"/>
    <w:basedOn w:val="Normal"/>
    <w:rsid w:val="0012148F"/>
    <w:pPr>
      <w:spacing w:before="480" w:after="240"/>
    </w:pPr>
    <w:rPr>
      <w:i/>
    </w:rPr>
  </w:style>
  <w:style w:type="character" w:customStyle="1" w:styleId="Normal12HangingChar">
    <w:name w:val="Normal12Hanging Char"/>
    <w:link w:val="Normal12Hanging"/>
    <w:locked/>
    <w:rsid w:val="0012148F"/>
    <w:rPr>
      <w:sz w:val="24"/>
    </w:rPr>
  </w:style>
  <w:style w:type="paragraph" w:customStyle="1" w:styleId="Normal12Hanging">
    <w:name w:val="Normal12Hanging"/>
    <w:basedOn w:val="Normal"/>
    <w:link w:val="Normal12HangingChar"/>
    <w:rsid w:val="0012148F"/>
    <w:pPr>
      <w:spacing w:after="240"/>
      <w:ind w:left="567" w:hanging="567"/>
    </w:pPr>
    <w:rPr>
      <w:lang w:val="en-GB"/>
    </w:rPr>
  </w:style>
  <w:style w:type="character" w:styleId="Emphasis">
    <w:name w:val="Emphasis"/>
    <w:basedOn w:val="DefaultParagraphFont"/>
    <w:uiPriority w:val="20"/>
    <w:qFormat/>
    <w:rsid w:val="0012148F"/>
    <w:rPr>
      <w:i/>
      <w:iCs/>
    </w:rPr>
  </w:style>
  <w:style w:type="character" w:customStyle="1" w:styleId="NormalHanging12aChar">
    <w:name w:val="NormalHanging12a Char"/>
    <w:basedOn w:val="DefaultParagraphFont"/>
    <w:link w:val="NormalHanging12a"/>
    <w:locked/>
    <w:rsid w:val="0012148F"/>
    <w:rPr>
      <w:sz w:val="24"/>
      <w:lang w:val="el-GR"/>
    </w:rPr>
  </w:style>
  <w:style w:type="character" w:customStyle="1" w:styleId="NormalBoldChar">
    <w:name w:val="NormalBold Char"/>
    <w:link w:val="NormalBold"/>
    <w:rsid w:val="0012148F"/>
    <w:rPr>
      <w:b/>
      <w:sz w:val="24"/>
      <w:lang w:val="el-GR"/>
    </w:rPr>
  </w:style>
  <w:style w:type="paragraph" w:customStyle="1" w:styleId="Avistitre">
    <w:name w:val="Avis titre"/>
    <w:basedOn w:val="Normal"/>
    <w:rsid w:val="0012148F"/>
    <w:pPr>
      <w:keepNext/>
      <w:snapToGrid w:val="0"/>
      <w:spacing w:after="240"/>
      <w:jc w:val="center"/>
    </w:pPr>
    <w:rPr>
      <w:rFonts w:ascii="Arial" w:hAnsi="Arial"/>
      <w:b/>
      <w:lang w:eastAsia="en-US"/>
    </w:rPr>
  </w:style>
  <w:style w:type="paragraph" w:styleId="BalloonText">
    <w:name w:val="Balloon Text"/>
    <w:basedOn w:val="Normal"/>
    <w:link w:val="BalloonTextChar"/>
    <w:rsid w:val="00D3113D"/>
    <w:rPr>
      <w:rFonts w:ascii="Segoe UI" w:hAnsi="Segoe UI" w:cs="Segoe UI"/>
      <w:sz w:val="18"/>
      <w:szCs w:val="18"/>
    </w:rPr>
  </w:style>
  <w:style w:type="character" w:customStyle="1" w:styleId="BalloonTextChar">
    <w:name w:val="Balloon Text Char"/>
    <w:basedOn w:val="DefaultParagraphFont"/>
    <w:link w:val="BalloonText"/>
    <w:rsid w:val="00D3113D"/>
    <w:rPr>
      <w:rFonts w:ascii="Segoe UI" w:hAnsi="Segoe UI" w:cs="Segoe UI"/>
      <w:sz w:val="18"/>
      <w:szCs w:val="18"/>
      <w:lang w:val="el-GR"/>
    </w:rPr>
  </w:style>
  <w:style w:type="character" w:styleId="Hyperlink">
    <w:name w:val="Hyperlink"/>
    <w:basedOn w:val="DefaultParagraphFont"/>
    <w:rsid w:val="00D311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ELI:%20http://data.europa.eu/eli/C/2023/1065/oj" TargetMode="External"/><Relationship Id="rId1" Type="http://schemas.openxmlformats.org/officeDocument/2006/relationships/hyperlink" Target="ELI:%20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EF118-F82C-4240-8CA6-D34A299D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7045</Words>
  <Characters>42196</Characters>
  <Application>Microsoft Office Word</Application>
  <DocSecurity>4</DocSecurity>
  <Lines>351</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SOLTYSOVA Zuzana</cp:lastModifiedBy>
  <cp:revision>2</cp:revision>
  <cp:lastPrinted>2004-11-19T15:42:00Z</cp:lastPrinted>
  <dcterms:created xsi:type="dcterms:W3CDTF">2024-07-03T10:01:00Z</dcterms:created>
  <dcterms:modified xsi:type="dcterms:W3CDTF">2024-07-03T10:01:00Z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A9-0015/2024</vt:lpwstr>
  </property>
  <property fmtid="{D5CDD505-2E9C-101B-9397-08002B2CF9AE}" pid="4" name="&lt;Type&gt;">
    <vt:lpwstr>RR</vt:lpwstr>
  </property>
</Properties>
</file>