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7396" w:rsidTr="0010095E">
        <w:trPr>
          <w:trHeight w:hRule="exact" w:val="1418"/>
        </w:trPr>
        <w:tc>
          <w:tcPr>
            <w:tcW w:w="6804" w:type="dxa"/>
            <w:shd w:val="clear" w:color="auto" w:fill="auto"/>
            <w:vAlign w:val="center"/>
          </w:tcPr>
          <w:p w:rsidR="00751A4A" w:rsidRPr="00B47396" w:rsidRDefault="006E2E00" w:rsidP="0010095E">
            <w:pPr>
              <w:pStyle w:val="EPName"/>
            </w:pPr>
            <w:r w:rsidRPr="00B47396">
              <w:t>Eiropas Parlaments</w:t>
            </w:r>
          </w:p>
          <w:p w:rsidR="00751A4A" w:rsidRPr="00B47396" w:rsidRDefault="00817416" w:rsidP="00756632">
            <w:pPr>
              <w:pStyle w:val="EPTerm"/>
              <w:rPr>
                <w:rStyle w:val="HideTWBExt"/>
                <w:noProof w:val="0"/>
                <w:vanish w:val="0"/>
                <w:color w:val="auto"/>
              </w:rPr>
            </w:pPr>
            <w:r w:rsidRPr="00B47396">
              <w:t>2019-2024</w:t>
            </w:r>
          </w:p>
        </w:tc>
        <w:tc>
          <w:tcPr>
            <w:tcW w:w="2268" w:type="dxa"/>
            <w:shd w:val="clear" w:color="auto" w:fill="auto"/>
          </w:tcPr>
          <w:p w:rsidR="00751A4A" w:rsidRPr="00B47396" w:rsidRDefault="00187494" w:rsidP="0010095E">
            <w:pPr>
              <w:pStyle w:val="EPLogo"/>
            </w:pPr>
            <w:r w:rsidRPr="00B47396">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47396" w:rsidRDefault="00D058B8" w:rsidP="004C5D52">
      <w:pPr>
        <w:pStyle w:val="LineTop"/>
      </w:pPr>
    </w:p>
    <w:p w:rsidR="00680577" w:rsidRPr="00B47396" w:rsidRDefault="006E2E00" w:rsidP="00680577">
      <w:pPr>
        <w:pStyle w:val="EPBodyTA1"/>
      </w:pPr>
      <w:r w:rsidRPr="00B47396">
        <w:t>PIEŅEMTIE TEKSTI</w:t>
      </w:r>
    </w:p>
    <w:p w:rsidR="00D058B8" w:rsidRPr="00B47396" w:rsidRDefault="00D058B8" w:rsidP="00D058B8">
      <w:pPr>
        <w:pStyle w:val="LineBottom"/>
      </w:pPr>
    </w:p>
    <w:p w:rsidR="006E2E00" w:rsidRPr="00B47396" w:rsidRDefault="006E2E00" w:rsidP="006E2E00">
      <w:pPr>
        <w:pStyle w:val="ATHeading1"/>
      </w:pPr>
      <w:bookmarkStart w:id="0" w:name="TANumber"/>
      <w:r w:rsidRPr="00B47396">
        <w:t>P9_TA(2024)0</w:t>
      </w:r>
      <w:r w:rsidR="00B47396" w:rsidRPr="00B47396">
        <w:t>12</w:t>
      </w:r>
      <w:r w:rsidRPr="00B47396">
        <w:t>0</w:t>
      </w:r>
      <w:bookmarkEnd w:id="0"/>
    </w:p>
    <w:p w:rsidR="006E2E00" w:rsidRPr="00B47396" w:rsidRDefault="006E2E00" w:rsidP="006E2E00">
      <w:pPr>
        <w:pStyle w:val="ATHeading2"/>
      </w:pPr>
      <w:bookmarkStart w:id="1" w:name="title"/>
      <w:r w:rsidRPr="00B47396">
        <w:t>Padziļināta ES integrācija saistībā ar turpmāko paplašināšanos</w:t>
      </w:r>
      <w:bookmarkEnd w:id="1"/>
    </w:p>
    <w:p w:rsidR="006E2E00" w:rsidRPr="00B47396" w:rsidRDefault="006E2E00" w:rsidP="006E2E00">
      <w:pPr>
        <w:rPr>
          <w:i/>
          <w:vanish/>
        </w:rPr>
      </w:pPr>
      <w:r w:rsidRPr="00B47396">
        <w:rPr>
          <w:i/>
        </w:rPr>
        <w:fldChar w:fldCharType="begin"/>
      </w:r>
      <w:r w:rsidRPr="00B47396">
        <w:rPr>
          <w:i/>
        </w:rPr>
        <w:instrText xml:space="preserve"> TC"(</w:instrText>
      </w:r>
      <w:bookmarkStart w:id="2" w:name="DocNumber"/>
      <w:r w:rsidRPr="00B47396">
        <w:rPr>
          <w:i/>
        </w:rPr>
        <w:instrText>A9-0015/2024</w:instrText>
      </w:r>
      <w:bookmarkEnd w:id="2"/>
      <w:r w:rsidRPr="00B47396">
        <w:rPr>
          <w:i/>
        </w:rPr>
        <w:instrText xml:space="preserve"> - Referent</w:instrText>
      </w:r>
      <w:r w:rsidR="00B06ED8" w:rsidRPr="00B47396">
        <w:rPr>
          <w:i/>
        </w:rPr>
        <w:instrText>i</w:instrText>
      </w:r>
      <w:r w:rsidRPr="00B47396">
        <w:rPr>
          <w:i/>
        </w:rPr>
        <w:instrText xml:space="preserve">: Petras </w:instrText>
      </w:r>
      <w:proofErr w:type="spellStart"/>
      <w:r w:rsidRPr="00B47396">
        <w:rPr>
          <w:i/>
        </w:rPr>
        <w:instrText>Auštrevičius</w:instrText>
      </w:r>
      <w:proofErr w:type="spellEnd"/>
      <w:r w:rsidRPr="00B47396">
        <w:rPr>
          <w:i/>
        </w:rPr>
        <w:instrText xml:space="preserve">, Pedro Silva </w:instrText>
      </w:r>
      <w:proofErr w:type="spellStart"/>
      <w:r w:rsidRPr="00B47396">
        <w:rPr>
          <w:i/>
        </w:rPr>
        <w:instrText>Pereira</w:instrText>
      </w:r>
      <w:proofErr w:type="spellEnd"/>
      <w:r w:rsidRPr="00B47396">
        <w:rPr>
          <w:i/>
        </w:rPr>
        <w:instrText xml:space="preserve">)"\l3 \n&gt; \* MERGEFORMAT </w:instrText>
      </w:r>
      <w:r w:rsidRPr="00B47396">
        <w:rPr>
          <w:i/>
        </w:rPr>
        <w:fldChar w:fldCharType="end"/>
      </w:r>
    </w:p>
    <w:p w:rsidR="006E2E00" w:rsidRPr="00B47396" w:rsidRDefault="006E2E00" w:rsidP="006E2E00">
      <w:pPr>
        <w:rPr>
          <w:vanish/>
        </w:rPr>
      </w:pPr>
      <w:bookmarkStart w:id="3" w:name="Commission"/>
      <w:r w:rsidRPr="00B47396">
        <w:rPr>
          <w:vanish/>
        </w:rPr>
        <w:t>Ārlietu komiteja</w:t>
      </w:r>
      <w:r w:rsidR="00B06ED8" w:rsidRPr="00B47396">
        <w:rPr>
          <w:vanish/>
        </w:rPr>
        <w:t xml:space="preserve"> un</w:t>
      </w:r>
      <w:r w:rsidRPr="00B47396">
        <w:rPr>
          <w:vanish/>
        </w:rPr>
        <w:t xml:space="preserve"> Konstitucionālo jautājumu komiteja</w:t>
      </w:r>
      <w:bookmarkEnd w:id="3"/>
    </w:p>
    <w:p w:rsidR="006E2E00" w:rsidRPr="00B47396" w:rsidRDefault="006E2E00" w:rsidP="006E2E00">
      <w:pPr>
        <w:rPr>
          <w:vanish/>
        </w:rPr>
      </w:pPr>
      <w:bookmarkStart w:id="4" w:name="PE"/>
      <w:r w:rsidRPr="00B47396">
        <w:rPr>
          <w:vanish/>
        </w:rPr>
        <w:t>PE752.948</w:t>
      </w:r>
      <w:bookmarkEnd w:id="4"/>
    </w:p>
    <w:p w:rsidR="00DE6BFC" w:rsidRPr="00B47396" w:rsidRDefault="006E2E00" w:rsidP="00B06ED8">
      <w:pPr>
        <w:pStyle w:val="ATHeading3"/>
      </w:pPr>
      <w:bookmarkStart w:id="5" w:name="Sujet"/>
      <w:r w:rsidRPr="00B47396">
        <w:t xml:space="preserve">Eiropas Parlamenta 2024. gada </w:t>
      </w:r>
      <w:r w:rsidR="00B06ED8" w:rsidRPr="00B47396">
        <w:t>29</w:t>
      </w:r>
      <w:r w:rsidRPr="00B47396">
        <w:t xml:space="preserve">. </w:t>
      </w:r>
      <w:r w:rsidR="00B06ED8" w:rsidRPr="00B47396">
        <w:t>februāra</w:t>
      </w:r>
      <w:r w:rsidRPr="00B47396">
        <w:t xml:space="preserve"> rezolūcija par padziļinātu ES integrāciju saistībā ar turpmāko paplašināšanos</w:t>
      </w:r>
      <w:bookmarkEnd w:id="5"/>
      <w:r w:rsidRPr="00B47396">
        <w:t xml:space="preserve"> </w:t>
      </w:r>
      <w:bookmarkStart w:id="6" w:name="References"/>
      <w:r w:rsidRPr="00B47396">
        <w:t>(2023/2114(INI))</w:t>
      </w:r>
      <w:bookmarkStart w:id="7" w:name="TextBodyBegin"/>
      <w:bookmarkEnd w:id="6"/>
      <w:bookmarkEnd w:id="7"/>
    </w:p>
    <w:p w:rsidR="00DE6BFC" w:rsidRPr="00B47396" w:rsidRDefault="00DE6BFC" w:rsidP="00DE6BFC">
      <w:pPr>
        <w:pStyle w:val="EPComma"/>
      </w:pPr>
      <w:r w:rsidRPr="00B47396">
        <w:rPr>
          <w:i/>
        </w:rPr>
        <w:t>Eiropas Parlaments</w:t>
      </w:r>
      <w:r w:rsidRPr="00B47396">
        <w:t>,</w:t>
      </w:r>
    </w:p>
    <w:p w:rsidR="00DE6BFC" w:rsidRPr="00B47396" w:rsidRDefault="00DE6BFC" w:rsidP="00DE6BFC">
      <w:pPr>
        <w:pStyle w:val="Normal12Hanging"/>
        <w:rPr>
          <w:bCs/>
          <w:iCs/>
          <w:szCs w:val="24"/>
          <w:lang w:val="lv-LV"/>
        </w:rPr>
      </w:pPr>
      <w:r w:rsidRPr="00B47396">
        <w:rPr>
          <w:sz w:val="20"/>
          <w:lang w:val="lv-LV"/>
        </w:rPr>
        <w:t>–</w:t>
      </w:r>
      <w:r w:rsidRPr="00B47396">
        <w:rPr>
          <w:lang w:val="lv-LV"/>
        </w:rPr>
        <w:tab/>
        <w:t>ņemot vērā Līgumu par Eiropas Savienību (LES), jo īpaši tā 5. panta 3. punktu, 48. pantu un 49. pantu,</w:t>
      </w:r>
    </w:p>
    <w:p w:rsidR="00DE6BFC" w:rsidRPr="00B47396" w:rsidRDefault="00DE6BFC" w:rsidP="00DE6BFC">
      <w:pPr>
        <w:pStyle w:val="Normal12Hanging"/>
        <w:rPr>
          <w:szCs w:val="24"/>
          <w:lang w:val="lv-LV"/>
        </w:rPr>
      </w:pPr>
      <w:r w:rsidRPr="00B47396">
        <w:rPr>
          <w:lang w:val="lv-LV"/>
        </w:rPr>
        <w:t>–</w:t>
      </w:r>
      <w:r w:rsidRPr="00B47396">
        <w:rPr>
          <w:lang w:val="lv-LV"/>
        </w:rPr>
        <w:tab/>
        <w:t>ņemot vērā Līgumu par Eiropas Savienības darbību,</w:t>
      </w:r>
    </w:p>
    <w:p w:rsidR="00DE6BFC" w:rsidRPr="00B47396" w:rsidRDefault="00DE6BFC" w:rsidP="00DE6BFC">
      <w:pPr>
        <w:pStyle w:val="Normal12Hanging"/>
        <w:rPr>
          <w:szCs w:val="24"/>
          <w:lang w:val="lv-LV"/>
        </w:rPr>
      </w:pPr>
      <w:r w:rsidRPr="00B47396">
        <w:rPr>
          <w:lang w:val="lv-LV"/>
        </w:rPr>
        <w:t>–</w:t>
      </w:r>
      <w:r w:rsidRPr="00B47396">
        <w:rPr>
          <w:lang w:val="lv-LV"/>
        </w:rPr>
        <w:tab/>
        <w:t>ņemot vērā Padomes 2006. gada decembra un 2020. gada marta secinājumus un Eiropadomes prezidentūras secinājumus, kas tika pieņemti 1993. gada 21.–22. jūnijā Kopenhāgenā un ir pazīstami arī kā Kopenhāgenas kritēriji,</w:t>
      </w:r>
    </w:p>
    <w:p w:rsidR="00DE6BFC" w:rsidRPr="00B47396" w:rsidRDefault="00DE6BFC" w:rsidP="00DE6BFC">
      <w:pPr>
        <w:pStyle w:val="Normal12Hanging"/>
        <w:rPr>
          <w:lang w:val="lv-LV"/>
        </w:rPr>
      </w:pPr>
      <w:r w:rsidRPr="00B47396">
        <w:rPr>
          <w:lang w:val="lv-LV"/>
        </w:rPr>
        <w:t>–</w:t>
      </w:r>
      <w:r w:rsidRPr="00B47396">
        <w:rPr>
          <w:lang w:val="lv-LV"/>
        </w:rPr>
        <w:tab/>
        <w:t>ņemot vērā 2023. gada 13. decembra rezolūciju par Kopenhāgenas kritēriju 30. gadskārtu: turpmāka impulsa sniegšana ES paplašināšanās politikai</w:t>
      </w:r>
      <w:r w:rsidRPr="00B47396">
        <w:rPr>
          <w:rStyle w:val="FootnoteReference"/>
          <w:lang w:val="lv-LV"/>
        </w:rPr>
        <w:footnoteReference w:id="1"/>
      </w:r>
      <w:r w:rsidRPr="00B47396">
        <w:rPr>
          <w:lang w:val="lv-LV"/>
        </w:rPr>
        <w:t>,</w:t>
      </w:r>
    </w:p>
    <w:p w:rsidR="00DE6BFC" w:rsidRPr="00B47396" w:rsidRDefault="00DE6BFC" w:rsidP="00DE6BFC">
      <w:pPr>
        <w:pStyle w:val="Normal12Hanging"/>
        <w:rPr>
          <w:szCs w:val="24"/>
          <w:lang w:val="lv-LV"/>
        </w:rPr>
      </w:pPr>
      <w:r w:rsidRPr="00B47396">
        <w:rPr>
          <w:lang w:val="lv-LV"/>
        </w:rPr>
        <w:t>–</w:t>
      </w:r>
      <w:r w:rsidRPr="00B47396">
        <w:rPr>
          <w:lang w:val="lv-LV"/>
        </w:rPr>
        <w:tab/>
        <w:t xml:space="preserve">ņemot vērā Eiropas Cilvēktiesību un pamatbrīvību aizsardzības konvenciju (ECTK) un Eiropas Savienības </w:t>
      </w:r>
      <w:proofErr w:type="spellStart"/>
      <w:r w:rsidRPr="00B47396">
        <w:rPr>
          <w:lang w:val="lv-LV"/>
        </w:rPr>
        <w:t>pamattiesību</w:t>
      </w:r>
      <w:proofErr w:type="spellEnd"/>
      <w:r w:rsidRPr="00B47396">
        <w:rPr>
          <w:lang w:val="lv-LV"/>
        </w:rPr>
        <w:t xml:space="preserve"> hartu,</w:t>
      </w:r>
    </w:p>
    <w:p w:rsidR="00DE6BFC" w:rsidRPr="00B47396" w:rsidRDefault="00DE6BFC" w:rsidP="00DE6BFC">
      <w:pPr>
        <w:pStyle w:val="Normal12Hanging"/>
        <w:rPr>
          <w:szCs w:val="24"/>
          <w:lang w:val="lv-LV"/>
        </w:rPr>
      </w:pPr>
      <w:r w:rsidRPr="00B47396">
        <w:rPr>
          <w:lang w:val="lv-LV"/>
        </w:rPr>
        <w:t>–</w:t>
      </w:r>
      <w:r w:rsidRPr="00B47396">
        <w:rPr>
          <w:lang w:val="lv-LV"/>
        </w:rPr>
        <w:tab/>
        <w:t xml:space="preserve">ņemot vērā </w:t>
      </w:r>
      <w:proofErr w:type="spellStart"/>
      <w:r w:rsidRPr="00B47396">
        <w:rPr>
          <w:lang w:val="lv-LV"/>
        </w:rPr>
        <w:t>Ventotenes</w:t>
      </w:r>
      <w:proofErr w:type="spellEnd"/>
      <w:r w:rsidRPr="00B47396">
        <w:rPr>
          <w:lang w:val="lv-LV"/>
        </w:rPr>
        <w:t xml:space="preserve"> manifestu,</w:t>
      </w:r>
    </w:p>
    <w:p w:rsidR="00DE6BFC" w:rsidRPr="00B47396" w:rsidRDefault="00DE6BFC" w:rsidP="00DE6BFC">
      <w:pPr>
        <w:pStyle w:val="Normal12Hanging"/>
        <w:rPr>
          <w:szCs w:val="24"/>
          <w:lang w:val="lv-LV"/>
        </w:rPr>
      </w:pPr>
      <w:r w:rsidRPr="00B47396">
        <w:rPr>
          <w:lang w:val="lv-LV"/>
        </w:rPr>
        <w:t>–</w:t>
      </w:r>
      <w:r w:rsidRPr="00B47396">
        <w:rPr>
          <w:sz w:val="20"/>
          <w:lang w:val="lv-LV"/>
        </w:rPr>
        <w:tab/>
      </w:r>
      <w:r w:rsidRPr="00B47396">
        <w:rPr>
          <w:lang w:val="lv-LV"/>
        </w:rPr>
        <w:t>ņemot vērā 2022. gada 23. novembra ieteikumu Padomei, Komisijai un Komisijas priekšsēdētājas vietniekam / Savienības Augstajam pārstāvim ārlietās un drošības politikas jautājumos attiecībā uz jauno ES paplašināšanās stratēģiju</w:t>
      </w:r>
      <w:r w:rsidRPr="00B47396">
        <w:rPr>
          <w:rStyle w:val="FootnoteReference"/>
          <w:rFonts w:eastAsiaTheme="majorEastAsia"/>
          <w:szCs w:val="24"/>
          <w:lang w:val="lv-LV"/>
        </w:rPr>
        <w:footnoteReference w:id="2"/>
      </w:r>
      <w:r w:rsidRPr="00B47396">
        <w:rPr>
          <w:lang w:val="lv-LV"/>
        </w:rPr>
        <w:t>,</w:t>
      </w:r>
    </w:p>
    <w:p w:rsidR="00DE6BFC" w:rsidRPr="00B47396" w:rsidRDefault="00DE6BFC" w:rsidP="00DE6BFC">
      <w:pPr>
        <w:pStyle w:val="Normal12Hanging"/>
        <w:rPr>
          <w:bCs/>
          <w:iCs/>
          <w:szCs w:val="24"/>
          <w:lang w:val="lv-LV"/>
        </w:rPr>
      </w:pPr>
      <w:r w:rsidRPr="00B47396">
        <w:rPr>
          <w:lang w:val="lv-LV"/>
        </w:rPr>
        <w:t>–</w:t>
      </w:r>
      <w:r w:rsidRPr="00B47396">
        <w:rPr>
          <w:lang w:val="lv-LV"/>
        </w:rPr>
        <w:tab/>
        <w:t>ņemot vērā Reģionu komitejas 2022. gada 5.–6. jūlija atzinumu par Komisijas 2022. gada paplašināšanās paketi, kā arī Reģionu komitejas priekšsēdētāja 2023. gada 8. novembra paziņojumu par Komisijas 2023. gada paplašināšanās paketi,</w:t>
      </w:r>
    </w:p>
    <w:p w:rsidR="00DE6BFC" w:rsidRPr="00B47396" w:rsidRDefault="00DE6BFC" w:rsidP="00DE6BFC">
      <w:pPr>
        <w:pStyle w:val="Normal12Hanging"/>
        <w:rPr>
          <w:bCs/>
          <w:iCs/>
          <w:szCs w:val="24"/>
          <w:lang w:val="lv-LV"/>
        </w:rPr>
      </w:pPr>
      <w:r w:rsidRPr="00B47396">
        <w:rPr>
          <w:lang w:val="lv-LV"/>
        </w:rPr>
        <w:t>–</w:t>
      </w:r>
      <w:r w:rsidRPr="00B47396">
        <w:rPr>
          <w:lang w:val="lv-LV"/>
        </w:rPr>
        <w:tab/>
        <w:t xml:space="preserve">ņemot vērā Komisijas 2022. gada 9. februāra ziņojumu par kohēziju Eiropā 2050. gada </w:t>
      </w:r>
      <w:r w:rsidRPr="00B47396">
        <w:rPr>
          <w:lang w:val="lv-LV"/>
        </w:rPr>
        <w:lastRenderedPageBreak/>
        <w:t>perspektīvā,</w:t>
      </w:r>
    </w:p>
    <w:p w:rsidR="00DE6BFC" w:rsidRPr="00B47396" w:rsidRDefault="00DE6BFC" w:rsidP="00DE6BFC">
      <w:pPr>
        <w:pStyle w:val="Normal12Hanging"/>
        <w:rPr>
          <w:szCs w:val="24"/>
          <w:lang w:val="lv-LV"/>
        </w:rPr>
      </w:pPr>
      <w:r w:rsidRPr="00B47396">
        <w:rPr>
          <w:lang w:val="lv-LV"/>
        </w:rPr>
        <w:t>–</w:t>
      </w:r>
      <w:r w:rsidRPr="00B47396">
        <w:rPr>
          <w:lang w:val="lv-LV"/>
        </w:rPr>
        <w:tab/>
        <w:t>ņemot vērā Eiropadomes 2022. gada 23. un 24. jūnija, 2023. gada 29. un 30. jūnija, 2023. gada 26. un 27. oktobra un 2023. gada 14. un 15. decembra secinājumus,</w:t>
      </w:r>
    </w:p>
    <w:p w:rsidR="00DE6BFC" w:rsidRPr="00B47396" w:rsidRDefault="00DE6BFC" w:rsidP="00DE6BFC">
      <w:pPr>
        <w:pStyle w:val="Normal12Hanging"/>
        <w:rPr>
          <w:szCs w:val="24"/>
          <w:lang w:val="lv-LV"/>
        </w:rPr>
      </w:pPr>
      <w:r w:rsidRPr="00B47396">
        <w:rPr>
          <w:lang w:val="lv-LV"/>
        </w:rPr>
        <w:t>–</w:t>
      </w:r>
      <w:r w:rsidRPr="00B47396">
        <w:rPr>
          <w:lang w:val="lv-LV"/>
        </w:rPr>
        <w:tab/>
        <w:t xml:space="preserve">ņemot vērā Komisijas 2023. gada 2. februāra analītiskos ziņojumus par Ukrainas SWD(2023)0030), Moldovas (SWD(2023)0032) un Gruzijas (SWD(2023)0031) pieskaņošanos ES </w:t>
      </w:r>
      <w:proofErr w:type="spellStart"/>
      <w:r w:rsidRPr="00B47396">
        <w:rPr>
          <w:i/>
          <w:iCs/>
          <w:lang w:val="lv-LV"/>
        </w:rPr>
        <w:t>acquis</w:t>
      </w:r>
      <w:proofErr w:type="spellEnd"/>
      <w:r w:rsidRPr="00B47396">
        <w:rPr>
          <w:lang w:val="lv-LV"/>
        </w:rPr>
        <w:t>,</w:t>
      </w:r>
    </w:p>
    <w:p w:rsidR="00DE6BFC" w:rsidRPr="00B47396" w:rsidRDefault="00DE6BFC" w:rsidP="00DE6BFC">
      <w:pPr>
        <w:pStyle w:val="Normal12Hanging"/>
        <w:rPr>
          <w:lang w:val="lv-LV"/>
        </w:rPr>
      </w:pPr>
      <w:r w:rsidRPr="00B47396">
        <w:rPr>
          <w:lang w:val="lv-LV"/>
        </w:rPr>
        <w:t>–</w:t>
      </w:r>
      <w:r w:rsidRPr="00B47396">
        <w:rPr>
          <w:lang w:val="lv-LV"/>
        </w:rPr>
        <w:tab/>
        <w:t>ņemot vērā Komisijas 2023. gada 29. novembra kopīgo paziņojumu Eiropadomei “Pašreizējais stāvoklis ES un Turcijas politiskajās, ekonomiskajās un tirdzniecības attiecībās” (JOIN(2023)0050),</w:t>
      </w:r>
    </w:p>
    <w:p w:rsidR="00DE6BFC" w:rsidRPr="00B47396" w:rsidRDefault="00DE6BFC" w:rsidP="00DE6BFC">
      <w:pPr>
        <w:pStyle w:val="Normal12Hanging"/>
        <w:rPr>
          <w:bCs/>
          <w:iCs/>
          <w:szCs w:val="24"/>
          <w:lang w:val="lv-LV"/>
        </w:rPr>
      </w:pPr>
      <w:r w:rsidRPr="00B47396">
        <w:rPr>
          <w:lang w:val="lv-LV"/>
        </w:rPr>
        <w:t>–</w:t>
      </w:r>
      <w:r w:rsidRPr="00B47396">
        <w:rPr>
          <w:lang w:val="lv-LV"/>
        </w:rPr>
        <w:tab/>
        <w:t xml:space="preserve">ņemot vērā secinājumus, kas pieņemti 1997. gada 29. un 30. aprīļa Vispārējo lietu Padomē par nosacījumu piemērošanu, lai izstrādātu saskaņotu ES stratēģiju attiecībām ar </w:t>
      </w:r>
      <w:proofErr w:type="spellStart"/>
      <w:r w:rsidRPr="00B47396">
        <w:rPr>
          <w:lang w:val="lv-LV"/>
        </w:rPr>
        <w:t>Rietumbalkānu</w:t>
      </w:r>
      <w:proofErr w:type="spellEnd"/>
      <w:r w:rsidRPr="00B47396">
        <w:rPr>
          <w:lang w:val="lv-LV"/>
        </w:rPr>
        <w:t xml:space="preserve"> reģiona valstīm,</w:t>
      </w:r>
    </w:p>
    <w:p w:rsidR="00DE6BFC" w:rsidRPr="00B47396" w:rsidRDefault="00DE6BFC" w:rsidP="00DE6BFC">
      <w:pPr>
        <w:pStyle w:val="Normal12Hanging"/>
        <w:rPr>
          <w:bCs/>
          <w:iCs/>
          <w:szCs w:val="24"/>
          <w:lang w:val="lv-LV"/>
        </w:rPr>
      </w:pPr>
      <w:r w:rsidRPr="00B47396">
        <w:rPr>
          <w:lang w:val="lv-LV"/>
        </w:rPr>
        <w:t>–</w:t>
      </w:r>
      <w:r w:rsidRPr="00B47396">
        <w:rPr>
          <w:lang w:val="lv-LV"/>
        </w:rPr>
        <w:tab/>
        <w:t xml:space="preserve">ņemot vērā iepriekšējās rezolūcijas par šo jautājumu, jo īpaši 2019. gada 24. oktobra rezolūciju par pievienošanās sarunu ar </w:t>
      </w:r>
      <w:proofErr w:type="spellStart"/>
      <w:r w:rsidRPr="00B47396">
        <w:rPr>
          <w:lang w:val="lv-LV"/>
        </w:rPr>
        <w:t>Ziemeļmaķedoniju</w:t>
      </w:r>
      <w:proofErr w:type="spellEnd"/>
      <w:r w:rsidRPr="00B47396">
        <w:rPr>
          <w:lang w:val="lv-LV"/>
        </w:rPr>
        <w:t xml:space="preserve"> un Albāniju sākšanu</w:t>
      </w:r>
      <w:r w:rsidRPr="00B47396">
        <w:rPr>
          <w:rStyle w:val="FootnoteReference"/>
          <w:bCs/>
          <w:iCs/>
          <w:szCs w:val="24"/>
          <w:lang w:val="lv-LV"/>
        </w:rPr>
        <w:footnoteReference w:id="3"/>
      </w:r>
      <w:r w:rsidRPr="00B47396">
        <w:rPr>
          <w:lang w:val="lv-LV"/>
        </w:rPr>
        <w:t>, un rezolūcijas par Komisijas 2022. gada ziņojumiem par Kosovu</w:t>
      </w:r>
      <w:r w:rsidRPr="00B47396">
        <w:rPr>
          <w:rStyle w:val="FootnoteReference"/>
          <w:bCs/>
          <w:iCs/>
          <w:szCs w:val="24"/>
          <w:lang w:val="lv-LV"/>
        </w:rPr>
        <w:footnoteReference w:id="4"/>
      </w:r>
      <w:r w:rsidRPr="00B47396">
        <w:rPr>
          <w:lang w:val="lv-LV"/>
        </w:rPr>
        <w:t>, Serbiju</w:t>
      </w:r>
      <w:r w:rsidRPr="00B47396">
        <w:rPr>
          <w:rStyle w:val="FootnoteReference"/>
          <w:bCs/>
          <w:iCs/>
          <w:szCs w:val="24"/>
          <w:lang w:val="lv-LV"/>
        </w:rPr>
        <w:footnoteReference w:id="5"/>
      </w:r>
      <w:r w:rsidRPr="00B47396">
        <w:rPr>
          <w:lang w:val="lv-LV"/>
        </w:rPr>
        <w:t>, Albāniju</w:t>
      </w:r>
      <w:r w:rsidRPr="00B47396">
        <w:rPr>
          <w:rStyle w:val="FootnoteReference"/>
          <w:bCs/>
          <w:iCs/>
          <w:szCs w:val="24"/>
          <w:lang w:val="lv-LV"/>
        </w:rPr>
        <w:footnoteReference w:id="6"/>
      </w:r>
      <w:r w:rsidRPr="00B47396">
        <w:rPr>
          <w:lang w:val="lv-LV"/>
        </w:rPr>
        <w:t>, Bosniju un Hercegovinu</w:t>
      </w:r>
      <w:r w:rsidRPr="00B47396">
        <w:rPr>
          <w:rStyle w:val="FootnoteReference"/>
          <w:bCs/>
          <w:iCs/>
          <w:szCs w:val="24"/>
          <w:lang w:val="lv-LV"/>
        </w:rPr>
        <w:footnoteReference w:id="7"/>
      </w:r>
      <w:r w:rsidRPr="00B47396">
        <w:rPr>
          <w:lang w:val="lv-LV"/>
        </w:rPr>
        <w:t xml:space="preserve">, </w:t>
      </w:r>
      <w:proofErr w:type="spellStart"/>
      <w:r w:rsidRPr="00B47396">
        <w:rPr>
          <w:lang w:val="lv-LV"/>
        </w:rPr>
        <w:t>Ziemeļmaķedoniju</w:t>
      </w:r>
      <w:proofErr w:type="spellEnd"/>
      <w:r w:rsidRPr="00B47396">
        <w:rPr>
          <w:rStyle w:val="FootnoteReference"/>
          <w:bCs/>
          <w:iCs/>
          <w:szCs w:val="24"/>
          <w:lang w:val="lv-LV"/>
        </w:rPr>
        <w:footnoteReference w:id="8"/>
      </w:r>
      <w:r w:rsidRPr="00B47396">
        <w:rPr>
          <w:lang w:val="lv-LV"/>
        </w:rPr>
        <w:t xml:space="preserve"> un Melnkalni</w:t>
      </w:r>
      <w:r w:rsidRPr="00B47396">
        <w:rPr>
          <w:rStyle w:val="FootnoteReference"/>
          <w:bCs/>
          <w:iCs/>
          <w:szCs w:val="24"/>
          <w:lang w:val="lv-LV"/>
        </w:rPr>
        <w:footnoteReference w:id="9"/>
      </w:r>
      <w:r w:rsidRPr="00B47396">
        <w:rPr>
          <w:lang w:val="lv-LV"/>
        </w:rPr>
        <w:t>,</w:t>
      </w:r>
    </w:p>
    <w:p w:rsidR="00DE6BFC" w:rsidRPr="00B47396" w:rsidRDefault="00DE6BFC" w:rsidP="00DE6BFC">
      <w:pPr>
        <w:pStyle w:val="Normal12Hanging"/>
        <w:rPr>
          <w:rFonts w:eastAsiaTheme="minorEastAsia"/>
          <w:szCs w:val="24"/>
          <w:lang w:val="lv-LV"/>
        </w:rPr>
      </w:pPr>
      <w:r w:rsidRPr="00B47396">
        <w:rPr>
          <w:lang w:val="lv-LV"/>
        </w:rPr>
        <w:t>–</w:t>
      </w:r>
      <w:r w:rsidRPr="00B47396">
        <w:rPr>
          <w:sz w:val="20"/>
          <w:lang w:val="lv-LV"/>
        </w:rPr>
        <w:tab/>
      </w:r>
      <w:r w:rsidRPr="00B47396">
        <w:rPr>
          <w:lang w:val="lv-LV"/>
        </w:rPr>
        <w:t xml:space="preserve">ņemot vērā 2020. gada 19. jūnija ieteikumu Padomei, Komisijai un Komisijas priekšsēdētājas vietniekam / Savienības Augstajam pārstāvim ārlietās un drošības politikas jautājumos par </w:t>
      </w:r>
      <w:proofErr w:type="spellStart"/>
      <w:r w:rsidRPr="00B47396">
        <w:rPr>
          <w:lang w:val="lv-LV"/>
        </w:rPr>
        <w:t>Rietumbalkāniem</w:t>
      </w:r>
      <w:proofErr w:type="spellEnd"/>
      <w:r w:rsidRPr="00B47396">
        <w:rPr>
          <w:lang w:val="lv-LV"/>
        </w:rPr>
        <w:t xml:space="preserve"> pēc 2020. gada samita</w:t>
      </w:r>
      <w:r w:rsidRPr="00B47396">
        <w:rPr>
          <w:rStyle w:val="FootnoteReference"/>
          <w:rFonts w:eastAsiaTheme="majorEastAsia"/>
          <w:szCs w:val="24"/>
          <w:lang w:val="lv-LV"/>
        </w:rPr>
        <w:footnoteReference w:id="10"/>
      </w:r>
      <w:r w:rsidRPr="00B47396">
        <w:rPr>
          <w:lang w:val="lv-LV"/>
        </w:rPr>
        <w:t>,</w:t>
      </w:r>
    </w:p>
    <w:p w:rsidR="00DE6BFC" w:rsidRPr="00B47396" w:rsidRDefault="00DE6BFC" w:rsidP="00DE6BFC">
      <w:pPr>
        <w:pStyle w:val="Normal12Hanging"/>
        <w:rPr>
          <w:lang w:val="lv-LV"/>
        </w:rPr>
      </w:pPr>
      <w:r w:rsidRPr="00B47396">
        <w:rPr>
          <w:lang w:val="lv-LV"/>
        </w:rPr>
        <w:t>–</w:t>
      </w:r>
      <w:r w:rsidRPr="00B47396">
        <w:rPr>
          <w:lang w:val="lv-LV"/>
        </w:rPr>
        <w:tab/>
        <w:t xml:space="preserve">ņemot vērā Eiropadomes 2003. gada 19. un 20. jūnija secinājumus un </w:t>
      </w:r>
      <w:proofErr w:type="spellStart"/>
      <w:r w:rsidRPr="00B47396">
        <w:rPr>
          <w:lang w:val="lv-LV"/>
        </w:rPr>
        <w:t>Saloniku</w:t>
      </w:r>
      <w:proofErr w:type="spellEnd"/>
      <w:r w:rsidRPr="00B47396">
        <w:rPr>
          <w:lang w:val="lv-LV"/>
        </w:rPr>
        <w:t xml:space="preserve"> darba kārtību </w:t>
      </w:r>
      <w:proofErr w:type="spellStart"/>
      <w:r w:rsidRPr="00B47396">
        <w:rPr>
          <w:lang w:val="lv-LV"/>
        </w:rPr>
        <w:t>Rietumbalkānu</w:t>
      </w:r>
      <w:proofErr w:type="spellEnd"/>
      <w:r w:rsidRPr="00B47396">
        <w:rPr>
          <w:lang w:val="lv-LV"/>
        </w:rPr>
        <w:t xml:space="preserve"> valstīm,</w:t>
      </w:r>
    </w:p>
    <w:p w:rsidR="00DE6BFC" w:rsidRPr="00B47396" w:rsidRDefault="00DE6BFC" w:rsidP="00DE6BFC">
      <w:pPr>
        <w:pStyle w:val="Normal12Hanging"/>
        <w:rPr>
          <w:lang w:val="lv-LV"/>
        </w:rPr>
      </w:pPr>
      <w:r w:rsidRPr="00B47396">
        <w:rPr>
          <w:lang w:val="lv-LV"/>
        </w:rPr>
        <w:t>–</w:t>
      </w:r>
      <w:r w:rsidRPr="00B47396">
        <w:rPr>
          <w:lang w:val="lv-LV"/>
        </w:rPr>
        <w:tab/>
        <w:t>ņemot vērā ES asociācijas nolīgumus ar Albāniju</w:t>
      </w:r>
      <w:r w:rsidRPr="00B47396">
        <w:rPr>
          <w:rStyle w:val="FootnoteReference"/>
          <w:bCs/>
          <w:iCs/>
          <w:szCs w:val="24"/>
          <w:lang w:val="lv-LV"/>
        </w:rPr>
        <w:footnoteReference w:id="11"/>
      </w:r>
      <w:r w:rsidRPr="00B47396">
        <w:rPr>
          <w:lang w:val="lv-LV"/>
        </w:rPr>
        <w:t>, Bosniju un Hercegovinu</w:t>
      </w:r>
      <w:r w:rsidRPr="00B47396">
        <w:rPr>
          <w:rStyle w:val="FootnoteReference"/>
          <w:bCs/>
          <w:iCs/>
          <w:szCs w:val="24"/>
          <w:lang w:val="lv-LV"/>
        </w:rPr>
        <w:footnoteReference w:id="12"/>
      </w:r>
      <w:r w:rsidRPr="00B47396">
        <w:rPr>
          <w:lang w:val="lv-LV"/>
        </w:rPr>
        <w:t>, Gruziju</w:t>
      </w:r>
      <w:r w:rsidRPr="00B47396">
        <w:rPr>
          <w:rStyle w:val="FootnoteReference"/>
          <w:bCs/>
          <w:iCs/>
          <w:szCs w:val="24"/>
          <w:lang w:val="lv-LV"/>
        </w:rPr>
        <w:footnoteReference w:id="13"/>
      </w:r>
      <w:r w:rsidRPr="00B47396">
        <w:rPr>
          <w:lang w:val="lv-LV"/>
        </w:rPr>
        <w:t>, Kosovu, Moldovas Republiku</w:t>
      </w:r>
      <w:r w:rsidRPr="00B47396">
        <w:rPr>
          <w:rStyle w:val="FootnoteReference"/>
          <w:bCs/>
          <w:iCs/>
          <w:szCs w:val="24"/>
          <w:lang w:val="lv-LV"/>
        </w:rPr>
        <w:footnoteReference w:id="14"/>
      </w:r>
      <w:r w:rsidRPr="00B47396">
        <w:rPr>
          <w:lang w:val="lv-LV"/>
        </w:rPr>
        <w:t xml:space="preserve">, Melnkalni, </w:t>
      </w:r>
      <w:proofErr w:type="spellStart"/>
      <w:r w:rsidRPr="00B47396">
        <w:rPr>
          <w:lang w:val="lv-LV"/>
        </w:rPr>
        <w:t>Ziemeļmaķedoniju</w:t>
      </w:r>
      <w:proofErr w:type="spellEnd"/>
      <w:r w:rsidRPr="00B47396">
        <w:rPr>
          <w:rStyle w:val="FootnoteReference"/>
          <w:bCs/>
          <w:iCs/>
          <w:szCs w:val="24"/>
          <w:lang w:val="lv-LV"/>
        </w:rPr>
        <w:footnoteReference w:id="15"/>
      </w:r>
      <w:r w:rsidRPr="00B47396">
        <w:rPr>
          <w:lang w:val="lv-LV"/>
        </w:rPr>
        <w:t>, Serbiju, Turciju</w:t>
      </w:r>
      <w:r w:rsidRPr="00B47396">
        <w:rPr>
          <w:rStyle w:val="FootnoteReference"/>
          <w:szCs w:val="24"/>
          <w:lang w:val="lv-LV"/>
        </w:rPr>
        <w:footnoteReference w:id="16"/>
      </w:r>
      <w:r w:rsidRPr="00B47396">
        <w:rPr>
          <w:lang w:val="lv-LV"/>
        </w:rPr>
        <w:t xml:space="preserve"> un Ukrainu</w:t>
      </w:r>
      <w:r w:rsidRPr="00B47396">
        <w:rPr>
          <w:rStyle w:val="FootnoteReference"/>
          <w:bCs/>
          <w:iCs/>
          <w:szCs w:val="24"/>
          <w:lang w:val="lv-LV"/>
        </w:rPr>
        <w:footnoteReference w:id="17"/>
      </w:r>
      <w:r w:rsidRPr="00B47396">
        <w:rPr>
          <w:lang w:val="lv-LV"/>
        </w:rPr>
        <w:t>,</w:t>
      </w:r>
    </w:p>
    <w:p w:rsidR="00DE6BFC" w:rsidRPr="00B47396" w:rsidRDefault="00DE6BFC" w:rsidP="00DE6BFC">
      <w:pPr>
        <w:pStyle w:val="Normal12Hanging"/>
        <w:rPr>
          <w:szCs w:val="24"/>
          <w:lang w:val="lv-LV"/>
        </w:rPr>
      </w:pPr>
      <w:r w:rsidRPr="00B47396">
        <w:rPr>
          <w:lang w:val="lv-LV"/>
        </w:rPr>
        <w:t>–</w:t>
      </w:r>
      <w:r w:rsidRPr="00B47396">
        <w:rPr>
          <w:lang w:val="lv-LV"/>
        </w:rPr>
        <w:tab/>
        <w:t xml:space="preserve">ņemot vērā priekšlikumu Eiropas Parlamenta un Padomes regulai, ar ko izveido </w:t>
      </w:r>
      <w:proofErr w:type="spellStart"/>
      <w:r w:rsidRPr="00B47396">
        <w:rPr>
          <w:lang w:val="lv-LV"/>
        </w:rPr>
        <w:lastRenderedPageBreak/>
        <w:t>Rietumbalkānu</w:t>
      </w:r>
      <w:proofErr w:type="spellEnd"/>
      <w:r w:rsidRPr="00B47396">
        <w:rPr>
          <w:lang w:val="lv-LV"/>
        </w:rPr>
        <w:t xml:space="preserve"> reformu un izaugsmes mehānismu (COM(2023)0692),</w:t>
      </w:r>
    </w:p>
    <w:p w:rsidR="00DE6BFC" w:rsidRPr="00B47396" w:rsidRDefault="00DE6BFC" w:rsidP="00DE6BFC">
      <w:pPr>
        <w:pStyle w:val="Normal12Hanging"/>
        <w:rPr>
          <w:szCs w:val="24"/>
          <w:lang w:val="lv-LV"/>
        </w:rPr>
      </w:pPr>
      <w:r w:rsidRPr="00B47396">
        <w:rPr>
          <w:lang w:val="lv-LV"/>
        </w:rPr>
        <w:t>–</w:t>
      </w:r>
      <w:r w:rsidRPr="00B47396">
        <w:rPr>
          <w:lang w:val="lv-LV"/>
        </w:rPr>
        <w:tab/>
        <w:t xml:space="preserve">ņemot vērā Komisijas 2020. gada 5. februāra paziņojumu “Pievienošanās procesa uzlabošana — ticama ES perspektīva </w:t>
      </w:r>
      <w:proofErr w:type="spellStart"/>
      <w:r w:rsidRPr="00B47396">
        <w:rPr>
          <w:lang w:val="lv-LV"/>
        </w:rPr>
        <w:t>Rietumbalkāniem</w:t>
      </w:r>
      <w:proofErr w:type="spellEnd"/>
      <w:r w:rsidRPr="00B47396">
        <w:rPr>
          <w:lang w:val="lv-LV"/>
        </w:rPr>
        <w:t xml:space="preserve">” (COM(2020)0057) un Komisijas 2018. gada februāra stratēģiju “Ticama paplašināšanās perspektīva </w:t>
      </w:r>
      <w:proofErr w:type="spellStart"/>
      <w:r w:rsidRPr="00B47396">
        <w:rPr>
          <w:lang w:val="lv-LV"/>
        </w:rPr>
        <w:t>Rietumbalkāniem</w:t>
      </w:r>
      <w:proofErr w:type="spellEnd"/>
      <w:r w:rsidRPr="00B47396">
        <w:rPr>
          <w:lang w:val="lv-LV"/>
        </w:rPr>
        <w:t xml:space="preserve"> un padziļināta ES iesaiste šajā reģionā”,</w:t>
      </w:r>
    </w:p>
    <w:p w:rsidR="00DE6BFC" w:rsidRPr="00B47396" w:rsidRDefault="00DE6BFC" w:rsidP="00DE6BFC">
      <w:pPr>
        <w:pStyle w:val="Normal12Hanging"/>
        <w:rPr>
          <w:lang w:val="lv-LV"/>
        </w:rPr>
      </w:pPr>
      <w:r w:rsidRPr="00B47396">
        <w:rPr>
          <w:lang w:val="lv-LV"/>
        </w:rPr>
        <w:t>–</w:t>
      </w:r>
      <w:r w:rsidRPr="00B47396">
        <w:rPr>
          <w:lang w:val="lv-LV"/>
        </w:rPr>
        <w:tab/>
        <w:t>ņemot vērā 2022. gada 23. jūnija rezolūciju par Ukrainas, Moldovas Republikas un Gruzijas kandidātvalsts statusu,</w:t>
      </w:r>
    </w:p>
    <w:p w:rsidR="00DE6BFC" w:rsidRPr="00B47396" w:rsidRDefault="00DE6BFC" w:rsidP="00DE6BFC">
      <w:pPr>
        <w:pStyle w:val="Normal12Hanging"/>
        <w:rPr>
          <w:rFonts w:eastAsia="Calibri"/>
          <w:bCs/>
          <w:iCs/>
          <w:lang w:val="lv-LV"/>
        </w:rPr>
      </w:pPr>
      <w:r w:rsidRPr="00B47396">
        <w:rPr>
          <w:lang w:val="lv-LV"/>
        </w:rPr>
        <w:t>–</w:t>
      </w:r>
      <w:r w:rsidRPr="00B47396">
        <w:rPr>
          <w:lang w:val="lv-LV"/>
        </w:rPr>
        <w:tab/>
        <w:t>ņemot vērā 2023. gada 5. oktobra rezolūciju par Moldovas virzības uz ES izvērtēšanu</w:t>
      </w:r>
      <w:r w:rsidRPr="00B47396">
        <w:rPr>
          <w:rStyle w:val="FootnoteReference"/>
          <w:rFonts w:eastAsia="Calibri"/>
          <w:bCs/>
          <w:iCs/>
          <w:lang w:val="lv-LV"/>
        </w:rPr>
        <w:footnoteReference w:id="18"/>
      </w:r>
      <w:r w:rsidRPr="00B47396">
        <w:rPr>
          <w:lang w:val="lv-LV"/>
        </w:rPr>
        <w:t>,</w:t>
      </w:r>
    </w:p>
    <w:p w:rsidR="00DE6BFC" w:rsidRPr="00B47396" w:rsidRDefault="00DE6BFC" w:rsidP="00DE6BFC">
      <w:pPr>
        <w:pStyle w:val="Normal12Hanging"/>
        <w:rPr>
          <w:lang w:val="lv-LV"/>
        </w:rPr>
      </w:pPr>
      <w:r w:rsidRPr="00B47396">
        <w:rPr>
          <w:lang w:val="lv-LV"/>
        </w:rPr>
        <w:t>–</w:t>
      </w:r>
      <w:r w:rsidRPr="00B47396">
        <w:rPr>
          <w:lang w:val="lv-LV"/>
        </w:rPr>
        <w:tab/>
        <w:t xml:space="preserve">ņemot vērā Eiropas Revīzijas palātas 2022. gada 10. janvāra Īpašo ziņojumu 01/2022 “ES atbalsts tiesiskumam </w:t>
      </w:r>
      <w:proofErr w:type="spellStart"/>
      <w:r w:rsidRPr="00B47396">
        <w:rPr>
          <w:lang w:val="lv-LV"/>
        </w:rPr>
        <w:t>Rietumbalkānos</w:t>
      </w:r>
      <w:proofErr w:type="spellEnd"/>
      <w:r w:rsidRPr="00B47396">
        <w:rPr>
          <w:lang w:val="lv-LV"/>
        </w:rPr>
        <w:t>: neraugoties uz centieniem, pamatproblēmas saglabājas”,</w:t>
      </w:r>
    </w:p>
    <w:p w:rsidR="00DE6BFC" w:rsidRPr="00B47396" w:rsidRDefault="00DE6BFC" w:rsidP="00DE6BFC">
      <w:pPr>
        <w:pStyle w:val="Normal12Hanging"/>
        <w:rPr>
          <w:szCs w:val="24"/>
          <w:lang w:val="lv-LV"/>
        </w:rPr>
      </w:pPr>
      <w:r w:rsidRPr="00B47396">
        <w:rPr>
          <w:lang w:val="lv-LV"/>
        </w:rPr>
        <w:t>–</w:t>
      </w:r>
      <w:r w:rsidRPr="00B47396">
        <w:rPr>
          <w:lang w:val="lv-LV"/>
        </w:rPr>
        <w:tab/>
        <w:t>ņemot vērā Eiropas Komisijas 2022. gada 12. oktobrī izziņoto 2022. gada ES paplašināšanās paketi,</w:t>
      </w:r>
    </w:p>
    <w:p w:rsidR="00DE6BFC" w:rsidRPr="00B47396" w:rsidRDefault="00DE6BFC" w:rsidP="00DE6BFC">
      <w:pPr>
        <w:pStyle w:val="Normal12Hanging"/>
        <w:rPr>
          <w:szCs w:val="24"/>
          <w:lang w:val="lv-LV"/>
        </w:rPr>
      </w:pPr>
      <w:r w:rsidRPr="00B47396">
        <w:rPr>
          <w:lang w:val="lv-LV"/>
        </w:rPr>
        <w:t>–</w:t>
      </w:r>
      <w:r w:rsidRPr="00B47396">
        <w:rPr>
          <w:lang w:val="lv-LV"/>
        </w:rPr>
        <w:tab/>
        <w:t>ņemot vērā 2023. gada paziņojumu par ES paplašināšanās politiku, ko Eiropas Komisija pieņēma 2023. gada 8. novembrī (COM(2023)0690),</w:t>
      </w:r>
    </w:p>
    <w:p w:rsidR="00DE6BFC" w:rsidRPr="00B47396" w:rsidRDefault="00DE6BFC" w:rsidP="00DE6BFC">
      <w:pPr>
        <w:pStyle w:val="Normal12Hanging"/>
        <w:rPr>
          <w:lang w:val="lv-LV"/>
        </w:rPr>
      </w:pPr>
      <w:r w:rsidRPr="00B47396">
        <w:rPr>
          <w:lang w:val="lv-LV"/>
        </w:rPr>
        <w:t>–</w:t>
      </w:r>
      <w:r w:rsidRPr="00B47396">
        <w:rPr>
          <w:lang w:val="lv-LV"/>
        </w:rPr>
        <w:tab/>
        <w:t xml:space="preserve">ņemot vērā Eiropas Parlamenta un Padomes 2021. gada 15. septembra Regulu (ES) 2021/1529, ar ko izveido </w:t>
      </w:r>
      <w:proofErr w:type="spellStart"/>
      <w:r w:rsidRPr="00B47396">
        <w:rPr>
          <w:lang w:val="lv-LV"/>
        </w:rPr>
        <w:t>Pirmspievienošanās</w:t>
      </w:r>
      <w:proofErr w:type="spellEnd"/>
      <w:r w:rsidRPr="00B47396">
        <w:rPr>
          <w:lang w:val="lv-LV"/>
        </w:rPr>
        <w:t xml:space="preserve"> palīdzības instrumentu (</w:t>
      </w:r>
      <w:r w:rsidRPr="00B47396">
        <w:rPr>
          <w:i/>
          <w:iCs/>
          <w:lang w:val="lv-LV"/>
        </w:rPr>
        <w:t>IPA III</w:t>
      </w:r>
      <w:r w:rsidRPr="00B47396">
        <w:rPr>
          <w:lang w:val="lv-LV"/>
        </w:rPr>
        <w:t>)</w:t>
      </w:r>
      <w:r w:rsidRPr="00B47396">
        <w:rPr>
          <w:rStyle w:val="FootnoteReference"/>
          <w:bCs/>
          <w:iCs/>
          <w:szCs w:val="24"/>
          <w:lang w:val="lv-LV"/>
        </w:rPr>
        <w:footnoteReference w:id="19"/>
      </w:r>
      <w:r w:rsidRPr="00B47396">
        <w:rPr>
          <w:lang w:val="lv-LV"/>
        </w:rPr>
        <w:t>,</w:t>
      </w:r>
    </w:p>
    <w:p w:rsidR="00DE6BFC" w:rsidRPr="00B47396" w:rsidRDefault="00DE6BFC" w:rsidP="00DE6BFC">
      <w:pPr>
        <w:pStyle w:val="Normal12Hanging"/>
        <w:rPr>
          <w:bCs/>
          <w:iCs/>
          <w:szCs w:val="24"/>
          <w:lang w:val="lv-LV"/>
        </w:rPr>
      </w:pPr>
      <w:r w:rsidRPr="00B47396">
        <w:rPr>
          <w:lang w:val="lv-LV"/>
        </w:rPr>
        <w:t>–</w:t>
      </w:r>
      <w:r w:rsidRPr="00B47396">
        <w:rPr>
          <w:lang w:val="lv-LV"/>
        </w:rPr>
        <w:tab/>
        <w:t xml:space="preserve">ņemot vērā Eiropas Ekonomikas un sociālo lietu komitejas 2014. gada 10. jūlija atzinumu “Pievienošanās Eiropas Savienībai: procesa </w:t>
      </w:r>
      <w:proofErr w:type="spellStart"/>
      <w:r w:rsidRPr="00B47396">
        <w:rPr>
          <w:lang w:val="lv-LV"/>
        </w:rPr>
        <w:t>pārredzamības</w:t>
      </w:r>
      <w:proofErr w:type="spellEnd"/>
      <w:r w:rsidRPr="00B47396">
        <w:rPr>
          <w:lang w:val="lv-LV"/>
        </w:rPr>
        <w:t xml:space="preserve"> un </w:t>
      </w:r>
      <w:proofErr w:type="spellStart"/>
      <w:r w:rsidRPr="00B47396">
        <w:rPr>
          <w:lang w:val="lv-LV"/>
        </w:rPr>
        <w:t>atvērtības</w:t>
      </w:r>
      <w:proofErr w:type="spellEnd"/>
      <w:r w:rsidRPr="00B47396">
        <w:rPr>
          <w:lang w:val="lv-LV"/>
        </w:rPr>
        <w:t xml:space="preserve"> uzlabošana”</w:t>
      </w:r>
      <w:r w:rsidRPr="00B47396">
        <w:rPr>
          <w:rStyle w:val="FootnoteReference"/>
          <w:lang w:val="lv-LV"/>
        </w:rPr>
        <w:footnoteReference w:id="20"/>
      </w:r>
      <w:r w:rsidRPr="00B47396">
        <w:rPr>
          <w:lang w:val="lv-LV"/>
        </w:rPr>
        <w:t>,</w:t>
      </w:r>
    </w:p>
    <w:p w:rsidR="00DE6BFC" w:rsidRPr="00B47396" w:rsidRDefault="00DE6BFC" w:rsidP="00DE6BFC">
      <w:pPr>
        <w:pStyle w:val="Normal12Hanging"/>
        <w:rPr>
          <w:szCs w:val="24"/>
          <w:lang w:val="lv-LV"/>
        </w:rPr>
      </w:pPr>
      <w:r w:rsidRPr="00B47396">
        <w:rPr>
          <w:lang w:val="lv-LV"/>
        </w:rPr>
        <w:t>–</w:t>
      </w:r>
      <w:r w:rsidRPr="00B47396">
        <w:rPr>
          <w:lang w:val="lv-LV"/>
        </w:rPr>
        <w:tab/>
        <w:t>ņemot vērā 2017. gada 16. februāra rezolūciju par Eiropas Savienības darbības uzlabošan</w:t>
      </w:r>
      <w:bookmarkStart w:id="8" w:name="_GoBack"/>
      <w:bookmarkEnd w:id="8"/>
      <w:r w:rsidRPr="00B47396">
        <w:rPr>
          <w:lang w:val="lv-LV"/>
        </w:rPr>
        <w:t>u, izmantojot Lisabonas līguma piedāvāto potenciālu</w:t>
      </w:r>
      <w:r w:rsidRPr="00B47396">
        <w:rPr>
          <w:rStyle w:val="FootnoteReference"/>
          <w:szCs w:val="24"/>
          <w:lang w:val="lv-LV"/>
        </w:rPr>
        <w:footnoteReference w:id="21"/>
      </w:r>
      <w:r w:rsidRPr="00B47396">
        <w:rPr>
          <w:lang w:val="lv-LV"/>
        </w:rPr>
        <w:t>, un 2023. gada 11. jūlija rezolūciju par ES Līgumos paredzēto pārejas klauzulu īstenošanu</w:t>
      </w:r>
      <w:r w:rsidRPr="00B47396">
        <w:rPr>
          <w:rStyle w:val="FootnoteReference"/>
          <w:szCs w:val="24"/>
          <w:lang w:val="lv-LV"/>
        </w:rPr>
        <w:footnoteReference w:id="22"/>
      </w:r>
      <w:r w:rsidRPr="00B47396">
        <w:rPr>
          <w:lang w:val="lv-LV"/>
        </w:rPr>
        <w:t>,</w:t>
      </w:r>
    </w:p>
    <w:p w:rsidR="00DE6BFC" w:rsidRPr="00B47396" w:rsidRDefault="00DE6BFC" w:rsidP="00DE6BFC">
      <w:pPr>
        <w:pStyle w:val="Normal12Hanging"/>
        <w:rPr>
          <w:szCs w:val="24"/>
          <w:lang w:val="lv-LV"/>
        </w:rPr>
      </w:pPr>
      <w:r w:rsidRPr="00B47396">
        <w:rPr>
          <w:lang w:val="lv-LV"/>
        </w:rPr>
        <w:t>–</w:t>
      </w:r>
      <w:r w:rsidRPr="00B47396">
        <w:rPr>
          <w:lang w:val="lv-LV"/>
        </w:rPr>
        <w:tab/>
        <w:t xml:space="preserve">ņemot vērā 2022. gada 9. maija ziņojumu par Konferences par Eiropas nākotni </w:t>
      </w:r>
      <w:r w:rsidR="00021DEA">
        <w:rPr>
          <w:lang w:val="lv-LV"/>
        </w:rPr>
        <w:t>2022. </w:t>
      </w:r>
      <w:r w:rsidR="00021DEA">
        <w:rPr>
          <w:lang w:val="lv-LV"/>
        </w:rPr>
        <w:t xml:space="preserve">gada 9. maija </w:t>
      </w:r>
      <w:r w:rsidRPr="00B47396">
        <w:rPr>
          <w:lang w:val="lv-LV"/>
        </w:rPr>
        <w:t>galīgajiem rezultātiem un 2022. gada 4. maija rezolūciju par turpmākajiem pasākumiem saistībā ar konferences par Eiropas nākotni secinājumiem</w:t>
      </w:r>
      <w:r w:rsidRPr="00B47396">
        <w:rPr>
          <w:rStyle w:val="FootnoteReference"/>
          <w:bCs/>
          <w:iCs/>
          <w:szCs w:val="24"/>
          <w:lang w:val="lv-LV"/>
        </w:rPr>
        <w:footnoteReference w:id="23"/>
      </w:r>
      <w:r w:rsidRPr="00B47396">
        <w:rPr>
          <w:lang w:val="lv-LV"/>
        </w:rPr>
        <w:t>,</w:t>
      </w:r>
    </w:p>
    <w:p w:rsidR="00DE6BFC" w:rsidRPr="00B47396" w:rsidRDefault="00DE6BFC" w:rsidP="00DE6BFC">
      <w:pPr>
        <w:pStyle w:val="Normal12Hanging"/>
        <w:rPr>
          <w:szCs w:val="24"/>
          <w:lang w:val="lv-LV"/>
        </w:rPr>
      </w:pPr>
      <w:r w:rsidRPr="00B47396">
        <w:rPr>
          <w:lang w:val="lv-LV"/>
        </w:rPr>
        <w:t>–</w:t>
      </w:r>
      <w:r w:rsidRPr="00B47396">
        <w:rPr>
          <w:sz w:val="20"/>
          <w:lang w:val="lv-LV"/>
        </w:rPr>
        <w:tab/>
      </w:r>
      <w:r w:rsidRPr="00B47396">
        <w:rPr>
          <w:lang w:val="lv-LV"/>
        </w:rPr>
        <w:t>ņemot vērā 2022. gada 9. jūnija rezolūciju par aicinājumu sasaukt konventu, lai grozītu Līgumus</w:t>
      </w:r>
      <w:r w:rsidRPr="00B47396">
        <w:rPr>
          <w:rStyle w:val="FootnoteReference"/>
          <w:szCs w:val="24"/>
          <w:lang w:val="lv-LV"/>
        </w:rPr>
        <w:footnoteReference w:id="24"/>
      </w:r>
      <w:r w:rsidRPr="00B47396">
        <w:rPr>
          <w:lang w:val="lv-LV"/>
        </w:rPr>
        <w:t>, un 2023. gada 22. novembra priekšlikumus par Eiropas Parlamenta Līgumu grozījumu projektu un LES 48. panta aktivizēšanu</w:t>
      </w:r>
      <w:r w:rsidRPr="00B47396">
        <w:rPr>
          <w:rStyle w:val="FootnoteReference"/>
          <w:bCs/>
          <w:iCs/>
          <w:szCs w:val="24"/>
          <w:lang w:val="lv-LV"/>
        </w:rPr>
        <w:footnoteReference w:id="25"/>
      </w:r>
      <w:r w:rsidRPr="00B47396">
        <w:rPr>
          <w:lang w:val="lv-LV"/>
        </w:rPr>
        <w:t>, aicinot Eiropadomi vienoties par aicinājumu sasaukt konventu Līgumu reformēšanai,</w:t>
      </w:r>
    </w:p>
    <w:p w:rsidR="00DE6BFC" w:rsidRPr="00B47396" w:rsidRDefault="00DE6BFC" w:rsidP="00DE6BFC">
      <w:pPr>
        <w:pStyle w:val="Normal12Hanging"/>
        <w:rPr>
          <w:szCs w:val="24"/>
          <w:lang w:val="lv-LV"/>
        </w:rPr>
      </w:pPr>
      <w:r w:rsidRPr="00B47396">
        <w:rPr>
          <w:lang w:val="lv-LV"/>
        </w:rPr>
        <w:lastRenderedPageBreak/>
        <w:t>–</w:t>
      </w:r>
      <w:r w:rsidRPr="00B47396">
        <w:rPr>
          <w:lang w:val="lv-LV"/>
        </w:rPr>
        <w:tab/>
        <w:t>ņemot vērā Reglamenta 54. pantu,</w:t>
      </w:r>
    </w:p>
    <w:p w:rsidR="00DE6BFC" w:rsidRPr="00B47396" w:rsidRDefault="00DE6BFC" w:rsidP="00DE6BFC">
      <w:pPr>
        <w:pStyle w:val="Normal12Hanging"/>
        <w:rPr>
          <w:szCs w:val="24"/>
          <w:lang w:val="lv-LV"/>
        </w:rPr>
      </w:pPr>
      <w:r w:rsidRPr="00B47396">
        <w:rPr>
          <w:lang w:val="lv-LV"/>
        </w:rPr>
        <w:t>–</w:t>
      </w:r>
      <w:r w:rsidRPr="00B47396">
        <w:rPr>
          <w:lang w:val="lv-LV"/>
        </w:rPr>
        <w:tab/>
        <w:t>ņemot vērā Ārlietu komitejas un Konstitucionālo jautājumu komitejas ziņojumu (A9-0015/2024),</w:t>
      </w:r>
    </w:p>
    <w:p w:rsidR="00DE6BFC" w:rsidRPr="00B47396" w:rsidRDefault="00DE6BFC" w:rsidP="00DE6BFC">
      <w:pPr>
        <w:pStyle w:val="Normal12Hanging"/>
        <w:rPr>
          <w:lang w:val="lv-LV"/>
        </w:rPr>
      </w:pPr>
      <w:r w:rsidRPr="00B47396">
        <w:rPr>
          <w:lang w:val="lv-LV"/>
        </w:rPr>
        <w:t>A.</w:t>
      </w:r>
      <w:r w:rsidRPr="00B47396">
        <w:rPr>
          <w:lang w:val="lv-LV"/>
        </w:rPr>
        <w:tab/>
        <w:t>tā kā deviņām no 10 valstīm, kas pašlaik vēlas pievienoties ES, ir kandidātvalsts statuss, turklāt dažām jau gadiem ilgi; tā kā šīs kandidātvalstis atrodas dažādos pievienošanās procesa un sarunu posmos;</w:t>
      </w:r>
    </w:p>
    <w:p w:rsidR="00DE6BFC" w:rsidRPr="00B47396" w:rsidRDefault="00DE6BFC" w:rsidP="00DE6BFC">
      <w:pPr>
        <w:pStyle w:val="Normal12Hanging"/>
        <w:rPr>
          <w:lang w:val="lv-LV"/>
        </w:rPr>
      </w:pPr>
      <w:r w:rsidRPr="00B47396">
        <w:rPr>
          <w:lang w:val="lv-LV"/>
        </w:rPr>
        <w:t>B.</w:t>
      </w:r>
      <w:r w:rsidRPr="00B47396">
        <w:rPr>
          <w:lang w:val="lv-LV"/>
        </w:rPr>
        <w:tab/>
        <w:t>tā kā, ņemot vērā Komisijas ieteikumus 2023. gada paplašināšanās paketē, Eiropadome 2023. gada 14. decembrī nolēma piešķirt kandidātvalsts statusu Gruzijai un sākt pievienošanās sarunas ar Ukrainu un Moldovas Republiku, kā arī ar Bosniju un Hercegovinu, tiklīdz būs sasniegts nepieciešamais atbilstības līmenis dalības kritērijiem;</w:t>
      </w:r>
    </w:p>
    <w:p w:rsidR="00DE6BFC" w:rsidRPr="00B47396" w:rsidRDefault="00DE6BFC" w:rsidP="00DE6BFC">
      <w:pPr>
        <w:pStyle w:val="Normal12Hanging"/>
        <w:rPr>
          <w:lang w:val="lv-LV"/>
        </w:rPr>
      </w:pPr>
      <w:r w:rsidRPr="00B47396">
        <w:rPr>
          <w:lang w:val="lv-LV"/>
        </w:rPr>
        <w:t>C.</w:t>
      </w:r>
      <w:r w:rsidRPr="00B47396">
        <w:rPr>
          <w:lang w:val="lv-LV"/>
        </w:rPr>
        <w:tab/>
        <w:t xml:space="preserve">tā kā Krievijas agresijas karš pret Ukrainu un citi pašreizējie ģeopolitiskie izaicinājumi piešķir jaunu </w:t>
      </w:r>
      <w:proofErr w:type="spellStart"/>
      <w:r w:rsidRPr="00B47396">
        <w:rPr>
          <w:lang w:val="lv-LV"/>
        </w:rPr>
        <w:t>ģeostratēģisku</w:t>
      </w:r>
      <w:proofErr w:type="spellEnd"/>
      <w:r w:rsidRPr="00B47396">
        <w:rPr>
          <w:lang w:val="lv-LV"/>
        </w:rPr>
        <w:t xml:space="preserve"> nozīmi Eiropas Savienības paplašināšanās procesam; tā kā stabilitāte, drošība un demokrātiskā noturība </w:t>
      </w:r>
      <w:proofErr w:type="spellStart"/>
      <w:r w:rsidRPr="00B47396">
        <w:rPr>
          <w:lang w:val="lv-LV"/>
        </w:rPr>
        <w:t>Rietumbalkānu</w:t>
      </w:r>
      <w:proofErr w:type="spellEnd"/>
      <w:r w:rsidRPr="00B47396">
        <w:rPr>
          <w:lang w:val="lv-LV"/>
        </w:rPr>
        <w:t xml:space="preserve"> reģionā un austrumu </w:t>
      </w:r>
      <w:proofErr w:type="spellStart"/>
      <w:r w:rsidRPr="00B47396">
        <w:rPr>
          <w:lang w:val="lv-LV"/>
        </w:rPr>
        <w:t>kaimiņreģionā</w:t>
      </w:r>
      <w:proofErr w:type="spellEnd"/>
      <w:r w:rsidRPr="00B47396">
        <w:rPr>
          <w:lang w:val="lv-LV"/>
        </w:rPr>
        <w:t xml:space="preserve"> ir cieši saistīta ar ES drošību, stabilitāti un demokrātijas noturību;</w:t>
      </w:r>
    </w:p>
    <w:p w:rsidR="00DE6BFC" w:rsidRPr="00B47396" w:rsidRDefault="00DE6BFC" w:rsidP="00DE6BFC">
      <w:pPr>
        <w:pStyle w:val="Normal12Hanging"/>
        <w:rPr>
          <w:lang w:val="lv-LV"/>
        </w:rPr>
      </w:pPr>
      <w:r w:rsidRPr="00B47396">
        <w:rPr>
          <w:lang w:val="lv-LV"/>
        </w:rPr>
        <w:t>D.</w:t>
      </w:r>
      <w:r w:rsidRPr="00B47396">
        <w:rPr>
          <w:lang w:val="lv-LV"/>
        </w:rPr>
        <w:tab/>
        <w:t xml:space="preserve">tā kā paplašināšanās ir morāla un vēsturiska apņemšanās un stratēģiska ģeopolitiska prioritāte, kas nākotnē nodrošinās </w:t>
      </w:r>
      <w:proofErr w:type="spellStart"/>
      <w:r w:rsidRPr="00B47396">
        <w:rPr>
          <w:lang w:val="lv-LV"/>
        </w:rPr>
        <w:t>ģeostratēģisku</w:t>
      </w:r>
      <w:proofErr w:type="spellEnd"/>
      <w:r w:rsidRPr="00B47396">
        <w:rPr>
          <w:lang w:val="lv-LV"/>
        </w:rPr>
        <w:t xml:space="preserve"> ieguldījumu un veicinās mieru, stabilitāti, drošību, demokrātiju, vienotību, cīņu pret klimata pārmaiņām, kā arī nodrošinās turību un labklājību Eiropas kontinentā; tā kā ES drošība balstās uz tās spēju aizstāvēt, virzīt un saglabāt mieru, demokrātiju, tiesiskumu, cilvēktiesības un pamatvērtības; tā kā paplašināšanās var būt abpusēji izdevīga gan pašreizējām, gan nākamajām dalībvalstīm un to pilsoņiem, ja tiek izpildīti pienācīgi nosacījumi un prasības;</w:t>
      </w:r>
    </w:p>
    <w:p w:rsidR="00DE6BFC" w:rsidRPr="00B47396" w:rsidRDefault="00DE6BFC" w:rsidP="00DE6BFC">
      <w:pPr>
        <w:pStyle w:val="Normal12Hanging"/>
        <w:rPr>
          <w:bCs/>
          <w:iCs/>
          <w:lang w:val="lv-LV"/>
        </w:rPr>
      </w:pPr>
      <w:r w:rsidRPr="00B47396">
        <w:rPr>
          <w:lang w:val="lv-LV"/>
        </w:rPr>
        <w:t>E.</w:t>
      </w:r>
      <w:r w:rsidRPr="00B47396">
        <w:rPr>
          <w:lang w:val="lv-LV"/>
        </w:rPr>
        <w:tab/>
        <w:t xml:space="preserve">tā kā paplašināšanās ir kļuvusi par vienu no spēcīgākajiem ES politikas un ģeopolitiskajiem instrumentiem; tā kā saskaņā ar Eirobarometra 2023. gada jūnija aptauju lielākā daļa ES iedzīvotāju atbalsta ES tālāku paplašināšanos; tā kā steidzami ir vajadzīgs jauns impulss, jauna apņemšanās un jauns redzējums, lai </w:t>
      </w:r>
      <w:proofErr w:type="spellStart"/>
      <w:r w:rsidRPr="00B47396">
        <w:rPr>
          <w:lang w:val="lv-LV"/>
        </w:rPr>
        <w:t>reaktivizētu</w:t>
      </w:r>
      <w:proofErr w:type="spellEnd"/>
      <w:r w:rsidRPr="00B47396">
        <w:rPr>
          <w:lang w:val="lv-LV"/>
        </w:rPr>
        <w:t xml:space="preserve"> paplašināšanās procesu, nodrošinot tā nepārtrauktību, konsekvenci un ietekmi; tā kā nevēlēšanās iesaistīties iepriekšējos gados ir radījusi vakuumu, tādējādi paverot iespējas Krievijai, Ķīnai un citām ārējām varām; tā kā vienmēr ir jāievēro īstenas savstarpējas sadarbības princips;</w:t>
      </w:r>
    </w:p>
    <w:p w:rsidR="00DE6BFC" w:rsidRPr="00B47396" w:rsidRDefault="00DE6BFC" w:rsidP="00DE6BFC">
      <w:pPr>
        <w:pStyle w:val="Normal12Hanging"/>
        <w:rPr>
          <w:bCs/>
          <w:iCs/>
          <w:lang w:val="lv-LV"/>
        </w:rPr>
      </w:pPr>
      <w:r w:rsidRPr="00B47396">
        <w:rPr>
          <w:lang w:val="lv-LV"/>
        </w:rPr>
        <w:t>F.</w:t>
      </w:r>
      <w:r w:rsidRPr="00B47396">
        <w:rPr>
          <w:lang w:val="lv-LV"/>
        </w:rPr>
        <w:tab/>
        <w:t>tā kā pievienošanās Eiropas Savienībai vienmēr jābūt uz panākumiem balstītai procedūrai, kurā katru pieteikuma iesniedzēju novērtē pēc tā panākumiem visu Kopenhāgenas kritēriju kopuma izpildē, tostarp pēc tā, vai tie visu laiku un pilnībā ievēro cilvēktiesības, arī minoritāšu tiesības, demokrātiju, tiesiskumu, kā arī citas ES pamatvērtības; tā kā pēc iespējas ātrāk būtu jācenšas panākt pozitīvus rezultātus, vienlaikus izvairoties no paātrinājuma vai nospraustiem termiņiem;</w:t>
      </w:r>
    </w:p>
    <w:p w:rsidR="00DE6BFC" w:rsidRPr="00B47396" w:rsidRDefault="00DE6BFC" w:rsidP="00DE6BFC">
      <w:pPr>
        <w:pStyle w:val="Normal12Hanging"/>
        <w:ind w:hanging="566"/>
        <w:rPr>
          <w:rFonts w:eastAsiaTheme="minorEastAsia"/>
          <w:bCs/>
          <w:iCs/>
          <w:lang w:val="lv-LV"/>
        </w:rPr>
      </w:pPr>
      <w:r w:rsidRPr="00B47396">
        <w:rPr>
          <w:lang w:val="lv-LV"/>
        </w:rPr>
        <w:t>G.</w:t>
      </w:r>
      <w:r w:rsidRPr="00B47396">
        <w:rPr>
          <w:lang w:val="lv-LV"/>
        </w:rPr>
        <w:tab/>
        <w:t>tā kā stagnācijai vai regresam ir jārada sekas, jo visam pievienošanās procesam ir jābalstās uz taisnīgiem un stingriem nosacījumiem;</w:t>
      </w:r>
    </w:p>
    <w:p w:rsidR="00DE6BFC" w:rsidRPr="00B47396" w:rsidRDefault="00DE6BFC" w:rsidP="00DE6BFC">
      <w:pPr>
        <w:pStyle w:val="Normal12Hanging"/>
        <w:rPr>
          <w:bCs/>
          <w:iCs/>
          <w:szCs w:val="24"/>
          <w:lang w:val="lv-LV"/>
        </w:rPr>
      </w:pPr>
      <w:r w:rsidRPr="00B47396">
        <w:rPr>
          <w:lang w:val="lv-LV"/>
        </w:rPr>
        <w:t>H.</w:t>
      </w:r>
      <w:r w:rsidRPr="00B47396">
        <w:rPr>
          <w:lang w:val="lv-LV"/>
        </w:rPr>
        <w:tab/>
        <w:t>tā kā, lai pievienošanās ES būtu iespējama, kā ES, tā kandidātvalstīm ir vajadzīga vērienīga integrācijas programma; tā kā kandidātvalstīm ir nepieciešamas fundamentālas reformas tādās jomās kā tiesu sistēma, cīņa pret korupciju, mediju brīvība un plurālisms, lai tās varētu virzīties uz ES;</w:t>
      </w:r>
    </w:p>
    <w:p w:rsidR="00DE6BFC" w:rsidRPr="00B47396" w:rsidRDefault="00DE6BFC" w:rsidP="00DE6BFC">
      <w:pPr>
        <w:pStyle w:val="Normal12Hanging"/>
        <w:rPr>
          <w:bCs/>
          <w:iCs/>
          <w:szCs w:val="24"/>
          <w:lang w:val="lv-LV"/>
        </w:rPr>
      </w:pPr>
      <w:r w:rsidRPr="00B47396">
        <w:rPr>
          <w:lang w:val="lv-LV"/>
        </w:rPr>
        <w:lastRenderedPageBreak/>
        <w:t>I.</w:t>
      </w:r>
      <w:r w:rsidRPr="00B47396">
        <w:rPr>
          <w:lang w:val="lv-LV"/>
        </w:rPr>
        <w:tab/>
        <w:t xml:space="preserve">tā kā līdz ar nākamo paplašināšanos būtu lietderīgi pabeigt pašreizējo dalībvalstu pievienošanos </w:t>
      </w:r>
      <w:proofErr w:type="spellStart"/>
      <w:r w:rsidRPr="00B47396">
        <w:rPr>
          <w:lang w:val="lv-LV"/>
        </w:rPr>
        <w:t>euro</w:t>
      </w:r>
      <w:proofErr w:type="spellEnd"/>
      <w:r w:rsidRPr="00B47396">
        <w:rPr>
          <w:lang w:val="lv-LV"/>
        </w:rPr>
        <w:t xml:space="preserve"> zonai un Šengenas zonai;</w:t>
      </w:r>
    </w:p>
    <w:p w:rsidR="00DE6BFC" w:rsidRPr="00B47396" w:rsidRDefault="00DE6BFC" w:rsidP="00DE6BFC">
      <w:pPr>
        <w:pStyle w:val="Normal12Hanging"/>
        <w:rPr>
          <w:lang w:val="lv-LV"/>
        </w:rPr>
      </w:pPr>
      <w:r w:rsidRPr="00B47396">
        <w:rPr>
          <w:lang w:val="lv-LV"/>
        </w:rPr>
        <w:t>J.</w:t>
      </w:r>
      <w:r w:rsidRPr="00B47396">
        <w:rPr>
          <w:lang w:val="lv-LV"/>
        </w:rPr>
        <w:tab/>
        <w:t xml:space="preserve">tā kā </w:t>
      </w:r>
      <w:proofErr w:type="spellStart"/>
      <w:r w:rsidRPr="00B47396">
        <w:rPr>
          <w:lang w:val="lv-LV"/>
        </w:rPr>
        <w:t>Rietumbalkānu</w:t>
      </w:r>
      <w:proofErr w:type="spellEnd"/>
      <w:r w:rsidRPr="00B47396">
        <w:rPr>
          <w:lang w:val="lv-LV"/>
        </w:rPr>
        <w:t xml:space="preserve"> valstīm ir jākoncentrējas arī uz konfliktu risināšanu, reģionālo sadarbību un izlīgumu; tā kā ES vai valstīs, kuras vēlas kļūt par dalībvalstīm, nav vietas musinošai retorikai, genocīda noliegumam vai jebkuras puses kara noziedznieku glorificēšanai; tā kā vienošanās par pagātni ir vienīgais veids, kā garantēt patiesu izlīgumu, kam ir izšķiroša nozīme plaukstošai sabiedrībai un veiksmīgai integrācijai;</w:t>
      </w:r>
    </w:p>
    <w:p w:rsidR="00DE6BFC" w:rsidRPr="00B47396" w:rsidRDefault="00DE6BFC" w:rsidP="00DE6BFC">
      <w:pPr>
        <w:pStyle w:val="Normal12Hanging"/>
        <w:rPr>
          <w:bCs/>
          <w:iCs/>
          <w:lang w:val="lv-LV"/>
        </w:rPr>
      </w:pPr>
      <w:r w:rsidRPr="00B47396">
        <w:rPr>
          <w:lang w:val="lv-LV"/>
        </w:rPr>
        <w:t>K.</w:t>
      </w:r>
      <w:r w:rsidRPr="00B47396">
        <w:rPr>
          <w:lang w:val="lv-LV"/>
        </w:rPr>
        <w:tab/>
        <w:t>tā kā ES paplašināšanas un padziļināšanas procesiem ir jānorit paralēli, jo šie procesi spēj savstarpēji stiprināt viens otru, palielinot to ietekmi un sniedzot būtisku ieguldījumu to visaptverošo mērķu sasniegšanā, kuru sasniegšanai ES tika izveidota;</w:t>
      </w:r>
    </w:p>
    <w:p w:rsidR="00DE6BFC" w:rsidRPr="00B47396" w:rsidRDefault="00DE6BFC" w:rsidP="00DE6BFC">
      <w:pPr>
        <w:pStyle w:val="Normal12Hanging"/>
        <w:rPr>
          <w:bCs/>
          <w:iCs/>
          <w:szCs w:val="24"/>
          <w:lang w:val="lv-LV"/>
        </w:rPr>
      </w:pPr>
      <w:r w:rsidRPr="00B47396">
        <w:rPr>
          <w:lang w:val="lv-LV"/>
        </w:rPr>
        <w:t>L.</w:t>
      </w:r>
      <w:r w:rsidRPr="00B47396">
        <w:rPr>
          <w:lang w:val="lv-LV"/>
        </w:rPr>
        <w:tab/>
        <w:t>tā kā lielāka Eiropas Savienība ir izaicinājums, kam vajadzīga tāda uzlabota paplašināšanās politika, kas balstīta uz pakāpenisku integrāciju kopējā politikā un kas sniedz skaidru labumu iedzīvotājiem visa šī procesa laikā;</w:t>
      </w:r>
    </w:p>
    <w:p w:rsidR="00DE6BFC" w:rsidRPr="00B47396" w:rsidRDefault="00DE6BFC" w:rsidP="00DE6BFC">
      <w:pPr>
        <w:pStyle w:val="Normal12Hanging"/>
        <w:rPr>
          <w:rFonts w:eastAsia="Calibri"/>
          <w:bCs/>
          <w:iCs/>
          <w:lang w:val="lv-LV"/>
        </w:rPr>
      </w:pPr>
      <w:r w:rsidRPr="00B47396">
        <w:rPr>
          <w:lang w:val="lv-LV"/>
        </w:rPr>
        <w:t>M.</w:t>
      </w:r>
      <w:r w:rsidRPr="00B47396">
        <w:rPr>
          <w:lang w:val="lv-LV"/>
        </w:rPr>
        <w:tab/>
        <w:t>tā kā saistībā ar paplašināšanos ir nepieciešams visaptveroši izvērtēt pašreizējo un nākamo Eiropas politikas virzienu pārskatīšanu, strukturālās reformas, institucionālās izmaiņas un daudzgadu finanšu shēmu (DFS) 2028.–2034. gadam;</w:t>
      </w:r>
    </w:p>
    <w:p w:rsidR="00DE6BFC" w:rsidRPr="00B47396" w:rsidRDefault="00DE6BFC" w:rsidP="00DE6BFC">
      <w:pPr>
        <w:pStyle w:val="Normal12Hanging"/>
        <w:rPr>
          <w:lang w:val="lv-LV"/>
        </w:rPr>
      </w:pPr>
      <w:r w:rsidRPr="00B47396">
        <w:rPr>
          <w:lang w:val="lv-LV"/>
        </w:rPr>
        <w:t>N.</w:t>
      </w:r>
      <w:r w:rsidRPr="00B47396">
        <w:rPr>
          <w:lang w:val="lv-LV"/>
        </w:rPr>
        <w:tab/>
        <w:t xml:space="preserve">tā kā </w:t>
      </w:r>
      <w:proofErr w:type="spellStart"/>
      <w:r w:rsidRPr="00B47396">
        <w:rPr>
          <w:lang w:val="lv-LV"/>
        </w:rPr>
        <w:t>Rietumbalkānu</w:t>
      </w:r>
      <w:proofErr w:type="spellEnd"/>
      <w:r w:rsidRPr="00B47396">
        <w:rPr>
          <w:lang w:val="lv-LV"/>
        </w:rPr>
        <w:t xml:space="preserve"> valstis jau gadu desmitiem ir paudušas apņemšanos pievienoties ES; tā kā 2022. gada 23. un 24. jūnijā ES līderi atkārtoti apstiprināja pilnīgu un nepārprotamu apņemšanos atbalstīt </w:t>
      </w:r>
      <w:proofErr w:type="spellStart"/>
      <w:r w:rsidRPr="00B47396">
        <w:rPr>
          <w:lang w:val="lv-LV"/>
        </w:rPr>
        <w:t>Rietumbalkānu</w:t>
      </w:r>
      <w:proofErr w:type="spellEnd"/>
      <w:r w:rsidRPr="00B47396">
        <w:rPr>
          <w:lang w:val="lv-LV"/>
        </w:rPr>
        <w:t xml:space="preserve"> izredzes iestāties ES;</w:t>
      </w:r>
    </w:p>
    <w:p w:rsidR="00DE6BFC" w:rsidRPr="00B47396" w:rsidRDefault="00DE6BFC" w:rsidP="00DE6BFC">
      <w:pPr>
        <w:pStyle w:val="Normal12Hanging"/>
        <w:rPr>
          <w:lang w:val="lv-LV"/>
        </w:rPr>
      </w:pPr>
      <w:r w:rsidRPr="00B47396">
        <w:rPr>
          <w:lang w:val="lv-LV"/>
        </w:rPr>
        <w:t>O.</w:t>
      </w:r>
      <w:r w:rsidRPr="00B47396">
        <w:rPr>
          <w:lang w:val="lv-LV"/>
        </w:rPr>
        <w:tab/>
        <w:t>tā kā kandidātvalstīm ir jāpierāda, ka tās ievēro ES pamatvērtības, pieskaņojoties ES politikai un politiskajām nostādnēm, tostarp kopējai ārpolitikai un drošības politikai (KĀDP);</w:t>
      </w:r>
    </w:p>
    <w:p w:rsidR="00DE6BFC" w:rsidRPr="00B47396" w:rsidRDefault="00DE6BFC" w:rsidP="00DE6BFC">
      <w:pPr>
        <w:pStyle w:val="Normal12Hanging"/>
        <w:rPr>
          <w:lang w:val="lv-LV"/>
        </w:rPr>
      </w:pPr>
      <w:r w:rsidRPr="00B47396">
        <w:rPr>
          <w:lang w:val="lv-LV"/>
        </w:rPr>
        <w:t>P.</w:t>
      </w:r>
      <w:r w:rsidRPr="00B47396">
        <w:rPr>
          <w:b/>
          <w:i/>
          <w:lang w:val="lv-LV"/>
        </w:rPr>
        <w:tab/>
      </w:r>
      <w:r w:rsidRPr="00B47396">
        <w:rPr>
          <w:lang w:val="lv-LV"/>
        </w:rPr>
        <w:t xml:space="preserve">tā kā atsevišķas </w:t>
      </w:r>
      <w:proofErr w:type="spellStart"/>
      <w:r w:rsidRPr="00B47396">
        <w:rPr>
          <w:lang w:val="lv-LV"/>
        </w:rPr>
        <w:t>Rietumbalkānu</w:t>
      </w:r>
      <w:proofErr w:type="spellEnd"/>
      <w:r w:rsidRPr="00B47396">
        <w:rPr>
          <w:lang w:val="lv-LV"/>
        </w:rPr>
        <w:t xml:space="preserve"> valstis pēdējos gados ir sasniegušas ļoti augstu saskaņotības līmeni ar ES KĀDP, tostarp attiecībā uz sankcijām pret Krieviju, reaģējot uz tās agresijas karu pret Ukrainu; tā kā 2023. gada martā Albānijas, Kosovas, Melnkalnes un </w:t>
      </w:r>
      <w:proofErr w:type="spellStart"/>
      <w:r w:rsidRPr="00B47396">
        <w:rPr>
          <w:lang w:val="lv-LV"/>
        </w:rPr>
        <w:t>Ziemeļmaķedonijas</w:t>
      </w:r>
      <w:proofErr w:type="spellEnd"/>
      <w:r w:rsidRPr="00B47396">
        <w:rPr>
          <w:lang w:val="lv-LV"/>
        </w:rPr>
        <w:t xml:space="preserve"> ārlietu ministri atklāja platformu “</w:t>
      </w:r>
      <w:proofErr w:type="spellStart"/>
      <w:r w:rsidRPr="00B47396">
        <w:rPr>
          <w:lang w:val="lv-LV"/>
        </w:rPr>
        <w:t>Rietumbalkānu</w:t>
      </w:r>
      <w:proofErr w:type="spellEnd"/>
      <w:r w:rsidRPr="00B47396">
        <w:rPr>
          <w:lang w:val="lv-LV"/>
        </w:rPr>
        <w:t xml:space="preserve"> QUAD — 100 % pieskaņošanās  ES kopējai ārpolitikai un drošības politikai (KĀDP)”;</w:t>
      </w:r>
    </w:p>
    <w:p w:rsidR="00DE6BFC" w:rsidRPr="00B47396" w:rsidRDefault="00DE6BFC" w:rsidP="00DE6BFC">
      <w:pPr>
        <w:pStyle w:val="Normal12Hanging"/>
        <w:rPr>
          <w:bCs/>
          <w:iCs/>
          <w:lang w:val="lv-LV"/>
        </w:rPr>
      </w:pPr>
      <w:r w:rsidRPr="00B47396">
        <w:rPr>
          <w:lang w:val="lv-LV"/>
        </w:rPr>
        <w:t>Q.</w:t>
      </w:r>
      <w:r w:rsidRPr="00B47396">
        <w:rPr>
          <w:lang w:val="lv-LV"/>
        </w:rPr>
        <w:tab/>
        <w:t xml:space="preserve">tā kā ES ir jādemonstrē skaidra politiskā griba atbalstīt kandidātvalstis un ir ievērojami jāpalielina tās nosacījumos balstītais tehniskais un finansiālais atbalsts fundamentālām reformām pievienošanās </w:t>
      </w:r>
      <w:proofErr w:type="spellStart"/>
      <w:r w:rsidRPr="00B47396">
        <w:rPr>
          <w:lang w:val="lv-LV"/>
        </w:rPr>
        <w:t>sarunvalstīs</w:t>
      </w:r>
      <w:proofErr w:type="spellEnd"/>
      <w:r w:rsidRPr="00B47396">
        <w:rPr>
          <w:lang w:val="lv-LV"/>
        </w:rPr>
        <w:t xml:space="preserve">, divpusēju strīdu izšķiršanai, ekonomiskajai konverģencei un reģionālajai ekonomiskajai integrācijai; tā kā jaunā izaugsmes plāna </w:t>
      </w:r>
      <w:proofErr w:type="spellStart"/>
      <w:r w:rsidRPr="00B47396">
        <w:rPr>
          <w:lang w:val="lv-LV"/>
        </w:rPr>
        <w:t>Rietumbalkāniem</w:t>
      </w:r>
      <w:proofErr w:type="spellEnd"/>
      <w:r w:rsidRPr="00B47396">
        <w:rPr>
          <w:lang w:val="lv-LV"/>
        </w:rPr>
        <w:t xml:space="preserve"> mērķis ir paātrināt fundamentālas reformas, sekmēt šo valstu integrāciju ES vienotajā tirgū, kā arī veicināt reģiona ekonomisko integrāciju;</w:t>
      </w:r>
    </w:p>
    <w:p w:rsidR="00DE6BFC" w:rsidRPr="00B47396" w:rsidRDefault="00DE6BFC" w:rsidP="00DE6BFC">
      <w:pPr>
        <w:pStyle w:val="Normal12Hanging"/>
        <w:rPr>
          <w:bCs/>
          <w:iCs/>
          <w:szCs w:val="24"/>
          <w:lang w:val="lv-LV"/>
        </w:rPr>
      </w:pPr>
      <w:r w:rsidRPr="00B47396">
        <w:rPr>
          <w:lang w:val="lv-LV"/>
        </w:rPr>
        <w:t>R.</w:t>
      </w:r>
      <w:r w:rsidRPr="00B47396">
        <w:rPr>
          <w:lang w:val="lv-LV"/>
        </w:rPr>
        <w:tab/>
        <w:t xml:space="preserve">tā kā ļaunprātīgi ārvalstu </w:t>
      </w:r>
      <w:proofErr w:type="spellStart"/>
      <w:r w:rsidRPr="00B47396">
        <w:rPr>
          <w:lang w:val="lv-LV"/>
        </w:rPr>
        <w:t>rīcībspēki</w:t>
      </w:r>
      <w:proofErr w:type="spellEnd"/>
      <w:r w:rsidRPr="00B47396">
        <w:rPr>
          <w:lang w:val="lv-LV"/>
        </w:rPr>
        <w:t xml:space="preserve"> izmanto </w:t>
      </w:r>
      <w:proofErr w:type="spellStart"/>
      <w:r w:rsidRPr="00B47396">
        <w:rPr>
          <w:lang w:val="lv-LV"/>
        </w:rPr>
        <w:t>hibrīdiejaukšanās</w:t>
      </w:r>
      <w:proofErr w:type="spellEnd"/>
      <w:r w:rsidRPr="00B47396">
        <w:rPr>
          <w:lang w:val="lv-LV"/>
        </w:rPr>
        <w:t xml:space="preserve"> metodes, lai ietekmētu un vājinātu ES integrāciju;</w:t>
      </w:r>
    </w:p>
    <w:p w:rsidR="00DE6BFC" w:rsidRPr="00B47396" w:rsidRDefault="00DE6BFC" w:rsidP="00DE6BFC">
      <w:pPr>
        <w:pStyle w:val="Normal12Hanging"/>
        <w:rPr>
          <w:bCs/>
          <w:iCs/>
          <w:lang w:val="lv-LV"/>
        </w:rPr>
      </w:pPr>
      <w:r w:rsidRPr="00B47396">
        <w:rPr>
          <w:lang w:val="lv-LV"/>
        </w:rPr>
        <w:t>S.</w:t>
      </w:r>
      <w:r w:rsidRPr="00B47396">
        <w:rPr>
          <w:lang w:val="lv-LV"/>
        </w:rPr>
        <w:tab/>
        <w:t xml:space="preserve">tā kā Eiropas Parlaments neapšaubāmi ir ES iestāde, kas visvairāk atbalsta paplašināšanos; tā kā Parlamenta loma visā paplašināšanās procesā joprojām ir ārkārtīgi ierobežota un tā būtu jāstiprina, lai palielinātu demokrātisko leģitimitāti un </w:t>
      </w:r>
      <w:proofErr w:type="spellStart"/>
      <w:r w:rsidRPr="00B47396">
        <w:rPr>
          <w:lang w:val="lv-LV"/>
        </w:rPr>
        <w:t>pārskatatbildību</w:t>
      </w:r>
      <w:proofErr w:type="spellEnd"/>
      <w:r w:rsidRPr="00B47396">
        <w:rPr>
          <w:lang w:val="lv-LV"/>
        </w:rPr>
        <w:t xml:space="preserve">, tostarp dodot tam iespēju izvērtēt pievienošanās starpposma posmus, cita starpā rīkojot regulāras komiteju sanāksmes, un īstenot parlamentāro kontroli pār </w:t>
      </w:r>
      <w:proofErr w:type="spellStart"/>
      <w:r w:rsidRPr="00B47396">
        <w:rPr>
          <w:lang w:val="lv-LV"/>
        </w:rPr>
        <w:t>pirmspievienošanās</w:t>
      </w:r>
      <w:proofErr w:type="spellEnd"/>
      <w:r w:rsidRPr="00B47396">
        <w:rPr>
          <w:lang w:val="lv-LV"/>
        </w:rPr>
        <w:t xml:space="preserve"> finansējumu, vienlaikus izmantojot tā esošos instrumentus un instrumentus, tostarp demokrātijas atbalsta programmas; tā kā paplašināšanās procesā </w:t>
      </w:r>
      <w:r w:rsidRPr="00B47396">
        <w:rPr>
          <w:lang w:val="lv-LV"/>
        </w:rPr>
        <w:lastRenderedPageBreak/>
        <w:t>un tā kontrolē būtu strukturāli jāiesaista reģionālās un vietējās pārvaldes iestādes un pilsoniskās sabiedrības organizācijas;</w:t>
      </w:r>
    </w:p>
    <w:p w:rsidR="00DE6BFC" w:rsidRPr="00B47396" w:rsidRDefault="00DE6BFC" w:rsidP="00DE6BFC">
      <w:pPr>
        <w:pStyle w:val="Normal12Hanging"/>
        <w:rPr>
          <w:lang w:val="lv-LV"/>
        </w:rPr>
      </w:pPr>
      <w:r w:rsidRPr="00B47396">
        <w:rPr>
          <w:lang w:val="lv-LV"/>
        </w:rPr>
        <w:t>T.</w:t>
      </w:r>
      <w:r w:rsidRPr="00B47396">
        <w:rPr>
          <w:lang w:val="lv-LV"/>
        </w:rPr>
        <w:tab/>
        <w:t>tā kā nozīmīgas iniciatīvas, piemēram, Eiropas Politiskā kopiena, kas jau ir sarīkojusi trīs oficiālas sanāksmes, nodrošina politisko sadarbību un veicina reģionālos dialogus dažādās jomās starp ES un citām valstīm, bet nav alternatīvas dalībai ES;</w:t>
      </w:r>
    </w:p>
    <w:p w:rsidR="00DE6BFC" w:rsidRPr="00B47396" w:rsidRDefault="00DE6BFC" w:rsidP="00DE6BFC">
      <w:pPr>
        <w:pStyle w:val="Normal12Hanging"/>
        <w:rPr>
          <w:lang w:val="lv-LV"/>
        </w:rPr>
      </w:pPr>
      <w:r w:rsidRPr="00B47396">
        <w:rPr>
          <w:lang w:val="lv-LV"/>
        </w:rPr>
        <w:t>U.</w:t>
      </w:r>
      <w:r w:rsidRPr="00B47396">
        <w:rPr>
          <w:lang w:val="lv-LV"/>
        </w:rPr>
        <w:tab/>
        <w:t xml:space="preserve">tā kā ir vajadzīgas būtiskas pirms paplašināšanās veiktas reformas, lai garantētu paplašinātās ES efektīvu darbību un tās spēju uzņemt jaunas dalībvalstis un veicināt to sekmīgu integrāciju, kā arī pienācīgi reaģēt uz </w:t>
      </w:r>
      <w:proofErr w:type="spellStart"/>
      <w:r w:rsidRPr="00B47396">
        <w:rPr>
          <w:lang w:val="lv-LV"/>
        </w:rPr>
        <w:t>daudzajām</w:t>
      </w:r>
      <w:proofErr w:type="spellEnd"/>
      <w:r w:rsidRPr="00B47396">
        <w:rPr>
          <w:lang w:val="lv-LV"/>
        </w:rPr>
        <w:t xml:space="preserve"> problēmām, ar kurām tā pašlaik saskaras; tā kā tas var nozīmēt būtiskas izmaiņas ES institucionālajā sistēmā un iespējamu diferencētu integrācijas risinājumu ieviešanu tajos gadījumos, ko pieļauj Līgumi; tā kā daži no šiem risinājumiem jau kādu laiku tiek apspriesti; tā kā, lai to panāktu, pirms padziļinātākas reformas saistībā ar iespējamu Līgumu pārskatīšanu ES vajadzētu arī pilnībā izmantot Lisabonas līgumā paredzēto elastību;</w:t>
      </w:r>
    </w:p>
    <w:p w:rsidR="00DE6BFC" w:rsidRPr="00B47396" w:rsidRDefault="00DE6BFC" w:rsidP="00DE6BFC">
      <w:pPr>
        <w:pStyle w:val="Normal12Hanging"/>
        <w:rPr>
          <w:lang w:val="lv-LV"/>
        </w:rPr>
      </w:pPr>
      <w:r w:rsidRPr="00B47396">
        <w:rPr>
          <w:lang w:val="lv-LV"/>
        </w:rPr>
        <w:t>V.</w:t>
      </w:r>
      <w:r w:rsidRPr="00B47396">
        <w:rPr>
          <w:lang w:val="lv-LV"/>
        </w:rPr>
        <w:tab/>
        <w:t>tā kā ES saskaras ar ievērojamu izaicinājumu nodrošināt efektīvu krīžu pārvaldību, īpaši lēmumu pieņemšanas procedūrās, tā kā ES uzticamība un spēja rīkoties savlaicīgi un efektīvi ir atkarīga no demokrātiskas un efektīvas lēmumu pieņemšanas un tas būs vēl aktuālāk paplašinātajā ES, kurā būs 30 vai vairāk dalībvalstis; tā kā ir skaidrs, ka ES iestādes un lēmumu pieņemšanas mehānismi, sevišķi Padomē, nav piemēroti Savienībai ar lielāku dalībvalstu skaitu; tā kā politiskā griba un efektīva lēmumu pieņemšana, kas savukārt noved pie savlaicīgas un koordinētas iekšējās un ārējās darbības, ir būtiska, lai aizsargātu ES intereses un tās globālo ģeopolitisko līderību un uzticamību; tā kā nesenās grūtības ES pieņemt lēmumus par sankcijām apstiprina priekšrocības, ko sniedz atteikšanās no vienprātības; tā kā paralēli pievienošanās sarunām tur, kur tas vajadzīgs, ir jāīsteno pamatīga ES institucionālās sistēmas un pārvaldības struktūru reforma, kas paredzētu vienkāršotas, efektīvākas un demokrātiskākas lēmumu pieņemšanas procedūras;</w:t>
      </w:r>
    </w:p>
    <w:p w:rsidR="00DE6BFC" w:rsidRPr="00B47396" w:rsidRDefault="00DE6BFC" w:rsidP="00DE6BFC">
      <w:pPr>
        <w:pStyle w:val="Normal12Hanging"/>
        <w:rPr>
          <w:lang w:val="lv-LV"/>
        </w:rPr>
      </w:pPr>
      <w:r w:rsidRPr="00B47396">
        <w:rPr>
          <w:lang w:val="lv-LV"/>
        </w:rPr>
        <w:t>W.</w:t>
      </w:r>
      <w:r w:rsidRPr="00B47396">
        <w:rPr>
          <w:lang w:val="lv-LV"/>
        </w:rPr>
        <w:tab/>
        <w:t>tā kā varētu nekavējoties izmantot pārejas klauzulas, lai konkrētās politikas jomās pārietu no vienprātības uz kvalificēta vairākuma balsošanu; tā kā Parlaments ir aktivizējis Līgumu pārskatīšanas procedūru un iesniedzis Padomei priekšlikumus Līgumu grozīšanai saskaņā ar LES 48. panta 2. punktu; tā kā Komisijas priekšsēdētāja 2024. gada 17. janvāra runā Eiropas Parlamentā paziņoja par gaidāmo paziņojumu par Līgumu reformu, kas paver ceļu diskusijām Eiropadomē tuvākajā nākotnē;</w:t>
      </w:r>
    </w:p>
    <w:p w:rsidR="00DE6BFC" w:rsidRPr="00B47396" w:rsidRDefault="00DE6BFC" w:rsidP="00DE6BFC">
      <w:pPr>
        <w:pStyle w:val="Normal12Hanging"/>
        <w:rPr>
          <w:bCs/>
          <w:iCs/>
          <w:lang w:val="lv-LV"/>
        </w:rPr>
      </w:pPr>
      <w:r w:rsidRPr="00B47396">
        <w:rPr>
          <w:lang w:val="lv-LV"/>
        </w:rPr>
        <w:t>X.</w:t>
      </w:r>
      <w:r w:rsidRPr="00B47396">
        <w:rPr>
          <w:lang w:val="lv-LV"/>
        </w:rPr>
        <w:tab/>
        <w:t xml:space="preserve">tā kā Eiropas Parlaments, Padome un Komisija ir apņēmušies efektīvi veikt </w:t>
      </w:r>
      <w:proofErr w:type="spellStart"/>
      <w:r w:rsidRPr="00B47396">
        <w:rPr>
          <w:lang w:val="lv-LV"/>
        </w:rPr>
        <w:t>pēcpasākumus</w:t>
      </w:r>
      <w:proofErr w:type="spellEnd"/>
      <w:r w:rsidRPr="00B47396">
        <w:rPr>
          <w:lang w:val="lv-LV"/>
        </w:rPr>
        <w:t xml:space="preserve"> saistībā ar Konferences par Eiropas nākotni secinājumiem; tā kā Konference par Eiropas nākotni aicināja ES vienoties par spēcīgu redzējumu un kopīgu stratēģiju, lai konsolidētu ES vienotību un uzlabotu lēmumu pieņemšanas spēju, ņemot vērā turpmāko paplašināšanos; tā kā daudzus no šiem priekšlikumiem iespējams īstenot tikai tad, ja tiek veiktas izmaiņas Līgumos;</w:t>
      </w:r>
    </w:p>
    <w:p w:rsidR="00DE6BFC" w:rsidRPr="00B47396" w:rsidRDefault="00DE6BFC" w:rsidP="00DE6BFC">
      <w:pPr>
        <w:pStyle w:val="Normal12Hanging"/>
        <w:rPr>
          <w:b/>
          <w:bCs/>
          <w:i/>
          <w:iCs/>
          <w:lang w:val="lv-LV"/>
        </w:rPr>
      </w:pPr>
      <w:r w:rsidRPr="00B47396">
        <w:rPr>
          <w:lang w:val="lv-LV"/>
        </w:rPr>
        <w:t>Y.</w:t>
      </w:r>
      <w:r w:rsidRPr="00B47396">
        <w:rPr>
          <w:lang w:val="lv-LV"/>
        </w:rPr>
        <w:tab/>
        <w:t>tā kā demokrātijas regress ir viens no lielākajiem draudiem, ar ko saskaras Eiropas Savienība gan savā iekšienē, gan ārpolitikā;</w:t>
      </w:r>
    </w:p>
    <w:p w:rsidR="00DE6BFC" w:rsidRPr="00B47396" w:rsidRDefault="00DE6BFC" w:rsidP="00DE6BFC">
      <w:pPr>
        <w:pStyle w:val="Normal12Hanging"/>
        <w:rPr>
          <w:lang w:val="lv-LV"/>
        </w:rPr>
      </w:pPr>
      <w:r w:rsidRPr="00B47396">
        <w:rPr>
          <w:lang w:val="lv-LV"/>
        </w:rPr>
        <w:t>Z.</w:t>
      </w:r>
      <w:r w:rsidRPr="00B47396">
        <w:rPr>
          <w:lang w:val="lv-LV"/>
        </w:rPr>
        <w:tab/>
        <w:t xml:space="preserve">tā kā līdztekus nākamajai paplašināšanās kārtai ir jāstiprina arī mehānisms, ar kuru tiktu nodrošināta atbilstība ES pamatprincipiem, vērtībām un </w:t>
      </w:r>
      <w:proofErr w:type="spellStart"/>
      <w:r w:rsidRPr="00B47396">
        <w:rPr>
          <w:lang w:val="lv-LV"/>
        </w:rPr>
        <w:t>a</w:t>
      </w:r>
      <w:r w:rsidRPr="00B47396">
        <w:rPr>
          <w:i/>
          <w:lang w:val="lv-LV"/>
        </w:rPr>
        <w:t>cquis</w:t>
      </w:r>
      <w:proofErr w:type="spellEnd"/>
      <w:r w:rsidRPr="00B47396">
        <w:rPr>
          <w:i/>
          <w:lang w:val="lv-LV"/>
        </w:rPr>
        <w:t xml:space="preserve"> </w:t>
      </w:r>
      <w:proofErr w:type="spellStart"/>
      <w:r w:rsidRPr="00B47396">
        <w:rPr>
          <w:i/>
          <w:lang w:val="lv-LV"/>
        </w:rPr>
        <w:t>communautaire</w:t>
      </w:r>
      <w:proofErr w:type="spellEnd"/>
      <w:r w:rsidRPr="00B47396">
        <w:rPr>
          <w:lang w:val="lv-LV"/>
        </w:rPr>
        <w:t xml:space="preserve">; tā kā </w:t>
      </w:r>
      <w:proofErr w:type="spellStart"/>
      <w:r w:rsidRPr="00B47396">
        <w:rPr>
          <w:i/>
          <w:iCs/>
          <w:lang w:val="lv-LV"/>
        </w:rPr>
        <w:t>acquis</w:t>
      </w:r>
      <w:proofErr w:type="spellEnd"/>
      <w:r w:rsidRPr="00B47396">
        <w:rPr>
          <w:lang w:val="lv-LV"/>
        </w:rPr>
        <w:t xml:space="preserve"> īstenošana būtu rūpīgi un objektīvi jāuzrauga attiecībā uz katru kandidātvalsti;</w:t>
      </w:r>
    </w:p>
    <w:p w:rsidR="00DE6BFC" w:rsidRPr="00B47396" w:rsidRDefault="00DE6BFC" w:rsidP="00DE6BFC">
      <w:pPr>
        <w:pStyle w:val="Normal12Hanging"/>
        <w:rPr>
          <w:lang w:val="lv-LV"/>
        </w:rPr>
      </w:pPr>
      <w:r w:rsidRPr="00B47396">
        <w:rPr>
          <w:lang w:val="lv-LV"/>
        </w:rPr>
        <w:lastRenderedPageBreak/>
        <w:t>AA.</w:t>
      </w:r>
      <w:r w:rsidRPr="00B47396">
        <w:rPr>
          <w:lang w:val="lv-LV"/>
        </w:rPr>
        <w:tab/>
        <w:t>tā kā paplašināšanās ir gan milzīgs finansiāls izaicinājums ES, īpaši attiecībā uz kohēzijas un lauksaimniecības politiku, kā arī citām ES programmām un politiku, gan iespēja reformēt ES; tā kā pašreizējā un turpmākās daudzgadu finanšu shēmas būtu jāpārdomā, jāpārskata prioritātes, pienācīgi jāveido un ievērojami jāstiprina to pārvaldība, lai nodrošinātu un atbalstītu būtisku ES paplašināšanos, neapdraudot atbalstu, kas nepieciešams pašreizējām dalībvalstīm; tā kā šim darbam pie finansēšanas sistēmas ir jānotiek pirms paplašināšanās;</w:t>
      </w:r>
    </w:p>
    <w:p w:rsidR="00DE6BFC" w:rsidRPr="00B47396" w:rsidRDefault="00DE6BFC" w:rsidP="00DE6BFC">
      <w:pPr>
        <w:pStyle w:val="Normal12Hanging"/>
        <w:rPr>
          <w:szCs w:val="24"/>
          <w:lang w:val="lv-LV"/>
        </w:rPr>
      </w:pPr>
      <w:r w:rsidRPr="00B47396">
        <w:rPr>
          <w:lang w:val="lv-LV"/>
        </w:rPr>
        <w:t>AB.</w:t>
      </w:r>
      <w:r w:rsidRPr="00B47396">
        <w:rPr>
          <w:lang w:val="lv-LV"/>
        </w:rPr>
        <w:tab/>
        <w:t xml:space="preserve">tā kā Ukrainas atjaunošana un atgūšanās no kara ir papildu jautājums, kas jārisina plašākā starptautisko centienu kontekstā, </w:t>
      </w:r>
    </w:p>
    <w:p w:rsidR="00DE6BFC" w:rsidRPr="00B47396" w:rsidRDefault="00DE6BFC" w:rsidP="00DE6BFC">
      <w:pPr>
        <w:pStyle w:val="Normal12Hanging"/>
        <w:rPr>
          <w:b/>
          <w:bCs/>
          <w:i/>
          <w:iCs/>
          <w:szCs w:val="24"/>
          <w:lang w:val="lv-LV"/>
        </w:rPr>
      </w:pPr>
      <w:r w:rsidRPr="00B47396">
        <w:rPr>
          <w:b/>
          <w:i/>
          <w:lang w:val="lv-LV"/>
        </w:rPr>
        <w:t>Par paplašināšanās stratēģisko dimensiju</w:t>
      </w:r>
    </w:p>
    <w:p w:rsidR="00DE6BFC" w:rsidRPr="00B47396" w:rsidRDefault="00DE6BFC" w:rsidP="00DE6BFC">
      <w:pPr>
        <w:pStyle w:val="Normal12Hanging"/>
        <w:rPr>
          <w:lang w:val="lv-LV"/>
        </w:rPr>
      </w:pPr>
      <w:r w:rsidRPr="00B47396">
        <w:rPr>
          <w:lang w:val="lv-LV"/>
        </w:rPr>
        <w:t>1.</w:t>
      </w:r>
      <w:r w:rsidRPr="00B47396">
        <w:rPr>
          <w:lang w:val="lv-LV"/>
        </w:rPr>
        <w:tab/>
        <w:t>atzinīgi vērtē daudzu Eiropas valstu un to pilsoņu centienus pievienoties ES un atzīst viņu politisko gribu un nopietnos centienus, kas veikti, lai izpildītu dalības prasības;</w:t>
      </w:r>
    </w:p>
    <w:p w:rsidR="00DE6BFC" w:rsidRPr="00B47396" w:rsidRDefault="00DE6BFC" w:rsidP="00DE6BFC">
      <w:pPr>
        <w:pStyle w:val="Normal12Hanging"/>
        <w:rPr>
          <w:lang w:val="lv-LV"/>
        </w:rPr>
      </w:pPr>
      <w:r w:rsidRPr="00B47396">
        <w:rPr>
          <w:lang w:val="lv-LV"/>
        </w:rPr>
        <w:t>2.</w:t>
      </w:r>
      <w:r w:rsidRPr="00B47396">
        <w:rPr>
          <w:lang w:val="lv-LV"/>
        </w:rPr>
        <w:tab/>
        <w:t xml:space="preserve">uzskata, ka ES paplašināšanās ir neizsakāmi stratēģiski svarīga; atkārtoti apliecina, ka pastiprināta paplašināšanās politika ir kļuvusi par vienu no spēcīgākajiem ES politikas un ģeopolitiskajiem instrumentiem, kas nodrošina </w:t>
      </w:r>
      <w:proofErr w:type="spellStart"/>
      <w:r w:rsidRPr="00B47396">
        <w:rPr>
          <w:lang w:val="lv-LV"/>
        </w:rPr>
        <w:t>ģeostratēģiskus</w:t>
      </w:r>
      <w:proofErr w:type="spellEnd"/>
      <w:r w:rsidRPr="00B47396">
        <w:rPr>
          <w:lang w:val="lv-LV"/>
        </w:rPr>
        <w:t xml:space="preserve"> ieguldījumus ilgtermiņa mierā, demokrātijā, stabilitātē, drošībā, klimata aizsardzībā un labklājībā visā kontinentā — vēl jo vairāk, ņemot vērā Krievijas agresijas karu pret Ukrainu un citas kopīgas ģeopolitiskas problēmas, kam nepieciešams ilgtermiņa politisks redzējums un drosmīgi lēmumi; uzsver, ka ir radusies politiska steidzamība parādīt ES apņemšanās ievērot uz noteikumiem balstītu starptautisko kārtību; uzstāj, ka, ņemot vērā būtiskās drošības problēmas, ar kurām saskaras Eiropa, ES paplašināšanās un Ukrainas iekļaušana Rietumu kolektīvajās drošības un aizsardzības sistēmās stiprinās Eiropas drošību;</w:t>
      </w:r>
    </w:p>
    <w:p w:rsidR="00DE6BFC" w:rsidRPr="00B47396" w:rsidRDefault="00DE6BFC" w:rsidP="00DE6BFC">
      <w:pPr>
        <w:pStyle w:val="Normal12Hanging"/>
        <w:rPr>
          <w:bCs/>
          <w:iCs/>
          <w:lang w:val="lv-LV"/>
        </w:rPr>
      </w:pPr>
      <w:r w:rsidRPr="00B47396">
        <w:rPr>
          <w:lang w:val="lv-LV"/>
        </w:rPr>
        <w:t>3.</w:t>
      </w:r>
      <w:r w:rsidRPr="00B47396">
        <w:rPr>
          <w:lang w:val="lv-LV"/>
        </w:rPr>
        <w:tab/>
        <w:t>atzinīgi vērtē Komisijas ieteikumus, kas iekļauti 2023. gada paplašināšanās paketē, un arī Eiropadomes lēmumus sākt pievienošanās sarunas ar Ukrainu un Moldovas Republiku, piešķirt Gruzijai kandidātvalsts statusu ar nosacījumu, ka tiks veikti attiecīgie pasākumi, kas izklāstīti Komisijas 2023. gada 8. novembra ieteikumā, un sākt pievienošanās sarunas ar Bosniju un Hercegovinu, tiklīdz tā sasniegs nepieciešamo atbilstības līmeni dalības kritērijiem; aicina Padomi uzdot Komisijai nekavējoties iesniegt priekšlikumus par attiecīgajām sarunu programmām un pieņemt tos, tiklīdz būs veikti attiecīgie pasākumi, kas izklāstīti attiecīgajos Komisijas 2023. gada 8. novembra ieteikumos;</w:t>
      </w:r>
    </w:p>
    <w:p w:rsidR="00DE6BFC" w:rsidRPr="00B47396" w:rsidRDefault="00DE6BFC" w:rsidP="00DE6BFC">
      <w:pPr>
        <w:pStyle w:val="Normal12Hanging"/>
        <w:rPr>
          <w:rFonts w:eastAsia="Calibri"/>
          <w:b/>
          <w:i/>
          <w:lang w:val="lv-LV"/>
        </w:rPr>
      </w:pPr>
      <w:r w:rsidRPr="00B47396">
        <w:rPr>
          <w:b/>
          <w:i/>
          <w:lang w:val="lv-LV"/>
        </w:rPr>
        <w:t>Par pievienošanās procedūrām un Eiropas Parlamenta lomu</w:t>
      </w:r>
    </w:p>
    <w:p w:rsidR="00DE6BFC" w:rsidRPr="00B47396" w:rsidRDefault="00DE6BFC" w:rsidP="00DE6BFC">
      <w:pPr>
        <w:pStyle w:val="Normal12Hanging"/>
        <w:rPr>
          <w:lang w:val="lv-LV"/>
        </w:rPr>
      </w:pPr>
      <w:r w:rsidRPr="00B47396">
        <w:rPr>
          <w:lang w:val="lv-LV"/>
        </w:rPr>
        <w:t>4.</w:t>
      </w:r>
      <w:r w:rsidRPr="00B47396">
        <w:rPr>
          <w:lang w:val="lv-LV"/>
        </w:rPr>
        <w:tab/>
        <w:t xml:space="preserve">atzīst unikālās iespējas un izaicinājumu, ar ko ES saskaras, pildot savas saistības pret Albāniju, Bosniju un Hercegovinu, </w:t>
      </w:r>
      <w:proofErr w:type="spellStart"/>
      <w:r w:rsidRPr="00B47396">
        <w:rPr>
          <w:lang w:val="lv-LV"/>
        </w:rPr>
        <w:t>Ziemeļmaķedoniju</w:t>
      </w:r>
      <w:proofErr w:type="spellEnd"/>
      <w:r w:rsidRPr="00B47396">
        <w:rPr>
          <w:lang w:val="lv-LV"/>
        </w:rPr>
        <w:t xml:space="preserve">, Kosovu, Melnkalni, Serbiju kā arī Ukrainu, Moldovas Republiku un Gruziju un tās iedzīvotājiem; atzīst, cik liela nozīme ir šo svarīgo partneru integrācijai Eiropā; atzīst arī reģionālās sadarbības nozīmi attiecīgajos Austrumu partnerības reģionos un </w:t>
      </w:r>
      <w:proofErr w:type="spellStart"/>
      <w:r w:rsidRPr="00B47396">
        <w:rPr>
          <w:lang w:val="lv-LV"/>
        </w:rPr>
        <w:t>Rietumbalkānos</w:t>
      </w:r>
      <w:proofErr w:type="spellEnd"/>
      <w:r w:rsidRPr="00B47396">
        <w:rPr>
          <w:lang w:val="lv-LV"/>
        </w:rPr>
        <w:t>;</w:t>
      </w:r>
    </w:p>
    <w:p w:rsidR="00DE6BFC" w:rsidRPr="00B47396" w:rsidRDefault="00DE6BFC" w:rsidP="00DE6BFC">
      <w:pPr>
        <w:pStyle w:val="Normal12Hanging"/>
        <w:rPr>
          <w:lang w:val="lv-LV"/>
        </w:rPr>
      </w:pPr>
      <w:r w:rsidRPr="00B47396">
        <w:rPr>
          <w:lang w:val="lv-LV"/>
        </w:rPr>
        <w:t>5.</w:t>
      </w:r>
      <w:r w:rsidRPr="00B47396">
        <w:rPr>
          <w:lang w:val="lv-LV"/>
        </w:rPr>
        <w:tab/>
        <w:t xml:space="preserve">atkārtoti pauž viedokli, ka pašreizējos apstākļos Turcijas pievienošanās ES procesu nav iespējams atsākt; mudina Turcijas valdību izkļūt no pašreizējā strupceļa un virzīties uz ciešāku, dinamiskāku un stratēģiskāku partnerību, paralēli izstrādājot reālistisku sadarbības sistēmu, piemēram, modernizētu asociācijas nolīgumu, un aicina Komisiju izpētīt šāda satvara iespējamos formātus; atgādina, ka jebkādiem uzlabojumiem ES un </w:t>
      </w:r>
      <w:r w:rsidRPr="00B47396">
        <w:rPr>
          <w:lang w:val="lv-LV"/>
        </w:rPr>
        <w:lastRenderedPageBreak/>
        <w:t xml:space="preserve">Turcijas attiecībās ir jābalstās uz taustāmu progresu cilvēktiesību, demokrātijas un </w:t>
      </w:r>
      <w:proofErr w:type="spellStart"/>
      <w:r w:rsidRPr="00B47396">
        <w:rPr>
          <w:lang w:val="lv-LV"/>
        </w:rPr>
        <w:t>cieņpilnu</w:t>
      </w:r>
      <w:proofErr w:type="spellEnd"/>
      <w:r w:rsidRPr="00B47396">
        <w:rPr>
          <w:lang w:val="lv-LV"/>
        </w:rPr>
        <w:t xml:space="preserve"> kaimiņattiecību jomā;</w:t>
      </w:r>
    </w:p>
    <w:p w:rsidR="00DE6BFC" w:rsidRPr="00B47396" w:rsidRDefault="00DE6BFC" w:rsidP="00DE6BFC">
      <w:pPr>
        <w:pStyle w:val="Normal12Hanging"/>
        <w:rPr>
          <w:lang w:val="lv-LV"/>
        </w:rPr>
      </w:pPr>
      <w:r w:rsidRPr="00B47396">
        <w:rPr>
          <w:lang w:val="lv-LV"/>
        </w:rPr>
        <w:t>6.</w:t>
      </w:r>
      <w:r w:rsidRPr="00B47396">
        <w:rPr>
          <w:lang w:val="lv-LV"/>
        </w:rPr>
        <w:tab/>
        <w:t>uzsver, ka iestājai ES vienmēr ir jābūt uz nopelniem balstītai procedūrai, saskaņā ar kuru katru pieteikuma iesniedzēju novērtē pēc tā panākumiem visu Kopenhāgenas kritēriju kopuma izpildē; uzsver, ka nedrīkst piekāpties ES vērtību un pamatprincipu jautājumos; uzsver, ka tiesiskums, demokrātiskā reforma, mediju brīvība un cilvēktiesību, tostarp minoritāšu tiesību, ievērošana būtu jāizvirza pievienošanās procesa priekšplānā un tiesu neatkarība, cīņa pret korupciju un pilsoniskās sabiedrības iespēju nodrošināšana ir būtiski priekšnoteikumi progresam ceļā uz dalību ES;</w:t>
      </w:r>
    </w:p>
    <w:p w:rsidR="00DE6BFC" w:rsidRPr="00B47396" w:rsidRDefault="00DE6BFC" w:rsidP="00DE6BFC">
      <w:pPr>
        <w:pStyle w:val="Normal12Hanging"/>
        <w:rPr>
          <w:b/>
          <w:bCs/>
          <w:i/>
          <w:iCs/>
          <w:lang w:val="lv-LV"/>
        </w:rPr>
      </w:pPr>
      <w:r w:rsidRPr="00B47396">
        <w:rPr>
          <w:lang w:val="lv-LV"/>
        </w:rPr>
        <w:t>7.</w:t>
      </w:r>
      <w:r w:rsidRPr="00B47396">
        <w:rPr>
          <w:lang w:val="lv-LV"/>
        </w:rPr>
        <w:tab/>
        <w:t xml:space="preserve">prasa izveidot efektīvus uzraudzības mehānismus, lai pievienošanās procedūrās aizsargātu Savienības pamatvērtības un pamatotās finanšu intereses; tamdēļ atkārtoti aicina iekļaut kandidātvalstis ES tiesiskuma mehānismā un ikgadējā ziņošanas procesā, automātiski aktivizējot </w:t>
      </w:r>
      <w:proofErr w:type="spellStart"/>
      <w:r w:rsidRPr="00B47396">
        <w:rPr>
          <w:lang w:val="lv-LV"/>
        </w:rPr>
        <w:t>pirmspievienošanās</w:t>
      </w:r>
      <w:proofErr w:type="spellEnd"/>
      <w:r w:rsidRPr="00B47396">
        <w:rPr>
          <w:lang w:val="lv-LV"/>
        </w:rPr>
        <w:t xml:space="preserve"> sadarbības un pārbaudes mehānismus; atbalsta Komisijas nodomu iekļaut pievienošanās </w:t>
      </w:r>
      <w:proofErr w:type="spellStart"/>
      <w:r w:rsidRPr="00B47396">
        <w:rPr>
          <w:lang w:val="lv-LV"/>
        </w:rPr>
        <w:t>sarunvalstis</w:t>
      </w:r>
      <w:proofErr w:type="spellEnd"/>
      <w:r w:rsidRPr="00B47396">
        <w:rPr>
          <w:lang w:val="lv-LV"/>
        </w:rPr>
        <w:t xml:space="preserve"> ziņojumos par tiesiskumu un uzstāj, ka šie ziņojumi savukārt jāiekļauj gada progresa ziņojumos;</w:t>
      </w:r>
    </w:p>
    <w:p w:rsidR="00DE6BFC" w:rsidRPr="00B47396" w:rsidRDefault="00DE6BFC" w:rsidP="00DE6BFC">
      <w:pPr>
        <w:pStyle w:val="Normal12Hanging"/>
        <w:rPr>
          <w:lang w:val="lv-LV"/>
        </w:rPr>
      </w:pPr>
      <w:r w:rsidRPr="00B47396">
        <w:rPr>
          <w:lang w:val="lv-LV"/>
        </w:rPr>
        <w:t>8.</w:t>
      </w:r>
      <w:r w:rsidRPr="00B47396">
        <w:rPr>
          <w:lang w:val="lv-LV"/>
        </w:rPr>
        <w:tab/>
        <w:t>mudina paplašināšanās procesā iesaistītās valstis turpināt apņēmīgi īstenot nepieciešamās reformas un panākt taustāmu un neatgriezenisku progresu, sākot ar ES pievienošanās procesa pamatprincipiem;</w:t>
      </w:r>
    </w:p>
    <w:p w:rsidR="00DE6BFC" w:rsidRPr="00B47396" w:rsidRDefault="00DE6BFC" w:rsidP="00DE6BFC">
      <w:pPr>
        <w:pStyle w:val="Normal12Hanging"/>
        <w:rPr>
          <w:lang w:val="lv-LV"/>
        </w:rPr>
      </w:pPr>
      <w:r w:rsidRPr="00B47396">
        <w:rPr>
          <w:lang w:val="lv-LV"/>
        </w:rPr>
        <w:t>9.</w:t>
      </w:r>
      <w:r w:rsidRPr="00B47396">
        <w:rPr>
          <w:lang w:val="lv-LV"/>
        </w:rPr>
        <w:tab/>
        <w:t xml:space="preserve">uzstāj, ka ir pastāvīgi jācenšas veicināt mediju plurālismu, aizsargāt žurnālistu tiesības un nodrošināt vārda brīvību visās kandidātvalstīs; </w:t>
      </w:r>
    </w:p>
    <w:p w:rsidR="00DE6BFC" w:rsidRPr="00B47396" w:rsidRDefault="00DE6BFC" w:rsidP="00DE6BFC">
      <w:pPr>
        <w:pStyle w:val="Normal12Hanging"/>
        <w:rPr>
          <w:lang w:val="lv-LV"/>
        </w:rPr>
      </w:pPr>
      <w:r w:rsidRPr="00B47396">
        <w:rPr>
          <w:lang w:val="lv-LV"/>
        </w:rPr>
        <w:t>10.</w:t>
      </w:r>
      <w:r w:rsidRPr="00B47396">
        <w:rPr>
          <w:b/>
          <w:i/>
          <w:lang w:val="lv-LV"/>
        </w:rPr>
        <w:tab/>
      </w:r>
      <w:r w:rsidRPr="00B47396">
        <w:rPr>
          <w:lang w:val="lv-LV"/>
        </w:rPr>
        <w:t xml:space="preserve">norāda, ka pieskaņošanās ES </w:t>
      </w:r>
      <w:r w:rsidR="00B06ED8" w:rsidRPr="00B47396">
        <w:rPr>
          <w:lang w:val="lv-LV"/>
        </w:rPr>
        <w:t>KĀDP</w:t>
      </w:r>
      <w:r w:rsidRPr="00B47396">
        <w:rPr>
          <w:lang w:val="lv-LV"/>
        </w:rPr>
        <w:t xml:space="preserve"> arī ir svarīgs rādītājs, kas liecina par to, ka pilnībā tiek ievēroti ES pamatprincipi un dalība nākotnē būs ilgtspējīga; mudina visas kandidātvalstis un potenciālās kandidātvalstis piešķirt prioritāti ātrai un pilnīgai saskaņošanai ar KĀDP un atkārtoti norāda, ka konkrētas valsts pievienošanās var notikt tikai tad, kad tā būs pieskaņojusies ES ierobežojošajiem pasākumiem, tostarp sankcijām, kas ieviestas, reaģējot uz Krievijas agresijas karu pret Ukrainu;</w:t>
      </w:r>
    </w:p>
    <w:p w:rsidR="00DE6BFC" w:rsidRPr="00B47396" w:rsidRDefault="00DE6BFC" w:rsidP="00DE6BFC">
      <w:pPr>
        <w:pStyle w:val="Normal12Hanging"/>
        <w:rPr>
          <w:lang w:val="lv-LV"/>
        </w:rPr>
      </w:pPr>
      <w:r w:rsidRPr="00B47396">
        <w:rPr>
          <w:lang w:val="lv-LV"/>
        </w:rPr>
        <w:t>11.</w:t>
      </w:r>
      <w:r w:rsidRPr="00B47396">
        <w:rPr>
          <w:lang w:val="lv-LV"/>
        </w:rPr>
        <w:tab/>
        <w:t>aicina pamatīgi izvērtēt ES paplašināšanās stratēģiju un iemeslus, kāpēc dažu paplašināšanās procesā iesaistīto valstu gūtie panākumi ir tik ierobežoti, sevišķi tiesiskuma, cilvēktiesību un demokrātijas jomā;</w:t>
      </w:r>
    </w:p>
    <w:p w:rsidR="00DE6BFC" w:rsidRPr="00B47396" w:rsidRDefault="00DE6BFC" w:rsidP="00DE6BFC">
      <w:pPr>
        <w:pStyle w:val="Normal12Hanging"/>
        <w:rPr>
          <w:bCs/>
          <w:iCs/>
          <w:lang w:val="lv-LV"/>
        </w:rPr>
      </w:pPr>
      <w:r w:rsidRPr="00B47396">
        <w:rPr>
          <w:lang w:val="lv-LV"/>
        </w:rPr>
        <w:t>12.</w:t>
      </w:r>
      <w:r w:rsidRPr="00B47396">
        <w:rPr>
          <w:lang w:val="lv-LV"/>
        </w:rPr>
        <w:tab/>
        <w:t>uzskata, ka Komisijas pārskatītā metodika, kas būtu jāatjaunina, lai iekļautu Ukrainas, Moldovas Republikas un Gruzijas pievienošanās procesus, būs ilgtermiņa politikas satvars, kas virzīs paplašināšanās procesu;</w:t>
      </w:r>
    </w:p>
    <w:p w:rsidR="00DE6BFC" w:rsidRPr="00B47396" w:rsidRDefault="00DE6BFC" w:rsidP="00DE6BFC">
      <w:pPr>
        <w:pStyle w:val="Normal12Hanging"/>
        <w:rPr>
          <w:b/>
          <w:bCs/>
          <w:i/>
          <w:iCs/>
          <w:lang w:val="lv-LV"/>
        </w:rPr>
      </w:pPr>
      <w:r w:rsidRPr="00B47396">
        <w:rPr>
          <w:lang w:val="lv-LV"/>
        </w:rPr>
        <w:t>13.</w:t>
      </w:r>
      <w:r w:rsidRPr="00B47396">
        <w:rPr>
          <w:lang w:val="lv-LV"/>
        </w:rPr>
        <w:tab/>
        <w:t>uzsver, ka, lai gan procesam būtu jākļūst pakāpeniskākam un dinamiskākam un ES būtu jānosaka konkrēti atsevišķi reformu mērķi, ceļveži un starpposma termiņi katrai pievienošanās valstij, nevar noteikt paātrinātus vai iepriekš noteiktus dalības termiņus, jo tie var ietekmēt pievienošanās procesa integritāti; tomēr uzskata, ka nākamajai ES paplašināšanās kārtai būtu jānotiek, tiklīdz attiecīgajās kandidātvalstīs ir izpildīti visi pievienošanās nosacījumi, ir panākta vienošanās par nepieciešamajām Eiropas reformām un tās tiek īstenotas; sagaida, ka pirmās kandidātvalstis būs gatavas pievienoties Savienībai šīs desmitgades beigās;</w:t>
      </w:r>
    </w:p>
    <w:p w:rsidR="00DE6BFC" w:rsidRPr="00B47396" w:rsidRDefault="00DE6BFC" w:rsidP="00DE6BFC">
      <w:pPr>
        <w:pStyle w:val="Normal12Hanging"/>
        <w:rPr>
          <w:lang w:val="lv-LV"/>
        </w:rPr>
      </w:pPr>
      <w:r w:rsidRPr="00B47396">
        <w:rPr>
          <w:lang w:val="lv-LV"/>
        </w:rPr>
        <w:t>14.</w:t>
      </w:r>
      <w:r w:rsidRPr="00B47396">
        <w:rPr>
          <w:lang w:val="lv-LV"/>
        </w:rPr>
        <w:tab/>
        <w:t xml:space="preserve">uzstāj, ka ES paplašināšanās ir ES esošo un topošo dalībvalstu kopīga atbildība; aicina dalībvalstis apliecināt skaidru un nepārprotamu politisko apņemšanos attiecībā uz </w:t>
      </w:r>
      <w:r w:rsidRPr="00B47396">
        <w:rPr>
          <w:lang w:val="lv-LV"/>
        </w:rPr>
        <w:lastRenderedPageBreak/>
        <w:t>paplašināšanās procesu, pamatojoties uz objektīviem kritērijiem, nevis ļaunprātīgi izmantot to divpusēju strīdu izšķiršanai, kas būtu jāatrisina atsevišķi no pievienošanās procesa; uzsver, ka pārmērīga kavēšanās ceļā uz pilnīgu dalību ES var negatīvi ietekmēt gan kandidātvalstu sabiedrisko domu, gan politisko apņēmību;</w:t>
      </w:r>
    </w:p>
    <w:p w:rsidR="00DE6BFC" w:rsidRPr="00B47396" w:rsidRDefault="00DE6BFC" w:rsidP="00DE6BFC">
      <w:pPr>
        <w:pStyle w:val="Normal12Hanging"/>
        <w:rPr>
          <w:lang w:val="lv-LV"/>
        </w:rPr>
      </w:pPr>
      <w:r w:rsidRPr="00B47396">
        <w:rPr>
          <w:lang w:val="lv-LV"/>
        </w:rPr>
        <w:t>15.</w:t>
      </w:r>
      <w:r w:rsidRPr="00B47396">
        <w:rPr>
          <w:lang w:val="lv-LV"/>
        </w:rPr>
        <w:tab/>
        <w:t>uzsver, ka pievienošanās procesi var būt atgriezeniski un ka uz nopelniem balstīta pieeja var arī novest pie pievienošanās sarunu iesaldēšanas gadījumā, ja pasliktinās situācija pamatvērtību jomā, un procesu var atsākt tikai pēc ievērojama progresa reformu jomā; aicina stingri un pastiprināti uzraudzīt un novērtēt reformas un progresu, ko kandidātvalstis guvušas visās sarunu sadaļās, un atspoguļot to, paredzot stratēģiski piemērojamus mērķtiecīgus nosacījumus, kuru pamatā ir skaidri progresa kritēriji, nosakot sankcijas regresu pamatjautājumos vai ieilgušu stagnāciju reformās, savukārt ar skaidriem sarunu grafikiem atalgojot reformu un kritēriju izpildi;</w:t>
      </w:r>
    </w:p>
    <w:p w:rsidR="00DE6BFC" w:rsidRPr="00B47396" w:rsidRDefault="00DE6BFC" w:rsidP="00DE6BFC">
      <w:pPr>
        <w:pStyle w:val="Normal12Hanging"/>
        <w:rPr>
          <w:lang w:val="lv-LV"/>
        </w:rPr>
      </w:pPr>
      <w:r w:rsidRPr="00B47396">
        <w:rPr>
          <w:lang w:val="lv-LV"/>
        </w:rPr>
        <w:t>16.</w:t>
      </w:r>
      <w:r w:rsidRPr="00B47396">
        <w:rPr>
          <w:lang w:val="lv-LV"/>
        </w:rPr>
        <w:tab/>
        <w:t xml:space="preserve">aicina Komisiju uzlabot </w:t>
      </w:r>
      <w:proofErr w:type="spellStart"/>
      <w:r w:rsidRPr="00B47396">
        <w:rPr>
          <w:lang w:val="lv-LV"/>
        </w:rPr>
        <w:t>pirmspievienošanās</w:t>
      </w:r>
      <w:proofErr w:type="spellEnd"/>
      <w:r w:rsidRPr="00B47396">
        <w:rPr>
          <w:lang w:val="lv-LV"/>
        </w:rPr>
        <w:t xml:space="preserve"> palīdzības konsekvenci, efektivitāti un </w:t>
      </w:r>
      <w:proofErr w:type="spellStart"/>
      <w:r w:rsidRPr="00B47396">
        <w:rPr>
          <w:lang w:val="lv-LV"/>
        </w:rPr>
        <w:t>pārredzamību</w:t>
      </w:r>
      <w:proofErr w:type="spellEnd"/>
      <w:r w:rsidRPr="00B47396">
        <w:rPr>
          <w:lang w:val="lv-LV"/>
        </w:rPr>
        <w:t xml:space="preserve">, rūpīgi pārskatot prioritātes būtiskās IPA III finansējuma piešķiršanas jomās; jo īpaši prasa ieviest stingrāku un izpildāmāku </w:t>
      </w:r>
      <w:proofErr w:type="spellStart"/>
      <w:r w:rsidRPr="00B47396">
        <w:rPr>
          <w:lang w:val="lv-LV"/>
        </w:rPr>
        <w:t>pārskatatbildību</w:t>
      </w:r>
      <w:proofErr w:type="spellEnd"/>
      <w:r w:rsidRPr="00B47396">
        <w:rPr>
          <w:lang w:val="lv-LV"/>
        </w:rPr>
        <w:t xml:space="preserve"> attiecībā uz izdevumiem un uzlabot </w:t>
      </w:r>
      <w:proofErr w:type="spellStart"/>
      <w:r w:rsidRPr="00B47396">
        <w:rPr>
          <w:lang w:val="lv-LV"/>
        </w:rPr>
        <w:t>pirmspievienošanās</w:t>
      </w:r>
      <w:proofErr w:type="spellEnd"/>
      <w:r w:rsidRPr="00B47396">
        <w:rPr>
          <w:lang w:val="lv-LV"/>
        </w:rPr>
        <w:t xml:space="preserve"> finansējuma izmaksāšanas, izmantošanas un kontroles vispārējo ciklu, piemērojot stingrus nosacījumus, tostarp īstenojot Ekonomikas un investīciju plānu un jauno izaugsmes plānu </w:t>
      </w:r>
      <w:proofErr w:type="spellStart"/>
      <w:r w:rsidRPr="00B47396">
        <w:rPr>
          <w:lang w:val="lv-LV"/>
        </w:rPr>
        <w:t>Rietumbalkāniem</w:t>
      </w:r>
      <w:proofErr w:type="spellEnd"/>
      <w:r w:rsidRPr="00B47396">
        <w:rPr>
          <w:lang w:val="lv-LV"/>
        </w:rPr>
        <w:t xml:space="preserve">; aicina Komisiju veikt IPA III regulas </w:t>
      </w:r>
      <w:proofErr w:type="spellStart"/>
      <w:r w:rsidRPr="00B47396">
        <w:rPr>
          <w:lang w:val="lv-LV"/>
        </w:rPr>
        <w:t>vidusposma</w:t>
      </w:r>
      <w:proofErr w:type="spellEnd"/>
      <w:r w:rsidRPr="00B47396">
        <w:rPr>
          <w:lang w:val="lv-LV"/>
        </w:rPr>
        <w:t xml:space="preserve"> pārskatīšanu un ierosināt Ukrainas, Moldovas Republikas un Gruzijas kā saņēmēju iekļaušanu sarakstā, aicina Komisiju ātri īstenot ieteikumus, kas sniegti Eiropas Revīzijas palātas Īpašajā ziņojumā Nr. 01/2022;</w:t>
      </w:r>
    </w:p>
    <w:p w:rsidR="00DE6BFC" w:rsidRPr="00B47396" w:rsidRDefault="00DE6BFC" w:rsidP="00DE6BFC">
      <w:pPr>
        <w:pStyle w:val="Normal12Hanging"/>
        <w:rPr>
          <w:lang w:val="lv-LV"/>
        </w:rPr>
      </w:pPr>
      <w:r w:rsidRPr="00B47396">
        <w:rPr>
          <w:lang w:val="lv-LV"/>
        </w:rPr>
        <w:t>17.</w:t>
      </w:r>
      <w:r w:rsidRPr="00B47396">
        <w:rPr>
          <w:lang w:val="lv-LV"/>
        </w:rPr>
        <w:tab/>
        <w:t>aicina saistībā ar Līgumu reformēšanu izpētīt iespējas, kā vēl vairāk stiprināt tiesiskuma un ES demokrātisko vērtību aizsardzību pret regresu gan jaunajās, gan esošajās dalībvalstīs, panākot, ka paplašināšanās nostiprina ES un tās vienoto tirgu;</w:t>
      </w:r>
    </w:p>
    <w:p w:rsidR="00DE6BFC" w:rsidRPr="00B47396" w:rsidRDefault="00DE6BFC" w:rsidP="00DE6BFC">
      <w:pPr>
        <w:pStyle w:val="Normal12Hanging"/>
        <w:rPr>
          <w:lang w:val="lv-LV"/>
        </w:rPr>
      </w:pPr>
      <w:r w:rsidRPr="00B47396">
        <w:rPr>
          <w:lang w:val="lv-LV"/>
        </w:rPr>
        <w:t>18.</w:t>
      </w:r>
      <w:r w:rsidRPr="00B47396">
        <w:rPr>
          <w:b/>
          <w:i/>
          <w:lang w:val="lv-LV"/>
        </w:rPr>
        <w:tab/>
      </w:r>
      <w:r w:rsidRPr="00B47396">
        <w:rPr>
          <w:lang w:val="lv-LV"/>
        </w:rPr>
        <w:t>uzsver, ka ir jānodrošina, lai paplašināšanās procesā iesaistītajām valstīm piešķirtie ES līdzekļi atbilstu pašas ES stratēģiskajiem mērķiem un interesēm; aicina Komisiju finansiāli atbalstīt tās pievienošanās valstis, kuras patiešām strādā pie tā, lai panāktu labas kaimiņattiecības, iekļaujošu reģionālo sadarbību un ilgtspējīgu izlīgumu, tostarp, bet ne tikai, saucot pie atbildības kara noziedzniekus un nodrošinot kara noziegumu, noziegumu pret cilvēci un genocīda upuru piekļuvi patiesībai, taisnīgumam un efektīvām kompensācijām;</w:t>
      </w:r>
    </w:p>
    <w:p w:rsidR="00DE6BFC" w:rsidRPr="00B47396" w:rsidRDefault="00DE6BFC" w:rsidP="00DE6BFC">
      <w:pPr>
        <w:pStyle w:val="Normal12Hanging"/>
        <w:rPr>
          <w:lang w:val="lv-LV"/>
        </w:rPr>
      </w:pPr>
      <w:r w:rsidRPr="00B47396">
        <w:rPr>
          <w:lang w:val="lv-LV"/>
        </w:rPr>
        <w:t>19.</w:t>
      </w:r>
      <w:r w:rsidRPr="00B47396">
        <w:rPr>
          <w:lang w:val="lv-LV"/>
        </w:rPr>
        <w:tab/>
        <w:t>aicina kandidātvalstis uzlabot tiesu iestāžu sadarbību ar ES krimināllietās saskaņā ar darba vienošanos ar Eiropas Prokuratūru (EPPO), lai veicinātu efektīvu izmeklēšanu un kriminālvajāšanu par ES līdzekļu ļaunprātīgu izmantošanu, tostarp norīkojot valstu sadarbības koordinatorus uz EPPO un pastiprinot vietējo pārvaldes iestāžu administratīvās spējas;</w:t>
      </w:r>
    </w:p>
    <w:p w:rsidR="00DE6BFC" w:rsidRPr="00B47396" w:rsidRDefault="00DE6BFC" w:rsidP="00DE6BFC">
      <w:pPr>
        <w:pStyle w:val="Normal12Hanging"/>
        <w:rPr>
          <w:lang w:val="lv-LV"/>
        </w:rPr>
      </w:pPr>
      <w:r w:rsidRPr="00B47396">
        <w:rPr>
          <w:lang w:val="lv-LV"/>
        </w:rPr>
        <w:t>20.</w:t>
      </w:r>
      <w:r w:rsidRPr="00B47396">
        <w:rPr>
          <w:lang w:val="lv-LV"/>
        </w:rPr>
        <w:tab/>
        <w:t xml:space="preserve">atkārtoti pauž nostāju, ka ir vajadzīga pastiprināta, oficiāla, strukturēta un sistemātiska sadarbība starp ES un Eiropas Padomi, atbalstot pievienošanās </w:t>
      </w:r>
      <w:proofErr w:type="spellStart"/>
      <w:r w:rsidRPr="00B47396">
        <w:rPr>
          <w:lang w:val="lv-LV"/>
        </w:rPr>
        <w:t>sarunvalstis</w:t>
      </w:r>
      <w:proofErr w:type="spellEnd"/>
      <w:r w:rsidRPr="00B47396">
        <w:rPr>
          <w:lang w:val="lv-LV"/>
        </w:rPr>
        <w:t xml:space="preserve"> reformu jomā, nodrošinot to atbilstību visiem Venēcijas komisijas ieteikumiem par to virzību uz dalību ES;</w:t>
      </w:r>
    </w:p>
    <w:p w:rsidR="00DE6BFC" w:rsidRPr="00B47396" w:rsidRDefault="00DE6BFC" w:rsidP="00DE6BFC">
      <w:pPr>
        <w:pStyle w:val="Normal12Hanging"/>
        <w:rPr>
          <w:b/>
          <w:bCs/>
          <w:i/>
          <w:iCs/>
          <w:lang w:val="lv-LV"/>
        </w:rPr>
      </w:pPr>
      <w:r w:rsidRPr="00B47396">
        <w:rPr>
          <w:lang w:val="lv-LV"/>
        </w:rPr>
        <w:t>21.</w:t>
      </w:r>
      <w:r w:rsidRPr="00B47396">
        <w:rPr>
          <w:lang w:val="lv-LV"/>
        </w:rPr>
        <w:tab/>
        <w:t xml:space="preserve">uzskata, ka paplašinātai ES ir vajadzīga uzlabota paplašināšanās politika, kas iezīmē skaidru, pakāpenisku virzību uz dalību ES, tostarp pakāpenisku integrāciju kopējās politikas jomās, piemēram, kopējā tirgū, tām valstīm, kas noslēgušas sarunas attiecīgajā sadaļā vai panākušas ievērojamu progresu ar ES saistītās reformās; norāda, ka šādam </w:t>
      </w:r>
      <w:r w:rsidRPr="00B47396">
        <w:rPr>
          <w:lang w:val="lv-LV"/>
        </w:rPr>
        <w:lastRenderedPageBreak/>
        <w:t xml:space="preserve">progresam ir jānodrošina piekļuve ES līdzekļiem attiecīgajās jomās, lai sniegtu pamanāmu labumu iedzīvotājiem visā procesa gaitā; norāda, ka šis ceļš būtu jāpapildina ar lielāku tehnisko un nosacījumiem pakļautu finansiālo palīdzību, īpašu uzmanību pievēršot tiesību aktu īstenošanai un izpildei </w:t>
      </w:r>
      <w:proofErr w:type="spellStart"/>
      <w:r w:rsidRPr="00B47396">
        <w:rPr>
          <w:lang w:val="lv-LV"/>
        </w:rPr>
        <w:t>pamattiesību</w:t>
      </w:r>
      <w:proofErr w:type="spellEnd"/>
      <w:r w:rsidRPr="00B47396">
        <w:rPr>
          <w:lang w:val="lv-LV"/>
        </w:rPr>
        <w:t xml:space="preserve"> un ārējo attiecību jautājumos un sadaļās Nr. 23., 24., 30. un 31.; aicina Komisiju iesniegt sīki izstrādātus priekšlikumus par pakāpeniskas pievienošanās metodiku, tostarp skaidrus un atgriezeniskus “</w:t>
      </w:r>
      <w:proofErr w:type="spellStart"/>
      <w:r w:rsidRPr="00B47396">
        <w:rPr>
          <w:lang w:val="lv-LV"/>
        </w:rPr>
        <w:t>pakāpenizācijas</w:t>
      </w:r>
      <w:proofErr w:type="spellEnd"/>
      <w:r w:rsidRPr="00B47396">
        <w:rPr>
          <w:lang w:val="lv-LV"/>
        </w:rPr>
        <w:t>” kritērijus; uzsver, ka pakāpeniska kandidātvalstu iekļaušana atsevišķās politikas jomās ar ierobežotām tiesībām un pienākumiem nekādā gadījumā nav alternatīva pilntiesīgai dalībai;</w:t>
      </w:r>
    </w:p>
    <w:p w:rsidR="00DE6BFC" w:rsidRPr="00B47396" w:rsidRDefault="00DE6BFC" w:rsidP="00DE6BFC">
      <w:pPr>
        <w:pStyle w:val="Normal12Hanging"/>
        <w:rPr>
          <w:lang w:val="lv-LV"/>
        </w:rPr>
      </w:pPr>
      <w:r w:rsidRPr="00B47396">
        <w:rPr>
          <w:lang w:val="lv-LV"/>
        </w:rPr>
        <w:t>22.</w:t>
      </w:r>
      <w:r w:rsidRPr="00B47396">
        <w:rPr>
          <w:lang w:val="lv-LV"/>
        </w:rPr>
        <w:tab/>
        <w:t>atzīst, cik svarīgas ir tādas iniciatīvas kā Eiropas Politiskā kopiena, kas nodrošina politisko sadarbību un veicina reģionālos dialogus un varētu veicināt kandidātvalstu pakāpenisku integrāciju Savienībā un tās politikā, taču tās nav alternatīva dalībai ES;</w:t>
      </w:r>
    </w:p>
    <w:p w:rsidR="00DE6BFC" w:rsidRPr="00B47396" w:rsidRDefault="00DE6BFC" w:rsidP="00DE6BFC">
      <w:pPr>
        <w:pStyle w:val="Normal12Hanging"/>
        <w:rPr>
          <w:lang w:val="lv-LV"/>
        </w:rPr>
      </w:pPr>
      <w:r w:rsidRPr="00B47396">
        <w:rPr>
          <w:lang w:val="lv-LV"/>
        </w:rPr>
        <w:t>23.</w:t>
      </w:r>
      <w:r w:rsidRPr="00B47396">
        <w:rPr>
          <w:lang w:val="lv-LV"/>
        </w:rPr>
        <w:tab/>
        <w:t>uzsver, ka varētu būt lietderīgi izveidot atsevišķu paplašināšanās komisāra amatu;</w:t>
      </w:r>
    </w:p>
    <w:p w:rsidR="00DE6BFC" w:rsidRPr="00B47396" w:rsidRDefault="00DE6BFC" w:rsidP="00DE6BFC">
      <w:pPr>
        <w:pStyle w:val="Normal12Hanging"/>
        <w:rPr>
          <w:lang w:val="lv-LV"/>
        </w:rPr>
      </w:pPr>
      <w:r w:rsidRPr="00B47396">
        <w:rPr>
          <w:lang w:val="lv-LV"/>
        </w:rPr>
        <w:t>24.</w:t>
      </w:r>
      <w:r w:rsidRPr="00B47396">
        <w:rPr>
          <w:lang w:val="lv-LV"/>
        </w:rPr>
        <w:tab/>
        <w:t>ierosina apsvērt iespēju piešķirt kandidātvalstīm novērotāja statusu attiecīgajās struktūrās un iestādēs, tostarp Parlamentā, sākotnēji, pamatojoties uz pagaidu kārtību, ja sarunas ir pietiekami pavirzījušās uz priekšu, jo īpaši attiecībā uz pamatjautājumiem un ārējām attiecībām, un ja ir izpildīti visi nosacījumi un panākta vienošanās par tiem līdz pievienošanās līgumu parakstīšanai; šajā sakarā atzinīgi vērtē Eiropas Ekonomikas un sociālo lietu komitejas lēmumu no 2024. gada iekļaut novērotājus no kandidātvalstīm;</w:t>
      </w:r>
    </w:p>
    <w:p w:rsidR="00DE6BFC" w:rsidRPr="00B47396" w:rsidRDefault="00DE6BFC" w:rsidP="00DE6BFC">
      <w:pPr>
        <w:pStyle w:val="Normal12Hanging"/>
        <w:rPr>
          <w:lang w:val="lv-LV"/>
        </w:rPr>
      </w:pPr>
      <w:r w:rsidRPr="00B47396">
        <w:rPr>
          <w:lang w:val="lv-LV"/>
        </w:rPr>
        <w:t>25.</w:t>
      </w:r>
      <w:r w:rsidRPr="00B47396">
        <w:rPr>
          <w:lang w:val="lv-LV"/>
        </w:rPr>
        <w:tab/>
        <w:t xml:space="preserve">uzskata, ka ir vajadzīga spēcīgāka, efektīvāka un jēgpilnāka Eiropas Parlamenta lēmumu pieņemšana un ES paplašināšanās politikas un tās finansējuma pārraudzība, lai palielinātu tā demokrātisko leģitimitāti un </w:t>
      </w:r>
      <w:proofErr w:type="spellStart"/>
      <w:r w:rsidRPr="00B47396">
        <w:rPr>
          <w:lang w:val="lv-LV"/>
        </w:rPr>
        <w:t>pārskatatbildību</w:t>
      </w:r>
      <w:proofErr w:type="spellEnd"/>
      <w:r w:rsidRPr="00B47396">
        <w:rPr>
          <w:lang w:val="lv-LV"/>
        </w:rPr>
        <w:t xml:space="preserve">; uzstāj, ka ir jāstiprina Parlamenta loma visā pievienošanās procesā, tostarp </w:t>
      </w:r>
      <w:proofErr w:type="spellStart"/>
      <w:r w:rsidRPr="00B47396">
        <w:rPr>
          <w:lang w:val="lv-LV"/>
        </w:rPr>
        <w:t>vidusposmā</w:t>
      </w:r>
      <w:proofErr w:type="spellEnd"/>
      <w:r w:rsidRPr="00B47396">
        <w:rPr>
          <w:lang w:val="lv-LV"/>
        </w:rPr>
        <w:t>, lai ļautu tam pilnībā pārbaudīt kandidātvalstu panākto progresu ikvienā no politikas jomām; apņemas uzlabot regulāru un pārredzamu dialogu un sadarbību ar kandidātvalstu parlamentiem, tā rādot piemēru ES integrācijas parlamentārajai kontrolei;</w:t>
      </w:r>
    </w:p>
    <w:p w:rsidR="00DE6BFC" w:rsidRPr="00B47396" w:rsidRDefault="00DE6BFC" w:rsidP="00DE6BFC">
      <w:pPr>
        <w:pStyle w:val="Normal12Hanging"/>
        <w:rPr>
          <w:bCs/>
          <w:iCs/>
          <w:lang w:val="lv-LV"/>
        </w:rPr>
      </w:pPr>
      <w:r w:rsidRPr="00B47396">
        <w:rPr>
          <w:lang w:val="lv-LV"/>
        </w:rPr>
        <w:t>26.</w:t>
      </w:r>
      <w:r w:rsidRPr="00B47396">
        <w:rPr>
          <w:lang w:val="lv-LV"/>
        </w:rPr>
        <w:tab/>
        <w:t>uzsver nepieciešamību stiprināt demokrātijas atbalstu, izmantojot esošos kanālus un instrumentus, piemēram, Žana Monē dialogu, partiju dialogu un parlamentārā dialoga procesu (PDP);</w:t>
      </w:r>
    </w:p>
    <w:p w:rsidR="00DE6BFC" w:rsidRPr="00B47396" w:rsidRDefault="00DE6BFC" w:rsidP="00DE6BFC">
      <w:pPr>
        <w:pStyle w:val="Normal12Hanging"/>
        <w:rPr>
          <w:bCs/>
          <w:iCs/>
          <w:lang w:val="lv-LV"/>
        </w:rPr>
      </w:pPr>
      <w:r w:rsidRPr="00B47396">
        <w:rPr>
          <w:lang w:val="lv-LV"/>
        </w:rPr>
        <w:t>27.</w:t>
      </w:r>
      <w:r w:rsidRPr="00B47396">
        <w:rPr>
          <w:lang w:val="lv-LV"/>
        </w:rPr>
        <w:tab/>
        <w:t>aicina ES iestādes un dalībvalstis pilnībā iesaistīties reformu procesu tālākā stiprināšanā kandidātvalstīs, īpaši attiecībā uz to administratīvo kapacitāti;</w:t>
      </w:r>
    </w:p>
    <w:p w:rsidR="00DE6BFC" w:rsidRPr="00B47396" w:rsidRDefault="00DE6BFC" w:rsidP="00DE6BFC">
      <w:pPr>
        <w:pStyle w:val="Normal12Hanging"/>
        <w:rPr>
          <w:bCs/>
          <w:iCs/>
          <w:lang w:val="lv-LV"/>
        </w:rPr>
      </w:pPr>
      <w:r w:rsidRPr="00B47396">
        <w:rPr>
          <w:lang w:val="lv-LV"/>
        </w:rPr>
        <w:t>28.</w:t>
      </w:r>
      <w:r w:rsidRPr="00B47396">
        <w:rPr>
          <w:lang w:val="lv-LV"/>
        </w:rPr>
        <w:tab/>
        <w:t xml:space="preserve">uzsver nepieciešamību ar stabila finansējuma palīdzību palielināt </w:t>
      </w:r>
      <w:proofErr w:type="spellStart"/>
      <w:r w:rsidRPr="00B47396">
        <w:rPr>
          <w:lang w:val="lv-LV"/>
        </w:rPr>
        <w:t>pārredzamību</w:t>
      </w:r>
      <w:proofErr w:type="spellEnd"/>
      <w:r w:rsidRPr="00B47396">
        <w:rPr>
          <w:lang w:val="lv-LV"/>
        </w:rPr>
        <w:t>, iedzīvotāju līdzdalību un ciešu pilsoniskās sabiedrības iesaistīšanu paplašināšanās procesā un tā pārraudzībā;</w:t>
      </w:r>
    </w:p>
    <w:p w:rsidR="00DE6BFC" w:rsidRPr="00B47396" w:rsidRDefault="00DE6BFC" w:rsidP="00DE6BFC">
      <w:pPr>
        <w:pStyle w:val="NormalHanging12a"/>
      </w:pPr>
      <w:r w:rsidRPr="00B47396">
        <w:t>29.</w:t>
      </w:r>
      <w:r w:rsidRPr="00B47396">
        <w:tab/>
        <w:t xml:space="preserve">uzsver, ka paplašināšanās process nedrīkst netīši palielināt vai saasināt atšķirības seksuālās orientācijas un </w:t>
      </w:r>
      <w:proofErr w:type="spellStart"/>
      <w:r w:rsidRPr="00B47396">
        <w:t>dzimumidentitātes</w:t>
      </w:r>
      <w:proofErr w:type="spellEnd"/>
      <w:r w:rsidRPr="00B47396">
        <w:t xml:space="preserve"> dēļ; mudina Komisiju un kandidātvalstis paplašināšanās procesā integrēt pasākumus, kas aktīvi veicina un nodrošina LGBTIQ personu tiesības, piemēram, izstrādāt politiku, kas izskaustu diskrimināciju seksuālās orientācijas un </w:t>
      </w:r>
      <w:proofErr w:type="spellStart"/>
      <w:r w:rsidRPr="00B47396">
        <w:t>dzimumidentitātes</w:t>
      </w:r>
      <w:proofErr w:type="spellEnd"/>
      <w:r w:rsidRPr="00B47396">
        <w:t xml:space="preserve"> dēļ, uzlabotu LGBTIQ līdzdalību lēmumu pieņemšanas procesos un veicinātu </w:t>
      </w:r>
      <w:proofErr w:type="spellStart"/>
      <w:r w:rsidRPr="00B47396">
        <w:t>iekļautību</w:t>
      </w:r>
      <w:proofErr w:type="spellEnd"/>
      <w:r w:rsidRPr="00B47396">
        <w:t xml:space="preserve"> politiskajā, ekonomiskajā un sociālajā dzīvē, izmantojot izglītības un izpratnes veicināšanas pasākumus; aicina Komisiju un kandidātvalstis pienācīgi uzraudzīt un novērtēt LGBTIQ tiesību statusu kandidātvalstīs;</w:t>
      </w:r>
    </w:p>
    <w:p w:rsidR="00DE6BFC" w:rsidRPr="00B47396" w:rsidRDefault="00DE6BFC" w:rsidP="00DE6BFC">
      <w:pPr>
        <w:pStyle w:val="NormalHanging12a"/>
      </w:pPr>
      <w:r w:rsidRPr="00B47396">
        <w:lastRenderedPageBreak/>
        <w:t>30.</w:t>
      </w:r>
      <w:r w:rsidRPr="00B47396">
        <w:tab/>
        <w:t xml:space="preserve">uzskata, ka pievienošanās procesam ir jānodrošina, ka kandidātvalstis pastiprina centienus, kas saistīti ar vienlīdzīgām tiesībām personām ar invaliditāti; uzsver vajadzību palielināt spiedienu uz kandidātvalstīm, lai tās īstenotu reformas nolūkā uzlabot personu ar invaliditāti situāciju un pastiprinātu savus </w:t>
      </w:r>
      <w:proofErr w:type="spellStart"/>
      <w:r w:rsidRPr="00B47396">
        <w:t>deinstitucionalizācijas</w:t>
      </w:r>
      <w:proofErr w:type="spellEnd"/>
      <w:r w:rsidRPr="00B47396">
        <w:t xml:space="preserve"> centienus, tostarp pāreju no aprūpes iestādēm uz aprūpi ģimenē un kopienā;</w:t>
      </w:r>
    </w:p>
    <w:p w:rsidR="00DE6BFC" w:rsidRPr="00B47396" w:rsidRDefault="00DE6BFC" w:rsidP="00DE6BFC">
      <w:pPr>
        <w:pStyle w:val="Normal12Hanging"/>
        <w:rPr>
          <w:rFonts w:eastAsia="Calibri"/>
          <w:b/>
          <w:i/>
          <w:szCs w:val="24"/>
          <w:lang w:val="lv-LV"/>
        </w:rPr>
      </w:pPr>
      <w:r w:rsidRPr="00B47396">
        <w:rPr>
          <w:b/>
          <w:i/>
          <w:lang w:val="lv-LV"/>
        </w:rPr>
        <w:t>Par Eiropas institucionālajām un finanšu reformām</w:t>
      </w:r>
    </w:p>
    <w:p w:rsidR="00DE6BFC" w:rsidRPr="00B47396" w:rsidRDefault="00DE6BFC" w:rsidP="00DE6BFC">
      <w:pPr>
        <w:pStyle w:val="Normal12Hanging"/>
        <w:rPr>
          <w:bCs/>
          <w:iCs/>
          <w:lang w:val="lv-LV"/>
        </w:rPr>
      </w:pPr>
      <w:r w:rsidRPr="00B47396">
        <w:rPr>
          <w:lang w:val="lv-LV"/>
        </w:rPr>
        <w:t>31.</w:t>
      </w:r>
      <w:r w:rsidRPr="00B47396">
        <w:rPr>
          <w:lang w:val="lv-LV"/>
        </w:rPr>
        <w:tab/>
        <w:t xml:space="preserve">uzskata, ka gan ES, gan pievienošanās </w:t>
      </w:r>
      <w:proofErr w:type="spellStart"/>
      <w:r w:rsidRPr="00B47396">
        <w:rPr>
          <w:lang w:val="lv-LV"/>
        </w:rPr>
        <w:t>sarunvalstīm</w:t>
      </w:r>
      <w:proofErr w:type="spellEnd"/>
      <w:r w:rsidRPr="00B47396">
        <w:rPr>
          <w:lang w:val="lv-LV"/>
        </w:rPr>
        <w:t xml:space="preserve"> ir vienlaikus jāgatavojas paplašināšanās procesam; uzsver, ka Eiropai ir vajadzīgas institucionālās un finanšu reformas, lai stātos pretī šā brīža izaicinājumiem un nodrošinātu, ka ES spēj uzņemt jaunas dalībvalstis un veicināt to sekmīgu integrāciju; aicina ES iestādes un dalībvalstis veikt nepieciešamās reformas, lai nodrošinātu, ka to neizpilde nekavē jaunu dalībvalstu pievienošanos; norāda, ka šīs reformas ir vajadzīgas, lai stiprinātu ES un tās iestādes nolūkā veicināt demokrātisko leģitimitāti, labu pārvaldību, spēju darboties, </w:t>
      </w:r>
      <w:proofErr w:type="spellStart"/>
      <w:r w:rsidRPr="00B47396">
        <w:rPr>
          <w:lang w:val="lv-LV"/>
        </w:rPr>
        <w:t>pārskatatbildību</w:t>
      </w:r>
      <w:proofErr w:type="spellEnd"/>
      <w:r w:rsidRPr="00B47396">
        <w:rPr>
          <w:lang w:val="lv-LV"/>
        </w:rPr>
        <w:t xml:space="preserve">, </w:t>
      </w:r>
      <w:proofErr w:type="spellStart"/>
      <w:r w:rsidRPr="00B47396">
        <w:rPr>
          <w:lang w:val="lv-LV"/>
        </w:rPr>
        <w:t>pārredzamību</w:t>
      </w:r>
      <w:proofErr w:type="spellEnd"/>
      <w:r w:rsidRPr="00B47396">
        <w:rPr>
          <w:lang w:val="lv-LV"/>
        </w:rPr>
        <w:t xml:space="preserve"> un ilgtspēju; īpaši uzsver, ka ir svarīgi paaugstināt ES politikas demokrātisko leģitimitāti, stiprinot Parlamenta lēmumu pieņemšanas un kontroles tiesības; tādēļ atkārtoti aicina piešķirt Parlamentam vispārējas un tiešas likumdošanas iniciatīvas tiesības;</w:t>
      </w:r>
    </w:p>
    <w:p w:rsidR="00DE6BFC" w:rsidRPr="00B47396" w:rsidRDefault="00DE6BFC" w:rsidP="00DE6BFC">
      <w:pPr>
        <w:pStyle w:val="Normal12Hanging"/>
        <w:rPr>
          <w:lang w:val="lv-LV"/>
        </w:rPr>
      </w:pPr>
      <w:r w:rsidRPr="00B47396">
        <w:rPr>
          <w:lang w:val="lv-LV"/>
        </w:rPr>
        <w:t>32.</w:t>
      </w:r>
      <w:r w:rsidRPr="00B47396">
        <w:rPr>
          <w:lang w:val="lv-LV"/>
        </w:rPr>
        <w:tab/>
        <w:t>pauž stingru pārliecību, ka Eiropas iestāžu reformām ir jāpalielina ES spēja rīkoties un jāietver vienkāršotas un efektīvākas lēmumu pieņemšanas procedūras, atsakoties no vienprātības;</w:t>
      </w:r>
      <w:r w:rsidRPr="00B47396">
        <w:rPr>
          <w:b/>
          <w:i/>
          <w:lang w:val="lv-LV"/>
        </w:rPr>
        <w:t xml:space="preserve"> </w:t>
      </w:r>
      <w:r w:rsidRPr="00B47396">
        <w:rPr>
          <w:lang w:val="lv-LV"/>
        </w:rPr>
        <w:t>atkārtoti norāda, ka kvalificēta vairākuma balsošana būtu jāīsteno tādās jomās kā demokrātijas aizsardzība, cilvēktiesības un tiesiskums, DFS, sankcijas un citi svarīgi ārpolitikas lēmumi, piemēram, ES pievienošanās sarunu sākšana, atsevišķu sarunu kopu atvēršana un slēgšana un regresa sankciju piemērošana, taču izņemot lēmumus, ar ko atļauj militārās misijas vai operācijas ar izpildpilnvaru;</w:t>
      </w:r>
    </w:p>
    <w:p w:rsidR="00DE6BFC" w:rsidRPr="00B47396" w:rsidRDefault="00DE6BFC" w:rsidP="00DE6BFC">
      <w:pPr>
        <w:pStyle w:val="Normal12Hanging"/>
        <w:rPr>
          <w:bCs/>
          <w:iCs/>
          <w:lang w:val="lv-LV"/>
        </w:rPr>
      </w:pPr>
      <w:r w:rsidRPr="00B47396">
        <w:rPr>
          <w:lang w:val="lv-LV"/>
        </w:rPr>
        <w:t>33.</w:t>
      </w:r>
      <w:r w:rsidRPr="00B47396">
        <w:rPr>
          <w:lang w:val="lv-LV"/>
        </w:rPr>
        <w:tab/>
        <w:t>aicina pirms nākamās paplašināšanās stiprināt tiesiskuma, ES pamatprincipu un vērtību aizsardzības mehānismu un visu Kopenhāgenas kritēriju izpildes uzraudzības kapacitāti, kā arī nodrošināt to ievērošanu; ierosina reformēt LES 7. pantā paredzēto procedūru, izbeidzot vienprātību Padomes lēmumu pieņemšanā, ieviešot skaidru grafiku un ieceļot Tiesu par arbitru pārkāpumu gadījumā; norāda, ka kvalificēta vairākuma balsošanas ieviešana atvieglotu paplašināšanās procesu; uzsver, ka ir vajadzīgas turpmākas tiesiskuma nosacījumu mehānisma reformas, kas aptvertu visas Savienības pamatvērtības, kas uzskaitītas LES 2. pantā, un garantētu to ievērošanu;</w:t>
      </w:r>
    </w:p>
    <w:p w:rsidR="00DE6BFC" w:rsidRPr="00B47396" w:rsidRDefault="00DE6BFC" w:rsidP="00DE6BFC">
      <w:pPr>
        <w:pStyle w:val="Normal12Hanging"/>
        <w:rPr>
          <w:lang w:val="lv-LV"/>
        </w:rPr>
      </w:pPr>
      <w:r w:rsidRPr="00B47396">
        <w:rPr>
          <w:lang w:val="lv-LV"/>
        </w:rPr>
        <w:t>34.</w:t>
      </w:r>
      <w:r w:rsidRPr="00B47396">
        <w:rPr>
          <w:lang w:val="lv-LV"/>
        </w:rPr>
        <w:tab/>
        <w:t xml:space="preserve">uzskata, ka pilnas dalības ES gadījumā diferencēta integrācija ir daļa no risinājuma efektīvi un padziļināti paplašinātai ES; tomēr uzsver, ka LES 2. pantā noteikto Savienības vērtību ievērošana nav apspriežama, ka tai nedrīkst piemērot nekādas atkāpes vai nepiemērošanas iespēju un ka dalībai ES būtu nepieciešama stingra apņemšanās ievērot visus ES tiesību aktus; uzskata arī, ka vienmēr ir jānodrošina plaša telpa kopējai Eiropas bāzei, kas aptver tādas jomas kā muitas savienība, vienotais tirgus ar tā četrām brīvībām, sociālās jomas pamata </w:t>
      </w:r>
      <w:proofErr w:type="spellStart"/>
      <w:r w:rsidRPr="00B47396">
        <w:rPr>
          <w:i/>
          <w:iCs/>
          <w:lang w:val="lv-LV"/>
        </w:rPr>
        <w:t>acquis</w:t>
      </w:r>
      <w:proofErr w:type="spellEnd"/>
      <w:r w:rsidRPr="00B47396">
        <w:rPr>
          <w:lang w:val="lv-LV"/>
        </w:rPr>
        <w:t xml:space="preserve"> un lauksaimniecības, konkurences un tirdzniecības politika; norāda, ka ārpus šīs kopīgās bāzes būtu jāļauj tām dalībvalstīm, kuras vēlas to vēlas, virzīt uz priekšu Eiropas integrāciju plašākā politikas jomu spektrā; uzsver, ka saskaņā ar šādu diferencētas integrācijas sistēmu visas dalībvalstis piedalītos lēmumu pieņemšanā par jautājumiem, kas skar kopīgo bāzi, bet lēmumus padziļinātas integrācijas jomās pieņemtu tikai tās dalībvalstis, kuras vēlas tajā piedalīties; norāda, ka diferencēta integrācija nozīmē arī diferencētu finanšu režīmu; </w:t>
      </w:r>
    </w:p>
    <w:p w:rsidR="00DE6BFC" w:rsidRPr="00B47396" w:rsidRDefault="00DE6BFC" w:rsidP="00DE6BFC">
      <w:pPr>
        <w:pStyle w:val="Normal12Hanging"/>
        <w:rPr>
          <w:lang w:val="lv-LV"/>
        </w:rPr>
      </w:pPr>
      <w:r w:rsidRPr="00B47396">
        <w:rPr>
          <w:lang w:val="lv-LV"/>
        </w:rPr>
        <w:lastRenderedPageBreak/>
        <w:t>35.</w:t>
      </w:r>
      <w:r w:rsidRPr="00B47396">
        <w:rPr>
          <w:lang w:val="lv-LV"/>
        </w:rPr>
        <w:tab/>
        <w:t xml:space="preserve">aicina pirms padziļinātākas reformas saistībā ar iespējamu Līgumu pārskatīšanu pilnībā izmantot Lisabonas līgumā paredzēto elastību; atgādina, ka saskaņā ar pašreizējo ES tiesisko regulējumu jau ir iespējami vairāki elastības risinājumi, ko skaidri apliecina Šengenas zonas un </w:t>
      </w:r>
      <w:proofErr w:type="spellStart"/>
      <w:r w:rsidRPr="00B47396">
        <w:rPr>
          <w:lang w:val="lv-LV"/>
        </w:rPr>
        <w:t>eurozonas</w:t>
      </w:r>
      <w:proofErr w:type="spellEnd"/>
      <w:r w:rsidRPr="00B47396">
        <w:rPr>
          <w:lang w:val="lv-LV"/>
        </w:rPr>
        <w:t xml:space="preserve"> pieredze, piemēram, ir pārejas klauzulas, ciešāka sadarbība, konstruktīva atturēšanās balsojumos, pastāvīgā strukturētā sadarbība (PESCO) un atsevišķu noteikumu nepiemērošanas mehānismi; atgādina, ka pievienošanās procedūru kontekstā ir iespējams apspriest pakāpeniskas ieviešanas risinājumus, pagaidu atkāpes un pārejas periodus; norāda, ka šo elastības mehānismu izmantošanai nevajadzētu kavēt konstruktīvas diskusijas par Līgumu pārskatīšanu, ko ierosinājis Parlaments savā 2023. gada 22. novembra rezolūcijā;</w:t>
      </w:r>
    </w:p>
    <w:p w:rsidR="00DE6BFC" w:rsidRPr="00B47396" w:rsidRDefault="00DE6BFC" w:rsidP="00DE6BFC">
      <w:pPr>
        <w:pStyle w:val="Normal12Hanging"/>
        <w:rPr>
          <w:b/>
          <w:bCs/>
          <w:i/>
          <w:iCs/>
          <w:lang w:val="lv-LV"/>
        </w:rPr>
      </w:pPr>
      <w:r w:rsidRPr="00B47396">
        <w:rPr>
          <w:lang w:val="lv-LV"/>
        </w:rPr>
        <w:t>36.</w:t>
      </w:r>
      <w:r w:rsidRPr="00B47396">
        <w:rPr>
          <w:lang w:val="lv-LV"/>
        </w:rPr>
        <w:tab/>
        <w:t xml:space="preserve">norāda, ka </w:t>
      </w:r>
      <w:proofErr w:type="spellStart"/>
      <w:r w:rsidRPr="00B47396">
        <w:rPr>
          <w:lang w:val="lv-LV"/>
        </w:rPr>
        <w:t>pirmspaplašināšanās</w:t>
      </w:r>
      <w:proofErr w:type="spellEnd"/>
      <w:r w:rsidRPr="00B47396">
        <w:rPr>
          <w:lang w:val="lv-LV"/>
        </w:rPr>
        <w:t xml:space="preserve"> institucionālajās reformās ir jāpievēršas arī paplašināšanās ietekmei uz Parlamenta sastāvu; atgādina, ka Eiropas Parlaments ir vienīgā tieši ievēlētā iestāde, kas pārstāv ES pilsoņus; uzsver, ka Parlamentam vajadzētu būt tik lielam, lai tas spētu turpināt funkcionēt, tajā pašā laikā ir jāsaglabā pienācīga demokrātiskā pārstāvība; tomēr norāda, ka nevar izslēgt saprātīgu Parlamenta palielinājumu, lai nodrošinātu pietiekamu demokrātisko pārstāvību paplašinātajā ES;</w:t>
      </w:r>
      <w:r w:rsidRPr="00B47396">
        <w:rPr>
          <w:b/>
          <w:i/>
          <w:lang w:val="lv-LV"/>
        </w:rPr>
        <w:t xml:space="preserve"> </w:t>
      </w:r>
      <w:r w:rsidRPr="00B47396">
        <w:rPr>
          <w:lang w:val="lv-LV"/>
        </w:rPr>
        <w:t>uzstāj, ka ir vajadzīga jauna sistēma mandātu sadalei, pamatojoties uz pastāvīgu matemātisku formulu, kas ir objektīva, taisnīga, pārredzama un noturīga; atkārtoti pauž nostāju, ka mandātu sadale Eiropas Parlamentā būtu jāpārskata kopā ar balsošanas sistēmas pārskatīšanu Padomē;</w:t>
      </w:r>
    </w:p>
    <w:p w:rsidR="00DE6BFC" w:rsidRPr="00B47396" w:rsidRDefault="00DE6BFC" w:rsidP="00DE6BFC">
      <w:pPr>
        <w:pStyle w:val="Normal12Hanging"/>
        <w:rPr>
          <w:b/>
          <w:bCs/>
          <w:i/>
          <w:iCs/>
          <w:lang w:val="lv-LV"/>
        </w:rPr>
      </w:pPr>
      <w:r w:rsidRPr="00B47396">
        <w:rPr>
          <w:lang w:val="lv-LV"/>
        </w:rPr>
        <w:t>37.</w:t>
      </w:r>
      <w:r w:rsidRPr="00B47396">
        <w:rPr>
          <w:lang w:val="lv-LV"/>
        </w:rPr>
        <w:tab/>
        <w:t>uzsver nepieciešamību ātri pārskatīt Padomes lēmumu pieņemšanas procesu, ņemot vērā paplašināšanos; ierosina pārskatīt Padomes rotējošo prezidentūru sistēmu; norāda, ka būtu jāpārskata arī kvalificēta vairākuma balsojuma robežvērtību aprēķināšana, lai samazinātu atšķirības starp lielākām un mazākām valstīm, nosakot augstākas robežvērtības vissvarīgākajiem lēmumiem; uzsver, ka paplašināšanās kontekstā Padomes lēmumiem ir jābūt maksimāli pārredzamiem un ētiskiem;</w:t>
      </w:r>
    </w:p>
    <w:p w:rsidR="00DE6BFC" w:rsidRPr="00B47396" w:rsidRDefault="00DE6BFC" w:rsidP="00DE6BFC">
      <w:pPr>
        <w:pStyle w:val="Normal12Hanging"/>
        <w:rPr>
          <w:sz w:val="22"/>
          <w:lang w:val="lv-LV"/>
        </w:rPr>
      </w:pPr>
      <w:r w:rsidRPr="00B47396">
        <w:rPr>
          <w:lang w:val="lv-LV"/>
        </w:rPr>
        <w:t>38.</w:t>
      </w:r>
      <w:r w:rsidRPr="00B47396">
        <w:rPr>
          <w:lang w:val="lv-LV"/>
        </w:rPr>
        <w:tab/>
        <w:t>norāda, ka Komisijas sastāvā ir jāņem vērā paplašināšanās, un šajā sakarā atgādina par Lisabonas līgumā paredzēto elastību; uzsver, ka, izvērtējot praksi iecelt vienu komisāru no katras dalībvalsts, joprojām ir jānodrošina ģeogrāfiski līdzsvarots Komisijas sastāvs;</w:t>
      </w:r>
    </w:p>
    <w:p w:rsidR="00DE6BFC" w:rsidRPr="00B47396" w:rsidRDefault="00DE6BFC" w:rsidP="00DE6BFC">
      <w:pPr>
        <w:pStyle w:val="NormalHanging12a"/>
      </w:pPr>
      <w:r w:rsidRPr="00B47396">
        <w:t>39.</w:t>
      </w:r>
      <w:r w:rsidRPr="00B47396">
        <w:tab/>
        <w:t>atkārtoti aicina stiprināt instrumentus pilsoņu līdzdalībai ES lēmumu pieņemšanas procesā;</w:t>
      </w:r>
    </w:p>
    <w:p w:rsidR="00DE6BFC" w:rsidRPr="00B47396" w:rsidRDefault="00DE6BFC" w:rsidP="00DE6BFC">
      <w:pPr>
        <w:pStyle w:val="Normal12Hanging"/>
        <w:rPr>
          <w:lang w:val="lv-LV"/>
        </w:rPr>
      </w:pPr>
      <w:r w:rsidRPr="00B47396">
        <w:rPr>
          <w:lang w:val="lv-LV"/>
        </w:rPr>
        <w:t>40.</w:t>
      </w:r>
      <w:r w:rsidRPr="00B47396">
        <w:rPr>
          <w:lang w:val="lv-LV"/>
        </w:rPr>
        <w:tab/>
        <w:t xml:space="preserve">uzsver, ka paplašināšanās ir gan milzīgs finansiāls izaicinājums ES, īpaši attiecībā uz kohēzijas politiku un lauksaimniecības politiku, gan iespēja reformēt ES; norāda, ka šis izaicinājums prasa, lai DFS būtu pienācīgi izstrādāta un finansētas u tajā būtu labi noteiktas prioritātes, lai ES budžets būtu tāds, kas ļauj Savienībai uzņemties jaunus uzdevumus, vienlaikus turpinot īstenot esošās programmas un politiskās prioritātes; turklāt uzsver, ka paplašināšanās izaicinājuma pārvarēšanai ir vajadzīgi pietiekami, papildinoši un jauni pašu resursi; norāda, ka paplašināšanās palielina citu augošo pieprasījumu pēc ES finansējuma tādās jomās kā finanšu stabilitāte, stratēģiskā autonomija, veselība, enerģētika, dekarbonizācija, pāreja uz tīru enerģiju, vides aizsardzība, </w:t>
      </w:r>
      <w:proofErr w:type="spellStart"/>
      <w:r w:rsidRPr="00B47396">
        <w:rPr>
          <w:lang w:val="lv-LV"/>
        </w:rPr>
        <w:t>digitalizācija</w:t>
      </w:r>
      <w:proofErr w:type="spellEnd"/>
      <w:r w:rsidRPr="00B47396">
        <w:rPr>
          <w:lang w:val="lv-LV"/>
        </w:rPr>
        <w:t xml:space="preserve">, pētniecība, aizsardzība un drošība; uzsver, ka šādas finanšu reformas ir jāapspriež līdztekus notiekošajām pievienošanās sarunām un jāpieņem pirms paplašināšanās; aizstāv savu nostāju, ka pašreizējā un turpmākā DFS struktūra būtu jāpārstrukturē un ievērojami jāuzlabo, lai palielinātu noturību; uzsver, ka, gatavojoties DFS 2028.–2034. gadam, ir jāņem vērā jaunu dalībvalstu pievienošanās; </w:t>
      </w:r>
    </w:p>
    <w:p w:rsidR="00DE6BFC" w:rsidRPr="00B47396" w:rsidRDefault="00DE6BFC" w:rsidP="00DE6BFC">
      <w:pPr>
        <w:pStyle w:val="NormalHanging12a"/>
      </w:pPr>
      <w:r w:rsidRPr="00B47396">
        <w:lastRenderedPageBreak/>
        <w:t>41.</w:t>
      </w:r>
      <w:r w:rsidRPr="00B47396">
        <w:tab/>
        <w:t>aicina Komisiju un kandidātvalstis garantēt MVU īpašo nozīmi kā galvenajam pīlāram, lai stiprinātu rūpniecības politiku un uzlabotu valstu spēju īstenot taisnīgu pārkārtošanos un pielāgoties tehnoloģiskajām problēmām virzībā uz iekļaujošu digitālo pārkārtošanos;</w:t>
      </w:r>
    </w:p>
    <w:p w:rsidR="00DE6BFC" w:rsidRPr="00B47396" w:rsidRDefault="00DE6BFC" w:rsidP="00DE6BFC">
      <w:pPr>
        <w:pStyle w:val="Normal12Hanging"/>
        <w:rPr>
          <w:lang w:val="lv-LV"/>
        </w:rPr>
      </w:pPr>
      <w:r w:rsidRPr="00B47396">
        <w:rPr>
          <w:lang w:val="lv-LV"/>
        </w:rPr>
        <w:t>42.</w:t>
      </w:r>
      <w:r w:rsidRPr="00B47396">
        <w:rPr>
          <w:lang w:val="lv-LV"/>
        </w:rPr>
        <w:tab/>
        <w:t xml:space="preserve">atkārtoti aicina Padomi, Komisiju un EĀDD uzlabot stratēģisko komunikāciju un paplašināšanās savstarpējo sociālekonomisko ieguvumu un problēmu </w:t>
      </w:r>
      <w:proofErr w:type="spellStart"/>
      <w:r w:rsidRPr="00B47396">
        <w:rPr>
          <w:lang w:val="lv-LV"/>
        </w:rPr>
        <w:t>pamanāmību</w:t>
      </w:r>
      <w:proofErr w:type="spellEnd"/>
      <w:r w:rsidRPr="00B47396">
        <w:rPr>
          <w:lang w:val="lv-LV"/>
        </w:rPr>
        <w:t xml:space="preserve"> gan pievienošanās valstīs, gan dalībvalstīs, izmantojot efektīvu informācijas kampaņas stratēģiju visā paplašināšanās procesā, kā arī parādot reālus pašreizējā pievienošanās procesa un katras sarunu kārtas rezultātus;</w:t>
      </w:r>
    </w:p>
    <w:p w:rsidR="00DE6BFC" w:rsidRPr="00B47396" w:rsidRDefault="00DE6BFC" w:rsidP="00DE6BFC">
      <w:pPr>
        <w:pStyle w:val="Normal12Hanging"/>
        <w:rPr>
          <w:lang w:val="lv-LV"/>
        </w:rPr>
      </w:pPr>
      <w:r w:rsidRPr="00B47396">
        <w:rPr>
          <w:lang w:val="lv-LV"/>
        </w:rPr>
        <w:t>43.</w:t>
      </w:r>
      <w:r w:rsidRPr="00B47396">
        <w:rPr>
          <w:lang w:val="lv-LV"/>
        </w:rPr>
        <w:tab/>
        <w:t>atkārtoti aicina īstenot Īpašās komitejas attiecībā uz ārvalstu iejaukšanos visos demokrātiskajos procesos Eiropas Savienībā, tostarp dezinformāciju (INGE) ieteikumus, jo īpaši pastiprinot centienus apkarot dezinformāciju, novērst ārvalstu ļaunprātīgu iejaukšanos un mēģinājumus apdraudēt demokrātiju un apdraudēt ES integrāciju, sabotējot politisko, ekonomisko un sociālo stabilitāti kandidātvalstīs;</w:t>
      </w:r>
    </w:p>
    <w:p w:rsidR="00DE6BFC" w:rsidRPr="00B47396" w:rsidRDefault="00DE6BFC" w:rsidP="00DE6BFC">
      <w:pPr>
        <w:pStyle w:val="Normal12Hanging"/>
        <w:rPr>
          <w:bCs/>
          <w:iCs/>
          <w:lang w:val="lv-LV"/>
        </w:rPr>
      </w:pPr>
      <w:r w:rsidRPr="00B47396">
        <w:rPr>
          <w:lang w:val="lv-LV"/>
        </w:rPr>
        <w:t>44.</w:t>
      </w:r>
      <w:r w:rsidRPr="00B47396">
        <w:rPr>
          <w:lang w:val="lv-LV"/>
        </w:rPr>
        <w:tab/>
        <w:t>norāda, ka Ukrainas atjaunošana un atgūšanās no kara ir daudzdimensionāls izaicinājums, kas jārisina plašākā starptautisko centienu kontekstā, uzsver, ka Ukrainai paredzētajam finansējumam ir jānāk no vairākiem starptautiskiem avotiem, tostarp iesaldētajiem Krievijas aktīviem; uzsver, ka šie ieguldījumi nebūs bez saviem finanšu riskiem, un uzstāj, ka šis process ir cieši jāuzrauga un jāiekļauj labi izstrādātā un pielāgotā tiesiskajā regulējumā, t. i., nodrošinoties pret korupciju un aizsardzību pret krāpšanu; šajā sakarā aicina ātri pieņemt regulu, ar ko izveido Ukrainas mehānismu;</w:t>
      </w:r>
    </w:p>
    <w:p w:rsidR="00DE6BFC" w:rsidRPr="00B47396" w:rsidRDefault="00DE6BFC" w:rsidP="00DE6BFC">
      <w:pPr>
        <w:pStyle w:val="Normal12Hanging"/>
        <w:rPr>
          <w:szCs w:val="24"/>
          <w:lang w:val="lv-LV"/>
        </w:rPr>
      </w:pPr>
      <w:r w:rsidRPr="00B47396">
        <w:rPr>
          <w:lang w:val="lv-LV"/>
        </w:rPr>
        <w:t>45.</w:t>
      </w:r>
      <w:r w:rsidRPr="00B47396">
        <w:rPr>
          <w:lang w:val="lv-LV"/>
        </w:rPr>
        <w:tab/>
        <w:t xml:space="preserve">atzinīgi vērtē Komisijas darbu, ko tā veic </w:t>
      </w:r>
      <w:proofErr w:type="spellStart"/>
      <w:r w:rsidRPr="00B47396">
        <w:rPr>
          <w:lang w:val="lv-LV"/>
        </w:rPr>
        <w:t>pirmspaplašināšanās</w:t>
      </w:r>
      <w:proofErr w:type="spellEnd"/>
      <w:r w:rsidRPr="00B47396">
        <w:rPr>
          <w:lang w:val="lv-LV"/>
        </w:rPr>
        <w:t xml:space="preserve"> politikas veidošanā un finansējuma pārskatīšanā, un aicina veikt rūpīgu paplašināšanās ietekmes novērtējumu;</w:t>
      </w:r>
      <w:r w:rsidRPr="00B47396">
        <w:rPr>
          <w:b/>
          <w:i/>
          <w:lang w:val="lv-LV"/>
        </w:rPr>
        <w:t xml:space="preserve"> </w:t>
      </w:r>
      <w:r w:rsidRPr="00B47396">
        <w:rPr>
          <w:lang w:val="lv-LV"/>
        </w:rPr>
        <w:t xml:space="preserve">atbalsta efektīva ES atbalstīta konfliktu risināšanas un starpniecības mehānisma izveidi ārpus paplašināšanās satvara, kura mērķis būtu veicināt izlīgumu un atrisināt divpusējus jautājumus pievienošanās </w:t>
      </w:r>
      <w:proofErr w:type="spellStart"/>
      <w:r w:rsidRPr="00B47396">
        <w:rPr>
          <w:lang w:val="lv-LV"/>
        </w:rPr>
        <w:t>sarunvalstīs</w:t>
      </w:r>
      <w:proofErr w:type="spellEnd"/>
      <w:r w:rsidRPr="00B47396">
        <w:rPr>
          <w:lang w:val="lv-LV"/>
        </w:rPr>
        <w:t>, palīdzot rast un īstenot galīgus saistošus risinājumus reģionāliem un divpusējiem strīdiem un pagātnes mantojumam;</w:t>
      </w:r>
    </w:p>
    <w:p w:rsidR="00DE6BFC" w:rsidRPr="00B47396" w:rsidRDefault="00DE6BFC" w:rsidP="00DE6BFC">
      <w:pPr>
        <w:pStyle w:val="Normal12Hanging"/>
        <w:rPr>
          <w:lang w:val="lv-LV"/>
        </w:rPr>
      </w:pPr>
      <w:r w:rsidRPr="00B47396">
        <w:rPr>
          <w:lang w:val="lv-LV"/>
        </w:rPr>
        <w:t>46.</w:t>
      </w:r>
      <w:r w:rsidRPr="00B47396">
        <w:rPr>
          <w:lang w:val="lv-LV"/>
        </w:rPr>
        <w:tab/>
        <w:t>aicina 2024. gada Eiropas vēlēšanas izmantot kā iespēju apspriest Eiropas Savienības padziļināšanas un paplašināšanas procesa nepieciešamību un priekšrocības un izcelt tās; tas pats sakāms par nepieciešamajām Eiropas politiskajām, institucionālajām un finanšu reformām;</w:t>
      </w:r>
    </w:p>
    <w:p w:rsidR="00DE6BFC" w:rsidRPr="00B47396" w:rsidRDefault="00DE6BFC" w:rsidP="00DE6BFC">
      <w:pPr>
        <w:pStyle w:val="Normal12Hanging"/>
        <w:jc w:val="center"/>
        <w:rPr>
          <w:rFonts w:eastAsiaTheme="minorHAnsi"/>
          <w:lang w:val="lv-LV"/>
        </w:rPr>
      </w:pPr>
      <w:r w:rsidRPr="00B47396">
        <w:rPr>
          <w:lang w:val="lv-LV"/>
        </w:rPr>
        <w:t>°</w:t>
      </w:r>
    </w:p>
    <w:p w:rsidR="00DE6BFC" w:rsidRPr="00B47396" w:rsidRDefault="00DE6BFC" w:rsidP="00DE6BFC">
      <w:pPr>
        <w:pStyle w:val="Normal12Hanging"/>
        <w:jc w:val="center"/>
        <w:rPr>
          <w:rFonts w:eastAsiaTheme="minorHAnsi"/>
          <w:lang w:val="lv-LV"/>
        </w:rPr>
      </w:pPr>
      <w:r w:rsidRPr="00B47396">
        <w:rPr>
          <w:lang w:val="lv-LV"/>
        </w:rPr>
        <w:t>°</w:t>
      </w:r>
      <w:r w:rsidRPr="00B47396">
        <w:rPr>
          <w:lang w:val="lv-LV"/>
        </w:rPr>
        <w:tab/>
        <w:t>°</w:t>
      </w:r>
    </w:p>
    <w:p w:rsidR="00DE6BFC" w:rsidRPr="00B47396" w:rsidRDefault="00DE6BFC" w:rsidP="00DE6BFC">
      <w:pPr>
        <w:pStyle w:val="Normal12Hanging"/>
        <w:rPr>
          <w:rFonts w:eastAsiaTheme="minorHAnsi"/>
          <w:lang w:val="lv-LV"/>
        </w:rPr>
      </w:pPr>
      <w:r w:rsidRPr="00B47396">
        <w:rPr>
          <w:lang w:val="lv-LV"/>
        </w:rPr>
        <w:t>47.</w:t>
      </w:r>
      <w:r w:rsidRPr="00B47396">
        <w:rPr>
          <w:lang w:val="lv-LV"/>
        </w:rPr>
        <w:tab/>
        <w:t xml:space="preserve">uzdod priekšsēdētājai šo rezolūciju nosūtīt Padomei, Komisijai, Komisijas priekšsēdētājas vietniekam / Savienības Augstajam pārstāvim ārlietās un drošības politikas jautājumos, dalībvalstu valdībām un parlamentiem, kā arī pievienošanās </w:t>
      </w:r>
      <w:proofErr w:type="spellStart"/>
      <w:r w:rsidRPr="00B47396">
        <w:rPr>
          <w:lang w:val="lv-LV"/>
        </w:rPr>
        <w:t>sarunvalstu</w:t>
      </w:r>
      <w:proofErr w:type="spellEnd"/>
      <w:r w:rsidRPr="00B47396">
        <w:rPr>
          <w:lang w:val="lv-LV"/>
        </w:rPr>
        <w:t xml:space="preserve"> valdībām un parlamentiem.</w:t>
      </w:r>
    </w:p>
    <w:p w:rsidR="00DE6BFC" w:rsidRPr="00B47396" w:rsidRDefault="00DE6BFC" w:rsidP="00DE6BFC">
      <w:pPr>
        <w:pStyle w:val="Normal12Hanging"/>
        <w:rPr>
          <w:lang w:val="lv-LV"/>
        </w:rPr>
      </w:pPr>
    </w:p>
    <w:p w:rsidR="00E365E1" w:rsidRPr="00B47396" w:rsidRDefault="00E365E1" w:rsidP="006E2E00">
      <w:bookmarkStart w:id="9" w:name="TextBodyEnd"/>
      <w:bookmarkEnd w:id="9"/>
    </w:p>
    <w:sectPr w:rsidR="00E365E1" w:rsidRPr="00B47396" w:rsidSect="002C3CF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E00" w:rsidRPr="002C3CFD" w:rsidRDefault="006E2E00">
      <w:r w:rsidRPr="002C3CFD">
        <w:separator/>
      </w:r>
    </w:p>
  </w:endnote>
  <w:endnote w:type="continuationSeparator" w:id="0">
    <w:p w:rsidR="006E2E00" w:rsidRPr="002C3CFD" w:rsidRDefault="006E2E00">
      <w:r w:rsidRPr="002C3C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3CF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3CF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3C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E00" w:rsidRPr="002C3CFD" w:rsidRDefault="006E2E00">
      <w:r w:rsidRPr="002C3CFD">
        <w:separator/>
      </w:r>
    </w:p>
  </w:footnote>
  <w:footnote w:type="continuationSeparator" w:id="0">
    <w:p w:rsidR="006E2E00" w:rsidRPr="002C3CFD" w:rsidRDefault="006E2E00">
      <w:r w:rsidRPr="002C3CFD">
        <w:continuationSeparator/>
      </w:r>
    </w:p>
  </w:footnote>
  <w:footnote w:id="1">
    <w:p w:rsidR="00DE6BFC" w:rsidRPr="00B06ED8" w:rsidRDefault="00DE6BFC" w:rsidP="002C3CFD">
      <w:pPr>
        <w:pStyle w:val="FootnoteText"/>
        <w:ind w:left="567" w:hanging="567"/>
        <w:rPr>
          <w:sz w:val="24"/>
          <w:lang w:val="lv-LV"/>
        </w:rPr>
      </w:pPr>
      <w:r w:rsidRPr="00B06ED8">
        <w:rPr>
          <w:rStyle w:val="FootnoteReference"/>
          <w:sz w:val="24"/>
          <w:lang w:val="lv-LV"/>
        </w:rPr>
        <w:footnoteRef/>
      </w:r>
      <w:r w:rsidR="002C3CFD" w:rsidRPr="00B47396">
        <w:rPr>
          <w:rStyle w:val="Emphasis"/>
          <w:i w:val="0"/>
          <w:sz w:val="24"/>
          <w:lang w:val="lv-LV"/>
        </w:rPr>
        <w:t xml:space="preserve"> </w:t>
      </w:r>
      <w:r w:rsidR="002C3CFD" w:rsidRPr="00B47396">
        <w:rPr>
          <w:rStyle w:val="Emphasis"/>
          <w:i w:val="0"/>
          <w:sz w:val="24"/>
          <w:lang w:val="lv-LV"/>
        </w:rPr>
        <w:tab/>
      </w:r>
      <w:r w:rsidRPr="00B47396">
        <w:rPr>
          <w:rStyle w:val="Emphasis"/>
          <w:i w:val="0"/>
          <w:sz w:val="24"/>
          <w:lang w:val="lv-LV"/>
        </w:rPr>
        <w:t>Pieņemtie teksti, P9_TA(2023)0471.</w:t>
      </w:r>
    </w:p>
  </w:footnote>
  <w:footnote w:id="2">
    <w:p w:rsidR="00DE6BFC" w:rsidRPr="00B06ED8" w:rsidRDefault="00DE6BFC" w:rsidP="002C3CFD">
      <w:pPr>
        <w:pStyle w:val="FootnoteText"/>
        <w:ind w:left="567" w:hanging="567"/>
        <w:rPr>
          <w:sz w:val="24"/>
          <w:lang w:val="lv-LV"/>
        </w:rPr>
      </w:pPr>
      <w:r w:rsidRPr="00B06ED8">
        <w:rPr>
          <w:rStyle w:val="FootnoteReference"/>
          <w:rFonts w:eastAsiaTheme="majorEastAsia"/>
          <w:sz w:val="24"/>
          <w:lang w:val="lv-LV"/>
        </w:rPr>
        <w:footnoteRef/>
      </w:r>
      <w:r w:rsidR="002C3CFD" w:rsidRPr="00B47396">
        <w:rPr>
          <w:rStyle w:val="Emphasis"/>
          <w:i w:val="0"/>
          <w:sz w:val="24"/>
          <w:lang w:val="lv-LV"/>
        </w:rPr>
        <w:t xml:space="preserve"> </w:t>
      </w:r>
      <w:r w:rsidR="002C3CFD" w:rsidRPr="00B47396">
        <w:rPr>
          <w:rStyle w:val="Emphasis"/>
          <w:i w:val="0"/>
          <w:sz w:val="24"/>
          <w:lang w:val="lv-LV"/>
        </w:rPr>
        <w:tab/>
      </w:r>
      <w:r w:rsidRPr="00B47396">
        <w:rPr>
          <w:rStyle w:val="Emphasis"/>
          <w:i w:val="0"/>
          <w:sz w:val="24"/>
          <w:lang w:val="lv-LV"/>
        </w:rPr>
        <w:t>OV C 167, 11.5.2023., 105. lpp.</w:t>
      </w:r>
    </w:p>
  </w:footnote>
  <w:footnote w:id="3">
    <w:p w:rsidR="00DE6BFC" w:rsidRPr="002C3CFD" w:rsidRDefault="00DE6BFC" w:rsidP="002C3CFD">
      <w:pPr>
        <w:pStyle w:val="FootnoteText"/>
        <w:ind w:left="567" w:hanging="567"/>
        <w:rPr>
          <w:bCs/>
          <w:iCs/>
          <w:sz w:val="24"/>
          <w:szCs w:val="24"/>
          <w:lang w:val="lv-LV"/>
        </w:rPr>
      </w:pPr>
      <w:r w:rsidRPr="002C3CFD">
        <w:rPr>
          <w:bCs/>
          <w:iCs/>
          <w:sz w:val="24"/>
          <w:szCs w:val="24"/>
          <w:vertAlign w:val="superscript"/>
          <w:lang w:val="lv-LV"/>
        </w:rPr>
        <w:footnoteRef/>
      </w:r>
      <w:r w:rsidR="002C3CFD" w:rsidRPr="002C3CFD">
        <w:rPr>
          <w:sz w:val="24"/>
          <w:lang w:val="lv-LV"/>
        </w:rPr>
        <w:t xml:space="preserve"> </w:t>
      </w:r>
      <w:r w:rsidR="002C3CFD" w:rsidRPr="002C3CFD">
        <w:rPr>
          <w:sz w:val="24"/>
          <w:lang w:val="lv-LV"/>
        </w:rPr>
        <w:tab/>
      </w:r>
      <w:r w:rsidRPr="002C3CFD">
        <w:rPr>
          <w:sz w:val="24"/>
          <w:lang w:val="lv-LV"/>
        </w:rPr>
        <w:t>OV C 202, 28.5.2021., 86. lpp.</w:t>
      </w:r>
    </w:p>
  </w:footnote>
  <w:footnote w:id="4">
    <w:p w:rsidR="00DE6BFC" w:rsidRPr="002C3CFD" w:rsidRDefault="00DE6BFC" w:rsidP="002C3CFD">
      <w:pPr>
        <w:pStyle w:val="FootnoteText"/>
        <w:ind w:left="567" w:hanging="567"/>
        <w:rPr>
          <w:bCs/>
          <w:iCs/>
          <w:sz w:val="24"/>
          <w:szCs w:val="24"/>
          <w:lang w:val="lv-LV"/>
        </w:rPr>
      </w:pPr>
      <w:r w:rsidRPr="002C3CFD">
        <w:rPr>
          <w:bCs/>
          <w:iCs/>
          <w:sz w:val="24"/>
          <w:szCs w:val="24"/>
          <w:vertAlign w:val="superscript"/>
          <w:lang w:val="lv-LV"/>
        </w:rPr>
        <w:footnoteRef/>
      </w:r>
      <w:r w:rsidR="002C3CFD" w:rsidRPr="002C3CFD">
        <w:rPr>
          <w:sz w:val="24"/>
          <w:lang w:val="lv-LV"/>
        </w:rPr>
        <w:t xml:space="preserve"> </w:t>
      </w:r>
      <w:r w:rsidR="002C3CFD" w:rsidRPr="002C3CFD">
        <w:rPr>
          <w:sz w:val="24"/>
          <w:lang w:val="lv-LV"/>
        </w:rPr>
        <w:tab/>
      </w:r>
      <w:r w:rsidRPr="002C3CFD">
        <w:rPr>
          <w:sz w:val="24"/>
          <w:lang w:val="lv-LV"/>
        </w:rPr>
        <w:t>OV C, C/2023/1066, 15.12.2023., ELI: https://eur-lex.europa.eu/eli/C/2023/1066/oj?locale=lv.</w:t>
      </w:r>
    </w:p>
  </w:footnote>
  <w:footnote w:id="5">
    <w:p w:rsidR="00DE6BFC" w:rsidRPr="002C3CFD" w:rsidRDefault="00DE6BFC" w:rsidP="002C3CFD">
      <w:pPr>
        <w:pStyle w:val="FootnoteText"/>
        <w:ind w:left="567" w:hanging="567"/>
        <w:rPr>
          <w:bCs/>
          <w:iCs/>
          <w:sz w:val="24"/>
          <w:szCs w:val="24"/>
          <w:lang w:val="lv-LV"/>
        </w:rPr>
      </w:pPr>
      <w:r w:rsidRPr="002C3CFD">
        <w:rPr>
          <w:bCs/>
          <w:iCs/>
          <w:sz w:val="24"/>
          <w:szCs w:val="24"/>
          <w:vertAlign w:val="superscript"/>
          <w:lang w:val="lv-LV"/>
        </w:rPr>
        <w:footnoteRef/>
      </w:r>
      <w:r w:rsidR="002C3CFD" w:rsidRPr="002C3CFD">
        <w:rPr>
          <w:sz w:val="24"/>
          <w:lang w:val="lv-LV"/>
        </w:rPr>
        <w:t xml:space="preserve"> </w:t>
      </w:r>
      <w:r w:rsidR="002C3CFD" w:rsidRPr="002C3CFD">
        <w:rPr>
          <w:sz w:val="24"/>
          <w:lang w:val="lv-LV"/>
        </w:rPr>
        <w:tab/>
      </w:r>
      <w:r w:rsidRPr="002C3CFD">
        <w:rPr>
          <w:sz w:val="24"/>
          <w:lang w:val="lv-LV"/>
        </w:rPr>
        <w:t>OV C, C/2023/1065, 15.12.2023., ELI: https://eur-lex.europa.eu/eli/C/2023/1065/oj?locale=lv.</w:t>
      </w:r>
    </w:p>
  </w:footnote>
  <w:footnote w:id="6">
    <w:p w:rsidR="00DE6BFC" w:rsidRPr="002C3CFD" w:rsidRDefault="00DE6BFC" w:rsidP="002C3CFD">
      <w:pPr>
        <w:pStyle w:val="FootnoteText"/>
        <w:ind w:left="567" w:hanging="567"/>
        <w:rPr>
          <w:bCs/>
          <w:iCs/>
          <w:sz w:val="24"/>
          <w:szCs w:val="24"/>
          <w:lang w:val="lv-LV"/>
        </w:rPr>
      </w:pPr>
      <w:r w:rsidRPr="002C3CFD">
        <w:rPr>
          <w:bCs/>
          <w:iCs/>
          <w:sz w:val="24"/>
          <w:szCs w:val="24"/>
          <w:vertAlign w:val="superscript"/>
          <w:lang w:val="lv-LV"/>
        </w:rPr>
        <w:footnoteRef/>
      </w:r>
      <w:r w:rsidR="002C3CFD" w:rsidRPr="002C3CFD">
        <w:rPr>
          <w:sz w:val="24"/>
          <w:lang w:val="lv-LV"/>
        </w:rPr>
        <w:t xml:space="preserve"> </w:t>
      </w:r>
      <w:r w:rsidR="002C3CFD" w:rsidRPr="002C3CFD">
        <w:rPr>
          <w:sz w:val="24"/>
          <w:lang w:val="lv-LV"/>
        </w:rPr>
        <w:tab/>
      </w:r>
      <w:r w:rsidRPr="002C3CFD">
        <w:rPr>
          <w:sz w:val="24"/>
          <w:lang w:val="lv-LV"/>
        </w:rPr>
        <w:t>Pieņemtie teksti, P9_TA(2023)0285.</w:t>
      </w:r>
    </w:p>
  </w:footnote>
  <w:footnote w:id="7">
    <w:p w:rsidR="00DE6BFC" w:rsidRPr="002C3CFD" w:rsidRDefault="00DE6BFC" w:rsidP="002C3CFD">
      <w:pPr>
        <w:pStyle w:val="FootnoteText"/>
        <w:ind w:left="567" w:hanging="567"/>
        <w:rPr>
          <w:bCs/>
          <w:iCs/>
          <w:sz w:val="24"/>
          <w:szCs w:val="24"/>
          <w:lang w:val="lv-LV"/>
        </w:rPr>
      </w:pPr>
      <w:r w:rsidRPr="002C3CFD">
        <w:rPr>
          <w:bCs/>
          <w:iCs/>
          <w:sz w:val="24"/>
          <w:szCs w:val="24"/>
          <w:vertAlign w:val="superscript"/>
          <w:lang w:val="lv-LV"/>
        </w:rPr>
        <w:footnoteRef/>
      </w:r>
      <w:r w:rsidR="002C3CFD" w:rsidRPr="002C3CFD">
        <w:rPr>
          <w:sz w:val="24"/>
          <w:lang w:val="lv-LV"/>
        </w:rPr>
        <w:t xml:space="preserve"> </w:t>
      </w:r>
      <w:r w:rsidR="002C3CFD" w:rsidRPr="002C3CFD">
        <w:rPr>
          <w:sz w:val="24"/>
          <w:lang w:val="lv-LV"/>
        </w:rPr>
        <w:tab/>
      </w:r>
      <w:r w:rsidRPr="002C3CFD">
        <w:rPr>
          <w:sz w:val="24"/>
          <w:lang w:val="lv-LV"/>
        </w:rPr>
        <w:t>Pieņemtie teksti, P9_TA(2023)0284.</w:t>
      </w:r>
    </w:p>
  </w:footnote>
  <w:footnote w:id="8">
    <w:p w:rsidR="00DE6BFC" w:rsidRPr="002C3CFD" w:rsidRDefault="00DE6BFC" w:rsidP="002C3CFD">
      <w:pPr>
        <w:pStyle w:val="FootnoteText"/>
        <w:ind w:left="567" w:hanging="567"/>
        <w:rPr>
          <w:bCs/>
          <w:iCs/>
          <w:sz w:val="24"/>
          <w:szCs w:val="24"/>
          <w:lang w:val="lv-LV"/>
        </w:rPr>
      </w:pPr>
      <w:r w:rsidRPr="002C3CFD">
        <w:rPr>
          <w:bCs/>
          <w:iCs/>
          <w:sz w:val="24"/>
          <w:szCs w:val="24"/>
          <w:vertAlign w:val="superscript"/>
          <w:lang w:val="lv-LV"/>
        </w:rPr>
        <w:footnoteRef/>
      </w:r>
      <w:r w:rsidR="002C3CFD" w:rsidRPr="002C3CFD">
        <w:rPr>
          <w:sz w:val="24"/>
          <w:lang w:val="lv-LV"/>
        </w:rPr>
        <w:t xml:space="preserve"> </w:t>
      </w:r>
      <w:r w:rsidR="002C3CFD" w:rsidRPr="002C3CFD">
        <w:rPr>
          <w:sz w:val="24"/>
          <w:lang w:val="lv-LV"/>
        </w:rPr>
        <w:tab/>
      </w:r>
      <w:r w:rsidRPr="002C3CFD">
        <w:rPr>
          <w:sz w:val="24"/>
          <w:lang w:val="lv-LV"/>
        </w:rPr>
        <w:t>OV C 479, 16.12.2022., 33. lpp.</w:t>
      </w:r>
    </w:p>
  </w:footnote>
  <w:footnote w:id="9">
    <w:p w:rsidR="00DE6BFC" w:rsidRPr="002C3CFD" w:rsidRDefault="00DE6BFC" w:rsidP="002C3CFD">
      <w:pPr>
        <w:pStyle w:val="FootnoteText"/>
        <w:ind w:left="567" w:hanging="567"/>
        <w:rPr>
          <w:bCs/>
          <w:iCs/>
          <w:sz w:val="24"/>
          <w:szCs w:val="24"/>
          <w:lang w:val="lv-LV"/>
        </w:rPr>
      </w:pPr>
      <w:r w:rsidRPr="002C3CFD">
        <w:rPr>
          <w:bCs/>
          <w:iCs/>
          <w:sz w:val="24"/>
          <w:szCs w:val="24"/>
          <w:vertAlign w:val="superscript"/>
          <w:lang w:val="lv-LV"/>
        </w:rPr>
        <w:footnoteRef/>
      </w:r>
      <w:r w:rsidR="002C3CFD" w:rsidRPr="002C3CFD">
        <w:rPr>
          <w:sz w:val="24"/>
          <w:lang w:val="lv-LV"/>
        </w:rPr>
        <w:t xml:space="preserve"> </w:t>
      </w:r>
      <w:r w:rsidR="002C3CFD" w:rsidRPr="002C3CFD">
        <w:rPr>
          <w:sz w:val="24"/>
          <w:lang w:val="lv-LV"/>
        </w:rPr>
        <w:tab/>
      </w:r>
      <w:r w:rsidRPr="002C3CFD">
        <w:rPr>
          <w:sz w:val="24"/>
          <w:lang w:val="lv-LV"/>
        </w:rPr>
        <w:t>OV C 32, 27.1.2023., 63. lpp.</w:t>
      </w:r>
    </w:p>
  </w:footnote>
  <w:footnote w:id="10">
    <w:p w:rsidR="00DE6BFC" w:rsidRPr="002C3CFD" w:rsidRDefault="00DE6BFC" w:rsidP="002C3CFD">
      <w:pPr>
        <w:pStyle w:val="FootnoteText"/>
        <w:ind w:left="567" w:hanging="567"/>
        <w:rPr>
          <w:bCs/>
          <w:iCs/>
          <w:sz w:val="24"/>
          <w:szCs w:val="24"/>
          <w:lang w:val="lv-LV"/>
        </w:rPr>
      </w:pPr>
      <w:r w:rsidRPr="002C3CFD">
        <w:rPr>
          <w:bCs/>
          <w:iCs/>
          <w:sz w:val="24"/>
          <w:szCs w:val="24"/>
          <w:vertAlign w:val="superscript"/>
          <w:lang w:val="lv-LV"/>
        </w:rPr>
        <w:footnoteRef/>
      </w:r>
      <w:r w:rsidR="002C3CFD" w:rsidRPr="002C3CFD">
        <w:rPr>
          <w:sz w:val="24"/>
          <w:lang w:val="lv-LV"/>
        </w:rPr>
        <w:t xml:space="preserve"> </w:t>
      </w:r>
      <w:r w:rsidR="002C3CFD" w:rsidRPr="002C3CFD">
        <w:rPr>
          <w:sz w:val="24"/>
          <w:lang w:val="lv-LV"/>
        </w:rPr>
        <w:tab/>
      </w:r>
      <w:r w:rsidRPr="002C3CFD">
        <w:rPr>
          <w:sz w:val="24"/>
          <w:lang w:val="lv-LV"/>
        </w:rPr>
        <w:t>OV C 362, 8.9.2021., 129. lpp.</w:t>
      </w:r>
    </w:p>
  </w:footnote>
  <w:footnote w:id="11">
    <w:p w:rsidR="00DE6BFC" w:rsidRPr="002C3CFD" w:rsidRDefault="00DE6BFC" w:rsidP="002C3CFD">
      <w:pPr>
        <w:pStyle w:val="FootnoteText"/>
        <w:ind w:left="567" w:hanging="567"/>
        <w:rPr>
          <w:bCs/>
          <w:iCs/>
          <w:sz w:val="24"/>
          <w:szCs w:val="24"/>
          <w:lang w:val="lv-LV"/>
        </w:rPr>
      </w:pPr>
      <w:r w:rsidRPr="002C3CFD">
        <w:rPr>
          <w:bCs/>
          <w:iCs/>
          <w:sz w:val="24"/>
          <w:szCs w:val="24"/>
          <w:vertAlign w:val="superscript"/>
          <w:lang w:val="lv-LV"/>
        </w:rPr>
        <w:footnoteRef/>
      </w:r>
      <w:r w:rsidR="002C3CFD" w:rsidRPr="002C3CFD">
        <w:rPr>
          <w:sz w:val="24"/>
          <w:lang w:val="lv-LV"/>
        </w:rPr>
        <w:t xml:space="preserve"> </w:t>
      </w:r>
      <w:r w:rsidR="002C3CFD" w:rsidRPr="002C3CFD">
        <w:rPr>
          <w:sz w:val="24"/>
          <w:lang w:val="lv-LV"/>
        </w:rPr>
        <w:tab/>
      </w:r>
      <w:r w:rsidRPr="002C3CFD">
        <w:rPr>
          <w:sz w:val="24"/>
          <w:lang w:val="lv-LV"/>
        </w:rPr>
        <w:t>OV L 107, 28.4.2009., 166. lpp.</w:t>
      </w:r>
    </w:p>
  </w:footnote>
  <w:footnote w:id="12">
    <w:p w:rsidR="00DE6BFC" w:rsidRPr="002C3CFD" w:rsidRDefault="00DE6BFC" w:rsidP="002C3CFD">
      <w:pPr>
        <w:pStyle w:val="FootnoteText"/>
        <w:ind w:left="567" w:hanging="567"/>
        <w:rPr>
          <w:bCs/>
          <w:iCs/>
          <w:sz w:val="24"/>
          <w:szCs w:val="24"/>
          <w:lang w:val="lv-LV"/>
        </w:rPr>
      </w:pPr>
      <w:r w:rsidRPr="002C3CFD">
        <w:rPr>
          <w:bCs/>
          <w:iCs/>
          <w:sz w:val="24"/>
          <w:szCs w:val="24"/>
          <w:vertAlign w:val="superscript"/>
          <w:lang w:val="lv-LV"/>
        </w:rPr>
        <w:footnoteRef/>
      </w:r>
      <w:r w:rsidR="002C3CFD" w:rsidRPr="002C3CFD">
        <w:rPr>
          <w:sz w:val="24"/>
          <w:lang w:val="lv-LV"/>
        </w:rPr>
        <w:t xml:space="preserve"> </w:t>
      </w:r>
      <w:r w:rsidR="002C3CFD" w:rsidRPr="002C3CFD">
        <w:rPr>
          <w:sz w:val="24"/>
          <w:lang w:val="lv-LV"/>
        </w:rPr>
        <w:tab/>
      </w:r>
      <w:r w:rsidRPr="002C3CFD">
        <w:rPr>
          <w:sz w:val="24"/>
          <w:lang w:val="lv-LV"/>
        </w:rPr>
        <w:t>OV L 164, 30.6.2015., 2. lpp.</w:t>
      </w:r>
    </w:p>
  </w:footnote>
  <w:footnote w:id="13">
    <w:p w:rsidR="00DE6BFC" w:rsidRPr="002C3CFD" w:rsidRDefault="00DE6BFC" w:rsidP="002C3CFD">
      <w:pPr>
        <w:pStyle w:val="FootnoteText"/>
        <w:ind w:left="567" w:hanging="567"/>
        <w:rPr>
          <w:bCs/>
          <w:iCs/>
          <w:sz w:val="24"/>
          <w:szCs w:val="24"/>
          <w:lang w:val="lv-LV"/>
        </w:rPr>
      </w:pPr>
      <w:r w:rsidRPr="002C3CFD">
        <w:rPr>
          <w:bCs/>
          <w:iCs/>
          <w:sz w:val="24"/>
          <w:szCs w:val="24"/>
          <w:vertAlign w:val="superscript"/>
          <w:lang w:val="lv-LV"/>
        </w:rPr>
        <w:footnoteRef/>
      </w:r>
      <w:r w:rsidR="002C3CFD" w:rsidRPr="002C3CFD">
        <w:rPr>
          <w:sz w:val="24"/>
          <w:lang w:val="lv-LV"/>
        </w:rPr>
        <w:t xml:space="preserve"> </w:t>
      </w:r>
      <w:r w:rsidR="002C3CFD" w:rsidRPr="002C3CFD">
        <w:rPr>
          <w:sz w:val="24"/>
          <w:lang w:val="lv-LV"/>
        </w:rPr>
        <w:tab/>
      </w:r>
      <w:r w:rsidRPr="002C3CFD">
        <w:rPr>
          <w:sz w:val="24"/>
          <w:lang w:val="lv-LV"/>
        </w:rPr>
        <w:t>OV L 261, 30.8.2014., 4. lpp.</w:t>
      </w:r>
    </w:p>
  </w:footnote>
  <w:footnote w:id="14">
    <w:p w:rsidR="00DE6BFC" w:rsidRPr="002C3CFD" w:rsidRDefault="00DE6BFC" w:rsidP="002C3CFD">
      <w:pPr>
        <w:pStyle w:val="FootnoteText"/>
        <w:ind w:left="567" w:hanging="567"/>
        <w:rPr>
          <w:bCs/>
          <w:iCs/>
          <w:sz w:val="24"/>
          <w:szCs w:val="24"/>
          <w:lang w:val="lv-LV"/>
        </w:rPr>
      </w:pPr>
      <w:r w:rsidRPr="002C3CFD">
        <w:rPr>
          <w:bCs/>
          <w:iCs/>
          <w:sz w:val="24"/>
          <w:szCs w:val="24"/>
          <w:vertAlign w:val="superscript"/>
          <w:lang w:val="lv-LV"/>
        </w:rPr>
        <w:footnoteRef/>
      </w:r>
      <w:r w:rsidR="002C3CFD" w:rsidRPr="002C3CFD">
        <w:rPr>
          <w:sz w:val="24"/>
          <w:lang w:val="lv-LV"/>
        </w:rPr>
        <w:t xml:space="preserve"> </w:t>
      </w:r>
      <w:r w:rsidR="002C3CFD" w:rsidRPr="002C3CFD">
        <w:rPr>
          <w:sz w:val="24"/>
          <w:lang w:val="lv-LV"/>
        </w:rPr>
        <w:tab/>
      </w:r>
      <w:r w:rsidRPr="002C3CFD">
        <w:rPr>
          <w:sz w:val="24"/>
          <w:lang w:val="lv-LV"/>
        </w:rPr>
        <w:t>OV L 260, 30.8.2014., 4. lpp.</w:t>
      </w:r>
    </w:p>
  </w:footnote>
  <w:footnote w:id="15">
    <w:p w:rsidR="00DE6BFC" w:rsidRPr="002C3CFD" w:rsidRDefault="00DE6BFC" w:rsidP="002C3CFD">
      <w:pPr>
        <w:pStyle w:val="FootnoteText"/>
        <w:ind w:left="567" w:hanging="567"/>
        <w:rPr>
          <w:bCs/>
          <w:iCs/>
          <w:sz w:val="24"/>
          <w:szCs w:val="24"/>
          <w:lang w:val="lv-LV"/>
        </w:rPr>
      </w:pPr>
      <w:r w:rsidRPr="002C3CFD">
        <w:rPr>
          <w:bCs/>
          <w:iCs/>
          <w:sz w:val="24"/>
          <w:szCs w:val="24"/>
          <w:vertAlign w:val="superscript"/>
          <w:lang w:val="lv-LV"/>
        </w:rPr>
        <w:footnoteRef/>
      </w:r>
      <w:r w:rsidR="002C3CFD" w:rsidRPr="002C3CFD">
        <w:rPr>
          <w:sz w:val="24"/>
          <w:lang w:val="lv-LV"/>
        </w:rPr>
        <w:t xml:space="preserve"> </w:t>
      </w:r>
      <w:r w:rsidR="002C3CFD" w:rsidRPr="002C3CFD">
        <w:rPr>
          <w:sz w:val="24"/>
          <w:lang w:val="lv-LV"/>
        </w:rPr>
        <w:tab/>
      </w:r>
      <w:r w:rsidRPr="002C3CFD">
        <w:rPr>
          <w:sz w:val="24"/>
          <w:lang w:val="lv-LV"/>
        </w:rPr>
        <w:t>OV L 84, 20.3.2004., 13. lpp.</w:t>
      </w:r>
    </w:p>
  </w:footnote>
  <w:footnote w:id="16">
    <w:p w:rsidR="00DE6BFC" w:rsidRPr="002C3CFD" w:rsidRDefault="00DE6BFC" w:rsidP="002C3CFD">
      <w:pPr>
        <w:pStyle w:val="FootnoteText"/>
        <w:ind w:left="567" w:hanging="567"/>
        <w:rPr>
          <w:bCs/>
          <w:iCs/>
          <w:sz w:val="24"/>
          <w:szCs w:val="24"/>
          <w:lang w:val="lv-LV"/>
        </w:rPr>
      </w:pPr>
      <w:r w:rsidRPr="002C3CFD">
        <w:rPr>
          <w:bCs/>
          <w:iCs/>
          <w:sz w:val="24"/>
          <w:szCs w:val="24"/>
          <w:vertAlign w:val="superscript"/>
          <w:lang w:val="lv-LV"/>
        </w:rPr>
        <w:footnoteRef/>
      </w:r>
      <w:r w:rsidR="002C3CFD" w:rsidRPr="002C3CFD">
        <w:rPr>
          <w:sz w:val="24"/>
          <w:lang w:val="lv-LV"/>
        </w:rPr>
        <w:t xml:space="preserve"> </w:t>
      </w:r>
      <w:r w:rsidR="002C3CFD" w:rsidRPr="002C3CFD">
        <w:rPr>
          <w:sz w:val="24"/>
          <w:lang w:val="lv-LV"/>
        </w:rPr>
        <w:tab/>
      </w:r>
      <w:r w:rsidRPr="002C3CFD">
        <w:rPr>
          <w:sz w:val="24"/>
          <w:lang w:val="lv-LV"/>
        </w:rPr>
        <w:t>OV L 361, 31.12.</w:t>
      </w:r>
      <w:r w:rsidR="00BF13EF">
        <w:rPr>
          <w:sz w:val="24"/>
          <w:lang w:val="lv-LV"/>
        </w:rPr>
        <w:t>19</w:t>
      </w:r>
      <w:r w:rsidRPr="002C3CFD">
        <w:rPr>
          <w:sz w:val="24"/>
          <w:lang w:val="lv-LV"/>
        </w:rPr>
        <w:t>77., 29. lpp.</w:t>
      </w:r>
    </w:p>
  </w:footnote>
  <w:footnote w:id="17">
    <w:p w:rsidR="00DE6BFC" w:rsidRPr="002C3CFD" w:rsidRDefault="00DE6BFC" w:rsidP="002C3CFD">
      <w:pPr>
        <w:pStyle w:val="FootnoteText"/>
        <w:ind w:left="567" w:hanging="567"/>
        <w:rPr>
          <w:sz w:val="24"/>
          <w:lang w:val="lv-LV"/>
        </w:rPr>
      </w:pPr>
      <w:r w:rsidRPr="002C3CFD">
        <w:rPr>
          <w:bCs/>
          <w:iCs/>
          <w:sz w:val="24"/>
          <w:szCs w:val="24"/>
          <w:vertAlign w:val="superscript"/>
          <w:lang w:val="lv-LV"/>
        </w:rPr>
        <w:footnoteRef/>
      </w:r>
      <w:r w:rsidR="002C3CFD" w:rsidRPr="002C3CFD">
        <w:rPr>
          <w:sz w:val="24"/>
          <w:lang w:val="lv-LV"/>
        </w:rPr>
        <w:t xml:space="preserve"> </w:t>
      </w:r>
      <w:r w:rsidR="002C3CFD" w:rsidRPr="002C3CFD">
        <w:rPr>
          <w:sz w:val="24"/>
          <w:lang w:val="lv-LV"/>
        </w:rPr>
        <w:tab/>
      </w:r>
      <w:r w:rsidRPr="002C3CFD">
        <w:rPr>
          <w:sz w:val="24"/>
          <w:lang w:val="lv-LV"/>
        </w:rPr>
        <w:t>OV L 161, 29.5.2014., 3. lpp.</w:t>
      </w:r>
    </w:p>
  </w:footnote>
  <w:footnote w:id="18">
    <w:p w:rsidR="00DE6BFC" w:rsidRPr="002C3CFD" w:rsidRDefault="00DE6BFC" w:rsidP="002C3CFD">
      <w:pPr>
        <w:pStyle w:val="FootnoteText"/>
        <w:ind w:left="567" w:hanging="567"/>
        <w:rPr>
          <w:bCs/>
          <w:iCs/>
          <w:sz w:val="24"/>
          <w:szCs w:val="24"/>
          <w:lang w:val="lv-LV"/>
        </w:rPr>
      </w:pPr>
      <w:r w:rsidRPr="002C3CFD">
        <w:rPr>
          <w:rStyle w:val="FootnoteReference"/>
          <w:sz w:val="24"/>
          <w:lang w:val="lv-LV"/>
        </w:rPr>
        <w:footnoteRef/>
      </w:r>
      <w:r w:rsidR="002C3CFD" w:rsidRPr="002C3CFD">
        <w:rPr>
          <w:sz w:val="24"/>
          <w:lang w:val="lv-LV"/>
        </w:rPr>
        <w:t xml:space="preserve"> </w:t>
      </w:r>
      <w:r w:rsidR="002C3CFD" w:rsidRPr="002C3CFD">
        <w:rPr>
          <w:sz w:val="24"/>
          <w:lang w:val="lv-LV"/>
        </w:rPr>
        <w:tab/>
      </w:r>
      <w:r w:rsidRPr="002C3CFD">
        <w:rPr>
          <w:sz w:val="24"/>
          <w:lang w:val="lv-LV"/>
        </w:rPr>
        <w:t>Pieņemtie teksti, P9_TA(2023)0357.</w:t>
      </w:r>
    </w:p>
  </w:footnote>
  <w:footnote w:id="19">
    <w:p w:rsidR="00DE6BFC" w:rsidRPr="002C3CFD" w:rsidRDefault="00DE6BFC" w:rsidP="002C3CFD">
      <w:pPr>
        <w:pStyle w:val="FootnoteText"/>
        <w:ind w:left="567" w:hanging="567"/>
        <w:rPr>
          <w:bCs/>
          <w:iCs/>
          <w:sz w:val="24"/>
          <w:szCs w:val="24"/>
          <w:lang w:val="lv-LV"/>
        </w:rPr>
      </w:pPr>
      <w:r w:rsidRPr="002C3CFD">
        <w:rPr>
          <w:bCs/>
          <w:iCs/>
          <w:sz w:val="24"/>
          <w:szCs w:val="24"/>
          <w:vertAlign w:val="superscript"/>
          <w:lang w:val="lv-LV"/>
        </w:rPr>
        <w:footnoteRef/>
      </w:r>
      <w:r w:rsidR="002C3CFD" w:rsidRPr="002C3CFD">
        <w:rPr>
          <w:sz w:val="24"/>
          <w:lang w:val="lv-LV"/>
        </w:rPr>
        <w:t xml:space="preserve"> </w:t>
      </w:r>
      <w:r w:rsidR="002C3CFD" w:rsidRPr="002C3CFD">
        <w:rPr>
          <w:sz w:val="24"/>
          <w:lang w:val="lv-LV"/>
        </w:rPr>
        <w:tab/>
      </w:r>
      <w:r w:rsidRPr="002C3CFD">
        <w:rPr>
          <w:sz w:val="24"/>
          <w:lang w:val="lv-LV"/>
        </w:rPr>
        <w:t>OV L 330, 20.9.2021., 1. lpp.</w:t>
      </w:r>
    </w:p>
  </w:footnote>
  <w:footnote w:id="20">
    <w:p w:rsidR="00DE6BFC" w:rsidRPr="002C3CFD" w:rsidRDefault="00DE6BFC" w:rsidP="002C3CFD">
      <w:pPr>
        <w:pStyle w:val="FootnoteText"/>
        <w:ind w:left="567" w:hanging="567"/>
        <w:rPr>
          <w:bCs/>
          <w:iCs/>
          <w:sz w:val="24"/>
          <w:szCs w:val="24"/>
          <w:lang w:val="lv-LV"/>
        </w:rPr>
      </w:pPr>
      <w:r w:rsidRPr="002C3CFD">
        <w:rPr>
          <w:bCs/>
          <w:iCs/>
          <w:sz w:val="24"/>
          <w:szCs w:val="24"/>
          <w:vertAlign w:val="superscript"/>
          <w:lang w:val="lv-LV"/>
        </w:rPr>
        <w:footnoteRef/>
      </w:r>
      <w:r w:rsidR="002C3CFD" w:rsidRPr="002C3CFD">
        <w:rPr>
          <w:sz w:val="24"/>
          <w:lang w:val="lv-LV"/>
        </w:rPr>
        <w:t xml:space="preserve"> </w:t>
      </w:r>
      <w:r w:rsidR="002C3CFD" w:rsidRPr="002C3CFD">
        <w:rPr>
          <w:sz w:val="24"/>
          <w:lang w:val="lv-LV"/>
        </w:rPr>
        <w:tab/>
      </w:r>
      <w:r w:rsidRPr="002C3CFD">
        <w:rPr>
          <w:sz w:val="24"/>
          <w:lang w:val="lv-LV"/>
        </w:rPr>
        <w:t>REX/401-EESC-2014- 1609.</w:t>
      </w:r>
    </w:p>
  </w:footnote>
  <w:footnote w:id="21">
    <w:p w:rsidR="00DE6BFC" w:rsidRPr="002C3CFD" w:rsidRDefault="00DE6BFC" w:rsidP="002C3CFD">
      <w:pPr>
        <w:pStyle w:val="FootnoteText"/>
        <w:ind w:left="567" w:hanging="567"/>
        <w:rPr>
          <w:bCs/>
          <w:iCs/>
          <w:sz w:val="24"/>
          <w:szCs w:val="24"/>
          <w:lang w:val="lv-LV"/>
        </w:rPr>
      </w:pPr>
      <w:r w:rsidRPr="002C3CFD">
        <w:rPr>
          <w:bCs/>
          <w:iCs/>
          <w:sz w:val="24"/>
          <w:szCs w:val="24"/>
          <w:vertAlign w:val="superscript"/>
          <w:lang w:val="lv-LV"/>
        </w:rPr>
        <w:footnoteRef/>
      </w:r>
      <w:r w:rsidR="002C3CFD" w:rsidRPr="002C3CFD">
        <w:rPr>
          <w:sz w:val="24"/>
          <w:lang w:val="lv-LV"/>
        </w:rPr>
        <w:t xml:space="preserve"> </w:t>
      </w:r>
      <w:r w:rsidR="002C3CFD" w:rsidRPr="002C3CFD">
        <w:rPr>
          <w:sz w:val="24"/>
          <w:lang w:val="lv-LV"/>
        </w:rPr>
        <w:tab/>
      </w:r>
      <w:r w:rsidRPr="002C3CFD">
        <w:rPr>
          <w:sz w:val="24"/>
          <w:lang w:val="lv-LV"/>
        </w:rPr>
        <w:t>OV C 252, 18.7.2018., 215. lpp.</w:t>
      </w:r>
    </w:p>
  </w:footnote>
  <w:footnote w:id="22">
    <w:p w:rsidR="00DE6BFC" w:rsidRPr="002C3CFD" w:rsidRDefault="00DE6BFC" w:rsidP="002C3CFD">
      <w:pPr>
        <w:pStyle w:val="FootnoteText"/>
        <w:ind w:left="567" w:hanging="567"/>
        <w:rPr>
          <w:bCs/>
          <w:iCs/>
          <w:sz w:val="24"/>
          <w:szCs w:val="24"/>
          <w:lang w:val="lv-LV"/>
        </w:rPr>
      </w:pPr>
      <w:r w:rsidRPr="002C3CFD">
        <w:rPr>
          <w:bCs/>
          <w:iCs/>
          <w:sz w:val="24"/>
          <w:szCs w:val="24"/>
          <w:vertAlign w:val="superscript"/>
          <w:lang w:val="lv-LV"/>
        </w:rPr>
        <w:footnoteRef/>
      </w:r>
      <w:r w:rsidR="002C3CFD" w:rsidRPr="002C3CFD">
        <w:rPr>
          <w:sz w:val="24"/>
          <w:lang w:val="lv-LV"/>
        </w:rPr>
        <w:t xml:space="preserve"> </w:t>
      </w:r>
      <w:r w:rsidR="002C3CFD" w:rsidRPr="002C3CFD">
        <w:rPr>
          <w:sz w:val="24"/>
          <w:lang w:val="lv-LV"/>
        </w:rPr>
        <w:tab/>
      </w:r>
      <w:r w:rsidRPr="002C3CFD">
        <w:rPr>
          <w:sz w:val="24"/>
          <w:lang w:val="lv-LV"/>
        </w:rPr>
        <w:t>Pieņemtie teksti, P9_TA(2023)0269.</w:t>
      </w:r>
    </w:p>
  </w:footnote>
  <w:footnote w:id="23">
    <w:p w:rsidR="00DE6BFC" w:rsidRPr="002C3CFD" w:rsidRDefault="00DE6BFC" w:rsidP="002C3CFD">
      <w:pPr>
        <w:pStyle w:val="FootnoteText"/>
        <w:ind w:left="567" w:hanging="567"/>
        <w:rPr>
          <w:bCs/>
          <w:iCs/>
          <w:sz w:val="24"/>
          <w:szCs w:val="24"/>
          <w:lang w:val="lv-LV"/>
        </w:rPr>
      </w:pPr>
      <w:r w:rsidRPr="002C3CFD">
        <w:rPr>
          <w:bCs/>
          <w:iCs/>
          <w:sz w:val="24"/>
          <w:szCs w:val="24"/>
          <w:vertAlign w:val="superscript"/>
          <w:lang w:val="lv-LV"/>
        </w:rPr>
        <w:footnoteRef/>
      </w:r>
      <w:r w:rsidR="002C3CFD" w:rsidRPr="002C3CFD">
        <w:rPr>
          <w:sz w:val="24"/>
          <w:lang w:val="lv-LV"/>
        </w:rPr>
        <w:t xml:space="preserve"> </w:t>
      </w:r>
      <w:r w:rsidR="002C3CFD" w:rsidRPr="002C3CFD">
        <w:rPr>
          <w:sz w:val="24"/>
          <w:lang w:val="lv-LV"/>
        </w:rPr>
        <w:tab/>
      </w:r>
      <w:r w:rsidRPr="002C3CFD">
        <w:rPr>
          <w:sz w:val="24"/>
          <w:lang w:val="lv-LV"/>
        </w:rPr>
        <w:t>OV C 465, 6.12.2022., 109. lpp.</w:t>
      </w:r>
    </w:p>
  </w:footnote>
  <w:footnote w:id="24">
    <w:p w:rsidR="00DE6BFC" w:rsidRPr="002C3CFD" w:rsidRDefault="00DE6BFC" w:rsidP="002C3CFD">
      <w:pPr>
        <w:pStyle w:val="FootnoteText"/>
        <w:ind w:left="567" w:hanging="567"/>
        <w:rPr>
          <w:bCs/>
          <w:iCs/>
          <w:sz w:val="24"/>
          <w:szCs w:val="24"/>
          <w:lang w:val="lv-LV"/>
        </w:rPr>
      </w:pPr>
      <w:r w:rsidRPr="002C3CFD">
        <w:rPr>
          <w:bCs/>
          <w:iCs/>
          <w:sz w:val="24"/>
          <w:szCs w:val="24"/>
          <w:vertAlign w:val="superscript"/>
          <w:lang w:val="lv-LV"/>
        </w:rPr>
        <w:footnoteRef/>
      </w:r>
      <w:r w:rsidR="002C3CFD" w:rsidRPr="002C3CFD">
        <w:rPr>
          <w:sz w:val="24"/>
          <w:lang w:val="lv-LV"/>
        </w:rPr>
        <w:t xml:space="preserve"> </w:t>
      </w:r>
      <w:r w:rsidR="002C3CFD" w:rsidRPr="002C3CFD">
        <w:rPr>
          <w:sz w:val="24"/>
          <w:lang w:val="lv-LV"/>
        </w:rPr>
        <w:tab/>
      </w:r>
      <w:r w:rsidRPr="002C3CFD">
        <w:rPr>
          <w:sz w:val="24"/>
          <w:lang w:val="lv-LV"/>
        </w:rPr>
        <w:t>OV C 493, 27.12.2022., 130. lpp.</w:t>
      </w:r>
    </w:p>
  </w:footnote>
  <w:footnote w:id="25">
    <w:p w:rsidR="00DE6BFC" w:rsidRPr="002C3CFD" w:rsidRDefault="00DE6BFC" w:rsidP="002C3CFD">
      <w:pPr>
        <w:pStyle w:val="FootnoteText"/>
        <w:ind w:left="567" w:hanging="567"/>
        <w:rPr>
          <w:bCs/>
          <w:iCs/>
          <w:sz w:val="24"/>
          <w:szCs w:val="24"/>
          <w:lang w:val="lv-LV"/>
        </w:rPr>
      </w:pPr>
      <w:r w:rsidRPr="002C3CFD">
        <w:rPr>
          <w:bCs/>
          <w:iCs/>
          <w:sz w:val="24"/>
          <w:szCs w:val="24"/>
          <w:vertAlign w:val="superscript"/>
          <w:lang w:val="lv-LV"/>
        </w:rPr>
        <w:footnoteRef/>
      </w:r>
      <w:r w:rsidR="002C3CFD" w:rsidRPr="002C3CFD">
        <w:rPr>
          <w:sz w:val="24"/>
          <w:lang w:val="lv-LV"/>
        </w:rPr>
        <w:t xml:space="preserve"> </w:t>
      </w:r>
      <w:r w:rsidR="002C3CFD" w:rsidRPr="002C3CFD">
        <w:rPr>
          <w:sz w:val="24"/>
          <w:lang w:val="lv-LV"/>
        </w:rPr>
        <w:tab/>
      </w:r>
      <w:r w:rsidRPr="002C3CFD">
        <w:rPr>
          <w:sz w:val="24"/>
          <w:lang w:val="lv-LV"/>
        </w:rPr>
        <w:t>Pieņemtie teksti, P9_TA(2023)0427.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3CF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3CF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3C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5/2024"/>
    <w:docVar w:name="dvlangue" w:val="LV"/>
    <w:docVar w:name="dvnumam" w:val="0"/>
    <w:docVar w:name="dvpe" w:val="752.948"/>
    <w:docVar w:name="dvrapporteur" w:val="Referents: "/>
    <w:docVar w:name="dvtitre" w:val="Eiropas Parlamenta 2024. gada XX. XXX  rezolūcija par padziļinātu ES integrāciju saistībā ar turpmāko paplašināšanos(2023/2114(INI))"/>
  </w:docVars>
  <w:rsids>
    <w:rsidRoot w:val="006E2E00"/>
    <w:rsid w:val="00002272"/>
    <w:rsid w:val="00021DEA"/>
    <w:rsid w:val="00064002"/>
    <w:rsid w:val="000677B9"/>
    <w:rsid w:val="000831BA"/>
    <w:rsid w:val="000A42CC"/>
    <w:rsid w:val="000E7DD9"/>
    <w:rsid w:val="0010095E"/>
    <w:rsid w:val="00125B37"/>
    <w:rsid w:val="00187494"/>
    <w:rsid w:val="001F32AE"/>
    <w:rsid w:val="002767FF"/>
    <w:rsid w:val="002B18FE"/>
    <w:rsid w:val="002B5493"/>
    <w:rsid w:val="002C3CF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6867"/>
    <w:rsid w:val="006631B6"/>
    <w:rsid w:val="00680577"/>
    <w:rsid w:val="006E2E0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6ED8"/>
    <w:rsid w:val="00B072FA"/>
    <w:rsid w:val="00B12E95"/>
    <w:rsid w:val="00B22876"/>
    <w:rsid w:val="00B47396"/>
    <w:rsid w:val="00B558F0"/>
    <w:rsid w:val="00BD48FE"/>
    <w:rsid w:val="00BD7BD8"/>
    <w:rsid w:val="00BE6ADC"/>
    <w:rsid w:val="00BF13EF"/>
    <w:rsid w:val="00C05BFE"/>
    <w:rsid w:val="00C23CD4"/>
    <w:rsid w:val="00C61C0C"/>
    <w:rsid w:val="00C941CB"/>
    <w:rsid w:val="00CC2357"/>
    <w:rsid w:val="00CF071A"/>
    <w:rsid w:val="00D058B8"/>
    <w:rsid w:val="00D56C11"/>
    <w:rsid w:val="00D834A0"/>
    <w:rsid w:val="00D872DF"/>
    <w:rsid w:val="00D91E21"/>
    <w:rsid w:val="00DA7FCD"/>
    <w:rsid w:val="00DE6BF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8C1D0E"/>
  <w15:chartTrackingRefBased/>
  <w15:docId w15:val="{37979E9B-564F-4F31-89DC-F4D0F5F71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E6BFC"/>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DE6BFC"/>
    <w:pPr>
      <w:keepNext/>
      <w:spacing w:after="480"/>
      <w:jc w:val="center"/>
    </w:pPr>
    <w:rPr>
      <w:rFonts w:ascii="Arial" w:hAnsi="Arial" w:cs="Arial"/>
      <w:b/>
    </w:rPr>
  </w:style>
  <w:style w:type="paragraph" w:customStyle="1" w:styleId="NormalBold">
    <w:name w:val="NormalBold"/>
    <w:basedOn w:val="Normal"/>
    <w:rsid w:val="00DE6BFC"/>
    <w:rPr>
      <w:b/>
    </w:rPr>
  </w:style>
  <w:style w:type="paragraph" w:customStyle="1" w:styleId="NormalHanging12a">
    <w:name w:val="NormalHanging12a"/>
    <w:basedOn w:val="Normal"/>
    <w:link w:val="NormalHanging12aChar"/>
    <w:rsid w:val="00DE6BFC"/>
    <w:pPr>
      <w:spacing w:after="240"/>
      <w:ind w:left="567" w:hanging="567"/>
    </w:pPr>
  </w:style>
  <w:style w:type="paragraph" w:styleId="Header">
    <w:name w:val="header"/>
    <w:basedOn w:val="Normal"/>
    <w:link w:val="HeaderChar"/>
    <w:rsid w:val="00DE6BFC"/>
    <w:pPr>
      <w:tabs>
        <w:tab w:val="center" w:pos="4513"/>
        <w:tab w:val="right" w:pos="9026"/>
      </w:tabs>
    </w:pPr>
  </w:style>
  <w:style w:type="character" w:customStyle="1" w:styleId="HeaderChar">
    <w:name w:val="Header Char"/>
    <w:basedOn w:val="DefaultParagraphFont"/>
    <w:link w:val="Header"/>
    <w:rsid w:val="00DE6BFC"/>
    <w:rPr>
      <w:sz w:val="24"/>
      <w:lang w:val="lv-LV"/>
    </w:rPr>
  </w:style>
  <w:style w:type="paragraph" w:customStyle="1" w:styleId="EPFooter">
    <w:name w:val="EPFooter"/>
    <w:basedOn w:val="Normal"/>
    <w:rsid w:val="00DE6BFC"/>
    <w:pPr>
      <w:tabs>
        <w:tab w:val="center" w:pos="4535"/>
        <w:tab w:val="right" w:pos="9071"/>
      </w:tabs>
      <w:spacing w:before="240" w:after="240"/>
    </w:pPr>
    <w:rPr>
      <w:color w:val="010000"/>
      <w:sz w:val="22"/>
    </w:rPr>
  </w:style>
  <w:style w:type="paragraph" w:customStyle="1" w:styleId="EPComma">
    <w:name w:val="EPComma"/>
    <w:basedOn w:val="Normal"/>
    <w:rsid w:val="00DE6BFC"/>
    <w:pPr>
      <w:spacing w:before="480" w:after="240"/>
    </w:pPr>
  </w:style>
  <w:style w:type="character" w:customStyle="1" w:styleId="Normal12HangingChar">
    <w:name w:val="Normal12Hanging Char"/>
    <w:link w:val="Normal12Hanging"/>
    <w:locked/>
    <w:rsid w:val="00DE6BFC"/>
    <w:rPr>
      <w:sz w:val="24"/>
    </w:rPr>
  </w:style>
  <w:style w:type="paragraph" w:customStyle="1" w:styleId="Normal12Hanging">
    <w:name w:val="Normal12Hanging"/>
    <w:basedOn w:val="Normal"/>
    <w:link w:val="Normal12HangingChar"/>
    <w:rsid w:val="00DE6BFC"/>
    <w:pPr>
      <w:spacing w:after="240"/>
      <w:ind w:left="567" w:hanging="567"/>
    </w:pPr>
    <w:rPr>
      <w:lang w:val="en-GB"/>
    </w:rPr>
  </w:style>
  <w:style w:type="character" w:styleId="Emphasis">
    <w:name w:val="Emphasis"/>
    <w:basedOn w:val="DefaultParagraphFont"/>
    <w:uiPriority w:val="20"/>
    <w:qFormat/>
    <w:rsid w:val="00DE6BFC"/>
    <w:rPr>
      <w:i/>
      <w:iCs/>
    </w:rPr>
  </w:style>
  <w:style w:type="character" w:customStyle="1" w:styleId="NormalHanging12aChar">
    <w:name w:val="NormalHanging12a Char"/>
    <w:basedOn w:val="DefaultParagraphFont"/>
    <w:link w:val="NormalHanging12a"/>
    <w:locked/>
    <w:rsid w:val="00DE6BFC"/>
    <w:rPr>
      <w:sz w:val="24"/>
      <w:lang w:val="lv-LV"/>
    </w:rPr>
  </w:style>
  <w:style w:type="paragraph" w:customStyle="1" w:styleId="Avistitre">
    <w:name w:val="Avis titre"/>
    <w:basedOn w:val="Normal"/>
    <w:rsid w:val="00DE6BFC"/>
    <w:pPr>
      <w:keepNext/>
      <w:snapToGrid w:val="0"/>
      <w:spacing w:after="240"/>
      <w:jc w:val="center"/>
    </w:pPr>
    <w:rPr>
      <w:rFonts w:ascii="Arial" w:hAnsi="Arial"/>
      <w:b/>
      <w:lang w:eastAsia="en-US"/>
    </w:rPr>
  </w:style>
  <w:style w:type="paragraph" w:styleId="BalloonText">
    <w:name w:val="Balloon Text"/>
    <w:basedOn w:val="Normal"/>
    <w:link w:val="BalloonTextChar"/>
    <w:rsid w:val="00B06ED8"/>
    <w:rPr>
      <w:rFonts w:ascii="Segoe UI" w:hAnsi="Segoe UI" w:cs="Segoe UI"/>
      <w:sz w:val="18"/>
      <w:szCs w:val="18"/>
    </w:rPr>
  </w:style>
  <w:style w:type="character" w:customStyle="1" w:styleId="BalloonTextChar">
    <w:name w:val="Balloon Text Char"/>
    <w:basedOn w:val="DefaultParagraphFont"/>
    <w:link w:val="BalloonText"/>
    <w:rsid w:val="00B06ED8"/>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1C994-6E72-4662-94FC-1B06CD072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4909</Words>
  <Characters>33870</Characters>
  <Application>Microsoft Office Word</Application>
  <DocSecurity>0</DocSecurity>
  <Lines>282</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2024-04-08T09:07:00Z</dcterms:created>
  <dcterms:modified xsi:type="dcterms:W3CDTF">2024-04-08T09:07:00Z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A9-0015/2024</vt:lpwstr>
  </property>
  <property fmtid="{D5CDD505-2E9C-101B-9397-08002B2CF9AE}" pid="4" name="&lt;Type&gt;">
    <vt:lpwstr>RR</vt:lpwstr>
  </property>
</Properties>
</file>