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5E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5E97" w:rsidRDefault="00326854" w:rsidP="0010095E">
            <w:pPr>
              <w:pStyle w:val="EPName"/>
            </w:pPr>
            <w:r w:rsidRPr="00ED5E97">
              <w:t>Parlament Europejski</w:t>
            </w:r>
          </w:p>
          <w:p w:rsidR="00751A4A" w:rsidRPr="00ED5E9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5E9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5E97" w:rsidRDefault="00187494" w:rsidP="0010095E">
            <w:pPr>
              <w:pStyle w:val="EPLogo"/>
            </w:pPr>
            <w:r w:rsidRPr="00ED5E97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5E97" w:rsidRDefault="00D058B8" w:rsidP="004C5D52">
      <w:pPr>
        <w:pStyle w:val="LineTop"/>
      </w:pPr>
    </w:p>
    <w:p w:rsidR="00680577" w:rsidRPr="00ED5E97" w:rsidRDefault="00326854" w:rsidP="00680577">
      <w:pPr>
        <w:pStyle w:val="EPBodyTA1"/>
      </w:pPr>
      <w:r w:rsidRPr="00ED5E97">
        <w:t>TEKSTY PRZYJĘTE</w:t>
      </w:r>
    </w:p>
    <w:p w:rsidR="00D058B8" w:rsidRPr="00ED5E97" w:rsidRDefault="00D058B8" w:rsidP="00D058B8">
      <w:pPr>
        <w:pStyle w:val="LineBottom"/>
      </w:pPr>
    </w:p>
    <w:p w:rsidR="00326854" w:rsidRPr="00ED5E97" w:rsidRDefault="00686715" w:rsidP="00326854">
      <w:pPr>
        <w:pStyle w:val="ATHeading1"/>
      </w:pPr>
      <w:bookmarkStart w:id="0" w:name="TANumber"/>
      <w:r>
        <w:t>P9_TA(2024)012</w:t>
      </w:r>
      <w:r w:rsidR="00326854" w:rsidRPr="00ED5E97">
        <w:t>0</w:t>
      </w:r>
      <w:bookmarkEnd w:id="0"/>
    </w:p>
    <w:p w:rsidR="00326854" w:rsidRPr="00D93DB2" w:rsidRDefault="00D93DB2" w:rsidP="00326854">
      <w:pPr>
        <w:pStyle w:val="ATHeading2"/>
      </w:pPr>
      <w:r w:rsidRPr="00D93DB2">
        <w:t>Pogłębianie integracji europejskiej w związku z przyszłym rozszerzeniem</w:t>
      </w:r>
    </w:p>
    <w:p w:rsidR="00326854" w:rsidRPr="00ED5E97" w:rsidRDefault="00326854" w:rsidP="00326854">
      <w:pPr>
        <w:rPr>
          <w:i/>
          <w:vanish/>
        </w:rPr>
      </w:pPr>
      <w:r w:rsidRPr="00ED5E97">
        <w:rPr>
          <w:i/>
        </w:rPr>
        <w:fldChar w:fldCharType="begin"/>
      </w:r>
      <w:r w:rsidRPr="00ED5E97">
        <w:rPr>
          <w:i/>
        </w:rPr>
        <w:instrText xml:space="preserve"> TC"(</w:instrText>
      </w:r>
      <w:bookmarkStart w:id="1" w:name="DocNumber"/>
      <w:r w:rsidRPr="00ED5E97">
        <w:rPr>
          <w:i/>
        </w:rPr>
        <w:instrText>A9-0015/2024</w:instrText>
      </w:r>
      <w:bookmarkEnd w:id="1"/>
      <w:r w:rsidR="00D93DB2">
        <w:rPr>
          <w:i/>
        </w:rPr>
        <w:instrText xml:space="preserve"> - Sprawozdawcy</w:instrText>
      </w:r>
      <w:r w:rsidRPr="00ED5E97">
        <w:rPr>
          <w:i/>
        </w:rPr>
        <w:instrText>: Petras Auštrevičius, Pedro Silva Pereira</w:instrText>
      </w:r>
      <w:proofErr w:type="gramStart"/>
      <w:r w:rsidRPr="00ED5E97">
        <w:rPr>
          <w:i/>
        </w:rPr>
        <w:instrText>)"\l</w:instrText>
      </w:r>
      <w:proofErr w:type="gramEnd"/>
      <w:r w:rsidRPr="00ED5E97">
        <w:rPr>
          <w:i/>
        </w:rPr>
        <w:instrText xml:space="preserve">3 \n&gt; \* MERGEFORMAT </w:instrText>
      </w:r>
      <w:r w:rsidRPr="00ED5E97">
        <w:rPr>
          <w:i/>
        </w:rPr>
        <w:fldChar w:fldCharType="end"/>
      </w:r>
    </w:p>
    <w:p w:rsidR="00326854" w:rsidRPr="00ED5E97" w:rsidRDefault="00326854" w:rsidP="00326854">
      <w:pPr>
        <w:rPr>
          <w:vanish/>
        </w:rPr>
      </w:pPr>
      <w:bookmarkStart w:id="2" w:name="Commission"/>
      <w:r w:rsidRPr="00ED5E97">
        <w:rPr>
          <w:vanish/>
        </w:rPr>
        <w:t>Komisja Spraw Zagranicznych</w:t>
      </w:r>
      <w:bookmarkEnd w:id="2"/>
      <w:r w:rsidR="00D93DB2">
        <w:rPr>
          <w:vanish/>
        </w:rPr>
        <w:t xml:space="preserve"> oraz Komisja Spraw Konstytucyjnych</w:t>
      </w:r>
    </w:p>
    <w:p w:rsidR="00326854" w:rsidRPr="00ED5E97" w:rsidRDefault="00326854" w:rsidP="00326854">
      <w:pPr>
        <w:rPr>
          <w:vanish/>
        </w:rPr>
      </w:pPr>
      <w:bookmarkStart w:id="3" w:name="PE"/>
      <w:r w:rsidRPr="00ED5E97">
        <w:rPr>
          <w:vanish/>
        </w:rPr>
        <w:t>PE752.948</w:t>
      </w:r>
      <w:bookmarkEnd w:id="3"/>
    </w:p>
    <w:p w:rsidR="00326854" w:rsidRPr="00ED5E97" w:rsidRDefault="00326854" w:rsidP="00326854">
      <w:pPr>
        <w:pStyle w:val="ATHeading3"/>
      </w:pPr>
      <w:bookmarkStart w:id="4" w:name="Sujet"/>
      <w:r w:rsidRPr="00ED5E97">
        <w:t xml:space="preserve">Rezolucja Parlamentu Europejskiego z dnia </w:t>
      </w:r>
      <w:r w:rsidR="00C2035D">
        <w:t>29</w:t>
      </w:r>
      <w:r w:rsidR="00D93DB2">
        <w:t xml:space="preserve"> lutego</w:t>
      </w:r>
      <w:r w:rsidRPr="00ED5E97">
        <w:t xml:space="preserve"> 2024 r. w sprawie pogłębienia integracji europejskiej z myślą o przyszłym rozszerzeniu</w:t>
      </w:r>
      <w:bookmarkEnd w:id="4"/>
      <w:r w:rsidRPr="00ED5E97">
        <w:t xml:space="preserve"> </w:t>
      </w:r>
      <w:bookmarkStart w:id="5" w:name="References"/>
      <w:r w:rsidRPr="00ED5E97">
        <w:t>(2023/2114(INI))</w:t>
      </w:r>
      <w:bookmarkEnd w:id="5"/>
    </w:p>
    <w:p w:rsidR="00326854" w:rsidRPr="00ED5E97" w:rsidRDefault="00326854" w:rsidP="00326854"/>
    <w:p w:rsidR="000D212F" w:rsidRPr="00ED5E97" w:rsidRDefault="000D212F" w:rsidP="000D212F">
      <w:pPr>
        <w:pStyle w:val="EPComma"/>
      </w:pPr>
      <w:bookmarkStart w:id="6" w:name="TextBodyBegin"/>
      <w:bookmarkEnd w:id="6"/>
      <w:r w:rsidRPr="00ED5E97">
        <w:t>Parlament Europejski,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sz w:val="20"/>
          <w:lang w:val="pl-PL"/>
        </w:rPr>
        <w:t>–</w:t>
      </w:r>
      <w:r w:rsidRPr="00ED5E97">
        <w:rPr>
          <w:lang w:val="pl-PL"/>
        </w:rPr>
        <w:tab/>
        <w:t>uwzględniając Traktat o Unii Europejskiej (TUE), w szczególności jego art. 5 ust. 3, art. 48 i 49,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Traktat o funkcjo</w:t>
      </w:r>
      <w:r w:rsidR="00D93DB2">
        <w:rPr>
          <w:lang w:val="pl-PL"/>
        </w:rPr>
        <w:t>nowaniu Unii Europejskiej</w:t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konkluzje Rady z grudnia 2006 r. i marca 2020 r. oraz konkluzje prezydencji z posiedzenia Rady Europejskiej w Kopenhadze w dniach 21–22 czerwca 1993 r., znane również jako kryteria kopenhaskie,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swoją rezolucję z </w:t>
      </w:r>
      <w:r w:rsidR="00D93DB2">
        <w:rPr>
          <w:lang w:val="pl-PL"/>
        </w:rPr>
        <w:t xml:space="preserve">dnia </w:t>
      </w:r>
      <w:r w:rsidR="00F367F6">
        <w:rPr>
          <w:lang w:val="pl-PL"/>
        </w:rPr>
        <w:t>13</w:t>
      </w:r>
      <w:r w:rsidRPr="00ED5E97">
        <w:rPr>
          <w:lang w:val="pl-PL"/>
        </w:rPr>
        <w:t xml:space="preserve"> grudnia 2023 r. w sprawie trzydziestolecia kryteriów kopenhaskich: nowy impuls dla polityki rozszerzenia UE</w:t>
      </w:r>
      <w:r w:rsidRPr="00ED5E97">
        <w:rPr>
          <w:rStyle w:val="FootnoteReference"/>
          <w:lang w:val="pl-PL"/>
        </w:rPr>
        <w:footnoteReference w:id="1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Konwencję o ochronie praw człowieka i podstawowych wolności (EKPC) oraz Kartę praw podstawowych Unii Europejskiej,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manifest Ventotene,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sz w:val="20"/>
          <w:lang w:val="pl-PL"/>
        </w:rPr>
        <w:tab/>
      </w:r>
      <w:r w:rsidRPr="00ED5E97">
        <w:rPr>
          <w:lang w:val="pl-PL"/>
        </w:rPr>
        <w:t xml:space="preserve">uwzględniając swoje zalecenie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23 listopada 2022 r. dla Rady, Komisji i wiceprzewodniczącego Komisji / wysokiego przedstawiciela Unii do spraw zagranicznych i polityki bezpieczeństwa w sprawie nowej strategii rozszerzenia UE</w:t>
      </w:r>
      <w:r w:rsidRPr="00ED5E97">
        <w:rPr>
          <w:rStyle w:val="FootnoteReference"/>
          <w:rFonts w:eastAsiaTheme="majorEastAsia"/>
          <w:szCs w:val="24"/>
          <w:lang w:val="pl-PL"/>
        </w:rPr>
        <w:footnoteReference w:id="2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opinię Komitetu Regionów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5–6 lipca 2022 r. w sprawie pakietu rozszerzeniowego Komisji z 2022 r., a także oświadczenie przewodniczącego Komitetu Regionów z</w:t>
      </w:r>
      <w:r w:rsidR="00D93DB2">
        <w:rPr>
          <w:lang w:val="pl-PL"/>
        </w:rPr>
        <w:t xml:space="preserve"> dnia</w:t>
      </w:r>
      <w:r w:rsidRPr="00ED5E97">
        <w:rPr>
          <w:lang w:val="pl-PL"/>
        </w:rPr>
        <w:t xml:space="preserve"> 8 listopada 2023 r. w sprawie pakietu rozszerzeniowego Komisji z </w:t>
      </w:r>
      <w:r w:rsidRPr="00ED5E97">
        <w:rPr>
          <w:lang w:val="pl-PL"/>
        </w:rPr>
        <w:lastRenderedPageBreak/>
        <w:t>2023 r.,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sprawozdanie Komisji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9 lutego 2022 r. dotyczące spójności w Europie do 2050 r.,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konkluzje Rady Europejskiej z 23–24 czerwca 2022 r., 29–30 czerwca 2023 r., 26–27 października 2023 r. i 14–15 grudnia 2023 r.,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sprawozdania analityczne Komisji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2 lutego 2023 r. w sprawie dostosowania przepisów Ukrainy (SWD</w:t>
      </w:r>
      <w:proofErr w:type="gramStart"/>
      <w:r w:rsidRPr="00ED5E97">
        <w:rPr>
          <w:lang w:val="pl-PL"/>
        </w:rPr>
        <w:t>(2023)0030), Mołdawii</w:t>
      </w:r>
      <w:proofErr w:type="gramEnd"/>
      <w:r w:rsidRPr="00ED5E97">
        <w:rPr>
          <w:lang w:val="pl-PL"/>
        </w:rPr>
        <w:t xml:space="preserve"> (SWD(2023)0032) i Gruzji (SWD(2023)0031) do dorobku prawnego UE,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wspólny komunikat Komisji do Rady Europejskiej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29 listopada 2023 r. w sprawie stanu stosunków politycznych, gospodarczych i handlowych UE–Turcja (JOIN(2023)0050),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konkluzje z posiedzenia Rady do Spraw Ogólnych, które miało miejsce w dniach 29–30 kwietnia 1997 r., dotyczące stosowania warunkowości z myślą o opracowaniu spójnej strategii UE w zakresie stosunków z krajami Bałkanów Zachodnich,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swoje wcześniejsze rezolucje w tej sprawie, w szczególności rezolucję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24 października 2019 r. w sprawie rozpoczęcia negocjacji akcesyjnych z Macedonią Północną i Albanią</w:t>
      </w:r>
      <w:r w:rsidRPr="00ED5E97">
        <w:rPr>
          <w:rStyle w:val="FootnoteReference"/>
          <w:bCs/>
          <w:iCs/>
          <w:szCs w:val="24"/>
          <w:lang w:val="pl-PL"/>
        </w:rPr>
        <w:footnoteReference w:id="3"/>
      </w:r>
      <w:r w:rsidRPr="00ED5E97">
        <w:rPr>
          <w:lang w:val="pl-PL"/>
        </w:rPr>
        <w:t>, a także swoje rezolucje w sprawie sprawozdań Komisji z 2022 r. w sprawie Kosowa</w:t>
      </w:r>
      <w:r w:rsidRPr="00ED5E97">
        <w:rPr>
          <w:rStyle w:val="FootnoteReference"/>
          <w:bCs/>
          <w:iCs/>
          <w:szCs w:val="24"/>
          <w:lang w:val="pl-PL"/>
        </w:rPr>
        <w:footnoteReference w:id="4"/>
      </w:r>
      <w:r w:rsidRPr="00ED5E97">
        <w:rPr>
          <w:lang w:val="pl-PL"/>
        </w:rPr>
        <w:t>, Serbii</w:t>
      </w:r>
      <w:r w:rsidRPr="00ED5E97">
        <w:rPr>
          <w:rStyle w:val="FootnoteReference"/>
          <w:bCs/>
          <w:iCs/>
          <w:szCs w:val="24"/>
          <w:lang w:val="pl-PL"/>
        </w:rPr>
        <w:footnoteReference w:id="5"/>
      </w:r>
      <w:r w:rsidRPr="00ED5E97">
        <w:rPr>
          <w:lang w:val="pl-PL"/>
        </w:rPr>
        <w:t>, Albanii</w:t>
      </w:r>
      <w:r w:rsidRPr="00ED5E97">
        <w:rPr>
          <w:rStyle w:val="FootnoteReference"/>
          <w:bCs/>
          <w:iCs/>
          <w:szCs w:val="24"/>
          <w:lang w:val="pl-PL"/>
        </w:rPr>
        <w:footnoteReference w:id="6"/>
      </w:r>
      <w:r w:rsidRPr="00ED5E97">
        <w:rPr>
          <w:lang w:val="pl-PL"/>
        </w:rPr>
        <w:t>, Bośni i Hercegowiny</w:t>
      </w:r>
      <w:r w:rsidRPr="00ED5E97">
        <w:rPr>
          <w:rStyle w:val="FootnoteReference"/>
          <w:bCs/>
          <w:iCs/>
          <w:szCs w:val="24"/>
          <w:lang w:val="pl-PL"/>
        </w:rPr>
        <w:footnoteReference w:id="7"/>
      </w:r>
      <w:r w:rsidRPr="00ED5E97">
        <w:rPr>
          <w:lang w:val="pl-PL"/>
        </w:rPr>
        <w:t>, Macedonii Północnej</w:t>
      </w:r>
      <w:r w:rsidRPr="00ED5E97">
        <w:rPr>
          <w:rStyle w:val="FootnoteReference"/>
          <w:bCs/>
          <w:iCs/>
          <w:szCs w:val="24"/>
          <w:lang w:val="pl-PL"/>
        </w:rPr>
        <w:footnoteReference w:id="8"/>
      </w:r>
      <w:r w:rsidRPr="00ED5E97">
        <w:rPr>
          <w:lang w:val="pl-PL"/>
        </w:rPr>
        <w:t xml:space="preserve"> i Czarnogóry</w:t>
      </w:r>
      <w:r w:rsidRPr="00ED5E97">
        <w:rPr>
          <w:rStyle w:val="FootnoteReference"/>
          <w:bCs/>
          <w:iCs/>
          <w:szCs w:val="24"/>
          <w:lang w:val="pl-PL"/>
        </w:rPr>
        <w:footnoteReference w:id="9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rFonts w:eastAsiaTheme="minorEastAsia"/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sz w:val="20"/>
          <w:lang w:val="pl-PL"/>
        </w:rPr>
        <w:tab/>
      </w:r>
      <w:r w:rsidRPr="00ED5E97">
        <w:rPr>
          <w:lang w:val="pl-PL"/>
        </w:rPr>
        <w:t xml:space="preserve">uwzględniając swoje zalecenie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19 czerwca 2020 r. dla Rady, Komisji i wiceprzewodniczącego Komisji / wysokiego przedstawiciela Unii do spraw zagranicznych i polityki bezpieczeństwa w sprawie Bałkanów Zachodnich po szczycie w 2020 r.</w:t>
      </w:r>
      <w:r w:rsidRPr="00ED5E97">
        <w:rPr>
          <w:rStyle w:val="FootnoteReference"/>
          <w:rFonts w:eastAsiaTheme="majorEastAsia"/>
          <w:szCs w:val="24"/>
          <w:lang w:val="pl-PL"/>
        </w:rPr>
        <w:footnoteReference w:id="10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konkluzje Rady Europejskiej z 19 i 20 czerwca 2003 r. oraz agendę z Salonik dla Bałkanów Zachodnich,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układy o stowarzyszeniu między UE a Albanią</w:t>
      </w:r>
      <w:r w:rsidRPr="00ED5E97">
        <w:rPr>
          <w:rStyle w:val="FootnoteReference"/>
          <w:bCs/>
          <w:iCs/>
          <w:szCs w:val="24"/>
          <w:lang w:val="pl-PL"/>
        </w:rPr>
        <w:footnoteReference w:id="11"/>
      </w:r>
      <w:r w:rsidRPr="00ED5E97">
        <w:rPr>
          <w:lang w:val="pl-PL"/>
        </w:rPr>
        <w:t>, Bośnią i Hercegowiną</w:t>
      </w:r>
      <w:r w:rsidRPr="00ED5E97">
        <w:rPr>
          <w:rStyle w:val="FootnoteReference"/>
          <w:bCs/>
          <w:iCs/>
          <w:szCs w:val="24"/>
          <w:lang w:val="pl-PL"/>
        </w:rPr>
        <w:footnoteReference w:id="12"/>
      </w:r>
      <w:r w:rsidRPr="00ED5E97">
        <w:rPr>
          <w:lang w:val="pl-PL"/>
        </w:rPr>
        <w:t>, Gruzją</w:t>
      </w:r>
      <w:r w:rsidRPr="00ED5E97">
        <w:rPr>
          <w:rStyle w:val="FootnoteReference"/>
          <w:bCs/>
          <w:iCs/>
          <w:szCs w:val="24"/>
          <w:lang w:val="pl-PL"/>
        </w:rPr>
        <w:footnoteReference w:id="13"/>
      </w:r>
      <w:r w:rsidRPr="00ED5E97">
        <w:rPr>
          <w:lang w:val="pl-PL"/>
        </w:rPr>
        <w:t>, Kosowem, Republiką Mołdawii</w:t>
      </w:r>
      <w:r w:rsidRPr="00ED5E97">
        <w:rPr>
          <w:rStyle w:val="FootnoteReference"/>
          <w:bCs/>
          <w:iCs/>
          <w:szCs w:val="24"/>
          <w:lang w:val="pl-PL"/>
        </w:rPr>
        <w:footnoteReference w:id="14"/>
      </w:r>
      <w:r w:rsidRPr="00ED5E97">
        <w:rPr>
          <w:lang w:val="pl-PL"/>
        </w:rPr>
        <w:t xml:space="preserve">, Czarnogórą, Macedonią </w:t>
      </w:r>
      <w:r w:rsidRPr="00ED5E97">
        <w:rPr>
          <w:lang w:val="pl-PL"/>
        </w:rPr>
        <w:lastRenderedPageBreak/>
        <w:t>Północną</w:t>
      </w:r>
      <w:r w:rsidRPr="00ED5E97">
        <w:rPr>
          <w:rStyle w:val="FootnoteReference"/>
          <w:bCs/>
          <w:iCs/>
          <w:szCs w:val="24"/>
          <w:lang w:val="pl-PL"/>
        </w:rPr>
        <w:footnoteReference w:id="15"/>
      </w:r>
      <w:r w:rsidRPr="00ED5E97">
        <w:rPr>
          <w:lang w:val="pl-PL"/>
        </w:rPr>
        <w:t>, Serbią, Turcją</w:t>
      </w:r>
      <w:r w:rsidRPr="00ED5E97">
        <w:rPr>
          <w:rStyle w:val="FootnoteReference"/>
          <w:szCs w:val="24"/>
          <w:lang w:val="pl-PL"/>
        </w:rPr>
        <w:footnoteReference w:id="16"/>
      </w:r>
      <w:r w:rsidRPr="00ED5E97">
        <w:rPr>
          <w:lang w:val="pl-PL"/>
        </w:rPr>
        <w:t xml:space="preserve"> i Ukrainą</w:t>
      </w:r>
      <w:r w:rsidRPr="00ED5E97">
        <w:rPr>
          <w:rStyle w:val="FootnoteReference"/>
          <w:bCs/>
          <w:iCs/>
          <w:szCs w:val="24"/>
          <w:lang w:val="pl-PL"/>
        </w:rPr>
        <w:footnoteReference w:id="17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wniosek dotyczący rozporządzenia Parlamentu Europejskiego i Rady w sprawie ustanowienia Instrumentu Wsparcia Reform i Wzrostu Gospodarczego na Bałkanach Zachodnich (COM(2023)0692),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komunikat Komisji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5 lutego 2020 r. zatytułowany „Usprawnienie procesu akcesyjnego – wiarygodna perspektywa członkostwa w UE dla państw regionu Bałkanów Zachodnich” (COM</w:t>
      </w:r>
      <w:proofErr w:type="gramStart"/>
      <w:r w:rsidRPr="00ED5E97">
        <w:rPr>
          <w:lang w:val="pl-PL"/>
        </w:rPr>
        <w:t>(2020)0057) oraz</w:t>
      </w:r>
      <w:proofErr w:type="gramEnd"/>
      <w:r w:rsidRPr="00ED5E97">
        <w:rPr>
          <w:lang w:val="pl-PL"/>
        </w:rPr>
        <w:t xml:space="preserve"> strategię Komisji z lutego 2018 r. dotyczącą wiarygodnej perspektywy rozszerzenia dla Bałkanów Zachodnich oraz zwiększonego zaangażowania UE w tym regionie,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swoją rezolucję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23 czerwca 2022 r. w sprawie przyznania Ukrainie, Republice Mołdawii i Gruzji statusu krajów kandydujących,</w:t>
      </w:r>
    </w:p>
    <w:p w:rsidR="000D212F" w:rsidRPr="00ED5E97" w:rsidRDefault="000D212F" w:rsidP="000D212F">
      <w:pPr>
        <w:pStyle w:val="Normal12Hanging"/>
        <w:rPr>
          <w:rFonts w:eastAsia="Calibri"/>
          <w:bCs/>
          <w:iCs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swoją rezolucję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5 października 2023 r. w sprawie podsumowania postępów Mołdawii na drodze do UE</w:t>
      </w:r>
      <w:r w:rsidRPr="00ED5E97">
        <w:rPr>
          <w:rStyle w:val="FootnoteReference"/>
          <w:rFonts w:eastAsia="Calibri"/>
          <w:bCs/>
          <w:iCs/>
          <w:lang w:val="pl-PL"/>
        </w:rPr>
        <w:footnoteReference w:id="18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sprawozdanie specjalne Europejskiego Trybunału Obrachunkowego nr 01/2022 z 10 stycznia 2022 r. pt. „Wsparcie UE na rzecz praworządności na Bałkanach Zachodnich – pomimo poczynionych wysiłków wciąż występują zasadnicze problemy”,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pakiet rozszerzeniowy Komisji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12 października 2022 r.,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komunikat w sprawie polityki rozszerzenia UE w 2023 r. do pakietu rozszerzeniowego przyjęty przez Komisję Europejską 8 listopada 2023 r. (COM(2023)0690),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rozporządzenie Parlamentu Europejskiego i Rady (UE) 2021/1529 z dnia 15 września 2021 r. ustanawiające Instrument Pomocy Przedakcesyjnej (IPA III)</w:t>
      </w:r>
      <w:r w:rsidRPr="00ED5E97">
        <w:rPr>
          <w:rStyle w:val="FootnoteReference"/>
          <w:bCs/>
          <w:iCs/>
          <w:szCs w:val="24"/>
          <w:lang w:val="pl-PL"/>
        </w:rPr>
        <w:footnoteReference w:id="19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opinię Europejskiego Komitetu Ekonomiczno-Społecznego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10 lipca 2014 r. w sprawie zwiększenia przejrzystości procesu akcesyjnego do UE i włączenia w niego szerszego kręgu zainteresowanych stron</w:t>
      </w:r>
      <w:r w:rsidRPr="00ED5E97">
        <w:rPr>
          <w:rStyle w:val="FootnoteReference"/>
          <w:lang w:val="pl-PL"/>
        </w:rPr>
        <w:footnoteReference w:id="20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swoje rezolucje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16 lutego 2017 r. w sprawie poprawy funkcjonowania Unii Europejskiej dzięki wykorzystaniu potencjału Traktatu z Lizbony</w:t>
      </w:r>
      <w:r w:rsidRPr="00ED5E97">
        <w:rPr>
          <w:rStyle w:val="FootnoteReference"/>
          <w:szCs w:val="24"/>
          <w:lang w:val="pl-PL"/>
        </w:rPr>
        <w:footnoteReference w:id="21"/>
      </w:r>
      <w:r w:rsidRPr="00ED5E97">
        <w:rPr>
          <w:lang w:val="pl-PL"/>
        </w:rPr>
        <w:t xml:space="preserve"> oraz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11 lipca 2023 r. w sprawie wdrażania klauzul pomostowych w traktatach UE</w:t>
      </w:r>
      <w:r w:rsidRPr="00ED5E97">
        <w:rPr>
          <w:rStyle w:val="FootnoteReference"/>
          <w:szCs w:val="24"/>
          <w:lang w:val="pl-PL"/>
        </w:rPr>
        <w:footnoteReference w:id="22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 xml:space="preserve">uwzględniając swoje sprawozdanie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 xml:space="preserve">9 maja 2022 r. dotyczące końcowych wyników Konferencji w sprawie przyszłości Europy oraz swoją rezolucję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 xml:space="preserve">4 maja 2022 r. w sprawie działań następczych w związku z konkluzjami Konferencji w sprawie </w:t>
      </w:r>
      <w:r w:rsidRPr="00ED5E97">
        <w:rPr>
          <w:lang w:val="pl-PL"/>
        </w:rPr>
        <w:lastRenderedPageBreak/>
        <w:t>przyszłości Europy</w:t>
      </w:r>
      <w:r w:rsidRPr="00ED5E97">
        <w:rPr>
          <w:rStyle w:val="FootnoteReference"/>
          <w:bCs/>
          <w:iCs/>
          <w:szCs w:val="24"/>
          <w:lang w:val="pl-PL"/>
        </w:rPr>
        <w:footnoteReference w:id="23"/>
      </w:r>
      <w:r w:rsidRPr="00ED5E97">
        <w:rPr>
          <w:lang w:val="pl-PL"/>
        </w:rPr>
        <w:t>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sz w:val="20"/>
          <w:lang w:val="pl-PL"/>
        </w:rPr>
        <w:tab/>
      </w:r>
      <w:r w:rsidRPr="00ED5E97">
        <w:rPr>
          <w:lang w:val="pl-PL"/>
        </w:rPr>
        <w:t xml:space="preserve">uwzględniając swoje rezolucje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9 czerwca 2022 r. w sprawie wezwania do zwołania konwentu w celu zmiany traktatów</w:t>
      </w:r>
      <w:r w:rsidRPr="00ED5E97">
        <w:rPr>
          <w:rStyle w:val="FootnoteReference"/>
          <w:szCs w:val="24"/>
          <w:lang w:val="pl-PL"/>
        </w:rPr>
        <w:footnoteReference w:id="24"/>
      </w:r>
      <w:r w:rsidRPr="00ED5E97">
        <w:rPr>
          <w:lang w:val="pl-PL"/>
        </w:rPr>
        <w:t xml:space="preserve"> oraz z </w:t>
      </w:r>
      <w:r w:rsidR="00D93DB2">
        <w:rPr>
          <w:lang w:val="pl-PL"/>
        </w:rPr>
        <w:t xml:space="preserve">dnia </w:t>
      </w:r>
      <w:r w:rsidRPr="00ED5E97">
        <w:rPr>
          <w:lang w:val="pl-PL"/>
        </w:rPr>
        <w:t>22 listopada 2023 r. w sprawie propozycji Parlamentu Europejskiego dotyczących zmiany Traktatów</w:t>
      </w:r>
      <w:r w:rsidRPr="00ED5E97">
        <w:rPr>
          <w:rStyle w:val="FootnoteReference"/>
          <w:bCs/>
          <w:iCs/>
          <w:szCs w:val="24"/>
          <w:lang w:val="pl-PL"/>
        </w:rPr>
        <w:footnoteReference w:id="25"/>
      </w:r>
      <w:r w:rsidRPr="00ED5E97">
        <w:rPr>
          <w:lang w:val="pl-PL"/>
        </w:rPr>
        <w:t xml:space="preserve"> oraz uruchomienia art. 48 TUE, w których zwraca się do Rady Europejskiej o wyrażenie zgody na zwołanie konwentu w celu zreformowania traktatów,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art. 54 Regulaminu,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–</w:t>
      </w:r>
      <w:r w:rsidRPr="00ED5E97">
        <w:rPr>
          <w:lang w:val="pl-PL"/>
        </w:rPr>
        <w:tab/>
        <w:t>uwzględniając sprawozdanie Komisji Spraw Zagranicznych i Komisji Spraw Konstytucyjnych (A9-0015/2024),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A.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dziewięć z dziesięciu krajów, które obecnie chcą przystąpić do UE, ma status kraju kandydującego, a niektóre z nich od wielu lat; mając na uwadze, że te kraje kandydujące znajdują się na różnych etapach procesu akcesyjnego i negocjacji;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B.</w:t>
      </w:r>
      <w:r w:rsidRPr="00ED5E97">
        <w:rPr>
          <w:lang w:val="pl-PL"/>
        </w:rPr>
        <w:tab/>
        <w:t>mając na uwadze, że w następstwie zaleceń Komisji zawartych w pakiecie rozszerzeniowym na 2023 r. 14 grudnia 2023 r. Rada Europejska postanowiła przyznać Gruzji status kraju kandydującego i rozpocząć negocjacje akcesyjne z Ukrainą, Republiką Mołdawii, a także Bośnią i Hercegowiną, po osiągnięciu niezbędnego stopnia zgodności z kryteriami członkostwa;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C.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rosyjska wojna napastnicza przeciwko Ukrainie oraz inne obserwowane obecnie wyzwania geopolityczne nadały rozszerzeniu Unii Europejskiej nowe znaczenie geostrategiczne; mając na uwadze, że stabilność, bezpieczeństwo i odporność demokratyczna Bałkanów Zachodnich i wschodniego sąsiedztwa są nierozerwalnie związane z bezpieczeństwem, stabilnością i odpornością demokratyczną UE;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D.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rozszerzenie jest moralnym i historycznym zobowiązaniem oraz strategicznym priorytetem geopolitycznym stanowiącym geostrategiczną inwestycję w przyszłości, która przyczyni się do pokoju, stabilności, bezpieczeństwa, demokracji, jedności, walki ze zmianą klimatu, a także do zapewnienia dobrobytu i dobrostanu na kontynencie europejskim; mając na uwadze, że bezpieczeństwo UE równie zależy od jej zdolności do obrony oraz wspierania i podtrzymywania pokoju, demokracji, praworządności, praw człowieka i podstawowych wartości; mając na uwadze, że rozszerzenie może być korzystne zarówno dla obecnych, jak i przyszłych państw członkowskich i ich obywateli, jeżeli spełnione zostaną odpowiednie warunki i wymagania;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E.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rozszerzenie stało się jednym z najsilniejszych narzędzi politycznych i geopolitycznych UE; mając na uwadze, że według Eurobarometru z czerwca 2023 r. większość ludności UE opowiada się za przyszłym rozszerzeniem UE; mając na uwadze, że do ożywienia procesu rozszerzenia pilnie potrzebne są nowy impuls, nowe zobowiązania i nowa wizja, które zapewnią jego ciągłość, spójność i oddziaływanie; mając na uwadze, że ten brak zaangażowania w poprzednich latach </w:t>
      </w:r>
      <w:r w:rsidRPr="00ED5E97">
        <w:rPr>
          <w:lang w:val="pl-PL"/>
        </w:rPr>
        <w:lastRenderedPageBreak/>
        <w:t>stworzył próżnię i otworzył tym samym przestrzeń dla Rosji i Chin oraz dla innych podmiotów zewnętrznych; mając na uwadze, że należy zawsze przestrzegać zasady lojalnej współpracy;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F.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przystąpienie do UE musi być procedurą opartą na kryteriach merytorycznych, w której każdego kandydata ocenia się na podstawie kryteriów kopenhaskich, m.in. kryteriów gwarantujących ciągłe i pełne poszanowanie praw człowieka – w tym praw mniejszości – demokracji i praworządności, a także innych podstawowych wartości UE; mając na uwadze, że należy dążyć do jak najszybszego osiągnięcia pozytywnych wyników, a jednocześnie unikać przyspieszonych lub określonych z góry terminów;</w:t>
      </w:r>
    </w:p>
    <w:p w:rsidR="000D212F" w:rsidRPr="00ED5E97" w:rsidRDefault="000D212F" w:rsidP="000D212F">
      <w:pPr>
        <w:pStyle w:val="Normal12Hanging"/>
        <w:ind w:hanging="566"/>
        <w:rPr>
          <w:rFonts w:eastAsiaTheme="minorEastAsia"/>
          <w:bCs/>
          <w:iCs/>
          <w:lang w:val="pl-PL"/>
        </w:rPr>
      </w:pPr>
      <w:r w:rsidRPr="00ED5E97">
        <w:rPr>
          <w:lang w:val="pl-PL"/>
        </w:rPr>
        <w:t>G.</w:t>
      </w:r>
      <w:r w:rsidRPr="00ED5E97">
        <w:rPr>
          <w:lang w:val="pl-PL"/>
        </w:rPr>
        <w:tab/>
        <w:t>mając na uwadze, że stagnacja lub regres muszą mieć konsekwencje, ponieważ cały proces akcesyjny musi opierać się na sprawiedliwej i rygorystycznej warunkowości;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H.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przystąpienie do UE wymaga ambitnego programu integracji, zarówno ze strony UE, jak i krajów kandydujących; mając na uwadze, że zasadnicze reformy w dziedzinie sądownictwa, walki z korupcją, wolności i pluralizmu mediów są niezbędne, aby kraje kandydujące mogły poczynić postępy na drodze do UE;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I.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wraz z kolejnym rozszerzeniem korzystne byłoby, aby przyjąć do strefy euro i strefy Schengen oczekujące obecnie na członkostwo państwa;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J.</w:t>
      </w:r>
      <w:r w:rsidRPr="00ED5E97">
        <w:rPr>
          <w:lang w:val="pl-PL"/>
        </w:rPr>
        <w:tab/>
        <w:t>mając na uwadze, że kraje Bałkanów Zachodnich muszą również skupić się na rozwiązywaniu konfliktów, współpracy regionalnej i pojednaniu; mając na uwadze, że ani w UE ani w krajach, które chcą stać się państwami członkowskimi, nie ma miejsca na podburzającą retorykę, negowanie ludobójstwa lub gloryfikowanie zbrodniarzy wojennych z którejkolwiek strony; mając na uwadze, że pogodzenie się z przeszłością jest jedynym sposobem na zapewnienie prawdziwego pojednania, które ma kluczowe znaczenie dla dobrze prosperujących społeczeństw i udanej integracji;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K.</w:t>
      </w:r>
      <w:r w:rsidRPr="00ED5E97">
        <w:rPr>
          <w:lang w:val="pl-PL"/>
        </w:rPr>
        <w:tab/>
        <w:t>mając na uwadze, że procesy rozszerzania i pogłębiania UE muszą iść w parze, ponieważ mogą się wzajemnie wzmacniać oraz zwielokrotniać swój wpływ i znacząco przyczyniać się do realizacji nadrzędnych celów, dla których utworzono UE;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L.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wyzwanie, jakie stanowi powiększona Unia Europejska, wymaga ulepszonej polityki rozszerzenia, opartej na stopniowej integracji ze wspólnymi strategiami politycznymi i przynoszącej wyraźne korzyści obywatelom przez cały proces;</w:t>
      </w:r>
    </w:p>
    <w:p w:rsidR="000D212F" w:rsidRPr="00ED5E97" w:rsidRDefault="000D212F" w:rsidP="000D212F">
      <w:pPr>
        <w:pStyle w:val="Normal12Hanging"/>
        <w:rPr>
          <w:rFonts w:eastAsia="Calibri"/>
          <w:bCs/>
          <w:iCs/>
          <w:lang w:val="pl-PL"/>
        </w:rPr>
      </w:pPr>
      <w:r w:rsidRPr="00ED5E97">
        <w:rPr>
          <w:lang w:val="pl-PL"/>
        </w:rPr>
        <w:t>M.</w:t>
      </w:r>
      <w:r w:rsidRPr="00ED5E97">
        <w:rPr>
          <w:lang w:val="pl-PL"/>
        </w:rPr>
        <w:tab/>
        <w:t>mając na uwadze, że w kontekście rozszerzenia potrzebne jest całościowe spojrzenie na przegląd obecnych i przyszłych strategii politycznych, reform strukturalnych, zmian instytucjonalnych i wieloletnich ram finansowych (WRF) na lata 2028–2034;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N.</w:t>
      </w:r>
      <w:r w:rsidRPr="00ED5E97">
        <w:rPr>
          <w:lang w:val="pl-PL"/>
        </w:rPr>
        <w:tab/>
        <w:t>mając na uwadze, że kraje Bałkanów Zachodnich od dziesięcioleci deklarują swoją gotowość do przystąpienia do UE; mając na uwadze, że 23–24 czerwca 2022 r. przywódcy UE potwierdzili pełne i jednoznaczne zaangażowanie na rzecz perspektywy członkostwa Bałkanów Zachodnich w UE;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O.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kraje kandydujące muszą wykazać się przestrzeganiem podstawowych wartości UE oraz dostosowaniem do strategii politycznych i stanowisk UE, w tym wspólnej polityki zagranicznej i bezpieczeństwa (WPZiB);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lastRenderedPageBreak/>
        <w:t>P.</w:t>
      </w:r>
      <w:r w:rsidRPr="00ED5E97">
        <w:rPr>
          <w:b/>
          <w:i/>
          <w:lang w:val="pl-PL"/>
        </w:rPr>
        <w:tab/>
      </w:r>
      <w:r w:rsidRPr="00ED5E97">
        <w:rPr>
          <w:lang w:val="pl-PL"/>
        </w:rPr>
        <w:t>mając na uwadze, że w ostatnich latach niektóre kraje Bałkanów Zachodnich osiągnęły wysoki poziom dostosowania do WPZiB UE, m.in. w odniesieniu do sankcji wobec Rosji w związku z rosyjską wojną napastniczą przeciwko Ukrainie; mając na uwadze, że w marcu 2023 r. ministrowie spraw zagranicznych Albanii, Kosowa, Czarnogóry i Macedonii Północnej uruchomili platformę „Czterostronnego dialogu na temat bezpieczeństwa Bałkanów Zachodnich – 100 % dostosowania do wspólnej polityki zagranicznej i bezpieczeństwa UE (WPZiB)”;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Q.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UE musi wykazać wyraźną wolę polityczną wspierania krajów kandydujących i powinna znacznie zwiększyć warunkowe wsparcie techniczne i finansowe dla podstawowych reform, rozwiązywania sporów dwustronnych, konwergencji gospodarczej i regionalnej integracji gospodarczej w krajach przystępujących; mając na uwadze, że nowy plan wzrostu gospodarczego dla Bałkanów Zachodnich ma na celu przyspieszenie fundamentalnych reform, pogłębienie integracji krajów z jednolitym rynkiem UE, a także wzmocnienie integracji gospodarczej regionu;</w:t>
      </w:r>
    </w:p>
    <w:p w:rsidR="000D212F" w:rsidRPr="00ED5E97" w:rsidRDefault="000D212F" w:rsidP="000D212F">
      <w:pPr>
        <w:pStyle w:val="Normal12Hanging"/>
        <w:rPr>
          <w:bCs/>
          <w:iCs/>
          <w:szCs w:val="24"/>
          <w:lang w:val="pl-PL"/>
        </w:rPr>
      </w:pPr>
      <w:r w:rsidRPr="00ED5E97">
        <w:rPr>
          <w:lang w:val="pl-PL"/>
        </w:rPr>
        <w:t>R.</w:t>
      </w:r>
      <w:r w:rsidRPr="00ED5E97">
        <w:rPr>
          <w:lang w:val="pl-PL"/>
        </w:rPr>
        <w:tab/>
        <w:t>mając na uwadze, że wrogie podmioty zagraniczne wykorzystują hybrydowe metody ingerencji, aby wpływać na integrację UE i ją osłabiać;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S.</w:t>
      </w:r>
      <w:r w:rsidRPr="00ED5E97">
        <w:rPr>
          <w:lang w:val="pl-PL"/>
        </w:rPr>
        <w:tab/>
        <w:t>mając na uwadze, że Parlament jest bez wątpienia najbardziej wspierającą rozszerzenie instytucją w UE; mając na uwadze, że rola Parlamentu pozostaje niezwykle ograniczona w całym procesie rozszerzenia i należy ją wzmocnić, by zwiększyć legitymację demokratyczną i rozliczalność, w tym podczas oceny pośrednich etapów przystąpienia, między innymi przez regularne posiedzenia komisji i kontrolę parlamentarną funduszy przedakcesyjnych, przy jednoczesnym wykorzystaniu istniejących narzędzi i instrumentów, np. programów wspierania demokracji; mając na uwadze, że administracje regionalne i lokalne oraz organizacje społeczeństwa obywatelskiego powinny być strukturalnie zaangażowane w proces rozszerzenia i jego kontrolę;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T.</w:t>
      </w:r>
      <w:r w:rsidRPr="00ED5E97">
        <w:rPr>
          <w:lang w:val="pl-PL"/>
        </w:rPr>
        <w:tab/>
        <w:t>mając na uwadze, że ważne inicjatywy, np. Europejska Wspólnota Polityczna, która odbyła już trzy oficjalne posiedzenia, umożliwiają współpracę polityczną i przyczyniają się do dialogów regionalnych w różnych dziedzinach między UE a innymi krajami, ale nie stanowią alternatywy dla członkostwa w UE;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U.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konieczne są znaczące reformy poprzedzające rozszerzenie, aby zagwarantować skuteczne funkcjonowanie rozszerzonej UE oraz jej zdolność do przyjmowania nowych członków i wspierania ich udanej integracji, a także do właściwego reagowania na liczne wyzwania, przed którymi stoi obecnie; mając na uwadze, że mogłoby to oznaczać istotne zmiany w ramach instytucjonalnych UE oraz ewentualne propagowanie zróżnicowanych rozwiązań integracyjnych tam, gdzie pozwalają na to traktaty; mając na uwadze, że niektóre z tych rozwiązań są już omawiane od pewnego czasu; mając na uwadze, że aby to osiągnąć, UE powinna w pełni wykorzystać elastyczność przewidzianą w traktacie lizbońskim przed bardziej dogłębną reformą </w:t>
      </w:r>
      <w:proofErr w:type="gramStart"/>
      <w:r w:rsidRPr="00ED5E97">
        <w:rPr>
          <w:lang w:val="pl-PL"/>
        </w:rPr>
        <w:t>w</w:t>
      </w:r>
      <w:proofErr w:type="gramEnd"/>
      <w:r w:rsidRPr="00ED5E97">
        <w:rPr>
          <w:lang w:val="pl-PL"/>
        </w:rPr>
        <w:t xml:space="preserve"> kontekście ewentualnego przeglądu traktatów;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V.</w:t>
      </w:r>
      <w:r w:rsidRPr="00ED5E97">
        <w:rPr>
          <w:lang w:val="pl-PL"/>
        </w:rPr>
        <w:tab/>
        <w:t xml:space="preserve">mając na uwadze, że UE stoi przed poważnymi wyzwaniami w zakresie skutecznego zarządzania kryzysowego i, w szczególności, procedur podejmowania decyzji; mając na uwadze, że wiarygodność UE i jej zdolność do terminowego i skutecznego działania zależy od demokratycznego i skutecznego podejmowania decyzji, a tym bardziej w rozszerzonej UE składającej </w:t>
      </w:r>
      <w:proofErr w:type="gramStart"/>
      <w:r w:rsidRPr="00ED5E97">
        <w:rPr>
          <w:lang w:val="pl-PL"/>
        </w:rPr>
        <w:t>się z co</w:t>
      </w:r>
      <w:proofErr w:type="gramEnd"/>
      <w:r w:rsidRPr="00ED5E97">
        <w:rPr>
          <w:lang w:val="pl-PL"/>
        </w:rPr>
        <w:t xml:space="preserve"> najmniej 30 państw członkowskich; mając na uwadze, że oczywiste jest, iż instytucje UE i mechanizmy podejmowania decyzji, </w:t>
      </w:r>
      <w:r w:rsidRPr="00ED5E97">
        <w:rPr>
          <w:lang w:val="pl-PL"/>
        </w:rPr>
        <w:lastRenderedPageBreak/>
        <w:t xml:space="preserve">zwłaszcza w Radzie, nie są odpowiednie dla Unii z większą liczbą państw członkowskich; mając na uwadze, że wola polityczna oraz skuteczne podejmowanie decyzji prowadzące do terminowych i skoordynowanych działań wewnętrznych i zewnętrznych mają </w:t>
      </w:r>
      <w:proofErr w:type="gramStart"/>
      <w:r w:rsidRPr="00ED5E97">
        <w:rPr>
          <w:lang w:val="pl-PL"/>
        </w:rPr>
        <w:t>zasadnicze</w:t>
      </w:r>
      <w:proofErr w:type="gramEnd"/>
      <w:r w:rsidRPr="00ED5E97">
        <w:rPr>
          <w:lang w:val="pl-PL"/>
        </w:rPr>
        <w:t xml:space="preserve"> znaczenie dla ochrony interesów UE i jej globalnego przywództwa geopolitycznego i wiarygodności; mając na uwadze, że niedawne problemy z podejmowaniem przez UE decyzji w sprawie sankcji stanowią potwierdzenie potrzeby odejścia od jednomyślności; mając na uwadze, że równolegle z bieżącymi negocjacjami akcesyjnymi trzeba wdrożyć gruntowną reformę ram instytucjonalnych i struktur zarządzania UE wraz z uproszczonymi, skuteczniejszymi i bardziej demokratycznymi procedurami decyzyjnymi;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W.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w określonych obszarach polityki możliwe jest natychmiastowe wykorzystanie klauzul pomostowych do przejścia od wymogu jednomyślności do głosowania większością kwalifikowaną; mając na uwadze, że Parlament uruchomił procedurę rewizji traktatu i przedłożył Radzie wnioski dotyczące zmiany traktatów zgodnie z art. 48 ust. 2 TUE; mając na uwadze, że przewodnicząca Komisji ogłosiła w swoim przemówieniu w Parlamencie Europejskim 17 stycznia 2024 r. zbliżające się przedstawienie komunikatu w sprawie reformy traktatów, który utoruje drogę do dyskusji w Radzie Europejskiej w najbliższej przyszłości;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X.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Parlament Europejski, Rada i Komisja zobowiązały się do podjęcia skutecznych działań następczych w związku z konkluzjami Konferencji w sprawie przyszłości Europy; mając na uwadze, że podczas Konferencji w sprawie przyszłości Europy wezwano UE do uzgodnienia przekonującej wizji i wspólnej strategii na rzecz skonsolidowania jej jedności i usprawnienia zdolności decyzyjnej UE z myślą o przyszłym rozszerzeniu; mając na uwadze, że wiele z tych propozycji można wprowadzić w życie tylko pod warunkiem wprowadzenia zmian w traktatach;</w:t>
      </w:r>
    </w:p>
    <w:p w:rsidR="000D212F" w:rsidRPr="00ED5E97" w:rsidRDefault="000D212F" w:rsidP="000D212F">
      <w:pPr>
        <w:pStyle w:val="Normal12Hanging"/>
        <w:rPr>
          <w:b/>
          <w:bCs/>
          <w:i/>
          <w:iCs/>
          <w:lang w:val="pl-PL"/>
        </w:rPr>
      </w:pPr>
      <w:r w:rsidRPr="00ED5E97">
        <w:rPr>
          <w:lang w:val="pl-PL"/>
        </w:rPr>
        <w:t>Y.</w:t>
      </w:r>
      <w:r w:rsidRPr="00ED5E97">
        <w:rPr>
          <w:lang w:val="pl-PL"/>
        </w:rPr>
        <w:tab/>
        <w:t xml:space="preserve">mając na uwadze, że regres demokracji jest jednym z największych zagrożeń, w </w:t>
      </w:r>
      <w:proofErr w:type="gramStart"/>
      <w:r w:rsidRPr="00ED5E97">
        <w:rPr>
          <w:lang w:val="pl-PL"/>
        </w:rPr>
        <w:t>obliczu których</w:t>
      </w:r>
      <w:proofErr w:type="gramEnd"/>
      <w:r w:rsidRPr="00ED5E97">
        <w:rPr>
          <w:lang w:val="pl-PL"/>
        </w:rPr>
        <w:t xml:space="preserve"> stoi Unia Europejska, zarówno w wymiarze wewnętrznym, jak i zewnętrznym;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Z.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równolegle z kolejnym rozszerzeniem trzeba również wzmocnić mechanizm służący zapewnieniu przestrzegania podstawowych zasad i wartości UE oraz wspólnotowego dorobku prawnego; mając na uwadze, że wdrażanie dorobku prawnego UE powinno być gruntownie i obiektywnie monitorowane w odniesieniu do każdego państwa kandydującego;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AA.</w:t>
      </w:r>
      <w:r w:rsidRPr="00ED5E97">
        <w:rPr>
          <w:lang w:val="pl-PL"/>
        </w:rPr>
        <w:tab/>
        <w:t>mając na uwadze, że rozszerzenie stanowi zarówno poważne wyzwanie finansowe dla UE, w szczególności w odniesieniu do polityki spójności i polityki rolnej, jak i innych programów i strategii politycznych UE oraz okazję do zreformowania UE; mając na uwadze, że obecne i przyszłe WRF należy poddać przeglądowi, ponownie przemyśleć pod kątem priorytetów, odpowiednio skonstruować i znacznie wzmocnić, a zarządzanie nimi należy zreformować, aby umożliwić i wesprzeć znaczne rozszerzenie UE bez narażania na szwank wsparcia potrzebnego obecnym państwom członkowskim; mając na uwadze, że te podstawy finansowe trzeba zapewnić przed rozszerzeniem;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AB.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mając</w:t>
      </w:r>
      <w:proofErr w:type="gramEnd"/>
      <w:r w:rsidRPr="00ED5E97">
        <w:rPr>
          <w:lang w:val="pl-PL"/>
        </w:rPr>
        <w:t xml:space="preserve"> na uwadze, że odbudowa i powojenne ożywienie gospodarcze Ukrainy to dodatkowe wyzwanie, któremu należy stawić czoła w szerszym kontekście wysiłków międzynarodowych; </w:t>
      </w:r>
    </w:p>
    <w:p w:rsidR="000D212F" w:rsidRPr="00ED5E97" w:rsidRDefault="000D212F" w:rsidP="000D212F">
      <w:pPr>
        <w:pStyle w:val="Normal12Hanging"/>
        <w:rPr>
          <w:b/>
          <w:bCs/>
          <w:i/>
          <w:iCs/>
          <w:szCs w:val="24"/>
          <w:lang w:val="pl-PL"/>
        </w:rPr>
      </w:pPr>
      <w:r w:rsidRPr="00ED5E97">
        <w:rPr>
          <w:b/>
          <w:i/>
          <w:lang w:val="pl-PL"/>
        </w:rPr>
        <w:t>Strategiczny wymiar rozszerzenia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lastRenderedPageBreak/>
        <w:t>1.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</w:t>
      </w:r>
      <w:proofErr w:type="gramEnd"/>
      <w:r w:rsidRPr="00ED5E97">
        <w:rPr>
          <w:lang w:val="pl-PL"/>
        </w:rPr>
        <w:t xml:space="preserve"> zadowoleniem przyjmuje aspiracje wielu krajów europejskich i ich obywateli do przystąpienia do UE i uznaje ich wolę polityczną i poważne wysiłki, które podjęły, by spełnić wymogi członkostwa;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2.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uważa</w:t>
      </w:r>
      <w:proofErr w:type="gramEnd"/>
      <w:r w:rsidRPr="00ED5E97">
        <w:rPr>
          <w:lang w:val="pl-PL"/>
        </w:rPr>
        <w:t xml:space="preserve">, że rozszerzenie ma ogromne znaczenie strategiczne dla UE; potwierdza, że wzmocniona polityka rozszerzenia stała się jednym z najsilniejszych narzędzi politycznych i geopolitycznych UE stanowiących geostrategiczną inwestycję w długoterminowy pokój, demokrację, stabilność, bezpieczeństwo, ochronę klimatu i dobrobyt na całym kontynencie, a tym bardziej w obliczu rosyjskiej wojny napastniczej przeciwko Ukrainie i innych wspólnych wyzwań geopolitycznych, co wymaga długoterminowej wizji politycznej i śmiałych decyzji; podkreśla polityczną pilną potrzebę wykazania zaangażowania UE na rzecz międzynarodowego porządku opartego na zasadach; podkreśla, że biorąc pod uwagę główne wyzwania w zakresie bezpieczeństwa stojące przed Europą, rozszerzenie UE i włączenie Ukrainy do zachodnich systemów zbiorowego bezpieczeństwa </w:t>
      </w:r>
      <w:proofErr w:type="gramStart"/>
      <w:r w:rsidRPr="00ED5E97">
        <w:rPr>
          <w:lang w:val="pl-PL"/>
        </w:rPr>
        <w:t>i</w:t>
      </w:r>
      <w:proofErr w:type="gramEnd"/>
      <w:r w:rsidRPr="00ED5E97">
        <w:rPr>
          <w:lang w:val="pl-PL"/>
        </w:rPr>
        <w:t xml:space="preserve"> obrony wzmocnią bezpieczeństwo europejskie;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3.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</w:t>
      </w:r>
      <w:proofErr w:type="gramEnd"/>
      <w:r w:rsidRPr="00ED5E97">
        <w:rPr>
          <w:lang w:val="pl-PL"/>
        </w:rPr>
        <w:t xml:space="preserve"> zadowoleniem przyjmuje zalecenia Komisji zawarte w pakiecie rozszerzeniowym na 2023 r., a ponadto z zadowoleniem przyjmuje decyzje Rady Europejskiej o rozpoczęciu negocjacji akcesyjnych z Ukrainą i Republiką Mołdawii, o przyznaniu Gruzji statusu kraju kandydującego, przy założeniu, że podjęte zostaną odpowiednie kroki określone w zaleceniu Komisji z 8 listopada 2023 r., oraz o rozpoczęciu negocjacji akcesyjnych z Bośnią i Hercegowiną po osiągnięciu niezbędnego stopnia zgodności z kryteriami członkostwa; zwraca się do Rady, by zleciła Komisji natychmiastowe przedłożenie wniosków dotyczących odpowiednich ram negocjacyjnych i przyjęcie ich po podjęciu odpowiednich kroków określonych w odnośnych zaleceniach Komisji z 8 listopada 2023 r.;</w:t>
      </w:r>
    </w:p>
    <w:p w:rsidR="000D212F" w:rsidRPr="00ED5E97" w:rsidRDefault="000D212F" w:rsidP="000D212F">
      <w:pPr>
        <w:pStyle w:val="Normal12Hanging"/>
        <w:rPr>
          <w:rFonts w:eastAsia="Calibri"/>
          <w:b/>
          <w:i/>
          <w:lang w:val="pl-PL"/>
        </w:rPr>
      </w:pPr>
      <w:r w:rsidRPr="00ED5E97">
        <w:rPr>
          <w:b/>
          <w:i/>
          <w:lang w:val="pl-PL"/>
        </w:rPr>
        <w:t>Procedury akcesyjne i rola Parlamentu Europejskiego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4.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dostrzega</w:t>
      </w:r>
      <w:proofErr w:type="gramEnd"/>
      <w:r w:rsidRPr="00ED5E97">
        <w:rPr>
          <w:lang w:val="pl-PL"/>
        </w:rPr>
        <w:t xml:space="preserve"> historyczne wyzwanie i szansę, przed którymi stoi UE, jakimi są wypełnienie zobowiązań wobec krajów i narodów Albanii, Bośni i Hercegowiny, Macedonii Północnej, Kosowa, Czarnogóry i Serbii oraz Ukrainy i Republiki Mołdawii i Gruzji; uznaje, jak ważna jest integracja europejska tych kluczowych partnerów; uznaje również znaczenie współpracy regionalnej w odpowiednich regionach Partnerstwa Wschodniego i Bałkanów Zachodnich;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5.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ponownie</w:t>
      </w:r>
      <w:proofErr w:type="gramEnd"/>
      <w:r w:rsidRPr="00ED5E97">
        <w:rPr>
          <w:lang w:val="pl-PL"/>
        </w:rPr>
        <w:t xml:space="preserve"> wyraża pogląd, że w obecnych okolicznościach procesu przystąpienia Turcji do UE nie można wznowić; wzywa rząd turecki, by przełamał obecny impas i poczynił postępy w kierunku bliższego, bardziej dynamicznego i strategicznego partnerstwa przez opracowanie realistycznych równoległych ram współpracy, takich jak zmodernizowany układ o stowarzyszeniu, oraz wzywa Komisję, by zbadała możliwe formaty takich ram; przypomina, że wszelka poprawa stosunków między UE a Turcją musi opierać się na wymiernych postępach w dziedzinie praw człowieka, demokracji i opartych na szacunku stosunków sąsiedzkich;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6.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 xml:space="preserve">, że przystąpienie do UE musi zawsze być procedurą opartą na kryteriach merytorycznych oraz że każdego wnioskodawcę należy oceniać pod kątem spełnienia kryteriów kopenhaskich w całości; podkreśla, że nie ma drogi na skróty w odniesieniu do wartości i podstawowych zasad UE; podkreśla, że praworządność, reforma demokratyczna, wolność mediów i poszanowanie praw człowieka, m.in. praw </w:t>
      </w:r>
      <w:r w:rsidRPr="00ED5E97">
        <w:rPr>
          <w:lang w:val="pl-PL"/>
        </w:rPr>
        <w:lastRenderedPageBreak/>
        <w:t>mniejszości, powinny znaleźć się na czele procesu akcesyjnego, przy czym niezawisłość sądów, walka z korupcją i wzmocnienie pozycji społeczeństwa obywatelskiego są kluczowymi warunkami wstępnymi postępu na drodze do członkostwa w UE;</w:t>
      </w:r>
    </w:p>
    <w:p w:rsidR="000D212F" w:rsidRPr="00ED5E97" w:rsidRDefault="000D212F" w:rsidP="000D212F">
      <w:pPr>
        <w:pStyle w:val="Normal12Hanging"/>
        <w:rPr>
          <w:b/>
          <w:bCs/>
          <w:i/>
          <w:iCs/>
          <w:lang w:val="pl-PL"/>
        </w:rPr>
      </w:pPr>
      <w:r w:rsidRPr="00ED5E97">
        <w:rPr>
          <w:lang w:val="pl-PL"/>
        </w:rPr>
        <w:t>7.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zwraca</w:t>
      </w:r>
      <w:proofErr w:type="gramEnd"/>
      <w:r w:rsidRPr="00ED5E97">
        <w:rPr>
          <w:lang w:val="pl-PL"/>
        </w:rPr>
        <w:t xml:space="preserve"> się o poprawę skuteczności mechanizmów monitorowania, aby chronić podstawowe wartości i solidne interesy finansowe Unii w kontekście procedur akcesyjnych; ponawia w związku z tym swoje apele o włączenie krajów kandydujących do unijnego mechanizmu praworządności i jego corocznej sprawozdawczości, co automatycznie uruchomi przedakcesyjne mechanizmy współpracy i weryfikacji; popiera zamiar Komisji, by uwzględniać kraje przystępujące do UE w sprawozdaniach na temat praworządności, i nalega, aby uwzględniać je w rocznych sprawozdaniach z postępów;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8.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zachęca</w:t>
      </w:r>
      <w:proofErr w:type="gramEnd"/>
      <w:r w:rsidRPr="00ED5E97">
        <w:rPr>
          <w:lang w:val="pl-PL"/>
        </w:rPr>
        <w:t xml:space="preserve"> kraje objęte procesem rozszerzenia, by dalej zdecydowanie wdrażały niezbędne reformy oraz poczyniły wymierne i nieodwracalne postępy, zaczynając od podstaw procesu przystąpienia do UE;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9.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 xml:space="preserve">, że potrzebne są nieustanne wysiłki na rzecz wspierania pluralizmu mediów, obrony praw dziennikarzy i zapewnienia wolności słowa we wszystkich krajach kandydujących; 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10.</w:t>
      </w:r>
      <w:r w:rsidRPr="00ED5E97">
        <w:rPr>
          <w:b/>
          <w:i/>
          <w:lang w:val="pl-PL"/>
        </w:rPr>
        <w:tab/>
      </w:r>
      <w:proofErr w:type="gramStart"/>
      <w:r w:rsidRPr="00ED5E97">
        <w:rPr>
          <w:lang w:val="pl-PL"/>
        </w:rPr>
        <w:t>zwraca</w:t>
      </w:r>
      <w:proofErr w:type="gramEnd"/>
      <w:r w:rsidRPr="00ED5E97">
        <w:rPr>
          <w:lang w:val="pl-PL"/>
        </w:rPr>
        <w:t xml:space="preserve"> uwagę, że dostosowanie się do wspólnej polityki zagranicznej i bezpieczeństwa (WPZiB) UE jest również zasadniczym wskaźnikiem pełnego przestrzegania podstawowych zasad UE oraz trwałego członkostwa w przyszłości; wzywa wszystkie kraje kandydujące i potencjalne kraje kandydujące, by priorytetowo traktowały szybkie i pełne dostosowanie się do WPZiB, oraz przypomina, że przystąpienie danego kraju może nastąpić dopiero po dostosowaniu się do środków ograniczających UE, w tym sankcji wprowadzonych w odpowiedzi na rosyjską wojnę napastniczą przeciwko Ukrainie;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11.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apeluje</w:t>
      </w:r>
      <w:proofErr w:type="gramEnd"/>
      <w:r w:rsidRPr="00ED5E97">
        <w:rPr>
          <w:lang w:val="pl-PL"/>
        </w:rPr>
        <w:t>, by dokładnie ocenić strategię rozszerzenia oraz przyczyny ograniczonych postępów niektórych krajów objętych procesem rozszerzenia, zwłaszcza w dziedzinach praworządności, praw człowieka i demokracji;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12.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uważa</w:t>
      </w:r>
      <w:proofErr w:type="gramEnd"/>
      <w:r w:rsidRPr="00ED5E97">
        <w:rPr>
          <w:lang w:val="pl-PL"/>
        </w:rPr>
        <w:t>, że zmodyfikowana metodologia Komisji, którą powinno się zaktualizować, by uwzględnić procesy akcesyjne Ukrainy, Republiki Mołdawii i Gruzji, stanowi długoterminowe ramy polityki, które wytyczają kierunek procesu rozszerzenia;</w:t>
      </w:r>
    </w:p>
    <w:p w:rsidR="000D212F" w:rsidRPr="00ED5E97" w:rsidRDefault="000D212F" w:rsidP="000D212F">
      <w:pPr>
        <w:pStyle w:val="Normal12Hanging"/>
        <w:rPr>
          <w:b/>
          <w:bCs/>
          <w:i/>
          <w:iCs/>
          <w:lang w:val="pl-PL"/>
        </w:rPr>
      </w:pPr>
      <w:r w:rsidRPr="00ED5E97">
        <w:rPr>
          <w:lang w:val="pl-PL"/>
        </w:rPr>
        <w:t>13.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>, że chociaż proces ten powinien stać się bardziej stopniowy i dynamiczny, a UE powinna określić konkretne indywidualne cele reform, plany działania i pośrednie harmonogramy dla każdego kraju przystępującego, nie mogą istnieć przyspieszone ani z góry określone terminy członkostwa, ponieważ mogłyby one wpłynąć na integralność procesu akcesyjnego; uważa jednak, że kolejne rozszerzenie UE powinno nastąpić, gdy tylko odnośne kraje kandydujące spełnią wszystkie warunki przystąpienia, a jednocześnie uzgodnione i wdrożone zostaną niezbędne reformy europejskie; oczekuje, że pierwsze kraje kandydujące będą gotowe do przystąpienia do Unii przed końcem bieżącego dziesięciolecia;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14.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 xml:space="preserve">, że za rozszerzenie UE wspólnie odpowiadają obecne państwa członkowskie i państwa kandydujące; wzywa państwa członkowskie, by wykazały wyraźne i jednoznaczne zaangażowanie polityczne w proces rozszerzenia, w oparciu o obiektywne </w:t>
      </w:r>
      <w:r w:rsidRPr="00ED5E97">
        <w:rPr>
          <w:lang w:val="pl-PL"/>
        </w:rPr>
        <w:lastRenderedPageBreak/>
        <w:t>kryteria i niewykorzystywanie go do rozstrzygania sporów dwustronnych, które należy rozstrzygać niezależnie od procesu akcesyjnego; podkreśla, że nadmierne opóźnienia na drodze do pełnego członkostwa w UE mogą mieć negatywny wpływ zarówno na opinię publiczną, jak i zaangażowanie polityczne krajów kandydujących;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15.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>, że procesy akcesyjne mogą odbywać się w sposób odwracalny oraz że podejście oparte na kryteriach merytorycznych może również prowadzić do zamrożenia negocjacji akcesyjnych w przypadku regresu w zakresie podstawowych wartości, a negocjacje te można wznowić dopiero po znacznych postępach w reformach; wzywa do solidnego i wzmocnionego monitorowania, sprawozdawczości i oceny reform i postępów poczynionych przez kraje kandydujące we wszystkich rozdziałach negocjacyjnych, przy strategicznie stosowanej ukierunkowanej warunkowości opartej na jasnych poziomach odniesienia dotyczących postępów, sankcjonowaniu regresji w odniesieniu do kwestii podstawowych lub utrzymującej się stagnacji w reformach oraz nagradzaniu reform i spełnieniu kryteriów dzięki jasnym harmonogramom negocjacji;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16.</w:t>
      </w:r>
      <w:r w:rsidRPr="00ED5E97">
        <w:rPr>
          <w:lang w:val="pl-PL"/>
        </w:rPr>
        <w:tab/>
        <w:t xml:space="preserve">apeluje do Komisji, by zwiększyła spójność, skuteczność, widoczność i przejrzystość pomocy przedakcesyjnej, wyraźnie odzwierciedlające priorytety w podstawowych dziedzinach podczas przyznawania środków z IPA III; wzywa w szczególności, by wprowadzić bardziej rygorystyczną i egzekwowalną rozliczalność w odniesieniu do wydatków oraz do poprawy ogólnego cyklu wydatkowania, wdrażania i kontroli finansowania przedakcesyjnego, z zastosowaniem rygorystycznej warunkowości, np. przy wdrażaniu planu gospodarczo-inwestycyjnego i nowego planu wzrostu gospodarczego dla Bałkanów Zachodnich; zwraca się do Komisji, by przeprowadziła śródokresowy przegląd rozporządzenia w sprawie IPA III oraz zaproponowała uwzględnienie Ukrainy, Republiki Mołdawii i </w:t>
      </w:r>
      <w:proofErr w:type="gramStart"/>
      <w:r w:rsidRPr="00ED5E97">
        <w:rPr>
          <w:lang w:val="pl-PL"/>
        </w:rPr>
        <w:t>Gruzji jako</w:t>
      </w:r>
      <w:proofErr w:type="gramEnd"/>
      <w:r w:rsidRPr="00ED5E97">
        <w:rPr>
          <w:lang w:val="pl-PL"/>
        </w:rPr>
        <w:t xml:space="preserve"> beneficjentów; zwraca się do Komisji, by szybko wdrożyła zalecenia zawarte w sprawozdaniu </w:t>
      </w:r>
      <w:proofErr w:type="gramStart"/>
      <w:r w:rsidRPr="00ED5E97">
        <w:rPr>
          <w:lang w:val="pl-PL"/>
        </w:rPr>
        <w:t>specjalnym</w:t>
      </w:r>
      <w:proofErr w:type="gramEnd"/>
      <w:r w:rsidRPr="00ED5E97">
        <w:rPr>
          <w:lang w:val="pl-PL"/>
        </w:rPr>
        <w:t xml:space="preserve"> Europejskiego Trybunału Obrachunkowego nr 01/2022;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17.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apeluje</w:t>
      </w:r>
      <w:proofErr w:type="gramEnd"/>
      <w:r w:rsidRPr="00ED5E97">
        <w:rPr>
          <w:lang w:val="pl-PL"/>
        </w:rPr>
        <w:t>, by w kontekście reformy traktatów zbadać możliwości dalszego wzmocnienia ochrony praworządności i wartości demokratycznych UE przed regresem zarówno w obecnych, jak i przyszłych państwach członkowskich oraz zapewnić, że rozszerzenie wzmocni UE i jej rynek wewnętrzny;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18.</w:t>
      </w:r>
      <w:r w:rsidRPr="00ED5E97">
        <w:rPr>
          <w:b/>
          <w:i/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>, że należy zapewnić, aby finansowanie UE przekazywane krajom objętym procesem rozszerzenia było zgodne ze strategicznymi celami i interesami UE; wzywa Komisję, by finansowo wspierała tylko te kraje przystępujące, które działają na rzecz stosunków dobrosąsiedzkich, inkluzywnej współpracy regionalnej i trwałego pojednania, w tym m.in. ścigania zbrodniarzy wojennych i zapewnienia dostępu do prawdy, sprawiedliwości i skutecznego zadośćuczynienia ofiarom zbrodni wojennych, zbrodni przeciwko ludzkości i ludobójstwa;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19.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wzywa</w:t>
      </w:r>
      <w:proofErr w:type="gramEnd"/>
      <w:r w:rsidRPr="00ED5E97">
        <w:rPr>
          <w:lang w:val="pl-PL"/>
        </w:rPr>
        <w:t xml:space="preserve"> kraje przystępujące do UE do zacieśnienia współpracy sądowej z UE w sprawach karnych w ramach ustaleń roboczych z Prokuraturą Europejską (EPPO), by ułatwić skuteczne dochodzenie i ściganie niewłaściwego wykorzystania funduszy UE, m.in. przez oddelegowanie krajowych oficerów łącznikowych do EPPO, oraz zwiększenie zdolności administracyjnych administracji lokalnych;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20.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ponownie</w:t>
      </w:r>
      <w:proofErr w:type="gramEnd"/>
      <w:r w:rsidRPr="00ED5E97">
        <w:rPr>
          <w:lang w:val="pl-PL"/>
        </w:rPr>
        <w:t xml:space="preserve"> podkreśla swoje stanowisko w sprawie potrzeby wzmocnionej, formalnej, zorganizowanej i systematycznej współpracy między UE a Radą Europy w zakresie wspierania krajów przystępujących w przeprowadzaniu reform, zapewniając ich </w:t>
      </w:r>
      <w:r w:rsidRPr="00ED5E97">
        <w:rPr>
          <w:lang w:val="pl-PL"/>
        </w:rPr>
        <w:lastRenderedPageBreak/>
        <w:t>zgodność ze wszystkimi zaleceniami Komisji Weneckiej na drodze do członkostwa w UE;</w:t>
      </w:r>
    </w:p>
    <w:p w:rsidR="000D212F" w:rsidRPr="00ED5E97" w:rsidRDefault="000D212F" w:rsidP="000D212F">
      <w:pPr>
        <w:pStyle w:val="Normal12Hanging"/>
        <w:rPr>
          <w:b/>
          <w:bCs/>
          <w:i/>
          <w:iCs/>
          <w:lang w:val="pl-PL"/>
        </w:rPr>
      </w:pPr>
      <w:r w:rsidRPr="00ED5E97">
        <w:rPr>
          <w:lang w:val="pl-PL"/>
        </w:rPr>
        <w:t>21.</w:t>
      </w:r>
      <w:r w:rsidRPr="00ED5E97">
        <w:rPr>
          <w:lang w:val="pl-PL"/>
        </w:rPr>
        <w:tab/>
        <w:t xml:space="preserve">uważa, że wyzwanie, jakim jest rozszerzona UE, wymaga wzmocnienia polityki rozszerzenia, która określi wyraźną, stopniową ścieżkę do członkostwa w UE, w tym stopniowego włączenia do wspólnych strategii politycznych, takich jak rynek wewnętrzny, dla tych krajów, które zakończą negocjacje dotyczące danego rozdziału polityki lub które poczynią znaczne postępy w reformach związanych z UE; zauważa, że takie postępy powinny umożliwić dostęp do funduszy UE w odpowiednich obszarach, </w:t>
      </w:r>
      <w:proofErr w:type="gramStart"/>
      <w:r w:rsidRPr="00ED5E97">
        <w:rPr>
          <w:lang w:val="pl-PL"/>
        </w:rPr>
        <w:t>tak aby</w:t>
      </w:r>
      <w:proofErr w:type="gramEnd"/>
      <w:r w:rsidRPr="00ED5E97">
        <w:rPr>
          <w:lang w:val="pl-PL"/>
        </w:rPr>
        <w:t xml:space="preserve"> zapewnić obywatelom wyraźne korzyści w całym procesie; zauważa, że ścieżce tej powinno towarzyszyć zwiększenie pomocy technicznej i warunkowej pomocy finansowej ze szczególnym uwzględnieniem wdrażania i egzekwowania przepisów zawartych w klastrach negocjacyjnych dotyczących kwestii </w:t>
      </w:r>
      <w:proofErr w:type="gramStart"/>
      <w:r w:rsidRPr="00ED5E97">
        <w:rPr>
          <w:lang w:val="pl-PL"/>
        </w:rPr>
        <w:t>podstawowych</w:t>
      </w:r>
      <w:proofErr w:type="gramEnd"/>
      <w:r w:rsidRPr="00ED5E97">
        <w:rPr>
          <w:lang w:val="pl-PL"/>
        </w:rPr>
        <w:t xml:space="preserve"> i stosunków zewnętrznych, zwłaszcza rozdziały 23, 24, 30 i 31; zwraca się do Komisji, aby przedstawiła szczegółowe propozycje dotyczące stopniowej metodyki akcesyjnej, w tym jasne klauzule „zaliczenia” i odwracalności; podkreśla, że stopniowe wprowadzanie krajów kandydujących do wybranych obszarów polityki przy ograniczonych prawach i obowiązkach w żadnym wypadku nie zastępuje pełnoprawnego członkostwa ani nie stanowi dla niego alternatywy;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22.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uznaje</w:t>
      </w:r>
      <w:proofErr w:type="gramEnd"/>
      <w:r w:rsidRPr="00ED5E97">
        <w:rPr>
          <w:lang w:val="pl-PL"/>
        </w:rPr>
        <w:t xml:space="preserve"> znaczenie takich inicjatyw jak Europejska Wspólnota Polityczna, które umożliwiają współpracę polityczną i przyczyniają się do dialogów regionalnych oraz które mogłyby ułatwić stopniową integrację krajów kandydujących z Unią i jej polityką, ale nie stanowią alternatywy dla członkostwa w UE;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23.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>, że przydatne mogłoby być utworzenie odrębnego stanowiska komisarza ds. rozszerzenia;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24.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sugeruje</w:t>
      </w:r>
      <w:proofErr w:type="gramEnd"/>
      <w:r w:rsidRPr="00ED5E97">
        <w:rPr>
          <w:lang w:val="pl-PL"/>
        </w:rPr>
        <w:t>, aby rozważyć przyznanie krajom kandydującym statusu obserwatora w odpowiednich organach i instytucjach, m.in. w Parlamencie, początkowo na podstawie tymczasowych ustaleń, jeżeli negocjacje są wystarczająco zaawansowane, w szczególności w odniesieniu do klastrów dotyczących kwestii podstawowych i stosunków zewnętrznych, a wszystkie warunki są spełnione i uzgodnione do czasu podpisania traktatów akcesyjnych; w związku z tym z zadowoleniem przyjmuje decyzję Europejskiego Komitetu Ekonomiczno-Społecznego o przyjęciu od 2024 r. obserwatorów z krajów kandydujących;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25.</w:t>
      </w:r>
      <w:r w:rsidRPr="00ED5E97">
        <w:rPr>
          <w:lang w:val="pl-PL"/>
        </w:rPr>
        <w:tab/>
        <w:t xml:space="preserve">uważa, że konieczne jest silniejsze, skuteczniejsze i bardziej znaczące podejmowanie przez Parlament Europejski decyzji i nadzór nad polityką rozszerzenia UE i jej finansowaniem, aby zwiększyć legitymację demokratyczną i rozliczalność; nalega, by wzmocnić rolę Parlamentu w całym procesie akcesyjnym, a także na etapach pośrednich, i zapewnić pełną kontrolę postępów krajów kandydujących we wszystkich obszarach polityki; zobowiązuje się do wzmocnienia regularnego i przejrzystego dialogu i współpracy z parlamentami narodowymi krajów </w:t>
      </w:r>
      <w:proofErr w:type="gramStart"/>
      <w:r w:rsidRPr="00ED5E97">
        <w:rPr>
          <w:lang w:val="pl-PL"/>
        </w:rPr>
        <w:t>kandydujących jako</w:t>
      </w:r>
      <w:proofErr w:type="gramEnd"/>
      <w:r w:rsidRPr="00ED5E97">
        <w:rPr>
          <w:lang w:val="pl-PL"/>
        </w:rPr>
        <w:t xml:space="preserve"> modelu kontroli parlamentarnej nad integracją z UE;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26.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>, że należy wzmocnić wsparcie demokracji za pośrednictwem istniejących kanałów i instrumentów, takich jak dialog im. Jeana Monneta, dialog międzypartyjny i proces dialogu parlamentarnego;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27.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wzywa</w:t>
      </w:r>
      <w:proofErr w:type="gramEnd"/>
      <w:r w:rsidRPr="00ED5E97">
        <w:rPr>
          <w:lang w:val="pl-PL"/>
        </w:rPr>
        <w:t xml:space="preserve"> instytucje UE i państwa członkowskie do pełnego zaangażowania w dalsze </w:t>
      </w:r>
      <w:r w:rsidRPr="00ED5E97">
        <w:rPr>
          <w:lang w:val="pl-PL"/>
        </w:rPr>
        <w:lastRenderedPageBreak/>
        <w:t>wzmacnianie procesów reform w krajach kandydujących, w szczególności w zakresie zdolności administracyjnych;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28.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>, że należy zwiększyć przejrzystość, wzmocnić uczestnictwo obywateli i ścisłe zaangażowanie społeczeństwa obywatelskiego w proces rozszerzenia i kontrolę nad nim oraz zapewnić jego trwałe finansowanie;</w:t>
      </w:r>
    </w:p>
    <w:p w:rsidR="000D212F" w:rsidRPr="00ED5E97" w:rsidRDefault="000D212F" w:rsidP="000D212F">
      <w:pPr>
        <w:pStyle w:val="NormalHanging12a"/>
      </w:pPr>
      <w:r w:rsidRPr="00ED5E97">
        <w:t>29.</w:t>
      </w:r>
      <w:r w:rsidRPr="00ED5E97">
        <w:tab/>
      </w:r>
      <w:proofErr w:type="gramStart"/>
      <w:r w:rsidRPr="00ED5E97">
        <w:t>podkreśla</w:t>
      </w:r>
      <w:proofErr w:type="gramEnd"/>
      <w:r w:rsidRPr="00ED5E97">
        <w:t>, że proces rozszerzenia nie może w sposób niezamierzony utrwalać ani pogłębiać różnic w traktowaniu ze względu na orientację seksualną i tożsamość płciową; wzywa Komisję i kraje kandydujące, aby uwzględniły w procesie rozszerzenia środki aktywnie promujące i gwarantujące prawa osób LGBTIQ, takie jak opracowywanie polityk eliminujących dyskryminację ze względu na orientację seksualną i tożsamość płciową, zwiększanie udziału osób LGBTIQ w procesach decyzyjnych oraz wspieranie integracji w sferze politycznej, gospodarczej i społecznej przez działania edukacyjne i uświadamiające; wzywa Komisję i kraje kandydujące, aby należycie monitorowały i oceniały status praw osób LGBTIQ w krajach kandydujących;</w:t>
      </w:r>
    </w:p>
    <w:p w:rsidR="000D212F" w:rsidRPr="00ED5E97" w:rsidRDefault="000D212F" w:rsidP="000D212F">
      <w:pPr>
        <w:pStyle w:val="NormalHanging12a"/>
      </w:pPr>
      <w:r w:rsidRPr="00ED5E97">
        <w:t>30.</w:t>
      </w:r>
      <w:r w:rsidRPr="00ED5E97">
        <w:tab/>
      </w:r>
      <w:proofErr w:type="gramStart"/>
      <w:r w:rsidRPr="00ED5E97">
        <w:t>uważa</w:t>
      </w:r>
      <w:proofErr w:type="gramEnd"/>
      <w:r w:rsidRPr="00ED5E97">
        <w:t>, że proces akcesyjny musi gwarantować wzmożenie przez kraje kandydujące wysiłków związanych z równouprawnieniem osób z niepełnosprawnościami; podkreśla, że należy zwiększyć nacisk na kraje kandydujące, aby wdrożyły reformy mające na celu poprawę sytuacji osób z niepełnosprawnościami i zintensyfikowały wysiłki w zakresie deinstytucjonalizacji, w tym przejścia od opieki instytucjonalnej do opieki rodzinnej i środowiskowej;</w:t>
      </w:r>
    </w:p>
    <w:p w:rsidR="000D212F" w:rsidRPr="00ED5E97" w:rsidRDefault="000D212F" w:rsidP="000D212F">
      <w:pPr>
        <w:pStyle w:val="Normal12Hanging"/>
        <w:rPr>
          <w:rFonts w:eastAsia="Calibri"/>
          <w:b/>
          <w:i/>
          <w:szCs w:val="24"/>
          <w:lang w:val="pl-PL"/>
        </w:rPr>
      </w:pPr>
      <w:r w:rsidRPr="00ED5E97">
        <w:rPr>
          <w:b/>
          <w:i/>
          <w:lang w:val="pl-PL"/>
        </w:rPr>
        <w:t>Europejskie reformy instytucjonalne i finansowe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31.</w:t>
      </w:r>
      <w:r w:rsidRPr="00ED5E97">
        <w:rPr>
          <w:lang w:val="pl-PL"/>
        </w:rPr>
        <w:tab/>
        <w:t xml:space="preserve">uważa, że procesy przygotowania do rozszerzenia powinny przebiegać równolegle w UE i krajach przystępujących; podkreśla, że aby stawić czoła obecnym wyzwaniom i zapewnić zdolności UE do przyjmowania nowych członków i wspierania ich udanej integracji, niezbędne są europejskie reformy instytucjonalne i finansowe; wzywa instytucje UE i państwa członkowskie do przeprowadzenia niezbędnych reform w celu dopilnowania, by ich brak nie opóźniał przystąpienia nowych państw członkowskich; zauważa, że reformy te są potrzebne do wzmocnienia UE i jej instytucji, </w:t>
      </w:r>
      <w:proofErr w:type="gramStart"/>
      <w:r w:rsidRPr="00ED5E97">
        <w:rPr>
          <w:lang w:val="pl-PL"/>
        </w:rPr>
        <w:t>tak aby</w:t>
      </w:r>
      <w:proofErr w:type="gramEnd"/>
      <w:r w:rsidRPr="00ED5E97">
        <w:rPr>
          <w:lang w:val="pl-PL"/>
        </w:rPr>
        <w:t xml:space="preserve"> propagować legitymację demokratyczną, dobre rządy, funkcjonalność, rozliczalność, przejrzystość i zrównoważony rozwój; podkreśla w szczególności, że ważne jest wzmocnienie demokratycznej legitymacji polityk UE przez zwiększenie uprawnień Parlamentu Europejskiego do podejmowania decyzji i kontroli; </w:t>
      </w:r>
      <w:proofErr w:type="gramStart"/>
      <w:r w:rsidRPr="00ED5E97">
        <w:rPr>
          <w:lang w:val="pl-PL"/>
        </w:rPr>
        <w:t>ponawia zatem</w:t>
      </w:r>
      <w:proofErr w:type="gramEnd"/>
      <w:r w:rsidRPr="00ED5E97">
        <w:rPr>
          <w:lang w:val="pl-PL"/>
        </w:rPr>
        <w:t xml:space="preserve"> apele o przyznanie Parlamentowi ogólnego i bezpośredniego prawa inicjatywy ustawodawczej;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32.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jest</w:t>
      </w:r>
      <w:proofErr w:type="gramEnd"/>
      <w:r w:rsidRPr="00ED5E97">
        <w:rPr>
          <w:lang w:val="pl-PL"/>
        </w:rPr>
        <w:t xml:space="preserve"> głęboko przekonany, że europejskie reformy instytucjonalne powinny zwiększyć zdolność UE do działania oraz obejmować uproszczone i skuteczniejsze procedury decyzyjne, odchodząc od jednomyślności;</w:t>
      </w:r>
      <w:r w:rsidRPr="00ED5E97">
        <w:rPr>
          <w:b/>
          <w:i/>
          <w:lang w:val="pl-PL"/>
        </w:rPr>
        <w:t xml:space="preserve"> </w:t>
      </w:r>
      <w:r w:rsidRPr="00ED5E97">
        <w:rPr>
          <w:lang w:val="pl-PL"/>
        </w:rPr>
        <w:t>przypomina, że głosowanie większością kwalifikowaną należy wdrożyć w takich dziedzinach jak ochrona demokracji, praw człowieka i praworządności, WRF, sankcje i inne istotne decyzje dotyczące polityki zagranicznej, np. rozpoczęcie negocjacji akcesyjnych do UE, otwarcie i zamknięcie poszczególnych klastrów negocjacyjnych oraz sankcjonowanie regresu, ale z wyjątkiem decyzji zezwalających na misje lub operacje wojskowe objęte mandatem wykonawczym;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33.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wzywa</w:t>
      </w:r>
      <w:proofErr w:type="gramEnd"/>
      <w:r w:rsidRPr="00ED5E97">
        <w:rPr>
          <w:lang w:val="pl-PL"/>
        </w:rPr>
        <w:t xml:space="preserve">, aby przed kolejną rundą rozszerzenia wzmocnić mechanizm ochrony praworządności oraz podstawowe zasady i wartości UE, a także zdolność </w:t>
      </w:r>
      <w:r w:rsidRPr="00ED5E97">
        <w:rPr>
          <w:lang w:val="pl-PL"/>
        </w:rPr>
        <w:lastRenderedPageBreak/>
        <w:t>monitorowania w celu zapewnienia zgodności z kryteriami kopenhaskimi; proponuje, aby zreformować procedurę przewidzianą w art. 7 TUE przez zniesienie jednomyślności w decyzjach Rady, wprowadzenie jasnych ram czasowych i uczynienie Trybunału Sprawiedliwości arbitrem w przypadku naruszeń; zwraca uwagę, że wprowadzenie głosowania większością kwalifikowaną w tym zakresie ułatwiłoby proces rozszerzenia; podkreśla potrzebę dalszej reformy mechanizmu warunkowości w zakresie praworządności, aby uwzględnić i zagwarantować wszystkie podstawowe wartości Unii określone w art. 2 TUE;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34.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uważa</w:t>
      </w:r>
      <w:proofErr w:type="gramEnd"/>
      <w:r w:rsidRPr="00ED5E97">
        <w:rPr>
          <w:lang w:val="pl-PL"/>
        </w:rPr>
        <w:t xml:space="preserve">, że w kontekście pełnego członkostwa zróżnicowana integracja jest częścią rozwiązania dla skutecznego i pogłębionego rozszerzenia UE; podkreśla jednak, że poszanowanie wartości Unii określonych w art. 2 TUE nie podlega negocjacjom, nie powinno podlegać żadnym odstępstwom ani klauzulom opt-out oraz że członkostwo w Unii musi wymagać zdecydowanego zaangażowania na rzecz przestrzegania całości prawa UE; uważa również, że zawsze należy zapewnić szeroką wspólną europejską płaszczyznę obejmującą takie obszary jak unia celna, jednolity rynek i jego cztery swobody, podstawowy dorobek socjalny oraz polityka rolna, polityka konkurencji i polityka handlowa; zauważa, że poza tą wspólną płaszczyzną państwa członkowskie, które chcą poczynić postępy w integracji </w:t>
      </w:r>
      <w:proofErr w:type="gramStart"/>
      <w:r w:rsidRPr="00ED5E97">
        <w:rPr>
          <w:lang w:val="pl-PL"/>
        </w:rPr>
        <w:t>europejskiej</w:t>
      </w:r>
      <w:proofErr w:type="gramEnd"/>
      <w:r w:rsidRPr="00ED5E97">
        <w:rPr>
          <w:lang w:val="pl-PL"/>
        </w:rPr>
        <w:t xml:space="preserve"> w szerszym zakresie obszarów polityki, powinny mieć taką możliwość; podkreśla, że w ramach takiego systemu zróżnicowanej integracji wszystkie państwa członkowskie uczestniczyłyby w podejmowaniu decyzji dotyczących wspólnej płaszczyzny, a w podejmowaniu decyzji dotyczących obszarów pogłębionej integracji uczestniczyłyby jedynie zainteresowane państwa członkowskie; zauważa, że zróżnicowana integracja wymaga również zróżnicowanych rozwiązań finansowych; 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35.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wzywa</w:t>
      </w:r>
      <w:proofErr w:type="gramEnd"/>
      <w:r w:rsidRPr="00ED5E97">
        <w:rPr>
          <w:lang w:val="pl-PL"/>
        </w:rPr>
        <w:t xml:space="preserve">, aby w pełni wykorzystać elastyczność przewidzianą w traktacie lizbońskim przed bardziej dogłębną reformą w kontekście ewentualnego przeglądu traktatów; przypomina, że liczne instrumenty elastyczności, takie jak klauzule pomostowe, wzmocniona współpraca, konstruktywne wstrzymywanie się od głosu, stała współpraca strukturalna (PESCO) i mechanizmy opt-out, są już możliwe w obecnych ramach prawnych UE, jak wyraźnie wynika z doświadczeń strefy Schengen – jednego z największych osiągnięć Unii – i strefy euro; przypomina, że rozwiązania stopniowego wprowadzania, tymczasowe odstępstwa i okresy przejściowe można negocjować w kontekście procedur akcesyjnych; zwraca uwagę, że stosowanie tych mechanizmów elastyczności nie powinno uniemożliwiać konstruktywnych dyskusji o przeglądzie traktatów, zgodnie z rezolucją Parlamentu </w:t>
      </w:r>
      <w:proofErr w:type="gramStart"/>
      <w:r w:rsidRPr="00ED5E97">
        <w:rPr>
          <w:lang w:val="pl-PL"/>
        </w:rPr>
        <w:t>z</w:t>
      </w:r>
      <w:proofErr w:type="gramEnd"/>
      <w:r w:rsidRPr="00ED5E97">
        <w:rPr>
          <w:lang w:val="pl-PL"/>
        </w:rPr>
        <w:t xml:space="preserve"> 22 listopada 2023 r.;</w:t>
      </w:r>
    </w:p>
    <w:p w:rsidR="000D212F" w:rsidRPr="00ED5E97" w:rsidRDefault="000D212F" w:rsidP="000D212F">
      <w:pPr>
        <w:pStyle w:val="Normal12Hanging"/>
        <w:rPr>
          <w:b/>
          <w:bCs/>
          <w:i/>
          <w:iCs/>
          <w:lang w:val="pl-PL"/>
        </w:rPr>
      </w:pPr>
      <w:r w:rsidRPr="00ED5E97">
        <w:rPr>
          <w:lang w:val="pl-PL"/>
        </w:rPr>
        <w:t>36.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zauważa</w:t>
      </w:r>
      <w:proofErr w:type="gramEnd"/>
      <w:r w:rsidRPr="00ED5E97">
        <w:rPr>
          <w:lang w:val="pl-PL"/>
        </w:rPr>
        <w:t>, że instytucjonalne reformy poprzedzające rozszerzenie muszą również uwzględniać wpływ rozszerzenia na skład Parlamentu; przypomina, że Parlament Europejski jest jedyną instytucją reprezentującą obywateli UE, której członkowie wybierani są w wyborach bezpośrednich; podkreśla, że Parlament powinien zachować rozsądną wielkość, a jednocześnie zapewnić odpowiednią demokratyczną reprezentatywność; zwraca jednak uwagę, że nie można wykluczyć rozsądnego zwiększenia liczby posłów do Parlamentu, aby zapewnić wystarczającą demokratyczną reprezentatywność w rozszerzonej UE;</w:t>
      </w:r>
      <w:r w:rsidRPr="00ED5E97">
        <w:rPr>
          <w:b/>
          <w:i/>
          <w:lang w:val="pl-PL"/>
        </w:rPr>
        <w:t xml:space="preserve"> </w:t>
      </w:r>
      <w:r w:rsidRPr="00ED5E97">
        <w:rPr>
          <w:lang w:val="pl-PL"/>
        </w:rPr>
        <w:t xml:space="preserve">nalega na nowy system przydziału miejsc w oparciu o stałą formułę matematyczną, który będzie obiektywny, sprawiedliwy, przejrzysty i trwały; przypomina swoje stanowisko, że przy podejmowaniu decyzji w sprawie przydziału miejsc w Parlamencie Europejskim należy wziąć </w:t>
      </w:r>
      <w:proofErr w:type="gramStart"/>
      <w:r w:rsidRPr="00ED5E97">
        <w:rPr>
          <w:lang w:val="pl-PL"/>
        </w:rPr>
        <w:t>pod</w:t>
      </w:r>
      <w:proofErr w:type="gramEnd"/>
      <w:r w:rsidRPr="00ED5E97">
        <w:rPr>
          <w:lang w:val="pl-PL"/>
        </w:rPr>
        <w:t xml:space="preserve"> uwagę system głosowania w Radzie;</w:t>
      </w:r>
    </w:p>
    <w:p w:rsidR="000D212F" w:rsidRPr="00ED5E97" w:rsidRDefault="000D212F" w:rsidP="000D212F">
      <w:pPr>
        <w:pStyle w:val="Normal12Hanging"/>
        <w:rPr>
          <w:b/>
          <w:bCs/>
          <w:i/>
          <w:iCs/>
          <w:lang w:val="pl-PL"/>
        </w:rPr>
      </w:pPr>
      <w:r w:rsidRPr="00ED5E97">
        <w:rPr>
          <w:lang w:val="pl-PL"/>
        </w:rPr>
        <w:lastRenderedPageBreak/>
        <w:t>37.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>, że w związku z rozszerzeniem potrzebny jest szybki przegląd funkcjonowania i procesu decyzyjnego Rady; proponuje, aby zweryfikować system rotacyjnych prezydencji Rady; zauważa, że należy również ponownie rozważyć obliczenie progów większości kwalifikowanej, aby poprawić równowagę między większymi i mniejszymi państwami, oraz ustalić wyższe progi dla najważniejszych decyzji; w związku z rozszerzeniem apeluje o jak największą przejrzystość i uczciwość procesu decyzyjnego w Radzie;</w:t>
      </w:r>
    </w:p>
    <w:p w:rsidR="000D212F" w:rsidRPr="00ED5E97" w:rsidRDefault="000D212F" w:rsidP="000D212F">
      <w:pPr>
        <w:pStyle w:val="Normal12Hanging"/>
        <w:rPr>
          <w:sz w:val="22"/>
          <w:lang w:val="pl-PL"/>
        </w:rPr>
      </w:pPr>
      <w:r w:rsidRPr="00ED5E97">
        <w:rPr>
          <w:lang w:val="pl-PL"/>
        </w:rPr>
        <w:t>38.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zauważa</w:t>
      </w:r>
      <w:proofErr w:type="gramEnd"/>
      <w:r w:rsidRPr="00ED5E97">
        <w:rPr>
          <w:lang w:val="pl-PL"/>
        </w:rPr>
        <w:t>, że skład Komisji musi uwzględniać rozszerzenie, i przypomina w związku z tym o elastyczności przewidzianej w traktacie lizbońskim; podkreśla, że każda ponowna ocena praktyki mianowania jednego komisarza z każdego państwa członkowskiego musi uwzględniać zrównoważony pod względem geograficznym skład Komisji;</w:t>
      </w:r>
    </w:p>
    <w:p w:rsidR="000D212F" w:rsidRPr="00ED5E97" w:rsidRDefault="000D212F" w:rsidP="000D212F">
      <w:pPr>
        <w:pStyle w:val="NormalHanging12a"/>
      </w:pPr>
      <w:r w:rsidRPr="00ED5E97">
        <w:t>39.</w:t>
      </w:r>
      <w:r w:rsidRPr="00ED5E97">
        <w:tab/>
      </w:r>
      <w:proofErr w:type="gramStart"/>
      <w:r w:rsidRPr="00ED5E97">
        <w:t>ponawia</w:t>
      </w:r>
      <w:proofErr w:type="gramEnd"/>
      <w:r w:rsidRPr="00ED5E97">
        <w:t xml:space="preserve"> apel o wzmocnienie instrumentów zaangażowania obywateli w proces decyzyjny UE;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40.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podkreśla</w:t>
      </w:r>
      <w:proofErr w:type="gramEnd"/>
      <w:r w:rsidRPr="00ED5E97">
        <w:rPr>
          <w:lang w:val="pl-PL"/>
        </w:rPr>
        <w:t xml:space="preserve">, że rozszerzenie stanowi zarówno poważne wyzwanie finansowe dla UE, w szczególności w odniesieniu do polityki spójności i polityki rolnej, jak i okazję do zreformowania UE; zwraca uwagę, że to wyzwanie wymaga odpowiednio skonstruowanych, finansowanych i priorytetowo traktowanych WRF oraz skuteczniejszego budżetu UE, co umożliwi Unii podejmowanie nowych zobowiązań, a zarazem dalszą realizację uzgodnionych programów i priorytetów politycznych; ponadto podkreśla, że aby sprostać wyzwaniu rozszerzenia, potrzebne są wystarczające dodatkowe i rzeczywiste zasoby własne; odnotowuje, że rozszerzenie zwiększa dodatkowo rosnące zapotrzebowanie na finansowanie UE w dziedzinie stabilności finansowej, autonomii strategicznej, zdrowia, energii, dekarbonizacji, przejścia na czystą energię, ochrony środowiska, transformacji cyfrowej, </w:t>
      </w:r>
      <w:proofErr w:type="gramStart"/>
      <w:r w:rsidRPr="00ED5E97">
        <w:rPr>
          <w:lang w:val="pl-PL"/>
        </w:rPr>
        <w:t>badań</w:t>
      </w:r>
      <w:proofErr w:type="gramEnd"/>
      <w:r w:rsidRPr="00ED5E97">
        <w:rPr>
          <w:lang w:val="pl-PL"/>
        </w:rPr>
        <w:t xml:space="preserve"> oraz obrony i bezpieczeństwa; podkreśla, że takie reformy finansowe trzeba rozważyć równolegle z bieżącymi negocjacjami akcesyjnymi i przyjąć przed rozszerzeniem; broni swojego stanowiska, że obecną i przyszłą strukturę WRF należy zrestrukturyzować i znacznie wzmocnić w celu zwiększenia odporności; podkreśla, że należy uwzględnić przystąpienie nowych członków podczas przygotowywania WRF na lata 2028–2034; </w:t>
      </w:r>
    </w:p>
    <w:p w:rsidR="000D212F" w:rsidRPr="00ED5E97" w:rsidRDefault="000D212F" w:rsidP="000D212F">
      <w:pPr>
        <w:pStyle w:val="NormalHanging12a"/>
      </w:pPr>
      <w:r w:rsidRPr="00ED5E97">
        <w:t>41.</w:t>
      </w:r>
      <w:r w:rsidRPr="00ED5E97">
        <w:tab/>
        <w:t xml:space="preserve">wzywa Komisję i kraje kandydujące, aby zagwarantowały szczególną rolę </w:t>
      </w:r>
      <w:proofErr w:type="gramStart"/>
      <w:r w:rsidRPr="00ED5E97">
        <w:t>MŚP jako</w:t>
      </w:r>
      <w:proofErr w:type="gramEnd"/>
      <w:r w:rsidRPr="00ED5E97">
        <w:t xml:space="preserve"> głównego filaru wzmocnienia polityki przemysłowej i zwiększenia zdolności krajów do osiągnięcia sprawiedliwej transformacji i dostosowania się do wyzwań technologicznych na drodze do transformacji cyfrowej sprzyjającej włączeniu społecznemu;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42.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ponownie</w:t>
      </w:r>
      <w:proofErr w:type="gramEnd"/>
      <w:r w:rsidRPr="00ED5E97">
        <w:rPr>
          <w:lang w:val="pl-PL"/>
        </w:rPr>
        <w:t xml:space="preserve"> wzywa Radę, Komisję i ESDZ, by poprawiły komunikację strategiczną i widoczność zarówno wzajemnych korzyści społeczno-gospodarczych, jak i wyzwań związanych z rozszerzeniem w krajach przystępujących oraz w państwach członkowskich przez skuteczną strategię kampanii informacyjnej w całym procesie rozszerzenia, pokazującą wymierne wyniki trwającego procesu akcesyjnego i każdej rundy negocjacji;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43.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ponawia</w:t>
      </w:r>
      <w:proofErr w:type="gramEnd"/>
      <w:r w:rsidRPr="00ED5E97">
        <w:rPr>
          <w:lang w:val="pl-PL"/>
        </w:rPr>
        <w:t xml:space="preserve"> apel, by wdrożyć zalecenia Komisji Specjalnej ds. Obcych Ingerencji we Wszystkie Procesy Demokratyczne w Unii Europejskiej, w tym Dezinformacji (INGE), w szczególności zintensyfikować wysiłki na rzecz przeciwdziałania dezinformacji oraz zapobiegania wrogim obcym ingerencjom i próbom osłabienia demokracji i integracji z UE przez sabotowanie stabilności politycznej, gospodarczej i społecznej w krajach </w:t>
      </w:r>
      <w:r w:rsidRPr="00ED5E97">
        <w:rPr>
          <w:lang w:val="pl-PL"/>
        </w:rPr>
        <w:lastRenderedPageBreak/>
        <w:t>kandydujących;</w:t>
      </w:r>
    </w:p>
    <w:p w:rsidR="000D212F" w:rsidRPr="00ED5E97" w:rsidRDefault="000D212F" w:rsidP="000D212F">
      <w:pPr>
        <w:pStyle w:val="Normal12Hanging"/>
        <w:rPr>
          <w:bCs/>
          <w:iCs/>
          <w:lang w:val="pl-PL"/>
        </w:rPr>
      </w:pPr>
      <w:r w:rsidRPr="00ED5E97">
        <w:rPr>
          <w:lang w:val="pl-PL"/>
        </w:rPr>
        <w:t>44.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zwraca</w:t>
      </w:r>
      <w:proofErr w:type="gramEnd"/>
      <w:r w:rsidRPr="00ED5E97">
        <w:rPr>
          <w:lang w:val="pl-PL"/>
        </w:rPr>
        <w:t xml:space="preserve"> uwagę, że odbudowa i powojenne ożywienie gospodarcze Ukrainy to wielowymiarowe wyzwanie, któremu należy stawić czoła w szerszym kontekście wysiłków międzynarodowych; podkreśla, że finansowanie Ukrainy musi pochodzić z wielu źródeł międzynarodowych, m.in. z zamrożonych rosyjskich aktywów; podkreśla, że inwestycje te będą wiązały się z powiązanym ryzykiem finansowym, i nalega, aby ściśle monitorować ten proces i osadzić go w dobrze zaprojektowanych, dostosowanych do potrzeb ramach prawnych, tj. odpornych na korupcję i nadużycia finansowe; w związku z tym wzywa, by szybko przyjąć rozporządzenie w sprawie ustanowienia Instrumentu na rzecz Ukrainy;</w:t>
      </w:r>
    </w:p>
    <w:p w:rsidR="000D212F" w:rsidRPr="00ED5E97" w:rsidRDefault="000D212F" w:rsidP="000D212F">
      <w:pPr>
        <w:pStyle w:val="Normal12Hanging"/>
        <w:rPr>
          <w:szCs w:val="24"/>
          <w:lang w:val="pl-PL"/>
        </w:rPr>
      </w:pPr>
      <w:r w:rsidRPr="00ED5E97">
        <w:rPr>
          <w:lang w:val="pl-PL"/>
        </w:rPr>
        <w:t>45.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</w:t>
      </w:r>
      <w:proofErr w:type="gramEnd"/>
      <w:r w:rsidRPr="00ED5E97">
        <w:rPr>
          <w:lang w:val="pl-PL"/>
        </w:rPr>
        <w:t xml:space="preserve"> zadowoleniem przyjmuje prace Komisji nad polityką przedakcesyjną i przegląd finansowania oraz wzywa, by przeprowadzić szczegółową ocenę skutków rozszerzenia;</w:t>
      </w:r>
      <w:r w:rsidRPr="00ED5E97">
        <w:rPr>
          <w:b/>
          <w:i/>
          <w:lang w:val="pl-PL"/>
        </w:rPr>
        <w:t xml:space="preserve"> </w:t>
      </w:r>
      <w:r w:rsidRPr="00ED5E97">
        <w:rPr>
          <w:lang w:val="pl-PL"/>
        </w:rPr>
        <w:t>popiera utworzenie skutecznego, wspieranego przez UE mechanizmu rozwiązywania konfliktów i mediacji poza ramami rozszerzenia, mającego na celu wspieranie pojednania i rozwiązywania problemów dwustronnych w krajach przystępujących, co przyczyni się do wypracowania i wdrożenia ostatecznych wiążących rozstrzygnięć w sporach regionalnych i dwustronnych oraz dotyczących dziedzictwa przeszłości;</w:t>
      </w:r>
    </w:p>
    <w:p w:rsidR="000D212F" w:rsidRPr="00ED5E97" w:rsidRDefault="000D212F" w:rsidP="000D212F">
      <w:pPr>
        <w:pStyle w:val="Normal12Hanging"/>
        <w:rPr>
          <w:lang w:val="pl-PL"/>
        </w:rPr>
      </w:pPr>
      <w:r w:rsidRPr="00ED5E97">
        <w:rPr>
          <w:lang w:val="pl-PL"/>
        </w:rPr>
        <w:t>46.</w:t>
      </w:r>
      <w:r w:rsidRPr="00ED5E97">
        <w:rPr>
          <w:lang w:val="pl-PL"/>
        </w:rPr>
        <w:tab/>
        <w:t xml:space="preserve">wzywa, by potraktować wybory europejskie w 2024 </w:t>
      </w:r>
      <w:proofErr w:type="gramStart"/>
      <w:r w:rsidRPr="00ED5E97">
        <w:rPr>
          <w:lang w:val="pl-PL"/>
        </w:rPr>
        <w:t>r. jako</w:t>
      </w:r>
      <w:proofErr w:type="gramEnd"/>
      <w:r w:rsidRPr="00ED5E97">
        <w:rPr>
          <w:lang w:val="pl-PL"/>
        </w:rPr>
        <w:t xml:space="preserve"> okazję do debaty i przedstawienia potrzeby procesu pogłębienia i rozszerzenia Unii Europejskiej oraz niezbędnych reform politycznych, instytucjonalnych i finansowych w Europie, a także wynikających z nich korzyści;</w:t>
      </w:r>
    </w:p>
    <w:p w:rsidR="000D212F" w:rsidRPr="00ED5E97" w:rsidRDefault="000D212F" w:rsidP="000D212F">
      <w:pPr>
        <w:pStyle w:val="Normal12Hanging"/>
        <w:jc w:val="center"/>
        <w:rPr>
          <w:rFonts w:eastAsiaTheme="minorHAnsi"/>
          <w:lang w:val="pl-PL"/>
        </w:rPr>
      </w:pPr>
      <w:r w:rsidRPr="00ED5E97">
        <w:rPr>
          <w:lang w:val="pl-PL"/>
        </w:rPr>
        <w:t>°</w:t>
      </w:r>
    </w:p>
    <w:p w:rsidR="000D212F" w:rsidRPr="00ED5E97" w:rsidRDefault="000D212F" w:rsidP="000D212F">
      <w:pPr>
        <w:pStyle w:val="Normal12Hanging"/>
        <w:jc w:val="center"/>
        <w:rPr>
          <w:rFonts w:eastAsiaTheme="minorHAnsi"/>
          <w:lang w:val="pl-PL"/>
        </w:rPr>
      </w:pPr>
      <w:r w:rsidRPr="00ED5E97">
        <w:rPr>
          <w:lang w:val="pl-PL"/>
        </w:rPr>
        <w:t>°</w:t>
      </w:r>
      <w:r w:rsidRPr="00ED5E97">
        <w:rPr>
          <w:lang w:val="pl-PL"/>
        </w:rPr>
        <w:tab/>
        <w:t>°</w:t>
      </w:r>
    </w:p>
    <w:p w:rsidR="000D212F" w:rsidRPr="00ED5E97" w:rsidRDefault="000D212F" w:rsidP="000D212F">
      <w:pPr>
        <w:pStyle w:val="Normal12Hanging"/>
        <w:rPr>
          <w:rFonts w:eastAsiaTheme="minorHAnsi"/>
          <w:lang w:val="pl-PL"/>
        </w:rPr>
      </w:pPr>
      <w:r w:rsidRPr="00ED5E97">
        <w:rPr>
          <w:lang w:val="pl-PL"/>
        </w:rPr>
        <w:t>47.</w:t>
      </w:r>
      <w:r w:rsidRPr="00ED5E97">
        <w:rPr>
          <w:lang w:val="pl-PL"/>
        </w:rPr>
        <w:tab/>
      </w:r>
      <w:proofErr w:type="gramStart"/>
      <w:r w:rsidRPr="00ED5E97">
        <w:rPr>
          <w:lang w:val="pl-PL"/>
        </w:rPr>
        <w:t>zobowiązuje</w:t>
      </w:r>
      <w:proofErr w:type="gramEnd"/>
      <w:r w:rsidRPr="00ED5E97">
        <w:rPr>
          <w:lang w:val="pl-PL"/>
        </w:rPr>
        <w:t xml:space="preserve"> swoją przewodniczącą do przekazania niniejszej rezolucji Radzie, Komisji, wiceprzewodniczącemu Komisji / wysokiemu przedstawicielowi Unii do spraw zagranicznych i polityki bezpieczeństwa, rządom i parlamentom państw członkowskich oraz rządom i parlamentom krajów przystępujących.</w:t>
      </w:r>
    </w:p>
    <w:sectPr w:rsidR="000D212F" w:rsidRPr="00ED5E97" w:rsidSect="00ED5E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854" w:rsidRPr="00ED5E97" w:rsidRDefault="00326854">
      <w:r w:rsidRPr="00ED5E97">
        <w:separator/>
      </w:r>
    </w:p>
  </w:endnote>
  <w:endnote w:type="continuationSeparator" w:id="0">
    <w:p w:rsidR="00326854" w:rsidRPr="00ED5E97" w:rsidRDefault="00326854">
      <w:r w:rsidRPr="00ED5E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E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E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E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854" w:rsidRPr="00ED5E97" w:rsidRDefault="00326854">
      <w:r w:rsidRPr="00ED5E97">
        <w:separator/>
      </w:r>
    </w:p>
  </w:footnote>
  <w:footnote w:type="continuationSeparator" w:id="0">
    <w:p w:rsidR="00326854" w:rsidRPr="00ED5E97" w:rsidRDefault="00326854">
      <w:r w:rsidRPr="00ED5E97">
        <w:continuationSeparator/>
      </w:r>
    </w:p>
  </w:footnote>
  <w:footnote w:id="1">
    <w:p w:rsidR="000D212F" w:rsidRPr="00D93DB2" w:rsidRDefault="000D212F" w:rsidP="00ED5E97">
      <w:pPr>
        <w:pStyle w:val="FootnoteText"/>
        <w:ind w:left="567" w:hanging="567"/>
        <w:rPr>
          <w:sz w:val="24"/>
          <w:lang w:val="pl-PL"/>
        </w:rPr>
      </w:pPr>
      <w:r w:rsidRPr="00ED5E97">
        <w:rPr>
          <w:rStyle w:val="FootnoteReference"/>
          <w:sz w:val="24"/>
          <w:lang w:val="pl-PL"/>
        </w:rPr>
        <w:footnoteRef/>
      </w:r>
      <w:r w:rsidR="00ED5E97" w:rsidRPr="00ED5E97">
        <w:rPr>
          <w:rStyle w:val="Emphasis"/>
          <w:sz w:val="24"/>
          <w:lang w:val="pl-PL"/>
        </w:rPr>
        <w:t xml:space="preserve"> </w:t>
      </w:r>
      <w:r w:rsidR="00ED5E97" w:rsidRPr="00ED5E97">
        <w:rPr>
          <w:rStyle w:val="Emphasis"/>
          <w:sz w:val="24"/>
          <w:lang w:val="pl-PL"/>
        </w:rPr>
        <w:tab/>
      </w:r>
      <w:r w:rsidRPr="00D93DB2">
        <w:rPr>
          <w:rStyle w:val="Emphasis"/>
          <w:i w:val="0"/>
          <w:sz w:val="24"/>
          <w:lang w:val="pl-PL"/>
        </w:rPr>
        <w:t>Teksty przyjęte, P9_TA(2023)0471.</w:t>
      </w:r>
    </w:p>
  </w:footnote>
  <w:footnote w:id="2">
    <w:p w:rsidR="000D212F" w:rsidRPr="00ED5E97" w:rsidRDefault="000D212F" w:rsidP="00ED5E97">
      <w:pPr>
        <w:pStyle w:val="FootnoteText"/>
        <w:ind w:left="567" w:hanging="567"/>
        <w:rPr>
          <w:sz w:val="24"/>
          <w:lang w:val="pl-PL"/>
        </w:rPr>
      </w:pPr>
      <w:r w:rsidRPr="00D93DB2">
        <w:rPr>
          <w:rStyle w:val="FootnoteReference"/>
          <w:rFonts w:eastAsiaTheme="majorEastAsia"/>
          <w:sz w:val="24"/>
          <w:lang w:val="pl-PL"/>
        </w:rPr>
        <w:footnoteRef/>
      </w:r>
      <w:r w:rsidR="00ED5E97" w:rsidRPr="00D93DB2">
        <w:rPr>
          <w:rStyle w:val="Emphasis"/>
          <w:i w:val="0"/>
          <w:sz w:val="24"/>
          <w:lang w:val="pl-PL"/>
        </w:rPr>
        <w:t xml:space="preserve"> </w:t>
      </w:r>
      <w:r w:rsidR="00ED5E97" w:rsidRPr="00D93DB2">
        <w:rPr>
          <w:rStyle w:val="Emphasis"/>
          <w:i w:val="0"/>
          <w:sz w:val="24"/>
          <w:lang w:val="pl-PL"/>
        </w:rPr>
        <w:tab/>
      </w:r>
      <w:r w:rsidRPr="00D93DB2">
        <w:rPr>
          <w:rStyle w:val="Emphasis"/>
          <w:i w:val="0"/>
          <w:sz w:val="24"/>
          <w:lang w:val="pl-PL"/>
        </w:rPr>
        <w:t xml:space="preserve">Dz.U. C 167 z 11.5.2023, </w:t>
      </w:r>
      <w:proofErr w:type="gramStart"/>
      <w:r w:rsidRPr="00D93DB2">
        <w:rPr>
          <w:rStyle w:val="Emphasis"/>
          <w:i w:val="0"/>
          <w:sz w:val="24"/>
          <w:lang w:val="pl-PL"/>
        </w:rPr>
        <w:t>s</w:t>
      </w:r>
      <w:proofErr w:type="gramEnd"/>
      <w:r w:rsidRPr="00D93DB2">
        <w:rPr>
          <w:rStyle w:val="Emphasis"/>
          <w:i w:val="0"/>
          <w:sz w:val="24"/>
          <w:lang w:val="pl-PL"/>
        </w:rPr>
        <w:t>. 105.</w:t>
      </w:r>
    </w:p>
  </w:footnote>
  <w:footnote w:id="3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C 202 z 28.5.2021,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86.</w:t>
      </w:r>
    </w:p>
  </w:footnote>
  <w:footnote w:id="4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Dz.U. C, C/2023/1066 z 15.12.2023, ELI: http</w:t>
      </w:r>
      <w:proofErr w:type="gramStart"/>
      <w:r w:rsidRPr="00ED5E97">
        <w:rPr>
          <w:sz w:val="24"/>
          <w:lang w:val="pl-PL"/>
        </w:rPr>
        <w:t>://data</w:t>
      </w:r>
      <w:proofErr w:type="gramEnd"/>
      <w:r w:rsidRPr="00ED5E97">
        <w:rPr>
          <w:sz w:val="24"/>
          <w:lang w:val="pl-PL"/>
        </w:rPr>
        <w:t>.</w:t>
      </w:r>
      <w:proofErr w:type="gramStart"/>
      <w:r w:rsidRPr="00ED5E97">
        <w:rPr>
          <w:sz w:val="24"/>
          <w:lang w:val="pl-PL"/>
        </w:rPr>
        <w:t>europa</w:t>
      </w:r>
      <w:proofErr w:type="gramEnd"/>
      <w:r w:rsidRPr="00ED5E97">
        <w:rPr>
          <w:sz w:val="24"/>
          <w:lang w:val="pl-PL"/>
        </w:rPr>
        <w:t>.</w:t>
      </w:r>
      <w:proofErr w:type="gramStart"/>
      <w:r w:rsidRPr="00ED5E97">
        <w:rPr>
          <w:sz w:val="24"/>
          <w:lang w:val="pl-PL"/>
        </w:rPr>
        <w:t>eu</w:t>
      </w:r>
      <w:proofErr w:type="gramEnd"/>
      <w:r w:rsidRPr="00ED5E97">
        <w:rPr>
          <w:sz w:val="24"/>
          <w:lang w:val="pl-PL"/>
        </w:rPr>
        <w:t>/eli/C/2023/1066/oj.</w:t>
      </w:r>
    </w:p>
  </w:footnote>
  <w:footnote w:id="5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Dz.U. C, C/2023/1065 z 15.12.2023, ELI: http</w:t>
      </w:r>
      <w:proofErr w:type="gramStart"/>
      <w:r w:rsidRPr="00ED5E97">
        <w:rPr>
          <w:sz w:val="24"/>
          <w:lang w:val="pl-PL"/>
        </w:rPr>
        <w:t>://data</w:t>
      </w:r>
      <w:proofErr w:type="gramEnd"/>
      <w:r w:rsidRPr="00ED5E97">
        <w:rPr>
          <w:sz w:val="24"/>
          <w:lang w:val="pl-PL"/>
        </w:rPr>
        <w:t>.</w:t>
      </w:r>
      <w:proofErr w:type="gramStart"/>
      <w:r w:rsidRPr="00ED5E97">
        <w:rPr>
          <w:sz w:val="24"/>
          <w:lang w:val="pl-PL"/>
        </w:rPr>
        <w:t>europa</w:t>
      </w:r>
      <w:proofErr w:type="gramEnd"/>
      <w:r w:rsidRPr="00ED5E97">
        <w:rPr>
          <w:sz w:val="24"/>
          <w:lang w:val="pl-PL"/>
        </w:rPr>
        <w:t>.</w:t>
      </w:r>
      <w:proofErr w:type="gramStart"/>
      <w:r w:rsidRPr="00ED5E97">
        <w:rPr>
          <w:sz w:val="24"/>
          <w:lang w:val="pl-PL"/>
        </w:rPr>
        <w:t>eu</w:t>
      </w:r>
      <w:proofErr w:type="gramEnd"/>
      <w:r w:rsidRPr="00ED5E97">
        <w:rPr>
          <w:sz w:val="24"/>
          <w:lang w:val="pl-PL"/>
        </w:rPr>
        <w:t>/eli/C/2023/1065/oj.</w:t>
      </w:r>
    </w:p>
  </w:footnote>
  <w:footnote w:id="6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Teksty przyjęte, P9_TA(2023)0285.</w:t>
      </w:r>
    </w:p>
  </w:footnote>
  <w:footnote w:id="7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Teksty przyjęte, P9_TA(2023)0284.</w:t>
      </w:r>
    </w:p>
  </w:footnote>
  <w:footnote w:id="8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C 479 z 16.12.2022,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33.</w:t>
      </w:r>
    </w:p>
  </w:footnote>
  <w:footnote w:id="9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C 32 z 27.1.2023,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63.</w:t>
      </w:r>
    </w:p>
  </w:footnote>
  <w:footnote w:id="10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C 362 z 8.9.2021,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129.</w:t>
      </w:r>
    </w:p>
  </w:footnote>
  <w:footnote w:id="11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L 107 z 28.4.2009,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166.</w:t>
      </w:r>
    </w:p>
  </w:footnote>
  <w:footnote w:id="12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L 164 z 30.6.2015,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2.</w:t>
      </w:r>
    </w:p>
  </w:footnote>
  <w:footnote w:id="13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L 261 z 30.8.2014,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4.</w:t>
      </w:r>
    </w:p>
  </w:footnote>
  <w:footnote w:id="14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L 260 z 30.8.2014,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4.</w:t>
      </w:r>
    </w:p>
  </w:footnote>
  <w:footnote w:id="15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L 84 z 20.3.2004,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13.</w:t>
      </w:r>
    </w:p>
  </w:footnote>
  <w:footnote w:id="16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Dz.U. L 361 z 31.12.</w:t>
      </w:r>
      <w:r w:rsidR="00F367F6">
        <w:rPr>
          <w:sz w:val="24"/>
          <w:lang w:val="pl-PL"/>
        </w:rPr>
        <w:t>19</w:t>
      </w:r>
      <w:bookmarkStart w:id="7" w:name="_GoBack"/>
      <w:bookmarkEnd w:id="7"/>
      <w:r w:rsidRPr="00ED5E97">
        <w:rPr>
          <w:sz w:val="24"/>
          <w:lang w:val="pl-PL"/>
        </w:rPr>
        <w:t xml:space="preserve">77,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29.</w:t>
      </w:r>
    </w:p>
  </w:footnote>
  <w:footnote w:id="17">
    <w:p w:rsidR="000D212F" w:rsidRPr="00ED5E97" w:rsidRDefault="000D212F" w:rsidP="00ED5E97">
      <w:pPr>
        <w:pStyle w:val="FootnoteText"/>
        <w:ind w:left="567" w:hanging="567"/>
        <w:rPr>
          <w:sz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L 161 z 29.5.2014,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3.</w:t>
      </w:r>
    </w:p>
  </w:footnote>
  <w:footnote w:id="18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rStyle w:val="FootnoteReference"/>
          <w:sz w:val="24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Teksty przyjęte, P9_TA(2023)0357.</w:t>
      </w:r>
    </w:p>
  </w:footnote>
  <w:footnote w:id="19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L 330 z 20.9.2021,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1.</w:t>
      </w:r>
    </w:p>
  </w:footnote>
  <w:footnote w:id="20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REX/401-EESC-2014- 1609.</w:t>
      </w:r>
    </w:p>
  </w:footnote>
  <w:footnote w:id="21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C 252 z 18.7.2018,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215.</w:t>
      </w:r>
    </w:p>
  </w:footnote>
  <w:footnote w:id="22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Teksty przyjęte, P9_TA(2023)0269.</w:t>
      </w:r>
    </w:p>
  </w:footnote>
  <w:footnote w:id="23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C 465 z 6.12.2022,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109.</w:t>
      </w:r>
    </w:p>
  </w:footnote>
  <w:footnote w:id="24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 xml:space="preserve">Dz.U. C 493 z 27.12.2022, </w:t>
      </w:r>
      <w:proofErr w:type="gramStart"/>
      <w:r w:rsidRPr="00ED5E97">
        <w:rPr>
          <w:sz w:val="24"/>
          <w:lang w:val="pl-PL"/>
        </w:rPr>
        <w:t>s</w:t>
      </w:r>
      <w:proofErr w:type="gramEnd"/>
      <w:r w:rsidRPr="00ED5E97">
        <w:rPr>
          <w:sz w:val="24"/>
          <w:lang w:val="pl-PL"/>
        </w:rPr>
        <w:t>. 130.</w:t>
      </w:r>
    </w:p>
  </w:footnote>
  <w:footnote w:id="25">
    <w:p w:rsidR="000D212F" w:rsidRPr="00ED5E97" w:rsidRDefault="000D212F" w:rsidP="00ED5E97">
      <w:pPr>
        <w:pStyle w:val="FootnoteText"/>
        <w:ind w:left="567" w:hanging="567"/>
        <w:rPr>
          <w:bCs/>
          <w:iCs/>
          <w:sz w:val="24"/>
          <w:szCs w:val="24"/>
          <w:lang w:val="pl-PL"/>
        </w:rPr>
      </w:pPr>
      <w:r w:rsidRPr="00ED5E97">
        <w:rPr>
          <w:bCs/>
          <w:iCs/>
          <w:sz w:val="24"/>
          <w:szCs w:val="24"/>
          <w:vertAlign w:val="superscript"/>
          <w:lang w:val="pl-PL"/>
        </w:rPr>
        <w:footnoteRef/>
      </w:r>
      <w:r w:rsidR="00ED5E97" w:rsidRPr="00ED5E97">
        <w:rPr>
          <w:sz w:val="24"/>
          <w:lang w:val="pl-PL"/>
        </w:rPr>
        <w:t xml:space="preserve"> </w:t>
      </w:r>
      <w:r w:rsidR="00ED5E97" w:rsidRPr="00ED5E97">
        <w:rPr>
          <w:sz w:val="24"/>
          <w:lang w:val="pl-PL"/>
        </w:rPr>
        <w:tab/>
      </w:r>
      <w:r w:rsidRPr="00ED5E97">
        <w:rPr>
          <w:sz w:val="24"/>
          <w:lang w:val="pl-PL"/>
        </w:rPr>
        <w:t>Teksty przyjęte, P9_TA(2023)0427.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E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E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5E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5/2024"/>
    <w:docVar w:name="dvlangue" w:val="PL"/>
    <w:docVar w:name="dvnumam" w:val="0"/>
    <w:docVar w:name="dvpe" w:val="752.948"/>
    <w:docVar w:name="dvrapporteur" w:val="Sprawozdawca: "/>
    <w:docVar w:name="dvstar" w:val="??"/>
    <w:docVar w:name="dvtitre" w:val="Rezolucja Parlamentu Europejskiego z dnia  2024 r. w sprawie pogłębienia integracji europejskiej z myślą o przyszłym rozszerzeniu(2023/2114(INI))"/>
  </w:docVars>
  <w:rsids>
    <w:rsidRoot w:val="00326854"/>
    <w:rsid w:val="00002272"/>
    <w:rsid w:val="00064002"/>
    <w:rsid w:val="000677B9"/>
    <w:rsid w:val="000831BA"/>
    <w:rsid w:val="000A42CC"/>
    <w:rsid w:val="000D212F"/>
    <w:rsid w:val="000E7DD9"/>
    <w:rsid w:val="0010095E"/>
    <w:rsid w:val="00125B37"/>
    <w:rsid w:val="00187494"/>
    <w:rsid w:val="001F32AE"/>
    <w:rsid w:val="002767FF"/>
    <w:rsid w:val="002B18FE"/>
    <w:rsid w:val="002B5493"/>
    <w:rsid w:val="0032685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671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35D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DB2"/>
    <w:rsid w:val="00DA7FCD"/>
    <w:rsid w:val="00E365E1"/>
    <w:rsid w:val="00E820A4"/>
    <w:rsid w:val="00EB006A"/>
    <w:rsid w:val="00EB4772"/>
    <w:rsid w:val="00ED169E"/>
    <w:rsid w:val="00ED4235"/>
    <w:rsid w:val="00ED5E97"/>
    <w:rsid w:val="00F04346"/>
    <w:rsid w:val="00F075DC"/>
    <w:rsid w:val="00F149E9"/>
    <w:rsid w:val="00F367F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CF98C"/>
  <w15:chartTrackingRefBased/>
  <w15:docId w15:val="{0510DD1A-24F2-4D6C-AD4B-E252A217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0D212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D212F"/>
    <w:pPr>
      <w:spacing w:after="240"/>
      <w:ind w:left="567" w:hanging="567"/>
    </w:pPr>
  </w:style>
  <w:style w:type="paragraph" w:customStyle="1" w:styleId="EPComma">
    <w:name w:val="EPComma"/>
    <w:basedOn w:val="Normal"/>
    <w:rsid w:val="000D212F"/>
    <w:pPr>
      <w:spacing w:before="480" w:after="240"/>
    </w:pPr>
    <w:rPr>
      <w:i/>
    </w:rPr>
  </w:style>
  <w:style w:type="character" w:customStyle="1" w:styleId="Normal12HangingChar">
    <w:name w:val="Normal12Hanging Char"/>
    <w:link w:val="Normal12Hanging"/>
    <w:locked/>
    <w:rsid w:val="000D212F"/>
    <w:rPr>
      <w:sz w:val="24"/>
    </w:rPr>
  </w:style>
  <w:style w:type="paragraph" w:customStyle="1" w:styleId="Normal12Hanging">
    <w:name w:val="Normal12Hanging"/>
    <w:basedOn w:val="Normal"/>
    <w:link w:val="Normal12HangingChar"/>
    <w:rsid w:val="000D212F"/>
    <w:pPr>
      <w:spacing w:after="240"/>
      <w:ind w:left="567" w:hanging="567"/>
    </w:pPr>
    <w:rPr>
      <w:lang w:val="en-GB"/>
    </w:rPr>
  </w:style>
  <w:style w:type="character" w:styleId="Emphasis">
    <w:name w:val="Emphasis"/>
    <w:basedOn w:val="DefaultParagraphFont"/>
    <w:uiPriority w:val="20"/>
    <w:qFormat/>
    <w:rsid w:val="000D212F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sid w:val="000D212F"/>
    <w:rPr>
      <w:sz w:val="24"/>
      <w:lang w:val="pl-PL"/>
    </w:rPr>
  </w:style>
  <w:style w:type="paragraph" w:customStyle="1" w:styleId="Avistitre">
    <w:name w:val="Avis titre"/>
    <w:basedOn w:val="Normal"/>
    <w:rsid w:val="000D212F"/>
    <w:pPr>
      <w:keepNext/>
      <w:snapToGrid w:val="0"/>
      <w:spacing w:after="240"/>
      <w:jc w:val="center"/>
    </w:pPr>
    <w:rPr>
      <w:rFonts w:ascii="Arial" w:hAnsi="Arial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F642E-E1D3-41D6-A69D-43E6487A1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5615</Words>
  <Characters>37758</Characters>
  <Application>Microsoft Office Word</Application>
  <DocSecurity>0</DocSecurity>
  <Lines>1078</Lines>
  <Paragraphs>516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2024-04-02T14:10:00Z</dcterms:created>
  <dcterms:modified xsi:type="dcterms:W3CDTF">2024-04-02T14:10:00Z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A9-0015/2024</vt:lpwstr>
  </property>
  <property fmtid="{D5CDD505-2E9C-101B-9397-08002B2CF9AE}" pid="4" name="&lt;Type&gt;">
    <vt:lpwstr>RR</vt:lpwstr>
  </property>
</Properties>
</file>