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1EF8" w:rsidTr="0010095E">
        <w:trPr>
          <w:trHeight w:hRule="exact" w:val="1418"/>
        </w:trPr>
        <w:tc>
          <w:tcPr>
            <w:tcW w:w="6804" w:type="dxa"/>
            <w:shd w:val="clear" w:color="auto" w:fill="auto"/>
            <w:vAlign w:val="center"/>
          </w:tcPr>
          <w:p w:rsidR="00751A4A" w:rsidRPr="00F41EF8" w:rsidRDefault="00101900" w:rsidP="0010095E">
            <w:pPr>
              <w:pStyle w:val="EPName"/>
            </w:pPr>
            <w:r w:rsidRPr="00F41EF8">
              <w:t>Parlamento Europeo</w:t>
            </w:r>
          </w:p>
          <w:p w:rsidR="00751A4A" w:rsidRPr="00F41EF8" w:rsidRDefault="00817416" w:rsidP="00756632">
            <w:pPr>
              <w:pStyle w:val="EPTerm"/>
              <w:rPr>
                <w:rStyle w:val="HideTWBExt"/>
                <w:noProof w:val="0"/>
                <w:vanish w:val="0"/>
                <w:color w:val="auto"/>
              </w:rPr>
            </w:pPr>
            <w:r w:rsidRPr="00F41EF8">
              <w:t>2019-2024</w:t>
            </w:r>
          </w:p>
        </w:tc>
        <w:tc>
          <w:tcPr>
            <w:tcW w:w="2268" w:type="dxa"/>
            <w:shd w:val="clear" w:color="auto" w:fill="auto"/>
          </w:tcPr>
          <w:p w:rsidR="00751A4A" w:rsidRPr="00F41EF8" w:rsidRDefault="00187494" w:rsidP="0010095E">
            <w:pPr>
              <w:pStyle w:val="EPLogo"/>
            </w:pPr>
            <w:r w:rsidRPr="00F41E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1EF8" w:rsidRDefault="00D058B8" w:rsidP="004C5D52">
      <w:pPr>
        <w:pStyle w:val="LineTop"/>
      </w:pPr>
    </w:p>
    <w:p w:rsidR="00680577" w:rsidRPr="00F41EF8" w:rsidRDefault="00101900" w:rsidP="00680577">
      <w:pPr>
        <w:pStyle w:val="EPBodyTA1"/>
      </w:pPr>
      <w:r w:rsidRPr="00F41EF8">
        <w:t>TEXTOS APROBADOS</w:t>
      </w:r>
    </w:p>
    <w:p w:rsidR="00D058B8" w:rsidRPr="00F41EF8" w:rsidRDefault="00D058B8" w:rsidP="00D058B8">
      <w:pPr>
        <w:pStyle w:val="LineBottom"/>
      </w:pPr>
    </w:p>
    <w:p w:rsidR="00101900" w:rsidRPr="00F41EF8" w:rsidRDefault="00101900" w:rsidP="00101900">
      <w:pPr>
        <w:pStyle w:val="ATHeading1"/>
      </w:pPr>
      <w:bookmarkStart w:id="0" w:name="TANumber"/>
      <w:r w:rsidRPr="00F41EF8">
        <w:t>P9_</w:t>
      </w:r>
      <w:proofErr w:type="gramStart"/>
      <w:r w:rsidRPr="00F41EF8">
        <w:t>TA(</w:t>
      </w:r>
      <w:proofErr w:type="gramEnd"/>
      <w:r w:rsidRPr="00F41EF8">
        <w:t>2024)</w:t>
      </w:r>
      <w:bookmarkEnd w:id="0"/>
      <w:r w:rsidR="00395E45" w:rsidRPr="00F41EF8">
        <w:t>0121</w:t>
      </w:r>
    </w:p>
    <w:p w:rsidR="00101900" w:rsidRPr="00F41EF8" w:rsidRDefault="00101900" w:rsidP="00101900">
      <w:pPr>
        <w:pStyle w:val="ATHeading2"/>
      </w:pPr>
      <w:bookmarkStart w:id="1" w:name="title"/>
      <w:r w:rsidRPr="00F41EF8">
        <w:t>Aplicación del Acuerdo de Asociación Económica (AAE) entre la Unión Europea y la Comunidad para el Desarrollo del África Meridional (SADC)</w:t>
      </w:r>
      <w:bookmarkEnd w:id="1"/>
    </w:p>
    <w:p w:rsidR="00101900" w:rsidRPr="00F41EF8" w:rsidRDefault="00101900" w:rsidP="00101900">
      <w:pPr>
        <w:rPr>
          <w:i/>
          <w:vanish/>
        </w:rPr>
      </w:pPr>
      <w:r w:rsidRPr="00F41EF8">
        <w:rPr>
          <w:i/>
        </w:rPr>
        <w:fldChar w:fldCharType="begin"/>
      </w:r>
      <w:r w:rsidRPr="00F41EF8">
        <w:rPr>
          <w:i/>
        </w:rPr>
        <w:instrText xml:space="preserve"> TC"(</w:instrText>
      </w:r>
      <w:bookmarkStart w:id="2" w:name="DocNumber"/>
      <w:r w:rsidRPr="00F41EF8">
        <w:rPr>
          <w:i/>
        </w:rPr>
        <w:instrText>A9-0024/2024</w:instrText>
      </w:r>
      <w:bookmarkEnd w:id="2"/>
      <w:r w:rsidRPr="00F41EF8">
        <w:rPr>
          <w:i/>
        </w:rPr>
        <w:instrText xml:space="preserve"> - Ponente: Joachim Schuster)"\l3 \n&gt; \* MERGEFORMAT </w:instrText>
      </w:r>
      <w:r w:rsidRPr="00F41EF8">
        <w:rPr>
          <w:i/>
        </w:rPr>
        <w:fldChar w:fldCharType="end"/>
      </w:r>
    </w:p>
    <w:p w:rsidR="00101900" w:rsidRPr="00F41EF8" w:rsidRDefault="00101900" w:rsidP="00101900">
      <w:pPr>
        <w:rPr>
          <w:vanish/>
        </w:rPr>
      </w:pPr>
      <w:bookmarkStart w:id="3" w:name="Commission"/>
      <w:r w:rsidRPr="00F41EF8">
        <w:rPr>
          <w:vanish/>
        </w:rPr>
        <w:t>Comisión de Comercio Internacional</w:t>
      </w:r>
      <w:bookmarkEnd w:id="3"/>
    </w:p>
    <w:p w:rsidR="00101900" w:rsidRPr="00F41EF8" w:rsidRDefault="00101900" w:rsidP="00101900">
      <w:pPr>
        <w:rPr>
          <w:vanish/>
        </w:rPr>
      </w:pPr>
      <w:bookmarkStart w:id="4" w:name="PE"/>
      <w:r w:rsidRPr="00F41EF8">
        <w:rPr>
          <w:vanish/>
        </w:rPr>
        <w:t>PE749.066</w:t>
      </w:r>
      <w:bookmarkEnd w:id="4"/>
    </w:p>
    <w:p w:rsidR="00101900" w:rsidRPr="00F41EF8" w:rsidRDefault="00101900" w:rsidP="00101900">
      <w:pPr>
        <w:pStyle w:val="ATHeading3"/>
      </w:pPr>
      <w:bookmarkStart w:id="5" w:name="Sujet"/>
      <w:r w:rsidRPr="00F41EF8">
        <w:t xml:space="preserve">Resolución del Parlamento Europeo, de </w:t>
      </w:r>
      <w:r w:rsidR="00395E45" w:rsidRPr="00F41EF8">
        <w:t xml:space="preserve">29 </w:t>
      </w:r>
      <w:r w:rsidRPr="00F41EF8">
        <w:t>de febrero de 2024, sobre la aplicación del Acuerdo de Asociación Económica (AAE) entre la Unión Europea y la Comunidad para el Desarrollo del África Meridional (SADC)</w:t>
      </w:r>
      <w:bookmarkEnd w:id="5"/>
      <w:r w:rsidRPr="00F41EF8">
        <w:t xml:space="preserve"> </w:t>
      </w:r>
      <w:bookmarkStart w:id="6" w:name="References"/>
      <w:r w:rsidRPr="00F41EF8">
        <w:t>(2023/2065(INI))</w:t>
      </w:r>
      <w:bookmarkEnd w:id="6"/>
    </w:p>
    <w:p w:rsidR="00101900" w:rsidRPr="00F41EF8" w:rsidRDefault="00101900" w:rsidP="00101900"/>
    <w:p w:rsidR="00F35758" w:rsidRPr="00F41EF8" w:rsidRDefault="00F35758" w:rsidP="00D85C69">
      <w:pPr>
        <w:pStyle w:val="EPComma"/>
        <w:spacing w:before="120"/>
      </w:pPr>
      <w:bookmarkStart w:id="7" w:name="TextBodyBegin"/>
      <w:bookmarkEnd w:id="7"/>
      <w:r w:rsidRPr="00F41EF8">
        <w:rPr>
          <w:i/>
          <w:iCs/>
        </w:rPr>
        <w:t>El Parlamento Europeo</w:t>
      </w:r>
      <w:r w:rsidRPr="00F41EF8">
        <w:t>,</w:t>
      </w:r>
    </w:p>
    <w:p w:rsidR="00F35758" w:rsidRPr="00F41EF8" w:rsidRDefault="00F35758" w:rsidP="00F35758">
      <w:pPr>
        <w:pStyle w:val="NormalHanging12a"/>
        <w:widowControl/>
      </w:pPr>
      <w:r w:rsidRPr="00F41EF8">
        <w:t>–</w:t>
      </w:r>
      <w:r w:rsidRPr="00F41EF8">
        <w:tab/>
        <w:t>Visto el Acuerdo de Asociación Económica entre la Unión Europea y sus Estados miembros, por una parte, y los Estados del AAE de la SADC, por otra</w:t>
      </w:r>
      <w:r w:rsidRPr="00F41EF8">
        <w:rPr>
          <w:rStyle w:val="FootnoteReference"/>
          <w:color w:val="000000"/>
          <w:szCs w:val="24"/>
        </w:rPr>
        <w:footnoteReference w:id="1"/>
      </w:r>
      <w:r w:rsidRPr="00F41EF8">
        <w:t>,</w:t>
      </w:r>
    </w:p>
    <w:p w:rsidR="00F35758" w:rsidRPr="00F41EF8" w:rsidRDefault="00F35758" w:rsidP="00F35758">
      <w:pPr>
        <w:pStyle w:val="NormalHanging12a"/>
        <w:widowControl/>
        <w:rPr>
          <w:bCs/>
        </w:rPr>
      </w:pPr>
      <w:r w:rsidRPr="00F41EF8">
        <w:t>–</w:t>
      </w:r>
      <w:r w:rsidRPr="00F41EF8">
        <w:tab/>
        <w:t>Vista su Resolución legislativa, de 14 de septiembre de 2016, sobre el proyecto de Decisión del Consejo relativa a la celebración, en nombre de la Unión Europea, del Acuerdo de Asociación Económica entre la Unión Europea y sus Estados miembros, por una parte, y los Estados del AAE de la SADC, por otra</w:t>
      </w:r>
      <w:r w:rsidRPr="00F41EF8">
        <w:rPr>
          <w:rStyle w:val="FootnoteReference"/>
          <w:bCs/>
          <w:color w:val="000000"/>
          <w:szCs w:val="24"/>
        </w:rPr>
        <w:footnoteReference w:id="2"/>
      </w:r>
      <w:r w:rsidRPr="00F41EF8">
        <w:t>,</w:t>
      </w:r>
    </w:p>
    <w:p w:rsidR="00F35758" w:rsidRPr="00F41EF8" w:rsidRDefault="00F35758" w:rsidP="00F35758">
      <w:pPr>
        <w:pStyle w:val="NormalHanging12a"/>
        <w:widowControl/>
        <w:rPr>
          <w:bCs/>
        </w:rPr>
      </w:pPr>
      <w:r w:rsidRPr="00F41EF8">
        <w:t>–</w:t>
      </w:r>
      <w:r w:rsidRPr="00F41EF8">
        <w:tab/>
        <w:t>Vista su Resolución, de 6 de octubre de 2022, sobre el resultado de la revisión por parte de la Comisión del plan de acción de quince puntos sobre comercio y desarrollo sostenible</w:t>
      </w:r>
      <w:r w:rsidRPr="00F41EF8">
        <w:rPr>
          <w:rStyle w:val="FootnoteReference"/>
          <w:bCs/>
          <w:color w:val="000000"/>
          <w:szCs w:val="24"/>
        </w:rPr>
        <w:footnoteReference w:id="3"/>
      </w:r>
      <w:r w:rsidRPr="00F41EF8">
        <w:t>,</w:t>
      </w:r>
    </w:p>
    <w:p w:rsidR="00F35758" w:rsidRPr="00F41EF8" w:rsidRDefault="00F35758" w:rsidP="00F35758">
      <w:pPr>
        <w:pStyle w:val="NormalHanging12a"/>
        <w:widowControl/>
        <w:rPr>
          <w:bCs/>
        </w:rPr>
      </w:pPr>
      <w:r w:rsidRPr="00F41EF8">
        <w:t>–</w:t>
      </w:r>
      <w:r w:rsidRPr="00F41EF8">
        <w:tab/>
        <w:t>Vista su Resolución, de 23 de junio de 2022, sobre el futuro de las relaciones comerciales entre la Unión y África</w:t>
      </w:r>
      <w:r w:rsidRPr="00F41EF8">
        <w:rPr>
          <w:rStyle w:val="FootnoteReference"/>
          <w:bCs/>
          <w:color w:val="000000"/>
          <w:szCs w:val="24"/>
        </w:rPr>
        <w:footnoteReference w:id="4"/>
      </w:r>
      <w:r w:rsidRPr="00F41EF8">
        <w:t>,</w:t>
      </w:r>
    </w:p>
    <w:p w:rsidR="00F35758" w:rsidRPr="00F41EF8" w:rsidRDefault="00F35758" w:rsidP="00F35758">
      <w:pPr>
        <w:pStyle w:val="NormalHanging12a"/>
        <w:widowControl/>
        <w:rPr>
          <w:bCs/>
        </w:rPr>
      </w:pPr>
      <w:r w:rsidRPr="00F41EF8">
        <w:t>–</w:t>
      </w:r>
      <w:r w:rsidRPr="00F41EF8">
        <w:tab/>
        <w:t>Vista su Resolución, de 25 de marzo de 2021, sobre la nueva estrategia UE-África – Una asociación para un desarrollo sostenible e integrador</w:t>
      </w:r>
      <w:r w:rsidRPr="00F41EF8">
        <w:rPr>
          <w:rStyle w:val="FootnoteReference"/>
          <w:color w:val="000000"/>
        </w:rPr>
        <w:footnoteReference w:id="5"/>
      </w:r>
      <w:r w:rsidRPr="00F41EF8">
        <w:t>,</w:t>
      </w:r>
    </w:p>
    <w:p w:rsidR="00F35758" w:rsidRPr="00F41EF8" w:rsidRDefault="00F35758" w:rsidP="00F35758">
      <w:pPr>
        <w:pStyle w:val="NormalHanging12a"/>
        <w:widowControl/>
      </w:pPr>
      <w:r w:rsidRPr="00F41EF8">
        <w:lastRenderedPageBreak/>
        <w:t>–</w:t>
      </w:r>
      <w:r w:rsidRPr="00F41EF8">
        <w:tab/>
        <w:t>Vista la Comunicación de la Comisión, de 18 de febrero de 2021, titulada «Revisión de la política comercial – Una política comercial abierta, sostenible y firme» (</w:t>
      </w:r>
      <w:proofErr w:type="gramStart"/>
      <w:r w:rsidRPr="00F41EF8">
        <w:t>COM(</w:t>
      </w:r>
      <w:proofErr w:type="gramEnd"/>
      <w:r w:rsidRPr="00F41EF8">
        <w:t>2021)0066),</w:t>
      </w:r>
    </w:p>
    <w:p w:rsidR="00F35758" w:rsidRPr="00F41EF8" w:rsidRDefault="00F35758" w:rsidP="00F35758">
      <w:pPr>
        <w:pStyle w:val="NormalHanging12a"/>
        <w:widowControl/>
      </w:pPr>
      <w:r w:rsidRPr="00F41EF8">
        <w:t>–</w:t>
      </w:r>
      <w:r w:rsidRPr="00F41EF8">
        <w:tab/>
        <w:t>Vista la Comunicación de la Comisión, de 11 de diciembre de 2019, titulada «El Pacto Verde Europeo» (</w:t>
      </w:r>
      <w:proofErr w:type="gramStart"/>
      <w:r w:rsidRPr="00F41EF8">
        <w:t>COM(</w:t>
      </w:r>
      <w:proofErr w:type="gramEnd"/>
      <w:r w:rsidRPr="00F41EF8">
        <w:t>2019)0640),</w:t>
      </w:r>
    </w:p>
    <w:p w:rsidR="00F35758" w:rsidRPr="00F41EF8" w:rsidRDefault="00F35758" w:rsidP="00F35758">
      <w:pPr>
        <w:pStyle w:val="NormalHanging12a"/>
        <w:widowControl/>
      </w:pPr>
      <w:r w:rsidRPr="00F41EF8">
        <w:t>–</w:t>
      </w:r>
      <w:r w:rsidRPr="00F41EF8">
        <w:tab/>
        <w:t>Vista la Comunicación de la Comisión, de 5 de marzo de 2020, titulada «Una Unión de la igualdad: Estrategia para la Igualdad de Género 2020-2025» (</w:t>
      </w:r>
      <w:proofErr w:type="gramStart"/>
      <w:r w:rsidRPr="00F41EF8">
        <w:t>COM(</w:t>
      </w:r>
      <w:proofErr w:type="gramEnd"/>
      <w:r w:rsidRPr="00F41EF8">
        <w:t>2020)0152),</w:t>
      </w:r>
    </w:p>
    <w:p w:rsidR="00F35758" w:rsidRPr="00F41EF8" w:rsidRDefault="00F35758" w:rsidP="00F35758">
      <w:pPr>
        <w:pStyle w:val="NormalHanging12a"/>
        <w:widowControl/>
      </w:pPr>
      <w:r w:rsidRPr="00F41EF8">
        <w:t>–</w:t>
      </w:r>
      <w:r w:rsidRPr="00F41EF8">
        <w:tab/>
        <w:t>Visto el documento de trabajo de los servicios de la Comisión, de 11 de octubre de 2022, titulado «Individual information sheet on implementation of EU Trade Agreements» (Fichas informativas por país sobre la aplicación de los acuerdos comerciales de la UE) (</w:t>
      </w:r>
      <w:proofErr w:type="gramStart"/>
      <w:r w:rsidRPr="00F41EF8">
        <w:t>SWD(</w:t>
      </w:r>
      <w:proofErr w:type="gramEnd"/>
      <w:r w:rsidRPr="00F41EF8">
        <w:t>2022)0730),</w:t>
      </w:r>
    </w:p>
    <w:p w:rsidR="00F35758" w:rsidRPr="00F41EF8" w:rsidRDefault="00F35758" w:rsidP="00F35758">
      <w:pPr>
        <w:pStyle w:val="NormalHanging12a"/>
        <w:widowControl/>
      </w:pPr>
      <w:r w:rsidRPr="00F41EF8">
        <w:t>–</w:t>
      </w:r>
      <w:r w:rsidRPr="00F41EF8">
        <w:tab/>
        <w:t>Visto el documento de posición de la Comisión sobre la evaluación del impacto sobre la sostenibilidad en apoyo de las negociaciones comerciales con Angola para su adhesión al Acuerdo de Asociación Económica UE-SADC,</w:t>
      </w:r>
    </w:p>
    <w:p w:rsidR="00F35758" w:rsidRPr="00F41EF8" w:rsidRDefault="00F35758" w:rsidP="00F35758">
      <w:pPr>
        <w:pStyle w:val="NormalHanging12a"/>
        <w:widowControl/>
      </w:pPr>
      <w:r w:rsidRPr="00F41EF8">
        <w:t>–</w:t>
      </w:r>
      <w:r w:rsidRPr="00F41EF8">
        <w:tab/>
        <w:t>Visto el Acuerdo entre la Unión Europea y la República de Angola relativo a la facilitación de las inversiones sostenibles,</w:t>
      </w:r>
    </w:p>
    <w:p w:rsidR="00F35758" w:rsidRPr="00F41EF8" w:rsidRDefault="00F35758" w:rsidP="00F35758">
      <w:pPr>
        <w:pStyle w:val="NormalHanging12a"/>
        <w:widowControl/>
      </w:pPr>
      <w:r w:rsidRPr="00F41EF8">
        <w:t>–</w:t>
      </w:r>
      <w:r w:rsidRPr="00F41EF8">
        <w:tab/>
        <w:t>Vista la Convención Marco de las Naciones Unidas sobre el Cambio Climático, incluido el Acuerdo de París de 2015,</w:t>
      </w:r>
    </w:p>
    <w:p w:rsidR="00F35758" w:rsidRPr="00F41EF8" w:rsidRDefault="00F35758" w:rsidP="00F35758">
      <w:pPr>
        <w:pStyle w:val="NormalHanging12a"/>
        <w:widowControl/>
      </w:pPr>
      <w:r w:rsidRPr="00F41EF8">
        <w:t>–</w:t>
      </w:r>
      <w:r w:rsidRPr="00F41EF8">
        <w:tab/>
        <w:t>Vista la Agenda 2030 para el Desarrollo Sostenible de las Naciones Unidas,</w:t>
      </w:r>
    </w:p>
    <w:p w:rsidR="00F35758" w:rsidRPr="00F41EF8" w:rsidRDefault="00F35758" w:rsidP="00F35758">
      <w:pPr>
        <w:pStyle w:val="NormalHanging12a"/>
        <w:widowControl/>
      </w:pPr>
      <w:r w:rsidRPr="00F41EF8">
        <w:t>–</w:t>
      </w:r>
      <w:r w:rsidRPr="00F41EF8">
        <w:tab/>
        <w:t>Vista la publicación de la Conferencia de las Naciones Unidas sobre Comercio y Desarrollo (UNCTAD), de 19 de octubre de 2021, titulada «Transforming Southern Africa: Harnessing Regional Value Chains and Industrial Policy for Development» (Transformar el África Meridional: aprovechar las cadenas de valor regionales y la política industrial para el desarrollo),</w:t>
      </w:r>
    </w:p>
    <w:p w:rsidR="00F35758" w:rsidRPr="00F41EF8" w:rsidRDefault="00F35758" w:rsidP="00F35758">
      <w:pPr>
        <w:pStyle w:val="NormalHanging12a"/>
        <w:widowControl/>
      </w:pPr>
      <w:r w:rsidRPr="00F41EF8">
        <w:t>–</w:t>
      </w:r>
      <w:r w:rsidRPr="00F41EF8">
        <w:tab/>
        <w:t>Visto el acuerdo para la creación de la zona de libre comercio continental africana,</w:t>
      </w:r>
    </w:p>
    <w:p w:rsidR="00F35758" w:rsidRPr="00F41EF8" w:rsidRDefault="00F35758" w:rsidP="00F35758">
      <w:pPr>
        <w:pStyle w:val="NormalHanging12a"/>
        <w:widowControl/>
      </w:pPr>
      <w:r w:rsidRPr="00F41EF8">
        <w:t>–</w:t>
      </w:r>
      <w:r w:rsidRPr="00F41EF8">
        <w:tab/>
        <w:t>Vista la declaración conjunta de la 26.ª reunión interparlamentaria UE-Sudáfrica, que tuvo lugar los días 31 de octubre y 1 de noviembre de 2018,</w:t>
      </w:r>
    </w:p>
    <w:p w:rsidR="00F35758" w:rsidRPr="00F41EF8" w:rsidRDefault="00F35758" w:rsidP="00F35758">
      <w:pPr>
        <w:pStyle w:val="NormalHanging12a"/>
        <w:widowControl/>
      </w:pPr>
      <w:r w:rsidRPr="00F41EF8">
        <w:t>–</w:t>
      </w:r>
      <w:r w:rsidRPr="00F41EF8">
        <w:tab/>
        <w:t>Visto el plan SADC Vision 2050,</w:t>
      </w:r>
    </w:p>
    <w:p w:rsidR="00F35758" w:rsidRPr="00F41EF8" w:rsidRDefault="00F35758" w:rsidP="00F35758">
      <w:pPr>
        <w:pStyle w:val="NormalHanging12a"/>
        <w:widowControl/>
      </w:pPr>
      <w:r w:rsidRPr="00F41EF8">
        <w:t>–</w:t>
      </w:r>
      <w:r w:rsidRPr="00F41EF8">
        <w:tab/>
        <w:t>Vistas la Estrategia de Industrialización y la Hoja de Ruta 2015-2063 de la SADC,</w:t>
      </w:r>
    </w:p>
    <w:p w:rsidR="00F35758" w:rsidRPr="00F41EF8" w:rsidRDefault="00F35758" w:rsidP="00F35758">
      <w:pPr>
        <w:pStyle w:val="NormalHanging12a"/>
        <w:widowControl/>
      </w:pPr>
      <w:r w:rsidRPr="00F41EF8">
        <w:t>–</w:t>
      </w:r>
      <w:r w:rsidRPr="00F41EF8">
        <w:tab/>
        <w:t>Visto el dictamen de propia iniciativa del Comité Económico y Social Europeo</w:t>
      </w:r>
      <w:r w:rsidR="00B80AB7">
        <w:t xml:space="preserve"> </w:t>
      </w:r>
      <w:r w:rsidRPr="00F41EF8">
        <w:t>titulado «Un enfoque de “nueva generación” para el comercio y el desarrollo sostenible – Revisión del plan de acción de quince puntos»</w:t>
      </w:r>
      <w:r w:rsidRPr="00F41EF8">
        <w:rPr>
          <w:rStyle w:val="FootnoteReference"/>
        </w:rPr>
        <w:footnoteReference w:id="6"/>
      </w:r>
      <w:r w:rsidRPr="00F41EF8">
        <w:t>,</w:t>
      </w:r>
    </w:p>
    <w:p w:rsidR="00F35758" w:rsidRPr="00F41EF8" w:rsidRDefault="00F35758" w:rsidP="00F35758">
      <w:pPr>
        <w:pStyle w:val="NormalHanging12a"/>
        <w:widowControl/>
      </w:pPr>
      <w:r w:rsidRPr="00F41EF8">
        <w:t>–</w:t>
      </w:r>
      <w:r w:rsidRPr="00F41EF8">
        <w:tab/>
        <w:t xml:space="preserve">Visto el informe inicial de la evaluación </w:t>
      </w:r>
      <w:r w:rsidRPr="00F41EF8">
        <w:rPr>
          <w:i/>
          <w:iCs/>
        </w:rPr>
        <w:t>ex post</w:t>
      </w:r>
      <w:r w:rsidRPr="00F41EF8">
        <w:t xml:space="preserve"> del Acuerdo de Asociación Económica UE-SADC, de 21 de junio de 2023,</w:t>
      </w:r>
    </w:p>
    <w:p w:rsidR="00F35758" w:rsidRPr="00F41EF8" w:rsidRDefault="00F35758" w:rsidP="00F35758">
      <w:pPr>
        <w:pStyle w:val="NormalHanging12a"/>
        <w:widowControl/>
      </w:pPr>
      <w:r w:rsidRPr="00F41EF8">
        <w:lastRenderedPageBreak/>
        <w:t>–</w:t>
      </w:r>
      <w:r w:rsidRPr="00F41EF8">
        <w:tab/>
        <w:t xml:space="preserve">Vistas las reuniones del Comité de Comercio y Desarrollo del Acuerdo de Asociación Económica UE-SADC, en particular sus </w:t>
      </w:r>
      <w:proofErr w:type="gramStart"/>
      <w:r w:rsidRPr="00F41EF8">
        <w:t>reuniones sexta</w:t>
      </w:r>
      <w:proofErr w:type="gramEnd"/>
      <w:r w:rsidRPr="00F41EF8">
        <w:t xml:space="preserve"> a novena,</w:t>
      </w:r>
    </w:p>
    <w:p w:rsidR="00F35758" w:rsidRPr="00F41EF8" w:rsidRDefault="00F35758" w:rsidP="00F35758">
      <w:pPr>
        <w:pStyle w:val="NormalHanging12a"/>
        <w:widowControl/>
      </w:pPr>
      <w:r w:rsidRPr="00F41EF8">
        <w:t>–</w:t>
      </w:r>
      <w:r w:rsidRPr="00F41EF8">
        <w:tab/>
        <w:t>Visto el informe mundial sobre las crisis alimentarias de 2021,</w:t>
      </w:r>
    </w:p>
    <w:p w:rsidR="00F35758" w:rsidRPr="00F41EF8" w:rsidRDefault="00F35758" w:rsidP="00F35758">
      <w:pPr>
        <w:pStyle w:val="NormalHanging12a"/>
        <w:widowControl/>
      </w:pPr>
      <w:r w:rsidRPr="00F41EF8">
        <w:t>–</w:t>
      </w:r>
      <w:r w:rsidRPr="00F41EF8">
        <w:tab/>
        <w:t>Visto el estudio de la Dirección General de Servicios de Estudios Parlamentarios del Parlamento Europeo, de 22 de noviembre de 2023, titulado «EU-Southern African Development Community agreement: A geo-economic perspective»</w:t>
      </w:r>
      <w:r w:rsidRPr="00F41EF8">
        <w:rPr>
          <w:rStyle w:val="FootnoteReference"/>
        </w:rPr>
        <w:footnoteReference w:id="7"/>
      </w:r>
      <w:r w:rsidRPr="00F41EF8">
        <w:t xml:space="preserve"> (El Acuerdo UE-Comunidad para el Desarrollo del África Meridional: una perspectiva geoeconómica),</w:t>
      </w:r>
    </w:p>
    <w:p w:rsidR="00F35758" w:rsidRPr="00F41EF8" w:rsidRDefault="00F35758" w:rsidP="00F35758">
      <w:pPr>
        <w:pStyle w:val="NormalHanging12a"/>
        <w:widowControl/>
      </w:pPr>
      <w:r w:rsidRPr="00F41EF8">
        <w:t>–</w:t>
      </w:r>
      <w:r w:rsidRPr="00F41EF8">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F35758" w:rsidRPr="00F41EF8" w:rsidRDefault="00F35758" w:rsidP="00F35758">
      <w:pPr>
        <w:pStyle w:val="NormalHanging12a"/>
        <w:widowControl/>
      </w:pPr>
      <w:r w:rsidRPr="00F41EF8">
        <w:t>–</w:t>
      </w:r>
      <w:r w:rsidRPr="00F41EF8">
        <w:tab/>
        <w:t>Vista la opinión de la Comisión de Desarrollo,</w:t>
      </w:r>
    </w:p>
    <w:p w:rsidR="00F35758" w:rsidRPr="00F41EF8" w:rsidRDefault="00F35758" w:rsidP="00F35758">
      <w:pPr>
        <w:pStyle w:val="NormalHanging12a"/>
        <w:widowControl/>
      </w:pPr>
      <w:r w:rsidRPr="00F41EF8">
        <w:t>–</w:t>
      </w:r>
      <w:r w:rsidRPr="00F41EF8">
        <w:tab/>
        <w:t>Visto el informe de la Comisión de Come</w:t>
      </w:r>
      <w:r w:rsidR="00B80AB7">
        <w:t>rcio Internacional (A9-0024/2024</w:t>
      </w:r>
      <w:r w:rsidRPr="00F41EF8">
        <w:t>),</w:t>
      </w:r>
    </w:p>
    <w:p w:rsidR="00F35758" w:rsidRPr="00F41EF8" w:rsidRDefault="00F35758" w:rsidP="00F35758">
      <w:pPr>
        <w:pStyle w:val="NormalHanging12a"/>
        <w:widowControl/>
      </w:pPr>
      <w:r w:rsidRPr="00F41EF8">
        <w:t>A.</w:t>
      </w:r>
      <w:r w:rsidRPr="00F41EF8">
        <w:tab/>
        <w:t>Considerando que los cambios geopolíticos, en particular la pandemia de COVID-19, la guerra de agresión de Rusia contra Ucrania y sus consecuencias económicas, han conducido al reposicionamiento de África y a que los países del Sur Global desempeñen un papel más autodeterminado en el escenario mundial, promoviendo sus propios intereses y contribuciones;</w:t>
      </w:r>
    </w:p>
    <w:p w:rsidR="00F35758" w:rsidRPr="00F41EF8" w:rsidRDefault="00F35758" w:rsidP="00F35758">
      <w:pPr>
        <w:pStyle w:val="NormalHanging12a"/>
        <w:widowControl/>
      </w:pPr>
      <w:r w:rsidRPr="00F41EF8">
        <w:t>B.</w:t>
      </w:r>
      <w:r w:rsidRPr="00F41EF8">
        <w:tab/>
        <w:t>Considerando que la asociación de importantes países del Sur Global en la alianza de los países BRICS (Brasil, Rusia, India, China y Sudáfrica), que se ampliará a seis países más a partir de 2024 a raíz de la decisión de la cumbre de los países BRICS de agosto de 2023, subraya la importancia de mantener la cooperación con las naciones del Sur Global en condiciones igualitarias y equitativas;</w:t>
      </w:r>
    </w:p>
    <w:p w:rsidR="00F35758" w:rsidRPr="00F41EF8" w:rsidRDefault="00F35758" w:rsidP="00F35758">
      <w:pPr>
        <w:pStyle w:val="NormalHanging12a"/>
        <w:widowControl/>
      </w:pPr>
      <w:r w:rsidRPr="00F41EF8">
        <w:t>C.</w:t>
      </w:r>
      <w:r w:rsidRPr="00F41EF8">
        <w:tab/>
        <w:t>Considerando que Sudáfrica desempeña una función destacada como puente entre la Unión Europea y el continente africano y como socio a la hora de abordar los retos mundiales;</w:t>
      </w:r>
    </w:p>
    <w:p w:rsidR="00F35758" w:rsidRPr="00F41EF8" w:rsidRDefault="00F35758" w:rsidP="00F35758">
      <w:pPr>
        <w:pStyle w:val="NormalHanging12a"/>
        <w:widowControl/>
      </w:pPr>
      <w:r w:rsidRPr="00F41EF8">
        <w:t>D.</w:t>
      </w:r>
      <w:r w:rsidRPr="00F41EF8">
        <w:tab/>
        <w:t>Considerando que el Acuerdo posterior a</w:t>
      </w:r>
      <w:bookmarkStart w:id="8" w:name="_GoBack"/>
      <w:bookmarkEnd w:id="8"/>
      <w:r w:rsidRPr="00F41EF8">
        <w:t xml:space="preserve"> Cotonú se convertirá en el nuevo marco general para todos los AAE, incluido el celebrado con la SADC, así como en una referencia clave para las futuras revisiones de estos acuerdos;</w:t>
      </w:r>
    </w:p>
    <w:p w:rsidR="00F35758" w:rsidRPr="00F41EF8" w:rsidRDefault="00F35758" w:rsidP="00F35758">
      <w:pPr>
        <w:pStyle w:val="NormalHanging12a"/>
        <w:widowControl/>
      </w:pPr>
      <w:r w:rsidRPr="00F41EF8">
        <w:t>E.</w:t>
      </w:r>
      <w:r w:rsidRPr="00F41EF8">
        <w:tab/>
        <w:t>Considerando que la plena participación de todas las partes interesadas, especialmente de la sociedad civil, los representantes del mundo empresarial y los sindicatos, en la aplicación y el seguimiento del Acuerdo de Asociación Económica UE-SADC es esencial para la determinación oportuna de los retos, oportunidades y prioridades y para el seguimiento de las respectivas acciones acordadas;</w:t>
      </w:r>
    </w:p>
    <w:p w:rsidR="00F35758" w:rsidRPr="00F41EF8" w:rsidRDefault="00F35758" w:rsidP="00F35758">
      <w:pPr>
        <w:pStyle w:val="NormalHanging12a"/>
        <w:widowControl/>
      </w:pPr>
      <w:r w:rsidRPr="00F41EF8">
        <w:t>F.</w:t>
      </w:r>
      <w:r w:rsidRPr="00F41EF8">
        <w:tab/>
        <w:t xml:space="preserve">Considerando que Angola se encuentra en el proceso de adherirse al Acuerdo de Asociación Económica UE-SADC, y que la Unión y Angola han concluido las </w:t>
      </w:r>
      <w:r w:rsidRPr="00F41EF8">
        <w:lastRenderedPageBreak/>
        <w:t>negociaciones sobre un acuerdo de facilitación de inversiones sostenibles entre ambas partes;</w:t>
      </w:r>
    </w:p>
    <w:p w:rsidR="00F35758" w:rsidRPr="00F41EF8" w:rsidRDefault="00F35758" w:rsidP="00F35758">
      <w:pPr>
        <w:pStyle w:val="NormalHanging12a"/>
        <w:widowControl/>
      </w:pPr>
      <w:r w:rsidRPr="00F41EF8">
        <w:t>G.</w:t>
      </w:r>
      <w:r w:rsidRPr="00F41EF8">
        <w:tab/>
        <w:t>Considerando que el trato especial y diferenciado constituye un principio fundamental de la Organización Mundial del Comercio (OMC) y que las relaciones comerciales de la Unión con los países en desarrollo deben guiarse por el principio de coherencia de las políticas en favor del desarrollo;</w:t>
      </w:r>
    </w:p>
    <w:p w:rsidR="00F35758" w:rsidRPr="00F41EF8" w:rsidRDefault="00F35758" w:rsidP="00F35758">
      <w:pPr>
        <w:pStyle w:val="NormalHanging12a"/>
        <w:widowControl/>
      </w:pPr>
      <w:r w:rsidRPr="00F41EF8">
        <w:t>H.</w:t>
      </w:r>
      <w:r w:rsidRPr="00F41EF8">
        <w:tab/>
        <w:t>Considerando que la desigualdad de género cuesta al África subsahariana, de media, un 6 % del PIB anual de la región, poniendo en peligro los esfuerzos del continente por lograr un desarrollo humano y un crecimiento económico inclusivos; que un incremento del 1 % en la desigualdad de género reduce el índice de desarrollo humano de un país en un 0,75 %;</w:t>
      </w:r>
    </w:p>
    <w:p w:rsidR="00F35758" w:rsidRPr="00F41EF8" w:rsidRDefault="00F35758" w:rsidP="00F35758">
      <w:pPr>
        <w:pStyle w:val="NormalHanging12a"/>
        <w:widowControl/>
      </w:pPr>
      <w:r w:rsidRPr="00F41EF8">
        <w:t>I.</w:t>
      </w:r>
      <w:r w:rsidRPr="00F41EF8">
        <w:tab/>
        <w:t>Considerando que los Estados del AAE de la SADC deben hacer frente a desafíos como las profundas desigualdades y la enorme dependencia de las exportaciones de materias primas y productos agrícolas no transformados;</w:t>
      </w:r>
    </w:p>
    <w:p w:rsidR="00F35758" w:rsidRPr="00F41EF8" w:rsidRDefault="00F35758" w:rsidP="00F35758">
      <w:pPr>
        <w:pStyle w:val="NormalHanging12a"/>
        <w:widowControl/>
      </w:pPr>
      <w:r w:rsidRPr="00F41EF8">
        <w:t>J.</w:t>
      </w:r>
      <w:r w:rsidRPr="00F41EF8">
        <w:tab/>
        <w:t>Considerando que se ha demostrado que estas desigualdades son un obstáculo para los esfuerzos de industrialización de base amplia, y a veces conducen a la corrupción, y que requieren el desarrollo de políticas diferenciadas para hacer frente a las desigualdades económicas en los países de la región de la SADC y entre ellos;</w:t>
      </w:r>
    </w:p>
    <w:p w:rsidR="00F35758" w:rsidRPr="00F41EF8" w:rsidRDefault="00F35758" w:rsidP="00F35758">
      <w:pPr>
        <w:pStyle w:val="NormalHanging12a"/>
        <w:widowControl/>
      </w:pPr>
      <w:r w:rsidRPr="00F41EF8">
        <w:t>K.</w:t>
      </w:r>
      <w:r w:rsidRPr="00F41EF8">
        <w:tab/>
        <w:t>Considerando que el plan SADC Vision 2050 se basa en tres pilares: desarrollo industrial e integración del mercado, desarrollo de infraestructuras en apoyo de la integración regional y desarrollo del capital social y humano;</w:t>
      </w:r>
    </w:p>
    <w:p w:rsidR="00F35758" w:rsidRPr="00F41EF8" w:rsidRDefault="00F35758" w:rsidP="00F35758">
      <w:pPr>
        <w:pStyle w:val="NormalHanging12a"/>
        <w:widowControl/>
      </w:pPr>
      <w:r w:rsidRPr="00F41EF8">
        <w:t>L.</w:t>
      </w:r>
      <w:r w:rsidRPr="00F41EF8">
        <w:tab/>
        <w:t>Considerando que la Estrategia de Industrialización y la Hoja de Ruta 2015-2063 de la SADC señalan tres vías de crecimiento preferidas para la industrialización basada en los recursos en la región: la transformación de productos básicos agrícolas, la transformación de minerales y las cadenas de valor industriales y de servicios;</w:t>
      </w:r>
    </w:p>
    <w:p w:rsidR="00F35758" w:rsidRPr="00F41EF8" w:rsidRDefault="00F35758" w:rsidP="00F35758">
      <w:pPr>
        <w:pStyle w:val="NormalHanging12a"/>
        <w:widowControl/>
      </w:pPr>
      <w:r w:rsidRPr="00F41EF8">
        <w:t>M.</w:t>
      </w:r>
      <w:r w:rsidRPr="00F41EF8">
        <w:tab/>
        <w:t>Considerando que los países en desarrollo se enfrentan a un déficit de financiación anual de 2</w:t>
      </w:r>
      <w:r w:rsidR="00D85C69" w:rsidRPr="00F41EF8">
        <w:t> </w:t>
      </w:r>
      <w:r w:rsidRPr="00F41EF8">
        <w:t>5</w:t>
      </w:r>
      <w:r w:rsidR="00D85C69" w:rsidRPr="00F41EF8">
        <w:t>00 000 000 000 USD</w:t>
      </w:r>
      <w:r w:rsidRPr="00F41EF8">
        <w:t xml:space="preserve"> para alcanzar los Objetivos de Desarrollo Sostenible (ODS) antes de 2030; que la inversión extranjera directa (IED) es un instrumento para la financiación de la Agenda 2030 para el Desarrollo Sostenible y de los correspondientes ODS; que este capital puede apoyar la creación de empleo y las mejoras sociales y medioambientales establecidas en los ODS; que el objetivo de atraer inversiones debe ir acompañado del reconocimiento, en el contexto de los acuerdos internacionales de inversión (AII), de que las partes en estos acuerdos deben tratar de mejorar sus niveles de protección medioambiental o laboral, y no debilitarlos ni reducirlos;</w:t>
      </w:r>
    </w:p>
    <w:p w:rsidR="00F35758" w:rsidRPr="00F41EF8" w:rsidRDefault="00F35758" w:rsidP="00F35758">
      <w:pPr>
        <w:pStyle w:val="NormalHanging12a"/>
        <w:widowControl/>
      </w:pPr>
      <w:r w:rsidRPr="00F41EF8">
        <w:t>N.</w:t>
      </w:r>
      <w:r w:rsidRPr="00F41EF8">
        <w:tab/>
        <w:t>Considerando que el objetivo de la Estrategia de Industrialización y la Hoja de Ruta 2015-2063 de la SADC es desarrollar las cadenas de valor regionales y mundiales y participar en ellas;</w:t>
      </w:r>
    </w:p>
    <w:p w:rsidR="00F35758" w:rsidRPr="00F41EF8" w:rsidRDefault="00F35758" w:rsidP="00F35758">
      <w:pPr>
        <w:pStyle w:val="NormalHanging12a"/>
        <w:widowControl/>
      </w:pPr>
      <w:r w:rsidRPr="00F41EF8">
        <w:t>O.</w:t>
      </w:r>
      <w:r w:rsidRPr="00F41EF8">
        <w:tab/>
        <w:t>Considerando que se necesita una infraestructura digital y de transporte para desarrollar cadenas de valor regionales e integrar cada vez más a los Estados de la SADC en las cadenas de valor mundiales;</w:t>
      </w:r>
    </w:p>
    <w:p w:rsidR="00F35758" w:rsidRPr="00F41EF8" w:rsidRDefault="00F35758" w:rsidP="00F35758">
      <w:pPr>
        <w:pStyle w:val="NormalHanging12a"/>
        <w:widowControl/>
      </w:pPr>
      <w:r w:rsidRPr="00F41EF8">
        <w:lastRenderedPageBreak/>
        <w:t>P.</w:t>
      </w:r>
      <w:r w:rsidRPr="00F41EF8">
        <w:tab/>
        <w:t>Considerando que los elementos cruciales para lograr la participación en la cadena de valor son la financiación, las capacidades, la tecnología, la infraestructura y la logística;</w:t>
      </w:r>
    </w:p>
    <w:p w:rsidR="00F35758" w:rsidRPr="00F41EF8" w:rsidRDefault="00F35758" w:rsidP="00F35758">
      <w:pPr>
        <w:pStyle w:val="NormalHanging12a"/>
        <w:widowControl/>
      </w:pPr>
      <w:r w:rsidRPr="00F41EF8">
        <w:t>Q.</w:t>
      </w:r>
      <w:r w:rsidRPr="00F41EF8">
        <w:tab/>
        <w:t>Considerando que la pandemia de COVID-19 ha ampliado significativamente el déficit de inversión en los Estados del AAE de la SADC y ha limitado su margen presupuestario;</w:t>
      </w:r>
    </w:p>
    <w:p w:rsidR="00F35758" w:rsidRPr="00F41EF8" w:rsidRDefault="00F35758" w:rsidP="00F35758">
      <w:pPr>
        <w:pStyle w:val="NormalHanging12a"/>
        <w:widowControl/>
      </w:pPr>
      <w:r w:rsidRPr="00F41EF8">
        <w:t>R.</w:t>
      </w:r>
      <w:r w:rsidRPr="00F41EF8">
        <w:tab/>
        <w:t>Considerando que las consecuencias de las medidas adoptadas para impedir la propagación de la COVID-19 han afectado significativamente a los medios de vida de la población, en particular, en Esuatini y en Lesoto, que dependen del cruce de fronteras y de trabajadores de Sudáfrica;</w:t>
      </w:r>
    </w:p>
    <w:p w:rsidR="00F35758" w:rsidRPr="00F41EF8" w:rsidRDefault="00F35758" w:rsidP="00F35758">
      <w:pPr>
        <w:pStyle w:val="NormalHanging12a"/>
        <w:widowControl/>
      </w:pPr>
      <w:r w:rsidRPr="00F41EF8">
        <w:t>S.</w:t>
      </w:r>
      <w:r w:rsidRPr="00F41EF8">
        <w:tab/>
        <w:t>Considerando que la volatilidad de los precios de las materias primas durante la pandemia de COVID-19 causó daños económicos a los Estados del AAE de la SADC que dependen de los ingresos fiscales procedentes de las industrias extractivas;</w:t>
      </w:r>
    </w:p>
    <w:p w:rsidR="00F35758" w:rsidRPr="00F41EF8" w:rsidRDefault="00F35758" w:rsidP="00F35758">
      <w:pPr>
        <w:pStyle w:val="NormalHanging12a"/>
        <w:widowControl/>
      </w:pPr>
      <w:r w:rsidRPr="00F41EF8">
        <w:t>T.</w:t>
      </w:r>
      <w:r w:rsidRPr="00F41EF8">
        <w:tab/>
        <w:t>Considerando que el bajo nivel de producción local de productos sanitarios mantiene la dependencia que tiene la región de la producción internacional para la adquisición de productos sanitarios vitales, incluidas las vacunas esenciales contra la COVID-19;</w:t>
      </w:r>
    </w:p>
    <w:p w:rsidR="00F35758" w:rsidRPr="00F41EF8" w:rsidRDefault="00F35758" w:rsidP="00F35758">
      <w:pPr>
        <w:pStyle w:val="NormalHanging12a"/>
        <w:widowControl/>
        <w:rPr>
          <w:b/>
          <w:i/>
        </w:rPr>
      </w:pPr>
      <w:r w:rsidRPr="00F41EF8">
        <w:rPr>
          <w:b/>
          <w:i/>
        </w:rPr>
        <w:t>Proceso de seguimiento y revisión del AAE</w:t>
      </w:r>
    </w:p>
    <w:p w:rsidR="00F35758" w:rsidRPr="00F41EF8" w:rsidRDefault="00F35758" w:rsidP="00F35758">
      <w:pPr>
        <w:pStyle w:val="NormalHanging12a"/>
        <w:widowControl/>
      </w:pPr>
      <w:r w:rsidRPr="00F41EF8">
        <w:t>1.</w:t>
      </w:r>
      <w:r w:rsidRPr="00F41EF8">
        <w:tab/>
        <w:t xml:space="preserve">Acoge con satisfacción el primer proceso de revisión iniciado en noviembre de 2021, tras la aplicación provisional del AAE desde 2016, y espera que pueda demostrar el vínculo entre el AAE y el desarrollo sostenible; pide a la Comisión que colabore con los socios de la SADC para promover un comercio justo, inclusivo y sostenible, de modo que el AAE, cuando se aplique eficazmente, pueda garantizar el desarrollo sostenible en la región y contribuir al mismo; insta a la Comisión que analice exhaustivamente en la evaluación </w:t>
      </w:r>
      <w:r w:rsidRPr="00F41EF8">
        <w:rPr>
          <w:i/>
        </w:rPr>
        <w:t>ex post</w:t>
      </w:r>
      <w:r w:rsidRPr="00F41EF8">
        <w:t xml:space="preserve"> del Acuerdo de Asociación Económica UE-SADC el impacto del AAE en los ODS, en las economías informal y local, en la integración regional y panafricana, en la diversificación económica, en la lucha contra el cambio climático, incluida la contribución de las industrias nacionales a dicho esfuerzo, y el apoyo efectivo de Global Gateway y del programa de la Unión sobre ayuda al comercio en el contexto del Acuerdo de Asociación Económica UE-SADC; recuerda que el presente acuerdo se centra principalmente en el comercio de mercancías y no concierne al comercio de servicios, las inversiones u otros asuntos como los derechos de propiedad intelectual, la competencia y la contratación pública; insta a las Partes a considerar estas cuestiones en las futuras revisiones, ya que existe una disposición para negociar sobre estos aspectos en el futuro;</w:t>
      </w:r>
    </w:p>
    <w:p w:rsidR="00F35758" w:rsidRPr="00F41EF8" w:rsidRDefault="00F35758" w:rsidP="00F35758">
      <w:pPr>
        <w:pStyle w:val="NormalHanging12a"/>
        <w:widowControl/>
      </w:pPr>
      <w:r w:rsidRPr="00F41EF8">
        <w:t>2.</w:t>
      </w:r>
      <w:r w:rsidRPr="00F41EF8">
        <w:tab/>
        <w:t>Reitera su posición sobre la importancia que reviste la participación de la sociedad civil en la aplicación y en el seguimiento del AAE; lamenta que se haya observado una participación limitada de la sociedad civil durante la aplicación del AAE; destaca, en este sentido, que es imperativo promover activamente la participación de la sociedad civil; observa que la participación activa de las organizaciones y de las partes interesadas de la sociedad civil —incluidos los grupos de mujeres y las organizaciones estudiantiles— en el proceso de seguimiento y evaluación puede ofrecer valiosas aportaciones e información sobre el impacto que tiene el acuerdo en las mujeres y en los jóvenes;</w:t>
      </w:r>
    </w:p>
    <w:p w:rsidR="00F35758" w:rsidRPr="00F41EF8" w:rsidRDefault="00F35758" w:rsidP="00F35758">
      <w:pPr>
        <w:pStyle w:val="NormalHanging12a"/>
        <w:widowControl/>
      </w:pPr>
      <w:r w:rsidRPr="00F41EF8">
        <w:lastRenderedPageBreak/>
        <w:t>3.</w:t>
      </w:r>
      <w:r w:rsidRPr="00F41EF8">
        <w:tab/>
        <w:t>Reconoce que la preparación del informe de seguimiento conjunto del AAE avanza a un ritmo más lento de lo previsto; es consciente de las limitaciones de capacidad a las que se enfrentan los Estados del AAE de la SADC a este respecto; recuerda que, conforme al nuevo enfoque de comercio y desarrollo sostenible, todas las partes interesadas pertinentes, como las organizaciones de la sociedad civil, los representantes del sector empresarial y los sindicatos, deben participar en este ejercicio de balance y es necesario animarlas a que formulen propuestas para maximizar la eficacia del AAE, y que el AAE debe modernizarse para crear un grupo consultivo interno, lo que ya se ha convertido en una práctica habitual en otros AAE; aboga por una participación más estructurada de las partes interesadas con respecto a la aplicación concreta de todos los aspectos en materia de sostenibilidad en el Acuerdo de Asociación Económica UE-SADC; insta a los Estados del AAE de la SADC a que cumplan los compromisos acordados en virtud del AAE para atraer a los agentes de la sociedad civil;</w:t>
      </w:r>
    </w:p>
    <w:p w:rsidR="00F35758" w:rsidRPr="00F41EF8" w:rsidRDefault="00F35758" w:rsidP="00F35758">
      <w:pPr>
        <w:pStyle w:val="NormalHanging12a"/>
        <w:widowControl/>
      </w:pPr>
      <w:r w:rsidRPr="00F41EF8">
        <w:t>4.</w:t>
      </w:r>
      <w:r w:rsidRPr="00F41EF8">
        <w:tab/>
        <w:t>Reconoce que hacen falta regímenes transitorios flexibles para que los Estados del AAE de la SADC cumplan los requisitos en materia de comercio y desarrollo sostenible en el AAE y otros compromisos internacionales;</w:t>
      </w:r>
    </w:p>
    <w:p w:rsidR="00F35758" w:rsidRPr="00F41EF8" w:rsidRDefault="00F35758" w:rsidP="00F35758">
      <w:pPr>
        <w:pStyle w:val="NormalHanging12a"/>
        <w:widowControl/>
      </w:pPr>
      <w:r w:rsidRPr="00F41EF8">
        <w:t>5.</w:t>
      </w:r>
      <w:r w:rsidRPr="00F41EF8">
        <w:tab/>
        <w:t>Espera que, en función del resultado de la revisión, el AAE se adapte o pueda ampliarse a acuerdos complementarios con el fin de consolidar y profundizar la asociación entre la Unión y los países del África Meridional en respuesta a los cambios geopolíticos y a los desafíos que plantea el cambio climático;</w:t>
      </w:r>
    </w:p>
    <w:p w:rsidR="00F35758" w:rsidRPr="00F41EF8" w:rsidRDefault="00F35758" w:rsidP="00F35758">
      <w:pPr>
        <w:pStyle w:val="NormalHanging12a"/>
        <w:widowControl/>
      </w:pPr>
      <w:r w:rsidRPr="00F41EF8">
        <w:t>6.</w:t>
      </w:r>
      <w:r w:rsidRPr="00F41EF8">
        <w:tab/>
        <w:t>Acoge favorablemente los objetivos de descarbonización de Angola, un país que ha dependido excesivamente de sus industrias extractivas;</w:t>
      </w:r>
    </w:p>
    <w:p w:rsidR="00F35758" w:rsidRPr="00F41EF8" w:rsidRDefault="00F35758" w:rsidP="00F35758">
      <w:pPr>
        <w:pStyle w:val="NormalHanging12a"/>
        <w:widowControl/>
      </w:pPr>
      <w:r w:rsidRPr="00F41EF8">
        <w:t>7.</w:t>
      </w:r>
      <w:r w:rsidRPr="00F41EF8">
        <w:tab/>
        <w:t>Celebra que, en el marco del Acuerdo sobre la Facilitación de las Inversiones Sostenibles entre la Unión y Angola, se prevean medidas de refuerzo de la capacidad presupuestaria;</w:t>
      </w:r>
    </w:p>
    <w:p w:rsidR="00F35758" w:rsidRPr="00F41EF8" w:rsidRDefault="00F35758" w:rsidP="00F35758">
      <w:pPr>
        <w:pStyle w:val="NormalHanging12a"/>
        <w:widowControl/>
        <w:rPr>
          <w:b/>
          <w:i/>
        </w:rPr>
      </w:pPr>
      <w:r w:rsidRPr="00F41EF8">
        <w:rPr>
          <w:b/>
          <w:i/>
        </w:rPr>
        <w:t>Balanza comercial</w:t>
      </w:r>
    </w:p>
    <w:p w:rsidR="00F35758" w:rsidRPr="00F41EF8" w:rsidRDefault="00F35758" w:rsidP="00F35758">
      <w:pPr>
        <w:widowControl/>
        <w:spacing w:after="240"/>
        <w:ind w:left="567" w:hanging="567"/>
      </w:pPr>
      <w:r w:rsidRPr="00F41EF8">
        <w:t>8.</w:t>
      </w:r>
      <w:r w:rsidRPr="00F41EF8">
        <w:tab/>
        <w:t>Acoge con satisfacción que las relaciones comerciales entre la Unión y los Estados del AAE de la SADC se hayan ampliado considerablemente a escalas regional y bilateral, y que los Estados del AAE de la SADC hayan podido lograr un superávit comercial; considera que esto demuestra la contribución positiva del AAE al desarrollo económico, si bien los efectos positivos esperados en el empleo, la cooperación económica regional y la diversificación y modernización de la economía no han alcanzado su potencial y deben perseguirse de manera prioritaria; observa que los Estados del AAE de la SADC exportan a la Unión, principalmente, piedras preciosas, artículos de madera, transportes</w:t>
      </w:r>
      <w:r w:rsidRPr="00F41EF8">
        <w:rPr>
          <w:rStyle w:val="FootnoteReference"/>
        </w:rPr>
        <w:footnoteReference w:id="8"/>
      </w:r>
      <w:r w:rsidRPr="00F41EF8">
        <w:t xml:space="preserve">, productos minerales y productos agrícolas, como frutas y hortalizas; observa, no obstante, que las exportaciones de Sudáfrica a la Unión son más diversas e incluyen productos de mayor valor añadido; </w:t>
      </w:r>
    </w:p>
    <w:p w:rsidR="00F35758" w:rsidRPr="00F41EF8" w:rsidRDefault="00F35758" w:rsidP="00F35758">
      <w:pPr>
        <w:pStyle w:val="NormalHanging12a"/>
        <w:widowControl/>
      </w:pPr>
      <w:r w:rsidRPr="00F41EF8">
        <w:t>9.</w:t>
      </w:r>
      <w:r w:rsidRPr="00F41EF8">
        <w:tab/>
        <w:t xml:space="preserve">Hace hincapié en que, con la excepción de Sudáfrica, los Estados del AAE de la SADC comercian sobre todo dentro de la región; observa que el comercio con Sudáfrica sigue </w:t>
      </w:r>
      <w:r w:rsidRPr="00F41EF8">
        <w:lastRenderedPageBreak/>
        <w:t>representando el 80 % del comercio de la Unión con los Estados del AAE de la SADC y que el comercio de mercancías de Sudáfrica con otros países africanos representa solo el 17 % de su comercio exterior total; observa que el comercio entre los Estados de la SADC supone el 23 % de su comercio total; reconoce que el patrón del comercio entre los Estados de la SADC difiere del comercio bilateral entre la Unión y la SADC; señala que, en general, la diversificación no ha mejorado y el porcentaje de la fabricación en el PIB sigue siendo débil; hace hincapié en que unas economías diversificadas aumentarían la resiliencia de los Estados del AAE de la SADC frente a los choques externos; destaca que es importante fortalecer las cadenas de valor regionales;</w:t>
      </w:r>
    </w:p>
    <w:p w:rsidR="00F35758" w:rsidRPr="00F41EF8" w:rsidRDefault="00F35758" w:rsidP="00F35758">
      <w:pPr>
        <w:pStyle w:val="NormalHanging12a"/>
        <w:widowControl/>
      </w:pPr>
      <w:r w:rsidRPr="00F41EF8">
        <w:t>10.</w:t>
      </w:r>
      <w:r w:rsidRPr="00F41EF8">
        <w:tab/>
        <w:t>Subraya que el AAE debe apoyar una nueva dinámica comercial entre las Partes mediante la progresiva liberalización asimétrica del comercio entre ellas; destaca asimismo que puede reforzar, ampliar y profundizar la cooperación en todos los ámbitos relevantes para el comercio, mejorando así también la asociación entre los países de la SADC y la Unión; destaca la importancia del principio de liberalización asimétrica del comercio como herramienta para fomentar el crecimiento económico y el desarrollo sostenible de los países del AAE de la SADC;</w:t>
      </w:r>
    </w:p>
    <w:p w:rsidR="00F35758" w:rsidRPr="00F41EF8" w:rsidRDefault="00F35758" w:rsidP="00F35758">
      <w:pPr>
        <w:pStyle w:val="NormalHanging12a"/>
        <w:widowControl/>
      </w:pPr>
      <w:r w:rsidRPr="00F41EF8">
        <w:t>11.</w:t>
      </w:r>
      <w:r w:rsidRPr="00F41EF8">
        <w:tab/>
        <w:t>Subraya que, si bien los AAE pueden ofrecer ventajas significativas a los países de África, del Caribe y del Pacífico (países ACP), también presentan su propio conjunto de desafíos e inconvenientes; insiste, por tanto, en que los responsables políticos tengan debidamente en cuenta estos factores y trabajen para garantizar que los AAE se apliquen de manera que se maximicen los beneficios para todas las partes implicadas;</w:t>
      </w:r>
    </w:p>
    <w:p w:rsidR="00F35758" w:rsidRPr="00F41EF8" w:rsidRDefault="00F35758" w:rsidP="00F35758">
      <w:pPr>
        <w:pStyle w:val="NormalHanging12a"/>
        <w:widowControl/>
      </w:pPr>
      <w:r w:rsidRPr="00F41EF8">
        <w:t>12.</w:t>
      </w:r>
      <w:r w:rsidRPr="00F41EF8">
        <w:tab/>
        <w:t>Recuerda que todas las Partes deben actuar siempre sobre la base de los principios de solidaridad e interés recíproco, a fin de reforzar una colaboración fructífera, cumplir sus compromisos y obligaciones y facilitar la capacidad de los países del AAE de la SADC para seguir aplicando el Acuerdo;</w:t>
      </w:r>
    </w:p>
    <w:p w:rsidR="00F35758" w:rsidRPr="00F41EF8" w:rsidRDefault="00F35758" w:rsidP="00F35758">
      <w:pPr>
        <w:pStyle w:val="NormalHanging12a"/>
        <w:widowControl/>
        <w:rPr>
          <w:b/>
          <w:i/>
        </w:rPr>
      </w:pPr>
      <w:r w:rsidRPr="00F41EF8">
        <w:rPr>
          <w:b/>
          <w:i/>
        </w:rPr>
        <w:t>Obstáculos técnicos al comercio</w:t>
      </w:r>
    </w:p>
    <w:p w:rsidR="00F35758" w:rsidRPr="00F41EF8" w:rsidRDefault="00F35758" w:rsidP="00F35758">
      <w:pPr>
        <w:pStyle w:val="NormalHanging12a"/>
        <w:widowControl/>
      </w:pPr>
      <w:r w:rsidRPr="00F41EF8">
        <w:t>13.</w:t>
      </w:r>
      <w:r w:rsidRPr="00F41EF8">
        <w:tab/>
        <w:t>Recuerda que el AAE de la SADC tiene como finalidad promover la integración regional, y que el acuerdo debe constituir un primer paso para la zona de libre comercio continental africana, puesta en marcha en 2021; señala que la integración regional se ve amenazada por los largos tiempos de espera en los pasos fronterizos, los elevados costes de las fronteras y la insuficiente conectividad transfronteriza; pide a la Comisión y a los Estados del AAE de la SADC que aumenten la cooperación en materia de infraestructura, comercio y certificación digitales, también en virtud de Global Gateway; insiste en que es importante priorizar el transporte regional y los proyectos de infraestructuras en la región a fin de profundizar en la integración regional y aumentar los flujos comerciales interiores; recuerda la necesidad de promover un desarrollo eficiente de infraestructuras transfronterizas, de armonizar las normas y de consolidar la cooperación entre los Estados del AAE de la SADC para crear una región de la SADC interconectada; pide a los Estados del AAE de la SADC que armonicen las normativas y los procedimientos relacionados con las aduanas y el transporte, al objeto de simplificar los procesos transfronterizos, reducir los retrasos y promover un entorno propicio para el comercio y la inversión;</w:t>
      </w:r>
    </w:p>
    <w:p w:rsidR="00F35758" w:rsidRPr="00F41EF8" w:rsidRDefault="00F35758" w:rsidP="00F35758">
      <w:pPr>
        <w:pStyle w:val="NormalHanging12a"/>
        <w:widowControl/>
      </w:pPr>
      <w:r w:rsidRPr="00F41EF8">
        <w:t>14.</w:t>
      </w:r>
      <w:r w:rsidRPr="00F41EF8">
        <w:tab/>
        <w:t xml:space="preserve">Insiste en la necesidad de formalizar las disposiciones del trabajo transfronterizo para promover el trabajo digno, proteger los derechos de los trabajadores y garantizar el desarrollo social y económico de la región; reconoce los desafíos específicos a los que </w:t>
      </w:r>
      <w:r w:rsidRPr="00F41EF8">
        <w:lastRenderedPageBreak/>
        <w:t>se enfrentan las mujeres, en particular en el contexto del trabajo transfronterizo, como la violencia de género y la corrupción;</w:t>
      </w:r>
    </w:p>
    <w:p w:rsidR="00F35758" w:rsidRPr="00F41EF8" w:rsidRDefault="00F35758" w:rsidP="00F35758">
      <w:pPr>
        <w:pStyle w:val="NormalHanging12a"/>
        <w:widowControl/>
      </w:pPr>
      <w:r w:rsidRPr="00F41EF8">
        <w:t>15.</w:t>
      </w:r>
      <w:r w:rsidRPr="00F41EF8">
        <w:tab/>
        <w:t>Insta a la Comisión y a los Estados del AAE de la SADC a que extiendan su compromiso a la creación de un entorno facilitador que apoye una movilidad laboral legal y transparente y que proteja al mismo tiempo los derechos y la dignidad de los trabajadores;</w:t>
      </w:r>
    </w:p>
    <w:p w:rsidR="00F35758" w:rsidRPr="00F41EF8" w:rsidRDefault="00F35758" w:rsidP="00F35758">
      <w:pPr>
        <w:pStyle w:val="NormalHanging12a"/>
        <w:widowControl/>
        <w:rPr>
          <w:b/>
          <w:i/>
        </w:rPr>
      </w:pPr>
      <w:r w:rsidRPr="00F41EF8">
        <w:rPr>
          <w:b/>
          <w:i/>
        </w:rPr>
        <w:t>Normas de origen</w:t>
      </w:r>
    </w:p>
    <w:p w:rsidR="00F35758" w:rsidRPr="00F41EF8" w:rsidRDefault="00F35758" w:rsidP="00F35758">
      <w:pPr>
        <w:pStyle w:val="NormalHanging12a"/>
        <w:widowControl/>
        <w:rPr>
          <w:b/>
          <w:i/>
        </w:rPr>
      </w:pPr>
      <w:r w:rsidRPr="00F41EF8">
        <w:t>16.</w:t>
      </w:r>
      <w:r w:rsidRPr="00F41EF8">
        <w:tab/>
        <w:t xml:space="preserve">Acoge con satisfacción el anuncio de la Comisión sobre la activación de la acumulación regional con los países de la Unión Aduanera del África Meridional (SACU); recuerda que la introducción de normas de origen flexibles es esencial para alcanzar los objetivos de integración regional; subraya que las normas de origen deben promover los objetivos de la zona de libre comercio continental africana; recuerda que el AAE debe apoyar la profundización del desarrollo de la zona de libre comercio continental africana; </w:t>
      </w:r>
    </w:p>
    <w:p w:rsidR="00F35758" w:rsidRPr="00F41EF8" w:rsidRDefault="00F35758" w:rsidP="00F35758">
      <w:pPr>
        <w:pStyle w:val="NormalHanging12a"/>
        <w:widowControl/>
        <w:rPr>
          <w:b/>
          <w:i/>
        </w:rPr>
      </w:pPr>
      <w:r w:rsidRPr="00F41EF8">
        <w:rPr>
          <w:b/>
          <w:i/>
        </w:rPr>
        <w:t>Litigios comerciales y problemas de acceso a los mercados</w:t>
      </w:r>
    </w:p>
    <w:p w:rsidR="00F35758" w:rsidRPr="00F41EF8" w:rsidRDefault="00F35758" w:rsidP="00F35758">
      <w:pPr>
        <w:pStyle w:val="NormalHanging12a"/>
        <w:widowControl/>
      </w:pPr>
      <w:r w:rsidRPr="00F41EF8">
        <w:t>17.</w:t>
      </w:r>
      <w:r w:rsidRPr="00F41EF8">
        <w:tab/>
        <w:t>Observa que han aparecido obstáculos al comercio en relación con las medidas sanitarias y fitosanitarias, en particular para las aves de corral y los cítricos; pide a la Comisión y a los Estados del AAE de la SADC que utilicen los foros y mecanismos de cooperación acordados en el marco del AAE para abordar los cambios en las normativas de las medidas sanitarias y fitosanitarias en una fase temprana y en un ambiente de cooperación, de modo que puedan adoptarse las medidas adecuadas a su debido tiempo; recuerda que el Parlamento Europeo debe ser plenamente informado en el marco de la revisión para garantizar que las medidas sanitarias y fitosanitarias aplicadas por Sudáfrica se ajusten a los requisitos de la Unión y a las disposiciones del AAE y no perjudiquen la fitosanidad de la producción de la Unión y de la SADC; reconoce que la Comisión haya prestado ayuda técnica y financiera a los Estados del Acuerdo de Asociación Económica UE-SADC para cumplir los requisitos de las medidas sanitarias y fitosanitarias y reclama un seguimiento exhaustivo del trabajo para reducir los riesgos sanitarios; recomienda que se busquen soluciones a los obstáculos al comercio causados por los requisitos sanitarios y fitosanitarios mediante debates políticos de alto nivel;</w:t>
      </w:r>
    </w:p>
    <w:p w:rsidR="00F35758" w:rsidRPr="00F41EF8" w:rsidRDefault="00F35758" w:rsidP="00F35758">
      <w:pPr>
        <w:pStyle w:val="NormalHanging12a"/>
        <w:widowControl/>
        <w:rPr>
          <w:b/>
          <w:i/>
        </w:rPr>
      </w:pPr>
      <w:r w:rsidRPr="00F41EF8">
        <w:rPr>
          <w:b/>
          <w:i/>
        </w:rPr>
        <w:t>Desarrollo de capacidades</w:t>
      </w:r>
    </w:p>
    <w:p w:rsidR="00F35758" w:rsidRPr="00F41EF8" w:rsidRDefault="00F35758" w:rsidP="00F35758">
      <w:pPr>
        <w:pStyle w:val="NormalHanging12a"/>
        <w:widowControl/>
      </w:pPr>
      <w:r w:rsidRPr="00F41EF8">
        <w:t>18.</w:t>
      </w:r>
      <w:r w:rsidRPr="00F41EF8">
        <w:tab/>
        <w:t>Señala que la gobernanza y la capacidad presupuestaria e institucional siguen siendo los mayores retos para la aplicación efectiva del AAE;</w:t>
      </w:r>
    </w:p>
    <w:p w:rsidR="00F35758" w:rsidRPr="00F41EF8" w:rsidRDefault="00F35758" w:rsidP="00F35758">
      <w:pPr>
        <w:pStyle w:val="NormalHanging12a"/>
        <w:widowControl/>
      </w:pPr>
      <w:r w:rsidRPr="00F41EF8">
        <w:t>19.</w:t>
      </w:r>
      <w:r w:rsidRPr="00F41EF8">
        <w:tab/>
        <w:t>Destaca la importancia de la cooperación al desarrollo y de la asistencia técnica y financiera como factores esenciales para la consecución de los objetivos del AAE y para una cooperación beneficiosa entre las Partes;</w:t>
      </w:r>
    </w:p>
    <w:p w:rsidR="00F35758" w:rsidRPr="00F41EF8" w:rsidRDefault="00F35758" w:rsidP="00F35758">
      <w:pPr>
        <w:pStyle w:val="NormalHanging12a"/>
        <w:widowControl/>
      </w:pPr>
      <w:r w:rsidRPr="00F41EF8">
        <w:t>20.</w:t>
      </w:r>
      <w:r w:rsidRPr="00F41EF8">
        <w:tab/>
        <w:t>Recuerda que la aplicación de los AEE puede suponer un desafío para los países ACP más pequeños que carecen de recursos e infraestructuras; pide a la Unión y a sus Estados miembros que ayuden a los países socios en desarrollo de manera que puedan aprovechar plenamente las oportunidades que ofrecen los AAE;</w:t>
      </w:r>
    </w:p>
    <w:p w:rsidR="00F35758" w:rsidRPr="00F41EF8" w:rsidRDefault="00F35758" w:rsidP="00F35758">
      <w:pPr>
        <w:pStyle w:val="NormalHanging12a"/>
        <w:widowControl/>
      </w:pPr>
      <w:r w:rsidRPr="00F41EF8">
        <w:t>21.</w:t>
      </w:r>
      <w:r w:rsidRPr="00F41EF8">
        <w:tab/>
        <w:t xml:space="preserve">Pide a la Comisión y a los Estados miembros que intensifiquen sus esfuerzos en materia de asistencia técnica; pide a la Comisión que amplíe significativamente su comunicación y cooperación con los Estados del AAE de la SADC y que les preste a </w:t>
      </w:r>
      <w:r w:rsidRPr="00F41EF8">
        <w:lastRenderedPageBreak/>
        <w:t xml:space="preserve">ellos y, cuando proceda, a sus empresas y organizaciones de la sociedad civil, apoyo oportuno en la ejecución de los próximos proyectos de la Unión y en el cumplimiento de otros compromisos internacionales, como los Acuerdos Multilaterales sobre Medio Ambiente, los convenios de la Organización Internacional del Trabajo (OIT) y los Principios rectores de las Naciones Unidas sobre las empresas y los derechos humanos; </w:t>
      </w:r>
    </w:p>
    <w:p w:rsidR="00F35758" w:rsidRPr="00F41EF8" w:rsidRDefault="00F35758" w:rsidP="00F35758">
      <w:pPr>
        <w:pStyle w:val="NormalHanging12a"/>
        <w:widowControl/>
        <w:rPr>
          <w:b/>
          <w:i/>
        </w:rPr>
      </w:pPr>
      <w:r w:rsidRPr="00F41EF8">
        <w:rPr>
          <w:b/>
          <w:i/>
        </w:rPr>
        <w:t>Desarrollo económico, social y medioambiental</w:t>
      </w:r>
    </w:p>
    <w:p w:rsidR="00F35758" w:rsidRPr="00F41EF8" w:rsidRDefault="00F35758" w:rsidP="00F35758">
      <w:pPr>
        <w:pStyle w:val="NormalHanging12a"/>
        <w:widowControl/>
      </w:pPr>
      <w:r w:rsidRPr="00F41EF8">
        <w:t>22.</w:t>
      </w:r>
      <w:r w:rsidRPr="00F41EF8">
        <w:tab/>
        <w:t>Concluye que el AAE no ha logrado profundizar de manera significativa las cadenas de valor regionales ni las existentes en los Estados del AAE de la SADC y entre ellos, pero debería de reforzar la diversificación de las exportaciones y las cadenas de valor añadido regionales, así como crear cadenas de suministro más resilientes que puedan adaptarse a futuras perturbaciones del desarrollo socioeconómico de la SADC; subraya la importancia de la creación de cadenas de valor regionales para la resiliencia económica de la región; espera que el AAE contribuya mejor a combatir los problemas que persisten en los ámbitos de la soberanía alimentaria y la reducción de la pobreza en los Estados del AAE de la SADC; recuerda que el objetivo de los AAE es crear efectos positivos en el desarrollo económico y en la integración regional; subraya que el AAE todavía tiene un gran potencial para impulsar el desarrollo sostenible, algo que debe promoverse con carácter prioritario;</w:t>
      </w:r>
    </w:p>
    <w:p w:rsidR="00F35758" w:rsidRPr="00F41EF8" w:rsidRDefault="00F35758" w:rsidP="00F35758">
      <w:pPr>
        <w:pStyle w:val="NormalHanging12a"/>
        <w:widowControl/>
      </w:pPr>
      <w:r w:rsidRPr="00F41EF8">
        <w:t>23.</w:t>
      </w:r>
      <w:r w:rsidRPr="00F41EF8">
        <w:tab/>
        <w:t>Subraya el deseo de dejar margen político suficiente para que los Estados del AAE de la SADC generen valor añadido local; cree que la Unión debe apoyar activamente a los Estados del AAE de la SADC en sus esfuerzos por ascender en la cadena de valor; destaca que la gestión eficaz de la especialización regional resulta esencial para maximizar el potencial de las cadenas de valor regionales y requiere estructuras y políticas de gobernanza cooperativa; pide a la Unión y a los Estados del AAE de la SADC que trabajen en pro del desarrollo de infraestructuras digitales de alta calidad, incluidas redes de banda ancha y plataformas digitales, con el fin de mejorar la conectividad, promover el comercio electrónico y facilitar el intercambio de información y de servicios a través de las fronteras;</w:t>
      </w:r>
    </w:p>
    <w:p w:rsidR="00F35758" w:rsidRPr="00F41EF8" w:rsidRDefault="00F35758" w:rsidP="00F35758">
      <w:pPr>
        <w:pStyle w:val="NormalHanging12a"/>
        <w:widowControl/>
      </w:pPr>
      <w:r w:rsidRPr="00F41EF8">
        <w:t>24.</w:t>
      </w:r>
      <w:r w:rsidRPr="00F41EF8">
        <w:tab/>
        <w:t>Subraya la importancia crucial que reviste la cadena de valor de servicios a la hora de impulsar el crecimiento económico, promover la innovación y mejorar la cooperación en la región de la SADC; destaca el potencial del sector de servicios de la región de la SADC, que incluye los servicios financieros, el turismo y las telecomunicaciones;</w:t>
      </w:r>
    </w:p>
    <w:p w:rsidR="00F35758" w:rsidRPr="00F41EF8" w:rsidRDefault="00F35758" w:rsidP="00F35758">
      <w:pPr>
        <w:pStyle w:val="NormalHanging12a"/>
        <w:widowControl/>
      </w:pPr>
      <w:r w:rsidRPr="00F41EF8">
        <w:t>25.</w:t>
      </w:r>
      <w:r w:rsidRPr="00F41EF8">
        <w:tab/>
        <w:t>Subraya la importancia que reviste el compromiso de la Unión de impulsar la cooperación multilateral y proteger sus propios intereses comerciales abordando al mismo tiempo algunos de los intereses clave de los países ACP, en particular en lo que se refiere a la integración regional;</w:t>
      </w:r>
    </w:p>
    <w:p w:rsidR="00F35758" w:rsidRPr="00F41EF8" w:rsidRDefault="00F35758" w:rsidP="00F35758">
      <w:pPr>
        <w:pStyle w:val="NormalHanging12a"/>
        <w:widowControl/>
      </w:pPr>
      <w:r w:rsidRPr="00F41EF8">
        <w:t>26.</w:t>
      </w:r>
      <w:r w:rsidRPr="00F41EF8">
        <w:tab/>
        <w:t>Recuerda la solución de dos pilares para abordar los retos fiscales resultantes de la digitalización y la globalización de la economía, según lo acordado por los miembros del Marco Inclusivo sobre la erosión de las bases imponibles y el traslado de beneficios de la Organización de Cooperación y Desarrollo Económicos y el G-20;</w:t>
      </w:r>
    </w:p>
    <w:p w:rsidR="00F35758" w:rsidRPr="00F41EF8" w:rsidRDefault="00F35758" w:rsidP="00F35758">
      <w:pPr>
        <w:pStyle w:val="NormalHanging12a"/>
        <w:widowControl/>
      </w:pPr>
      <w:r w:rsidRPr="00F41EF8">
        <w:t>27.</w:t>
      </w:r>
      <w:r w:rsidRPr="00F41EF8">
        <w:tab/>
        <w:t xml:space="preserve">Pide a la Unión y a los Estados miembros que garanticen la aplicación efectiva del tipo mínimo del impuesto sobre sociedades del 15 % acordado a escala mundial para las empresas multinacionales; resalta que los ingresos fiscales adicionales que generaría </w:t>
      </w:r>
      <w:r w:rsidRPr="00F41EF8">
        <w:lastRenderedPageBreak/>
        <w:t xml:space="preserve">cada año en todo el mundo este tipo impositivo mínimo se estiman en torno a 150 000 millones USD; </w:t>
      </w:r>
    </w:p>
    <w:p w:rsidR="00F35758" w:rsidRPr="00F41EF8" w:rsidRDefault="00F35758" w:rsidP="00F35758">
      <w:pPr>
        <w:pStyle w:val="NormalHanging12a"/>
        <w:widowControl/>
      </w:pPr>
      <w:r w:rsidRPr="00F41EF8">
        <w:t>28.</w:t>
      </w:r>
      <w:r w:rsidRPr="00F41EF8">
        <w:tab/>
        <w:t>Pide a la Comisión que garantice que los países en desarrollo puedan ejercer plenamente los derechos que les confieren las disposiciones sobre trato especial y diferenciado de la OMC, en particular con el fin de garantizar su seguridad alimentaria; pide a la Comisión que actualice su Comunicación de 2009 sobre comercio justo</w:t>
      </w:r>
      <w:r w:rsidRPr="00F41EF8">
        <w:rPr>
          <w:rStyle w:val="FootnoteReference"/>
        </w:rPr>
        <w:footnoteReference w:id="9"/>
      </w:r>
      <w:r w:rsidRPr="00F41EF8">
        <w:t>;</w:t>
      </w:r>
    </w:p>
    <w:p w:rsidR="00F35758" w:rsidRPr="00F41EF8" w:rsidRDefault="00F35758" w:rsidP="00F35758">
      <w:pPr>
        <w:pStyle w:val="NormalHanging12a"/>
        <w:widowControl/>
        <w:spacing w:before="240"/>
      </w:pPr>
      <w:r w:rsidRPr="00F41EF8">
        <w:t>29.</w:t>
      </w:r>
      <w:r w:rsidRPr="00F41EF8">
        <w:tab/>
        <w:t xml:space="preserve">Destaca que existe una necesidad urgente de emprender esfuerzos conjuntos de gran alcance en favor de la descarbonización y de proporcionar recursos financieros significativos para ello, así como de realizar vastas transferencias de tecnología; insiste en que es importante colaborar en la promoción del desarrollo sostenible y la lucha contra el cambio climático y apoyar al mismo tiempo el crecimiento económico; subraya que el establecimiento de asociaciones energéticas con los países de la región de la SADC no solo debe centrarse en la aplicación del Pacto Verde en Europa, sino que al mismo tiempo debe aspirar a abastecer a dicha región; </w:t>
      </w:r>
    </w:p>
    <w:p w:rsidR="00F35758" w:rsidRPr="00F41EF8" w:rsidRDefault="00F35758" w:rsidP="00F35758">
      <w:pPr>
        <w:pStyle w:val="NormalHanging12a"/>
        <w:widowControl/>
      </w:pPr>
      <w:r w:rsidRPr="00F41EF8">
        <w:t>30.</w:t>
      </w:r>
      <w:r w:rsidRPr="00F41EF8">
        <w:tab/>
        <w:t xml:space="preserve">Reitera que la transición ecológica ofrece el potencial de generar empleos de calidad y ecológicos que pueden contribuir significativamente a la erradicación de la pobreza y a la inclusión social, tanto en los Estados miembros de la Unión como en los Estados del AAE de la SADC; </w:t>
      </w:r>
    </w:p>
    <w:p w:rsidR="00F35758" w:rsidRPr="00F41EF8" w:rsidRDefault="00F35758" w:rsidP="00F35758">
      <w:pPr>
        <w:pStyle w:val="NormalHanging12a"/>
        <w:widowControl/>
      </w:pPr>
      <w:r w:rsidRPr="00F41EF8">
        <w:t>31.</w:t>
      </w:r>
      <w:r w:rsidRPr="00F41EF8">
        <w:tab/>
        <w:t>Subraya la importancia que reviste invertir en la educación y en el desarrollo de capacidades a la medida de los esfuerzos de descarbonización, y abordar al mismo tiempo los desafíos que entraña la transición justa;</w:t>
      </w:r>
    </w:p>
    <w:p w:rsidR="00F35758" w:rsidRPr="00F41EF8" w:rsidRDefault="00F35758" w:rsidP="00F35758">
      <w:pPr>
        <w:pStyle w:val="NormalHanging12a"/>
        <w:widowControl/>
      </w:pPr>
      <w:r w:rsidRPr="00F41EF8">
        <w:t>32.</w:t>
      </w:r>
      <w:r w:rsidRPr="00F41EF8">
        <w:tab/>
        <w:t>Considera que los proyectos que mejoren las infraestructuras locales en los países del AAE de la SADC en conexión con asociaciones urbanas resultan útiles para sustentar las asociaciones climáticas entre la Unión y los distintos Estados del AAE de la SADC de manera descentralizada, y para profundizar en los intercambios entre los municipios del África Meridional y la Unión; expresa su convencimiento de que los intercambios municipales hacen posible que los expertos africanos y europeos desarrollen soluciones adecuadas a los problemas para el desarrollo de las infraestructuras locales; celebra que dichos proyectos de asociación estén respaldados por el programa de las autoridades locales de la Asociación para las Ciudades Sostenibles 2020; pide a la Comisión que siga ayudando a los países del AAE de la SADC a cumplir los requisitos de la política medioambiental de la Unión y que mantenga este programa de financiación; insta a la Comisión, al Servicio Europeo de Acción Exterior y a las delegaciones de la Unión a que faciliten el diálogo con el fin de promover la comprensión mutua del impacto de las iniciativas climáticas de la Unión —como la introducción del Reglamento por el que se establece un Mecanismo de Ajuste en Frontera por Carbono (MAFC) y el Reglamento sobre la deforestación— y de la próxima legislación de la Unión en materia de diligencia debida;</w:t>
      </w:r>
    </w:p>
    <w:p w:rsidR="00F35758" w:rsidRPr="00F41EF8" w:rsidRDefault="00F35758" w:rsidP="00F35758">
      <w:pPr>
        <w:pStyle w:val="NormalHanging12a"/>
        <w:widowControl/>
      </w:pPr>
      <w:r w:rsidRPr="00F41EF8">
        <w:t>33.</w:t>
      </w:r>
      <w:r w:rsidRPr="00F41EF8">
        <w:tab/>
        <w:t xml:space="preserve">Destaca que los Estados del AAE de la SADC se ven especialmente afectados por los efectos del cambio climático; recuerda que la agricultura del África Meridional se ve afectada tanto por inundaciones como por sequías; insta a la Comisión y a los Estados </w:t>
      </w:r>
      <w:r w:rsidRPr="00F41EF8">
        <w:lastRenderedPageBreak/>
        <w:t>del AAE de la SADC a que intensifiquen su cooperación en el desarrollo de sistemas adecuados de alerta rápida, así como la coordinación entre los ministerios pertinentes de los Estados del AAE de la SADC, con el fin de alcanzar los objetivos de las contribuciones determinadas a nivel nacional;</w:t>
      </w:r>
    </w:p>
    <w:p w:rsidR="00F35758" w:rsidRPr="00F41EF8" w:rsidRDefault="00F35758" w:rsidP="00F35758">
      <w:pPr>
        <w:pStyle w:val="NormalHanging12a"/>
        <w:widowControl/>
      </w:pPr>
      <w:r w:rsidRPr="00F41EF8">
        <w:t>34.</w:t>
      </w:r>
      <w:r w:rsidRPr="00F41EF8">
        <w:tab/>
        <w:t>Acoge con satisfacción los esfuerzos de los Estados del AAE de la SADC y de la Comisión por establecer una cooperación más estrecha en materia de sistemas alimentarios resilientes y soberanía alimentaria en el marco del proceso de revisión; considera que esta cooperación es una oportunidad para impulsar la Declaración de las Naciones Unidas sobre los Derechos de los Campesinos y de Otras Personas que Trabajan en las Zonas Rurales, y los convenios de la OIT orientados a la agricultura, como el Convenio 129 sobre la inspección del trabajo, el Convenio 10 sobre la edad mínima en la agricultura y el Convenio 11 sobre el derecho de asociación en la agricultura; recuerda que la capacidad de la agroecología para conciliar las dimensiones económica, medioambiental y social de la sostenibilidad ha sido reconocida en importantes informes del Grupo Intergubernamental de Expertos sobre el Cambio Climático (GIECC) y la Plataforma Intergubernamental Científico-Normativa sobre Diversidad Biológica y Servicios de los Ecosistemas y en la Evaluación Internacional del Papel del Conocimiento, la Ciencia y la Tecnología en el Desarrollo Agrícola (IAASTD, por sus siglas en inglés) dirigida por el Banco Mundial y la FAO;</w:t>
      </w:r>
    </w:p>
    <w:p w:rsidR="00F35758" w:rsidRPr="00F41EF8" w:rsidRDefault="00F35758" w:rsidP="00F35758">
      <w:pPr>
        <w:pStyle w:val="NormalHanging12a"/>
        <w:widowControl/>
      </w:pPr>
      <w:r w:rsidRPr="00F41EF8">
        <w:t>35.</w:t>
      </w:r>
      <w:r w:rsidRPr="00F41EF8">
        <w:tab/>
        <w:t>Insiste en que es necesario esforzarse por crear cadenas de valor resilientes frente al cambio climático en la industria agrícola y desarrollar variedades de cultivos resistentes a la sequía y técnicas de transformación adaptadas al clima;</w:t>
      </w:r>
    </w:p>
    <w:p w:rsidR="00F35758" w:rsidRPr="00F41EF8" w:rsidRDefault="00F35758" w:rsidP="00F35758">
      <w:pPr>
        <w:pStyle w:val="NormalHanging12a"/>
        <w:widowControl/>
      </w:pPr>
      <w:r w:rsidRPr="00F41EF8">
        <w:t>36.</w:t>
      </w:r>
      <w:r w:rsidRPr="00F41EF8">
        <w:tab/>
        <w:t>Hace hincapié en que el acceso al agua salubre y al saneamiento es fundamental para la sostenibilidad agrícola; insiste en que hacen falta estrategias globales de gestión del agua; destaca que la falta de acceso al agua salubre y al saneamiento en la región de la SADC es un obstáculo para el desarrollo sostenible;</w:t>
      </w:r>
    </w:p>
    <w:p w:rsidR="00F35758" w:rsidRPr="00F41EF8" w:rsidRDefault="00F35758" w:rsidP="00F35758">
      <w:pPr>
        <w:pStyle w:val="NormalHanging12a"/>
        <w:widowControl/>
      </w:pPr>
      <w:r w:rsidRPr="00F41EF8">
        <w:t>37.</w:t>
      </w:r>
      <w:r w:rsidRPr="00F41EF8">
        <w:tab/>
        <w:t xml:space="preserve">Reclama que se lleven a cabo iniciativas regionales de transformación agrícola y que se compartan entre los Estados del AAE de la SADC con el fin de promover el intercambio de conocimientos y de buenas prácticas; pide que se lleve a cabo un seguimiento de los avances de las cadenas de valor regionales en el ámbito de la transformación de productos agrícolas; </w:t>
      </w:r>
    </w:p>
    <w:p w:rsidR="00F35758" w:rsidRPr="00F41EF8" w:rsidRDefault="00F35758" w:rsidP="00F35758">
      <w:pPr>
        <w:pStyle w:val="NormalHanging12a"/>
        <w:widowControl/>
        <w:rPr>
          <w:b/>
          <w:i/>
        </w:rPr>
      </w:pPr>
      <w:r w:rsidRPr="00F41EF8">
        <w:rPr>
          <w:b/>
          <w:i/>
        </w:rPr>
        <w:t>Género</w:t>
      </w:r>
    </w:p>
    <w:p w:rsidR="00F35758" w:rsidRPr="00F41EF8" w:rsidRDefault="00F35758" w:rsidP="00F35758">
      <w:pPr>
        <w:pStyle w:val="NormalHanging12a"/>
        <w:widowControl/>
      </w:pPr>
      <w:r w:rsidRPr="00F41EF8">
        <w:t>38.</w:t>
      </w:r>
      <w:r w:rsidRPr="00F41EF8">
        <w:tab/>
        <w:t xml:space="preserve">Reconoce el papel esencial que desempeñan las mujeres en el desarrollo económico de la región de la SADC y la importancia de crear un entorno propicio que proteja sus derechos; pide a la Comisión que priorice las cuestiones de género en el contexto de la aplicación del AAE, por ejemplo, organizando talleres sobre igualdad de género entre organizaciones de derechos de las mujeres en los países de la Unión y de la SADC, alertando a las autoridades y empresas nacionales sobre el potencial económico no aprovechado a causa de la discriminación de las mujeres y ayudándoles a detectar los factores políticos, económicos y sociales que obstaculizan el avance de las mujeres africanas, y que proponga políticas y medidas concretas para subsanar la brecha de género; destaca la importancia de empoderar a las mujeres y las personas jóvenes de la región de la SADC mejorando su acceso a la financiación, los recursos y la participación económica; pide a la Unión y a los Estados del AAE de la SADC que </w:t>
      </w:r>
      <w:r w:rsidRPr="00F41EF8">
        <w:lastRenderedPageBreak/>
        <w:t>garanticen a mujeres y jóvenes un acceso equitativo y sin trabas a los servicios y recursos financieros y que promuevan la inclusión financiera;</w:t>
      </w:r>
    </w:p>
    <w:p w:rsidR="00F35758" w:rsidRPr="00F41EF8" w:rsidRDefault="00F35758" w:rsidP="00F35758">
      <w:pPr>
        <w:pStyle w:val="NormalHanging12a"/>
        <w:widowControl/>
        <w:rPr>
          <w:b/>
          <w:i/>
        </w:rPr>
      </w:pPr>
      <w:r w:rsidRPr="00F41EF8">
        <w:rPr>
          <w:b/>
          <w:i/>
        </w:rPr>
        <w:t>Inversiones</w:t>
      </w:r>
    </w:p>
    <w:p w:rsidR="00F35758" w:rsidRPr="00F41EF8" w:rsidRDefault="00F35758" w:rsidP="00F35758">
      <w:pPr>
        <w:pStyle w:val="NormalHanging12a"/>
        <w:widowControl/>
      </w:pPr>
      <w:r w:rsidRPr="00F41EF8">
        <w:t>39.</w:t>
      </w:r>
      <w:r w:rsidRPr="00F41EF8">
        <w:tab/>
        <w:t>Señala que la financiación ecológica y las inversiones ecológicas deben incrementarse significativamente para alcanzar los objetivos de la Agenda 2030 para el Desarrollo Sostenible y del Acuerdo de París y avanzar en la transición hacia una economía hipocarbónica y resiliente al cambio climático en los Estados del AAE de la SADC;</w:t>
      </w:r>
    </w:p>
    <w:p w:rsidR="00F35758" w:rsidRPr="00F41EF8" w:rsidRDefault="00F35758" w:rsidP="00F35758">
      <w:pPr>
        <w:pStyle w:val="NormalHanging12a"/>
        <w:widowControl/>
      </w:pPr>
      <w:r w:rsidRPr="00F41EF8">
        <w:t>40.</w:t>
      </w:r>
      <w:r w:rsidRPr="00F41EF8">
        <w:tab/>
        <w:t>Pide a la Unión y a los Estados del AAE de la SADC que estudien activamente mecanismos innovadores para la financiación ecológica, incluidos los bonos verdes, los fondos de inversión centrados en el clima y las asociaciones público-privadas, aprovechando las plataformas internacionales para atraer inversiones en proyectos sostenibles y resilientes al cambio climático; pide a la Unión que aproveche su influencia para obtener mejores prácticas de financiación por parte de instituciones como el Banco Mundial y reforzar el papel del Fondo Monetario Internacional en la reducción de la deuda de los países altamente endeudados, por lo que insta a la Unión y a sus Estados miembros a que ejerzan su influencia para explorar nuevos enfoques que desbloqueen la financiación para la adaptación al cambio climático; destaca la necesidad de medidas proactivas para seguir atrayendo mayores inversiones —en particular, en sectores innovadores y estratégicos— que puedan conducir a resultados de mayor calidad y fomentar un desarrollo más sostenible, lo que podría suponer beneficios a largo plazo tanto para los Estados del AAE de la SADC como para la Unión; insta asimismo a la Unión y a los Estados del AAE de la SADC a que estudien conjuntamente posibilidades de financiación innovadora, como la obtención de préstamos y su posterior asignación, con las condiciones adecuadas, a la financiación de infraestructuras públicas en ámbitos cruciales como la energía, el suministro de agua, la eliminación de residuos y el reciclaje;</w:t>
      </w:r>
    </w:p>
    <w:p w:rsidR="00F35758" w:rsidRPr="00F41EF8" w:rsidRDefault="00F35758" w:rsidP="00F35758">
      <w:pPr>
        <w:pStyle w:val="NormalHanging12a"/>
        <w:widowControl/>
      </w:pPr>
      <w:r w:rsidRPr="00F41EF8">
        <w:t>41.</w:t>
      </w:r>
      <w:r w:rsidRPr="00F41EF8">
        <w:tab/>
        <w:t xml:space="preserve">Pide a la Unión y a sus Estados miembros que intensifiquen sus esfuerzos en los foros internacionales, en particular en la OMC, para impulsar un aumento de la financiación internacional de la lucha contra el cambio climático; </w:t>
      </w:r>
    </w:p>
    <w:p w:rsidR="00F35758" w:rsidRPr="00F41EF8" w:rsidRDefault="00F35758" w:rsidP="00F35758">
      <w:pPr>
        <w:pStyle w:val="NormalHanging12a"/>
        <w:widowControl/>
      </w:pPr>
      <w:r w:rsidRPr="00F41EF8">
        <w:t>42.</w:t>
      </w:r>
      <w:r w:rsidRPr="00F41EF8">
        <w:tab/>
        <w:t>Observa que el volumen de inversiones de los Estados miembros de la Unión en los Estados del AAE de la SADC sigue siendo significativamente superior al de los Estados Unidos o China;</w:t>
      </w:r>
    </w:p>
    <w:p w:rsidR="00F35758" w:rsidRPr="00F41EF8" w:rsidRDefault="00F35758" w:rsidP="00F35758">
      <w:pPr>
        <w:pStyle w:val="NormalHanging12a"/>
        <w:widowControl/>
      </w:pPr>
      <w:r w:rsidRPr="00F41EF8">
        <w:t>43.</w:t>
      </w:r>
      <w:r w:rsidRPr="00F41EF8">
        <w:tab/>
        <w:t xml:space="preserve">Considera asimismo que existe una necesidad urgente de aumentar la inversión sostenible en la región de la SADC y espera que se identifiquen ámbitos de inversión que parezcan especialmente adecuados para las asociaciones de inversión entre la UE y los Estados del AAE de la SADC; pide un enfoque mejor coordinado del Equipo Europa a la hora de identificar y aplicar medidas adecuadas para aumentar la inversión; destaca que la consecución de los Objetivos de Desarrollo Sostenible (ODS) requiere enormes inversiones en apoyo de las infraestructuras y la diversificación, orientadas a productos industriales de alto valor para poner fin a la dependencia de las materias primas; Subraya que la política de inversiones de la Unión debe ayudar a los países en desarrollo, en particular a los países africanos, a atraer inversión extranjera directa y a reducir el déficit de financiación para alcanzar los ODS; subraya que la creación de puestos de trabajo dignos debe desempeñar un papel importante a la hora de promover inversiones en la región de la SADC que hagan posibles unos marcos nacionales sólidos </w:t>
      </w:r>
      <w:r w:rsidRPr="00F41EF8">
        <w:lastRenderedPageBreak/>
        <w:t xml:space="preserve">en materia de derechos humanos y diligencia debida medioambiental; considera urgente fomentar la participación de empresas locales en el proceso de ejecución siempre que sea posible, a fin de mantener en la región los recursos invertidos, fomentar el empleo y facilitar la transferencia de conocimientos; cree que se deben incrementar los fondos de Global Gateway y aumentar el porcentaje de subvenciones para inversiones públicas igualmente necesarias; </w:t>
      </w:r>
    </w:p>
    <w:p w:rsidR="00F35758" w:rsidRPr="00F41EF8" w:rsidRDefault="00F35758" w:rsidP="00F35758">
      <w:pPr>
        <w:pStyle w:val="NormalHanging12a"/>
        <w:widowControl/>
      </w:pPr>
      <w:r w:rsidRPr="00F41EF8">
        <w:t>44.</w:t>
      </w:r>
      <w:r w:rsidRPr="00F41EF8">
        <w:tab/>
        <w:t>Pide a la Comisión y a los Estados miembros que garanticen que, en el proceso de selección y apoyo de los proyectos de la Global Gateway, el diálogo social forme parte integrante del marco institucional de elaboración y aplicación de políticas a todos los niveles;</w:t>
      </w:r>
    </w:p>
    <w:p w:rsidR="00F35758" w:rsidRPr="00F41EF8" w:rsidRDefault="00F35758" w:rsidP="00F35758">
      <w:pPr>
        <w:pStyle w:val="NormalHanging12a"/>
        <w:widowControl/>
      </w:pPr>
      <w:r w:rsidRPr="00F41EF8">
        <w:t>45.</w:t>
      </w:r>
      <w:r w:rsidRPr="00F41EF8">
        <w:tab/>
        <w:t>Pide a la Comisión que coordine mejor a las distintas agencias nacionales de crédito a la exportación de los Estados miembros de la Unión para adaptarse a las prioridades del Pacto Verde Europeo;</w:t>
      </w:r>
    </w:p>
    <w:p w:rsidR="00F35758" w:rsidRPr="00F41EF8" w:rsidRDefault="00F35758" w:rsidP="00F35758">
      <w:pPr>
        <w:pStyle w:val="NormalHanging12a"/>
        <w:widowControl/>
      </w:pPr>
      <w:r w:rsidRPr="00F41EF8">
        <w:t>46.</w:t>
      </w:r>
      <w:r w:rsidRPr="00F41EF8">
        <w:tab/>
        <w:t>Subraya la importancia de las pymes en el desarrollo económico de los Estados de la SADC, y reconoce su potencial y su papel; reitera la necesidad de concienciar sobre las ventajas y oportunidades que reporta el Acuerdo, en particular para las pymes;</w:t>
      </w:r>
    </w:p>
    <w:p w:rsidR="00F35758" w:rsidRPr="00F41EF8" w:rsidRDefault="00F35758" w:rsidP="00F35758">
      <w:pPr>
        <w:pStyle w:val="NormalHanging12a"/>
        <w:widowControl/>
      </w:pPr>
      <w:r w:rsidRPr="00F41EF8">
        <w:t>47.</w:t>
      </w:r>
      <w:r w:rsidRPr="00F41EF8">
        <w:tab/>
        <w:t>Resalta la importancia de una participación proactiva de las empresas del sector privado en la aplicación y seguimiento del Acuerdo de Asociación Económica UE-SADC;</w:t>
      </w:r>
    </w:p>
    <w:p w:rsidR="00F35758" w:rsidRPr="00F41EF8" w:rsidRDefault="00F35758" w:rsidP="00F35758">
      <w:pPr>
        <w:pStyle w:val="NormalHanging12a"/>
        <w:widowControl/>
      </w:pPr>
      <w:r w:rsidRPr="00F41EF8">
        <w:t>48.</w:t>
      </w:r>
      <w:r w:rsidRPr="00F41EF8">
        <w:tab/>
        <w:t>Pide a la Comisión que promueva e impulse activamente la participación en programas de desarrollo de capacidades y en iniciativas regionales encaminados a fortalecer la capacidad de inversión y exportación, al tiempo que se fomenta un entorno de mercado más favorable para las pymes;</w:t>
      </w:r>
    </w:p>
    <w:p w:rsidR="00F35758" w:rsidRPr="00F41EF8" w:rsidRDefault="00F35758" w:rsidP="00F35758">
      <w:pPr>
        <w:pStyle w:val="NormalHanging12a"/>
        <w:widowControl/>
      </w:pPr>
      <w:r w:rsidRPr="00F41EF8">
        <w:t>49.</w:t>
      </w:r>
      <w:r w:rsidRPr="00F41EF8">
        <w:tab/>
        <w:t>Acoge con satisfacción la introducción de programas de la Unión, como el programa SIBE de apoyo a la inversión y el entorno empresarial, cuyo fin es mejorar el clima empresarial y de inversión en los Estados de la SADC; pide, en este contexto, que se prevea más financiación en el próximo período financiero, con el fin de dar un mayor impulso al crecimiento y desarrollo del sector privado y crear oportunidades de empleo para la población local para así reducir la pobreza;</w:t>
      </w:r>
    </w:p>
    <w:p w:rsidR="00F35758" w:rsidRPr="00F41EF8" w:rsidRDefault="00F35758" w:rsidP="00F35758">
      <w:pPr>
        <w:pStyle w:val="NormalHanging12a"/>
        <w:widowControl/>
      </w:pPr>
      <w:r w:rsidRPr="00F41EF8">
        <w:t>50.</w:t>
      </w:r>
      <w:r w:rsidRPr="00F41EF8">
        <w:tab/>
        <w:t>Destaca que un marco jurídico y fiscal transparente y predecible contribuirá a promover la integración regional y a atraer la inversión extranjera directa;</w:t>
      </w:r>
    </w:p>
    <w:p w:rsidR="00F35758" w:rsidRPr="00F41EF8" w:rsidRDefault="00F35758" w:rsidP="00F35758">
      <w:pPr>
        <w:widowControl/>
        <w:spacing w:after="120"/>
        <w:rPr>
          <w:b/>
          <w:i/>
        </w:rPr>
      </w:pPr>
      <w:r w:rsidRPr="00F41EF8">
        <w:rPr>
          <w:b/>
          <w:i/>
        </w:rPr>
        <w:t>Adhesión de Angola</w:t>
      </w:r>
    </w:p>
    <w:p w:rsidR="00F35758" w:rsidRPr="00F41EF8" w:rsidRDefault="00F35758" w:rsidP="00F35758">
      <w:pPr>
        <w:pStyle w:val="NormalHanging12a"/>
        <w:widowControl/>
      </w:pPr>
      <w:r w:rsidRPr="00F41EF8">
        <w:t>51.</w:t>
      </w:r>
      <w:r w:rsidRPr="00F41EF8">
        <w:tab/>
        <w:t xml:space="preserve">Reconoce la importancia que el Acuerdo entre la Unión Europea y la República de Angola relativo a la facilitación de las inversiones sostenibles reviste para el AAE de la SADC como nuevo enfoque para crear el marco jurídico y fiscal transparente y predecible que se necesita para fomentar la diligencia debida de los inversores con el fin de atraer inversiones sostenibles y responsables, y destaca las disposiciones acordadas sobre compromisos en materia de género, cambio climático y desarrollo sostenible; anima a otros países de la región a que consideren celebrar con la Unión otros acuerdos similares para la facilitación de las inversiones sostenibles cuyo diseño incluya contribuciones determinadas a nivel nacional; subraya que el Acuerdo entre la Unión Europea y la República de Angola relativo a la facilitación de las inversiones sostenibles debe contribuir a atraer y ampliar la inversión sostenible en Angola, así como a promover la diversificación económica, integrando al mismo tiempo los </w:t>
      </w:r>
      <w:r w:rsidRPr="00F41EF8">
        <w:lastRenderedPageBreak/>
        <w:t>compromisos en materia de medio ambiente y derechos laborales, y no tener el efecto contrario; destaca las oportunidades de inversión sostenible en el sector agrícola —sensible al clima—, las energías renovables y las infraestructuras resilientes al cambio climático, así como en el desarrollo de capacidades; pide a la Comisión que, en el marco del programa indicativo plurianual para Angola, dé prioridad a los proyectos de cooperación que promuevan los compromisos de sostenibilidad establecidos en el Acuerdo entre la Unión Europea y la República de Angola relativo a la facilitación de las inversiones sostenibles; opina que acuerdos como este pueden proporcionar un marco jurídico y organizativo para inversiones sostenibles que reduzcan la dependencia de Angola del petróleo y el gas; celebra que el Acuerdo entre la Unión Europea y la República de Angola relativo a la facilitación de las inversiones sostenibles incluya aspectos prácticos importantes de la ejecución de las inversiones, como la transparencia y la previsibilidad de estas, la incorporación de procedimientos de aprobación, el establecimiento de centros de referencia de inversores interesados y procedimientos para la prevención y resolución de litigios y para la diligencia debida de los inversores; pide a la Unión y a los Estados del AAE de la SADC que consideren si el AAE debe completarse con un acuerdo sobre la facilitación de las inversiones sostenibles; pide a los Estados del AAE de la SADC que entablen negociaciones sobre esta cuestión si fuera necesario;</w:t>
      </w:r>
    </w:p>
    <w:p w:rsidR="00F35758" w:rsidRPr="00F41EF8" w:rsidRDefault="00F35758" w:rsidP="00F35758">
      <w:pPr>
        <w:pStyle w:val="NormalHanging12a"/>
        <w:widowControl/>
      </w:pPr>
      <w:r w:rsidRPr="00F41EF8">
        <w:t>52.</w:t>
      </w:r>
      <w:r w:rsidRPr="00F41EF8">
        <w:tab/>
        <w:t>Acoge favorablemente la petición de Angola de adherirse al Acuerdo de Asociación Económica UE-SADC; espera, en este contexto, que el proceso de negociación comience sin más demora; considera que, si Angola se adhiere al Acuerdo de Asociación Económica UE-SADC o a cualquier otro instrumento internacional independiente de carácter vinculante y ejecutable entre la Unión y los Estados de la SADC, el Acuerdo entre la Unión Europea y la República de Angola relativo a la facilitación de las inversiones sostenibles debe adaptarse en consecuencia;</w:t>
      </w:r>
    </w:p>
    <w:p w:rsidR="00F35758" w:rsidRPr="00F41EF8" w:rsidRDefault="00F35758" w:rsidP="00F35758">
      <w:pPr>
        <w:pStyle w:val="NormalHanging12a"/>
        <w:widowControl/>
      </w:pPr>
      <w:r w:rsidRPr="00F41EF8">
        <w:t>53.</w:t>
      </w:r>
      <w:r w:rsidRPr="00F41EF8">
        <w:tab/>
        <w:t xml:space="preserve">Recuerda que, según la evaluación de impacto de la Comisión, Angola afronta problemas en el ámbito de las capacidades para poder aplicar el AAE eficazmente; pide a la Comisión que ayude a Angola en el desarrollo de capacidades; </w:t>
      </w:r>
    </w:p>
    <w:p w:rsidR="00F35758" w:rsidRPr="00F41EF8" w:rsidRDefault="00F35758" w:rsidP="00F35758">
      <w:pPr>
        <w:pStyle w:val="NormalHanging12a"/>
        <w:widowControl/>
        <w:rPr>
          <w:b/>
          <w:i/>
        </w:rPr>
      </w:pPr>
      <w:r w:rsidRPr="00F41EF8">
        <w:rPr>
          <w:b/>
          <w:i/>
        </w:rPr>
        <w:t>Materias primas</w:t>
      </w:r>
    </w:p>
    <w:p w:rsidR="00F35758" w:rsidRPr="00F41EF8" w:rsidRDefault="00F35758" w:rsidP="00F35758">
      <w:pPr>
        <w:pStyle w:val="NormalHanging12a"/>
        <w:widowControl/>
      </w:pPr>
      <w:r w:rsidRPr="00F41EF8">
        <w:t>54.</w:t>
      </w:r>
      <w:r w:rsidRPr="00F41EF8">
        <w:tab/>
        <w:t xml:space="preserve">Pide a la Comisión y a los Estados del AAE de la SADC que refuercen la cooperación mediante foros formales, asociaciones estratégicas sobre materias primas fundamentales y hojas de ruta de ejecución, con el fin de garantizar un suministro diversificado y sostenible de materias primas clave para la transformación ecológica y digital justa, mejorar el reciclado de los recursos naturales y la gestión de los residuos, apoyar a las industrias nacionales para que asciendan en la cadena de valor desde la extracción hasta la transformación de las materias primas y promover prácticas mineras responsables, en particular, reconociendo y aplicando el consentimiento libre, previo e informado de la población local afectada por los proyectos mineros y aportando beneficios a lo largo de toda la cadena de suministro y producción; expresa su convicción de que la extracción de materias primas debe producirse respetando las normas medioambientales, los derechos humanos y laborales, incluidos los derechos de los pueblos indígenas; pide una participación continua y amplia de todas las partes interesadas pertinentes, incluidas las comunidades locales e indígenas; aboga por acometer reformas políticas que aborden la propiedad de la tierra y de las minas, los derechos laborales y la justicia social, con el fin de mitigar los conflictos e impulsar las inversiones sostenibles; manifiesta su </w:t>
      </w:r>
      <w:r w:rsidRPr="00F41EF8">
        <w:lastRenderedPageBreak/>
        <w:t>preocupación por los casos de violaciones de los derechos humanos y el elevado nivel de daños medioambientales causados por algunas empresas mineras;</w:t>
      </w:r>
    </w:p>
    <w:p w:rsidR="00F35758" w:rsidRPr="00F41EF8" w:rsidRDefault="00F35758" w:rsidP="00F35758">
      <w:pPr>
        <w:pStyle w:val="NormalHanging12a"/>
        <w:widowControl/>
      </w:pPr>
      <w:r w:rsidRPr="00F41EF8">
        <w:t>55.</w:t>
      </w:r>
      <w:r w:rsidRPr="00F41EF8">
        <w:tab/>
        <w:t>Acoge favorablemente la asociación estratégica con Namibia, que tiene como fin construir cadenas de valor de materias primas fundamentales y de desarrollo del hidrógeno renovable; recuerda que es necesario desarrollar las infraestructuras necesarias, como instalaciones de energía renovable, redes de transporte y centros de investigación, a fin de facilitar la producción y distribución del hidrógeno renovable;</w:t>
      </w:r>
    </w:p>
    <w:p w:rsidR="00F35758" w:rsidRPr="00F41EF8" w:rsidRDefault="00F35758" w:rsidP="00F35758">
      <w:pPr>
        <w:pStyle w:val="NormalHanging12a"/>
        <w:widowControl/>
      </w:pPr>
      <w:r w:rsidRPr="00F41EF8">
        <w:t>56.</w:t>
      </w:r>
      <w:r w:rsidRPr="00F41EF8">
        <w:tab/>
        <w:t xml:space="preserve">Pide, en este contexto, el establecimiento de plataformas para compartir conocimientos y de redes de investigación para facilitar el intercambio de buenas prácticas, experiencias y soluciones innovadoras entre los Estados miembros; considera útil que la cooperación tecnológica se extienda a otros ámbitos; </w:t>
      </w:r>
    </w:p>
    <w:p w:rsidR="00F35758" w:rsidRPr="00F41EF8" w:rsidRDefault="00F35758" w:rsidP="00F35758">
      <w:pPr>
        <w:pStyle w:val="NormalHanging12a"/>
        <w:widowControl/>
      </w:pPr>
      <w:r w:rsidRPr="00F41EF8">
        <w:t>57.</w:t>
      </w:r>
      <w:r w:rsidRPr="00F41EF8">
        <w:tab/>
        <w:t>Pone de relieve que la petición de la Unión de prohibir los impuestos sobre las exportaciones de materias primas ha sido durante mucho tiempo un escollo en el proceso de negociación de los AAE, habida cuenta de que los derechos e impuestos sobre las exportaciones no están prohibidos en el marco de la OMC; recuerda el derecho de los países africanos a regular las materias primas en aras de su interés público; pide, por consiguiente, que la Unión se abstenga de adoptar políticas de comercio que prohíban con carácter general a los países en desarrollo gravar las exportaciones de materias primas, en la medida en que ello sea compatible con las normas de la OMC;</w:t>
      </w:r>
    </w:p>
    <w:p w:rsidR="00F35758" w:rsidRPr="00F41EF8" w:rsidRDefault="00F35758" w:rsidP="00F35758">
      <w:pPr>
        <w:pStyle w:val="NormalHanging12a"/>
        <w:widowControl/>
        <w:rPr>
          <w:b/>
          <w:i/>
        </w:rPr>
      </w:pPr>
      <w:r w:rsidRPr="00F41EF8">
        <w:rPr>
          <w:b/>
          <w:i/>
        </w:rPr>
        <w:t>Exención de los ADPIC</w:t>
      </w:r>
    </w:p>
    <w:p w:rsidR="00F35758" w:rsidRPr="00F41EF8" w:rsidRDefault="00F35758" w:rsidP="00F35758">
      <w:pPr>
        <w:pStyle w:val="NormalHanging12a"/>
        <w:widowControl/>
      </w:pPr>
      <w:r w:rsidRPr="00F41EF8">
        <w:t>58.</w:t>
      </w:r>
      <w:r w:rsidRPr="00F41EF8">
        <w:tab/>
        <w:t>Observa que la propuesta original presentada, entre otros países, por la India y Sudáfrica para eximir a las vacunas contra la COVID de los aspectos de los derechos de propiedad intelectual relacionados con el comercio (ADPIC) despertó inicialmente reacciones diversas y posteriormente fue apoyada por la Unión; subraya que, en el futuro, una asociación en pie de igualdad debe implicar un mayor diálogo; pide a la Unión y a sus Estados miembros, así como a los miembros de la OMC, que impulsen los largamente esperados debates en el seno de la OMC acerca de la ampliación de la Decisión sobre los ADPIC adoptada en la Duodécima Conferencia Ministerial con el fin de extender a los tratamientos y los productos para diagnóstico las flexibilidades acordadas a nivel de la OMC; pide, en este contexto, a la Comisión que establezca un marco político claro para garantizar que el futuro sistema de licencias obligatorias de la Unión esté en consonancia con las flexibilidades acordadas en relación con los ADPIC; reclama una cooperación en pie de igualdad más sólida en ese sentido con los Estados del AAE de la SADC;</w:t>
      </w:r>
    </w:p>
    <w:p w:rsidR="00F35758" w:rsidRPr="00F41EF8" w:rsidRDefault="00F35758" w:rsidP="00F35758">
      <w:pPr>
        <w:pStyle w:val="NormalHanging12a"/>
        <w:widowControl/>
      </w:pPr>
      <w:r w:rsidRPr="00F41EF8">
        <w:t>59.</w:t>
      </w:r>
      <w:r w:rsidRPr="00F41EF8">
        <w:tab/>
        <w:t xml:space="preserve">Acoge con satisfacción los esfuerzos acometidos en el seno de la Asociación Estratégica UE-Sudáfrica por construir una infraestructura de producción de vacunas y subraya que dicha infraestructura debe abarcar la producción de vacunas contra la COVID-19; </w:t>
      </w:r>
    </w:p>
    <w:p w:rsidR="00F35758" w:rsidRPr="00F41EF8" w:rsidRDefault="00F35758" w:rsidP="00F35758">
      <w:pPr>
        <w:pStyle w:val="NormalHanging12a"/>
        <w:keepNext/>
        <w:widowControl/>
        <w:jc w:val="center"/>
      </w:pPr>
      <w:r w:rsidRPr="00F41EF8">
        <w:t>°</w:t>
      </w:r>
    </w:p>
    <w:p w:rsidR="00F35758" w:rsidRPr="00F41EF8" w:rsidRDefault="00F35758" w:rsidP="00F35758">
      <w:pPr>
        <w:pStyle w:val="NormalHanging12a"/>
        <w:keepNext/>
        <w:widowControl/>
        <w:jc w:val="center"/>
      </w:pPr>
      <w:r w:rsidRPr="00F41EF8">
        <w:t>°</w:t>
      </w:r>
      <w:r w:rsidRPr="00F41EF8">
        <w:tab/>
        <w:t>°</w:t>
      </w:r>
    </w:p>
    <w:p w:rsidR="00E365E1" w:rsidRPr="00395E45" w:rsidRDefault="00F35758" w:rsidP="00D85C69">
      <w:pPr>
        <w:pStyle w:val="NormalHanging12a"/>
        <w:widowControl/>
      </w:pPr>
      <w:r w:rsidRPr="00F41EF8">
        <w:t>60.</w:t>
      </w:r>
      <w:r w:rsidRPr="00F41EF8">
        <w:tab/>
        <w:t>Encarga a su presidenta que transmita la presente Resolución al Consejo y a la Comisión, así como a los Gobiernos y los Parlamentos de los Estados del Acuerdo de Asociación Económica de la Comunidad para el Desarrollo del África Meridional.</w:t>
      </w:r>
      <w:bookmarkStart w:id="9" w:name="TextBodyEnd"/>
      <w:bookmarkEnd w:id="9"/>
    </w:p>
    <w:sectPr w:rsidR="00E365E1" w:rsidRPr="00395E45" w:rsidSect="006D03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900" w:rsidRPr="006D0320" w:rsidRDefault="00101900">
      <w:r w:rsidRPr="006D0320">
        <w:separator/>
      </w:r>
    </w:p>
  </w:endnote>
  <w:endnote w:type="continuationSeparator" w:id="0">
    <w:p w:rsidR="00101900" w:rsidRPr="006D0320" w:rsidRDefault="00101900">
      <w:r w:rsidRPr="006D03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900" w:rsidRPr="006D0320" w:rsidRDefault="00101900">
      <w:r w:rsidRPr="006D0320">
        <w:separator/>
      </w:r>
    </w:p>
  </w:footnote>
  <w:footnote w:type="continuationSeparator" w:id="0">
    <w:p w:rsidR="00101900" w:rsidRPr="006D0320" w:rsidRDefault="00101900">
      <w:r w:rsidRPr="006D0320">
        <w:continuationSeparator/>
      </w:r>
    </w:p>
  </w:footnote>
  <w:footnote w:id="1">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L 250 de 16.9.2016, p. 3.</w:t>
      </w:r>
    </w:p>
  </w:footnote>
  <w:footnote w:id="2">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C 204 de 13.6.2018, p. 222.</w:t>
      </w:r>
    </w:p>
  </w:footnote>
  <w:footnote w:id="3">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C 132 de 14.4.2023, p. 99.</w:t>
      </w:r>
    </w:p>
  </w:footnote>
  <w:footnote w:id="4">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C 32 de 27.1.2023, p. 74.</w:t>
      </w:r>
    </w:p>
  </w:footnote>
  <w:footnote w:id="5">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C 494 de 8.12.2021, p. 80.</w:t>
      </w:r>
    </w:p>
  </w:footnote>
  <w:footnote w:id="6">
    <w:p w:rsidR="00F35758" w:rsidRPr="00F41EF8" w:rsidRDefault="00F35758" w:rsidP="006D0320">
      <w:pPr>
        <w:pStyle w:val="FootnoteText"/>
        <w:ind w:left="567" w:hanging="567"/>
        <w:rPr>
          <w:sz w:val="24"/>
          <w:lang w:val="pt-PT"/>
        </w:rPr>
      </w:pPr>
      <w:r w:rsidRPr="00F41EF8">
        <w:rPr>
          <w:rStyle w:val="FootnoteReference"/>
          <w:sz w:val="24"/>
          <w:lang w:val="es-ES_tradnl"/>
        </w:rPr>
        <w:footnoteRef/>
      </w:r>
      <w:r w:rsidR="006D0320" w:rsidRPr="00F41EF8">
        <w:rPr>
          <w:sz w:val="24"/>
          <w:lang w:val="pt-PT"/>
        </w:rPr>
        <w:t xml:space="preserve"> </w:t>
      </w:r>
      <w:r w:rsidR="006D0320" w:rsidRPr="00F41EF8">
        <w:rPr>
          <w:sz w:val="24"/>
          <w:lang w:val="pt-PT"/>
        </w:rPr>
        <w:tab/>
      </w:r>
      <w:r w:rsidRPr="00F41EF8">
        <w:rPr>
          <w:sz w:val="24"/>
          <w:lang w:val="pt-PT"/>
        </w:rPr>
        <w:t>DO C 105 de 4.3.2022, p. 40.</w:t>
      </w:r>
    </w:p>
  </w:footnote>
  <w:footnote w:id="7">
    <w:p w:rsidR="00F35758" w:rsidRPr="00F41EF8" w:rsidRDefault="00F35758" w:rsidP="006D0320">
      <w:pPr>
        <w:pStyle w:val="FootnoteText"/>
        <w:ind w:left="567" w:hanging="567"/>
        <w:rPr>
          <w:sz w:val="24"/>
          <w:lang w:val="es-ES_tradnl"/>
        </w:rPr>
      </w:pPr>
      <w:r w:rsidRPr="00F41EF8">
        <w:rPr>
          <w:rStyle w:val="FootnoteReference"/>
          <w:sz w:val="24"/>
          <w:lang w:val="es-ES_tradnl"/>
        </w:rPr>
        <w:footnoteRef/>
      </w:r>
      <w:r w:rsidR="006D0320" w:rsidRPr="00F41EF8">
        <w:rPr>
          <w:sz w:val="24"/>
          <w:lang w:val="es-ES_tradnl"/>
        </w:rPr>
        <w:t xml:space="preserve"> </w:t>
      </w:r>
      <w:r w:rsidR="006D0320" w:rsidRPr="00F41EF8">
        <w:rPr>
          <w:sz w:val="24"/>
          <w:lang w:val="es-ES_tradnl"/>
        </w:rPr>
        <w:tab/>
      </w:r>
      <w:r w:rsidRPr="00F41EF8">
        <w:rPr>
          <w:sz w:val="24"/>
          <w:lang w:val="es-ES_tradnl"/>
        </w:rPr>
        <w:t>Estudio titulado «EU-Southern African Development Community agreement: A geo-economic perspective» (El Acuerdo UE-Comunidad para el Desarrollo del África Meridional: una perspectiva geoeconómica), Parlamento Europeo, Dirección General de Servicios de Estudios Parlamentarios, 22 de noviembre de 2023.</w:t>
      </w:r>
    </w:p>
  </w:footnote>
  <w:footnote w:id="8">
    <w:p w:rsidR="00F35758" w:rsidRPr="00F41EF8" w:rsidRDefault="00F35758" w:rsidP="006D0320">
      <w:pPr>
        <w:pStyle w:val="FootnoteText"/>
        <w:ind w:left="567" w:hanging="567"/>
        <w:rPr>
          <w:sz w:val="24"/>
          <w:lang w:val="es-ES_tradnl"/>
        </w:rPr>
      </w:pPr>
      <w:r w:rsidRPr="00F41EF8">
        <w:rPr>
          <w:rStyle w:val="FootnoteReference"/>
          <w:sz w:val="24"/>
          <w:lang w:val="es-ES_tradnl"/>
        </w:rPr>
        <w:footnoteRef/>
      </w:r>
      <w:r w:rsidR="006D0320" w:rsidRPr="00F41EF8">
        <w:rPr>
          <w:sz w:val="24"/>
          <w:lang w:val="es-ES_tradnl"/>
        </w:rPr>
        <w:t xml:space="preserve"> </w:t>
      </w:r>
      <w:r w:rsidR="006D0320" w:rsidRPr="00F41EF8">
        <w:rPr>
          <w:sz w:val="24"/>
          <w:lang w:val="es-ES_tradnl"/>
        </w:rPr>
        <w:tab/>
      </w:r>
      <w:r w:rsidRPr="00F41EF8">
        <w:rPr>
          <w:sz w:val="24"/>
          <w:lang w:val="es-ES_tradnl"/>
        </w:rPr>
        <w:t xml:space="preserve">Cipollina, M., «The Trade Growth under the EU–SADC Economic Partnership Agreement: An Empirical Assessment» (El crecimiento del comercio en el marco del Acuerdo de Asociación Económica UE-SADC: una evaluación empírica), </w:t>
      </w:r>
      <w:proofErr w:type="gramStart"/>
      <w:r w:rsidRPr="00F41EF8">
        <w:rPr>
          <w:i/>
          <w:sz w:val="24"/>
          <w:lang w:val="es-ES_tradnl"/>
        </w:rPr>
        <w:t>Economies</w:t>
      </w:r>
      <w:r w:rsidRPr="00F41EF8">
        <w:rPr>
          <w:sz w:val="24"/>
          <w:lang w:val="es-ES_tradnl"/>
        </w:rPr>
        <w:t>,vol.</w:t>
      </w:r>
      <w:proofErr w:type="gramEnd"/>
      <w:r w:rsidRPr="00F41EF8">
        <w:rPr>
          <w:sz w:val="24"/>
          <w:lang w:val="es-ES_tradnl"/>
        </w:rPr>
        <w:t xml:space="preserve"> 10, n.º 12, 2022.</w:t>
      </w:r>
    </w:p>
  </w:footnote>
  <w:footnote w:id="9">
    <w:p w:rsidR="00F35758" w:rsidRPr="006D0320" w:rsidRDefault="00F35758" w:rsidP="006D0320">
      <w:pPr>
        <w:pStyle w:val="FootnoteText"/>
        <w:ind w:left="567" w:hanging="567"/>
        <w:rPr>
          <w:sz w:val="24"/>
          <w:lang w:val="es-ES_tradnl"/>
        </w:rPr>
      </w:pPr>
      <w:r w:rsidRPr="00F41EF8">
        <w:rPr>
          <w:rStyle w:val="FootnoteReference"/>
          <w:sz w:val="24"/>
          <w:lang w:val="es-ES_tradnl"/>
        </w:rPr>
        <w:footnoteRef/>
      </w:r>
      <w:r w:rsidR="006D0320" w:rsidRPr="00F41EF8">
        <w:rPr>
          <w:sz w:val="24"/>
          <w:lang w:val="es-ES_tradnl"/>
        </w:rPr>
        <w:t xml:space="preserve"> </w:t>
      </w:r>
      <w:r w:rsidR="006D0320" w:rsidRPr="00F41EF8">
        <w:rPr>
          <w:sz w:val="24"/>
          <w:lang w:val="es-ES_tradnl"/>
        </w:rPr>
        <w:tab/>
      </w:r>
      <w:r w:rsidRPr="00F41EF8">
        <w:rPr>
          <w:sz w:val="24"/>
          <w:lang w:val="es-ES_tradnl"/>
        </w:rPr>
        <w:t>Comunicación de la Comisión, de 5 de mayo de 2009, titulada «Contribución al desarrollo sostenible: el papel del comercio justo y de los sistemas no gubernamentales de garantía de la sostenibilidad comercial» (</w:t>
      </w:r>
      <w:proofErr w:type="gramStart"/>
      <w:r w:rsidRPr="00F41EF8">
        <w:rPr>
          <w:sz w:val="24"/>
          <w:lang w:val="es-ES_tradnl"/>
        </w:rPr>
        <w:t>COM(</w:t>
      </w:r>
      <w:proofErr w:type="gramEnd"/>
      <w:r w:rsidRPr="00F41EF8">
        <w:rPr>
          <w:sz w:val="24"/>
          <w:lang w:val="es-ES_tradnl"/>
        </w:rPr>
        <w:t>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3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ES"/>
    <w:docVar w:name="dvnumam" w:val="0"/>
    <w:docVar w:name="dvpe" w:val="749.066"/>
    <w:docVar w:name="dvrapporteur" w:val="Ponente: "/>
    <w:docVar w:name="dvtitre" w:val="Resolución del Parlamento Europeo, de x de febrero de 2024, sobre la aplicación del Acuerdo de Asociación Económica (AAE) entre la Unión Europea y la Comunidad para el Desarrollo del África Meridional (SADC)(2023/2065(INI))"/>
  </w:docVars>
  <w:rsids>
    <w:rsidRoot w:val="00101900"/>
    <w:rsid w:val="00002272"/>
    <w:rsid w:val="00064002"/>
    <w:rsid w:val="000677B9"/>
    <w:rsid w:val="000831BA"/>
    <w:rsid w:val="000A42CC"/>
    <w:rsid w:val="000E7DD9"/>
    <w:rsid w:val="0010095E"/>
    <w:rsid w:val="00101900"/>
    <w:rsid w:val="00125B37"/>
    <w:rsid w:val="00187494"/>
    <w:rsid w:val="001F32AE"/>
    <w:rsid w:val="002767FF"/>
    <w:rsid w:val="002B18FE"/>
    <w:rsid w:val="002B5493"/>
    <w:rsid w:val="00343214"/>
    <w:rsid w:val="00361C00"/>
    <w:rsid w:val="00395E45"/>
    <w:rsid w:val="00395FA1"/>
    <w:rsid w:val="003E15D4"/>
    <w:rsid w:val="00400E61"/>
    <w:rsid w:val="00411CCE"/>
    <w:rsid w:val="0041666E"/>
    <w:rsid w:val="00421060"/>
    <w:rsid w:val="00471C19"/>
    <w:rsid w:val="004867E3"/>
    <w:rsid w:val="00494A28"/>
    <w:rsid w:val="004C0004"/>
    <w:rsid w:val="004C5D52"/>
    <w:rsid w:val="0050519A"/>
    <w:rsid w:val="005072A1"/>
    <w:rsid w:val="00514517"/>
    <w:rsid w:val="00545827"/>
    <w:rsid w:val="005475B1"/>
    <w:rsid w:val="00560270"/>
    <w:rsid w:val="005C2568"/>
    <w:rsid w:val="006037C0"/>
    <w:rsid w:val="006631B6"/>
    <w:rsid w:val="00680577"/>
    <w:rsid w:val="006D032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2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AB7"/>
    <w:rsid w:val="00BD48FE"/>
    <w:rsid w:val="00BD7BD8"/>
    <w:rsid w:val="00BE6ADC"/>
    <w:rsid w:val="00C05BFE"/>
    <w:rsid w:val="00C23CD4"/>
    <w:rsid w:val="00C61C0C"/>
    <w:rsid w:val="00C941CB"/>
    <w:rsid w:val="00CC2357"/>
    <w:rsid w:val="00CF071A"/>
    <w:rsid w:val="00D058B8"/>
    <w:rsid w:val="00D56C11"/>
    <w:rsid w:val="00D834A0"/>
    <w:rsid w:val="00D85C69"/>
    <w:rsid w:val="00D872DF"/>
    <w:rsid w:val="00D91E21"/>
    <w:rsid w:val="00DA7FCD"/>
    <w:rsid w:val="00E36171"/>
    <w:rsid w:val="00E365E1"/>
    <w:rsid w:val="00E820A4"/>
    <w:rsid w:val="00EB006A"/>
    <w:rsid w:val="00EB4772"/>
    <w:rsid w:val="00ED169E"/>
    <w:rsid w:val="00ED4235"/>
    <w:rsid w:val="00F04346"/>
    <w:rsid w:val="00F075DC"/>
    <w:rsid w:val="00F149E9"/>
    <w:rsid w:val="00F35758"/>
    <w:rsid w:val="00F41EF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AE0BC"/>
  <w15:chartTrackingRefBased/>
  <w15:docId w15:val="{CB96A12E-F6B1-45D3-8566-D36A757F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5758"/>
    <w:pPr>
      <w:spacing w:after="240"/>
      <w:ind w:left="567" w:hanging="567"/>
    </w:pPr>
  </w:style>
  <w:style w:type="paragraph" w:customStyle="1" w:styleId="EPComma">
    <w:name w:val="EPComma"/>
    <w:basedOn w:val="Normal"/>
    <w:rsid w:val="00F35758"/>
    <w:pPr>
      <w:spacing w:before="480" w:after="240"/>
    </w:pPr>
  </w:style>
  <w:style w:type="character" w:customStyle="1" w:styleId="NormalHanging12aChar">
    <w:name w:val="NormalHanging12a Char"/>
    <w:basedOn w:val="DefaultParagraphFont"/>
    <w:link w:val="NormalHanging12a"/>
    <w:rsid w:val="00F35758"/>
    <w:rPr>
      <w:sz w:val="24"/>
      <w:lang w:val="es-ES_tradnl"/>
    </w:rPr>
  </w:style>
  <w:style w:type="paragraph" w:styleId="BalloonText">
    <w:name w:val="Balloon Text"/>
    <w:basedOn w:val="Normal"/>
    <w:link w:val="BalloonTextChar"/>
    <w:rsid w:val="00D85C69"/>
    <w:rPr>
      <w:rFonts w:ascii="Segoe UI" w:hAnsi="Segoe UI" w:cs="Segoe UI"/>
      <w:sz w:val="18"/>
      <w:szCs w:val="18"/>
    </w:rPr>
  </w:style>
  <w:style w:type="character" w:customStyle="1" w:styleId="BalloonTextChar">
    <w:name w:val="Balloon Text Char"/>
    <w:basedOn w:val="DefaultParagraphFont"/>
    <w:link w:val="BalloonText"/>
    <w:rsid w:val="00D85C6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9D203-15AF-4876-B2A3-F51F743A8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7411</Words>
  <Characters>39130</Characters>
  <Application>Microsoft Office Word</Application>
  <DocSecurity>0</DocSecurity>
  <Lines>1449</Lines>
  <Paragraphs>474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GARCIA FERNANDEZ Laura</cp:lastModifiedBy>
  <cp:revision>2</cp:revision>
  <cp:lastPrinted>2004-11-19T15:42:00Z</cp:lastPrinted>
  <dcterms:created xsi:type="dcterms:W3CDTF">2024-04-08T10:12:00Z</dcterms:created>
  <dcterms:modified xsi:type="dcterms:W3CDTF">2024-04-08T10:12:00Z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A9-0024/2024</vt:lpwstr>
  </property>
  <property fmtid="{D5CDD505-2E9C-101B-9397-08002B2CF9AE}" pid="4" name="&lt;Type&gt;">
    <vt:lpwstr>RR</vt:lpwstr>
  </property>
</Properties>
</file>