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24F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224F9" w:rsidRDefault="0075375E" w:rsidP="0010095E">
            <w:pPr>
              <w:pStyle w:val="EPName"/>
            </w:pPr>
            <w:r w:rsidRPr="00A224F9">
              <w:t>Europski parlament</w:t>
            </w:r>
          </w:p>
          <w:p w:rsidR="00751A4A" w:rsidRPr="00A224F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24F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224F9" w:rsidRDefault="00187494" w:rsidP="0010095E">
            <w:pPr>
              <w:pStyle w:val="EPLogo"/>
            </w:pPr>
            <w:r w:rsidRPr="00A224F9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224F9" w:rsidRDefault="00D058B8" w:rsidP="004C5D52">
      <w:pPr>
        <w:pStyle w:val="LineTop"/>
      </w:pPr>
    </w:p>
    <w:p w:rsidR="00680577" w:rsidRPr="00A224F9" w:rsidRDefault="0075375E" w:rsidP="00680577">
      <w:pPr>
        <w:pStyle w:val="EPBodyTA1"/>
      </w:pPr>
      <w:r w:rsidRPr="00A224F9">
        <w:t>USVOJENI TEKSTOVI</w:t>
      </w:r>
    </w:p>
    <w:p w:rsidR="00D058B8" w:rsidRPr="00A224F9" w:rsidRDefault="00D058B8" w:rsidP="00D058B8">
      <w:pPr>
        <w:pStyle w:val="LineBottom"/>
      </w:pPr>
    </w:p>
    <w:p w:rsidR="0075375E" w:rsidRPr="00A224F9" w:rsidRDefault="0075375E" w:rsidP="0075375E">
      <w:pPr>
        <w:pStyle w:val="ATHeading1"/>
      </w:pPr>
      <w:bookmarkStart w:id="0" w:name="TANumber"/>
      <w:r w:rsidRPr="00A224F9">
        <w:t>P9_TA(2024)0</w:t>
      </w:r>
      <w:r w:rsidR="00C50FE1">
        <w:t>121</w:t>
      </w:r>
      <w:bookmarkEnd w:id="0"/>
    </w:p>
    <w:p w:rsidR="0075375E" w:rsidRPr="00A224F9" w:rsidRDefault="0075375E" w:rsidP="0075375E">
      <w:pPr>
        <w:pStyle w:val="ATHeading2"/>
      </w:pPr>
      <w:bookmarkStart w:id="1" w:name="title"/>
      <w:r w:rsidRPr="00A224F9">
        <w:t>Provedba Sporazuma o gospodarskom partnerstvu između EU-a i Južnoafričke razvojne zajednice (SADC)</w:t>
      </w:r>
      <w:bookmarkEnd w:id="1"/>
    </w:p>
    <w:p w:rsidR="0075375E" w:rsidRPr="00A224F9" w:rsidRDefault="0075375E" w:rsidP="0075375E">
      <w:pPr>
        <w:rPr>
          <w:i/>
          <w:vanish/>
        </w:rPr>
      </w:pPr>
      <w:r w:rsidRPr="00A224F9">
        <w:rPr>
          <w:i/>
        </w:rPr>
        <w:fldChar w:fldCharType="begin"/>
      </w:r>
      <w:r w:rsidRPr="00A224F9">
        <w:rPr>
          <w:i/>
        </w:rPr>
        <w:instrText xml:space="preserve"> TC"(</w:instrText>
      </w:r>
      <w:bookmarkStart w:id="2" w:name="DocNumber"/>
      <w:r w:rsidRPr="00A224F9">
        <w:rPr>
          <w:i/>
        </w:rPr>
        <w:instrText>A9-0024/2024</w:instrText>
      </w:r>
      <w:bookmarkEnd w:id="2"/>
      <w:r w:rsidRPr="00A224F9">
        <w:rPr>
          <w:i/>
        </w:rPr>
        <w:instrText xml:space="preserve"> - Izvjestitelj: </w:instrText>
      </w:r>
      <w:proofErr w:type="spellStart"/>
      <w:r w:rsidRPr="00A224F9">
        <w:rPr>
          <w:i/>
        </w:rPr>
        <w:instrText>Joachim</w:instrText>
      </w:r>
      <w:proofErr w:type="spellEnd"/>
      <w:r w:rsidRPr="00A224F9">
        <w:rPr>
          <w:i/>
        </w:rPr>
        <w:instrText xml:space="preserve"> </w:instrText>
      </w:r>
      <w:proofErr w:type="spellStart"/>
      <w:r w:rsidRPr="00A224F9">
        <w:rPr>
          <w:i/>
        </w:rPr>
        <w:instrText>Schuster</w:instrText>
      </w:r>
      <w:proofErr w:type="spellEnd"/>
      <w:r w:rsidRPr="00A224F9">
        <w:rPr>
          <w:i/>
        </w:rPr>
        <w:instrText xml:space="preserve">)"\l3 \n&gt; \* MERGEFORMAT </w:instrText>
      </w:r>
      <w:r w:rsidRPr="00A224F9">
        <w:rPr>
          <w:i/>
        </w:rPr>
        <w:fldChar w:fldCharType="end"/>
      </w:r>
    </w:p>
    <w:p w:rsidR="0075375E" w:rsidRPr="00A224F9" w:rsidRDefault="0075375E" w:rsidP="0075375E">
      <w:pPr>
        <w:rPr>
          <w:vanish/>
        </w:rPr>
      </w:pPr>
      <w:bookmarkStart w:id="3" w:name="Commission"/>
      <w:r w:rsidRPr="00A224F9">
        <w:rPr>
          <w:vanish/>
        </w:rPr>
        <w:t>Odbor za međunarodnu trgovinu</w:t>
      </w:r>
      <w:bookmarkEnd w:id="3"/>
    </w:p>
    <w:p w:rsidR="0075375E" w:rsidRPr="00A224F9" w:rsidRDefault="0075375E" w:rsidP="0075375E">
      <w:pPr>
        <w:rPr>
          <w:vanish/>
        </w:rPr>
      </w:pPr>
      <w:bookmarkStart w:id="4" w:name="PE"/>
      <w:r w:rsidRPr="00A224F9">
        <w:rPr>
          <w:vanish/>
        </w:rPr>
        <w:t>PE749.066</w:t>
      </w:r>
      <w:bookmarkEnd w:id="4"/>
    </w:p>
    <w:p w:rsidR="0075375E" w:rsidRPr="00A224F9" w:rsidRDefault="0075375E" w:rsidP="0075375E">
      <w:pPr>
        <w:pStyle w:val="ATHeading3"/>
      </w:pPr>
      <w:bookmarkStart w:id="5" w:name="Sujet"/>
      <w:r w:rsidRPr="00A224F9">
        <w:t>Rezolu</w:t>
      </w:r>
      <w:r w:rsidR="00A224F9">
        <w:t>cija Europskog parlamenta od 29</w:t>
      </w:r>
      <w:r w:rsidRPr="00A224F9">
        <w:t xml:space="preserve">. </w:t>
      </w:r>
      <w:r w:rsidR="00A224F9">
        <w:t xml:space="preserve">veljače </w:t>
      </w:r>
      <w:r w:rsidRPr="00A224F9">
        <w:t>2024. o provedbi Sporazuma o gospodarskom partnerstvu između EU-a i Južnoafričke razvojne zajednice (SADC)</w:t>
      </w:r>
      <w:bookmarkEnd w:id="5"/>
      <w:r w:rsidRPr="00A224F9">
        <w:t xml:space="preserve"> </w:t>
      </w:r>
      <w:bookmarkStart w:id="6" w:name="References"/>
      <w:r w:rsidRPr="00A224F9">
        <w:t>(2023/2065(INI))</w:t>
      </w:r>
      <w:bookmarkEnd w:id="6"/>
    </w:p>
    <w:p w:rsidR="00CD689E" w:rsidRPr="00A224F9" w:rsidRDefault="00CD689E" w:rsidP="00CD689E">
      <w:pPr>
        <w:pStyle w:val="EPComma"/>
      </w:pPr>
      <w:bookmarkStart w:id="7" w:name="TextBodyBegin"/>
      <w:bookmarkEnd w:id="7"/>
      <w:r w:rsidRPr="00A224F9">
        <w:rPr>
          <w:i/>
        </w:rPr>
        <w:t>Europski parlament</w:t>
      </w:r>
      <w:r w:rsidRPr="00A224F9">
        <w:t>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Sporazum o gospodarskom partnerstvu između Europske unije i njezinih država članica, s jedne strane, i država SADC SGP-a, s druge strane</w:t>
      </w:r>
      <w:r w:rsidRPr="00A224F9">
        <w:rPr>
          <w:rStyle w:val="FootnoteReference"/>
          <w:color w:val="000000"/>
          <w:szCs w:val="24"/>
        </w:rPr>
        <w:footnoteReference w:id="1"/>
      </w:r>
      <w:r w:rsidRPr="00A224F9">
        <w:t>,</w:t>
      </w:r>
    </w:p>
    <w:p w:rsidR="00CD689E" w:rsidRPr="00A224F9" w:rsidRDefault="00CD689E" w:rsidP="00CD689E">
      <w:pPr>
        <w:pStyle w:val="NormalHanging12a"/>
        <w:rPr>
          <w:bCs/>
        </w:rPr>
      </w:pPr>
      <w:r w:rsidRPr="00A224F9">
        <w:t>–</w:t>
      </w:r>
      <w:r w:rsidRPr="00A224F9">
        <w:tab/>
        <w:t>uzimajući u obzir svoju rezoluciju od 14. rujna 2016. o Nacrtu odluke Vijeća o sklapanju, u ime Europske unije, Sporazuma o gospodarskom partnerstvu između Europske unije i njezinih država članica, s jedne strane, i država SADC SGP-a, s druge strane</w:t>
      </w:r>
      <w:r w:rsidRPr="00A224F9">
        <w:rPr>
          <w:rStyle w:val="FootnoteReference"/>
          <w:bCs/>
          <w:color w:val="000000"/>
          <w:szCs w:val="24"/>
        </w:rPr>
        <w:footnoteReference w:id="2"/>
      </w:r>
      <w:r w:rsidRPr="00A224F9">
        <w:t>,</w:t>
      </w:r>
    </w:p>
    <w:p w:rsidR="00CD689E" w:rsidRPr="00A224F9" w:rsidRDefault="00CD689E" w:rsidP="00CD689E">
      <w:pPr>
        <w:pStyle w:val="NormalHanging12a"/>
        <w:rPr>
          <w:bCs/>
        </w:rPr>
      </w:pPr>
      <w:r w:rsidRPr="00A224F9">
        <w:t>–</w:t>
      </w:r>
      <w:r w:rsidRPr="00A224F9">
        <w:tab/>
        <w:t>uzimajući u obzir svoju rezoluciju od 6. listopada 2022. o ishodu Komisijine revizije akcijskog plana u 15 točaka o trgovini i održivom razvoju</w:t>
      </w:r>
      <w:r w:rsidRPr="00A224F9">
        <w:rPr>
          <w:rStyle w:val="FootnoteReference"/>
          <w:bCs/>
          <w:color w:val="000000"/>
          <w:szCs w:val="24"/>
        </w:rPr>
        <w:footnoteReference w:id="3"/>
      </w:r>
      <w:r w:rsidRPr="00A224F9">
        <w:t>,</w:t>
      </w:r>
    </w:p>
    <w:p w:rsidR="00CD689E" w:rsidRPr="00A224F9" w:rsidRDefault="00CD689E" w:rsidP="00CD689E">
      <w:pPr>
        <w:pStyle w:val="NormalHanging12a"/>
        <w:rPr>
          <w:bCs/>
        </w:rPr>
      </w:pPr>
      <w:r w:rsidRPr="00A224F9">
        <w:t>–</w:t>
      </w:r>
      <w:r w:rsidRPr="00A224F9">
        <w:tab/>
        <w:t>uzimajući u obzir svoju Rezoluciju od 23. lipnja 2022. o budućnosti trgovinskih odnosa EU-a i Afrike</w:t>
      </w:r>
      <w:r w:rsidRPr="00A224F9">
        <w:rPr>
          <w:rStyle w:val="FootnoteReference"/>
          <w:bCs/>
          <w:color w:val="000000"/>
          <w:szCs w:val="24"/>
        </w:rPr>
        <w:footnoteReference w:id="4"/>
      </w:r>
      <w:r w:rsidRPr="00A224F9">
        <w:t>,</w:t>
      </w:r>
    </w:p>
    <w:p w:rsidR="00CD689E" w:rsidRPr="00A224F9" w:rsidRDefault="00CD689E" w:rsidP="00CD689E">
      <w:pPr>
        <w:pStyle w:val="NormalHanging12a"/>
        <w:rPr>
          <w:bCs/>
        </w:rPr>
      </w:pPr>
      <w:r w:rsidRPr="00A224F9">
        <w:t>–</w:t>
      </w:r>
      <w:r w:rsidRPr="00A224F9">
        <w:tab/>
        <w:t>uzimajući u obzir svoju Rezoluciju od 25. ožujka 2021. o novoj strategiji EU-a i Afrike: partnerstvo za održiv i uključiv razvoj</w:t>
      </w:r>
      <w:r w:rsidRPr="00A224F9">
        <w:rPr>
          <w:rStyle w:val="FootnoteReference"/>
          <w:color w:val="000000"/>
        </w:rPr>
        <w:footnoteReference w:id="5"/>
      </w:r>
      <w:r w:rsidRPr="00A224F9">
        <w:t>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komunikaciju Komisije od 18. veljače 2021. naslovljenu „Revizija trgovinske politike – otvorena, održiva i odlučna trgovinska politika” (COM(2021)0066),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 xml:space="preserve">uzimajući u obzir komunikaciju Komisije od 11. prosinca 2019. naslovljenu „Europski </w:t>
      </w:r>
      <w:r w:rsidRPr="00A224F9">
        <w:lastRenderedPageBreak/>
        <w:t>zeleni plan” (COM(2019)0640),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komunikaciju Komisije od 5. ožujka 2020. naslovljenu „Unija ravnopravnosti:  Strategija za rodnu ravnopravnost 2020.–2025.” (COM(2020)0152),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radni dokument službi Komisije od 11. listopada 2022. naslovljen „Pojedinačni informacijski listovi o provedbi sporazumâ o slobodnoj trgovini EU-a” (SWD(2022)0730),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dokument o stajalištu Komisije o procjeni učinka na održivost kao potpori trgovinskim pregovorima s Angolom o pristupanju SGP-u između EU-a i SADC-a,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Sporazum o olakšavanju održivih ulaganja između Europske unije i Republike Angole,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Okvirnu konvenciju Ujedinjenih naroda o promjeni klime, uključujući Pariški sporazum iz 2015.,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Program Ujedinjenih naroda za održivi razvoj do 2030.,</w:t>
      </w:r>
    </w:p>
    <w:p w:rsidR="00CD689E" w:rsidRPr="00B331AF" w:rsidRDefault="00CD689E" w:rsidP="00CD689E">
      <w:pPr>
        <w:pStyle w:val="NormalHanging12a"/>
      </w:pPr>
      <w:r w:rsidRPr="00A224F9">
        <w:t>–</w:t>
      </w:r>
      <w:r w:rsidRPr="00A224F9">
        <w:tab/>
        <w:t xml:space="preserve">uzimajući u obzir </w:t>
      </w:r>
      <w:r w:rsidRPr="00B331AF">
        <w:t xml:space="preserve">publikaciju </w:t>
      </w:r>
      <w:r w:rsidRPr="00B331AF">
        <w:rPr>
          <w:shd w:val="clear" w:color="auto" w:fill="FFFFFF"/>
        </w:rPr>
        <w:t>Konferencije Ujedinjenih naroda o trgovini i razvoju</w:t>
      </w:r>
      <w:r w:rsidRPr="00B331AF">
        <w:t xml:space="preserve"> (UNCTAD) od 19. listopada 2021. naslovljenu „Promijeniti južnu Afriku: iskorištavanje regionalnih lanaca vrijednosti i industrijske politike za razvoj”</w:t>
      </w:r>
      <w:r w:rsidR="008C4043">
        <w:t>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Sporazum o uspostavi kontinentalnog područja slobodne trgovine u Africi,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zajedničku izjavu s 26. međuparlamentarne sjednice EU-a i Južne Afrike održane 31. listopada i 1. studenoga 2018.,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Viziju za SADC do 2050.,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strategiju i plan za industrijalizaciju SADC-a (2015. – 2063.),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mišljenje na vlastitu inicijativu Europskoga gospodarskog i socijalnog odbora naslovljeno „Trgovina i održivi razvoj nove generacije – Preispitivanje Akcijskog plana u 15 točaka</w:t>
      </w:r>
      <w:r w:rsidRPr="00A224F9">
        <w:rPr>
          <w:rStyle w:val="FootnoteReference"/>
        </w:rPr>
        <w:footnoteReference w:id="6"/>
      </w:r>
      <w:r w:rsidRPr="00A224F9">
        <w:t>”,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 xml:space="preserve">uzimajući u obzir </w:t>
      </w:r>
      <w:r w:rsidRPr="00A224F9">
        <w:rPr>
          <w:i/>
          <w:iCs/>
        </w:rPr>
        <w:t>ex post</w:t>
      </w:r>
      <w:r w:rsidRPr="00A224F9">
        <w:t xml:space="preserve"> evaluaciju Sporazuma o gospodarskom partnerstvu između EU-a i SADC-a – početno izvješće od 21. lipnja 2023.,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sastanke Odbora za trgovinu i razvoj Sporazuma o gospodarskom partnerstvu između EU-a i SADC-a, a posebno njegove sjednice od šeste do devete,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globalno izvješće o krizama povezanim s hranom za 2021.,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 xml:space="preserve">uzimajući u obzir studiju Glavne uprave Europskog parlamenta za usluge parlamentarnih istraživanja od 22. studenog 2023. naslovljenu „Sporazum između EU-a </w:t>
      </w:r>
      <w:r w:rsidRPr="00A224F9">
        <w:lastRenderedPageBreak/>
        <w:t>i Južnoafričke razvojne zajednice: geoekonomska perspektiva”</w:t>
      </w:r>
      <w:r w:rsidRPr="00A224F9">
        <w:rPr>
          <w:rStyle w:val="FootnoteReference"/>
        </w:rPr>
        <w:footnoteReference w:id="7"/>
      </w:r>
      <w:r w:rsidRPr="00A224F9">
        <w:t>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članak 54. Poslovnika i članak 1. stavak 1. točku (e) Odluke Konferencije predsjednika od 12. prosinca 2002. o postupku odobrenja izrade izvješćâ o vlastitoj inicijativi te Prilog 3. priložen toj odluci,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mišljenje Odbora za razvoj,</w:t>
      </w:r>
    </w:p>
    <w:p w:rsidR="00CD689E" w:rsidRPr="00A224F9" w:rsidRDefault="00CD689E" w:rsidP="00CD689E">
      <w:pPr>
        <w:pStyle w:val="NormalHanging12a"/>
      </w:pPr>
      <w:r w:rsidRPr="00A224F9">
        <w:t>–</w:t>
      </w:r>
      <w:r w:rsidRPr="00A224F9">
        <w:tab/>
        <w:t>uzimajući u obzir izvješće Odbora za međunarodnu trgovinu (A9</w:t>
      </w:r>
      <w:r w:rsidRPr="00A224F9">
        <w:noBreakHyphen/>
        <w:t>0024/2024),</w:t>
      </w:r>
    </w:p>
    <w:p w:rsidR="00CD689E" w:rsidRPr="00A224F9" w:rsidRDefault="00CD689E" w:rsidP="00CD689E">
      <w:pPr>
        <w:pStyle w:val="NormalHanging12a"/>
      </w:pPr>
      <w:r w:rsidRPr="00A224F9">
        <w:t>A.</w:t>
      </w:r>
      <w:r w:rsidRPr="00A224F9">
        <w:tab/>
        <w:t xml:space="preserve">budući da su geopolitičke promjene, uključujući pandemiju koronavirusa, rusku ratnu agresiju na Ukrajinu i njezine gospodarske posljedice, dovele do </w:t>
      </w:r>
      <w:proofErr w:type="spellStart"/>
      <w:r w:rsidRPr="00A224F9">
        <w:t>repozicioniranja</w:t>
      </w:r>
      <w:proofErr w:type="spellEnd"/>
      <w:r w:rsidRPr="00A224F9">
        <w:t xml:space="preserve"> Afrike i veće autonomije zemalja globalnog juga na svjetskoj sceni, čime se promiču njihovi interesi i doprinosi;</w:t>
      </w:r>
    </w:p>
    <w:p w:rsidR="00CD689E" w:rsidRPr="00A224F9" w:rsidRDefault="00CD689E" w:rsidP="00CD689E">
      <w:pPr>
        <w:pStyle w:val="NormalHanging12a"/>
      </w:pPr>
      <w:r w:rsidRPr="00A224F9">
        <w:t>B.</w:t>
      </w:r>
      <w:r w:rsidRPr="00A224F9">
        <w:tab/>
        <w:t>budući da pridruživanje važnih zemalja globalnog juga savezu BRICS (Brazil, Rusija, Indija, Kina i Južna Afrika), koji će se od 2024. proširiti za još šest zemalja nakon odluke sa sastanka na vrhu BRICS-a u kolovozu 2023., naglašava važnost održavanja suradnje s narodima globalnog juga pod jednakim i pravednim uvjetima;</w:t>
      </w:r>
    </w:p>
    <w:p w:rsidR="00CD689E" w:rsidRPr="00A224F9" w:rsidRDefault="00CD689E" w:rsidP="00CD689E">
      <w:pPr>
        <w:pStyle w:val="NormalHanging12a"/>
      </w:pPr>
      <w:r w:rsidRPr="00A224F9">
        <w:t>C.</w:t>
      </w:r>
      <w:r w:rsidRPr="00A224F9">
        <w:tab/>
        <w:t>budući da Južna Afrika ima istaknutu ulogu u povezivanju Europske unije i afričkog kontinenta te kao partner u rješavanju globalnih izazova;</w:t>
      </w:r>
    </w:p>
    <w:p w:rsidR="00CD689E" w:rsidRPr="00A224F9" w:rsidRDefault="00CD689E" w:rsidP="00CD689E">
      <w:pPr>
        <w:pStyle w:val="NormalHanging12a"/>
      </w:pPr>
      <w:r w:rsidRPr="00A224F9">
        <w:t>D.</w:t>
      </w:r>
      <w:r w:rsidRPr="00A224F9">
        <w:tab/>
        <w:t xml:space="preserve">budući da će sporazum koji će naslijediti Sporazum iz </w:t>
      </w:r>
      <w:proofErr w:type="spellStart"/>
      <w:r w:rsidRPr="00A224F9">
        <w:t>Cotonoua</w:t>
      </w:r>
      <w:proofErr w:type="spellEnd"/>
      <w:r w:rsidRPr="00A224F9">
        <w:t xml:space="preserve"> postati novi sveobuhvatni okvir za sve sporazume o gospodarskom partnerstvu, uključujući SGP-a sa SADC-om, kao i ključna referenca za buduća preispitivanja tih sporazuma;</w:t>
      </w:r>
    </w:p>
    <w:p w:rsidR="00CD689E" w:rsidRPr="00A224F9" w:rsidRDefault="00CD689E" w:rsidP="00CD689E">
      <w:pPr>
        <w:pStyle w:val="NormalHanging12a"/>
      </w:pPr>
      <w:r w:rsidRPr="00A224F9">
        <w:t>E.</w:t>
      </w:r>
      <w:r w:rsidRPr="00A224F9">
        <w:tab/>
        <w:t>budući da je potpuno sudjelovanje svih dionika, i to civilnog društva, predstavnika poduzeća i sindikata, u provedbi i praćenju SGP-a između EU-a i SADC-a ključno da bi se pravodobno utvrdili izazovi, prilike i prioriteti te pratile odgovarajuće dogovorene mjere;</w:t>
      </w:r>
    </w:p>
    <w:p w:rsidR="00CD689E" w:rsidRPr="00A224F9" w:rsidRDefault="00CD689E" w:rsidP="00CD689E">
      <w:pPr>
        <w:pStyle w:val="NormalHanging12a"/>
      </w:pPr>
      <w:r w:rsidRPr="00A224F9">
        <w:t>F.</w:t>
      </w:r>
      <w:r w:rsidRPr="00A224F9">
        <w:tab/>
        <w:t>budući da je Angola u postupku pristupanja SGP-a između EU-a i SADC-a; budući da su EU i Angola zaključili pregovore o Sporazumu o olakšavanju održivih ulaganja između Europske unije i Republike Angole;</w:t>
      </w:r>
    </w:p>
    <w:p w:rsidR="00CD689E" w:rsidRPr="00A224F9" w:rsidRDefault="00CD689E" w:rsidP="00CD689E">
      <w:pPr>
        <w:pStyle w:val="NormalHanging12a"/>
      </w:pPr>
      <w:r w:rsidRPr="00A224F9">
        <w:t>G.</w:t>
      </w:r>
      <w:r w:rsidRPr="00A224F9">
        <w:tab/>
        <w:t>budući da je načelo o posebnom i diferenciranom postupanju osnivačko načelo Svjetske trgovinske organizacije (WTO) i da bi se trgovinski odnosi EU-a sa zemljama u razvoju trebali voditi načelom usklađenosti politika radi razvoja;</w:t>
      </w:r>
    </w:p>
    <w:p w:rsidR="00CD689E" w:rsidRPr="00A224F9" w:rsidRDefault="00CD689E" w:rsidP="00CD689E">
      <w:pPr>
        <w:pStyle w:val="NormalHanging12a"/>
      </w:pPr>
      <w:r w:rsidRPr="00A224F9">
        <w:t>H.</w:t>
      </w:r>
      <w:r w:rsidRPr="00A224F9">
        <w:tab/>
        <w:t xml:space="preserve">budući da trošak nejednakosti u </w:t>
      </w:r>
      <w:proofErr w:type="spellStart"/>
      <w:r w:rsidRPr="00A224F9">
        <w:t>supsaharskoj</w:t>
      </w:r>
      <w:proofErr w:type="spellEnd"/>
      <w:r w:rsidRPr="00A224F9">
        <w:t xml:space="preserve"> Africi čini u prosjeku 6 % godišnjeg BDP-a regije te je prijetnja nastojanjima kontinenta za </w:t>
      </w:r>
      <w:proofErr w:type="spellStart"/>
      <w:r w:rsidRPr="00A224F9">
        <w:t>uključivi</w:t>
      </w:r>
      <w:proofErr w:type="spellEnd"/>
      <w:r w:rsidRPr="00A224F9">
        <w:t xml:space="preserve"> ljudski razvoj i gospodarski rast;  budući da jednopostotno povećanje rodne neravnopravnosti smanjuje indeks ljudskog razvoja zemlje za 0,75 %;</w:t>
      </w:r>
    </w:p>
    <w:p w:rsidR="00CD689E" w:rsidRPr="00A224F9" w:rsidRDefault="00CD689E" w:rsidP="00CD689E">
      <w:pPr>
        <w:pStyle w:val="NormalHanging12a"/>
      </w:pPr>
      <w:r w:rsidRPr="00A224F9">
        <w:t>I.</w:t>
      </w:r>
      <w:r w:rsidRPr="00A224F9">
        <w:tab/>
        <w:t xml:space="preserve">budući da se države SADC SGP-a suočavaju s izazovima kao što su duboke nejednakosti i velika ovisnost o uvozu neprerađenih sirovina i poljoprivrednih </w:t>
      </w:r>
      <w:r w:rsidRPr="00A224F9">
        <w:lastRenderedPageBreak/>
        <w:t>proizvoda;</w:t>
      </w:r>
    </w:p>
    <w:p w:rsidR="00CD689E" w:rsidRPr="00A224F9" w:rsidRDefault="00CD689E" w:rsidP="00CD689E">
      <w:pPr>
        <w:pStyle w:val="NormalHanging12a"/>
      </w:pPr>
      <w:r w:rsidRPr="00A224F9">
        <w:t>J.</w:t>
      </w:r>
      <w:r w:rsidRPr="00A224F9">
        <w:tab/>
        <w:t>budući da su se te nejednakosti pokazale preprekom opsežnim naporima industrijalizacije i katkada vode korupciji te je potrebno razviti diferencirane politike za rješavanje ekonomskih nejednakosti unutar i između zemalja regije SADC-a;</w:t>
      </w:r>
    </w:p>
    <w:p w:rsidR="00CD689E" w:rsidRPr="00A224F9" w:rsidRDefault="00CD689E" w:rsidP="00CD689E">
      <w:pPr>
        <w:pStyle w:val="NormalHanging12a"/>
      </w:pPr>
      <w:r w:rsidRPr="00A224F9">
        <w:t>K.</w:t>
      </w:r>
      <w:r w:rsidRPr="00A224F9">
        <w:tab/>
        <w:t>budući da se vizija za SADC do 2050. temelji na tri stupa: industrijskom razvoju i integraciji tržišta, razvoju infrastrukture kao potpore regionalnoj integraciji te razvoju društvenog i ljudskog kapitala;</w:t>
      </w:r>
    </w:p>
    <w:p w:rsidR="00CD689E" w:rsidRPr="00A224F9" w:rsidRDefault="00CD689E" w:rsidP="00CD689E">
      <w:pPr>
        <w:pStyle w:val="NormalHanging12a"/>
      </w:pPr>
      <w:r w:rsidRPr="00A224F9">
        <w:t>L.</w:t>
      </w:r>
      <w:r w:rsidRPr="00A224F9">
        <w:tab/>
        <w:t>budući da su u strategiji i planu za industrijalizaciju SADC-a za razdoblje 2015. – 2063. utvrđena tri preferirana puta rasta za industrijalizaciju utemeljenu na resursima u regiji: prerada poljoprivrednih proizvoda, prerada minerala te industrijski vrijednosni lanci i vrijednosni lanci koji se temelje na uslugama;</w:t>
      </w:r>
    </w:p>
    <w:p w:rsidR="00CD689E" w:rsidRPr="00A224F9" w:rsidRDefault="00CD689E" w:rsidP="00CD689E">
      <w:pPr>
        <w:pStyle w:val="NormalHanging12a"/>
      </w:pPr>
      <w:r w:rsidRPr="00A224F9">
        <w:t>M.</w:t>
      </w:r>
      <w:r w:rsidRPr="00A224F9">
        <w:tab/>
        <w:t xml:space="preserve">budući da se </w:t>
      </w:r>
      <w:r w:rsidRPr="00B331AF">
        <w:t xml:space="preserve">zemlje u razvoju suočavaju s manjkom od 2,5 bilijuna USD u godišnjem financiranju za postizanje </w:t>
      </w:r>
      <w:r w:rsidRPr="00B331AF">
        <w:rPr>
          <w:shd w:val="clear" w:color="auto" w:fill="FFFFFF"/>
        </w:rPr>
        <w:t>ciljeva održivog razvoja</w:t>
      </w:r>
      <w:r w:rsidRPr="00B331AF">
        <w:t xml:space="preserve"> do 2030.; budući da su izravna strana ulaganja instrument za financiranje Programa održivog razvoja do 2030. i povezanih ciljeva održivog razvoja; budući da se takvim kapitalom može poduprijeti stvaranje radnih mjesta i društvena i okolišna poboljšanja kako je utvrđeno u povezanim ciljevima održivog razvoja; budući da bi cilj privlačenja ulaganja trebao biti tijesno povezan, u kontekstu </w:t>
      </w:r>
      <w:r w:rsidRPr="00B331AF">
        <w:rPr>
          <w:shd w:val="clear" w:color="auto" w:fill="FFFFFF"/>
        </w:rPr>
        <w:t>međunarodnih ulagačkih sporazuma</w:t>
      </w:r>
      <w:r w:rsidRPr="00B331AF">
        <w:t xml:space="preserve">, s uvažavanjem da bi stranke u tim sporazumima trebale nastojati poboljšati svoju razinu zaštite okoliša </w:t>
      </w:r>
      <w:r w:rsidRPr="00A224F9">
        <w:t>ili radnika, a ne je oslabiti ili smanjiti;</w:t>
      </w:r>
    </w:p>
    <w:p w:rsidR="00CD689E" w:rsidRPr="00A224F9" w:rsidRDefault="00CD689E" w:rsidP="00CD689E">
      <w:pPr>
        <w:pStyle w:val="NormalHanging12a"/>
      </w:pPr>
      <w:r w:rsidRPr="00A224F9">
        <w:t>N.</w:t>
      </w:r>
      <w:r w:rsidRPr="00A224F9">
        <w:tab/>
        <w:t>budući da je cilj strategije i plana za industrijalizaciju SADC-a za razdoblje 2015. – 2063. razviti regionalne i globalne vrijednosne lance i sudjelovati u njima;</w:t>
      </w:r>
    </w:p>
    <w:p w:rsidR="00CD689E" w:rsidRPr="00A224F9" w:rsidRDefault="00CD689E" w:rsidP="00CD689E">
      <w:pPr>
        <w:pStyle w:val="NormalHanging12a"/>
      </w:pPr>
      <w:r w:rsidRPr="00A224F9">
        <w:t>O.</w:t>
      </w:r>
      <w:r w:rsidRPr="00A224F9">
        <w:tab/>
        <w:t>budući da su prometna i digitalna infrastruktura potrebne za razvoj regionalnih vrijednosnih lanaca i sve veću integraciju država SADC-</w:t>
      </w:r>
      <w:r w:rsidR="008C4043">
        <w:t>a u globalne vrijednosne lance;</w:t>
      </w:r>
    </w:p>
    <w:p w:rsidR="00CD689E" w:rsidRPr="00A224F9" w:rsidRDefault="00CD689E" w:rsidP="00CD689E">
      <w:pPr>
        <w:pStyle w:val="NormalHanging12a"/>
      </w:pPr>
      <w:r w:rsidRPr="00A224F9">
        <w:t>P.</w:t>
      </w:r>
      <w:r w:rsidRPr="00A224F9">
        <w:tab/>
        <w:t>budući da su ključni elementi za uspješno sudjelovanje u vrijednosnom lancu: financiranje, vještine, tehnologija, infrastruktura i logistika;</w:t>
      </w:r>
    </w:p>
    <w:p w:rsidR="00CD689E" w:rsidRPr="00A224F9" w:rsidRDefault="00CD689E" w:rsidP="00CD689E">
      <w:pPr>
        <w:pStyle w:val="NormalHanging12a"/>
      </w:pPr>
      <w:r w:rsidRPr="00A224F9">
        <w:t>Q.</w:t>
      </w:r>
      <w:r w:rsidRPr="00A224F9">
        <w:tab/>
        <w:t>budući da je pandemija bolesti COVID-19 znatno povećala investicijski jaz u državama SADC SGP-a i ograničila njihov fiskalni prostor;</w:t>
      </w:r>
    </w:p>
    <w:p w:rsidR="00CD689E" w:rsidRPr="00A224F9" w:rsidRDefault="00CD689E" w:rsidP="00CD689E">
      <w:pPr>
        <w:pStyle w:val="NormalHanging12a"/>
      </w:pPr>
      <w:r w:rsidRPr="00A224F9">
        <w:t>R.</w:t>
      </w:r>
      <w:r w:rsidRPr="00A224F9">
        <w:tab/>
        <w:t xml:space="preserve">budući da su posljedice mjera poduzetih za sprečavanje širenja bolesti COVID-19 znatno utjecale na živote stanovništava, osobito u državama </w:t>
      </w:r>
      <w:proofErr w:type="spellStart"/>
      <w:r w:rsidRPr="00A224F9">
        <w:t>Esvatinija</w:t>
      </w:r>
      <w:proofErr w:type="spellEnd"/>
      <w:r w:rsidRPr="00A224F9">
        <w:t xml:space="preserve"> i Lesota koje ovise o južnoafričkoj radnoj snazi i graničnom prijelazu;</w:t>
      </w:r>
    </w:p>
    <w:p w:rsidR="00CD689E" w:rsidRPr="00A224F9" w:rsidRDefault="00CD689E" w:rsidP="00CD689E">
      <w:pPr>
        <w:pStyle w:val="NormalHanging12a"/>
      </w:pPr>
      <w:r w:rsidRPr="00A224F9">
        <w:t>S.</w:t>
      </w:r>
      <w:r w:rsidRPr="00A224F9">
        <w:tab/>
        <w:t xml:space="preserve">budući da je </w:t>
      </w:r>
      <w:proofErr w:type="spellStart"/>
      <w:r w:rsidRPr="00A224F9">
        <w:t>volatilnost</w:t>
      </w:r>
      <w:proofErr w:type="spellEnd"/>
      <w:r w:rsidRPr="00A224F9">
        <w:t xml:space="preserve"> cijena robe tijekom pandemije bolesti COVID-19 napravila gospodarsku štetu državama SADC SGP-a koje ovise o prihodu od poreza na dobit od </w:t>
      </w:r>
      <w:proofErr w:type="spellStart"/>
      <w:r w:rsidRPr="00A224F9">
        <w:t>ekstraktivnih</w:t>
      </w:r>
      <w:proofErr w:type="spellEnd"/>
      <w:r w:rsidRPr="00A224F9">
        <w:t xml:space="preserve"> industrija;</w:t>
      </w:r>
    </w:p>
    <w:p w:rsidR="00CD689E" w:rsidRPr="00A224F9" w:rsidRDefault="00CD689E" w:rsidP="00CD689E">
      <w:pPr>
        <w:pStyle w:val="NormalHanging12a"/>
      </w:pPr>
      <w:r w:rsidRPr="00A224F9">
        <w:t>T.</w:t>
      </w:r>
      <w:r w:rsidRPr="00A224F9">
        <w:tab/>
        <w:t>budući da zbog niske razine lokalne proizvodnje zdravstvenih proizvoda regija ovisi o međunarodnoj proizvodnji za nabavu ključnih zdravstvenih proizvoda, uključujući osnovna cjepiva protiv bolesti COVID-19;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Postupak praćenja i revizije SGP-a</w:t>
      </w:r>
    </w:p>
    <w:p w:rsidR="00CD689E" w:rsidRPr="00A224F9" w:rsidRDefault="00CD689E" w:rsidP="00CD689E">
      <w:pPr>
        <w:pStyle w:val="NormalHanging12a"/>
      </w:pPr>
      <w:r w:rsidRPr="00A224F9">
        <w:t>1.</w:t>
      </w:r>
      <w:r w:rsidRPr="00A224F9">
        <w:tab/>
        <w:t xml:space="preserve">pozdravlja prvi postupak revizije pokrenut u studenome 2021. nakon što se SGP </w:t>
      </w:r>
      <w:r w:rsidRPr="00A224F9">
        <w:lastRenderedPageBreak/>
        <w:t xml:space="preserve">privremeno primjenjivao od 2016. i očekuje da će se njime moći dokazati veza između SGP-a i održivog razvoja; poziva Komisiju da surađuje s partnerima SADC-a kako bi se unaprijedila pravedna, </w:t>
      </w:r>
      <w:proofErr w:type="spellStart"/>
      <w:r w:rsidRPr="00A224F9">
        <w:t>uključiva</w:t>
      </w:r>
      <w:proofErr w:type="spellEnd"/>
      <w:r w:rsidRPr="00A224F9">
        <w:t xml:space="preserve"> i održiva trgovina tako da se SGP-om, kada se učinkovito provede, može osigurati održivi razvoj u regiji i doprinijeti tom razvoju; potiče Komisiju da u </w:t>
      </w:r>
      <w:r w:rsidRPr="00A224F9">
        <w:rPr>
          <w:i/>
          <w:iCs/>
        </w:rPr>
        <w:t xml:space="preserve">ex post </w:t>
      </w:r>
      <w:r w:rsidRPr="00A224F9">
        <w:t xml:space="preserve">evaluaciji SGP-a između EU-a i SADC-a temeljito analizira učinak SGP-a na ciljeve održivog razvoja, </w:t>
      </w:r>
      <w:proofErr w:type="spellStart"/>
      <w:r w:rsidRPr="00A224F9">
        <w:t>informalna</w:t>
      </w:r>
      <w:proofErr w:type="spellEnd"/>
      <w:r w:rsidRPr="00A224F9">
        <w:t xml:space="preserve"> i lokalna gospodarstva, regionalnu i panafričku integraciju, gospodarsku diversifikaciju, borbu protiv klimatskih promjena, uključujući doprinos domaćih industrija tom nastojanju i učinkovite potpore strategije Global </w:t>
      </w:r>
      <w:proofErr w:type="spellStart"/>
      <w:r w:rsidRPr="00A224F9">
        <w:t>Gateway</w:t>
      </w:r>
      <w:proofErr w:type="spellEnd"/>
      <w:r w:rsidRPr="00A224F9">
        <w:t xml:space="preserve"> i programa pomoći EU-a za trgovinu u kontekstu SGP-a između EU-a i SADC-a; podsjeća na to da je postojeći sporazum prvenstveno usmjeren na trgovinu robom i ne bavi se trgovinom uslugama, ulaganjima ili drugim pitanjima kao što su prava intelektualnog vlasništva, tržišno natjecanje i javna nabava. poziva stranke na razmatranje tih pitanja u budućim preispitivanjima s obzirom na to da postoji odredba za pregovore o tim pitanjima;</w:t>
      </w:r>
    </w:p>
    <w:p w:rsidR="00CD689E" w:rsidRPr="00A224F9" w:rsidRDefault="00CD689E" w:rsidP="00CD689E">
      <w:pPr>
        <w:pStyle w:val="NormalHanging12a"/>
      </w:pPr>
      <w:r w:rsidRPr="00A224F9">
        <w:t>2.</w:t>
      </w:r>
      <w:r w:rsidRPr="00A224F9">
        <w:tab/>
        <w:t xml:space="preserve">ponavlja svoje stajalište o važnosti sudjelovanja civilnog društva u provedbi i praćenju SGP-a; žali zbog činjenice da je tijekom provedbe SGP-a primijećeno ograničeno sudjelovanje civilnog društva; u tom pogledu naglašava da je ključno aktivno promicati sudjelovanje civilnog društva;  napominje da aktivno sudjelovanje organizacija civilnog društva i dionika, uključujući ženske skupine i studentske organizacije u postupku praćenja i evaluacije može pružiti vrijedne uvide i povratne informacije o utjecaju Sporazuma na žene i mlade; </w:t>
      </w:r>
    </w:p>
    <w:p w:rsidR="00CD689E" w:rsidRPr="00A224F9" w:rsidRDefault="00CD689E" w:rsidP="00CD689E">
      <w:pPr>
        <w:pStyle w:val="NormalHanging12a"/>
      </w:pPr>
      <w:r w:rsidRPr="00A224F9">
        <w:t>3.</w:t>
      </w:r>
      <w:r w:rsidRPr="00A224F9">
        <w:tab/>
        <w:t xml:space="preserve">potvrđuje da priprema zajedničkog izvješća o praćenju SGP-a napreduje sporije od očekivanog; potvrđuje ograničenja kapaciteta s kojima se suočavaju države SADC SGP-a u tom pogledu; podsjeća da bi, u skladu s novim pristupom trgovini i održivom razvoju, svi relevantni dionici, uključujući organizacije civilnog društva, predstavnike poduzeća i sindikate, trebali biti uključeni u taj pregled stanja i biti potaknuti da daju prijedloge za maksimiziranje učinkovitosti tog SGP-a te da bi navedeni SGP trebalo modernizirati za uspostavljanje unutarnje savjetodavne skupine što je postala uobičajena praksa u drugim sporazumima o gospodarskom partnerstvu; zagovara </w:t>
      </w:r>
      <w:proofErr w:type="spellStart"/>
      <w:r w:rsidRPr="00A224F9">
        <w:t>strukturiranije</w:t>
      </w:r>
      <w:proofErr w:type="spellEnd"/>
      <w:r w:rsidRPr="00A224F9">
        <w:t xml:space="preserve"> sudjelovanje dionika u pogledu konkretne provedbe svih aspekata održivosti SGP-a između EU-a i SADC-a; potiče države SADC SGP-a da poštuju obveze dogovorene u okviru tog sporazuma o uključivanju aktera civilnog društva;</w:t>
      </w:r>
    </w:p>
    <w:p w:rsidR="00CD689E" w:rsidRPr="00A224F9" w:rsidRDefault="00CD689E" w:rsidP="00CD689E">
      <w:pPr>
        <w:pStyle w:val="NormalHanging12a"/>
      </w:pPr>
      <w:r w:rsidRPr="00A224F9">
        <w:t>4.</w:t>
      </w:r>
      <w:r w:rsidRPr="00A224F9">
        <w:tab/>
        <w:t>prepoznaje da su fleksibilni prijelazni aranžmani potrebni kako bi se države SADC SGP-a uskladile sa zahtjevima o trgovini i održivom razvoju u okviru SGP-a i drugim međunarodnim obvezama;</w:t>
      </w:r>
    </w:p>
    <w:p w:rsidR="00CD689E" w:rsidRPr="00A224F9" w:rsidRDefault="00CD689E" w:rsidP="00CD689E">
      <w:pPr>
        <w:pStyle w:val="NormalHanging12a"/>
      </w:pPr>
      <w:r w:rsidRPr="00A224F9">
        <w:t>5.</w:t>
      </w:r>
      <w:r w:rsidRPr="00A224F9">
        <w:tab/>
        <w:t>očekuje da će se, ovisno o ishodu revizije, SGP prilagoditi ili eventualno proširiti u dopunskim sporazumima kako bi se učvrstilo i produbilo partnerstvo između EU-a i južnoafričkih zemalja kao odgovor na geopolitičke promjene i izazove klimatskih promjena;</w:t>
      </w:r>
    </w:p>
    <w:p w:rsidR="00CD689E" w:rsidRPr="00A224F9" w:rsidRDefault="00CD689E" w:rsidP="00CD689E">
      <w:pPr>
        <w:pStyle w:val="NormalHanging12a"/>
      </w:pPr>
      <w:r w:rsidRPr="00A224F9">
        <w:t>6.</w:t>
      </w:r>
      <w:r w:rsidRPr="00A224F9">
        <w:tab/>
        <w:t xml:space="preserve">pozdravlja težnje Angole u pogledu </w:t>
      </w:r>
      <w:proofErr w:type="spellStart"/>
      <w:r w:rsidRPr="00A224F9">
        <w:t>dekarbonizacije</w:t>
      </w:r>
      <w:proofErr w:type="spellEnd"/>
      <w:r w:rsidRPr="00A224F9">
        <w:t xml:space="preserve">, zemlje koja se uvelike oslanjala na svoju </w:t>
      </w:r>
      <w:proofErr w:type="spellStart"/>
      <w:r w:rsidRPr="00A224F9">
        <w:t>ekstraktivnu</w:t>
      </w:r>
      <w:proofErr w:type="spellEnd"/>
      <w:r w:rsidRPr="00A224F9">
        <w:t xml:space="preserve"> industriju;</w:t>
      </w:r>
    </w:p>
    <w:p w:rsidR="00CD689E" w:rsidRPr="00A224F9" w:rsidRDefault="00CD689E" w:rsidP="00CD689E">
      <w:pPr>
        <w:pStyle w:val="NormalHanging12a"/>
      </w:pPr>
      <w:r w:rsidRPr="00A224F9">
        <w:t>7.</w:t>
      </w:r>
      <w:r w:rsidRPr="00A224F9">
        <w:tab/>
        <w:t>pozdravlja činjenicu da su u okviru Sporazuma o olakšavanju održivih ulaganja između Europske unije i Republike Angole predviđene mjere za izgradnju fiskalnih kapaciteta;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Trgovinske bilance</w:t>
      </w:r>
    </w:p>
    <w:p w:rsidR="00CD689E" w:rsidRPr="00A224F9" w:rsidRDefault="00CD689E" w:rsidP="00CD689E">
      <w:pPr>
        <w:spacing w:after="240"/>
        <w:ind w:left="567" w:hanging="567"/>
      </w:pPr>
      <w:r w:rsidRPr="00A224F9">
        <w:lastRenderedPageBreak/>
        <w:t>8.</w:t>
      </w:r>
      <w:r w:rsidRPr="00A224F9">
        <w:tab/>
        <w:t>pozdravlja činjenicu da su se trgovinski odnosi između EU-a i država SADC SGP-a znatno proširili na regionalnoj i bilateralnoj razini, a države SADC SGP-a mogu ostvariti trgovinski suficit; smatra da to pokazuje pozitivan doprinos SGP-a gospodarskom razvoju, iako željeni pozitivni učinci na zapošljavanje, regionalnu gospodarsku suradnju i diversifikaciju te modernizaciju gospodarstva nisu još dosegli svoj potencijal te bi im trebalo dati prioritet; napominje da države SADC SGP-a uglavnom u EU izvoze drago kamenje, proizvode od drva, prijevoz</w:t>
      </w:r>
      <w:r w:rsidRPr="00A224F9">
        <w:rPr>
          <w:rStyle w:val="FootnoteReference"/>
        </w:rPr>
        <w:footnoteReference w:id="8"/>
      </w:r>
      <w:r w:rsidRPr="00A224F9">
        <w:t xml:space="preserve">, mineralne i poljoprivredne proizvode kao što su voće i povrće; napominje, međutim, da je južnoafrički izvoz u EU raznolikiji te uključuje robu više dodane vrijednosti; </w:t>
      </w:r>
    </w:p>
    <w:p w:rsidR="00CD689E" w:rsidRPr="00A224F9" w:rsidRDefault="00CD689E" w:rsidP="00CD689E">
      <w:pPr>
        <w:pStyle w:val="NormalHanging12a"/>
      </w:pPr>
      <w:r w:rsidRPr="00A224F9">
        <w:t>9.</w:t>
      </w:r>
      <w:r w:rsidRPr="00A224F9">
        <w:tab/>
        <w:t>naglašava da, uz iznimku Južne Afrike, države SADC SGP-a prvenstveno trguju unutar regije; primjećuje da trgovina s Južnom Afrikom i dalje čini 80 % trgovine EU-a sa državama SADC SGP-a te da trgovina robom Južne Afrike s drugim afričkim zemljama čini samo 17 % njezine ukupne inozemne trgovine; primjećuje da trgovina unutar SADC-a čini 23 % ukupne trgovine država SADC-a; uvažava da se trgovinski obrasci unutar SADC-a razlikuju od bilateralne trgovine između EU-a i SADC-a; ističe da općenito nije bilo poboljšanja u diversifikaciji i da je udio proizvodnje u BDP-u i dalje slab; naglašava da bi diversificirana gospodarstva učinila države SADC SGP-a otpornijima na vanjske šokove; naglašava važnost jačanja regionalnih vrijednosnih lanaca;</w:t>
      </w:r>
    </w:p>
    <w:p w:rsidR="00CD689E" w:rsidRPr="00A224F9" w:rsidRDefault="00CD689E" w:rsidP="00CD689E">
      <w:pPr>
        <w:pStyle w:val="NormalHanging12a"/>
      </w:pPr>
      <w:r w:rsidRPr="00A224F9">
        <w:t>10.</w:t>
      </w:r>
      <w:r w:rsidRPr="00A224F9">
        <w:tab/>
        <w:t>naglašava da bi se SGP-om trebala poduprijeti nova trgovinska dinamika između stranaka zahvaljujući postupnoj asimetričnoj liberalizaciji međusobne trgovine; također naglašava da se njime može ojačati, proširiti i produbiti suradnja u svim područjima koja su relevantna za trgovinu, a time i poboljšati partnerstvo između zemalja SADC-a i EU-a; naglašava važnost načela asimetrične liberalizacije trgovine kao sredstva za poticanje gospodarskog rasta i održivog razvoja zemalja SADC SGP-a;</w:t>
      </w:r>
    </w:p>
    <w:p w:rsidR="00CD689E" w:rsidRPr="00A224F9" w:rsidRDefault="00CD689E" w:rsidP="00CD689E">
      <w:pPr>
        <w:pStyle w:val="NormalHanging12a"/>
      </w:pPr>
      <w:r w:rsidRPr="00A224F9">
        <w:t>11.</w:t>
      </w:r>
      <w:r w:rsidRPr="00A224F9">
        <w:tab/>
        <w:t>ističe da sporazumi o gospodarskom partnerstvu, iako mogu donijeti znatne prednosti afričkim, karipskim i pacifičkim zemljama (AKP), također podrazumijevaju specifične izazove i nedostatke; stoga ustraje u tome da tvorci politika pažljivo razmotre spomenute faktore i da rade na tome da se sporazumi o gospodarskom partnerstvu provode na način kojim se maksimalno povećavaju koristi za sve uključene stranke;</w:t>
      </w:r>
    </w:p>
    <w:p w:rsidR="00CD689E" w:rsidRPr="00A224F9" w:rsidRDefault="00CD689E" w:rsidP="00CD689E">
      <w:pPr>
        <w:pStyle w:val="NormalHanging12a"/>
      </w:pPr>
      <w:r w:rsidRPr="00A224F9">
        <w:t>12.</w:t>
      </w:r>
      <w:r w:rsidRPr="00A224F9">
        <w:tab/>
        <w:t>podsjeća da bi sve stranke uvijek trebale djelovati na temelju načela solidarnosti i zajedničkog interesa kako bi poboljšale plodonosnu suradnju, ispunile svoje obveze i povećale sposobnost zemalja SADC-a koje sudjeluju u Sporazumu da ga nastave provoditi;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Tehničke prepreke trgovini</w:t>
      </w:r>
    </w:p>
    <w:p w:rsidR="00CD689E" w:rsidRPr="00A224F9" w:rsidRDefault="00CD689E" w:rsidP="00CD689E">
      <w:pPr>
        <w:pStyle w:val="NormalHanging12a"/>
      </w:pPr>
      <w:r w:rsidRPr="00A224F9">
        <w:t>13.</w:t>
      </w:r>
      <w:r w:rsidRPr="00A224F9">
        <w:tab/>
        <w:t xml:space="preserve">podsjeća da je cilj SADC SGP-a promicanje regionalne integracije i da bi taj sporazum trebao biti sastavni dio kontinentalnog područja slobodne trgovine u Africi pokrenute 2021.; napominje da regionalnu integraciju ometaju dugo čekanje na graničnim prijelazima, visoki troškovi na granicama i neodgovarajuća prekogranična povezanost; poziva Komisiju i države SADC SGP-a da povećaju suradnju u području infrastrukture, </w:t>
      </w:r>
      <w:r w:rsidRPr="00A224F9">
        <w:lastRenderedPageBreak/>
        <w:t xml:space="preserve">digitalne trgovine i certifikacije, uključujući u okviru inicijative Global </w:t>
      </w:r>
      <w:proofErr w:type="spellStart"/>
      <w:r w:rsidRPr="00A224F9">
        <w:t>Gateway</w:t>
      </w:r>
      <w:proofErr w:type="spellEnd"/>
      <w:r w:rsidRPr="00A224F9">
        <w:t xml:space="preserve">; naglašava važnost davanja prednosti regionalnom prijevozu i infrastrukturnim projektima kako bi se produbila regionalna integracija i povećali trgovinski tokovi unutar te regije; naglašava potrebu za promicanjem učinkovitog razvoja prekogranične strukture, usklađivanja propisa i jačanja suradnje između država SADC SGP-a kako bi se stvorila međusobno povezana regija SADC; poziva države SADC SGP-a na usklađivanje propisa i postupaka povezanih s carinama i prijevozom kako bi se pojednostavili prekogranični postupci, smanjila kašnjenja i promicalo povoljno okruženje za trgovinu i ulaganja; </w:t>
      </w:r>
    </w:p>
    <w:p w:rsidR="00CD689E" w:rsidRPr="00A224F9" w:rsidRDefault="00CD689E" w:rsidP="00CD689E">
      <w:pPr>
        <w:pStyle w:val="NormalHanging12a"/>
      </w:pPr>
      <w:r w:rsidRPr="00A224F9">
        <w:t>14.</w:t>
      </w:r>
      <w:r w:rsidRPr="00A224F9">
        <w:tab/>
        <w:t>naglašava da je nužno formalizirati prekogranične radne aranžmane kako bi se promicao dostojanstven rad, zaštitila prava radnika i osigurao socijalni i gospodarski razvoj u regiji; prepoznaje posebne izazove s kojima se suočavaju žene, posebice u kontekstu prekograničnog rada, uključujući rodno uvjetovano nasilje i korupciju;</w:t>
      </w:r>
    </w:p>
    <w:p w:rsidR="00CD689E" w:rsidRPr="00A224F9" w:rsidRDefault="00CD689E" w:rsidP="00CD689E">
      <w:pPr>
        <w:pStyle w:val="NormalHanging12a"/>
      </w:pPr>
      <w:r w:rsidRPr="00A224F9">
        <w:t>15.</w:t>
      </w:r>
      <w:r w:rsidRPr="00A224F9">
        <w:tab/>
        <w:t>potiče Komisiju i države SADC SGP-a da prošire svoju posvećenost stvaranju okruženja kojim se podupire zakonita i transparentna mobilnost radnika, istodobno štiteći prava i dostojanstvo radnika;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Pravila o podrijetlu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t>16.</w:t>
      </w:r>
      <w:r w:rsidRPr="00A224F9">
        <w:tab/>
        <w:t>pozdravlja najavu Komisije o aktivaciji regionalne kumulacije sa zemljama Južnoafričke carinske unije (SACU); podsjeća da je uvođenje fleksibilnih pravila o podrijetlu ključno za postizanje ciljeva regionalne integracije; naglašava da pravila o podrijetlu moraju promicati ciljeve kontinentalnog područja slobodne trgovine u Africi (</w:t>
      </w:r>
      <w:proofErr w:type="spellStart"/>
      <w:r w:rsidRPr="00A224F9">
        <w:t>AfCFTA</w:t>
      </w:r>
      <w:proofErr w:type="spellEnd"/>
      <w:r w:rsidRPr="00A224F9">
        <w:t>); podsjeća da bi se SGP-om trebao podupirati daljnji razvoj kontinentalnog područja slobodne trgovine u Africi (</w:t>
      </w:r>
      <w:proofErr w:type="spellStart"/>
      <w:r w:rsidRPr="00A224F9">
        <w:t>AfCFTA</w:t>
      </w:r>
      <w:proofErr w:type="spellEnd"/>
      <w:r w:rsidRPr="00A224F9">
        <w:t xml:space="preserve">); 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Trgovinski sporovi i pitanja pristupa tržištu</w:t>
      </w:r>
    </w:p>
    <w:p w:rsidR="00CD689E" w:rsidRPr="00A224F9" w:rsidRDefault="00CD689E" w:rsidP="00CD689E">
      <w:pPr>
        <w:pStyle w:val="NormalHanging12a"/>
      </w:pPr>
      <w:r w:rsidRPr="00A224F9">
        <w:t>17.</w:t>
      </w:r>
      <w:r w:rsidRPr="00A224F9">
        <w:tab/>
        <w:t xml:space="preserve">napominje da je došlo do zapinjanja u trgovini zbog sanitarnih i </w:t>
      </w:r>
      <w:proofErr w:type="spellStart"/>
      <w:r w:rsidRPr="00A224F9">
        <w:t>fitosanitarnih</w:t>
      </w:r>
      <w:proofErr w:type="spellEnd"/>
      <w:r w:rsidRPr="00A224F9">
        <w:t xml:space="preserve"> mjera, posebno onih koje se odnose na perad i agrume; poziva Komisiju i države SADC SGP-a da se koriste forumima i mehanizmima suradnje dogovorenima u okviru SGP-a kako bi se u ranoj fazi i u kooperativnom okruženju riješile promjene u propisima povezanima sa sanitarnim i </w:t>
      </w:r>
      <w:proofErr w:type="spellStart"/>
      <w:r w:rsidRPr="00A224F9">
        <w:t>fitosanitarnim</w:t>
      </w:r>
      <w:proofErr w:type="spellEnd"/>
      <w:r w:rsidRPr="00A224F9">
        <w:t xml:space="preserve"> mjerama kako bi se pravodobno mogle provesti odgovarajuće radnje; podsjeća da bi Europski parlament trebao biti u potpunosti obaviješten u okviru preispitivanja kako bi se osiguralo da su sanitarne i </w:t>
      </w:r>
      <w:proofErr w:type="spellStart"/>
      <w:r w:rsidRPr="00A224F9">
        <w:t>fitosanitarne</w:t>
      </w:r>
      <w:proofErr w:type="spellEnd"/>
      <w:r w:rsidRPr="00A224F9">
        <w:t xml:space="preserve"> mjere koje primjenjuje Južna Afrika u skladu sa zahtjevima Unije i odredbama SGP-a te da ne štete biljnom zdravlju u okviru proizvodnje u Uniji i SADC-u; uvažava da je Komisija pružila tehničku i financijsku potporu državama SGP-a između EU-a i SADC-a kako bi se uskladile sa zahtjevima sanitarnih i </w:t>
      </w:r>
      <w:proofErr w:type="spellStart"/>
      <w:r w:rsidRPr="00A224F9">
        <w:t>fitosanitarnih</w:t>
      </w:r>
      <w:proofErr w:type="spellEnd"/>
      <w:r w:rsidRPr="00A224F9">
        <w:t xml:space="preserve"> mjera te poziva na temeljito praćenje rada na smanjenju zdravstvenih rizika; preporučuje da se rješenja za prepreke trgovini zbog zahtjeva sanitarnih i </w:t>
      </w:r>
      <w:proofErr w:type="spellStart"/>
      <w:r w:rsidRPr="00A224F9">
        <w:t>fitosanitarnih</w:t>
      </w:r>
      <w:proofErr w:type="spellEnd"/>
      <w:r w:rsidRPr="00A224F9">
        <w:t xml:space="preserve"> mjera potraže u političkim rasprava na visokoj razini;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Izgradnja kapaciteta</w:t>
      </w:r>
    </w:p>
    <w:p w:rsidR="00CD689E" w:rsidRPr="00A224F9" w:rsidRDefault="00CD689E" w:rsidP="00CD689E">
      <w:pPr>
        <w:pStyle w:val="NormalHanging12a"/>
      </w:pPr>
      <w:r w:rsidRPr="00A224F9">
        <w:t>18.</w:t>
      </w:r>
      <w:r w:rsidRPr="00A224F9">
        <w:tab/>
        <w:t>napominje da su upravljanje te fiskalni i institucionalni kapaciteti i dalje najveći izazovi za učinkovitu provedbu SGP-a;</w:t>
      </w:r>
    </w:p>
    <w:p w:rsidR="00CD689E" w:rsidRPr="00A224F9" w:rsidRDefault="00CD689E" w:rsidP="00CD689E">
      <w:pPr>
        <w:pStyle w:val="NormalHanging12a"/>
      </w:pPr>
      <w:r w:rsidRPr="00A224F9">
        <w:t>19.</w:t>
      </w:r>
      <w:r w:rsidRPr="00A224F9">
        <w:tab/>
        <w:t xml:space="preserve">ističe važnost razvojne suradnje te tehničke i financijske pomoći kao ključnih faktora za </w:t>
      </w:r>
      <w:r w:rsidRPr="00A224F9">
        <w:lastRenderedPageBreak/>
        <w:t>postizanje ciljeva SGP-a kao i za korisnu suradnju između stranaka;</w:t>
      </w:r>
    </w:p>
    <w:p w:rsidR="00CD689E" w:rsidRPr="00A224F9" w:rsidRDefault="00CD689E" w:rsidP="00CD689E">
      <w:pPr>
        <w:pStyle w:val="NormalHanging12a"/>
      </w:pPr>
      <w:r w:rsidRPr="00A224F9">
        <w:t>20.</w:t>
      </w:r>
      <w:r w:rsidRPr="00A224F9">
        <w:tab/>
        <w:t>podsjeća da provedba SGP-a može predstavljati izazov za manje afričke, karipske i pacifičke zemlje s nedovoljnim resursima i infrastrukturom; poziva EU i njegove države članice da pomognu svojim partnerskim zemljama u razvoju kako bi one mogle u potpunosti iskoristiti mogućnosti koje nude sporazumi o gospodarskom partnerstvu;</w:t>
      </w:r>
    </w:p>
    <w:p w:rsidR="00CD689E" w:rsidRPr="00A224F9" w:rsidRDefault="00CD689E" w:rsidP="00CD689E">
      <w:pPr>
        <w:pStyle w:val="NormalHanging12a"/>
      </w:pPr>
      <w:r w:rsidRPr="00A224F9">
        <w:t>21.</w:t>
      </w:r>
      <w:r w:rsidRPr="00A224F9">
        <w:tab/>
        <w:t xml:space="preserve">poziva Komisiju i države članice da pojačaju napore u pogledu tehničke pomoći; poziva Komisiju da znatno proširi svoju komunikaciju i suradnju s državama SADC SGP-a te da tim državama, njihovim poduzećima i organizacijama civilnog društva, prema potrebi, pruži pravodobnu potporu u provedbi predstojećih projekata EU-a i ispunjavanju drugih međunarodnih obveza kao što su multilateralni sporazumi o okolišu, konvencije Međunarodne organizacije rada i Vodeća načela UN-a o poslovanju i ljudskim pravima; 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 xml:space="preserve">Gospodarski, socijalni i okolišni razvoj </w:t>
      </w:r>
    </w:p>
    <w:p w:rsidR="00CD689E" w:rsidRPr="00A224F9" w:rsidRDefault="00CD689E" w:rsidP="00CD689E">
      <w:pPr>
        <w:pStyle w:val="NormalHanging12a"/>
      </w:pPr>
      <w:r w:rsidRPr="00A224F9">
        <w:t>22.</w:t>
      </w:r>
      <w:r w:rsidRPr="00A224F9">
        <w:tab/>
        <w:t>zaključuje da SGP nije uspio u značajnom produbljivanju regionalnih vrijednosnih lanaca te u vrijednosnim lancima između država SADC SGP-a, ali i da bi trebao ojačati diversifikaciju izvoza i regionalnih lanaca dodane vrijednosti te stvoriti otpornije lance opskrbe koji se mogu prilagoditi budućim poremećajima socioekonomskog razvoja SADC-a; naglašava važnost razvoja regionalnih vrijednosnih lanaca za gospodarsku otpornost te regije; očekuje da SGP kvalitetnije doprinese borbi protiv trajnih problema neovisnosti opskrbe hranom i smanjenja siromaštva u državama SADC SGP-a; podsjeća da je cilj SGP-a stvaranje pozitivnih učinaka na gospodarski razvoj i regionalnu integraciju; naglašava da SGP i dalje ima velik potencijal za unapređenje održivog razvoja i da bi to trebalo nastojati ostvariti kao prioritet;</w:t>
      </w:r>
    </w:p>
    <w:p w:rsidR="00CD689E" w:rsidRPr="00A224F9" w:rsidRDefault="00CD689E" w:rsidP="00CD689E">
      <w:pPr>
        <w:pStyle w:val="NormalHanging12a"/>
      </w:pPr>
      <w:r w:rsidRPr="00A224F9">
        <w:t>23.</w:t>
      </w:r>
      <w:r w:rsidRPr="00A224F9">
        <w:tab/>
        <w:t xml:space="preserve">naglašava želju da se državama SADC SGP-a ostavi dovoljno političkog prostora za stvaranje lokalne dodane vrijednosti; vjeruje da bi EU trebao aktivno podupirati države SADC SGP-a u njihovim nastojanjima da napreduju u vrijednosnom lancu; naglašava da je učinkovito upravljanje regionalnom specijalizacijom ključno za maksimalno iskorištavanje potencijala regionalnih vrijednosnih lanaca i zahtijeva kooperativne upravljačke strukture i politike; poziva EU i države SADC SGP-a da rade na razvoju visokokvalitetne digitalne infrastrukture, uključujući širokopojasne mreže i digitalne platforme kako bi se poboljšala </w:t>
      </w:r>
      <w:proofErr w:type="spellStart"/>
      <w:r w:rsidRPr="00A224F9">
        <w:t>povezivost</w:t>
      </w:r>
      <w:proofErr w:type="spellEnd"/>
      <w:r w:rsidRPr="00A224F9">
        <w:t>, promicala e-trgovina i olakšala prekogranična razmjena informacija i usluga;</w:t>
      </w:r>
    </w:p>
    <w:p w:rsidR="00CD689E" w:rsidRPr="00A224F9" w:rsidRDefault="00CD689E" w:rsidP="00CD689E">
      <w:pPr>
        <w:pStyle w:val="NormalHanging12a"/>
      </w:pPr>
      <w:r w:rsidRPr="00A224F9">
        <w:t>24.</w:t>
      </w:r>
      <w:r w:rsidRPr="00A224F9">
        <w:tab/>
        <w:t>naglašava ključnu važnost vrijednosnog lanca usluga u poticanju gospodarskog rasta, poticanju inovacija i jačanju regionalne suradnje unutar regije SADC; ističe potencijal uslužnih sektora u regiji SADC, koji uključuju financijske usluge, turizam i telekomunikacije;</w:t>
      </w:r>
    </w:p>
    <w:p w:rsidR="00CD689E" w:rsidRPr="00A224F9" w:rsidRDefault="00CD689E" w:rsidP="00CD689E">
      <w:pPr>
        <w:pStyle w:val="NormalHanging12a"/>
      </w:pPr>
      <w:r w:rsidRPr="00A224F9">
        <w:t>25.</w:t>
      </w:r>
      <w:r w:rsidRPr="00A224F9">
        <w:tab/>
        <w:t>naglašava važnost predanosti EU-a multilateralnoj suradnji i osiguravanju vlastitih trgovinskih interesa Europe, pri čemu se istodobno zadovoljavaju neki od ključnih interesa zemalja AKP-a, posebno u pogledu regionalne integracije;</w:t>
      </w:r>
    </w:p>
    <w:p w:rsidR="00CD689E" w:rsidRPr="00A224F9" w:rsidRDefault="00CD689E" w:rsidP="00CD689E">
      <w:pPr>
        <w:pStyle w:val="NormalHanging12a"/>
      </w:pPr>
      <w:r w:rsidRPr="00A224F9">
        <w:t>26.</w:t>
      </w:r>
      <w:r w:rsidRPr="00A224F9">
        <w:tab/>
        <w:t xml:space="preserve">podsjeća na rješenje koje se sastoji od dva stupa za rješavanje poreznih izazova koji proizlaze iz digitalizacije i globalizacije gospodarstva, u skladu s dogovorom članica </w:t>
      </w:r>
      <w:proofErr w:type="spellStart"/>
      <w:r w:rsidRPr="00A224F9">
        <w:t>Uključivog</w:t>
      </w:r>
      <w:proofErr w:type="spellEnd"/>
      <w:r w:rsidRPr="00A224F9">
        <w:t xml:space="preserve"> okvira Organizacije za gospodarsku suradnju i razvoj / skupine G-20 za borbu protiv erozije porezne osnovice i premještanja dobiti;</w:t>
      </w:r>
    </w:p>
    <w:p w:rsidR="00CD689E" w:rsidRPr="00A224F9" w:rsidRDefault="00CD689E" w:rsidP="00CD689E">
      <w:pPr>
        <w:pStyle w:val="NormalHanging12a"/>
      </w:pPr>
      <w:r w:rsidRPr="00A224F9">
        <w:lastRenderedPageBreak/>
        <w:t>27.</w:t>
      </w:r>
      <w:r w:rsidRPr="00A224F9">
        <w:tab/>
        <w:t xml:space="preserve">poziva EU i njegove države članice da osiguraju učinkovitu primjenu dogovorene globalne minimalne stope poreza na dobit od 15 % za multinacionalna poduzeća; ističe da se očekuje da će se tom minimalnim poreznom stopom godišnje ostvariti oko 150 milijardi USD dodatnih globalnih poreznih prihoda; </w:t>
      </w:r>
    </w:p>
    <w:p w:rsidR="00CD689E" w:rsidRPr="00A224F9" w:rsidRDefault="00CD689E" w:rsidP="00CD689E">
      <w:pPr>
        <w:pStyle w:val="NormalHanging12a"/>
      </w:pPr>
      <w:r w:rsidRPr="00A224F9">
        <w:t>28.</w:t>
      </w:r>
      <w:r w:rsidRPr="00A224F9">
        <w:tab/>
        <w:t>poziva Komisiju da se pobrine za to da zemlje u razvoju mogu u potpunosti ostvariti svoja prava u skladu s odredbama Svjetske trgovinske organizacije (WTO) o posebnom i diferenciranom postupanju, posebno kako bi se zajamčila njihova sigurnost opskrbe hranom; poziva Komisiju da ažurira svoju Komunikaciju o pravednoj trgovini iz 2009.</w:t>
      </w:r>
      <w:r w:rsidRPr="00A224F9">
        <w:rPr>
          <w:rStyle w:val="FootnoteReference"/>
        </w:rPr>
        <w:footnoteReference w:id="9"/>
      </w:r>
      <w:r w:rsidRPr="00A224F9">
        <w:t>;</w:t>
      </w:r>
    </w:p>
    <w:p w:rsidR="00CD689E" w:rsidRPr="00A224F9" w:rsidRDefault="00CD689E" w:rsidP="00CD689E">
      <w:pPr>
        <w:pStyle w:val="NormalHanging12a"/>
        <w:spacing w:before="240"/>
      </w:pPr>
      <w:r w:rsidRPr="00A224F9">
        <w:t>29.</w:t>
      </w:r>
      <w:r w:rsidRPr="00A224F9">
        <w:tab/>
        <w:t xml:space="preserve">naglašava da postoji hitna potreba za poduzimanjem dalekosežnih zajedničkih napora za dekarbonizaciju i za podupiranjem toga znatnim financijskim sredstvima, kao i za provođenjem dalekosežnih prijenosa tehnologije; naglašava važnost zajedničke suradnje u promicanju održivog razvoja i borbi protiv klimatskih promjena, uz istodobno poticanje gospodarskog rasta; naglašava da se uspostava energetskih partnerstava sa zemljama regije SADC-a mora usredotočiti ne samo na provedbu zelenog plana u Europi, nego i na opskrbu te regije; </w:t>
      </w:r>
    </w:p>
    <w:p w:rsidR="00CD689E" w:rsidRPr="00A224F9" w:rsidRDefault="00CD689E" w:rsidP="00CD689E">
      <w:pPr>
        <w:pStyle w:val="NormalHanging12a"/>
      </w:pPr>
      <w:r w:rsidRPr="00A224F9">
        <w:t>30.</w:t>
      </w:r>
      <w:r w:rsidRPr="00A224F9">
        <w:tab/>
        <w:t xml:space="preserve">ponavlja da zelena tranzicija nudi potencijal za stvaranje kvalitetnih i zelenih radnih mjesta koja mogu znatno doprinijeti iskorjenjivanju siromaštva i socijalnoj uključenosti, kako u državama članicama EU-a tako i u državama SADC SGP-a; </w:t>
      </w:r>
    </w:p>
    <w:p w:rsidR="00CD689E" w:rsidRPr="00A224F9" w:rsidRDefault="00CD689E" w:rsidP="00CD689E">
      <w:pPr>
        <w:pStyle w:val="NormalHanging12a"/>
      </w:pPr>
      <w:r w:rsidRPr="00A224F9">
        <w:t>31.</w:t>
      </w:r>
      <w:r w:rsidRPr="00A224F9">
        <w:tab/>
        <w:t>naglašava važnost ulaganja u razvoj obrazovanja i vještina prilagođenih naporima za dekarbonizaciju uz istodobno rješavanje izazova pravedne tranzicije;</w:t>
      </w:r>
    </w:p>
    <w:p w:rsidR="00CD689E" w:rsidRPr="00A224F9" w:rsidRDefault="00CD689E" w:rsidP="00CD689E">
      <w:pPr>
        <w:pStyle w:val="NormalHanging12a"/>
      </w:pPr>
      <w:r w:rsidRPr="00A224F9">
        <w:t>32.</w:t>
      </w:r>
      <w:r w:rsidRPr="00A224F9">
        <w:tab/>
        <w:t>smatra da su projekti za poboljšanje lokalne infrastrukture u državama SADC SGP-a u vezi s partnerstvima gradova korisni za podupiranje klimatskih partnerstava između EU i pojedinačnih država SADC SGP-a na decentraliziran način, te za produbljivanje razmjene između općina u južnoj Africi i EU-u; uvjeren je da razmjene među općinama omogućavaju afričkim i europskim stručnjacima da razviju rješenja prilagođena problemima za razvoj lokalne infrastrukture; pozdravlja činjenicu da se takvi partnerski projekti podupiru u okviru programa „Lokalna tijela: partnerstva za održive gradove 2020.”; poziva Komisiju da nastavi pomagati državama SADC SGP-a u ispunjavanju zahtjeva politike EU-a u području okoliša i zadrži taj program financiranja; potiče Komisiju, Europsku službu za vanjsko djelovanje i delegacije EU-a da olakšaju dijalog u cilju promicanja uzajamnog razumijevanja učinka klimatskih inicijativa EU-a, kao što su uvođenje Uredbe o mehanizmu za ugljičnu prilagodbu na granicama i Uredbe o krčenju šuma te predstojeće zakonodavstvo Unije o dužnoj pažnji;</w:t>
      </w:r>
    </w:p>
    <w:p w:rsidR="00CD689E" w:rsidRPr="00A224F9" w:rsidRDefault="00CD689E" w:rsidP="00CD689E">
      <w:pPr>
        <w:pStyle w:val="NormalHanging12a"/>
      </w:pPr>
      <w:r w:rsidRPr="00A224F9">
        <w:t>33.</w:t>
      </w:r>
      <w:r w:rsidRPr="00A224F9">
        <w:tab/>
        <w:t>naglašava da su države SADC SGP-a posebno pogođene učincima klimatskih promjena; podsjeća da je poljoprivreda u južnoj Africi pogođena poplavama i sušama; potiče Komisiju i države SADC SGP-a da pojačaju suradnju u razvoju odgovarajućih sustava ranog upozoravanja i koordinacije među relevantnim ministarstvima država SADC SGP-a kako bi se postigli ciljevi nacionalno utvrđenih doprinosa;</w:t>
      </w:r>
    </w:p>
    <w:p w:rsidR="00CD689E" w:rsidRPr="00A224F9" w:rsidRDefault="00CD689E" w:rsidP="00CD689E">
      <w:pPr>
        <w:pStyle w:val="NormalHanging12a"/>
      </w:pPr>
      <w:r w:rsidRPr="00A224F9">
        <w:t>34.</w:t>
      </w:r>
      <w:r w:rsidRPr="00A224F9">
        <w:tab/>
        <w:t xml:space="preserve">pozdravlja napore država SADC SGP-a i Komisije da uspostave bližu suradnju u području otpornih prehrambenih sustava i neovisnosti u opskrbi hranom u okviru </w:t>
      </w:r>
      <w:r w:rsidRPr="00A224F9">
        <w:lastRenderedPageBreak/>
        <w:t xml:space="preserve">postupka preispitivanja; smatra da je ta suradnja prilika za isticanje Deklaracije Ujedinjenih naroda o pravima seljaka i ostalih osoba koje rade u ruralnim područjima i konvencija Međunarodne organizacije rada usmjerene na poljoprivredu, kao što su Konvencija br. 129 o inspekciji rada u poljoprivredi, br. 10 o minimalnoj dobi u poljoprivredi i br. 11 o pravu udruživanja u poljoprivredi; podsjeća da je sposobnost agroekologije da uskladi gospodarske, okolišne i socijalne dimenzije održivosti prepoznata u značajnim izvješćima, posebice Međuvladina panela o klimatskim promjenama, Međuvladine znanstveno-političke platforme o </w:t>
      </w:r>
      <w:proofErr w:type="spellStart"/>
      <w:r w:rsidRPr="00A224F9">
        <w:t>bioraznolikosti</w:t>
      </w:r>
      <w:proofErr w:type="spellEnd"/>
      <w:r w:rsidRPr="00A224F9">
        <w:t xml:space="preserve"> i uslugama ekosustava te Međunarodne procjene poljoprivrednog znanja, znanosti i tehnologije za razvoj pod vodstvom Svjetske banke i FAO-a;</w:t>
      </w:r>
    </w:p>
    <w:p w:rsidR="00CD689E" w:rsidRPr="00A224F9" w:rsidRDefault="00CD689E" w:rsidP="00CD689E">
      <w:pPr>
        <w:pStyle w:val="NormalHanging12a"/>
      </w:pPr>
      <w:r w:rsidRPr="00A224F9">
        <w:t>35.</w:t>
      </w:r>
      <w:r w:rsidRPr="00A224F9">
        <w:tab/>
        <w:t>naglašava potrebu za ulaganjem napora u izgradnju vrijednosnih lanaca otpornih na klimatske promjene u poljoprivrednoj industriji i razvoj sorti usjeva otpornih na sušu i tehnika obrade prilagođenih klimatskim promjenama;</w:t>
      </w:r>
    </w:p>
    <w:p w:rsidR="00CD689E" w:rsidRPr="00A224F9" w:rsidRDefault="00CD689E" w:rsidP="00CD689E">
      <w:pPr>
        <w:pStyle w:val="NormalHanging12a"/>
      </w:pPr>
      <w:r w:rsidRPr="00A224F9">
        <w:t>36.</w:t>
      </w:r>
      <w:r w:rsidRPr="00A224F9">
        <w:tab/>
        <w:t>naglašava da je pristup čistoj vodi i sanitarnim objektima ključan za održivost poljoprivrede; naglašava potrebu za sveobuhvatnim strategijama upravljanja vodama; naglašava da je nedostatak pristupa čistoj vodi i sanitarnim uvjetima u regiji SADC-a prepreka održivom razvoju;</w:t>
      </w:r>
    </w:p>
    <w:p w:rsidR="00CD689E" w:rsidRPr="00A224F9" w:rsidRDefault="00CD689E" w:rsidP="00CD689E">
      <w:pPr>
        <w:pStyle w:val="NormalHanging12a"/>
      </w:pPr>
      <w:r w:rsidRPr="00A224F9">
        <w:t>37.</w:t>
      </w:r>
      <w:r w:rsidRPr="00A224F9">
        <w:tab/>
        <w:t xml:space="preserve">poziva na provedbu i razmjenu regionalnih inicijativa za preradu poljoprivrednih proizvoda među državama SADC SGP-a kako bi se promicala razmjena znanja i razmjena najboljih praksi; poziva na praćenje napretka ostvarenog u regionalnim vrijednosnim lancima u preradi poljoprivrednih proizvoda; 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Rodna pitanja</w:t>
      </w:r>
    </w:p>
    <w:p w:rsidR="00CD689E" w:rsidRPr="00A224F9" w:rsidRDefault="00CD689E" w:rsidP="00CD689E">
      <w:pPr>
        <w:pStyle w:val="NormalHanging12a"/>
      </w:pPr>
      <w:r w:rsidRPr="00A224F9">
        <w:t>38.</w:t>
      </w:r>
      <w:r w:rsidRPr="00A224F9">
        <w:tab/>
        <w:t>prepoznaje ključnu ulogu žena u gospodarskom razvoju regije SADC-a i važnost stvaranja poticajnog okruženja kojim se štite njihova prava; poziva Komisiju da u kontekstu provedbe SGP-a prednost da rodnim pitanjima, na primjer organiziranjem radionica o rodnoj ravnopravnosti između, među ostalim, organizacija za prava žena u EU-u i zemljama SADC-a, podizanjem razine osviještenosti domaćih vlasti i poduzeća o neiskorištenom gospodarskom potencijalu koji proizlazi iz diskriminacije žena i pomaganjem tim subjektima da utvrde političke, gospodarske i društvene pokretače koji ometaju napredak afričkih žena te poziva na donošenje politika i konkretnih mjera za uklanjanje rodnog jaza; naglašava važnost osnaživanja žena i mladih u regiji SADC-a poboljšanjem njihova pristupa financiranju, resursima i gospodarskom sudjelovanju; poziva EU i države SADC SGP-a da ženama i mladima osiguraju jednak i neometan pristup financijskim uslugama i resursima te promiču financijsku uključenost;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Ulaganja</w:t>
      </w:r>
    </w:p>
    <w:p w:rsidR="00CD689E" w:rsidRPr="00A224F9" w:rsidRDefault="00CD689E" w:rsidP="00CD689E">
      <w:pPr>
        <w:pStyle w:val="NormalHanging12a"/>
      </w:pPr>
      <w:r w:rsidRPr="00A224F9">
        <w:t>39.</w:t>
      </w:r>
      <w:r w:rsidRPr="00A224F9">
        <w:tab/>
        <w:t>ističe da je potrebno znatno povećati zeleno financiranje i ulaganja kako bi se postigli ciljevi Programa održivog razvoja do 2030. i Pariškog sporazuma te unaprijedio prijelaz na niskougljično gospodarstvo otporno na klimatske promjene u državama SADC SGP-a;</w:t>
      </w:r>
    </w:p>
    <w:p w:rsidR="00CD689E" w:rsidRPr="00A224F9" w:rsidRDefault="00CD689E" w:rsidP="00CD689E">
      <w:pPr>
        <w:pStyle w:val="NormalHanging12a"/>
      </w:pPr>
      <w:r w:rsidRPr="00A224F9">
        <w:t>40.</w:t>
      </w:r>
      <w:r w:rsidRPr="00A224F9">
        <w:tab/>
        <w:t xml:space="preserve">poziva EU i države SADC SGP-a da aktivno istraže inovativne mehanizme za zeleno financiranje, uključujući zelene obveznice, investicijske fondove usmjerene na klimu i javno-privatna partnerstva, koristeći međunarodne platforme za privlačenje ulaganja ka projektima u području održivosti i otpornosti na klimatske promjene; poziva EU da </w:t>
      </w:r>
      <w:r w:rsidRPr="00A224F9">
        <w:lastRenderedPageBreak/>
        <w:t xml:space="preserve">iskoristi svoj utjecaj u dobivanju poboljšanih financijskih praksi od institucija kao što je Svjetska banka i jačanju uloge Međunarodnog monetarnog fonda u smanjenju duga visokozaduženih zemalja te stoga poziva EU i njegove države članice da iskoriste svoj utjecaj kako bi istražili nove pristupe kojima se oslobađaju sredstva za prilagodbu klimatskim promjenama; naglašava potrebu za </w:t>
      </w:r>
      <w:proofErr w:type="spellStart"/>
      <w:r w:rsidRPr="00A224F9">
        <w:t>proaktivnim</w:t>
      </w:r>
      <w:proofErr w:type="spellEnd"/>
      <w:r w:rsidRPr="00A224F9">
        <w:t xml:space="preserve"> mjerama kako bi se nastavila privlačiti povećana ulaganja, posebno u strateške i inovativne sektore, što može dovesti do kvalitetnijih ishoda i potaknuti održiviji razvoj, što bi pak moglo dovesti do dugoročne koristi i za države SADC SGP-a i za EU; nadalje potiče EU i države SADC SGP-a da zajednički istraže inovativne mogućnosti financiranja kao što su osiguravanje zajmova i njihovo naknadno dodjeljivanje pod odgovarajućim uvjetima za financiranje javne infrastrukture u ključnim područjima kao što su energija, opskrba vodom, zbrinjavanje otpada i recikliranje;</w:t>
      </w:r>
    </w:p>
    <w:p w:rsidR="00CD689E" w:rsidRPr="00A224F9" w:rsidRDefault="00CD689E" w:rsidP="00CD689E">
      <w:pPr>
        <w:pStyle w:val="NormalHanging12a"/>
      </w:pPr>
      <w:r w:rsidRPr="00A224F9">
        <w:t>41.</w:t>
      </w:r>
      <w:r w:rsidRPr="00A224F9">
        <w:tab/>
        <w:t xml:space="preserve">poziva EU i njegove države članice da pojačaju svoje napore na međunarodnim forumima, uključujući Svjetsku trgovinsku organizaciju (WTO), kako bi se zalagali za povećanje međunarodnog financiranja borbe protiv klimatskih promjena; </w:t>
      </w:r>
    </w:p>
    <w:p w:rsidR="00CD689E" w:rsidRPr="00A224F9" w:rsidRDefault="00CD689E" w:rsidP="00CD689E">
      <w:pPr>
        <w:pStyle w:val="NormalHanging12a"/>
      </w:pPr>
      <w:r w:rsidRPr="00A224F9">
        <w:t>42.</w:t>
      </w:r>
      <w:r w:rsidRPr="00A224F9">
        <w:tab/>
        <w:t>napominje da je razina ulaganja država članica EU-a u državama SADC SGP-a i dalje znatno viša od ulaganja Sjedinjenih Američkih Država ili Kine;</w:t>
      </w:r>
    </w:p>
    <w:p w:rsidR="00CD689E" w:rsidRPr="00A224F9" w:rsidRDefault="00CD689E" w:rsidP="00CD689E">
      <w:pPr>
        <w:pStyle w:val="NormalHanging12a"/>
      </w:pPr>
      <w:r w:rsidRPr="00A224F9">
        <w:t>43.</w:t>
      </w:r>
      <w:r w:rsidRPr="00A224F9">
        <w:tab/>
        <w:t xml:space="preserve">smatra da postoji hitna potreba za povećanjem održivih ulaganja u regiji SADC-a i očekuje da se utvrde područja ulaganja koja se čine posebno prikladnima za investicijska partnerstva između EU-a i država SADC SGP-a; poziva na bolje koordiniran pristup tima na europskoj strani u utvrđivanju i provedbi odgovarajućih mjera za povećanje ulaganja; naglašava da postizanje ciljeva održivog razvoja zahtijeva golema ulaganja u potpornu infrastrukturu i diversifikaciju kako bi se ovisnost o primarnim dobrima preusmjerila na visokovrijedne industrijske proizvode; naglašava da bi politika ulaganja EU-a trebala pomoći zemljama u razvoju, posebno afričkim zemljama, da privuku izravna strana ulaganja i uklone manjak </w:t>
      </w:r>
      <w:proofErr w:type="spellStart"/>
      <w:r w:rsidRPr="00A224F9">
        <w:t>manjak</w:t>
      </w:r>
      <w:proofErr w:type="spellEnd"/>
      <w:r w:rsidRPr="00A224F9">
        <w:t xml:space="preserve"> financijskih sredstava za ostvarenje ciljeva održivog razvoja; naglašava da stvaranje dostojanstvenih radnih mjesta mora biti ključan čimbenik za podupiranje ulaganja u regiji SADC-a, čime se omogućuju čvrsti domaći okviri za primjerenu pažnju u pogledu ljudskih prava i okoliša; naglašava važnost uključivanja lokalnih poduzeća kad god je to moguće u postupak provedbe kako bi se uložena sredstva zadržala u regiji, potaknulo zapošljavanje i olakšao prijenos vještina; smatra da bi trebalo povećati sredstva iz inicijative Global </w:t>
      </w:r>
      <w:proofErr w:type="spellStart"/>
      <w:r w:rsidRPr="00A224F9">
        <w:t>Gateway</w:t>
      </w:r>
      <w:proofErr w:type="spellEnd"/>
      <w:r w:rsidRPr="00A224F9">
        <w:t xml:space="preserve"> i da se mora povećati udio bespovratnih sredstava za jednako potrebna javna ulaganja; </w:t>
      </w:r>
    </w:p>
    <w:p w:rsidR="00CD689E" w:rsidRPr="00A224F9" w:rsidRDefault="00CD689E" w:rsidP="00CD689E">
      <w:pPr>
        <w:pStyle w:val="NormalHanging12a"/>
      </w:pPr>
      <w:r w:rsidRPr="00A224F9">
        <w:t>44.</w:t>
      </w:r>
      <w:r w:rsidRPr="00A224F9">
        <w:tab/>
        <w:t xml:space="preserve">poziva Komisiju i države članice da osiguraju da pri odabiru projekata u okviru inicijative Global </w:t>
      </w:r>
      <w:proofErr w:type="spellStart"/>
      <w:r w:rsidRPr="00A224F9">
        <w:t>Gateway</w:t>
      </w:r>
      <w:proofErr w:type="spellEnd"/>
      <w:r w:rsidRPr="00A224F9">
        <w:t xml:space="preserve"> i pružanju potpore za njih, socijalni dijalog bude sastavni dio institucionalnog okvira za donošenje politika i provedbu na svim razinama;</w:t>
      </w:r>
    </w:p>
    <w:p w:rsidR="00CD689E" w:rsidRPr="00A224F9" w:rsidRDefault="00CD689E" w:rsidP="00CD689E">
      <w:pPr>
        <w:pStyle w:val="NormalHanging12a"/>
      </w:pPr>
      <w:r w:rsidRPr="00A224F9">
        <w:t>45.</w:t>
      </w:r>
      <w:r w:rsidRPr="00A224F9">
        <w:tab/>
        <w:t>poziva Komisiju da bolje koordinira pojedinačne nacionalne agencije za kreditiranje izvoza u državama članicama EU-a kako bi se uskladila s prioritetima europskog zelenog plana;</w:t>
      </w:r>
    </w:p>
    <w:p w:rsidR="00CD689E" w:rsidRPr="00A224F9" w:rsidRDefault="00CD689E" w:rsidP="00CD689E">
      <w:pPr>
        <w:pStyle w:val="NormalHanging12a"/>
      </w:pPr>
      <w:r w:rsidRPr="00A224F9">
        <w:t>46.</w:t>
      </w:r>
      <w:r w:rsidRPr="00A224F9">
        <w:tab/>
        <w:t>ističe važnost malih i srednjih poduzeća (MSP-ova) u gospodarskom razvoju država SADC-a, prepoznajući njihov potencijal i ulogu; ponavlja da je potrebno podići razinu osviještenosti o prednostima i mogućnostima sporazuma, posebno za mala i srednja poduzeća;</w:t>
      </w:r>
    </w:p>
    <w:p w:rsidR="00CD689E" w:rsidRPr="00A224F9" w:rsidRDefault="00CD689E" w:rsidP="00CD689E">
      <w:pPr>
        <w:pStyle w:val="NormalHanging12a"/>
      </w:pPr>
      <w:r w:rsidRPr="00A224F9">
        <w:lastRenderedPageBreak/>
        <w:t>47.</w:t>
      </w:r>
      <w:r w:rsidRPr="00A224F9">
        <w:tab/>
        <w:t xml:space="preserve">naglašava važnost </w:t>
      </w:r>
      <w:proofErr w:type="spellStart"/>
      <w:r w:rsidRPr="00A224F9">
        <w:t>proaktivnog</w:t>
      </w:r>
      <w:proofErr w:type="spellEnd"/>
      <w:r w:rsidRPr="00A224F9">
        <w:t xml:space="preserve"> uključivanja poduzeća iz privatnog sektora u provedbu i praćenje SGP-a između EU-a i SADC-a;</w:t>
      </w:r>
    </w:p>
    <w:p w:rsidR="00CD689E" w:rsidRPr="00A224F9" w:rsidRDefault="00CD689E" w:rsidP="00CD689E">
      <w:pPr>
        <w:pStyle w:val="NormalHanging12a"/>
      </w:pPr>
      <w:r w:rsidRPr="00A224F9">
        <w:t>48.</w:t>
      </w:r>
      <w:r w:rsidRPr="00A224F9">
        <w:tab/>
        <w:t>poziva Komisiju da aktivno promiče i potiče sudjelovanje u programima za izgradnju kapaciteta i regionalnim inicijativama usmjerenima na jačanje ulagačkih i izvoznih kapaciteta, uz istodobno poticanje tržišnog okruženja koje više pogoduje MSP-ovima;</w:t>
      </w:r>
    </w:p>
    <w:p w:rsidR="00CD689E" w:rsidRPr="00A224F9" w:rsidRDefault="00CD689E" w:rsidP="00CD689E">
      <w:pPr>
        <w:pStyle w:val="NormalHanging12a"/>
      </w:pPr>
      <w:r w:rsidRPr="00A224F9">
        <w:t>49.</w:t>
      </w:r>
      <w:r w:rsidRPr="00A224F9">
        <w:tab/>
        <w:t>pozdravlja uvođenje programa EU-a kao što je Program potpore poboljšanju investicijskog i poslovnog okruženja, čiji je cilj poboljšanje poslovne i ulagačke klime u državama SADC-a; u tom kontekstu poziva na to da se u sljedećem financijskom razdoblju predvidi više sredstava kako bi se dao veći poticaj rastu i razvoju privatnog sektora te stvorile mogućnosti zapošljavanja za lokalno stanovništvo, čime bi se smanjilo siromaštvo;</w:t>
      </w:r>
    </w:p>
    <w:p w:rsidR="00CD689E" w:rsidRPr="00A224F9" w:rsidRDefault="00CD689E" w:rsidP="00CD689E">
      <w:pPr>
        <w:pStyle w:val="NormalHanging12a"/>
      </w:pPr>
      <w:r w:rsidRPr="00A224F9">
        <w:t>50.</w:t>
      </w:r>
      <w:r w:rsidRPr="00A224F9">
        <w:tab/>
        <w:t>naglašava da će transparentan i predvidljiv pravni i fiskalni okvir pomoći u promicanju regionalne integracije i privlačenju izravnih stranih ulaganja;</w:t>
      </w:r>
    </w:p>
    <w:p w:rsidR="00CD689E" w:rsidRPr="00A224F9" w:rsidRDefault="00CD689E" w:rsidP="00CD689E">
      <w:pPr>
        <w:spacing w:after="120"/>
        <w:rPr>
          <w:b/>
          <w:i/>
        </w:rPr>
      </w:pPr>
      <w:r w:rsidRPr="00A224F9">
        <w:rPr>
          <w:b/>
          <w:i/>
        </w:rPr>
        <w:t>Pristupanje Angole</w:t>
      </w:r>
    </w:p>
    <w:p w:rsidR="00CD689E" w:rsidRPr="00A224F9" w:rsidRDefault="00CD689E" w:rsidP="00CD689E">
      <w:pPr>
        <w:pStyle w:val="NormalHanging12a"/>
      </w:pPr>
      <w:r w:rsidRPr="00A224F9">
        <w:t>51.</w:t>
      </w:r>
      <w:r w:rsidRPr="00A224F9">
        <w:tab/>
        <w:t xml:space="preserve">prepoznaje važnost Sporazuma o olakšavanju održivih ulaganja između Europske unije i Republike Angole za SGP između EU-a i SADC-a kao novog pristupa za izgradnju potrebnog transparentnog i predvidljivog pravnog i fiskalnog okvira kojim se potiče dužna pažnja ulagača kako bi se privukla održiva i odgovorna ulaganja, te ističe dogovorene odredbe o obvezama u pogledu roda, klimatskih promjena i održivog razvoja; potiče druge zemlje u regiji da razmotre slične sporazume o olakšavanju održivih ulaganja s EU-om, koje u svojem osmišljavanju uključuju nacionalno utvrđene doprinose; naglašava da bi Sporazum o olakšavanju održivih ulaganja između Europske unije i Republike Angole trebao doprinijeti privlačenju i širenju održivih ulaganja u Angoli, kao i promicanju gospodarske diversifikacije, uz istodobno uključivanje obveza u pogledu zaštite okoliša i prava radnika, te ne bi </w:t>
      </w:r>
      <w:proofErr w:type="spellStart"/>
      <w:r w:rsidRPr="00A224F9">
        <w:t>smio</w:t>
      </w:r>
      <w:proofErr w:type="spellEnd"/>
      <w:r w:rsidRPr="00A224F9">
        <w:t xml:space="preserve"> imati suprotan učinak; ističe prilike za održiva ulaganja u klimatski osjetljiv poljoprivredni sektor, ulaganja u obnovljivu energiju i infrastrukturu otpornu na klimatske promjene, kao i razvoj vještina; poziva Komisiju da prednost da projektima suradnje kojima se promiču obveze održivosti utvrđene u Sporazumu o olakšavanju održivih ulaganja između Europske unije i Republike Angole u okviru višegodišnjeg okvirnog programa za Angolu; smatra da sporazumi kao što je Sporazum o olakšavanju održivih ulaganja između Europske unije i Republike Angole mogu pružiti pravni i organizacijski okvir za održiva ulaganja kojima se smanjuje ovisnost Angole o nafti i plinu; pozdravlja činjenicu da Sporazum o olakšavanju održivih ulaganja između Europske unije i Republike Angole uključuje važne aspekte praktične provedbe ulaganja kao što su transparentnost i predvidljivost ulaganja, pojednostavnjenje postupaka odobravanja, uspostava kontaktnih točaka zainteresiranih ulagača, postupci za izbjegavanje i rješavanje sporova te za dubinsku analizu ulagača; poziva EU i države SADC SGP-a da razmotre bi li SGP trebalo dopuniti sporazumom o olakšavanju održivih ulaganja; poziva države SADC SGP-a da po potrebi započnu pregovore o tom pitanju;</w:t>
      </w:r>
    </w:p>
    <w:p w:rsidR="00CD689E" w:rsidRPr="00A224F9" w:rsidRDefault="00CD689E" w:rsidP="00CD689E">
      <w:pPr>
        <w:pStyle w:val="NormalHanging12a"/>
      </w:pPr>
      <w:r w:rsidRPr="00A224F9">
        <w:t>52.</w:t>
      </w:r>
      <w:r w:rsidRPr="00A224F9">
        <w:tab/>
        <w:t xml:space="preserve">pozdravlja zahtjev Angole za pridruživanje SGP-u između EU-a i SADC-a; u tom se kontekstu nada da će pregovarački proces započeti bez daljnje odgode; smatra da bi, ako se Angola pridruži SGP-u između EU-a i SADC-a ili bilo kojem drugom zasebnom obvezujućem i provedivom međunarodnom instrumentu između EU-a i država SADC-a, trebalo na odgovarajući način prilagoditi Sporazum o olakšavanju održivih ulaganja </w:t>
      </w:r>
      <w:r w:rsidRPr="00A224F9">
        <w:lastRenderedPageBreak/>
        <w:t>između Europske unije i Republike Angole;</w:t>
      </w:r>
    </w:p>
    <w:p w:rsidR="00CD689E" w:rsidRPr="00A224F9" w:rsidRDefault="00CD689E" w:rsidP="00CD689E">
      <w:pPr>
        <w:pStyle w:val="NormalHanging12a"/>
      </w:pPr>
      <w:r w:rsidRPr="00A224F9">
        <w:t>53.</w:t>
      </w:r>
      <w:r w:rsidRPr="00A224F9">
        <w:tab/>
        <w:t xml:space="preserve">podsjeća da se prema procjeni učinka Komisije Angola suočava s problemima u pogledu kapaciteta u učinkovitoj provedbi Sporazuma o gospodarskom partnerstvu; poziva Komisiju da pomogne Angoli u izgradnji kapaciteta; 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>Sirovine</w:t>
      </w:r>
    </w:p>
    <w:p w:rsidR="00CD689E" w:rsidRPr="00A224F9" w:rsidRDefault="00CD689E" w:rsidP="00CD689E">
      <w:pPr>
        <w:pStyle w:val="NormalHanging12a"/>
      </w:pPr>
      <w:r w:rsidRPr="00A224F9">
        <w:t>54.</w:t>
      </w:r>
      <w:r w:rsidRPr="00A224F9">
        <w:tab/>
        <w:t>poziva Komisiju i države SADC SGP-a da ojačaju suradnju putem formalnih foruma, kao i strateških partnerstava za kritične sirovine i planova provedbe, kako bi se osigurala diversificirana i održiva opskrba ključnim sirovinama za zelenu, digitalnu i pravednu tranziciju, poboljšalo recikliranje prirodnih resursa i gospodarenje otpadom, pružila potpora domaćim industrijama u napredovanju u vrijednosnom lancu od vađenja do prerade sirovina i promicale odgovorne rudarske prakse, posebno priznavanjem i primjenom slobodnog prethodnog i informiranog pristanka lokalnog stanovništva pogođenog rudarskim projektima i ostvarivanjem koristi duž cijelog lanca opskrbe i proizvodnje; uvjeren je da se vađenje sirovina mora odvijati uz poštovanje ekoloških standarda te radničkih i ljudskih prava, uključujući prava autohtonih naroda; poziva na stalno i široko sudjelovanje svih relevantnih dionika, uključujući lokalne i autohtone zajednice; zalaže se za reforme politika koje se odnose na vlasništvo nad zemljištem i rudnicima, radnička prava i socijalnu pravdu kako bi se ublažili sukobi i potaknula održiva ulaganja; zabrinut je zbog slučajeva kršenja ljudskih prava i visoke razine štete za okoliš koju su prouzročila neka rudarska poduzeća;</w:t>
      </w:r>
    </w:p>
    <w:p w:rsidR="00CD689E" w:rsidRPr="00A224F9" w:rsidRDefault="00CD689E" w:rsidP="00CD689E">
      <w:pPr>
        <w:pStyle w:val="NormalHanging12a"/>
      </w:pPr>
      <w:r w:rsidRPr="00A224F9">
        <w:t>55.</w:t>
      </w:r>
      <w:r w:rsidRPr="00A224F9">
        <w:tab/>
        <w:t>pozdravlja strateško partnerstvo s Namibijom, čiji je cilj izgradnja razvoja vodika iz obnovljivih izvora i vrijednosnih lanaca kritičnih sirovina; podsjeća na potrebu za razvojem potrebne infrastrukture, kao što su postrojenja za obnovljivu energiju, prometne mreže i istraživački centri, kako bi se olakšala proizvodnja i distribucija vodika iz obnovljivih izvora;</w:t>
      </w:r>
    </w:p>
    <w:p w:rsidR="00CD689E" w:rsidRPr="00A224F9" w:rsidRDefault="00CD689E" w:rsidP="00CD689E">
      <w:pPr>
        <w:pStyle w:val="NormalHanging12a"/>
      </w:pPr>
      <w:r w:rsidRPr="00A224F9">
        <w:t>56.</w:t>
      </w:r>
      <w:r w:rsidRPr="00A224F9">
        <w:tab/>
        <w:t xml:space="preserve">u tom kontekstu poziva na uspostavu platformi za razmjenu znanja i istraživačkih mreža kako bi se olakšala razmjena najboljih praksi, iskustava i inovativnih rješenja među državama članicama; smatra da je korisno proširiti tehnološku suradnju na druga područja; </w:t>
      </w:r>
    </w:p>
    <w:p w:rsidR="00CD689E" w:rsidRPr="00A224F9" w:rsidRDefault="00CD689E" w:rsidP="00CD689E">
      <w:pPr>
        <w:pStyle w:val="NormalHanging12a"/>
      </w:pPr>
      <w:r w:rsidRPr="00A224F9">
        <w:t>57.</w:t>
      </w:r>
      <w:r w:rsidRPr="00A224F9">
        <w:tab/>
        <w:t>naglašava da je zahtjev EU-a za zabranu poreza na izvoz sirovina dugogodišnja prepreka u procesu pregovora o sporazumima o gospodarskom partnerstvu, s obzirom na to da izvozni porezi i carine nisu zabranjeni režimom Svjetske trgovinske organizacije (WTO); podsjeća na pravo afričkih zemalja da u svom javnom interesu reguliraju sirovine; poziva EU, u skladu s time, da se suzdrži od usvajanja trgovinske politike kojom se kao opće pravilo zemljama u razvoju zabranjuje nametanje poreza na izvoz sirovina, u mjeri u kojoj je to u skladu sa Svjetskom trgovinskom organizacijom (WTO);</w:t>
      </w:r>
    </w:p>
    <w:p w:rsidR="00CD689E" w:rsidRPr="00A224F9" w:rsidRDefault="00CD689E" w:rsidP="00CD689E">
      <w:pPr>
        <w:pStyle w:val="NormalHanging12a"/>
        <w:rPr>
          <w:b/>
          <w:i/>
        </w:rPr>
      </w:pPr>
      <w:r w:rsidRPr="00A224F9">
        <w:rPr>
          <w:b/>
          <w:i/>
        </w:rPr>
        <w:t xml:space="preserve">Izuzeće od primjene Sporazuma o trgovinskim aspektima </w:t>
      </w:r>
      <w:r w:rsidR="008C4043">
        <w:rPr>
          <w:b/>
          <w:i/>
        </w:rPr>
        <w:t>prava intelektualnog vlasništva</w:t>
      </w:r>
      <w:bookmarkStart w:id="8" w:name="_GoBack"/>
      <w:bookmarkEnd w:id="8"/>
    </w:p>
    <w:p w:rsidR="00CD689E" w:rsidRPr="00A224F9" w:rsidRDefault="00CD689E" w:rsidP="00CD689E">
      <w:pPr>
        <w:pStyle w:val="NormalHanging12a"/>
      </w:pPr>
      <w:r w:rsidRPr="00A224F9">
        <w:t>58.</w:t>
      </w:r>
      <w:r w:rsidRPr="00A224F9">
        <w:tab/>
        <w:t xml:space="preserve">napominje da je izvorni prijedlog, među ostalim, Indije i Južne Afrike za izuzeće od trgovinskih aspekata prava intelektualnog vlasništva (TRIPS) za cjepiva protiv bolesti COVID-19 na početku naišao na različite reakcije na početku te da ga je EU kasnije podržao; naglašava da bi u budućnosti ravnopravno partnerstvo trebalo uključivati više dijaloga; poziva EU i njegove države članice te članice Svjetske trgovinske organizacije </w:t>
      </w:r>
      <w:r w:rsidRPr="00A224F9">
        <w:lastRenderedPageBreak/>
        <w:t>da nastave s dugo očekivanim raspravama u Svjetskoj trgovinskoj organizaciji (WTO) o proširenju odluke 12. ministarske konferencije o trgovinskim aspektima prava intelektualnog vlasništva kako bi se dogovorene fleksibilnosti na razini te organizacije proširile na terapeutike i dijagnostiku; u tom kontekstu poziva Komisiju da uspostavi jasan politički okvir kako bi se osiguralo da budući sustav obveznog licenciranja u EU-u bude u skladu s dogovorenim fleksibilnostima Sporazuma o trgovinskim aspektima prava intelektualnog vlasništva; poziva na jaču ravnopravnu suradnju s državama SADC SGP-a u tom kontekstu;</w:t>
      </w:r>
    </w:p>
    <w:p w:rsidR="00CD689E" w:rsidRPr="00A224F9" w:rsidRDefault="00CD689E" w:rsidP="00CD689E">
      <w:pPr>
        <w:pStyle w:val="NormalHanging12a"/>
      </w:pPr>
      <w:r w:rsidRPr="00A224F9">
        <w:t>59.</w:t>
      </w:r>
      <w:r w:rsidRPr="00A224F9">
        <w:tab/>
        <w:t xml:space="preserve">pozdravlja napore uložene u okviru strateškog partnerstva EU-a i Južne Afrike za izgradnju infrastrukture za proizvodnju cjepiva; naglašava da ta infrastruktura mora uključivati proizvodnju cjepiva protiv bolesti COVID-19; </w:t>
      </w:r>
    </w:p>
    <w:p w:rsidR="00CD689E" w:rsidRPr="00A224F9" w:rsidRDefault="00CD689E" w:rsidP="00CD689E">
      <w:pPr>
        <w:pStyle w:val="NormalHanging12a"/>
        <w:keepNext/>
        <w:jc w:val="center"/>
      </w:pPr>
      <w:r w:rsidRPr="00A224F9">
        <w:t>°</w:t>
      </w:r>
    </w:p>
    <w:p w:rsidR="00CD689E" w:rsidRPr="00A224F9" w:rsidRDefault="00CD689E" w:rsidP="00CD689E">
      <w:pPr>
        <w:pStyle w:val="NormalHanging12a"/>
        <w:keepNext/>
        <w:jc w:val="center"/>
      </w:pPr>
      <w:r w:rsidRPr="00A224F9">
        <w:t>°</w:t>
      </w:r>
      <w:r w:rsidRPr="00A224F9">
        <w:tab/>
        <w:t>°</w:t>
      </w:r>
    </w:p>
    <w:p w:rsidR="00CD689E" w:rsidRPr="00A224F9" w:rsidRDefault="00CD689E" w:rsidP="00A224F9">
      <w:pPr>
        <w:ind w:left="567" w:hanging="567"/>
      </w:pPr>
      <w:r w:rsidRPr="00A224F9">
        <w:t>60.</w:t>
      </w:r>
      <w:r w:rsidRPr="00A224F9">
        <w:tab/>
        <w:t>nalaže svojoj predsjednici da ovu Rezoluciju proslijedi Vijeću, Komisiji i vladama i parlamentima država SADC SGP-a.</w:t>
      </w:r>
    </w:p>
    <w:sectPr w:rsidR="00CD689E" w:rsidRPr="00A224F9" w:rsidSect="005575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75E" w:rsidRPr="00557501" w:rsidRDefault="0075375E">
      <w:r w:rsidRPr="00557501">
        <w:separator/>
      </w:r>
    </w:p>
  </w:endnote>
  <w:endnote w:type="continuationSeparator" w:id="0">
    <w:p w:rsidR="0075375E" w:rsidRPr="00557501" w:rsidRDefault="0075375E">
      <w:r w:rsidRPr="005575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5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5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5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75E" w:rsidRPr="00557501" w:rsidRDefault="0075375E">
      <w:r w:rsidRPr="00557501">
        <w:separator/>
      </w:r>
    </w:p>
  </w:footnote>
  <w:footnote w:type="continuationSeparator" w:id="0">
    <w:p w:rsidR="0075375E" w:rsidRPr="00557501" w:rsidRDefault="0075375E">
      <w:r w:rsidRPr="00557501">
        <w:continuationSeparator/>
      </w:r>
    </w:p>
  </w:footnote>
  <w:footnote w:id="1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r w:rsidRPr="00557501">
        <w:rPr>
          <w:sz w:val="24"/>
          <w:lang w:val="hr-HR"/>
        </w:rPr>
        <w:t>SL L 250, 16.9.2016., str. 3.</w:t>
      </w:r>
    </w:p>
  </w:footnote>
  <w:footnote w:id="2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r w:rsidRPr="00557501">
        <w:rPr>
          <w:sz w:val="24"/>
          <w:lang w:val="hr-HR"/>
        </w:rPr>
        <w:t>SL C 204, 1</w:t>
      </w:r>
      <w:r w:rsidR="00E147B3">
        <w:rPr>
          <w:sz w:val="24"/>
          <w:lang w:val="hr-HR"/>
        </w:rPr>
        <w:t>3</w:t>
      </w:r>
      <w:r w:rsidRPr="00557501">
        <w:rPr>
          <w:sz w:val="24"/>
          <w:lang w:val="hr-HR"/>
        </w:rPr>
        <w:t>.</w:t>
      </w:r>
      <w:r w:rsidR="00E147B3">
        <w:rPr>
          <w:sz w:val="24"/>
          <w:lang w:val="hr-HR"/>
        </w:rPr>
        <w:t>6</w:t>
      </w:r>
      <w:r w:rsidRPr="00557501">
        <w:rPr>
          <w:sz w:val="24"/>
          <w:lang w:val="hr-HR"/>
        </w:rPr>
        <w:t>.2018., str. 222.</w:t>
      </w:r>
    </w:p>
  </w:footnote>
  <w:footnote w:id="3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r w:rsidRPr="00557501">
        <w:rPr>
          <w:sz w:val="24"/>
          <w:lang w:val="hr-HR"/>
        </w:rPr>
        <w:t>SL C 132, 14.4.2023., str. 99.</w:t>
      </w:r>
    </w:p>
  </w:footnote>
  <w:footnote w:id="4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r w:rsidRPr="00557501">
        <w:rPr>
          <w:sz w:val="24"/>
          <w:lang w:val="hr-HR"/>
        </w:rPr>
        <w:t>SL C 32, 27.1.2023., str. 74.</w:t>
      </w:r>
    </w:p>
  </w:footnote>
  <w:footnote w:id="5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r w:rsidRPr="00557501">
        <w:rPr>
          <w:sz w:val="24"/>
          <w:lang w:val="hr-HR"/>
        </w:rPr>
        <w:t>SL C 494, 8.12.2021., str. 80.</w:t>
      </w:r>
    </w:p>
  </w:footnote>
  <w:footnote w:id="6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r w:rsidRPr="00557501">
        <w:rPr>
          <w:sz w:val="24"/>
          <w:lang w:val="hr-HR"/>
        </w:rPr>
        <w:t>SL C 105, 4.3.2022., str. 40.</w:t>
      </w:r>
    </w:p>
  </w:footnote>
  <w:footnote w:id="7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r w:rsidRPr="00557501">
        <w:rPr>
          <w:sz w:val="24"/>
          <w:lang w:val="hr-HR"/>
        </w:rPr>
        <w:t xml:space="preserve">Studija „EU-Southern </w:t>
      </w:r>
      <w:proofErr w:type="spellStart"/>
      <w:r w:rsidRPr="00557501">
        <w:rPr>
          <w:sz w:val="24"/>
          <w:lang w:val="hr-HR"/>
        </w:rPr>
        <w:t>African</w:t>
      </w:r>
      <w:proofErr w:type="spellEnd"/>
      <w:r w:rsidRPr="00557501">
        <w:rPr>
          <w:sz w:val="24"/>
          <w:lang w:val="hr-HR"/>
        </w:rPr>
        <w:t xml:space="preserve"> Development </w:t>
      </w:r>
      <w:proofErr w:type="spellStart"/>
      <w:r w:rsidRPr="00557501">
        <w:rPr>
          <w:sz w:val="24"/>
          <w:lang w:val="hr-HR"/>
        </w:rPr>
        <w:t>Community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E</w:t>
      </w:r>
      <w:r w:rsidR="00B331AF">
        <w:rPr>
          <w:sz w:val="24"/>
          <w:lang w:val="hr-HR"/>
        </w:rPr>
        <w:t>conomic</w:t>
      </w:r>
      <w:proofErr w:type="spellEnd"/>
      <w:r w:rsidR="00B331AF">
        <w:rPr>
          <w:sz w:val="24"/>
          <w:lang w:val="hr-HR"/>
        </w:rPr>
        <w:t xml:space="preserve"> </w:t>
      </w:r>
      <w:proofErr w:type="spellStart"/>
      <w:r w:rsidR="00B331AF">
        <w:rPr>
          <w:sz w:val="24"/>
          <w:lang w:val="hr-HR"/>
        </w:rPr>
        <w:t>Partnership</w:t>
      </w:r>
      <w:proofErr w:type="spellEnd"/>
      <w:r w:rsidR="00B331AF">
        <w:rPr>
          <w:sz w:val="24"/>
          <w:lang w:val="hr-HR"/>
        </w:rPr>
        <w:t xml:space="preserve"> </w:t>
      </w:r>
      <w:proofErr w:type="spellStart"/>
      <w:r w:rsidR="00B331AF">
        <w:rPr>
          <w:sz w:val="24"/>
          <w:lang w:val="hr-HR"/>
        </w:rPr>
        <w:t>Agreement</w:t>
      </w:r>
      <w:proofErr w:type="spellEnd"/>
      <w:r w:rsidR="00B331AF">
        <w:rPr>
          <w:sz w:val="24"/>
          <w:lang w:val="hr-HR"/>
        </w:rPr>
        <w:t xml:space="preserve">: </w:t>
      </w:r>
      <w:r w:rsidRPr="00557501">
        <w:rPr>
          <w:sz w:val="24"/>
          <w:lang w:val="hr-HR"/>
        </w:rPr>
        <w:t xml:space="preserve">A </w:t>
      </w:r>
      <w:proofErr w:type="spellStart"/>
      <w:r w:rsidRPr="00557501">
        <w:rPr>
          <w:sz w:val="24"/>
          <w:lang w:val="hr-HR"/>
        </w:rPr>
        <w:t>geo-economic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perspective</w:t>
      </w:r>
      <w:proofErr w:type="spellEnd"/>
      <w:r w:rsidRPr="00557501">
        <w:rPr>
          <w:sz w:val="24"/>
          <w:lang w:val="hr-HR"/>
        </w:rPr>
        <w:t>” (Sporazum između EU-a i Južnoafričke razvojne zajednice: geoekonomska perspektiva), Europski parlament, Glavna uprava Europskog parlamenta za usluge parlamentarnih istraživanja, 22. studenog</w:t>
      </w:r>
      <w:r w:rsidR="00B331AF">
        <w:rPr>
          <w:sz w:val="24"/>
          <w:lang w:val="hr-HR"/>
        </w:rPr>
        <w:t>a</w:t>
      </w:r>
      <w:r w:rsidRPr="00557501">
        <w:rPr>
          <w:sz w:val="24"/>
          <w:lang w:val="hr-HR"/>
        </w:rPr>
        <w:t xml:space="preserve"> 2023. </w:t>
      </w:r>
    </w:p>
  </w:footnote>
  <w:footnote w:id="8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proofErr w:type="spellStart"/>
      <w:r w:rsidRPr="00557501">
        <w:rPr>
          <w:sz w:val="24"/>
          <w:lang w:val="hr-HR"/>
        </w:rPr>
        <w:t>Cipollina</w:t>
      </w:r>
      <w:proofErr w:type="spellEnd"/>
      <w:r w:rsidRPr="00557501">
        <w:rPr>
          <w:sz w:val="24"/>
          <w:lang w:val="hr-HR"/>
        </w:rPr>
        <w:t>, M., „</w:t>
      </w:r>
      <w:proofErr w:type="spellStart"/>
      <w:r w:rsidRPr="00557501">
        <w:rPr>
          <w:sz w:val="24"/>
          <w:lang w:val="hr-HR"/>
        </w:rPr>
        <w:t>The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Trade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Growth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under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the</w:t>
      </w:r>
      <w:proofErr w:type="spellEnd"/>
      <w:r w:rsidRPr="00557501">
        <w:rPr>
          <w:sz w:val="24"/>
          <w:lang w:val="hr-HR"/>
        </w:rPr>
        <w:t xml:space="preserve"> EU–SADC </w:t>
      </w:r>
      <w:proofErr w:type="spellStart"/>
      <w:r w:rsidRPr="00557501">
        <w:rPr>
          <w:sz w:val="24"/>
          <w:lang w:val="hr-HR"/>
        </w:rPr>
        <w:t>Economic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Partnership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Agreement</w:t>
      </w:r>
      <w:proofErr w:type="spellEnd"/>
      <w:r w:rsidRPr="00557501">
        <w:rPr>
          <w:sz w:val="24"/>
          <w:lang w:val="hr-HR"/>
        </w:rPr>
        <w:t xml:space="preserve">: </w:t>
      </w:r>
      <w:proofErr w:type="spellStart"/>
      <w:r w:rsidRPr="00557501">
        <w:rPr>
          <w:sz w:val="24"/>
          <w:lang w:val="hr-HR"/>
        </w:rPr>
        <w:t>An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Empirical</w:t>
      </w:r>
      <w:proofErr w:type="spellEnd"/>
      <w:r w:rsidRPr="00557501">
        <w:rPr>
          <w:sz w:val="24"/>
          <w:lang w:val="hr-HR"/>
        </w:rPr>
        <w:t xml:space="preserve"> </w:t>
      </w:r>
      <w:proofErr w:type="spellStart"/>
      <w:r w:rsidRPr="00557501">
        <w:rPr>
          <w:sz w:val="24"/>
          <w:lang w:val="hr-HR"/>
        </w:rPr>
        <w:t>Assessment</w:t>
      </w:r>
      <w:proofErr w:type="spellEnd"/>
      <w:r w:rsidRPr="00557501">
        <w:rPr>
          <w:sz w:val="24"/>
          <w:lang w:val="hr-HR"/>
        </w:rPr>
        <w:t xml:space="preserve">” (Rast trgovine u okviru Sporazuma o gospodarskom partnerstvu EU-SADC: empirijska procjena), </w:t>
      </w:r>
      <w:proofErr w:type="spellStart"/>
      <w:r w:rsidRPr="00557501">
        <w:rPr>
          <w:i/>
          <w:sz w:val="24"/>
          <w:lang w:val="hr-HR"/>
        </w:rPr>
        <w:t>Economies</w:t>
      </w:r>
      <w:proofErr w:type="spellEnd"/>
      <w:r w:rsidRPr="00557501">
        <w:rPr>
          <w:sz w:val="24"/>
          <w:lang w:val="hr-HR"/>
        </w:rPr>
        <w:t>, sv. 10, br. 12, 2022.</w:t>
      </w:r>
    </w:p>
  </w:footnote>
  <w:footnote w:id="9">
    <w:p w:rsidR="00CD689E" w:rsidRPr="00557501" w:rsidRDefault="00CD689E" w:rsidP="00557501">
      <w:pPr>
        <w:pStyle w:val="FootnoteText"/>
        <w:ind w:left="567" w:hanging="567"/>
        <w:rPr>
          <w:sz w:val="24"/>
          <w:lang w:val="hr-HR"/>
        </w:rPr>
      </w:pPr>
      <w:r w:rsidRPr="00557501">
        <w:rPr>
          <w:rStyle w:val="FootnoteReference"/>
          <w:sz w:val="24"/>
          <w:lang w:val="hr-HR"/>
        </w:rPr>
        <w:footnoteRef/>
      </w:r>
      <w:r w:rsidR="00557501" w:rsidRPr="00557501">
        <w:rPr>
          <w:sz w:val="24"/>
          <w:lang w:val="hr-HR"/>
        </w:rPr>
        <w:t xml:space="preserve"> </w:t>
      </w:r>
      <w:r w:rsidR="00557501" w:rsidRPr="00557501">
        <w:rPr>
          <w:sz w:val="24"/>
          <w:lang w:val="hr-HR"/>
        </w:rPr>
        <w:tab/>
      </w:r>
      <w:r w:rsidRPr="00557501">
        <w:rPr>
          <w:sz w:val="24"/>
          <w:lang w:val="hr-HR"/>
        </w:rPr>
        <w:t>Komunikacija Komisije od 5. svibnja 2009. naslovljena „Doprinos održivom razvoju: uloga pravedne trgovine i nevladinih sustava osiguranja održivosti u trgovini” (COM(2009)0215).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5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5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75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4/2024"/>
    <w:docVar w:name="dvlangue" w:val="HR"/>
    <w:docVar w:name="dvnumam" w:val="0"/>
    <w:docVar w:name="dvpe" w:val="749.066"/>
    <w:docVar w:name="dvrapporteur" w:val="Izvjestitelj: "/>
    <w:docVar w:name="dvtitre" w:val="Rezolucija Europskog parlamenta od .... 2024. o provedbi Sporazuma o gospodarskom partnerstvu između EU-a i Južnoafričke razvojne zajednice (SADC)(2023/2065(INI))"/>
  </w:docVars>
  <w:rsids>
    <w:rsidRoot w:val="007537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501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375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043"/>
    <w:rsid w:val="00930C23"/>
    <w:rsid w:val="0093193B"/>
    <w:rsid w:val="009509D8"/>
    <w:rsid w:val="00950B64"/>
    <w:rsid w:val="00981893"/>
    <w:rsid w:val="00A1687D"/>
    <w:rsid w:val="00A224F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1AF"/>
    <w:rsid w:val="00B558F0"/>
    <w:rsid w:val="00BD48FE"/>
    <w:rsid w:val="00BD7BD8"/>
    <w:rsid w:val="00BE6ADC"/>
    <w:rsid w:val="00C05BFE"/>
    <w:rsid w:val="00C23CD4"/>
    <w:rsid w:val="00C50FE1"/>
    <w:rsid w:val="00C61C0C"/>
    <w:rsid w:val="00C941CB"/>
    <w:rsid w:val="00CC2357"/>
    <w:rsid w:val="00CD689E"/>
    <w:rsid w:val="00CF071A"/>
    <w:rsid w:val="00D058B8"/>
    <w:rsid w:val="00D56C11"/>
    <w:rsid w:val="00D834A0"/>
    <w:rsid w:val="00D872DF"/>
    <w:rsid w:val="00D91E21"/>
    <w:rsid w:val="00DA7FCD"/>
    <w:rsid w:val="00E147B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EF4C0"/>
  <w15:chartTrackingRefBased/>
  <w15:docId w15:val="{C8A855E8-767C-47BB-A5CC-3F8FCDBD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ody Text Indent 21,Char Char1 Char Char,Char Char1 Char Char Char Char Char Char Char Char,Char Char1 Char Char Char,Heading 7 Char2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D689E"/>
    <w:pPr>
      <w:spacing w:after="240"/>
      <w:ind w:left="567" w:hanging="567"/>
    </w:pPr>
  </w:style>
  <w:style w:type="paragraph" w:customStyle="1" w:styleId="EPComma">
    <w:name w:val="EPComma"/>
    <w:basedOn w:val="Normal"/>
    <w:rsid w:val="00CD689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D689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C2772-C302-4179-8322-3566F4A68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5498</Words>
  <Characters>33993</Characters>
  <Application>Microsoft Office Word</Application>
  <DocSecurity>0</DocSecurity>
  <Lines>283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2024-05-02T14:48:00Z</dcterms:created>
  <dcterms:modified xsi:type="dcterms:W3CDTF">2024-05-02T14:48:00Z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P9_TA(2024)0121_</vt:lpwstr>
  </property>
  <property fmtid="{D5CDD505-2E9C-101B-9397-08002B2CF9AE}" pid="4" name="&lt;Type&gt;">
    <vt:lpwstr>RR</vt:lpwstr>
  </property>
</Properties>
</file>