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03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0323" w:rsidRDefault="00D7593D" w:rsidP="0010095E">
            <w:pPr>
              <w:pStyle w:val="EPName"/>
            </w:pPr>
            <w:bookmarkStart w:id="0" w:name="_GoBack"/>
            <w:bookmarkEnd w:id="0"/>
            <w:r w:rsidRPr="004C0323">
              <w:t>Európai Parlament</w:t>
            </w:r>
          </w:p>
          <w:p w:rsidR="00751A4A" w:rsidRPr="004C03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032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C0323" w:rsidRDefault="00187494" w:rsidP="0010095E">
            <w:pPr>
              <w:pStyle w:val="EPLogo"/>
            </w:pPr>
            <w:r w:rsidRPr="004C0323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0323" w:rsidRDefault="00D058B8" w:rsidP="004C5D52">
      <w:pPr>
        <w:pStyle w:val="LineTop"/>
      </w:pPr>
    </w:p>
    <w:p w:rsidR="00680577" w:rsidRPr="004C0323" w:rsidRDefault="00D7593D" w:rsidP="00680577">
      <w:pPr>
        <w:pStyle w:val="EPBodyTA1"/>
      </w:pPr>
      <w:r w:rsidRPr="004C0323">
        <w:t>ELFOGADOTT SZÖVEGEK</w:t>
      </w:r>
    </w:p>
    <w:p w:rsidR="00D058B8" w:rsidRPr="004C0323" w:rsidRDefault="00D058B8" w:rsidP="00D058B8">
      <w:pPr>
        <w:pStyle w:val="LineBottom"/>
      </w:pPr>
    </w:p>
    <w:p w:rsidR="00D7593D" w:rsidRPr="00AD48B0" w:rsidRDefault="00D7593D" w:rsidP="00D7593D">
      <w:pPr>
        <w:pStyle w:val="ATHeading1"/>
      </w:pPr>
      <w:bookmarkStart w:id="1" w:name="TANumber"/>
      <w:r w:rsidRPr="00AD48B0">
        <w:t>P9_</w:t>
      </w:r>
      <w:proofErr w:type="gramStart"/>
      <w:r w:rsidRPr="00AD48B0">
        <w:t>TA(</w:t>
      </w:r>
      <w:proofErr w:type="gramEnd"/>
      <w:r w:rsidRPr="00AD48B0">
        <w:t>2024)0</w:t>
      </w:r>
      <w:r w:rsidR="00011982">
        <w:t>122</w:t>
      </w:r>
      <w:bookmarkEnd w:id="1"/>
    </w:p>
    <w:p w:rsidR="00D7593D" w:rsidRPr="00AD48B0" w:rsidRDefault="004C0323" w:rsidP="00D7593D">
      <w:pPr>
        <w:pStyle w:val="ATHeading2"/>
      </w:pPr>
      <w:r w:rsidRPr="00AD48B0">
        <w:t>A kritikus kubai helyzet</w:t>
      </w:r>
    </w:p>
    <w:p w:rsidR="00D7593D" w:rsidRPr="004C0323" w:rsidRDefault="00D7593D" w:rsidP="00D7593D">
      <w:pPr>
        <w:rPr>
          <w:i/>
          <w:vanish/>
        </w:rPr>
      </w:pPr>
      <w:r w:rsidRPr="004C0323">
        <w:rPr>
          <w:i/>
        </w:rPr>
        <w:fldChar w:fldCharType="begin"/>
      </w:r>
      <w:r w:rsidRPr="004C0323">
        <w:rPr>
          <w:i/>
        </w:rPr>
        <w:instrText xml:space="preserve"> TC"(</w:instrText>
      </w:r>
      <w:bookmarkStart w:id="2" w:name="DocNumber"/>
      <w:r w:rsidRPr="004C0323">
        <w:rPr>
          <w:i/>
        </w:rPr>
        <w:instrText>B9-0144, 0148 és 0151/2024</w:instrText>
      </w:r>
      <w:bookmarkEnd w:id="2"/>
      <w:r w:rsidRPr="004C0323">
        <w:rPr>
          <w:i/>
        </w:rPr>
        <w:instrText xml:space="preserve">)"\l3 \n&gt; \* MERGEFORMAT </w:instrText>
      </w:r>
      <w:r w:rsidRPr="004C0323">
        <w:rPr>
          <w:i/>
        </w:rPr>
        <w:fldChar w:fldCharType="end"/>
      </w:r>
    </w:p>
    <w:p w:rsidR="00D7593D" w:rsidRPr="004C0323" w:rsidRDefault="00D7593D" w:rsidP="00D7593D">
      <w:pPr>
        <w:rPr>
          <w:vanish/>
        </w:rPr>
      </w:pPr>
      <w:bookmarkStart w:id="3" w:name="PE"/>
      <w:r w:rsidRPr="004C0323">
        <w:rPr>
          <w:vanish/>
        </w:rPr>
        <w:t>PE756.911</w:t>
      </w:r>
      <w:bookmarkEnd w:id="3"/>
    </w:p>
    <w:p w:rsidR="00D7593D" w:rsidRPr="00AD48B0" w:rsidRDefault="00D7593D" w:rsidP="00D7593D">
      <w:pPr>
        <w:pStyle w:val="ATHeading3"/>
      </w:pPr>
      <w:bookmarkStart w:id="4" w:name="Sujet"/>
      <w:r w:rsidRPr="00AD48B0">
        <w:t xml:space="preserve">Az Európai Parlament 2024. </w:t>
      </w:r>
      <w:r w:rsidR="00706588" w:rsidRPr="00AD48B0">
        <w:t xml:space="preserve">február 29-i </w:t>
      </w:r>
      <w:r w:rsidRPr="00AD48B0">
        <w:t>állásfoglalása a kritikus kubai helyzetről</w:t>
      </w:r>
      <w:bookmarkEnd w:id="4"/>
      <w:r w:rsidRPr="00AD48B0">
        <w:t xml:space="preserve"> </w:t>
      </w:r>
      <w:bookmarkStart w:id="5" w:name="References"/>
      <w:r w:rsidRPr="00AD48B0">
        <w:t>(2024/</w:t>
      </w:r>
      <w:proofErr w:type="gramStart"/>
      <w:r w:rsidRPr="00AD48B0">
        <w:t>2584(</w:t>
      </w:r>
      <w:proofErr w:type="gramEnd"/>
      <w:r w:rsidRPr="00AD48B0">
        <w:t>RSP))</w:t>
      </w:r>
      <w:bookmarkEnd w:id="5"/>
    </w:p>
    <w:p w:rsidR="00180B23" w:rsidRPr="004C0323" w:rsidRDefault="00180B23" w:rsidP="00180B23">
      <w:pPr>
        <w:pStyle w:val="EPComma"/>
      </w:pPr>
      <w:bookmarkStart w:id="6" w:name="TextBodyBegin"/>
      <w:bookmarkEnd w:id="6"/>
      <w:r w:rsidRPr="004C0323">
        <w:rPr>
          <w:i/>
        </w:rPr>
        <w:t>Az Európai Parlament,</w:t>
      </w:r>
    </w:p>
    <w:p w:rsidR="00180B23" w:rsidRPr="004C0323" w:rsidRDefault="00180B23" w:rsidP="00036E9E">
      <w:pPr>
        <w:pStyle w:val="NormalHanging12a"/>
        <w:widowControl/>
      </w:pPr>
      <w:r w:rsidRPr="004C0323">
        <w:t>–</w:t>
      </w:r>
      <w:r w:rsidRPr="004C0323">
        <w:tab/>
        <w:t xml:space="preserve">tekintettel a Kubáról szóló korábbi állásfoglalásaira, különösen „Az EU és Kuba közötti politikai párbeszédről és együttműködésről szóló megállapodás helyzete a </w:t>
      </w:r>
      <w:proofErr w:type="spellStart"/>
      <w:r w:rsidRPr="004C0323">
        <w:t>főképviselőnek</w:t>
      </w:r>
      <w:proofErr w:type="spellEnd"/>
      <w:r w:rsidRPr="004C0323">
        <w:t xml:space="preserve"> a szigeten tett közelmúltbeli látogatásának fényében” című, 2023. július 12-i állásfoglalására</w:t>
      </w:r>
      <w:r w:rsidRPr="004C0323">
        <w:rPr>
          <w:rStyle w:val="FootnoteReference"/>
        </w:rPr>
        <w:footnoteReference w:id="1"/>
      </w:r>
      <w:r w:rsidRPr="004C0323">
        <w:t>,</w:t>
      </w:r>
    </w:p>
    <w:p w:rsidR="00180B23" w:rsidRPr="004C0323" w:rsidRDefault="00180B23" w:rsidP="00036E9E">
      <w:pPr>
        <w:pStyle w:val="NormalHanging12a"/>
        <w:widowControl/>
      </w:pPr>
      <w:r w:rsidRPr="004C0323">
        <w:t>–</w:t>
      </w:r>
      <w:r w:rsidRPr="004C0323">
        <w:tab/>
        <w:t xml:space="preserve">tekintettel az egyrészről az Európai Unió és tagállamai, másrészről a Kubai Köztársaság közötti, politikai párbeszédről és együttműködésről szóló, 2016 decemberében aláírt és 2017. november </w:t>
      </w:r>
      <w:proofErr w:type="gramStart"/>
      <w:r w:rsidRPr="004C0323">
        <w:t>1-je óta</w:t>
      </w:r>
      <w:proofErr w:type="gramEnd"/>
      <w:r w:rsidRPr="004C0323">
        <w:t xml:space="preserve"> ideiglenesen alkalmazott megállapodásra (PDCA)</w:t>
      </w:r>
      <w:r w:rsidRPr="004C0323">
        <w:rPr>
          <w:rStyle w:val="FootnoteReference"/>
        </w:rPr>
        <w:footnoteReference w:id="2"/>
      </w:r>
      <w:r w:rsidRPr="004C0323">
        <w:t>,</w:t>
      </w:r>
    </w:p>
    <w:p w:rsidR="00180B23" w:rsidRPr="004C0323" w:rsidRDefault="00180B23" w:rsidP="00036E9E">
      <w:pPr>
        <w:pStyle w:val="NormalHanging12a"/>
        <w:widowControl/>
      </w:pPr>
      <w:r w:rsidRPr="004C0323">
        <w:t>–</w:t>
      </w:r>
      <w:r w:rsidRPr="004C0323">
        <w:tab/>
        <w:t>tekintettel a kubai alkotmány 4</w:t>
      </w:r>
      <w:proofErr w:type="gramStart"/>
      <w:r w:rsidRPr="004C0323">
        <w:t>.,</w:t>
      </w:r>
      <w:proofErr w:type="gramEnd"/>
      <w:r w:rsidRPr="004C0323">
        <w:t xml:space="preserve"> 5. és 229. cikkére és a kubai büntető törvénykönyvre,</w:t>
      </w:r>
    </w:p>
    <w:p w:rsidR="00180B23" w:rsidRPr="00F84A63" w:rsidRDefault="00180B23" w:rsidP="00036E9E">
      <w:pPr>
        <w:pStyle w:val="NormalHanging12a"/>
        <w:widowControl/>
      </w:pPr>
      <w:r w:rsidRPr="004C0323">
        <w:t>–</w:t>
      </w:r>
      <w:r w:rsidRPr="004C0323">
        <w:tab/>
        <w:t xml:space="preserve">tekintettel a „civil társadalmi szervezet” fogalmának az </w:t>
      </w:r>
      <w:r w:rsidRPr="00AD48B0">
        <w:rPr>
          <w:i/>
        </w:rPr>
        <w:t>Európai Unió Hivatalos Lapjában</w:t>
      </w:r>
      <w:r w:rsidRPr="00F84A63">
        <w:t xml:space="preserve"> szereplő meghatározására,</w:t>
      </w:r>
    </w:p>
    <w:p w:rsidR="00180B23" w:rsidRPr="004C0323" w:rsidRDefault="00180B23" w:rsidP="00036E9E">
      <w:pPr>
        <w:pStyle w:val="NormalHanging12a"/>
        <w:widowControl/>
      </w:pPr>
      <w:r w:rsidRPr="004C0323">
        <w:t>–</w:t>
      </w:r>
      <w:r w:rsidRPr="004C0323">
        <w:tab/>
        <w:t xml:space="preserve">tekintettel az Európai Külügyi Szolgálat (EKSZ) amerikai </w:t>
      </w:r>
      <w:proofErr w:type="gramStart"/>
      <w:r w:rsidRPr="004C0323">
        <w:t>kontinensért</w:t>
      </w:r>
      <w:proofErr w:type="gramEnd"/>
      <w:r w:rsidRPr="004C0323">
        <w:t xml:space="preserve"> felelős ügyvezetőigazgató-helyettesének ARES (2021) 2474104. számú dokumentumára,</w:t>
      </w:r>
    </w:p>
    <w:p w:rsidR="00180B23" w:rsidRPr="004C0323" w:rsidRDefault="00180B23" w:rsidP="00036E9E">
      <w:pPr>
        <w:pStyle w:val="NormalHanging12a"/>
        <w:widowControl/>
      </w:pPr>
      <w:r w:rsidRPr="004C0323">
        <w:t>–</w:t>
      </w:r>
      <w:r w:rsidRPr="004C0323">
        <w:tab/>
        <w:t>tekintettel a Polgári és Politikai Jogok Nemzetközi Egyezségokmányára (1966. december 16.) és az egyéb nemzetközi emberi jogi szerződésekre és eszközökre,</w:t>
      </w:r>
    </w:p>
    <w:p w:rsidR="00180B23" w:rsidRPr="004C0323" w:rsidRDefault="00180B23" w:rsidP="00036E9E">
      <w:pPr>
        <w:pStyle w:val="NormalHanging12a"/>
        <w:widowControl/>
      </w:pPr>
      <w:r w:rsidRPr="004C0323">
        <w:t>–</w:t>
      </w:r>
      <w:r w:rsidRPr="004C0323">
        <w:tab/>
        <w:t>tekintettel az Egyesült Nemzetek Szervezetének Közgyűlése által 1984. december 10-én elfogadott, a kínzás és más kegyetlen, embertelen és megalázó büntetések vagy bánásmódok elleni ENSZ-egyezményre, amelynek Kuba részes fele,</w:t>
      </w:r>
    </w:p>
    <w:p w:rsidR="00180B23" w:rsidRPr="004C0323" w:rsidRDefault="00180B23" w:rsidP="00036E9E">
      <w:pPr>
        <w:pStyle w:val="NormalHanging12a"/>
        <w:widowControl/>
      </w:pPr>
      <w:proofErr w:type="gramStart"/>
      <w:r w:rsidRPr="004C0323">
        <w:t>–</w:t>
      </w:r>
      <w:r w:rsidRPr="004C0323">
        <w:tab/>
        <w:t xml:space="preserve">tekintettel az emberi jogi szervezetek, például a Human </w:t>
      </w:r>
      <w:proofErr w:type="spellStart"/>
      <w:r w:rsidRPr="004C0323">
        <w:t>Rights</w:t>
      </w:r>
      <w:proofErr w:type="spellEnd"/>
      <w:r w:rsidRPr="004C0323">
        <w:t xml:space="preserve"> </w:t>
      </w:r>
      <w:proofErr w:type="spellStart"/>
      <w:r w:rsidRPr="004C0323">
        <w:t>Watch</w:t>
      </w:r>
      <w:proofErr w:type="spellEnd"/>
      <w:r w:rsidRPr="004C0323">
        <w:t xml:space="preserve">, az Emberi Jogi Alapítvány és a </w:t>
      </w:r>
      <w:proofErr w:type="spellStart"/>
      <w:r w:rsidRPr="004C0323">
        <w:t>Prisoners</w:t>
      </w:r>
      <w:proofErr w:type="spellEnd"/>
      <w:r w:rsidRPr="004C0323">
        <w:t xml:space="preserve"> </w:t>
      </w:r>
      <w:proofErr w:type="spellStart"/>
      <w:r w:rsidRPr="004C0323">
        <w:t>Defenders</w:t>
      </w:r>
      <w:proofErr w:type="spellEnd"/>
      <w:r w:rsidRPr="004C0323">
        <w:t xml:space="preserve"> által készített jelentésekre, az Emberi Jogi Amerikaközi Bizottság 2020., 2021. és 2022. évi éves jelentéseinek Kubáról szóló IV.B. fejezetére, valamint a rabszolgatartás modern formáival, többek között annak </w:t>
      </w:r>
      <w:r w:rsidRPr="004C0323">
        <w:lastRenderedPageBreak/>
        <w:t>okaival és következményeivel foglalkozó különleges ENSZ-előadónak és az emberkereskedelemmel, különösen a nők és gyermekek kereskedelmével foglalkozó különleges ENSZ-előadónak az ENSZ emberi jogi főbiztosához intézett, a kubai orvosi brigádokról szóló</w:t>
      </w:r>
      <w:r w:rsidR="00F84A63">
        <w:t>,</w:t>
      </w:r>
      <w:r w:rsidRPr="00F84A63">
        <w:t xml:space="preserve"> 2019. november</w:t>
      </w:r>
      <w:proofErr w:type="gramEnd"/>
      <w:r w:rsidRPr="00F84A63">
        <w:t xml:space="preserve"> 6-i közleményére, a rabszolgatartás modern formáival, többek között annak okaival és következményeivel foglalkozó különleges ENSZ-előadónak a kubai orvosi brigádokról szóló</w:t>
      </w:r>
      <w:r w:rsidR="00F84A63">
        <w:t>,</w:t>
      </w:r>
      <w:r w:rsidRPr="00F84A63">
        <w:t xml:space="preserve"> 2023. november 2-i közleményére, valamint a</w:t>
      </w:r>
      <w:r w:rsidRPr="004C0323">
        <w:t>z ENSZ Emberi Jogi Tanácsának a Kubáról szóló legutóbbi, 2018. évi egyetemes időszakos felülvizsgálata kubai orvosi brigádokról szóló következtetéseire,</w:t>
      </w:r>
    </w:p>
    <w:p w:rsidR="00180B23" w:rsidRPr="004C0323" w:rsidRDefault="00180B23" w:rsidP="00036E9E">
      <w:pPr>
        <w:pStyle w:val="NormalHanging12a"/>
        <w:widowControl/>
      </w:pPr>
      <w:r w:rsidRPr="004C0323">
        <w:t>–</w:t>
      </w:r>
      <w:r w:rsidRPr="004C0323">
        <w:tab/>
        <w:t>tekintettel a vallás vagy meggyőződés szabadságával foglalkozó különleges ENSZ-előadó, az önkényes fogva tartással foglalkozó ENSZ-munkacsoport, a véleményalkotás és véleménynyilvánítás szabadságához való jog előmozdításával és védelmével foglalkozó különleges ENSZ-előadó, a békés gyülekezés és az egyesülés szabadságához fűződő jog kérdésével foglalkozó különleges ENSZ-előadó és a kisebbségi kérdésekkel foglalkozó különleges ENSZ-előadó 2023. november 16-i közleményére,</w:t>
      </w:r>
    </w:p>
    <w:p w:rsidR="00180B23" w:rsidRPr="004C0323" w:rsidRDefault="00180B23" w:rsidP="00036E9E">
      <w:pPr>
        <w:pStyle w:val="NormalHanging12a"/>
        <w:widowControl/>
      </w:pPr>
      <w:r w:rsidRPr="004C0323">
        <w:t>–</w:t>
      </w:r>
      <w:r w:rsidRPr="004C0323">
        <w:tab/>
        <w:t>tekintettel eljárási szabályzata 132. cikkének (2) és (4) bekezdésére,</w:t>
      </w:r>
    </w:p>
    <w:p w:rsidR="00180B23" w:rsidRPr="004C0323" w:rsidRDefault="00180B23" w:rsidP="00036E9E">
      <w:pPr>
        <w:pStyle w:val="NormalHanging12a"/>
        <w:widowControl/>
      </w:pPr>
      <w:proofErr w:type="gramStart"/>
      <w:r w:rsidRPr="004C0323">
        <w:t>A.</w:t>
      </w:r>
      <w:proofErr w:type="gramEnd"/>
      <w:r w:rsidRPr="004C0323">
        <w:tab/>
      </w:r>
      <w:proofErr w:type="gramStart"/>
      <w:r w:rsidRPr="004C0323">
        <w:t>mivel</w:t>
      </w:r>
      <w:proofErr w:type="gramEnd"/>
      <w:r w:rsidRPr="004C0323">
        <w:t xml:space="preserve"> 2017. július 5-én a Parlament egyetértését adta a PDCA-hoz, az emberi jogok és a demokrácia Kubában történő javításához kapcsolódó, egyértelmű feltételeket szabva, amelyek között felfüggesztési záradék is szerepel az emberi jogi rendelkezések megsértése esetére; mivel az ezt kísérő állásfoglalás felkérte a kubai hatóságokat, hogy tegyék lehetővé az Európai Parlament küldöttségei számára az országba való belépést és a tárgyalópartnereikkel való találkozást;</w:t>
      </w:r>
    </w:p>
    <w:p w:rsidR="00180B23" w:rsidRPr="004C0323" w:rsidRDefault="00180B23" w:rsidP="00036E9E">
      <w:pPr>
        <w:pStyle w:val="NormalHanging12a"/>
        <w:widowControl/>
      </w:pPr>
      <w:proofErr w:type="gramStart"/>
      <w:r w:rsidRPr="004C0323">
        <w:t>B.</w:t>
      </w:r>
      <w:r w:rsidRPr="004C0323">
        <w:tab/>
        <w:t>mivel a PDCA több cikke, nevezetesen az 1., 2. és 3. cikk egyértelmű elveket állapít meg az egyenlőség, a kölcsönösség, a kölcsönös tisztelet, a kapcsolatok megerősítése, valamint a két társadalom közötti párbeszéd és együttműködés tekintetében; mivel a Parlament kérte, hogy az EKSZ tegyen meg mindent annak érdekében, hogy a PDCA alkalmazása során szorosan kövesse nyomon az emberi jogok és az alapvető szabadságjogok helyzetét Kubában; mivel az emberi, polgári, politikai, gazdasági, szociális és kulturális jogok tiszteletben tartása alapvető fontosságú az EU számára;</w:t>
      </w:r>
      <w:proofErr w:type="gramEnd"/>
    </w:p>
    <w:p w:rsidR="00180B23" w:rsidRPr="004C0323" w:rsidRDefault="00180B23" w:rsidP="00036E9E">
      <w:pPr>
        <w:pStyle w:val="NormalHanging12a"/>
        <w:widowControl/>
      </w:pPr>
      <w:proofErr w:type="gramStart"/>
      <w:r w:rsidRPr="004C0323">
        <w:t>C.</w:t>
      </w:r>
      <w:r w:rsidRPr="004C0323">
        <w:tab/>
        <w:t>mivel Kubában drámaian nőtt a politikai foglyok és a lelkiismereti okokból bebörtönzöttek száma, számuk 2024. január 31-én elérte az 1</w:t>
      </w:r>
      <w:r w:rsidR="000871AC">
        <w:t> </w:t>
      </w:r>
      <w:r w:rsidRPr="000871AC">
        <w:t>066-ot, köztük 33 személyt kiskorúként vettek őrizetbe, ami 2018 óta nyolcszoros növekedést jelent, a számuk pedig az elmúlt 12 hónapban 170-nel nőtt, ami havi átlagban több mint 14 politikai indíttatású őrizetbe vételt jelent; mivel az emberi jogi szervezetek több mint 11</w:t>
      </w:r>
      <w:r w:rsidR="000871AC">
        <w:t> </w:t>
      </w:r>
      <w:r w:rsidRPr="000871AC">
        <w:t xml:space="preserve">000 olyan esetet is dokumentáltak, amikor „bűnelkövetést megelőző” ítéleteket hoztak, amelyek átlagosan 2 év és 10 hónapos büntetést jelentettek </w:t>
      </w:r>
      <w:r w:rsidRPr="004C0323">
        <w:t>anélkül, hogy bármilyen bűncselekményt elkövettek</w:t>
      </w:r>
      <w:proofErr w:type="gramEnd"/>
      <w:r w:rsidRPr="004C0323">
        <w:t xml:space="preserve"> </w:t>
      </w:r>
      <w:proofErr w:type="gramStart"/>
      <w:r w:rsidRPr="004C0323">
        <w:t>vagy megkíséreltek volna, amely számról az ENSZ Kínzás Elleni Bizottságának (CAT) szóvivője 2022 áprilisában számolt be a CAT időszakos felülvizsgálatának 73. ülésszakán Kubára vonatkozó</w:t>
      </w:r>
      <w:r w:rsidR="000871AC">
        <w:t>,</w:t>
      </w:r>
      <w:r w:rsidRPr="000871AC">
        <w:t xml:space="preserve"> záró szóbeli észrev</w:t>
      </w:r>
      <w:r w:rsidRPr="004C0323">
        <w:t>ételeiben; mivel az elmúlt évtizedekben a kubai polgári törvénykönyv 72. cikke évente átlagosan 3</w:t>
      </w:r>
      <w:r w:rsidR="000871AC">
        <w:t> </w:t>
      </w:r>
      <w:r w:rsidRPr="000871AC">
        <w:t xml:space="preserve">850 új „bűnelkövetést megelőző” fogva tartást tett lehetővé; mivel az új kubai büntető törvénykönyv 434. cikkének (1) bekezdése és 189. cikkének (3) bekezdése </w:t>
      </w:r>
      <w:r w:rsidRPr="004C0323">
        <w:t>a polgári törvénykönyvben foglalt „bűnelkövetést megelőző” intézkedésekre épül;</w:t>
      </w:r>
      <w:proofErr w:type="gramEnd"/>
    </w:p>
    <w:p w:rsidR="00180B23" w:rsidRPr="004C0323" w:rsidRDefault="00180B23" w:rsidP="00036E9E">
      <w:pPr>
        <w:pStyle w:val="NormalHanging12a"/>
        <w:widowControl/>
      </w:pPr>
      <w:r w:rsidRPr="004C0323">
        <w:t>D.</w:t>
      </w:r>
      <w:r w:rsidRPr="004C0323">
        <w:tab/>
        <w:t xml:space="preserve">mivel az ENSZ korábban aggodalmát fejezte ki Kubának a vallási vezetők országban való fogva tartása és bebörtönzése miatt; mivel 2023. november 16-án az ENSZ </w:t>
      </w:r>
      <w:r w:rsidRPr="004C0323">
        <w:lastRenderedPageBreak/>
        <w:t xml:space="preserve">különleges eljárásokért felelős öt megbízottja és előadója közleményt küldött Kubának, amelyben leírták és elítélték az evangélikus lelkészek és katolikus papok, a muzulmán imámok és a </w:t>
      </w:r>
      <w:proofErr w:type="spellStart"/>
      <w:r w:rsidRPr="004C0323">
        <w:t>joruba</w:t>
      </w:r>
      <w:proofErr w:type="spellEnd"/>
      <w:r w:rsidRPr="004C0323">
        <w:t>/</w:t>
      </w:r>
      <w:proofErr w:type="spellStart"/>
      <w:r w:rsidRPr="004C0323">
        <w:t>santería</w:t>
      </w:r>
      <w:proofErr w:type="spellEnd"/>
      <w:r w:rsidRPr="004C0323">
        <w:t xml:space="preserve"> vallási vezetők </w:t>
      </w:r>
      <w:proofErr w:type="gramStart"/>
      <w:r w:rsidRPr="004C0323">
        <w:t>szisztematikus</w:t>
      </w:r>
      <w:proofErr w:type="gramEnd"/>
      <w:r w:rsidRPr="004C0323">
        <w:t xml:space="preserve"> üldözését, bebörtönzését és kínzását;</w:t>
      </w:r>
    </w:p>
    <w:p w:rsidR="00180B23" w:rsidRPr="004C0323" w:rsidRDefault="00180B23" w:rsidP="00036E9E">
      <w:pPr>
        <w:pStyle w:val="NormalHanging12a"/>
        <w:widowControl/>
      </w:pPr>
      <w:r w:rsidRPr="004C0323">
        <w:t>E.</w:t>
      </w:r>
      <w:r w:rsidRPr="004C0323">
        <w:tab/>
      </w:r>
      <w:proofErr w:type="gramStart"/>
      <w:r w:rsidRPr="004C0323">
        <w:t>mivel</w:t>
      </w:r>
      <w:proofErr w:type="gramEnd"/>
      <w:r w:rsidRPr="004C0323">
        <w:t xml:space="preserve"> az Institute </w:t>
      </w:r>
      <w:proofErr w:type="spellStart"/>
      <w:r w:rsidRPr="004C0323">
        <w:t>for</w:t>
      </w:r>
      <w:proofErr w:type="spellEnd"/>
      <w:r w:rsidRPr="004C0323">
        <w:t xml:space="preserve"> </w:t>
      </w:r>
      <w:proofErr w:type="spellStart"/>
      <w:r w:rsidRPr="004C0323">
        <w:t>Crime</w:t>
      </w:r>
      <w:proofErr w:type="spellEnd"/>
      <w:r w:rsidRPr="004C0323">
        <w:t xml:space="preserve"> and </w:t>
      </w:r>
      <w:proofErr w:type="spellStart"/>
      <w:r w:rsidRPr="004C0323">
        <w:t>Justice</w:t>
      </w:r>
      <w:proofErr w:type="spellEnd"/>
      <w:r w:rsidRPr="004C0323">
        <w:t xml:space="preserve"> Policy Research 2024 januárjában frissítette a World </w:t>
      </w:r>
      <w:proofErr w:type="spellStart"/>
      <w:r w:rsidRPr="004C0323">
        <w:t>Prison</w:t>
      </w:r>
      <w:proofErr w:type="spellEnd"/>
      <w:r w:rsidRPr="004C0323">
        <w:t xml:space="preserve"> </w:t>
      </w:r>
      <w:proofErr w:type="spellStart"/>
      <w:r w:rsidRPr="004C0323">
        <w:t>Brief</w:t>
      </w:r>
      <w:proofErr w:type="spellEnd"/>
      <w:r w:rsidRPr="004C0323">
        <w:t xml:space="preserve"> című kiadványát, amely a bebörtönzöttek számának növekedéséről számol be, és ezzel Kuba a világon a második helyre került a bebörtönzési arányt tekintve; mivel a kubai kormány továbbra is önkényes fogva tartást alkalmaz a kritikus hangok, független aktivisták, politikai ellenfelek és mások zaklatására és megfélemlítésére;</w:t>
      </w:r>
    </w:p>
    <w:p w:rsidR="00180B23" w:rsidRPr="000871AC" w:rsidRDefault="00180B23" w:rsidP="00036E9E">
      <w:pPr>
        <w:pStyle w:val="NormalHanging12a"/>
        <w:widowControl/>
      </w:pPr>
      <w:r w:rsidRPr="004C0323">
        <w:t>F.</w:t>
      </w:r>
      <w:r w:rsidRPr="004C0323">
        <w:tab/>
      </w:r>
      <w:proofErr w:type="gramStart"/>
      <w:r w:rsidRPr="004C0323">
        <w:t>mivel</w:t>
      </w:r>
      <w:proofErr w:type="gramEnd"/>
      <w:r w:rsidRPr="004C0323">
        <w:t xml:space="preserve"> az emberi jogi szervezetek továbbra is dokumentálják az országban a véleménynyilvánítás szabadságához, a békés gyülekezéshez és az egyesüléshez való jog folyamatos elnyomását, valamint azt, hogy a kubai hatóságok elfojtják az eltérő véleményeket és fellépnek az emberijog-védőkkel szemben; mivel 2023-ban több mint 200 internetes korlátozást dokumentáltak, többek között az újságírók fiókjainak feltörés</w:t>
      </w:r>
      <w:r w:rsidR="000871AC">
        <w:t>é</w:t>
      </w:r>
      <w:r w:rsidRPr="000871AC">
        <w:t>t</w:t>
      </w:r>
      <w:r w:rsidR="000871AC">
        <w:t>,</w:t>
      </w:r>
      <w:r w:rsidRPr="000871AC">
        <w:t xml:space="preserve"> azok elhallgattatása és a szólásszabadság korlátozása érdekében;</w:t>
      </w:r>
    </w:p>
    <w:p w:rsidR="00180B23" w:rsidRPr="004C0323" w:rsidRDefault="00180B23" w:rsidP="00036E9E">
      <w:pPr>
        <w:pStyle w:val="NormalHanging12a"/>
        <w:widowControl/>
      </w:pPr>
      <w:r w:rsidRPr="004C0323">
        <w:t>G.</w:t>
      </w:r>
      <w:r w:rsidRPr="004C0323">
        <w:tab/>
      </w:r>
      <w:proofErr w:type="gramStart"/>
      <w:r w:rsidRPr="004C0323">
        <w:t>mivel a kubai emberi jogi helyzet rendkívüli aggodalomra ad okot, különös tekintettel a kiszolgáltatott népességcsoportokra, például a nőkre, az etnikai kisebbségekre és az LMBTIQ+ közösségre; mivel a nem kormányzati szervezetek és a független megfigyelőközpontok arról számolnak be, hogy Kubában nőtt a nőgyilkosságok száma, és 2023-ban 89-re emelkedett, 2024-ben pedig eddig nyolc új esetről számoltak be; mivel ennek ellenére a rezsim nem vezetett be olyan rendszert, amely naprakész nyilvános adatok alapján regisztrálná a nőgyilkosságokat Kubában, és még nem fogadtak el egy, a nemi alapú erőszak</w:t>
      </w:r>
      <w:proofErr w:type="gramEnd"/>
      <w:r w:rsidRPr="004C0323">
        <w:t xml:space="preserve"> elleni </w:t>
      </w:r>
      <w:proofErr w:type="gramStart"/>
      <w:r w:rsidRPr="004C0323">
        <w:t>átfogó</w:t>
      </w:r>
      <w:proofErr w:type="gramEnd"/>
      <w:r w:rsidRPr="004C0323">
        <w:t xml:space="preserve"> törvényt, amely garantálja a civil társadalom képviselőinek bevonását;</w:t>
      </w:r>
    </w:p>
    <w:p w:rsidR="00180B23" w:rsidRPr="004C0323" w:rsidRDefault="00180B23" w:rsidP="00036E9E">
      <w:pPr>
        <w:pStyle w:val="NormalHanging12a"/>
        <w:widowControl/>
      </w:pPr>
      <w:r w:rsidRPr="004C0323">
        <w:t>H.</w:t>
      </w:r>
      <w:r w:rsidRPr="004C0323">
        <w:tab/>
      </w:r>
      <w:proofErr w:type="gramStart"/>
      <w:r w:rsidRPr="004C0323">
        <w:t>mivel a Parlament többször emlékeztette az EKSZ-t arra, hogy a független civil társadalom képviselőinek részvétele a politikai párbeszédekben és a megállapodás együttműködési projektjeiben a politikai párbeszédről és együttműködésről szóló megállapodás alapvető részét képezi, amint azt a megállapodás 36. cikke is hangsúlyozza, és hogy haladéktalanul orvosolni kell a megállapodás aláírása óta követett azon gyakorlatot, hogy kizárólag azon vállalatok számára engedélyezik a részvételt és az együttműködési alapokhoz való hozzáférést, amelyekben az állam részesedéssel rendelkezik</w:t>
      </w:r>
      <w:r w:rsidR="000871AC">
        <w:t xml:space="preserve"> </w:t>
      </w:r>
      <w:proofErr w:type="gramEnd"/>
      <w:r w:rsidRPr="000871AC">
        <w:t>vagy amelyek felett ellenőrzést gyakorol, míg a független civil társadalom képviselőit kizárják az együttműködési alapokból és/vagy a megállapodásban való részvételből;</w:t>
      </w:r>
    </w:p>
    <w:p w:rsidR="00180B23" w:rsidRPr="004C0323" w:rsidRDefault="00180B23" w:rsidP="00036E9E">
      <w:pPr>
        <w:pStyle w:val="NormalHanging12a"/>
        <w:widowControl/>
      </w:pPr>
      <w:r w:rsidRPr="004C0323">
        <w:t>I.</w:t>
      </w:r>
      <w:r w:rsidRPr="004C0323">
        <w:tab/>
        <w:t xml:space="preserve">mivel 2024. január 2-án az ENSZ nyilvánosságra hozta a kubai rezsimnek küldött vádiratot, amelyben kényszermunkával vádolja a rezsimet, amely a modern rabszolgaság egyik formája és azt emberkereskedelem és a rabszolgaság kérdésével foglalkozó különleges előadók is elítélik; mivel számos nemzetközi szervezet elítélte, hogy a külföldön szolgálatot teljesítő kubai polgári munkavállalók, köztük orvosok, tanárok, tengerészek, mérnökök, művészek vagy sportolók emberkereskedelemnek vannak kitéve olyan, természetüknél fogva kényszerítő erejű törvények és rendelkezések – például a büntető törvénykönyv 176. cikke, a </w:t>
      </w:r>
      <w:proofErr w:type="spellStart"/>
      <w:r w:rsidRPr="004C0323">
        <w:t>Mincex</w:t>
      </w:r>
      <w:proofErr w:type="spellEnd"/>
      <w:r w:rsidRPr="004C0323">
        <w:t xml:space="preserve"> 2020. évi 368. sz. határozata, a migrációs törvény és a 2012. évi 306. sz. rendelet – révén, amelyek nagyon kifejezett, alapvető szabadságjogokat érintenek;</w:t>
      </w:r>
    </w:p>
    <w:p w:rsidR="00180B23" w:rsidRPr="004C0323" w:rsidRDefault="00180B23" w:rsidP="00036E9E">
      <w:pPr>
        <w:pStyle w:val="NormalHanging12a"/>
        <w:widowControl/>
      </w:pPr>
      <w:r w:rsidRPr="004C0323">
        <w:lastRenderedPageBreak/>
        <w:t>J.</w:t>
      </w:r>
      <w:r w:rsidRPr="004C0323">
        <w:tab/>
        <w:t>mivel a Kubára fokozatosan ráerőltetett rezsim kizárja a demokratikus változások lehetőségét, mivel a kubai alkotmány 5. cikke kimondja, hogy az „egyedülálló, Mart</w:t>
      </w:r>
      <w:r w:rsidR="000871AC">
        <w:t>í</w:t>
      </w:r>
      <w:r w:rsidRPr="000871AC">
        <w:t xml:space="preserve">t követő, </w:t>
      </w:r>
      <w:proofErr w:type="spellStart"/>
      <w:r w:rsidRPr="000871AC">
        <w:t>fidelista</w:t>
      </w:r>
      <w:proofErr w:type="spellEnd"/>
      <w:r w:rsidRPr="000871AC">
        <w:t xml:space="preserve"> és </w:t>
      </w:r>
      <w:r w:rsidRPr="004C0323">
        <w:t>marxista-leninista Kubai Kommunista Párt” a társadalom és az állam legfőbb politikai ereje és ura, és mivel a 4. és 229. cikk a jelenlegi politikai rendszert visszafordíthatatlannak tekinti;</w:t>
      </w:r>
    </w:p>
    <w:p w:rsidR="00180B23" w:rsidRPr="004C0323" w:rsidRDefault="00180B23" w:rsidP="00036E9E">
      <w:pPr>
        <w:pStyle w:val="NormalHanging12a"/>
        <w:widowControl/>
      </w:pPr>
      <w:r w:rsidRPr="004C0323">
        <w:t>K.</w:t>
      </w:r>
      <w:r w:rsidRPr="004C0323">
        <w:tab/>
        <w:t>mivel annak ellenére, hogy évek óta hangsúlyozzuk a sziget meglátogatásának szükségességét, a kubai hatóságok rendszeresen megtagadják a hivatalos bizottságok, egyes európai parlamenti küldöttségek és képviselőcsoportok, nemzetközi emberi jogi szervezetek és az emberi jogi helyzet más független megfigyelőinek, köztük az ENSZ különleges előadóinak Kubába való belépését vagy a börtönök meglátogatását;</w:t>
      </w:r>
    </w:p>
    <w:p w:rsidR="00180B23" w:rsidRPr="004C0323" w:rsidRDefault="00180B23" w:rsidP="00036E9E">
      <w:pPr>
        <w:pStyle w:val="NormalHanging12a"/>
        <w:widowControl/>
      </w:pPr>
      <w:r w:rsidRPr="004C0323">
        <w:t>L.</w:t>
      </w:r>
      <w:r w:rsidRPr="004C0323">
        <w:tab/>
        <w:t>mivel Kuba Belgium és az Európai Unió mellé rendelt nagykövete 2023. szeptember 20-i meghívólevelét követően 2023. november 23-án az európai parlamenti Elnökök Értekezlete engedélyezte eseti küldöttség indítását Kubába; mivel 2023. december 19-én a kubai parlament alelnöke arról tájékoztatta az EU kubai nagykövetét, hogy nem fogadja a Parlament küldöttségét, azzal az indokolással, hogy „nem kívánja fogadni azon európai parlamenti képviselők látogatását, akik Kuba érdekei ellen dolgoznak és teljes mértékben az Egyesült Államokhoz igazodnak</w:t>
      </w:r>
      <w:r w:rsidR="000871AC">
        <w:t>”</w:t>
      </w:r>
      <w:r w:rsidRPr="000871AC">
        <w:t>; mivel a Kubai Köztársaság nagykövete az Európai Parlament elnökének címzett, 2024. január 25-i levelében az Európai Parlament kubai eseti küldöttségének elnökére és két másik tagjára úgy utalt</w:t>
      </w:r>
      <w:r w:rsidR="000871AC">
        <w:t>,</w:t>
      </w:r>
      <w:r w:rsidRPr="000871AC">
        <w:t xml:space="preserve"> mint akik „kapcsolatokat tartanak fenn a terrorcselekményekkel összefüggésbe hozható személyek és szervezetek nemzeti listáján (...) szereplő állampolgárokkal és szervezetekkel és támogatják őket”; mivel 2023 novemberében az Európai Parlament épületeiben fogadta a kubai parlament küldöttségét;</w:t>
      </w:r>
    </w:p>
    <w:p w:rsidR="00180B23" w:rsidRPr="004C0323" w:rsidRDefault="00180B23" w:rsidP="00036E9E">
      <w:pPr>
        <w:pStyle w:val="NormalHanging12a"/>
        <w:widowControl/>
      </w:pPr>
      <w:r w:rsidRPr="004C0323">
        <w:t>M.</w:t>
      </w:r>
      <w:r w:rsidRPr="004C0323">
        <w:tab/>
        <w:t xml:space="preserve">mivel a Parlament három alkalommal ítélte oda a gondolatszabadságért járó </w:t>
      </w:r>
      <w:proofErr w:type="spellStart"/>
      <w:r w:rsidRPr="004C0323">
        <w:t>Szaharov</w:t>
      </w:r>
      <w:proofErr w:type="spellEnd"/>
      <w:r w:rsidRPr="004C0323">
        <w:t xml:space="preserve">-díjat kubai aktivistáknak: 2002-ben </w:t>
      </w:r>
      <w:proofErr w:type="spellStart"/>
      <w:r w:rsidRPr="004C0323">
        <w:t>Oswaldo</w:t>
      </w:r>
      <w:proofErr w:type="spellEnd"/>
      <w:r w:rsidRPr="004C0323">
        <w:t xml:space="preserve"> </w:t>
      </w:r>
      <w:proofErr w:type="spellStart"/>
      <w:r w:rsidRPr="004C0323">
        <w:t>Payának</w:t>
      </w:r>
      <w:proofErr w:type="spellEnd"/>
      <w:r w:rsidRPr="004C0323">
        <w:t xml:space="preserve">, 2005-ben a „Nők fehérben” mozgalomnak, 2010-ben pedig </w:t>
      </w:r>
      <w:proofErr w:type="spellStart"/>
      <w:r w:rsidRPr="004C0323">
        <w:t>Guillermo</w:t>
      </w:r>
      <w:proofErr w:type="spellEnd"/>
      <w:r w:rsidRPr="004C0323">
        <w:t xml:space="preserve"> </w:t>
      </w:r>
      <w:proofErr w:type="spellStart"/>
      <w:r w:rsidRPr="004C0323">
        <w:t>Fariñasnak</w:t>
      </w:r>
      <w:proofErr w:type="spellEnd"/>
      <w:r w:rsidRPr="004C0323">
        <w:t xml:space="preserve">; mivel a </w:t>
      </w:r>
      <w:proofErr w:type="spellStart"/>
      <w:r w:rsidRPr="004C0323">
        <w:t>Szaharov</w:t>
      </w:r>
      <w:proofErr w:type="spellEnd"/>
      <w:r w:rsidRPr="004C0323">
        <w:t xml:space="preserve">-díjasokat és </w:t>
      </w:r>
      <w:proofErr w:type="spellStart"/>
      <w:r w:rsidRPr="004C0323">
        <w:t>hozzátartozóikat</w:t>
      </w:r>
      <w:proofErr w:type="spellEnd"/>
      <w:r w:rsidRPr="004C0323">
        <w:t xml:space="preserve"> még mindig rendszeresen zaklatják és megfélemlítik, valamint megakadályozzák őket abban, hogy elhagyják az országot és nemzetközi eseményeken vegyenek részt; mivel 2023 júniusában az Emberi Jogok Amerikaközi Bizottsága (IACHR) arra a következtetésre jutott, hogy állami ügynökök közvetlenül közreműködtek az </w:t>
      </w:r>
      <w:proofErr w:type="spellStart"/>
      <w:r w:rsidRPr="004C0323">
        <w:t>Oswaldo</w:t>
      </w:r>
      <w:proofErr w:type="spellEnd"/>
      <w:r w:rsidRPr="004C0323">
        <w:t xml:space="preserve"> </w:t>
      </w:r>
      <w:proofErr w:type="spellStart"/>
      <w:r w:rsidRPr="004C0323">
        <w:t>Payá</w:t>
      </w:r>
      <w:proofErr w:type="spellEnd"/>
      <w:r w:rsidRPr="004C0323">
        <w:t xml:space="preserve"> és Harold </w:t>
      </w:r>
      <w:proofErr w:type="spellStart"/>
      <w:r w:rsidRPr="004C0323">
        <w:t>Cepero</w:t>
      </w:r>
      <w:proofErr w:type="spellEnd"/>
      <w:r w:rsidRPr="004C0323">
        <w:t xml:space="preserve"> demokrácia mellett kiálló aktivisták halálát okozó</w:t>
      </w:r>
      <w:r w:rsidR="000871AC">
        <w:t>,</w:t>
      </w:r>
      <w:r w:rsidRPr="000871AC">
        <w:t xml:space="preserve"> 2012-ben történt autóbalesetben; mivel teljes mértékben átlátható vizsgálatot kell folytatni az </w:t>
      </w:r>
      <w:proofErr w:type="spellStart"/>
      <w:r w:rsidRPr="000871AC">
        <w:t>Oswaldo</w:t>
      </w:r>
      <w:proofErr w:type="spellEnd"/>
      <w:r w:rsidRPr="000871AC">
        <w:t xml:space="preserve"> </w:t>
      </w:r>
      <w:proofErr w:type="spellStart"/>
      <w:r w:rsidRPr="000871AC">
        <w:t>Payá</w:t>
      </w:r>
      <w:proofErr w:type="spellEnd"/>
      <w:r w:rsidRPr="000871AC">
        <w:t xml:space="preserve"> és Harold </w:t>
      </w:r>
      <w:proofErr w:type="spellStart"/>
      <w:r w:rsidRPr="000871AC">
        <w:t>Cepero</w:t>
      </w:r>
      <w:proofErr w:type="spellEnd"/>
      <w:r w:rsidRPr="000871AC">
        <w:t xml:space="preserve"> meggyilkolásáért felelős személyek bíróság elé állítása érdekében;</w:t>
      </w:r>
    </w:p>
    <w:p w:rsidR="00180B23" w:rsidRPr="004C0323" w:rsidRDefault="00180B23" w:rsidP="00036E9E">
      <w:pPr>
        <w:pStyle w:val="NormalHanging12a"/>
        <w:widowControl/>
      </w:pPr>
      <w:r w:rsidRPr="004C0323">
        <w:t>N.</w:t>
      </w:r>
      <w:r w:rsidRPr="004C0323">
        <w:tab/>
        <w:t>mivel a PDCA nem teljesítette alapvető célját, hogy javítsa az alapvető szabadságok helyzetét Kubában;</w:t>
      </w:r>
    </w:p>
    <w:p w:rsidR="00180B23" w:rsidRPr="004C0323" w:rsidRDefault="00180B23" w:rsidP="00036E9E">
      <w:pPr>
        <w:pStyle w:val="NormalHanging12a"/>
        <w:widowControl/>
      </w:pPr>
      <w:r w:rsidRPr="004C0323">
        <w:t>1.</w:t>
      </w:r>
      <w:r w:rsidRPr="004C0323">
        <w:tab/>
        <w:t>sajnálja, hogy a PDCA hatálybalépése óta eltelt idő ellenére nem javult Kubában a helyzet a demokrácia és a szabadságjogok hiánya tekintetében, sőt, éppen ellenkezőleg, a PDCA alapvető rendelkezéseinek egyértelmű és szisztematikus megsértésével tovább romlott és súlyosbodott az emberi jogi helyzet a szigetországban;</w:t>
      </w:r>
    </w:p>
    <w:p w:rsidR="00180B23" w:rsidRPr="004C0323" w:rsidRDefault="00180B23" w:rsidP="00036E9E">
      <w:pPr>
        <w:pStyle w:val="NormalHanging12a"/>
        <w:widowControl/>
      </w:pPr>
      <w:r w:rsidRPr="004C0323">
        <w:t>2.</w:t>
      </w:r>
      <w:r w:rsidRPr="004C0323">
        <w:tab/>
        <w:t>hangsúlyozza, hogy minden félnek teljesítenie kell a PDCA kötelező rendelkezéseit, és tiszteletben kell tartania az emberi jogok egyetemességének elvét;</w:t>
      </w:r>
    </w:p>
    <w:p w:rsidR="00180B23" w:rsidRPr="004C0323" w:rsidRDefault="00180B23" w:rsidP="00036E9E">
      <w:pPr>
        <w:pStyle w:val="NormalHanging12a"/>
        <w:widowControl/>
      </w:pPr>
      <w:r w:rsidRPr="004C0323">
        <w:t>3.</w:t>
      </w:r>
      <w:r w:rsidRPr="004C0323">
        <w:tab/>
        <w:t xml:space="preserve">a leghatározottabban elítéli a kubai rezsim által többek közt a tüntetők, politikai másként gondolkodók, vallási vezetők, emberi jogi aktivisták és független művészek </w:t>
      </w:r>
      <w:r w:rsidRPr="004C0323">
        <w:lastRenderedPageBreak/>
        <w:t>ellen elkövetett rendszeres emberi jogi jogsértéseket és visszaéléseket; sürgeti a kubai hatóságokat, hogy haladéktalanul vessenek véget az elnyomás politikájának; elítéli a vallásszabadság hiányát Kubában;</w:t>
      </w:r>
    </w:p>
    <w:p w:rsidR="00180B23" w:rsidRPr="004C0323" w:rsidRDefault="00180B23" w:rsidP="00036E9E">
      <w:pPr>
        <w:pStyle w:val="NormalHanging12a"/>
        <w:widowControl/>
      </w:pPr>
      <w:r w:rsidRPr="004C0323">
        <w:t>4.</w:t>
      </w:r>
      <w:r w:rsidRPr="004C0323">
        <w:tab/>
        <w:t>aggodalmát fejezi ki a politikai foglyok számának riasztó növekedése miatt, amely 2018 óta több mint nyolcszorosára nőtt, és így Kuba a politikai aktivisták és másként gondolkodók legnagyobb börtönévé vált Latin-Amerikában; felszólít azon személyek azonnali és feltétel nélküli szabadon bocsátására, akiket kizárólag emberi jogaik gyakorlása miatt tartanak fogva, beleértve a véleménynyilvánítás és a békés gyülekezés szabadságához való jogot is; felszólít továbbá az igazságtalan büntetőjogi vádak megszüntetésére, és támogatja a száműzetésben lévők visszatérésének megkönnyítését;</w:t>
      </w:r>
    </w:p>
    <w:p w:rsidR="00180B23" w:rsidRPr="004C0323" w:rsidRDefault="00180B23" w:rsidP="00036E9E">
      <w:pPr>
        <w:pStyle w:val="NormalHanging12a"/>
        <w:widowControl/>
      </w:pPr>
      <w:r w:rsidRPr="004C0323">
        <w:t>5.</w:t>
      </w:r>
      <w:r w:rsidRPr="004C0323">
        <w:tab/>
        <w:t xml:space="preserve">elfogadhatatlannak tartja, hogy az Európai Külügyi Szolgálat (EKSZ) és az EU havannai küldöttsége beleegyezett abba, hogy a kubai demokratikus ellenzéket, valamint a független és legitim civil társadalmi szervezeteket – európaiakat és kubaiakat egyaránt – a kubai hatóságok támogatásának hiánya miatt kizárják a politikai párbeszédből; emlékeztet 2023. júliusi állásfoglalására, amelyben mély sajnálatát fejezte ki amiatt, hogy a Bizottság alelnöke/az Unió külügyi és biztonságpolitikai </w:t>
      </w:r>
      <w:proofErr w:type="spellStart"/>
      <w:r w:rsidRPr="004C0323">
        <w:t>főképviselője</w:t>
      </w:r>
      <w:proofErr w:type="spellEnd"/>
      <w:r w:rsidRPr="004C0323">
        <w:t xml:space="preserve"> (alelnök/</w:t>
      </w:r>
      <w:proofErr w:type="spellStart"/>
      <w:r w:rsidRPr="004C0323">
        <w:t>főképviselő</w:t>
      </w:r>
      <w:proofErr w:type="spellEnd"/>
      <w:r w:rsidRPr="004C0323">
        <w:t>) elszalasztotta az esélyt arra, hogy a kubai civil társadalmon és a politikai foglyokon keresztül támogassa a demokráciát, és egyértelmű üzenetet küldjön az EU aggályairól a kubai emberi jogi jogsértésekkel kapcsolatosan;</w:t>
      </w:r>
    </w:p>
    <w:p w:rsidR="00180B23" w:rsidRPr="004C0323" w:rsidRDefault="00180B23" w:rsidP="00036E9E">
      <w:pPr>
        <w:pStyle w:val="NormalHanging12a"/>
        <w:widowControl/>
      </w:pPr>
      <w:r w:rsidRPr="004C0323">
        <w:t>6.</w:t>
      </w:r>
      <w:r w:rsidRPr="004C0323">
        <w:tab/>
        <w:t>megismétli, hogy határozottan és feltétel nélkül támogatja a kubai népet, minden kubai emberijog-védőt, valamint a kubai rezsim által évtizedek óta megtagadott szabadságjogok iránti, elismerésre méltó elkötelezettségüket;</w:t>
      </w:r>
    </w:p>
    <w:p w:rsidR="00180B23" w:rsidRPr="004C0323" w:rsidRDefault="00180B23" w:rsidP="00036E9E">
      <w:pPr>
        <w:pStyle w:val="NormalHanging12a"/>
        <w:widowControl/>
      </w:pPr>
      <w:r w:rsidRPr="004C0323">
        <w:t>7.</w:t>
      </w:r>
      <w:r w:rsidRPr="004C0323">
        <w:tab/>
        <w:t>mély aggodalmát fejezi ki a kényszermunka alkalmazása miatt Kubában, és elítéli a kubai állam által ösztönzött kényszermunkát, különösen az orvosi brigádokban, de a tanárokat, a tengerészeket, a mérnököket, a művészeket, a sportolókat és másokat is beleértve, akiknek a fizetését a kubai kormány többnyire elkobozza; elítéli, hogy a nemzetközi missziókban részt vevő „önkéntesek” többsége kijelentette, hogy akarata ellenére vagy kényszerítő strukturális körülmények között volt alkalmazva;</w:t>
      </w:r>
    </w:p>
    <w:p w:rsidR="00180B23" w:rsidRPr="004C0323" w:rsidRDefault="00180B23" w:rsidP="00036E9E">
      <w:pPr>
        <w:pStyle w:val="NormalHanging12a"/>
        <w:widowControl/>
      </w:pPr>
      <w:r w:rsidRPr="004C0323">
        <w:t>8.</w:t>
      </w:r>
      <w:r w:rsidRPr="004C0323">
        <w:tab/>
      </w:r>
      <w:proofErr w:type="spellStart"/>
      <w:r w:rsidRPr="004C0323">
        <w:t>megjegyzi</w:t>
      </w:r>
      <w:proofErr w:type="spellEnd"/>
      <w:r w:rsidRPr="004C0323">
        <w:t xml:space="preserve">, hogy 2023 novemberében a kubai parlament tagjai, köztük a kubai nemzeti parlament titkára, </w:t>
      </w:r>
      <w:proofErr w:type="spellStart"/>
      <w:r w:rsidRPr="004C0323">
        <w:t>Homero</w:t>
      </w:r>
      <w:proofErr w:type="spellEnd"/>
      <w:r w:rsidRPr="004C0323">
        <w:t xml:space="preserve"> </w:t>
      </w:r>
      <w:proofErr w:type="spellStart"/>
      <w:r w:rsidRPr="004C0323">
        <w:t>Acosta</w:t>
      </w:r>
      <w:proofErr w:type="spellEnd"/>
      <w:r w:rsidRPr="004C0323">
        <w:t>, tiszteletteljes és szívélyes fogadtatásban részesültek az Európai Parlamentben; elfogadhatatlannak és a PDCA megsértésének nyilvánítja az Európai Parlament folyamatos kizárását, amely az egyetlen európai intézmény, amelytől megtagadják a kubai területre való belépést; elutasítja Kuba azon döntését, hogy nem engedélyezi a Parlament eseti küldöttségének látogatását, és sürgeti a kubai hatóságokat, hogy tartsák be a PDCA elveit, és biztosítsák a Parlament számára az országba való belépést; kéri, hogy a PDCA egyenlőségre, viszonosságra és kölcsönös tiszteletre vonatkozó elveivel összhangban fogadjanak el hasonló intézkedéseket, és tagadják meg a nemzetgyűlés és a kubai rezsim valamennyi képviselőjétől a Parlament épületeibe való belépést;</w:t>
      </w:r>
    </w:p>
    <w:p w:rsidR="00180B23" w:rsidRPr="004C0323" w:rsidRDefault="00180B23" w:rsidP="00036E9E">
      <w:pPr>
        <w:pStyle w:val="NormalHanging12a"/>
        <w:widowControl/>
      </w:pPr>
      <w:r w:rsidRPr="004C0323">
        <w:t>9.</w:t>
      </w:r>
      <w:r w:rsidRPr="004C0323">
        <w:tab/>
        <w:t>szorgalmazza, hogy a kubai hatóságok a PDCA-</w:t>
      </w:r>
      <w:proofErr w:type="spellStart"/>
      <w:r w:rsidRPr="004C0323">
        <w:t>val</w:t>
      </w:r>
      <w:proofErr w:type="spellEnd"/>
      <w:r w:rsidRPr="004C0323">
        <w:t xml:space="preserve"> összhangban biztosítsák a bejutást egy európai parlamenti, uniós és tagállami küldöttség, valamint a független emberi jogi szervezetek számára annak érdekében, hogy azok nyomon követhessék a tárgyalásokat és meglátogathassák azt a több száz aktivistát és egyszerű kubai személyt, akiket a hatóságok a véleménynyilvánítás és a gyülekezés szabadságához való joguk gyakorlása miatt továbbra is fogva tartanak; felhívja a </w:t>
      </w:r>
      <w:proofErr w:type="spellStart"/>
      <w:r w:rsidRPr="004C0323">
        <w:t>főképviselőt</w:t>
      </w:r>
      <w:proofErr w:type="spellEnd"/>
      <w:r w:rsidRPr="004C0323">
        <w:t xml:space="preserve">/alelnököt, hogy a kubai </w:t>
      </w:r>
      <w:r w:rsidRPr="004C0323">
        <w:lastRenderedPageBreak/>
        <w:t>hatóságokkal való kapcsolatfelvétel során hívja fel a figyelmet arra, hogy a Parlamenttől ismét megtagadták a belépést, és sürgesse őket e döntés azonnali visszavonására;</w:t>
      </w:r>
    </w:p>
    <w:p w:rsidR="00180B23" w:rsidRPr="004C0323" w:rsidRDefault="00180B23" w:rsidP="00036E9E">
      <w:pPr>
        <w:pStyle w:val="NormalHanging12a"/>
        <w:widowControl/>
      </w:pPr>
      <w:r w:rsidRPr="004C0323">
        <w:t>10.</w:t>
      </w:r>
      <w:r w:rsidRPr="004C0323">
        <w:tab/>
        <w:t xml:space="preserve">ismételten felszólítja a Tanácsot, hogy alkalmazza az EU globális emberi jogi szankciórendszerét (az uniós </w:t>
      </w:r>
      <w:proofErr w:type="spellStart"/>
      <w:r w:rsidRPr="004C0323">
        <w:t>Magnyitszkij</w:t>
      </w:r>
      <w:proofErr w:type="spellEnd"/>
      <w:r w:rsidRPr="004C0323">
        <w:t xml:space="preserve">-törvény), és fogadjon el szankciókat azokkal szemben, akik felelősek az emberi jogok folyamatos megsértéséért Kubában, kezdve Miguel </w:t>
      </w:r>
      <w:proofErr w:type="spellStart"/>
      <w:r w:rsidRPr="004C0323">
        <w:t>Díaz-Canellel</w:t>
      </w:r>
      <w:proofErr w:type="spellEnd"/>
      <w:r w:rsidRPr="004C0323">
        <w:t xml:space="preserve"> mint a kubai biztonsági erők parancsnoki láncának legmagasabb rangú szereplőjével, valamint a kubai kormány más magas rangú tisztviselőivel és a politikai foglyok bebörtönzéséért felelős személyekkel;</w:t>
      </w:r>
    </w:p>
    <w:p w:rsidR="00180B23" w:rsidRPr="004C0323" w:rsidRDefault="00180B23" w:rsidP="00036E9E">
      <w:pPr>
        <w:pStyle w:val="NormalHanging12a"/>
        <w:widowControl/>
      </w:pPr>
      <w:r w:rsidRPr="004C0323">
        <w:t>11.</w:t>
      </w:r>
      <w:r w:rsidRPr="004C0323">
        <w:tab/>
        <w:t>ismételten felszólítja az EU-t, hogy alkalmazza a politikai párbeszédről és együttműködésről szóló megállapodás 85. cikke (3) bekezdésének b) pontját és kérje a vegyes bizottság ülését azonnali összehívását a megállapodás kubai kormány általi megsértése miatt, ami „különösen sürgős esetnek” minősül, hangsúlyozza, hogy ezek a jogsértések a demokratikus elvek tartós és jelentős megsértését jelentik, valamint az Emberi Jogok Egyetemes Nyilatkozatában megfogalmazott és a politikai párbeszédről és együttműködésről szóló megállapodás 1. cikkének (5) bekezdésében hangsúlyozott alapvető emberi jogok és alapvető szabadságok figyelmen kívül hagyásának minősülnek, és hangsúlyozza, hogy annak, hogy a kubai rezsim a Parlament többszöri felhívása ellenére nem foglalkozik az ilyen jogsértésekkel, a megállapodás felfüggesztéséhez kell vezetnie;</w:t>
      </w:r>
    </w:p>
    <w:p w:rsidR="00180B23" w:rsidRPr="004C0323" w:rsidRDefault="00180B23" w:rsidP="00036E9E">
      <w:pPr>
        <w:pStyle w:val="NormalHanging12a"/>
        <w:widowControl/>
      </w:pPr>
      <w:r w:rsidRPr="004C0323">
        <w:t>12.</w:t>
      </w:r>
      <w:r w:rsidRPr="004C0323">
        <w:tab/>
        <w:t xml:space="preserve">utasítja elnökét, hogy továbbítsa ezt az állásfoglalást Kuba kormányának és Nemzetgyűlésének, a Bizottság alelnökének/az Unió külügyi és biztonságpolitikai </w:t>
      </w:r>
      <w:proofErr w:type="spellStart"/>
      <w:r w:rsidRPr="004C0323">
        <w:t>főképviselőjének</w:t>
      </w:r>
      <w:proofErr w:type="spellEnd"/>
      <w:r w:rsidRPr="004C0323">
        <w:t>, a Bizottságnak, az EU emberi jogokért felelős különleges képviselőjének, a tagállamok kormányainak és parlamentjeinek, az ENSZ emberi jogi főbiztosának, valamint a Latin-amerikai és Karibi Államok Közössége tagállamai kormányainak.</w:t>
      </w:r>
    </w:p>
    <w:p w:rsidR="00E365E1" w:rsidRPr="004C0323" w:rsidRDefault="00E365E1" w:rsidP="00036E9E">
      <w:pPr>
        <w:widowControl/>
        <w:spacing w:after="240"/>
        <w:ind w:left="567" w:hanging="567"/>
      </w:pPr>
      <w:bookmarkStart w:id="7" w:name="TextBodyEnd"/>
      <w:bookmarkEnd w:id="7"/>
    </w:p>
    <w:sectPr w:rsidR="00E365E1" w:rsidRPr="004C0323" w:rsidSect="00B854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93D" w:rsidRPr="00B854F2" w:rsidRDefault="00D7593D">
      <w:r w:rsidRPr="00B854F2">
        <w:separator/>
      </w:r>
    </w:p>
  </w:endnote>
  <w:endnote w:type="continuationSeparator" w:id="0">
    <w:p w:rsidR="00D7593D" w:rsidRPr="00B854F2" w:rsidRDefault="00D7593D">
      <w:r w:rsidRPr="00B854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4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4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4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93D" w:rsidRPr="00B854F2" w:rsidRDefault="00D7593D">
      <w:r w:rsidRPr="00B854F2">
        <w:separator/>
      </w:r>
    </w:p>
  </w:footnote>
  <w:footnote w:type="continuationSeparator" w:id="0">
    <w:p w:rsidR="00D7593D" w:rsidRPr="00B854F2" w:rsidRDefault="00D7593D">
      <w:r w:rsidRPr="00B854F2">
        <w:continuationSeparator/>
      </w:r>
    </w:p>
  </w:footnote>
  <w:footnote w:id="1">
    <w:p w:rsidR="00180B23" w:rsidRPr="00B854F2" w:rsidRDefault="00180B23" w:rsidP="00B854F2">
      <w:pPr>
        <w:pStyle w:val="FootnoteText"/>
        <w:ind w:left="567" w:hanging="567"/>
        <w:rPr>
          <w:sz w:val="24"/>
          <w:lang w:val="hu-HU"/>
        </w:rPr>
      </w:pPr>
      <w:r w:rsidRPr="00B854F2">
        <w:rPr>
          <w:rStyle w:val="FootnoteReference"/>
          <w:sz w:val="24"/>
          <w:lang w:val="hu-HU"/>
        </w:rPr>
        <w:footnoteRef/>
      </w:r>
      <w:r w:rsidR="00B854F2" w:rsidRPr="00B854F2">
        <w:rPr>
          <w:sz w:val="24"/>
          <w:lang w:val="hu-HU"/>
        </w:rPr>
        <w:t xml:space="preserve"> </w:t>
      </w:r>
      <w:r w:rsidR="00B854F2" w:rsidRPr="00B854F2">
        <w:rPr>
          <w:sz w:val="24"/>
          <w:lang w:val="hu-HU"/>
        </w:rPr>
        <w:tab/>
      </w:r>
      <w:r w:rsidRPr="00B854F2">
        <w:rPr>
          <w:sz w:val="24"/>
          <w:lang w:val="hu-HU"/>
        </w:rPr>
        <w:t>Elfogadott szövegek, P9_</w:t>
      </w:r>
      <w:proofErr w:type="gramStart"/>
      <w:r w:rsidRPr="00B854F2">
        <w:rPr>
          <w:sz w:val="24"/>
          <w:lang w:val="hu-HU"/>
        </w:rPr>
        <w:t>TA(</w:t>
      </w:r>
      <w:proofErr w:type="gramEnd"/>
      <w:r w:rsidRPr="00B854F2">
        <w:rPr>
          <w:sz w:val="24"/>
          <w:lang w:val="hu-HU"/>
        </w:rPr>
        <w:t>2023)0280.</w:t>
      </w:r>
    </w:p>
  </w:footnote>
  <w:footnote w:id="2">
    <w:p w:rsidR="00180B23" w:rsidRPr="00B854F2" w:rsidRDefault="00180B23" w:rsidP="00B854F2">
      <w:pPr>
        <w:pStyle w:val="FootnoteText"/>
        <w:ind w:left="567" w:hanging="567"/>
        <w:rPr>
          <w:sz w:val="24"/>
          <w:lang w:val="hu-HU"/>
        </w:rPr>
      </w:pPr>
      <w:r w:rsidRPr="00B854F2">
        <w:rPr>
          <w:rStyle w:val="FootnoteReference"/>
          <w:sz w:val="24"/>
          <w:lang w:val="hu-HU"/>
        </w:rPr>
        <w:footnoteRef/>
      </w:r>
      <w:r w:rsidR="00B854F2" w:rsidRPr="00B854F2">
        <w:rPr>
          <w:sz w:val="24"/>
          <w:lang w:val="hu-HU"/>
        </w:rPr>
        <w:t xml:space="preserve"> </w:t>
      </w:r>
      <w:r w:rsidR="00B854F2" w:rsidRPr="00B854F2">
        <w:rPr>
          <w:sz w:val="24"/>
          <w:lang w:val="hu-HU"/>
        </w:rPr>
        <w:tab/>
      </w:r>
      <w:r w:rsidRPr="00B854F2">
        <w:rPr>
          <w:sz w:val="24"/>
          <w:lang w:val="hu-HU"/>
        </w:rPr>
        <w:t>HL L 337. I, 2016.12.13</w:t>
      </w:r>
      <w:proofErr w:type="gramStart"/>
      <w:r w:rsidRPr="00B854F2">
        <w:rPr>
          <w:sz w:val="24"/>
          <w:lang w:val="hu-HU"/>
        </w:rPr>
        <w:t>.,</w:t>
      </w:r>
      <w:proofErr w:type="gramEnd"/>
      <w:r w:rsidRPr="00B854F2">
        <w:rPr>
          <w:sz w:val="24"/>
          <w:lang w:val="hu-HU"/>
        </w:rPr>
        <w:t xml:space="preserve"> 3.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4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4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4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4, 0148 és 0151/2024"/>
    <w:docVar w:name="dvlangue" w:val="HU"/>
    <w:docVar w:name="dvnumam" w:val="0"/>
    <w:docVar w:name="dvpe" w:val="756.911"/>
    <w:docVar w:name="dvtitre" w:val="Az Európai Parlament 2024.  ...-i állásfoglalása a kritikus kubai helyzetről(2024/2584(RSP))"/>
  </w:docVars>
  <w:rsids>
    <w:rsidRoot w:val="00D7593D"/>
    <w:rsid w:val="00002272"/>
    <w:rsid w:val="00011982"/>
    <w:rsid w:val="00036E9E"/>
    <w:rsid w:val="00064002"/>
    <w:rsid w:val="000677B9"/>
    <w:rsid w:val="000831BA"/>
    <w:rsid w:val="000871AC"/>
    <w:rsid w:val="000A42CC"/>
    <w:rsid w:val="000E7DD9"/>
    <w:rsid w:val="0010095E"/>
    <w:rsid w:val="00125B37"/>
    <w:rsid w:val="00180B2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323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658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8B0"/>
    <w:rsid w:val="00AE0928"/>
    <w:rsid w:val="00AF3B82"/>
    <w:rsid w:val="00B12E95"/>
    <w:rsid w:val="00B22876"/>
    <w:rsid w:val="00B558F0"/>
    <w:rsid w:val="00B854F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93D"/>
    <w:rsid w:val="00D834A0"/>
    <w:rsid w:val="00D872DF"/>
    <w:rsid w:val="00D91E21"/>
    <w:rsid w:val="00DA7FCD"/>
    <w:rsid w:val="00DD5F6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A6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A2983"/>
  <w15:chartTrackingRefBased/>
  <w15:docId w15:val="{F519FB19-673B-4D84-937D-CE49553F6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80B23"/>
    <w:pPr>
      <w:spacing w:after="240"/>
      <w:ind w:left="567" w:hanging="567"/>
    </w:pPr>
  </w:style>
  <w:style w:type="paragraph" w:customStyle="1" w:styleId="EPComma">
    <w:name w:val="EPComma"/>
    <w:basedOn w:val="Normal"/>
    <w:rsid w:val="00180B2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80B23"/>
    <w:rPr>
      <w:sz w:val="24"/>
      <w:lang w:val="hu-HU"/>
    </w:rPr>
  </w:style>
  <w:style w:type="paragraph" w:styleId="BalloonText">
    <w:name w:val="Balloon Text"/>
    <w:basedOn w:val="Normal"/>
    <w:link w:val="BalloonTextChar"/>
    <w:rsid w:val="004C0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0323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B2CC5-800C-4DD0-8B3B-5C28E68AE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2265</Words>
  <Characters>15532</Characters>
  <Application>Microsoft Office Word</Application>
  <DocSecurity>0</DocSecurity>
  <Lines>129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2024-02-29T11:42:00Z</dcterms:created>
  <dcterms:modified xsi:type="dcterms:W3CDTF">2024-02-29T11:42:00Z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B9-0144, 0148 és 0151/2024</vt:lpwstr>
  </property>
  <property fmtid="{D5CDD505-2E9C-101B-9397-08002B2CF9AE}" pid="4" name="&lt;Type&gt;">
    <vt:lpwstr>RR</vt:lpwstr>
  </property>
</Properties>
</file>