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41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41E4" w:rsidRDefault="00F375FC" w:rsidP="0010095E">
            <w:pPr>
              <w:pStyle w:val="EPName"/>
            </w:pPr>
            <w:r w:rsidRPr="004441E4">
              <w:t>Parlament Europejski</w:t>
            </w:r>
          </w:p>
          <w:p w:rsidR="00751A4A" w:rsidRPr="004441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41E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41E4" w:rsidRDefault="00187494" w:rsidP="0010095E">
            <w:pPr>
              <w:pStyle w:val="EPLogo"/>
            </w:pPr>
            <w:r w:rsidRPr="004441E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41E4" w:rsidRDefault="00D058B8" w:rsidP="004C5D52">
      <w:pPr>
        <w:pStyle w:val="LineTop"/>
      </w:pPr>
    </w:p>
    <w:p w:rsidR="00680577" w:rsidRPr="004441E4" w:rsidRDefault="00F375FC" w:rsidP="00680577">
      <w:pPr>
        <w:pStyle w:val="EPBodyTA1"/>
      </w:pPr>
      <w:r w:rsidRPr="004441E4">
        <w:t>TEKSTY PRZYJĘTE</w:t>
      </w:r>
    </w:p>
    <w:p w:rsidR="00D058B8" w:rsidRPr="004441E4" w:rsidRDefault="00D058B8" w:rsidP="00D058B8">
      <w:pPr>
        <w:pStyle w:val="LineBottom"/>
      </w:pPr>
    </w:p>
    <w:p w:rsidR="00F375FC" w:rsidRPr="004441E4" w:rsidRDefault="00F375FC" w:rsidP="00F375FC">
      <w:pPr>
        <w:pStyle w:val="ATHeading1"/>
      </w:pPr>
      <w:bookmarkStart w:id="0" w:name="TANumber"/>
      <w:r w:rsidRPr="004441E4">
        <w:t>P9_TA(2024)0</w:t>
      </w:r>
      <w:bookmarkEnd w:id="0"/>
      <w:r w:rsidR="00482750">
        <w:t>122</w:t>
      </w:r>
    </w:p>
    <w:p w:rsidR="00F375FC" w:rsidRPr="004441E4" w:rsidRDefault="00F375FC" w:rsidP="00F375FC">
      <w:pPr>
        <w:pStyle w:val="ATHeading2"/>
      </w:pPr>
      <w:bookmarkStart w:id="1" w:name="title"/>
      <w:r w:rsidRPr="004441E4">
        <w:t>Krytyczna sytuacja na Kubie</w:t>
      </w:r>
      <w:bookmarkEnd w:id="1"/>
    </w:p>
    <w:p w:rsidR="00F375FC" w:rsidRPr="004441E4" w:rsidRDefault="00F375FC" w:rsidP="00F375FC">
      <w:pPr>
        <w:rPr>
          <w:i/>
          <w:vanish/>
        </w:rPr>
      </w:pPr>
      <w:r w:rsidRPr="004441E4">
        <w:rPr>
          <w:i/>
        </w:rPr>
        <w:fldChar w:fldCharType="begin"/>
      </w:r>
      <w:r w:rsidRPr="004441E4">
        <w:rPr>
          <w:i/>
        </w:rPr>
        <w:instrText xml:space="preserve"> TC"(</w:instrText>
      </w:r>
      <w:bookmarkStart w:id="2" w:name="DocNumber"/>
      <w:r w:rsidR="00482750" w:rsidRPr="00C2060C">
        <w:rPr>
          <w:i/>
        </w:rPr>
        <w:instrText>B9-0144</w:instrText>
      </w:r>
      <w:r w:rsidR="00482750">
        <w:rPr>
          <w:i/>
        </w:rPr>
        <w:instrText xml:space="preserve">, 0148 </w:instrText>
      </w:r>
      <w:r w:rsidR="00482750">
        <w:rPr>
          <w:i/>
        </w:rPr>
        <w:instrText>oraz</w:instrText>
      </w:r>
      <w:proofErr w:type="gramStart"/>
      <w:r w:rsidR="00482750">
        <w:rPr>
          <w:i/>
        </w:rPr>
        <w:instrText xml:space="preserve"> 0151</w:instrText>
      </w:r>
      <w:r w:rsidR="00482750" w:rsidRPr="00C2060C">
        <w:rPr>
          <w:i/>
        </w:rPr>
        <w:instrText>/2024</w:instrText>
      </w:r>
      <w:bookmarkEnd w:id="2"/>
      <w:r w:rsidRPr="004441E4">
        <w:rPr>
          <w:i/>
        </w:rPr>
        <w:instrText>)"\l</w:instrText>
      </w:r>
      <w:proofErr w:type="gramEnd"/>
      <w:r w:rsidRPr="004441E4">
        <w:rPr>
          <w:i/>
        </w:rPr>
        <w:instrText xml:space="preserve">3 \n&gt; \* MERGEFORMAT </w:instrText>
      </w:r>
      <w:r w:rsidRPr="004441E4">
        <w:rPr>
          <w:i/>
        </w:rPr>
        <w:fldChar w:fldCharType="end"/>
      </w:r>
    </w:p>
    <w:p w:rsidR="00F375FC" w:rsidRPr="004441E4" w:rsidRDefault="00F375FC" w:rsidP="00F375FC">
      <w:pPr>
        <w:rPr>
          <w:vanish/>
        </w:rPr>
      </w:pPr>
      <w:bookmarkStart w:id="3" w:name="PE"/>
      <w:r w:rsidRPr="004441E4">
        <w:rPr>
          <w:vanish/>
        </w:rPr>
        <w:t>PE756.911</w:t>
      </w:r>
      <w:bookmarkEnd w:id="3"/>
    </w:p>
    <w:p w:rsidR="00F375FC" w:rsidRPr="004441E4" w:rsidRDefault="00F375FC" w:rsidP="00F375FC">
      <w:pPr>
        <w:pStyle w:val="ATHeading3"/>
      </w:pPr>
      <w:bookmarkStart w:id="4" w:name="Sujet"/>
      <w:r w:rsidRPr="004441E4">
        <w:t xml:space="preserve">Rezolucja Parlamentu Europejskiego z dnia </w:t>
      </w:r>
      <w:r w:rsidR="00482750">
        <w:t>29 lutego</w:t>
      </w:r>
      <w:r w:rsidRPr="004441E4">
        <w:t xml:space="preserve"> 2024 r. w sprawie krytycznej sytuacji na Kubie</w:t>
      </w:r>
      <w:bookmarkEnd w:id="4"/>
      <w:r w:rsidRPr="004441E4">
        <w:t xml:space="preserve"> </w:t>
      </w:r>
      <w:bookmarkStart w:id="5" w:name="References"/>
      <w:r w:rsidRPr="004441E4">
        <w:t>(2024/2584(RSP))</w:t>
      </w:r>
      <w:bookmarkEnd w:id="5"/>
    </w:p>
    <w:p w:rsidR="004A5066" w:rsidRPr="004441E4" w:rsidRDefault="004A5066" w:rsidP="004A5066">
      <w:pPr>
        <w:pStyle w:val="EPComma"/>
      </w:pPr>
      <w:bookmarkStart w:id="6" w:name="TextBodyBegin"/>
      <w:bookmarkEnd w:id="6"/>
      <w:r w:rsidRPr="004441E4">
        <w:rPr>
          <w:i/>
        </w:rPr>
        <w:t>Parlament Europejski</w:t>
      </w:r>
      <w:r w:rsidRPr="004441E4">
        <w:t>,</w:t>
      </w:r>
      <w:bookmarkStart w:id="7" w:name="_GoBack"/>
      <w:bookmarkEnd w:id="7"/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swoje wcześniejsze rezolucje w sprawie Kuby, w szczególności rezolucję z dnia 12 lipca 2023 r. w sprawie statusu umowy o dialogu politycznym i współpracy między UE a Kubą w świetle niedawnej wizyty wysokiego przedstawiciela na wyspie</w:t>
      </w:r>
      <w:r w:rsidRPr="004441E4">
        <w:rPr>
          <w:rStyle w:val="FootnoteReference"/>
        </w:rPr>
        <w:footnoteReference w:id="1"/>
      </w:r>
      <w:r w:rsidRPr="004441E4">
        <w:t>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Umowę o dialogu politycznym i współpracy między Unią Europejską i jej państwami członkowskimi, z jednej strony, a Republiką Kuby, z drugiej strony</w:t>
      </w:r>
      <w:r w:rsidRPr="004441E4">
        <w:rPr>
          <w:rStyle w:val="FootnoteReference"/>
        </w:rPr>
        <w:footnoteReference w:id="2"/>
      </w:r>
      <w:r w:rsidRPr="004441E4">
        <w:t xml:space="preserve"> (PDCA), podpisaną w grudniu 2016 r. i stosowaną tymczasowo od 1 listopada 2017 r.,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art. 4, 5 i 229 kubańskiej konstytucji i kubańskiego kodeksu karnego,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definicję „organizacji społeczeństwa obywatelskiego” w </w:t>
      </w:r>
      <w:r w:rsidRPr="004441E4">
        <w:rPr>
          <w:i/>
          <w:iCs/>
        </w:rPr>
        <w:t>Dzienniku Urzędowym Unii Europejskiej</w:t>
      </w:r>
      <w:r w:rsidRPr="004441E4">
        <w:t>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dokument ARES (2021) 2474104 zastępcy dyrektora zarządzającego ds. Ameryk Europejskiej Służby Działań Zewnętrznych (ESDZ),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Międzynarodowy pakt praw obywatelskich i politycznych z 16 grudnia 1966 r. oraz inne międzynarodowe traktaty i instrumenty dotyczące praw człowieka,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 xml:space="preserve">uwzględniając Konwencję ONZ w sprawie zakazu stosowania tortur oraz innego okrutnego, nieludzkiego lub poniżającego traktowania albo karania, która została </w:t>
      </w:r>
      <w:proofErr w:type="gramStart"/>
      <w:r w:rsidRPr="004441E4">
        <w:t>przyjęta</w:t>
      </w:r>
      <w:proofErr w:type="gramEnd"/>
      <w:r w:rsidRPr="004441E4">
        <w:t xml:space="preserve"> przez Zgromadzenie Ogólne ONZ 10 grudnia 1984 r. i której Kuba jest stroną,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 xml:space="preserve">uwzględniając sprawozdania organizacji praw człowieka, takich jak Human </w:t>
      </w:r>
      <w:proofErr w:type="spellStart"/>
      <w:r w:rsidRPr="004441E4">
        <w:t>Rights</w:t>
      </w:r>
      <w:proofErr w:type="spellEnd"/>
      <w:r w:rsidRPr="004441E4">
        <w:t xml:space="preserve"> Watch, Human </w:t>
      </w:r>
      <w:proofErr w:type="spellStart"/>
      <w:r w:rsidRPr="004441E4">
        <w:t>Rights</w:t>
      </w:r>
      <w:proofErr w:type="spellEnd"/>
      <w:r w:rsidRPr="004441E4">
        <w:t xml:space="preserve"> Foundation i </w:t>
      </w:r>
      <w:proofErr w:type="spellStart"/>
      <w:r w:rsidRPr="004441E4">
        <w:t>Prisoners</w:t>
      </w:r>
      <w:proofErr w:type="spellEnd"/>
      <w:r w:rsidRPr="004441E4">
        <w:t xml:space="preserve"> </w:t>
      </w:r>
      <w:proofErr w:type="spellStart"/>
      <w:r w:rsidRPr="004441E4">
        <w:t>Defenders</w:t>
      </w:r>
      <w:proofErr w:type="spellEnd"/>
      <w:r w:rsidRPr="004441E4">
        <w:t xml:space="preserve">, rozdział IV.B dotyczący Kuby w sprawozdaniach rocznych </w:t>
      </w:r>
      <w:proofErr w:type="spellStart"/>
      <w:r w:rsidRPr="004441E4">
        <w:t>Międzyamerykańskiej</w:t>
      </w:r>
      <w:proofErr w:type="spellEnd"/>
      <w:r w:rsidRPr="004441E4">
        <w:t xml:space="preserve"> Komisji Praw Człowieka (IACHR) za lata 2020, 2021 i 2022, komunikat z dnia 6 listopada 2019 r. w sprawie kubańskich </w:t>
      </w:r>
      <w:r w:rsidRPr="004441E4">
        <w:lastRenderedPageBreak/>
        <w:t xml:space="preserve">brygad medycznych, skierowany do wysokiego komisarza ONZ ds. praw człowieka przez specjalnego sprawozdawcę ONZ ds. współczesnych form niewolnictwa, w tym jego przyczyn i skutków, oraz specjalną sprawozdawczynię ONZ ds. handlu ludźmi, zwłaszcza kobietami i dziećmi, komunikat z dnia 2 listopada 2023 r. w sprawie kubańskich brygad medycznych, skierowany do wysokiego komisarza ONZ ds. praw człowieka przez specjalnego sprawozdawcę ONZ ds. współczesnych form niewolnictwa, w tym jego przyczyn i skutków, a także wnioski z przeprowadzonego przez Radę Praw Człowieka ONZ powszechnego </w:t>
      </w:r>
      <w:proofErr w:type="gramStart"/>
      <w:r w:rsidRPr="004441E4">
        <w:t>okresowego</w:t>
      </w:r>
      <w:proofErr w:type="gramEnd"/>
      <w:r w:rsidRPr="004441E4">
        <w:t xml:space="preserve"> przeglądu praw człowieka na Kubie za 2018 r. w odniesieniu do kubańskich brygad medycznych,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komunikat z dnia 16 listopada 2023 r. wystosowany do Kuby przez specjalną sprawozdawczynię ONZ ds. wolności religii lub przekonań, Grupę Roboczą ONZ ds. Arbitralnych Zatrzymań, specjalną sprawozdawczynię ONZ ds. promocji i ochrony prawa do wolności opinii i wypowiedzi, specjalnego sprawozdawcę ONZ ds. prawa do wolności pokojowego zgromadzania się i zrzeszania się oraz specjalnego sprawozdawcę ONZ ds. mniejszości,</w:t>
      </w:r>
    </w:p>
    <w:p w:rsidR="004A5066" w:rsidRPr="004441E4" w:rsidRDefault="004A5066" w:rsidP="004A5066">
      <w:pPr>
        <w:pStyle w:val="NormalHanging12a"/>
      </w:pPr>
      <w:r w:rsidRPr="004441E4">
        <w:t>–</w:t>
      </w:r>
      <w:r w:rsidRPr="004441E4">
        <w:tab/>
        <w:t>uwzględniając art. 132 ust. 2 i 4 Regulaminu,</w:t>
      </w:r>
    </w:p>
    <w:p w:rsidR="004A5066" w:rsidRPr="004441E4" w:rsidRDefault="004A5066" w:rsidP="004A5066">
      <w:pPr>
        <w:pStyle w:val="NormalHanging12a"/>
      </w:pPr>
      <w:r w:rsidRPr="004441E4">
        <w:t>A.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5 lipca 2017 r. Parlament wyraził zgodę na PDCA, zawierającą jasne warunki związane z poprawą stanu praw człowieka i demokracji na Kubie, w tym klauzulę zawieszającą w razie naruszenia postanowień dotyczących praw człowieka; mając na uwadze, że w rezolucji towarzyszącej zwrócono się do władz kubańskich o zezwolenie delegacjom Parlamentu Europejskiego na wjazd do kraju i dostęp do rozmówców;</w:t>
      </w:r>
    </w:p>
    <w:p w:rsidR="004A5066" w:rsidRPr="004441E4" w:rsidRDefault="004A5066" w:rsidP="004A5066">
      <w:pPr>
        <w:pStyle w:val="NormalHanging12a"/>
      </w:pPr>
      <w:r w:rsidRPr="004441E4">
        <w:t>B.</w:t>
      </w:r>
      <w:r w:rsidRPr="004441E4">
        <w:tab/>
        <w:t>mając na uwadze, że kilka artykułów PDCA UE–Kuba, a mianowicie art. 1, 2 i 3, ustanawia jasne zasady dotyczące równości, wzajemności, wzajemnego szacunku, zacieśnienia kontaktów, dialogu i współpracy między obydwoma społeczeństwami; mając na uwadze, że Parlament zwrócił się do ESDZ o dołożenie wszelkich starań, aby ściśle monitorować sytuację w zakresie praw człowieka i podstawowych wolności na Kubie podczas stosowania PDCA; mając na uwadze, że poszanowanie praw człowieka, praw obywatelskich, politycznych, gospodarczych, społecznych i kulturalnych ma zasadnicze znaczenie dla UE;</w:t>
      </w:r>
    </w:p>
    <w:p w:rsidR="004A5066" w:rsidRPr="004441E4" w:rsidRDefault="004A5066" w:rsidP="004A5066">
      <w:pPr>
        <w:pStyle w:val="NormalHanging12a"/>
      </w:pPr>
      <w:r w:rsidRPr="004441E4">
        <w:t>C.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liczba więźniów politycznych i więźniów sumienia na Kubie dramatycznie wzrosła, osiągając 1066 na dzień 31 stycznia 2024 r., w tym 33 osoby, które były małoletnie w czasie zatrzymania, co stanowi ośmiokrotny wzrost od 2018 r. – o 170 w ciągu ostatnich 12 miesięcy, co odpowiada średnio ponad 14 zatrzymaniom o podłożu politycznym miesięcznie; mając na uwadze, że organizacje praw człowieka udokumentowały również ponad 11 000 wyroków skazujących „zapobiegających popełnieniu przestępstwa”, wynoszących średnio 2 lata i 10 miesięcy, wobec osób, które nie popełniły ani nie usiłowały popełnić żadnego przestępstwa, którą to liczbę podał przewodniczący Komitetu ONZ przeciwko Torturom (CAT) w kwietniu 2022 r. na 73. </w:t>
      </w:r>
      <w:proofErr w:type="gramStart"/>
      <w:r w:rsidRPr="004441E4">
        <w:t>posiedzeniu</w:t>
      </w:r>
      <w:proofErr w:type="gramEnd"/>
      <w:r w:rsidRPr="004441E4">
        <w:t xml:space="preserve"> CAT, w uwagach ustnych stanowiących część sprawozdania okresowego CAT dotyczącego Kuby; mając na uwadze, że w ostatnich dziesięcioleciach art. 72 kubańskiego kodeksu cywilnego umożliwił średnio 3 850 nowych aresztowań „zapobiegających popełnieniu przestępstwa” rocznie; mając na uwadze, że art. 434 ust. 1 i art. 189 ust. 3 nowego kubańskiego kodeksu karnego bazują na środkach „zapobiegających popełnieniu przestępstwa” zawartych w kodeksie cywilnym;</w:t>
      </w:r>
    </w:p>
    <w:p w:rsidR="004A5066" w:rsidRPr="004441E4" w:rsidRDefault="004A5066" w:rsidP="004A5066">
      <w:pPr>
        <w:pStyle w:val="NormalHanging12a"/>
      </w:pPr>
      <w:r w:rsidRPr="004441E4">
        <w:lastRenderedPageBreak/>
        <w:t>D.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ONZ wcześniej poinformowała Kubę o swoim zaniepokojeniu z powodu przetrzymywania i uwięzienia przywódców religijnych w tym kraju; mając na uwadze, że 16 listopada 2023 r. pięciu pełnomocników i sprawozdawców ds. specjalnych procedur ONZ przesłało Kubie komunikat, w którym opisali i potępili schemat systematycznego prześladowania, więzienia i torturowania na Kubie pastorów ewangelicznych i księży katolickich, imamów i przywódców religijnych Joruby/</w:t>
      </w:r>
      <w:proofErr w:type="spellStart"/>
      <w:r w:rsidRPr="004441E4">
        <w:t>santerii</w:t>
      </w:r>
      <w:proofErr w:type="spellEnd"/>
      <w:r w:rsidRPr="004441E4">
        <w:t>;</w:t>
      </w:r>
    </w:p>
    <w:p w:rsidR="004A5066" w:rsidRPr="004441E4" w:rsidRDefault="004A5066" w:rsidP="004A5066">
      <w:pPr>
        <w:pStyle w:val="NormalHanging12a"/>
      </w:pPr>
      <w:r w:rsidRPr="004441E4">
        <w:t>E.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w styczniu 2024 r. Instytut ds. Badań nad Przestępczością i Wymiarem Sprawiedliwości zaktualizował światowy ranking dotyczący więzień, wskazując na wzrost liczby więźniów na wyspie, co daje Kubie drugi na świecie wskaźnik liczby osadzonych; mając na uwadze, że rząd kubański nadal stosuje arbitralne zatrzymania, aby nękać i zastraszać krytyków, niezależnych działaczy, przeciwników politycznych i innych;</w:t>
      </w:r>
    </w:p>
    <w:p w:rsidR="004A5066" w:rsidRPr="004441E4" w:rsidRDefault="004A5066" w:rsidP="004A5066">
      <w:pPr>
        <w:pStyle w:val="NormalHanging12a"/>
      </w:pPr>
      <w:r w:rsidRPr="004441E4">
        <w:t>F.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organizacje praw człowieka nadal dokumentują tłumienie prawa do wolności wypowiedzi, pokojowego zgromadzania się i zrzeszania się w kraju, a także zagłuszanie przez władze kubańskie głosów sprzeciwu i ataki na obrońców praw człowieka; mając na uwadze, że w 2023 r. udokumentowano ponad 200 przypadków ograniczeń stosowanych w </w:t>
      </w:r>
      <w:proofErr w:type="spellStart"/>
      <w:r w:rsidRPr="004441E4">
        <w:t>internecie</w:t>
      </w:r>
      <w:proofErr w:type="spellEnd"/>
      <w:r w:rsidRPr="004441E4">
        <w:t>, w tym hakowanie kont dziennikarzy w celu ich uciszenia i ograniczenia wolności słowa;</w:t>
      </w:r>
    </w:p>
    <w:p w:rsidR="004A5066" w:rsidRPr="004441E4" w:rsidRDefault="004A5066" w:rsidP="004A5066">
      <w:pPr>
        <w:pStyle w:val="NormalHanging12a"/>
      </w:pPr>
      <w:r w:rsidRPr="004441E4">
        <w:t>G.</w:t>
      </w:r>
      <w:r w:rsidRPr="004441E4">
        <w:tab/>
        <w:t xml:space="preserve">mając na uwadze, że sytuacja w zakresie praw człowieka na Kubie jest głęboko niepokojąca, szczególnie w przypadku grup społecznie wrażliwych, takich jak kobiety, mniejszości etniczne i społeczność LGBTIQ+; mając na uwadze, że organizacje pozarządowe i niezależne ośrodki monitorowania zgłaszają, że liczba </w:t>
      </w:r>
      <w:proofErr w:type="spellStart"/>
      <w:r w:rsidRPr="004441E4">
        <w:t>kobietobójstw</w:t>
      </w:r>
      <w:proofErr w:type="spellEnd"/>
      <w:r w:rsidRPr="004441E4">
        <w:t xml:space="preserve"> na Kubie w 2023 r. wzrosła do 89, a w 2024 r. dotychczas zgłoszono osiem przypadków; mając na uwadze, że pomimo tego reżim nie wdrożył systemu rejestracji </w:t>
      </w:r>
      <w:proofErr w:type="spellStart"/>
      <w:r w:rsidRPr="004441E4">
        <w:t>kobietobójstw</w:t>
      </w:r>
      <w:proofErr w:type="spellEnd"/>
      <w:r w:rsidRPr="004441E4">
        <w:t xml:space="preserve"> w kraju z wykorzystaniem aktualnych danych publicznych i nie została jeszcze przyjęta kompleksowa ustawa przeciwko przemocy ze względu na płeć, gwarantująca zaangażowanie przedstawicieli społeczeństwa obywatelskiego;</w:t>
      </w:r>
    </w:p>
    <w:p w:rsidR="004A5066" w:rsidRPr="004441E4" w:rsidRDefault="004A5066" w:rsidP="004A5066">
      <w:pPr>
        <w:pStyle w:val="NormalHanging12a"/>
      </w:pPr>
      <w:r w:rsidRPr="004441E4">
        <w:t>H.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Parlament wielokrotnie przypominał ESDZ, że udział przedstawicieli niezależnego społeczeństwa obywatelskiego w dialogu politycznym i projektach współpracy w ramach umowy stanowi zasadniczy element PDCA, jak podkreślono w jej art. 36, oraz że należy niezwłocznie naprawić sytuację, w której przedstawicieli niezależnego społeczeństwa obywatelskiego wyklucza się z funduszy współpracy lub z udziału w umowie, a umożliwia się udział i dostęp do funduszy współpracy tylko przedsiębiorstwom, w których państwo ma udziały lub które kontroluje, a taka sytuacja ma miejsce od momentu podpisania umowy;</w:t>
      </w:r>
    </w:p>
    <w:p w:rsidR="004A5066" w:rsidRPr="004441E4" w:rsidRDefault="004A5066" w:rsidP="004A5066">
      <w:pPr>
        <w:pStyle w:val="NormalHanging12a"/>
      </w:pPr>
      <w:r w:rsidRPr="004441E4">
        <w:t>I.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2 stycznia 2024 r. ONZ publicznie ujawniła skierowany do kubańskiego reżimu akt oskarżenia, w którym postawiono mu zarzut stosowania pracy przymusowej, jednej z form współczesnego niewolnictwa, o której donoszą specjalni sprawozdawcy ds. handlu ludźmi i niewolnictwa; mając na uwadze, że według doniesień niektórych organizacji międzynarodowych kubańscy pracownicy cywilni pracujący za granicą, w tym lekarze, nauczyciele, marynarze, inżynierowie, artyści i sportowcy, są ofiarami handlu ludźmi na podstawie z natury przymusowych przepisów ustawowych i wykonawczych – w tym art. 176 kodeksu karnego, rezolucji </w:t>
      </w:r>
      <w:proofErr w:type="spellStart"/>
      <w:r w:rsidRPr="004441E4">
        <w:t>Mincex</w:t>
      </w:r>
      <w:proofErr w:type="spellEnd"/>
      <w:r w:rsidRPr="004441E4">
        <w:t xml:space="preserve"> nr 368 z 2020 r. i ustawy o migracji oraz dekretu 306 z 2012 r. – naruszających najbardziej oczywiste podstawowe wolności;</w:t>
      </w:r>
    </w:p>
    <w:p w:rsidR="004A5066" w:rsidRPr="004441E4" w:rsidRDefault="004A5066" w:rsidP="004A5066">
      <w:pPr>
        <w:pStyle w:val="NormalHanging12a"/>
      </w:pPr>
      <w:r w:rsidRPr="004441E4">
        <w:lastRenderedPageBreak/>
        <w:t>J.</w:t>
      </w:r>
      <w:r w:rsidRPr="004441E4">
        <w:tab/>
        <w:t xml:space="preserve">mając na uwadze, że stopniowo narzucany na Kubie reżim wyklucza jakiekolwiek perspektywy demokratycznej zmiany, ponieważ art. 5 konstytucji kubańskiej stanowi, że „jedyna, </w:t>
      </w:r>
      <w:proofErr w:type="spellStart"/>
      <w:r w:rsidRPr="004441E4">
        <w:t>martistowska</w:t>
      </w:r>
      <w:proofErr w:type="spellEnd"/>
      <w:r w:rsidRPr="004441E4">
        <w:t xml:space="preserve">, </w:t>
      </w:r>
      <w:proofErr w:type="spellStart"/>
      <w:r w:rsidRPr="004441E4">
        <w:t>fidelowska</w:t>
      </w:r>
      <w:proofErr w:type="spellEnd"/>
      <w:r w:rsidRPr="004441E4">
        <w:t xml:space="preserve"> i marksistowsko-leninowska Komunistyczna Partia Kuby” jest najwyższą władzą polityczną i przywódcą społeczeństwa i państwa, a art. 4 i 229 uznają obecny system polityczny za nieodwołalny;</w:t>
      </w:r>
    </w:p>
    <w:p w:rsidR="004A5066" w:rsidRPr="004441E4" w:rsidRDefault="004A5066" w:rsidP="004A5066">
      <w:pPr>
        <w:pStyle w:val="NormalHanging12a"/>
      </w:pPr>
      <w:r w:rsidRPr="004441E4">
        <w:t>K.</w:t>
      </w:r>
      <w:r w:rsidRPr="004441E4">
        <w:tab/>
        <w:t>mając na uwadze, że pomimo wieloletnich nalegań na konieczność wizyty na wyspie władze kubańskie systematycznie odmawiają wjazdu na Kubę lub wizyt w więzieniach oficjalnym komisjom, delegacjom i grupom politycznym Parlamentu Europejskiego, międzynarodowym organizacjom praw człowieka i innym niezależnym obserwatorom sytuacji w zakresie praw człowieka, w tym specjalnym sprawozdawcom ONZ;</w:t>
      </w:r>
    </w:p>
    <w:p w:rsidR="004A5066" w:rsidRPr="004441E4" w:rsidRDefault="004A5066" w:rsidP="004A5066">
      <w:pPr>
        <w:pStyle w:val="NormalHanging12a"/>
      </w:pPr>
      <w:r w:rsidRPr="004441E4">
        <w:t>L.</w:t>
      </w:r>
      <w:r w:rsidRPr="004441E4">
        <w:tab/>
      </w:r>
      <w:proofErr w:type="gramStart"/>
      <w:r w:rsidRPr="004441E4">
        <w:t>mając</w:t>
      </w:r>
      <w:proofErr w:type="gramEnd"/>
      <w:r w:rsidRPr="004441E4">
        <w:t xml:space="preserve"> na uwadze, że 23 listopada 2023 r. Konferencja Przewodniczących Parlamentu Europejskiego zezwoliła na wysłanie delegacji ad hoc na Kubę w odpowiedzi na zaproszenie ambasadora Kuby wystosowane 20 września 2023 r. do Belgii i Unii Europejskiej; mając na uwadze, że 19 grudnia 2023 r. wiceprzewodnicząca parlamentu kubańskiego poinformowała ambasadora UE na Kubie o swojej odmowie przyjęcia delegacji Parlamentu z uzasadnieniem, że „nie chce przyjąć wizyty posłów do Parlamentu Europejskiego, którzy działają wbrew interesom Kuby i są w pełni sprzymierzeni ze Stanami Zjednoczonymi”; mając na uwadze, że w piśmie z 25 stycznia 2024 r. skierowanym do przewodniczącej Parlamentu Europejskiego ambasador Republiki Kuby odniósł się do przewodniczącego delegacji ad hoc Parlamentu Europejskiego na Kubę i do dwóch innych posłów jako „utrzymujących więzi i wspierających obywateli i organizacje umieszczone w krajowym wykazie osób i podmiotów [...] </w:t>
      </w:r>
      <w:proofErr w:type="gramStart"/>
      <w:r w:rsidRPr="004441E4">
        <w:t>ze</w:t>
      </w:r>
      <w:proofErr w:type="gramEnd"/>
      <w:r w:rsidRPr="004441E4">
        <w:t xml:space="preserve"> względu na akty terrorystyczne”; mając na uwadze, że w listopadzie 2023 r. w siedzibie Parlamentu Europejskiego przyjęto delegację parlamentu kubańskiego;</w:t>
      </w:r>
    </w:p>
    <w:p w:rsidR="004A5066" w:rsidRPr="004441E4" w:rsidRDefault="004A5066" w:rsidP="004A5066">
      <w:pPr>
        <w:pStyle w:val="NormalHanging12a"/>
      </w:pPr>
      <w:r w:rsidRPr="004441E4">
        <w:t>M.</w:t>
      </w:r>
      <w:r w:rsidRPr="004441E4">
        <w:tab/>
        <w:t xml:space="preserve">mając na uwadze, że Parlament trzykrotnie przyznał działaczom kubańskim Nagrodę im. Sacharowa za wolność myśli – otrzymali ją: </w:t>
      </w:r>
      <w:proofErr w:type="spellStart"/>
      <w:r w:rsidRPr="004441E4">
        <w:t>Oswaldo</w:t>
      </w:r>
      <w:proofErr w:type="spellEnd"/>
      <w:r w:rsidRPr="004441E4">
        <w:t xml:space="preserve"> </w:t>
      </w:r>
      <w:proofErr w:type="spellStart"/>
      <w:r w:rsidRPr="004441E4">
        <w:t>Payá</w:t>
      </w:r>
      <w:proofErr w:type="spellEnd"/>
      <w:r w:rsidRPr="004441E4">
        <w:t xml:space="preserve"> w 2002 r., Kobiety w Bieli w 2005 r. oraz </w:t>
      </w:r>
      <w:proofErr w:type="spellStart"/>
      <w:r w:rsidRPr="004441E4">
        <w:t>Guillermo</w:t>
      </w:r>
      <w:proofErr w:type="spellEnd"/>
      <w:r w:rsidRPr="004441E4">
        <w:t xml:space="preserve"> </w:t>
      </w:r>
      <w:proofErr w:type="spellStart"/>
      <w:r w:rsidRPr="004441E4">
        <w:t>Fariñas</w:t>
      </w:r>
      <w:proofErr w:type="spellEnd"/>
      <w:r w:rsidRPr="004441E4">
        <w:t xml:space="preserve"> w 2010 r.; mając na uwadze, że laureaci Nagrody im. Sacharowa i ich krewni nadal są regularnie prześladowani, zastraszani oraz pozbawieni możliwości opuszczania kraju i uczestnictwa w wydarzeniach międzynarodowych; mając na uwadze, że w czerwcu 2023 r. IACHR stwierdziła, iż funkcjonariusze państwowi byli bezpośrednio zaangażowani w śmierć działaczy na rzecz demokracji Oswalda </w:t>
      </w:r>
      <w:proofErr w:type="spellStart"/>
      <w:r w:rsidRPr="004441E4">
        <w:t>Payi</w:t>
      </w:r>
      <w:proofErr w:type="spellEnd"/>
      <w:r w:rsidRPr="004441E4">
        <w:t xml:space="preserve"> i Harolda </w:t>
      </w:r>
      <w:proofErr w:type="spellStart"/>
      <w:r w:rsidRPr="004441E4">
        <w:t>Cepero</w:t>
      </w:r>
      <w:proofErr w:type="spellEnd"/>
      <w:r w:rsidRPr="004441E4">
        <w:t xml:space="preserve"> w wypadku samochodowym w 2012 r.; mając na uwadze, że należy przeprowadzić w pełni przejrzyste dochodzenie w </w:t>
      </w:r>
      <w:proofErr w:type="gramStart"/>
      <w:r w:rsidRPr="004441E4">
        <w:t>celu</w:t>
      </w:r>
      <w:proofErr w:type="gramEnd"/>
      <w:r w:rsidRPr="004441E4">
        <w:t xml:space="preserve"> postawienia przed sądem osób odpowiedzialnych za zabójstwo Oswalda </w:t>
      </w:r>
      <w:proofErr w:type="spellStart"/>
      <w:r w:rsidRPr="004441E4">
        <w:t>Payi</w:t>
      </w:r>
      <w:proofErr w:type="spellEnd"/>
      <w:r w:rsidRPr="004441E4">
        <w:t xml:space="preserve"> i Harolda </w:t>
      </w:r>
      <w:proofErr w:type="spellStart"/>
      <w:r w:rsidRPr="004441E4">
        <w:t>Cepero</w:t>
      </w:r>
      <w:proofErr w:type="spellEnd"/>
      <w:r w:rsidRPr="004441E4">
        <w:t>;</w:t>
      </w:r>
    </w:p>
    <w:p w:rsidR="004A5066" w:rsidRPr="004441E4" w:rsidRDefault="004A5066" w:rsidP="004A5066">
      <w:pPr>
        <w:pStyle w:val="NormalHanging12a"/>
      </w:pPr>
      <w:r w:rsidRPr="004441E4">
        <w:t>N.</w:t>
      </w:r>
      <w:r w:rsidRPr="004441E4">
        <w:tab/>
        <w:t>mając na uwadze, że PDCA nie spełniła swojego podstawowego celu, jakim jest poprawa sytuacji w zakresie podstawowych wolności na Kubie;</w:t>
      </w:r>
    </w:p>
    <w:p w:rsidR="004A5066" w:rsidRPr="004441E4" w:rsidRDefault="004A5066" w:rsidP="004A5066">
      <w:pPr>
        <w:pStyle w:val="NormalHanging12a"/>
      </w:pPr>
      <w:r w:rsidRPr="004441E4">
        <w:t>1.</w:t>
      </w:r>
      <w:r w:rsidRPr="004441E4">
        <w:tab/>
      </w:r>
      <w:proofErr w:type="gramStart"/>
      <w:r w:rsidRPr="004441E4">
        <w:t>ubolewa</w:t>
      </w:r>
      <w:proofErr w:type="gramEnd"/>
      <w:r w:rsidRPr="004441E4">
        <w:t>, że pomimo czasu, jaki upłynął od wejścia w życie PDCA, nie zaradzono brakowi demokracji i wolności na Kubie, a wręcz przeciwnie – sytuacja w zakresie praw człowieka na wyspie nadal się pogarsza i zaostrza, co stanowi wyraźne i systematyczne naruszenie podstawowych postanowień PDCA;</w:t>
      </w:r>
    </w:p>
    <w:p w:rsidR="004A5066" w:rsidRPr="004441E4" w:rsidRDefault="004A5066" w:rsidP="004A5066">
      <w:pPr>
        <w:pStyle w:val="NormalHanging12a"/>
      </w:pPr>
      <w:r w:rsidRPr="004441E4">
        <w:t>2.</w:t>
      </w:r>
      <w:r w:rsidRPr="004441E4">
        <w:tab/>
      </w:r>
      <w:proofErr w:type="gramStart"/>
      <w:r w:rsidRPr="004441E4">
        <w:t>podkreśla</w:t>
      </w:r>
      <w:proofErr w:type="gramEnd"/>
      <w:r w:rsidRPr="004441E4">
        <w:t xml:space="preserve"> obowiązek wszystkich stron do wypełniania wiążących postanowień PDCA i do przestrzegania zasady powszechności praw człowieka;</w:t>
      </w:r>
    </w:p>
    <w:p w:rsidR="004A5066" w:rsidRPr="004441E4" w:rsidRDefault="004A5066" w:rsidP="004A5066">
      <w:pPr>
        <w:pStyle w:val="NormalHanging12a"/>
      </w:pPr>
      <w:r w:rsidRPr="004441E4">
        <w:lastRenderedPageBreak/>
        <w:t>3.</w:t>
      </w:r>
      <w:r w:rsidRPr="004441E4">
        <w:tab/>
      </w:r>
      <w:proofErr w:type="gramStart"/>
      <w:r w:rsidRPr="004441E4">
        <w:t>potępia</w:t>
      </w:r>
      <w:proofErr w:type="gramEnd"/>
      <w:r w:rsidRPr="004441E4">
        <w:t xml:space="preserve"> w najostrzejszych słowach systematyczne naruszenia praw człowieka i nadużycia, jakich dopuszcza się reżim kubański wobec m.in. protestujących, dysydentów politycznych, przywódców religijnych, działaczy na rzecz praw człowieka i niezależnych artystów; wzywa władze kubańskie do niezwłocznego położenia kresu polityce represji; potępia brak wolności religii na Kubie;</w:t>
      </w:r>
    </w:p>
    <w:p w:rsidR="004A5066" w:rsidRPr="004441E4" w:rsidRDefault="004A5066" w:rsidP="004A5066">
      <w:pPr>
        <w:pStyle w:val="NormalHanging12a"/>
      </w:pPr>
      <w:r w:rsidRPr="004441E4">
        <w:t>4.</w:t>
      </w:r>
      <w:r w:rsidRPr="004441E4">
        <w:tab/>
      </w:r>
      <w:proofErr w:type="gramStart"/>
      <w:r w:rsidRPr="004441E4">
        <w:t>jest</w:t>
      </w:r>
      <w:proofErr w:type="gramEnd"/>
      <w:r w:rsidRPr="004441E4">
        <w:t xml:space="preserve"> zaniepokojony alarmującym wzrostem liczby więźniów politycznych, która od 2018 r. wzrosła ponad ośmiokrotnie, co czyni Kubę największym więzieniem działaczy politycznych i dysydentów w Ameryce Łacińskiej; apeluje o natychmiastowe i bezwarunkowe uwolnienie osób przetrzymywanych wyłącznie z powodu korzystania z przysługujących im praw człowieka, w tym prawa do wolności wypowiedzi i pokojowego zgromadzania się; ponadto apeluje o wycofanie bezzasadnych zarzutów karnych i popiera ułatwianie powrotu osobom na uchodźstwie;</w:t>
      </w:r>
    </w:p>
    <w:p w:rsidR="004A5066" w:rsidRPr="004441E4" w:rsidRDefault="004A5066" w:rsidP="004A5066">
      <w:pPr>
        <w:pStyle w:val="NormalHanging12a"/>
      </w:pPr>
      <w:r w:rsidRPr="004441E4">
        <w:t>5.</w:t>
      </w:r>
      <w:r w:rsidRPr="004441E4">
        <w:tab/>
      </w:r>
      <w:proofErr w:type="gramStart"/>
      <w:r w:rsidRPr="004441E4">
        <w:t>za</w:t>
      </w:r>
      <w:proofErr w:type="gramEnd"/>
      <w:r w:rsidRPr="004441E4">
        <w:t xml:space="preserve"> niedopuszczalne uważa, że ESDZ i delegatura UE w Hawanie zgodziły się na wykluczenie kubańskiej opozycji demokratycznej oraz zarówno europejskich, jak i kubańskich niezależnych i uprawnionych organizacji społeczeństwa obywatelskiego z dialogu politycznego z powodu braku poparcia ze strony władz kubańskich; przypomina, że w swojej rezolucji z lipca 2023 r. wyraził głębokie ubolewanie, że wiceprzewodniczący Komisji / wysoki przedstawiciel Unii do spraw zagranicznych i polityki bezpieczeństwa zaprzepaścił okazję wsparcia demokracji za pośrednictwem kubańskiego społeczeństwa obywatelskiego i więźniów politycznych, a także zaprzepaścił możliwość wysłania jasnego komunikatu na temat obaw UE dotyczących naruszania praw człowieka na Kubie;</w:t>
      </w:r>
    </w:p>
    <w:p w:rsidR="004A5066" w:rsidRPr="004441E4" w:rsidRDefault="004A5066" w:rsidP="004A5066">
      <w:pPr>
        <w:pStyle w:val="NormalHanging12a"/>
      </w:pPr>
      <w:r w:rsidRPr="004441E4">
        <w:t>6.</w:t>
      </w:r>
      <w:r w:rsidRPr="004441E4">
        <w:tab/>
      </w:r>
      <w:proofErr w:type="gramStart"/>
      <w:r w:rsidRPr="004441E4">
        <w:t>ponownie</w:t>
      </w:r>
      <w:proofErr w:type="gramEnd"/>
      <w:r w:rsidRPr="004441E4">
        <w:t xml:space="preserve"> wyraża swoje zdecydowane i bezwarunkowe poparcie dla narodu kubańskiego, wszystkich obrońców praw człowieka na Kubie oraz dla ich godnego pochwały oddania na rzecz swobód i wszystkich praw, których kubański reżim odmawiał przez dziesięciolecia;</w:t>
      </w:r>
    </w:p>
    <w:p w:rsidR="004A5066" w:rsidRPr="004441E4" w:rsidRDefault="004A5066" w:rsidP="004A5066">
      <w:pPr>
        <w:pStyle w:val="NormalHanging12a"/>
      </w:pPr>
      <w:r w:rsidRPr="004441E4">
        <w:t>7.</w:t>
      </w:r>
      <w:r w:rsidRPr="004441E4">
        <w:tab/>
      </w:r>
      <w:proofErr w:type="gramStart"/>
      <w:r w:rsidRPr="004441E4">
        <w:t>wyraża</w:t>
      </w:r>
      <w:proofErr w:type="gramEnd"/>
      <w:r w:rsidRPr="004441E4">
        <w:t xml:space="preserve"> głębokie zaniepokojenie istnieniem pracy przymusowej na Kubie i potępia pracę przymusową stosowaną przez państwo kubańskie, w szczególności w brygadach medycznych, ale także w stosunku do nauczycieli, marynarzy, inżynierów, artystów, sportowców i innych osób, których znaczną część wynagrodzenia przywłaszcza kubański rząd; potępia sytuację, w której większość „ochotników” biorących udział w misjach międzynarodowych stwierdziło, że zostali rozmieszczeni wbrew swojej woli lub ich udział odbywał się w przymusowych warunkach strukturalnych;</w:t>
      </w:r>
    </w:p>
    <w:p w:rsidR="004A5066" w:rsidRPr="004441E4" w:rsidRDefault="004A5066" w:rsidP="004A5066">
      <w:pPr>
        <w:pStyle w:val="NormalHanging12a"/>
      </w:pPr>
      <w:r w:rsidRPr="004441E4">
        <w:t>8.</w:t>
      </w:r>
      <w:r w:rsidRPr="004441E4">
        <w:tab/>
      </w:r>
      <w:proofErr w:type="gramStart"/>
      <w:r w:rsidRPr="004441E4">
        <w:t>zauważa</w:t>
      </w:r>
      <w:proofErr w:type="gramEnd"/>
      <w:r w:rsidRPr="004441E4">
        <w:t xml:space="preserve">, że w listopadzie 2023 r. posłowie do parlamentu kubańskiego, w tym sekretarz kubańskiego parlamentu narodowego </w:t>
      </w:r>
      <w:proofErr w:type="spellStart"/>
      <w:r w:rsidRPr="004441E4">
        <w:t>Homero</w:t>
      </w:r>
      <w:proofErr w:type="spellEnd"/>
      <w:r w:rsidRPr="004441E4">
        <w:t xml:space="preserve"> Acosta, zostali potraktowani z szacunkiem i serdecznie przyjęci w Parlamencie Europejskim; stwierdza, że dalsze wykluczanie Parlamentu Europejskiego – jedynej instytucji europejskiej, której odmówiono dostępu do terytorium Kuby – jest niedopuszczalne i stanowi naruszenie PDCA; odrzuca decyzję Kuby o odmowie wizyty delegacji ad hoc Parlamentu i wzywa władze kubańskie do przestrzegania zasad PDCA oraz do umożliwienia Parlamentowi wstępu do kraju; domaga się, aby zgodnie z zasadami PDCA dotyczącymi równości, wzajemności i wzajemnego szacunku przyjąć podobne środki i odmówić wstępu do siedziby Parlamentu wszelkim przedstawicielom Zgromadzenia Narodowego Władzy Ludowej lub reżimu kubańskiego;</w:t>
      </w:r>
    </w:p>
    <w:p w:rsidR="004A5066" w:rsidRPr="004441E4" w:rsidRDefault="004A5066" w:rsidP="004A5066">
      <w:pPr>
        <w:pStyle w:val="NormalHanging12a"/>
      </w:pPr>
      <w:r w:rsidRPr="004441E4">
        <w:t>9.</w:t>
      </w:r>
      <w:r w:rsidRPr="004441E4">
        <w:tab/>
      </w:r>
      <w:proofErr w:type="gramStart"/>
      <w:r w:rsidRPr="004441E4">
        <w:t>domaga</w:t>
      </w:r>
      <w:proofErr w:type="gramEnd"/>
      <w:r w:rsidRPr="004441E4">
        <w:t xml:space="preserve"> się, aby zgodnie z PDCA władze kubańskie przyznały delegacji Parlamentu </w:t>
      </w:r>
      <w:r w:rsidRPr="004441E4">
        <w:lastRenderedPageBreak/>
        <w:t>Europejskiego, UE i państw członkowskich oraz niezależnym organizacjom praw człowieka dostęp na potrzeby monitorowania procesów sądowych i odwiedzania setek aktywistów i zwykłych Kubańczyków, którzy nadal są więzieni za korzystanie z prawa do wolności wypowiedzi i zgromadzeń; wzywa wysokiego przedstawiciela / wiceprzewodniczącego Komisji, aby we wszelkich kontaktach z władzami kubańskimi zwracał uwagę na fakt, że Parlamentowi ponownie odmówiono dostępu i wzywał je do natychmiastowego uchylenia tej decyzji;</w:t>
      </w:r>
    </w:p>
    <w:p w:rsidR="004A5066" w:rsidRPr="004441E4" w:rsidRDefault="004A5066" w:rsidP="004A5066">
      <w:pPr>
        <w:pStyle w:val="NormalHanging12a"/>
      </w:pPr>
      <w:r w:rsidRPr="004441E4">
        <w:t>10.</w:t>
      </w:r>
      <w:r w:rsidRPr="004441E4">
        <w:tab/>
      </w:r>
      <w:proofErr w:type="gramStart"/>
      <w:r w:rsidRPr="004441E4">
        <w:t>ponawia</w:t>
      </w:r>
      <w:proofErr w:type="gramEnd"/>
      <w:r w:rsidRPr="004441E4">
        <w:t xml:space="preserve"> swój apel do Rady o zastosowanie globalnego systemu sankcji UE za naruszenia praw człowieka (unijnej ustawy </w:t>
      </w:r>
      <w:proofErr w:type="spellStart"/>
      <w:r w:rsidRPr="004441E4">
        <w:t>Magnickiego</w:t>
      </w:r>
      <w:proofErr w:type="spellEnd"/>
      <w:r w:rsidRPr="004441E4">
        <w:t xml:space="preserve">) i przyjęcie sankcji wobec osób odpowiedzialnych za ciągłe naruszenia praw człowieka na Kubie, począwszy od wymierzenia sankcji wobec Miguela </w:t>
      </w:r>
      <w:proofErr w:type="spellStart"/>
      <w:r w:rsidRPr="004441E4">
        <w:t>Díaza-Canela</w:t>
      </w:r>
      <w:proofErr w:type="spellEnd"/>
      <w:r w:rsidRPr="004441E4">
        <w:t>, jako najwyższego rangą urzędnika w łańcuchu dowodzenia kubańskich sił bezpieczeństwa, wraz z innymi wysokimi rangą urzędnikami kubańskiego rządu i wszystkimi, którzy są odpowiedzialni za uwięzienie więźniów politycznych;</w:t>
      </w:r>
    </w:p>
    <w:p w:rsidR="004A5066" w:rsidRPr="004441E4" w:rsidRDefault="004A5066" w:rsidP="004A5066">
      <w:pPr>
        <w:pStyle w:val="NormalHanging12a"/>
      </w:pPr>
      <w:r w:rsidRPr="004441E4">
        <w:t>11.</w:t>
      </w:r>
      <w:r w:rsidRPr="004441E4">
        <w:tab/>
      </w:r>
      <w:proofErr w:type="gramStart"/>
      <w:r w:rsidRPr="004441E4">
        <w:t>ponawia</w:t>
      </w:r>
      <w:proofErr w:type="gramEnd"/>
      <w:r w:rsidRPr="004441E4">
        <w:t xml:space="preserve"> apel do UE o uruchomienie art. 85 ust. 3 lit. b) PDCA w celu zwołania natychmiastowego posiedzenia wspólnego komitetu w związku z naruszeniem umowy przez rząd kubański, co stanowi „szczególnie nagły przypadek”; podkreśla, że naruszenia te obejmują ciągłe i poważne naruszenia zasad demokracji, a także lekceważenie podstawowych praw człowieka i podstawowych wolności określonych w Powszechnej deklaracji praw człowieka i podkreślonych w art. 1 ust. 5 PDCA; podkreśla, że brak reakcji reżimu kubańskiego na takie naruszenia pomimo ponawianych wezwań ze strony Parlamentu powinien doprowadzić do zawieszenia umowy;</w:t>
      </w:r>
    </w:p>
    <w:p w:rsidR="004A5066" w:rsidRPr="004441E4" w:rsidRDefault="004A5066" w:rsidP="004A5066">
      <w:pPr>
        <w:pStyle w:val="NormalHanging12a"/>
      </w:pPr>
      <w:r w:rsidRPr="004441E4">
        <w:t>12.</w:t>
      </w:r>
      <w:r w:rsidRPr="004441E4">
        <w:tab/>
      </w:r>
      <w:proofErr w:type="gramStart"/>
      <w:r w:rsidRPr="004441E4">
        <w:t>zobowiązuje</w:t>
      </w:r>
      <w:proofErr w:type="gramEnd"/>
      <w:r w:rsidRPr="004441E4">
        <w:t xml:space="preserve"> swoją przewodniczącą do przekazania niniejszej rezolucji rządowi i Zgromadzeniu Narodowemu Władzy Ludowej Kuby, wiceprzewodniczącemu Komisji / wysokiemu przedstawicielowi Unii do spraw zagranicznych i polityki bezpieczeństwa, Komisji, Specjalnemu Przedstawicielowi Unii Europejskiej ds. Praw Człowieka, rządom i parlamentom państw członkowskich, Wysokiemu Komisarzowi Narodów Zjednoczonych ds. Praw Człowieka oraz rządom państw członkowskich Wspólnoty Państw Ameryki Łacińskiej i Karaibów.</w:t>
      </w:r>
    </w:p>
    <w:sectPr w:rsidR="004A5066" w:rsidRPr="004441E4" w:rsidSect="004441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5FC" w:rsidRPr="004441E4" w:rsidRDefault="00F375FC">
      <w:r w:rsidRPr="004441E4">
        <w:separator/>
      </w:r>
    </w:p>
  </w:endnote>
  <w:endnote w:type="continuationSeparator" w:id="0">
    <w:p w:rsidR="00F375FC" w:rsidRPr="004441E4" w:rsidRDefault="00F375FC">
      <w:r w:rsidRPr="004441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41E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41E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41E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5FC" w:rsidRPr="004441E4" w:rsidRDefault="00F375FC">
      <w:r w:rsidRPr="004441E4">
        <w:separator/>
      </w:r>
    </w:p>
  </w:footnote>
  <w:footnote w:type="continuationSeparator" w:id="0">
    <w:p w:rsidR="00F375FC" w:rsidRPr="004441E4" w:rsidRDefault="00F375FC">
      <w:r w:rsidRPr="004441E4">
        <w:continuationSeparator/>
      </w:r>
    </w:p>
  </w:footnote>
  <w:footnote w:id="1">
    <w:p w:rsidR="004A5066" w:rsidRPr="004441E4" w:rsidRDefault="004A5066" w:rsidP="004441E4">
      <w:pPr>
        <w:pStyle w:val="FootnoteText"/>
        <w:ind w:left="567" w:hanging="567"/>
        <w:rPr>
          <w:sz w:val="24"/>
          <w:lang w:val="pl-PL"/>
        </w:rPr>
      </w:pPr>
      <w:r w:rsidRPr="004441E4">
        <w:rPr>
          <w:rStyle w:val="FootnoteReference"/>
          <w:sz w:val="24"/>
          <w:lang w:val="pl-PL"/>
        </w:rPr>
        <w:footnoteRef/>
      </w:r>
      <w:r w:rsidR="004441E4" w:rsidRPr="004441E4">
        <w:rPr>
          <w:sz w:val="24"/>
          <w:lang w:val="pl-PL"/>
        </w:rPr>
        <w:t xml:space="preserve"> </w:t>
      </w:r>
      <w:r w:rsidR="004441E4" w:rsidRPr="004441E4">
        <w:rPr>
          <w:sz w:val="24"/>
          <w:lang w:val="pl-PL"/>
        </w:rPr>
        <w:tab/>
      </w:r>
      <w:r w:rsidRPr="004441E4">
        <w:rPr>
          <w:sz w:val="24"/>
          <w:lang w:val="pl-PL"/>
        </w:rPr>
        <w:t>Teksty przyjęte, P9_TA(2023)0280.</w:t>
      </w:r>
    </w:p>
  </w:footnote>
  <w:footnote w:id="2">
    <w:p w:rsidR="004A5066" w:rsidRPr="004441E4" w:rsidRDefault="004A5066" w:rsidP="004441E4">
      <w:pPr>
        <w:pStyle w:val="FootnoteText"/>
        <w:ind w:left="567" w:hanging="567"/>
        <w:rPr>
          <w:sz w:val="24"/>
          <w:lang w:val="pl-PL"/>
        </w:rPr>
      </w:pPr>
      <w:r w:rsidRPr="004441E4">
        <w:rPr>
          <w:rStyle w:val="FootnoteReference"/>
          <w:sz w:val="24"/>
          <w:lang w:val="pl-PL"/>
        </w:rPr>
        <w:footnoteRef/>
      </w:r>
      <w:r w:rsidR="004441E4" w:rsidRPr="004441E4">
        <w:rPr>
          <w:sz w:val="24"/>
          <w:lang w:val="pl-PL"/>
        </w:rPr>
        <w:t xml:space="preserve"> </w:t>
      </w:r>
      <w:r w:rsidR="004441E4" w:rsidRPr="004441E4">
        <w:rPr>
          <w:sz w:val="24"/>
          <w:lang w:val="pl-PL"/>
        </w:rPr>
        <w:tab/>
      </w:r>
      <w:r w:rsidRPr="004441E4">
        <w:rPr>
          <w:sz w:val="24"/>
          <w:lang w:val="pl-PL"/>
        </w:rPr>
        <w:t xml:space="preserve">Dz.U. L 337 I z 13.12.2016, </w:t>
      </w:r>
      <w:proofErr w:type="gramStart"/>
      <w:r w:rsidRPr="004441E4">
        <w:rPr>
          <w:sz w:val="24"/>
          <w:lang w:val="pl-PL"/>
        </w:rPr>
        <w:t>s</w:t>
      </w:r>
      <w:proofErr w:type="gramEnd"/>
      <w:r w:rsidRPr="004441E4">
        <w:rPr>
          <w:sz w:val="24"/>
          <w:lang w:val="pl-PL"/>
        </w:rPr>
        <w:t>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41E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41E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41E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/2024"/>
    <w:docVar w:name="dvlangue" w:val="PL"/>
    <w:docVar w:name="dvnumam" w:val="0"/>
    <w:docVar w:name="dvpe" w:val="756.911"/>
    <w:docVar w:name="dvtitre" w:val="Rezolucja Parlamentu Europejskiego z dnia  2024 r. w sprawie krytycznej sytuacji na Kubie(2024/2584(RSP))"/>
  </w:docVars>
  <w:rsids>
    <w:rsidRoot w:val="00F375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1E4"/>
    <w:rsid w:val="00471C19"/>
    <w:rsid w:val="00482750"/>
    <w:rsid w:val="004867E3"/>
    <w:rsid w:val="00494A28"/>
    <w:rsid w:val="004A506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5F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A9E86"/>
  <w15:chartTrackingRefBased/>
  <w15:docId w15:val="{766EE35B-D3AD-47E8-B177-EDF01843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5066"/>
    <w:pPr>
      <w:spacing w:after="240"/>
      <w:ind w:left="567" w:hanging="567"/>
    </w:pPr>
  </w:style>
  <w:style w:type="paragraph" w:customStyle="1" w:styleId="EPComma">
    <w:name w:val="EPComma"/>
    <w:basedOn w:val="Normal"/>
    <w:rsid w:val="004A506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A5066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6CB5B-6F7D-4867-A697-2C2E9C5F0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2349</Words>
  <Characters>15137</Characters>
  <Application>Microsoft Office Word</Application>
  <DocSecurity>0</DocSecurity>
  <Lines>126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2024-02-29T14:54:00Z</dcterms:created>
  <dcterms:modified xsi:type="dcterms:W3CDTF">2024-02-29T14:54:00Z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B9-0144/2024</vt:lpwstr>
  </property>
  <property fmtid="{D5CDD505-2E9C-101B-9397-08002B2CF9AE}" pid="4" name="&lt;Type&gt;">
    <vt:lpwstr>RR</vt:lpwstr>
  </property>
</Properties>
</file>