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P9_TA(2024)012</w:t>
      </w:r>
      <w:bookmarkEnd w:id="0"/>
      <w:r>
        <w:t>3</w:t>
      </w:r>
    </w:p>
    <w:p>
      <w:pPr>
        <w:pStyle w:val="ATHeading2"/>
      </w:pPr>
      <w:bookmarkStart w:id="1" w:name="title"/>
      <w:r>
        <w:t>Smernica o priemyselných emisiách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A9-0216/2023</w:instrText>
      </w:r>
      <w:bookmarkEnd w:id="2"/>
      <w:r>
        <w:rPr>
          <w:i/>
        </w:rPr>
        <w:instrText xml:space="preserve"> - Spravodajca: Radan Kanev)"\l3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PE737.352</w:t>
      </w:r>
      <w:bookmarkEnd w:id="4"/>
    </w:p>
    <w:p>
      <w:pPr>
        <w:pStyle w:val="ATHeading3"/>
      </w:pPr>
      <w:bookmarkStart w:id="5" w:name="Sujet"/>
      <w:r>
        <w:t>Legislatívne uznesenie Európskeho parlamentu z 12. marca 2024 o návrhu smernice Európskeho parlamentu a Rady, ktorou sa mení smernica Európskeho parlamentu a Rady 2010/75/EÚ z 24. novembra 2010 o priemyselných emisiách (integrovaná prevencia a kontrola znečisťovania životného prostredia) a smernica Rady 1999/31/ES z 26. apríla 1999 o skládkach odpadov</w:t>
      </w:r>
      <w:bookmarkEnd w:id="5"/>
      <w:r>
        <w:t xml:space="preserve"> </w:t>
      </w:r>
      <w:bookmarkStart w:id="6" w:name="References"/>
      <w:r>
        <w:t>(COM(2022)0156 – C9-0144/2022 – 2022/0104(COD))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(COM(2022)0156),</w:t>
      </w:r>
    </w:p>
    <w:p>
      <w:pPr>
        <w:pStyle w:val="NormalHanging12a"/>
      </w:pPr>
      <w:r>
        <w:t>–</w:t>
      </w:r>
      <w:r>
        <w:tab/>
        <w:t>so zreteľom na článok 294 ods. 2 a článok 192 ods. 1 Zmluvy o fungovaní Európskej únie, v súlade s ktorými Komisia predložila návrh Európskemu parlamentu (C9</w:t>
      </w:r>
      <w:r>
        <w:noBreakHyphen/>
        <w:t>0144/2022),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odôvodnené stanovisko predložené na základe Protokolu č. 2 o uplatňovaní zásad subsidiarity a proporcionality českým parlamentom, ktorý tvrdí, že návrh legislatívneho aktu nie je v súlade so zásadou subsidiarity,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 zo 14. júla 2022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zo zreteľom na stanovisko Výboru regiónov z 12. októbra 2022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predbežnú dohodu schválenú gestorským výborom podľa článku 74 ods. 4 rokovacieho poriadku, a na záväzok zástupcu Rady, vyjadrený v liste z 15. decembra 2023, schváliť pozíciu Európskeho parlamentu v súlade s článkom 294 </w:t>
      </w:r>
      <w:r>
        <w:lastRenderedPageBreak/>
        <w:t>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stanoviská Výboru pre priemysel, výskum a energetiku a Výboru pre poľnohospodárstvo a rozvoj vidieka,</w:t>
      </w:r>
    </w:p>
    <w:p>
      <w:pPr>
        <w:pStyle w:val="NormalHanging12a"/>
      </w:pPr>
      <w:r>
        <w:t>–</w:t>
      </w:r>
      <w:r>
        <w:tab/>
        <w:t>so zreteľom na správu Výboru pre životné prostredie, verejné zdravie a bezpečnosť potravín (A9-0216/2023),</w:t>
      </w:r>
    </w:p>
    <w:p>
      <w:pPr>
        <w:pStyle w:val="NormalHanging12a"/>
      </w:pPr>
      <w:r>
        <w:t>1.</w:t>
      </w:r>
      <w:r>
        <w:tab/>
        <w:t>prijíma nasledujúcu pozíciu v prvom čítaní</w:t>
      </w:r>
      <w:r>
        <w:rPr>
          <w:rStyle w:val="FootnoteReference"/>
        </w:rPr>
        <w:footnoteReference w:id="3"/>
      </w:r>
      <w:r>
        <w:t>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P9_TC1-COD(2022)0104</w:t>
      </w:r>
    </w:p>
    <w:p>
      <w:pPr>
        <w:rPr>
          <w:b/>
        </w:rPr>
      </w:pPr>
      <w:r>
        <w:rPr>
          <w:b/>
        </w:rPr>
        <w:t>Pozícia Európskeho parlamentu prijatá v prvom čítaní 12. marca 2024 na účely prijatia smernice Európskeho parlamentu a Rady (EÚ) 2024/..., ktorou sa mení smernica Európskeho parlamentu a Rady 2010/75/EÚ o priemyselných emisiách (integrovaná prevencia a kontrola znečisťovania životného prostredia) a smernica Rady 1999/31/ES o skládkach odpadov</w:t>
      </w:r>
    </w:p>
    <w:p>
      <w:pPr>
        <w:rPr>
          <w:b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2024/1785</w:t>
      </w:r>
      <w:bookmarkStart w:id="8" w:name="_GoBack"/>
      <w:bookmarkEnd w:id="8"/>
      <w:r>
        <w:rPr>
          <w:i/>
          <w:iCs/>
        </w:rPr>
        <w:t>.)</w:t>
      </w:r>
    </w:p>
    <w:p>
      <w:pPr>
        <w:rPr>
          <w:b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443, 22.11.2022, s. 130.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498, 30.12.2022, s. 154.</w:t>
      </w:r>
    </w:p>
  </w:footnote>
  <w:footnote w:id="3">
    <w:p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Táto pozícia nahrádza pozmeňujúce návrhy prijaté 11. júla 2023 (Prijaté texty, P9_TA(2023)0259).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E174BE2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6"/>
  </w:num>
  <w:num w:numId="10">
    <w:abstractNumId w:val="27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5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SK"/>
    <w:docVar w:name="dvnumam" w:val="327"/>
    <w:docVar w:name="dvpe" w:val="737.352"/>
    <w:docVar w:name="dvrapporteur" w:val="Spravodajca: "/>
    <w:docVar w:name="dvstar" w:val="***I"/>
    <w:docVar w:name="dvtitre" w:val="Legislatívne uznesenie Európskeho parlamentu z xx. marca 2024 o návrhu smernice Európskeho parlamentu a Rady 2010/75/EÚ z 24. novembra 2010 o priemyselných emisiách (integrovaná prevencia a kontrola znečisťovania životného prostredia) a smernica Rady 1999/31/ES z 26. apríla 1999 o skládkach odpadov(COM(2022)0156 – C9-0144/20222 – 2022/010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56166-54AE-4B37-B4C8-0331C0CE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customStyle="1" w:styleId="Sup">
    <w:name w:val="Sup"/>
    <w:uiPriority w:val="1"/>
    <w:qFormat/>
    <w:rPr>
      <w:vertAlign w:val="superscript"/>
    </w:rPr>
  </w:style>
  <w:style w:type="character" w:customStyle="1" w:styleId="SupBoldItalic">
    <w:name w:val="SupBoldItalic"/>
    <w:uiPriority w:val="1"/>
    <w:qFormat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pPr>
      <w:jc w:val="center"/>
    </w:pPr>
    <w:rPr>
      <w:b/>
      <w:i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Pr>
      <w:sz w:val="24"/>
    </w:rPr>
  </w:style>
  <w:style w:type="paragraph" w:customStyle="1" w:styleId="Normal6">
    <w:name w:val="Normal6"/>
    <w:basedOn w:val="Normal"/>
    <w:link w:val="Normal6Char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Normal12Italic">
    <w:name w:val="Normal12Italic"/>
    <w:basedOn w:val="Normal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character" w:customStyle="1" w:styleId="NormalBold12bChar">
    <w:name w:val="NormalBold12b Char"/>
    <w:basedOn w:val="DefaultParagraphFont"/>
    <w:link w:val="NormalBold12b"/>
    <w:rPr>
      <w:b/>
      <w:sz w:val="24"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  <w:lang w:val="sk-SK"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Pr>
      <w:b/>
      <w:i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styleId="Index1">
    <w:name w:val="index 1"/>
    <w:basedOn w:val="Normal"/>
    <w:next w:val="Normal"/>
    <w:autoRedefine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styleId="ListParagraph">
    <w:name w:val="List Paragraph"/>
    <w:aliases w:val="List Paragraph1,Numbered Para 1,Dot pt,No Spacing1,Indicator Text,Bullet Points,MAIN CONTENT,List Paragraph12,F5 List Paragraph,Heading 2_sj,1st level - Bullet List Paragraph,Lettre d'introduction,Ha"/>
    <w:basedOn w:val="Normal"/>
    <w:uiPriority w:val="34"/>
    <w:qFormat/>
    <w:pPr>
      <w:widowControl/>
      <w:ind w:left="720"/>
    </w:pPr>
    <w:rPr>
      <w:rFonts w:eastAsiaTheme="minorHAnsi"/>
      <w:szCs w:val="24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ListNumber">
    <w:name w:val="List Number"/>
    <w:basedOn w:val="Normal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pPr>
      <w:spacing w:after="200" w:line="276" w:lineRule="auto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pPr>
      <w:numPr>
        <w:numId w:val="13"/>
      </w:numPr>
      <w:tabs>
        <w:tab w:val="clear" w:pos="1560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13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numPr>
        <w:ilvl w:val="1"/>
        <w:numId w:val="14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numPr>
        <w:ilvl w:val="1"/>
        <w:numId w:val="15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13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numPr>
        <w:ilvl w:val="2"/>
        <w:numId w:val="14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numPr>
        <w:ilvl w:val="2"/>
        <w:numId w:val="15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13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numPr>
        <w:ilvl w:val="3"/>
        <w:numId w:val="14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numPr>
        <w:ilvl w:val="3"/>
        <w:numId w:val="15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link w:val="FooterCoverPage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Pr>
      <w:rFonts w:eastAsia="Calibri"/>
      <w:sz w:val="24"/>
      <w:szCs w:val="22"/>
      <w:lang w:val="sk-SK"/>
    </w:rPr>
  </w:style>
  <w:style w:type="table" w:customStyle="1" w:styleId="TableGrid11">
    <w:name w:val="Table Grid11"/>
    <w:basedOn w:val="TableNormal"/>
    <w:next w:val="TableGrid"/>
    <w:uiPriority w:val="59"/>
    <w:pPr>
      <w:spacing w:before="60" w:line="276" w:lineRule="auto"/>
    </w:pPr>
    <w:rPr>
      <w:rFonts w:ascii="Arial" w:hAnsi="Arial"/>
      <w:lang w:val="sk-SK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sk-SK"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odyText">
    <w:name w:val="Body Text"/>
    <w:basedOn w:val="Normal"/>
    <w:link w:val="BodyTextChar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ascii="Calibri" w:eastAsia="Calibri" w:hAnsi="Calibri" w:cs="DejaVu Sans"/>
      <w:color w:val="00000A"/>
      <w:sz w:val="22"/>
      <w:szCs w:val="22"/>
      <w:lang w:val="sk-SK" w:eastAsia="en-US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Pr>
      <w:i/>
      <w:iCs/>
    </w:rPr>
  </w:style>
  <w:style w:type="table" w:customStyle="1" w:styleId="TableGrid2">
    <w:name w:val="Table Grid2"/>
    <w:basedOn w:val="TableNormal"/>
    <w:next w:val="TableGrid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pPr>
      <w:spacing w:before="60"/>
    </w:pPr>
    <w:rPr>
      <w:rFonts w:ascii="Arial" w:hAnsi="Arial"/>
      <w:lang w:val="sk-SK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21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pPr>
      <w:numPr>
        <w:numId w:val="22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pPr>
      <w:numPr>
        <w:numId w:val="23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pPr>
      <w:numPr>
        <w:numId w:val="24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pPr>
      <w:numPr>
        <w:numId w:val="25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pPr>
      <w:numPr>
        <w:numId w:val="26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widowControl/>
      <w:numPr>
        <w:numId w:val="1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1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1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1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27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28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29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18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title-bold">
    <w:name w:val="title-bold"/>
    <w:basedOn w:val="Normal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9577A-84E7-4B7B-AF95-7FD314D3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2024-07-16T10:17:00Z</dcterms:created>
  <dcterms:modified xsi:type="dcterms:W3CDTF">2024-07-16T10:17:00Z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