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P9_TA(2024)0124</w:t>
      </w:r>
      <w:bookmarkEnd w:id="0"/>
    </w:p>
    <w:p>
      <w:pPr>
        <w:pStyle w:val="ATHeading2"/>
      </w:pPr>
      <w:bookmarkStart w:id="1" w:name="title"/>
      <w:r>
        <w:t>Portál priemyselných emisií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A9-0211/2023</w:instrText>
      </w:r>
      <w:bookmarkEnd w:id="2"/>
      <w:r>
        <w:rPr>
          <w:i/>
        </w:rPr>
        <w:instrText xml:space="preserve"> - Spravodajca: Radan Kanev)"\l3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životné prostredie, verejné zdravie a bezpečnosť potravín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PE737.356</w:t>
      </w:r>
      <w:bookmarkEnd w:id="4"/>
    </w:p>
    <w:p>
      <w:pPr>
        <w:pStyle w:val="ATHeading3"/>
      </w:pPr>
      <w:bookmarkStart w:id="5" w:name="Sujet"/>
      <w:r>
        <w:t>Legislatívne uznesenie Európskeho parlamentu z 12. marca 2024 o návrhu nariadenia Európskeho parlamentu a Rady o oznamovaní environmentálnych údajov z priemyselných zariadení a o zriadení portálu priemyselných emisií</w:t>
      </w:r>
      <w:bookmarkEnd w:id="5"/>
      <w:r>
        <w:t xml:space="preserve"> </w:t>
      </w:r>
      <w:bookmarkStart w:id="6" w:name="References"/>
      <w:r>
        <w:t>(COM(2022)0157 – C9-0145/2022 – 2022/0105(COD))</w:t>
      </w:r>
      <w:bookmarkEnd w:id="6"/>
    </w:p>
    <w:p>
      <w:pPr>
        <w:pStyle w:val="NormalBold"/>
      </w:pPr>
      <w:bookmarkStart w:id="7" w:name="TextBodyBegin"/>
      <w:bookmarkEnd w:id="7"/>
      <w:r>
        <w:t>(Riadny legislatívny postup: prvé čítanie)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Komisie pre Európsky parlament a Radu (COM(2022)0157),</w:t>
      </w:r>
    </w:p>
    <w:p>
      <w:pPr>
        <w:pStyle w:val="NormalHanging12a"/>
      </w:pPr>
      <w:r>
        <w:t>–</w:t>
      </w:r>
      <w:r>
        <w:tab/>
        <w:t>so zreteľom na článok 294 ods. 2 a článok 192 ods. 1 Zmluvy o fungovaní Európskej únie, v súlade s ktorými Komisia predložila návrh Európskemu parlamentu (C9</w:t>
      </w:r>
      <w:r>
        <w:noBreakHyphen/>
        <w:t>0145/2022),</w:t>
      </w:r>
    </w:p>
    <w:p>
      <w:pPr>
        <w:pStyle w:val="NormalHanging12a"/>
      </w:pPr>
      <w:r>
        <w:t>–</w:t>
      </w:r>
      <w:r>
        <w:tab/>
        <w:t>so zreteľom na článok 294 ods. 3 Zmluvy o fungovaní Európskej únie,</w:t>
      </w:r>
    </w:p>
    <w:p>
      <w:pPr>
        <w:pStyle w:val="NormalHanging12a"/>
      </w:pPr>
      <w:r>
        <w:t>–</w:t>
      </w:r>
      <w:r>
        <w:tab/>
        <w:t>so zreteľom na stanovisko Európskeho hospodárskeho a sociálneho výboru zo 14. júla 2022</w:t>
      </w:r>
      <w:r>
        <w:rPr>
          <w:rStyle w:val="FootnoteReference"/>
        </w:rPr>
        <w:footnoteReference w:id="1"/>
      </w:r>
      <w:r>
        <w:t>,</w:t>
      </w:r>
    </w:p>
    <w:p>
      <w:pPr>
        <w:pStyle w:val="NormalHanging12a"/>
      </w:pPr>
      <w:r>
        <w:t>–</w:t>
      </w:r>
      <w:r>
        <w:tab/>
        <w:t>so zreteľom na stanovisko Výboru regiónov z 12. októbra 2022</w:t>
      </w:r>
      <w:r>
        <w:rPr>
          <w:rStyle w:val="FootnoteReference"/>
        </w:rPr>
        <w:footnoteReference w:id="2"/>
      </w:r>
      <w:r>
        <w:t>,</w:t>
      </w:r>
    </w:p>
    <w:p>
      <w:pPr>
        <w:pStyle w:val="NormalHanging12a"/>
      </w:pPr>
      <w:r>
        <w:t>–</w:t>
      </w:r>
      <w:r>
        <w:tab/>
        <w:t>so zreteľom na predbežnú dohodu schválenú gestorským výborom podľa článku 74 ods. 4 rokovacieho poriadku, a na záväzok zástupcu Rady, vyjadrený v liste z 15. decembra 2023, schváliť pozíciu Európskeho parlamentu v súlade s článkom 294 ods. 4 Zmluvy o fungovaní Európskej únie,</w:t>
      </w:r>
    </w:p>
    <w:p>
      <w:pPr>
        <w:pStyle w:val="NormalHanging12a"/>
      </w:pPr>
      <w:r>
        <w:t>–</w:t>
      </w:r>
      <w:r>
        <w:tab/>
        <w:t>so zreteľom na článok 59 rokovacieho poriadku,</w:t>
      </w:r>
    </w:p>
    <w:p>
      <w:pPr>
        <w:pStyle w:val="NormalHanging12a"/>
      </w:pPr>
      <w:r>
        <w:t>–</w:t>
      </w:r>
      <w:r>
        <w:tab/>
        <w:t>so zreteľom na správu Výboru pre životné prostredie, verejné zdravie a bezpečnosť potravín (A9-0211/2023),</w:t>
      </w:r>
    </w:p>
    <w:p>
      <w:pPr>
        <w:pStyle w:val="NormalHanging12a"/>
      </w:pPr>
      <w:r>
        <w:lastRenderedPageBreak/>
        <w:t>1.</w:t>
      </w:r>
      <w:r>
        <w:tab/>
        <w:t>prijíma nasledujúcu pozíciu v prvom čítaní</w:t>
      </w:r>
      <w:r>
        <w:rPr>
          <w:rStyle w:val="FootnoteReference"/>
        </w:rPr>
        <w:footnoteReference w:id="3"/>
      </w:r>
      <w:r>
        <w:t>;</w:t>
      </w:r>
    </w:p>
    <w:p>
      <w:pPr>
        <w:pStyle w:val="NormalHanging12a"/>
      </w:pPr>
      <w:r>
        <w:t>2.</w:t>
      </w:r>
      <w:r>
        <w:tab/>
        <w:t>žiada Komisiu, aby mu vec znovu predložila, ak nahrádza, podstatne mení alebo má v úmysle podstatne zmeniť svoj návrh;</w:t>
      </w:r>
    </w:p>
    <w:p>
      <w:pPr>
        <w:pStyle w:val="NormalHanging12a"/>
      </w:pPr>
      <w:r>
        <w:t>3.</w:t>
      </w:r>
      <w:r>
        <w:tab/>
        <w:t>poveruje svoju predsedníčku, aby postúpila túto pozíciu Rade, Komisii a národným parlamentom.</w:t>
      </w:r>
    </w:p>
    <w:p>
      <w:pPr>
        <w:pStyle w:val="NormalHanging12a"/>
      </w:pPr>
    </w:p>
    <w:p>
      <w:pPr>
        <w:sectPr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>
      <w:pPr>
        <w:pStyle w:val="Institutionquiagit"/>
        <w:keepNext w:val="0"/>
        <w:spacing w:before="0" w:after="240"/>
        <w:jc w:val="left"/>
        <w:outlineLvl w:val="0"/>
        <w:rPr>
          <w:b/>
          <w:lang w:val="sk-SK"/>
        </w:rPr>
      </w:pPr>
      <w:r>
        <w:rPr>
          <w:b/>
          <w:lang w:val="sk-SK"/>
        </w:rPr>
        <w:lastRenderedPageBreak/>
        <w:t>P9_TC1-COD(2022)0105</w:t>
      </w:r>
    </w:p>
    <w:p>
      <w:pPr>
        <w:rPr>
          <w:rFonts w:eastAsia="Calibri"/>
          <w:b/>
          <w:color w:val="000000"/>
          <w:szCs w:val="22"/>
          <w:lang w:eastAsia="en-US"/>
        </w:rPr>
      </w:pPr>
      <w:r>
        <w:rPr>
          <w:b/>
        </w:rPr>
        <w:t xml:space="preserve">Pozícia Európskeho parlamentu prijatá v prvom čítaní 12. marca 2024 na účely prijatia nariadenia Európskeho parlamentu a Rady (EÚ) 2024/... </w:t>
      </w:r>
      <w:r>
        <w:rPr>
          <w:rFonts w:eastAsia="Calibri"/>
          <w:b/>
          <w:color w:val="000000"/>
          <w:szCs w:val="22"/>
          <w:lang w:eastAsia="en-US"/>
        </w:rPr>
        <w:t>o oznamovaní environmentálnych údajov z priemyselných zariadení, o zriadení portálu priemyselných emisií</w:t>
      </w:r>
      <w:r>
        <w:rPr>
          <w:rFonts w:eastAsia="Calibri"/>
          <w:b/>
          <w:i/>
          <w:color w:val="000000"/>
          <w:szCs w:val="22"/>
          <w:lang w:eastAsia="en-US"/>
        </w:rPr>
        <w:t xml:space="preserve">, </w:t>
      </w:r>
      <w:r>
        <w:rPr>
          <w:rFonts w:eastAsia="Calibri"/>
          <w:b/>
          <w:color w:val="000000"/>
          <w:szCs w:val="22"/>
          <w:lang w:eastAsia="en-US"/>
        </w:rPr>
        <w:t>a o zrušení nariadenia (ES) č. 166/2006</w:t>
      </w:r>
    </w:p>
    <w:p>
      <w:pPr>
        <w:rPr>
          <w:rFonts w:eastAsia="Calibri"/>
          <w:b/>
          <w:i/>
          <w:color w:val="000000"/>
          <w:szCs w:val="22"/>
          <w:lang w:eastAsia="en-US"/>
        </w:rPr>
      </w:pPr>
    </w:p>
    <w:p>
      <w:r>
        <w:rPr>
          <w:i/>
          <w:iCs/>
        </w:rPr>
        <w:t xml:space="preserve">(Keďže bola dosiahnutá dohoda medzi Európskym parlamentom a Radou, pozícia Európskeho parlamentu zodpovedá záverečnému legislatívnemu aktu, nariadeniu </w:t>
      </w:r>
      <w:r>
        <w:rPr>
          <w:i/>
          <w:iCs/>
        </w:rPr>
        <w:t>(EÚ) 2024/1244</w:t>
      </w:r>
      <w:bookmarkStart w:id="8" w:name="_GoBack"/>
      <w:bookmarkEnd w:id="8"/>
      <w:r>
        <w:rPr>
          <w:i/>
          <w:iCs/>
        </w:rPr>
        <w:t>.)</w:t>
      </w:r>
    </w:p>
    <w:p>
      <w:pPr>
        <w:rPr>
          <w:rFonts w:eastAsia="Calibri"/>
          <w:b/>
          <w:color w:val="000000"/>
          <w:szCs w:val="22"/>
          <w:lang w:eastAsia="en-US"/>
        </w:rPr>
      </w:pPr>
    </w:p>
    <w:sectPr>
      <w:footnotePr>
        <w:numRestart w:val="eachSect"/>
      </w:footnotePr>
      <w:pgSz w:w="11907" w:h="16840" w:code="1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443, 22.11.2022, s. 130.</w:t>
      </w:r>
    </w:p>
  </w:footnote>
  <w:footnote w:id="2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  <w:lang w:val="sk-SK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Ú. v. EÚ C 498, 30.12.2022, s. 154.</w:t>
      </w:r>
    </w:p>
  </w:footnote>
  <w:footnote w:id="3">
    <w:p>
      <w:pPr>
        <w:pStyle w:val="FootnoteText"/>
        <w:ind w:left="567" w:hanging="567"/>
        <w:rPr>
          <w:sz w:val="24"/>
          <w:szCs w:val="24"/>
          <w:lang w:val="sk-SK"/>
        </w:rPr>
      </w:pPr>
      <w:r>
        <w:rPr>
          <w:rStyle w:val="FootnoteReference"/>
          <w:sz w:val="24"/>
          <w:szCs w:val="24"/>
        </w:rPr>
        <w:footnoteRef/>
      </w:r>
      <w:r>
        <w:rPr>
          <w:sz w:val="24"/>
          <w:szCs w:val="24"/>
          <w:lang w:val="sk-SK"/>
        </w:rPr>
        <w:t xml:space="preserve"> </w:t>
      </w:r>
      <w:r>
        <w:rPr>
          <w:sz w:val="24"/>
          <w:szCs w:val="24"/>
          <w:lang w:val="sk-SK"/>
        </w:rPr>
        <w:tab/>
        <w:t>Táto pozícia nahrádza pozmeňujúce návrhy prijaté 11. júla 2023 (Prijaté texty, P9_TA(2023)0260).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3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5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7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8" w15:restartNumberingAfterBreak="0">
    <w:nsid w:val="2D820C1F"/>
    <w:multiLevelType w:val="singleLevel"/>
    <w:tmpl w:val="7896AADE"/>
    <w:name w:val="List Dash"/>
    <w:lvl w:ilvl="0">
      <w:start w:val="1"/>
      <w:numFmt w:val="bullet"/>
      <w:lvlRestart w:val="0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9" w15:restartNumberingAfterBreak="0">
    <w:nsid w:val="2F191641"/>
    <w:multiLevelType w:val="multilevel"/>
    <w:tmpl w:val="B67C4E92"/>
    <w:lvl w:ilvl="0">
      <w:start w:val="1"/>
      <w:numFmt w:val="decimal"/>
      <w:pStyle w:val="ListNumber3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3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3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0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398C015E"/>
    <w:multiLevelType w:val="multilevel"/>
    <w:tmpl w:val="027A66BA"/>
    <w:name w:val="List Dash 4"/>
    <w:lvl w:ilvl="0">
      <w:start w:val="1"/>
      <w:numFmt w:val="decimal"/>
      <w:pStyle w:val="ListNumber2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2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2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4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5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6" w15:restartNumberingAfterBreak="0">
    <w:nsid w:val="4552127F"/>
    <w:multiLevelType w:val="singleLevel"/>
    <w:tmpl w:val="057A5296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7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8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19" w15:restartNumberingAfterBreak="0">
    <w:nsid w:val="542A1204"/>
    <w:multiLevelType w:val="multilevel"/>
    <w:tmpl w:val="BC1E8404"/>
    <w:lvl w:ilvl="0">
      <w:start w:val="1"/>
      <w:numFmt w:val="decimal"/>
      <w:pStyle w:val="ListNumber4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4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4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0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1" w15:restartNumberingAfterBreak="0">
    <w:nsid w:val="5B0B0635"/>
    <w:multiLevelType w:val="singleLevel"/>
    <w:tmpl w:val="017E7CEE"/>
    <w:lvl w:ilvl="0">
      <w:start w:val="1"/>
      <w:numFmt w:val="bullet"/>
      <w:lvlRestart w:val="0"/>
      <w:pStyle w:val="ListBullet4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F84969"/>
    <w:multiLevelType w:val="singleLevel"/>
    <w:tmpl w:val="1E12021A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1F06166"/>
    <w:multiLevelType w:val="multilevel"/>
    <w:tmpl w:val="C08066D2"/>
    <w:name w:val="0.6719891"/>
    <w:lvl w:ilvl="0">
      <w:start w:val="1"/>
      <w:numFmt w:val="decimal"/>
      <w:lvlRestart w:val="0"/>
      <w:pStyle w:val="ListNumber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6"/>
        </w:tabs>
        <w:ind w:left="1416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 w:cs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3D73F7A"/>
    <w:multiLevelType w:val="singleLevel"/>
    <w:tmpl w:val="26365734"/>
    <w:lvl w:ilvl="0">
      <w:start w:val="1"/>
      <w:numFmt w:val="bullet"/>
      <w:pStyle w:val="ListBullet2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9" w15:restartNumberingAfterBreak="0">
    <w:nsid w:val="76BC5C11"/>
    <w:multiLevelType w:val="singleLevel"/>
    <w:tmpl w:val="E44CE82E"/>
    <w:lvl w:ilvl="0">
      <w:start w:val="1"/>
      <w:numFmt w:val="bullet"/>
      <w:pStyle w:val="ListBullet3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30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"/>
  </w:num>
  <w:num w:numId="2">
    <w:abstractNumId w:val="11"/>
  </w:num>
  <w:num w:numId="3">
    <w:abstractNumId w:val="16"/>
  </w:num>
  <w:num w:numId="4">
    <w:abstractNumId w:val="0"/>
  </w:num>
  <w:num w:numId="5">
    <w:abstractNumId w:val="21"/>
  </w:num>
  <w:num w:numId="6">
    <w:abstractNumId w:val="8"/>
  </w:num>
  <w:num w:numId="7">
    <w:abstractNumId w:val="18"/>
  </w:num>
  <w:num w:numId="8">
    <w:abstractNumId w:val="17"/>
  </w:num>
  <w:num w:numId="9">
    <w:abstractNumId w:val="27"/>
  </w:num>
  <w:num w:numId="10">
    <w:abstractNumId w:val="25"/>
  </w:num>
  <w:num w:numId="11">
    <w:abstractNumId w:val="28"/>
  </w:num>
  <w:num w:numId="12">
    <w:abstractNumId w:val="29"/>
  </w:num>
  <w:num w:numId="13">
    <w:abstractNumId w:val="2"/>
  </w:num>
  <w:num w:numId="14">
    <w:abstractNumId w:val="10"/>
  </w:num>
  <w:num w:numId="15">
    <w:abstractNumId w:val="3"/>
  </w:num>
  <w:num w:numId="16">
    <w:abstractNumId w:val="12"/>
  </w:num>
  <w:num w:numId="17">
    <w:abstractNumId w:val="9"/>
  </w:num>
  <w:num w:numId="18">
    <w:abstractNumId w:val="19"/>
  </w:num>
  <w:num w:numId="19">
    <w:abstractNumId w:val="30"/>
    <w:lvlOverride w:ilvl="0">
      <w:startOverride w:val="1"/>
    </w:lvlOverride>
  </w:num>
  <w:num w:numId="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</w:num>
  <w:num w:numId="2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</w:num>
  <w:num w:numId="24">
    <w:abstractNumId w:val="26"/>
  </w:num>
  <w:num w:numId="25">
    <w:abstractNumId w:val="7"/>
  </w:num>
  <w:num w:numId="26">
    <w:abstractNumId w:val="14"/>
  </w:num>
  <w:num w:numId="27">
    <w:abstractNumId w:val="15"/>
  </w:num>
  <w:num w:numId="28">
    <w:abstractNumId w:val="22"/>
  </w:num>
  <w:num w:numId="29">
    <w:abstractNumId w:val="23"/>
  </w:num>
  <w:num w:numId="30">
    <w:abstractNumId w:val="6"/>
  </w:num>
  <w:num w:numId="31">
    <w:abstractNumId w:val="20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11/2023"/>
    <w:docVar w:name="dvlangue" w:val="SK"/>
    <w:docVar w:name="dvnumam" w:val="58"/>
    <w:docVar w:name="dvpe" w:val="737.356"/>
    <w:docVar w:name="dvrapporteur" w:val="Spravodajca: "/>
    <w:docVar w:name="dvstar" w:val="***I"/>
    <w:docVar w:name="dvtitre" w:val="Legislatívne uznesenie Európskeho parlamentu z xx. marca 2024 o návrhu nariadenia Európskeho parlamentu a Rady o oznamovaní environmentálnych údajov z priemyselných zariadení a o zriadení portálu priemyselných emisií(COM(2022)0157 – C9-0145/2022 – 2022/0105(COD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DF5C54-E0E7-4B75-B165-31ADE9017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List Bullet" w:uiPriority="99"/>
    <w:lsdException w:name="List Number" w:uiPriority="99"/>
    <w:lsdException w:name="List Bullet 2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</w:style>
  <w:style w:type="paragraph" w:styleId="TOC2">
    <w:name w:val="toc 2"/>
    <w:basedOn w:val="Normal"/>
    <w:next w:val="Normal"/>
    <w:autoRedefine/>
    <w:uiPriority w:val="39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iPriority w:val="39"/>
    <w:unhideWhenUsed/>
    <w:qFormat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AmJustText">
    <w:name w:val="AmJustText"/>
    <w:basedOn w:val="Normal"/>
    <w:pPr>
      <w:spacing w:after="240"/>
    </w:pPr>
    <w:rPr>
      <w:i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CoverNormal24a">
    <w:name w:val="CoverNormal24a"/>
    <w:basedOn w:val="Normal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Pr>
      <w:sz w:val="24"/>
      <w:lang w:val="sk-SK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pPr>
      <w:spacing w:before="240"/>
    </w:pPr>
    <w:rPr>
      <w:b/>
    </w:rPr>
  </w:style>
  <w:style w:type="paragraph" w:customStyle="1" w:styleId="EPBody">
    <w:name w:val="EPBody"/>
    <w:basedOn w:val="Normal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Lgendesigne">
    <w:name w:val="Légende signe"/>
    <w:basedOn w:val="Normal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Pr>
      <w:sz w:val="18"/>
    </w:rPr>
  </w:style>
  <w:style w:type="paragraph" w:customStyle="1" w:styleId="Normal24a">
    <w:name w:val="Normal24a"/>
    <w:basedOn w:val="Normal"/>
    <w:pPr>
      <w:spacing w:after="480"/>
    </w:pPr>
  </w:style>
  <w:style w:type="paragraph" w:customStyle="1" w:styleId="NormalBoldCenter">
    <w:name w:val="NormalBoldCenter"/>
    <w:basedOn w:val="Normal"/>
    <w:pPr>
      <w:jc w:val="center"/>
    </w:pPr>
    <w:rPr>
      <w:b/>
    </w:rPr>
  </w:style>
  <w:style w:type="character" w:customStyle="1" w:styleId="Normal6Char">
    <w:name w:val="Normal6 Char"/>
    <w:basedOn w:val="DefaultParagraphFont"/>
    <w:link w:val="Normal6"/>
    <w:locked/>
    <w:rPr>
      <w:sz w:val="24"/>
      <w:lang w:val="sk-SK"/>
    </w:rPr>
  </w:style>
  <w:style w:type="paragraph" w:customStyle="1" w:styleId="Normal6">
    <w:name w:val="Normal6"/>
    <w:basedOn w:val="Normal"/>
    <w:link w:val="Normal6Char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Pr>
      <w:b/>
      <w:sz w:val="24"/>
      <w:lang w:val="sk-SK"/>
    </w:rPr>
  </w:style>
  <w:style w:type="paragraph" w:customStyle="1" w:styleId="ColumnHeading">
    <w:name w:val="ColumnHeading"/>
    <w:basedOn w:val="Normal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pPr>
      <w:jc w:val="right"/>
    </w:pPr>
    <w:rPr>
      <w:lang w:val="sk-SK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Pr>
      <w:rFonts w:asciiTheme="minorHAnsi" w:hAnsiTheme="minorHAnsi" w:cs="Calibri" w:hint="default"/>
      <w:b/>
      <w:bCs w:val="0"/>
      <w:i/>
      <w:iCs/>
    </w:rPr>
  </w:style>
  <w:style w:type="paragraph" w:customStyle="1" w:styleId="Bullet0">
    <w:name w:val="Bullet 0"/>
    <w:basedOn w:val="Normal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sk-SK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link w:val="CommentTextChar"/>
    <w:qFormat/>
    <w:rPr>
      <w:sz w:val="20"/>
    </w:rPr>
  </w:style>
  <w:style w:type="character" w:customStyle="1" w:styleId="CommentTextChar">
    <w:name w:val="Comment Text Char"/>
    <w:basedOn w:val="DefaultParagraphFont"/>
    <w:link w:val="CommentText"/>
    <w:qFormat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lang w:val="sk-SK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  <w:lang w:val="sk-SK"/>
    </w:rPr>
  </w:style>
  <w:style w:type="paragraph" w:customStyle="1" w:styleId="Normal1">
    <w:name w:val="Normal1"/>
    <w:basedOn w:val="Normal"/>
    <w:pPr>
      <w:widowControl/>
      <w:spacing w:before="100" w:beforeAutospacing="1" w:after="100" w:afterAutospacing="1"/>
    </w:pPr>
    <w:rPr>
      <w:szCs w:val="24"/>
    </w:rPr>
  </w:style>
  <w:style w:type="character" w:customStyle="1" w:styleId="SupBoldItalic">
    <w:name w:val="SupBoldItalic"/>
    <w:uiPriority w:val="1"/>
    <w:qFormat/>
    <w:rPr>
      <w:b/>
      <w:i/>
      <w:vertAlign w:val="superscript"/>
    </w:rPr>
  </w:style>
  <w:style w:type="paragraph" w:customStyle="1" w:styleId="Normal12a">
    <w:name w:val="Normal12a"/>
    <w:basedOn w:val="Normal"/>
    <w:pPr>
      <w:spacing w:after="240"/>
    </w:pPr>
  </w:style>
  <w:style w:type="paragraph" w:customStyle="1" w:styleId="RollCallVotes">
    <w:name w:val="RollCallVotes"/>
    <w:basedOn w:val="Normal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pPr>
      <w:spacing w:before="120" w:after="120"/>
    </w:pPr>
    <w:rPr>
      <w:snapToGrid w:val="0"/>
      <w:sz w:val="16"/>
      <w:lang w:eastAsia="en-US"/>
    </w:rPr>
  </w:style>
  <w:style w:type="paragraph" w:styleId="EndnoteText">
    <w:name w:val="endnote text"/>
    <w:basedOn w:val="Normal"/>
    <w:link w:val="EndnoteTextChar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Pr>
      <w:lang w:val="sk-SK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AmDocTypeTab">
    <w:name w:val="AmDocTypeTab"/>
    <w:basedOn w:val="Normal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DateTab">
    <w:name w:val="AmDateTab"/>
    <w:basedOn w:val="Normal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</w:style>
  <w:style w:type="paragraph" w:styleId="ListBullet4">
    <w:name w:val="List Bullet 4"/>
    <w:basedOn w:val="Normal"/>
    <w:uiPriority w:val="99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styleId="ListNumber">
    <w:name w:val="List Number"/>
    <w:basedOn w:val="Normal"/>
    <w:uiPriority w:val="99"/>
    <w:pPr>
      <w:widowControl/>
      <w:numPr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Bullet1">
    <w:name w:val="List Bullet 1"/>
    <w:basedOn w:val="Normal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pPr>
      <w:widowControl/>
      <w:numPr>
        <w:numId w:val="8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pPr>
      <w:widowControl/>
      <w:numPr>
        <w:ilvl w:val="1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pPr>
      <w:widowControl/>
      <w:numPr>
        <w:ilvl w:val="2"/>
        <w:numId w:val="9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pPr>
      <w:widowControl/>
      <w:numPr>
        <w:ilvl w:val="3"/>
        <w:numId w:val="9"/>
      </w:numPr>
      <w:spacing w:before="120" w:after="120"/>
      <w:jc w:val="both"/>
    </w:pPr>
    <w:rPr>
      <w:szCs w:val="22"/>
      <w:lang w:eastAsia="de-DE"/>
    </w:rPr>
  </w:style>
  <w:style w:type="table" w:customStyle="1" w:styleId="TableGrid1">
    <w:name w:val="Table Grid1"/>
    <w:basedOn w:val="TableNormal"/>
    <w:next w:val="TableGrid"/>
    <w:pPr>
      <w:spacing w:before="120" w:after="120"/>
      <w:jc w:val="both"/>
    </w:pPr>
    <w:rPr>
      <w:lang w:val="sk-SK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99"/>
    <w:pPr>
      <w:widowControl/>
      <w:numPr>
        <w:numId w:val="10"/>
      </w:numPr>
      <w:spacing w:before="120" w:after="120"/>
      <w:jc w:val="both"/>
    </w:pPr>
    <w:rPr>
      <w:szCs w:val="22"/>
    </w:rPr>
  </w:style>
  <w:style w:type="paragraph" w:styleId="ListBullet2">
    <w:name w:val="List Bullet 2"/>
    <w:basedOn w:val="Normal"/>
    <w:uiPriority w:val="99"/>
    <w:pPr>
      <w:widowControl/>
      <w:numPr>
        <w:numId w:val="11"/>
      </w:numPr>
      <w:spacing w:before="120" w:after="120"/>
      <w:jc w:val="both"/>
    </w:pPr>
    <w:rPr>
      <w:szCs w:val="22"/>
    </w:rPr>
  </w:style>
  <w:style w:type="paragraph" w:styleId="ListBullet3">
    <w:name w:val="List Bullet 3"/>
    <w:basedOn w:val="Normal"/>
    <w:pPr>
      <w:widowControl/>
      <w:numPr>
        <w:numId w:val="12"/>
      </w:numPr>
      <w:spacing w:before="120" w:after="120"/>
      <w:jc w:val="both"/>
    </w:pPr>
    <w:rPr>
      <w:szCs w:val="22"/>
    </w:rPr>
  </w:style>
  <w:style w:type="paragraph" w:styleId="ListNumber2">
    <w:name w:val="List Number 2"/>
    <w:basedOn w:val="Normal"/>
    <w:uiPriority w:val="99"/>
    <w:pPr>
      <w:widowControl/>
      <w:numPr>
        <w:numId w:val="16"/>
      </w:numPr>
      <w:spacing w:before="120" w:after="120"/>
      <w:jc w:val="both"/>
    </w:pPr>
    <w:rPr>
      <w:szCs w:val="22"/>
    </w:rPr>
  </w:style>
  <w:style w:type="paragraph" w:styleId="ListNumber3">
    <w:name w:val="List Number 3"/>
    <w:basedOn w:val="Normal"/>
    <w:uiPriority w:val="99"/>
    <w:pPr>
      <w:widowControl/>
      <w:numPr>
        <w:numId w:val="17"/>
      </w:numPr>
      <w:spacing w:before="120" w:after="120"/>
      <w:jc w:val="both"/>
    </w:pPr>
    <w:rPr>
      <w:szCs w:val="22"/>
    </w:rPr>
  </w:style>
  <w:style w:type="paragraph" w:styleId="ListNumber4">
    <w:name w:val="List Number 4"/>
    <w:basedOn w:val="Normal"/>
    <w:uiPriority w:val="99"/>
    <w:pPr>
      <w:widowControl/>
      <w:numPr>
        <w:numId w:val="18"/>
      </w:numPr>
      <w:spacing w:before="120" w:after="120"/>
      <w:jc w:val="both"/>
    </w:pPr>
    <w:rPr>
      <w:szCs w:val="22"/>
    </w:rPr>
  </w:style>
  <w:style w:type="paragraph" w:customStyle="1" w:styleId="ListDash3">
    <w:name w:val="List Dash 3"/>
    <w:basedOn w:val="Normal"/>
    <w:pPr>
      <w:widowControl/>
      <w:numPr>
        <w:numId w:val="13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Number1">
    <w:name w:val="List Number 1"/>
    <w:basedOn w:val="Text1"/>
    <w:pPr>
      <w:numPr>
        <w:numId w:val="15"/>
      </w:numPr>
      <w:tabs>
        <w:tab w:val="clear" w:pos="1560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  <w:tabs>
        <w:tab w:val="clear" w:pos="2268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268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268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  <w:tabs>
        <w:tab w:val="clear" w:pos="2977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977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977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  <w:tabs>
        <w:tab w:val="clear" w:pos="3686"/>
        <w:tab w:val="num" w:pos="360"/>
      </w:tabs>
      <w:ind w:left="360" w:hanging="360"/>
    </w:pPr>
    <w:rPr>
      <w:rFonts w:eastAsia="Times New Roman"/>
      <w:lang w:eastAsia="en-GB"/>
    </w:r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3686"/>
        <w:tab w:val="num" w:pos="720"/>
      </w:tabs>
      <w:ind w:left="720" w:hanging="360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3686"/>
        <w:tab w:val="num" w:pos="1080"/>
      </w:tabs>
      <w:ind w:left="1080" w:hanging="36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globale">
    <w:name w:val="Annexe titre (fiche fin. 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acte">
    <w:name w:val="Fiche financière (attribution) titre (acte)"/>
    <w:basedOn w:val="Normal"/>
    <w:next w:val="Normal"/>
    <w:pPr>
      <w:widowControl/>
      <w:spacing w:before="120" w:after="120"/>
      <w:jc w:val="center"/>
    </w:pPr>
    <w:rPr>
      <w:b/>
      <w:szCs w:val="22"/>
      <w:u w:val="single"/>
    </w:rPr>
  </w:style>
  <w:style w:type="paragraph" w:styleId="Caption">
    <w:name w:val="caption"/>
    <w:basedOn w:val="Normal"/>
    <w:next w:val="Normal"/>
    <w:uiPriority w:val="35"/>
    <w:qFormat/>
    <w:pPr>
      <w:widowControl/>
      <w:spacing w:before="120" w:after="120"/>
      <w:jc w:val="both"/>
    </w:pPr>
    <w:rPr>
      <w:b/>
      <w:bCs/>
      <w:sz w:val="20"/>
    </w:rPr>
  </w:style>
  <w:style w:type="paragraph" w:styleId="TableofFigures">
    <w:name w:val="table of figures"/>
    <w:basedOn w:val="Normal"/>
    <w:next w:val="Normal"/>
    <w:uiPriority w:val="99"/>
    <w:pPr>
      <w:widowControl/>
      <w:spacing w:before="120" w:after="120"/>
      <w:jc w:val="both"/>
    </w:pPr>
    <w:rPr>
      <w:szCs w:val="22"/>
    </w:rPr>
  </w:style>
  <w:style w:type="character" w:customStyle="1" w:styleId="tw4winMark">
    <w:name w:val="tw4winMark"/>
    <w:rPr>
      <w:vanish/>
      <w:color w:val="800080"/>
      <w:vertAlign w:val="subscript"/>
    </w:rPr>
  </w:style>
  <w:style w:type="character" w:styleId="FollowedHyperlink">
    <w:name w:val="FollowedHyperlink"/>
    <w:uiPriority w:val="99"/>
    <w:rPr>
      <w:color w:val="800080"/>
      <w:u w:val="single"/>
    </w:rPr>
  </w:style>
  <w:style w:type="paragraph" w:customStyle="1" w:styleId="Sous-titreobjet">
    <w:name w:val="Sous-titre objet"/>
    <w:basedOn w:val="Normal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</w:style>
  <w:style w:type="paragraph" w:styleId="Revision">
    <w:name w:val="Revision"/>
    <w:hidden/>
    <w:uiPriority w:val="99"/>
    <w:semiHidden/>
    <w:pPr>
      <w:spacing w:after="200" w:line="276" w:lineRule="auto"/>
    </w:pPr>
    <w:rPr>
      <w:rFonts w:ascii="Calibri" w:eastAsia="Calibri" w:hAnsi="Calibri"/>
      <w:sz w:val="24"/>
      <w:szCs w:val="22"/>
      <w:lang w:val="sk-SK"/>
    </w:rPr>
  </w:style>
  <w:style w:type="paragraph" w:customStyle="1" w:styleId="FooterCoverPage">
    <w:name w:val="Footer Cover Page"/>
    <w:basedOn w:val="Normal"/>
    <w:link w:val="FooterCoverPageChar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rFonts w:eastAsia="Calibri"/>
      <w:szCs w:val="22"/>
    </w:rPr>
  </w:style>
  <w:style w:type="character" w:customStyle="1" w:styleId="TOCHeadingChar">
    <w:name w:val="TOC Heading Char"/>
    <w:uiPriority w:val="39"/>
    <w:rPr>
      <w:rFonts w:ascii="Times New Roman" w:hAnsi="Times New Roman" w:cs="Times New Roman"/>
      <w:b/>
      <w:sz w:val="28"/>
      <w:lang w:val="sk-SK"/>
    </w:rPr>
  </w:style>
  <w:style w:type="character" w:customStyle="1" w:styleId="FooterCoverPageChar">
    <w:name w:val="Footer Cover Page Char"/>
    <w:link w:val="FooterCoverPage"/>
    <w:rPr>
      <w:rFonts w:eastAsia="Calibri"/>
      <w:sz w:val="24"/>
      <w:szCs w:val="22"/>
      <w:lang w:val="sk-SK"/>
    </w:rPr>
  </w:style>
  <w:style w:type="paragraph" w:customStyle="1" w:styleId="HeaderCoverPage">
    <w:name w:val="Header Cover Page"/>
    <w:basedOn w:val="Normal"/>
    <w:link w:val="HeaderCoverPageChar"/>
    <w:pPr>
      <w:widowControl/>
      <w:tabs>
        <w:tab w:val="center" w:pos="4535"/>
        <w:tab w:val="right" w:pos="9071"/>
      </w:tabs>
      <w:spacing w:after="120"/>
      <w:jc w:val="both"/>
    </w:pPr>
    <w:rPr>
      <w:rFonts w:eastAsia="Calibri"/>
      <w:szCs w:val="22"/>
    </w:rPr>
  </w:style>
  <w:style w:type="character" w:customStyle="1" w:styleId="HeaderCoverPageChar">
    <w:name w:val="Header Cover Page Char"/>
    <w:link w:val="HeaderCoverPage"/>
    <w:rPr>
      <w:rFonts w:eastAsia="Calibri"/>
      <w:sz w:val="24"/>
      <w:szCs w:val="22"/>
      <w:lang w:val="sk-SK"/>
    </w:rPr>
  </w:style>
  <w:style w:type="paragraph" w:styleId="NormalWeb">
    <w:name w:val="Normal (Web)"/>
    <w:basedOn w:val="Normal"/>
    <w:uiPriority w:val="99"/>
    <w:unhideWhenUsed/>
    <w:pPr>
      <w:widowControl/>
      <w:spacing w:before="120" w:after="120"/>
      <w:jc w:val="both"/>
    </w:pPr>
    <w:rPr>
      <w:rFonts w:eastAsia="Calibri"/>
      <w:szCs w:val="24"/>
      <w:lang w:eastAsia="en-US"/>
    </w:rPr>
  </w:style>
  <w:style w:type="paragraph" w:customStyle="1" w:styleId="Ha1">
    <w:name w:val="Ha1"/>
    <w:basedOn w:val="Normal"/>
    <w:next w:val="ListParagraph"/>
    <w:uiPriority w:val="34"/>
    <w:qFormat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customStyle="1" w:styleId="title-doc-first">
    <w:name w:val="title-doc-first"/>
    <w:basedOn w:val="Normal"/>
    <w:pPr>
      <w:widowControl/>
      <w:spacing w:before="100" w:beforeAutospacing="1" w:after="100" w:afterAutospacing="1"/>
    </w:pPr>
    <w:rPr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ahoma" w:eastAsia="Calibri" w:hAnsi="Tahoma" w:cs="Tahoma"/>
      <w:color w:val="000000"/>
      <w:sz w:val="24"/>
      <w:szCs w:val="24"/>
      <w:lang w:val="sk-SK" w:eastAsia="en-US"/>
    </w:rPr>
  </w:style>
  <w:style w:type="table" w:customStyle="1" w:styleId="TableGrid11">
    <w:name w:val="Table Grid11"/>
    <w:basedOn w:val="TableNormal"/>
    <w:next w:val="TableGrid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4">
    <w:name w:val="toc 4"/>
    <w:basedOn w:val="Normal"/>
    <w:next w:val="Normal"/>
    <w:uiPriority w:val="39"/>
    <w:unhideWhenUsed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pPr>
      <w:numPr>
        <w:numId w:val="21"/>
      </w:numPr>
    </w:pPr>
  </w:style>
  <w:style w:type="paragraph" w:customStyle="1" w:styleId="Tiret1">
    <w:name w:val="Tiret 1"/>
    <w:basedOn w:val="Point1"/>
    <w:pPr>
      <w:numPr>
        <w:numId w:val="23"/>
      </w:numPr>
      <w:tabs>
        <w:tab w:val="clear" w:pos="1417"/>
        <w:tab w:val="num" w:pos="850"/>
      </w:tabs>
      <w:ind w:left="850" w:hanging="850"/>
    </w:pPr>
  </w:style>
  <w:style w:type="paragraph" w:customStyle="1" w:styleId="Tiret2">
    <w:name w:val="Tiret 2"/>
    <w:basedOn w:val="Point2"/>
    <w:pPr>
      <w:numPr>
        <w:numId w:val="24"/>
      </w:numPr>
      <w:tabs>
        <w:tab w:val="clear" w:pos="1984"/>
        <w:tab w:val="num" w:pos="850"/>
      </w:tabs>
      <w:ind w:left="850" w:hanging="850"/>
    </w:pPr>
  </w:style>
  <w:style w:type="paragraph" w:customStyle="1" w:styleId="Tiret3">
    <w:name w:val="Tiret 3"/>
    <w:basedOn w:val="Point3"/>
    <w:pPr>
      <w:numPr>
        <w:numId w:val="25"/>
      </w:numPr>
      <w:tabs>
        <w:tab w:val="clear" w:pos="2551"/>
        <w:tab w:val="num" w:pos="709"/>
      </w:tabs>
      <w:ind w:left="709" w:hanging="709"/>
    </w:pPr>
  </w:style>
  <w:style w:type="paragraph" w:customStyle="1" w:styleId="Tiret4">
    <w:name w:val="Tiret 4"/>
    <w:basedOn w:val="Point4"/>
    <w:pPr>
      <w:numPr>
        <w:numId w:val="26"/>
      </w:numPr>
      <w:tabs>
        <w:tab w:val="clear" w:pos="3118"/>
        <w:tab w:val="num" w:pos="709"/>
      </w:tabs>
      <w:ind w:left="709" w:hanging="709"/>
    </w:pPr>
  </w:style>
  <w:style w:type="paragraph" w:customStyle="1" w:styleId="Tiret5">
    <w:name w:val="Tiret 5"/>
    <w:basedOn w:val="Point5"/>
    <w:pPr>
      <w:numPr>
        <w:numId w:val="27"/>
      </w:numPr>
      <w:tabs>
        <w:tab w:val="clear" w:pos="3685"/>
        <w:tab w:val="num" w:pos="709"/>
      </w:tabs>
      <w:ind w:left="709" w:hanging="709"/>
    </w:pPr>
  </w:style>
  <w:style w:type="paragraph" w:customStyle="1" w:styleId="PointDouble0">
    <w:name w:val="PointDouble 0"/>
    <w:basedOn w:val="Normal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pPr>
      <w:widowControl/>
      <w:numPr>
        <w:numId w:val="22"/>
      </w:numPr>
      <w:tabs>
        <w:tab w:val="clear" w:pos="850"/>
        <w:tab w:val="num" w:pos="709"/>
      </w:tabs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pPr>
      <w:widowControl/>
      <w:numPr>
        <w:ilvl w:val="1"/>
        <w:numId w:val="22"/>
      </w:numPr>
      <w:tabs>
        <w:tab w:val="clear" w:pos="850"/>
        <w:tab w:val="num" w:pos="1416"/>
      </w:tabs>
      <w:spacing w:before="120" w:after="120"/>
      <w:ind w:left="1416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pPr>
      <w:widowControl/>
      <w:numPr>
        <w:ilvl w:val="2"/>
        <w:numId w:val="22"/>
      </w:numPr>
      <w:tabs>
        <w:tab w:val="clear" w:pos="850"/>
        <w:tab w:val="num" w:pos="2126"/>
      </w:tabs>
      <w:spacing w:before="120" w:after="120"/>
      <w:ind w:left="2126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pPr>
      <w:widowControl/>
      <w:numPr>
        <w:ilvl w:val="3"/>
        <w:numId w:val="22"/>
      </w:numPr>
      <w:tabs>
        <w:tab w:val="clear" w:pos="850"/>
        <w:tab w:val="num" w:pos="2835"/>
      </w:tabs>
      <w:spacing w:before="120" w:after="120"/>
      <w:ind w:left="2835" w:hanging="709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pPr>
      <w:widowControl/>
      <w:numPr>
        <w:ilvl w:val="4"/>
        <w:numId w:val="22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pPr>
      <w:widowControl/>
      <w:numPr>
        <w:ilvl w:val="5"/>
        <w:numId w:val="22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pPr>
      <w:widowControl/>
      <w:numPr>
        <w:ilvl w:val="6"/>
        <w:numId w:val="22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pPr>
      <w:widowControl/>
      <w:numPr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pPr>
      <w:widowControl/>
      <w:numPr>
        <w:ilvl w:val="2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pPr>
      <w:widowControl/>
      <w:numPr>
        <w:ilvl w:val="4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pPr>
      <w:widowControl/>
      <w:numPr>
        <w:ilvl w:val="6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pPr>
      <w:widowControl/>
      <w:numPr>
        <w:ilvl w:val="1"/>
        <w:numId w:val="20"/>
      </w:numPr>
      <w:tabs>
        <w:tab w:val="clear" w:pos="850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pPr>
      <w:widowControl/>
      <w:numPr>
        <w:ilvl w:val="3"/>
        <w:numId w:val="20"/>
      </w:numPr>
      <w:tabs>
        <w:tab w:val="clear" w:pos="1417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pPr>
      <w:widowControl/>
      <w:numPr>
        <w:ilvl w:val="5"/>
        <w:numId w:val="20"/>
      </w:numPr>
      <w:tabs>
        <w:tab w:val="clear" w:pos="1984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pPr>
      <w:widowControl/>
      <w:numPr>
        <w:ilvl w:val="7"/>
        <w:numId w:val="20"/>
      </w:numPr>
      <w:tabs>
        <w:tab w:val="clear" w:pos="2551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pPr>
      <w:widowControl/>
      <w:numPr>
        <w:ilvl w:val="8"/>
        <w:numId w:val="20"/>
      </w:numPr>
      <w:tabs>
        <w:tab w:val="clear" w:pos="3118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pPr>
      <w:widowControl/>
      <w:numPr>
        <w:numId w:val="28"/>
      </w:numPr>
      <w:tabs>
        <w:tab w:val="clear" w:pos="1417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pPr>
      <w:widowControl/>
      <w:numPr>
        <w:numId w:val="29"/>
      </w:numPr>
      <w:tabs>
        <w:tab w:val="clear" w:pos="1984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pPr>
      <w:widowControl/>
      <w:numPr>
        <w:numId w:val="30"/>
      </w:numPr>
      <w:tabs>
        <w:tab w:val="clear" w:pos="2551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pPr>
      <w:widowControl/>
      <w:numPr>
        <w:numId w:val="3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pPr>
      <w:widowControl/>
      <w:numPr>
        <w:numId w:val="19"/>
      </w:numPr>
      <w:tabs>
        <w:tab w:val="clear" w:pos="709"/>
        <w:tab w:val="num" w:pos="360"/>
      </w:tabs>
      <w:spacing w:before="120" w:after="120"/>
      <w:ind w:left="0" w:firstLine="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</w:style>
  <w:style w:type="paragraph" w:customStyle="1" w:styleId="StatutPagedecouverture">
    <w:name w:val="Statut (Page de couverture)"/>
    <w:basedOn w:val="Statut"/>
    <w:next w:val="TypedudocumentPagedecouverture"/>
  </w:style>
  <w:style w:type="paragraph" w:customStyle="1" w:styleId="TitreobjetPagedecouverture">
    <w:name w:val="Titre objet (Page de couverture)"/>
    <w:basedOn w:val="Titreobjet"/>
    <w:next w:val="IntrtEEEPagedecouverture"/>
  </w:style>
  <w:style w:type="paragraph" w:customStyle="1" w:styleId="TypedudocumentPagedecouverture">
    <w:name w:val="Type du document (Page de couverture)"/>
    <w:basedOn w:val="Typedudocument"/>
    <w:next w:val="TitreobjetPagedecouverture"/>
  </w:style>
  <w:style w:type="paragraph" w:customStyle="1" w:styleId="Volume">
    <w:name w:val="Volume"/>
    <w:basedOn w:val="Normal"/>
    <w:next w:val="Confidentialit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pPr>
      <w:spacing w:after="240"/>
    </w:pPr>
  </w:style>
  <w:style w:type="paragraph" w:customStyle="1" w:styleId="Accompagnant">
    <w:name w:val="Accompagnant"/>
    <w:basedOn w:val="Normal"/>
    <w:next w:val="Typeacteprincipal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</w:style>
  <w:style w:type="paragraph" w:customStyle="1" w:styleId="AccompagnantPagedecouverture">
    <w:name w:val="Accompagnant (Page de couverture)"/>
    <w:basedOn w:val="Accompagnant"/>
    <w:next w:val="TypeacteprincipalPagedecouverture"/>
  </w:style>
  <w:style w:type="paragraph" w:customStyle="1" w:styleId="TypeacteprincipalPagedecouverture">
    <w:name w:val="Type acte principal (Page de couverture)"/>
    <w:basedOn w:val="Typeacteprincipal"/>
    <w:next w:val="ObjetacteprincipalPagedecouverture"/>
  </w:style>
  <w:style w:type="paragraph" w:customStyle="1" w:styleId="ObjetacteprincipalPagedecouverture">
    <w:name w:val="Objet acte principal (Page de couverture)"/>
    <w:basedOn w:val="Objetacteprincipal"/>
    <w:next w:val="Rfrencecroise"/>
  </w:style>
  <w:style w:type="paragraph" w:customStyle="1" w:styleId="LanguesfaisantfoiPagedecouverture">
    <w:name w:val="Langues faisant foi (Page de couverture)"/>
    <w:basedOn w:val="Normal"/>
    <w:next w:val="Normal"/>
    <w:pPr>
      <w:widowControl/>
      <w:spacing w:before="360"/>
      <w:jc w:val="center"/>
    </w:pPr>
    <w:rPr>
      <w:rFonts w:eastAsia="Calibri"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</w:style>
  <w:style w:type="numbering" w:customStyle="1" w:styleId="NoList111">
    <w:name w:val="No List111"/>
    <w:next w:val="NoList"/>
    <w:uiPriority w:val="99"/>
    <w:semiHidden/>
    <w:unhideWhenUsed/>
  </w:style>
  <w:style w:type="table" w:customStyle="1" w:styleId="TableGrid3">
    <w:name w:val="Table Grid3"/>
    <w:basedOn w:val="TableNormal"/>
    <w:next w:val="TableGrid"/>
    <w:rPr>
      <w:rFonts w:ascii="Calibri" w:eastAsia="Calibri" w:hAnsi="Calibri" w:cs="Arial"/>
      <w:sz w:val="22"/>
      <w:szCs w:val="22"/>
      <w:lang w:val="sk-S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paragraph" w:customStyle="1" w:styleId="oj-normal">
    <w:name w:val="oj-normal"/>
    <w:basedOn w:val="Normal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highlight">
    <w:name w:val="highlight"/>
    <w:basedOn w:val="DefaultParagraphFont"/>
  </w:style>
  <w:style w:type="paragraph" w:customStyle="1" w:styleId="pf0">
    <w:name w:val="pf0"/>
    <w:basedOn w:val="Normal"/>
    <w:pPr>
      <w:widowControl/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s-ES_tradnl"/>
    </w:rPr>
  </w:style>
  <w:style w:type="character" w:customStyle="1" w:styleId="cf01">
    <w:name w:val="cf01"/>
    <w:basedOn w:val="DefaultParagraphFont"/>
    <w:rPr>
      <w:rFonts w:ascii="Segoe UI" w:hAnsi="Segoe UI" w:cs="Segoe UI" w:hint="defaul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6DF8E-AF9F-4D6A-B430-DB761F687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2024-07-16T10:21:00Z</dcterms:created>
  <dcterms:modified xsi:type="dcterms:W3CDTF">2024-07-16T10:21:00Z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P9_TA(2024)0124_</vt:lpwstr>
  </property>
  <property fmtid="{D5CDD505-2E9C-101B-9397-08002B2CF9AE}" pid="4" name="&lt;Type&gt;">
    <vt:lpwstr>RR</vt:lpwstr>
  </property>
</Properties>
</file>