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1C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F1CB0" w:rsidRDefault="00B2790D" w:rsidP="0010095E">
            <w:pPr>
              <w:pStyle w:val="EPName"/>
            </w:pPr>
            <w:r w:rsidRPr="004F1CB0">
              <w:t>Parlament Ewropew</w:t>
            </w:r>
          </w:p>
          <w:p w:rsidR="00751A4A" w:rsidRPr="004F1CB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0AA8">
              <w:t>2019</w:t>
            </w:r>
            <w:r w:rsidRPr="004F1CB0">
              <w:t>-</w:t>
            </w:r>
            <w:r w:rsidRPr="004A0AA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F1CB0" w:rsidRDefault="00187494" w:rsidP="0010095E">
            <w:pPr>
              <w:pStyle w:val="EPLogo"/>
            </w:pPr>
            <w:r w:rsidRPr="004F1CB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F1CB0" w:rsidRDefault="00D058B8" w:rsidP="004C5D52">
      <w:pPr>
        <w:pStyle w:val="LineTop"/>
      </w:pPr>
    </w:p>
    <w:p w:rsidR="00680577" w:rsidRPr="004F1CB0" w:rsidRDefault="00B2790D" w:rsidP="00680577">
      <w:pPr>
        <w:pStyle w:val="EPBodyTA1"/>
      </w:pPr>
      <w:r w:rsidRPr="004F1CB0">
        <w:t>TESTI ADOTTATI</w:t>
      </w:r>
    </w:p>
    <w:p w:rsidR="00D058B8" w:rsidRPr="004F1CB0" w:rsidRDefault="00D058B8" w:rsidP="00D058B8">
      <w:pPr>
        <w:pStyle w:val="LineBottom"/>
      </w:pPr>
    </w:p>
    <w:p w:rsidR="00B2790D" w:rsidRPr="004F1CB0" w:rsidRDefault="00B2790D" w:rsidP="00B2790D">
      <w:pPr>
        <w:pStyle w:val="ATHeading1"/>
      </w:pPr>
      <w:bookmarkStart w:id="0" w:name="TANumber"/>
      <w:r w:rsidRPr="004F1CB0">
        <w:t>P</w:t>
      </w:r>
      <w:r w:rsidRPr="004A0AA8">
        <w:t>9</w:t>
      </w:r>
      <w:r w:rsidRPr="004F1CB0">
        <w:t>_TA(</w:t>
      </w:r>
      <w:r w:rsidRPr="004A0AA8">
        <w:t>2024</w:t>
      </w:r>
      <w:r w:rsidRPr="004F1CB0">
        <w:t>)</w:t>
      </w:r>
      <w:r w:rsidRPr="004A0AA8">
        <w:t>0</w:t>
      </w:r>
      <w:r w:rsidR="004F1CB0" w:rsidRPr="004A0AA8">
        <w:t>125</w:t>
      </w:r>
      <w:bookmarkEnd w:id="0"/>
    </w:p>
    <w:p w:rsidR="00B2790D" w:rsidRPr="004F1CB0" w:rsidRDefault="00E72883" w:rsidP="00B2790D">
      <w:pPr>
        <w:pStyle w:val="ATHeading2"/>
      </w:pPr>
      <w:r w:rsidRPr="004F1CB0">
        <w:t>Id-definizzjoni ta’ reati kriminali u ta’ penali għall-ksur ta’ miżuri restrittivi tal-Unjoni</w:t>
      </w:r>
    </w:p>
    <w:p w:rsidR="00B2790D" w:rsidRPr="004F1CB0" w:rsidRDefault="00B2790D" w:rsidP="00B2790D">
      <w:pPr>
        <w:rPr>
          <w:i/>
          <w:vanish/>
        </w:rPr>
      </w:pPr>
      <w:r w:rsidRPr="004F1CB0">
        <w:rPr>
          <w:i/>
        </w:rPr>
        <w:fldChar w:fldCharType="begin"/>
      </w:r>
      <w:r w:rsidRPr="004F1CB0">
        <w:rPr>
          <w:i/>
        </w:rPr>
        <w:instrText xml:space="preserve"> TC"(</w:instrText>
      </w:r>
      <w:bookmarkStart w:id="1" w:name="DocNumber"/>
      <w:r w:rsidRPr="004F1CB0">
        <w:rPr>
          <w:i/>
        </w:rPr>
        <w:instrText>A</w:instrText>
      </w:r>
      <w:r w:rsidRPr="004A0AA8">
        <w:rPr>
          <w:i/>
        </w:rPr>
        <w:instrText>9</w:instrText>
      </w:r>
      <w:r w:rsidRPr="004F1CB0">
        <w:rPr>
          <w:i/>
        </w:rPr>
        <w:instrText>-</w:instrText>
      </w:r>
      <w:r w:rsidRPr="004A0AA8">
        <w:rPr>
          <w:i/>
        </w:rPr>
        <w:instrText>0235</w:instrText>
      </w:r>
      <w:r w:rsidRPr="004F1CB0">
        <w:rPr>
          <w:i/>
        </w:rPr>
        <w:instrText>/</w:instrText>
      </w:r>
      <w:r w:rsidRPr="004A0AA8">
        <w:rPr>
          <w:i/>
        </w:rPr>
        <w:instrText>2023</w:instrText>
      </w:r>
      <w:bookmarkEnd w:id="1"/>
      <w:r w:rsidRPr="004F1CB0">
        <w:rPr>
          <w:i/>
        </w:rPr>
        <w:instrText xml:space="preserve"> - Rapporteur: Sophia in ’t Veld)"\l</w:instrText>
      </w:r>
      <w:r w:rsidRPr="004A0AA8">
        <w:rPr>
          <w:i/>
        </w:rPr>
        <w:instrText>3</w:instrText>
      </w:r>
      <w:r w:rsidRPr="004F1CB0">
        <w:rPr>
          <w:i/>
        </w:rPr>
        <w:instrText xml:space="preserve"> \n&gt; \* MERGEFORMAT </w:instrText>
      </w:r>
      <w:r w:rsidRPr="004F1CB0">
        <w:rPr>
          <w:i/>
        </w:rPr>
        <w:fldChar w:fldCharType="end"/>
      </w:r>
    </w:p>
    <w:p w:rsidR="00B2790D" w:rsidRPr="004F1CB0" w:rsidRDefault="00B2790D" w:rsidP="00B2790D">
      <w:pPr>
        <w:rPr>
          <w:vanish/>
        </w:rPr>
      </w:pPr>
      <w:bookmarkStart w:id="2" w:name="Commission"/>
      <w:r w:rsidRPr="004F1CB0">
        <w:rPr>
          <w:vanish/>
        </w:rPr>
        <w:t>Kumitat għal-Libertajiet Ċivili, il-Ġustizzja u l-Intern</w:t>
      </w:r>
      <w:bookmarkEnd w:id="2"/>
    </w:p>
    <w:p w:rsidR="00B2790D" w:rsidRPr="004F1CB0" w:rsidRDefault="00B2790D" w:rsidP="00B2790D">
      <w:pPr>
        <w:rPr>
          <w:vanish/>
        </w:rPr>
      </w:pPr>
      <w:bookmarkStart w:id="3" w:name="PE"/>
      <w:r w:rsidRPr="004F1CB0">
        <w:rPr>
          <w:vanish/>
        </w:rPr>
        <w:t>PE</w:t>
      </w:r>
      <w:r w:rsidRPr="004A0AA8">
        <w:rPr>
          <w:vanish/>
        </w:rPr>
        <w:t>746</w:t>
      </w:r>
      <w:r w:rsidRPr="004F1CB0">
        <w:rPr>
          <w:vanish/>
        </w:rPr>
        <w:t>.</w:t>
      </w:r>
      <w:r w:rsidRPr="004A0AA8">
        <w:rPr>
          <w:vanish/>
        </w:rPr>
        <w:t>946</w:t>
      </w:r>
      <w:bookmarkEnd w:id="3"/>
    </w:p>
    <w:p w:rsidR="00B2790D" w:rsidRPr="004F1CB0" w:rsidRDefault="00B2790D" w:rsidP="00B2790D">
      <w:pPr>
        <w:pStyle w:val="ATHeading3"/>
      </w:pPr>
      <w:bookmarkStart w:id="4" w:name="Sujet"/>
      <w:r w:rsidRPr="004F1CB0">
        <w:t>Riżoluzzjoni leġiżlattiva tal-Par</w:t>
      </w:r>
      <w:r w:rsidR="007C74DC" w:rsidRPr="004F1CB0">
        <w:t>lament Ewropew tat-</w:t>
      </w:r>
      <w:r w:rsidR="007C74DC" w:rsidRPr="004A0AA8">
        <w:t>12</w:t>
      </w:r>
      <w:r w:rsidR="007C74DC" w:rsidRPr="004F1CB0">
        <w:t xml:space="preserve"> ta' Marzu</w:t>
      </w:r>
      <w:r w:rsidRPr="004F1CB0">
        <w:t xml:space="preserve"> </w:t>
      </w:r>
      <w:r w:rsidRPr="004A0AA8">
        <w:t>2024</w:t>
      </w:r>
      <w:r w:rsidRPr="004F1CB0">
        <w:t xml:space="preserve"> dwar il-proposta għal direttiva tal-Parlament Ewropew u tal-Kunsill dwar id-definizzjoni ta’ reati kriminali u ta’ pieni għall-ksur ta’ miżuri restrittivi tal-Unjoni</w:t>
      </w:r>
      <w:bookmarkEnd w:id="4"/>
      <w:r w:rsidRPr="004F1CB0">
        <w:t xml:space="preserve"> </w:t>
      </w:r>
      <w:bookmarkStart w:id="5" w:name="References"/>
      <w:r w:rsidRPr="004F1CB0">
        <w:t>(COM(</w:t>
      </w:r>
      <w:r w:rsidRPr="004A0AA8">
        <w:t>2022</w:t>
      </w:r>
      <w:r w:rsidRPr="004F1CB0">
        <w:t>)</w:t>
      </w:r>
      <w:r w:rsidRPr="004A0AA8">
        <w:t>0684</w:t>
      </w:r>
      <w:r w:rsidRPr="004F1CB0">
        <w:t xml:space="preserve"> – C</w:t>
      </w:r>
      <w:r w:rsidRPr="004A0AA8">
        <w:t>9</w:t>
      </w:r>
      <w:r w:rsidRPr="004F1CB0">
        <w:t>-</w:t>
      </w:r>
      <w:r w:rsidRPr="004A0AA8">
        <w:t>0401</w:t>
      </w:r>
      <w:r w:rsidRPr="004F1CB0">
        <w:t>/</w:t>
      </w:r>
      <w:r w:rsidRPr="004A0AA8">
        <w:t>2022</w:t>
      </w:r>
      <w:r w:rsidRPr="004F1CB0">
        <w:t xml:space="preserve"> – </w:t>
      </w:r>
      <w:r w:rsidRPr="004A0AA8">
        <w:t>2022</w:t>
      </w:r>
      <w:r w:rsidRPr="004F1CB0">
        <w:t>/</w:t>
      </w:r>
      <w:r w:rsidRPr="004A0AA8">
        <w:t>0398</w:t>
      </w:r>
      <w:r w:rsidRPr="004F1CB0">
        <w:t>(COD))</w:t>
      </w:r>
      <w:bookmarkEnd w:id="5"/>
    </w:p>
    <w:p w:rsidR="005A3362" w:rsidRPr="004F1CB0" w:rsidRDefault="005A3362" w:rsidP="004F1CB0">
      <w:pPr>
        <w:pStyle w:val="NormalBold"/>
        <w:spacing w:before="240"/>
      </w:pPr>
      <w:bookmarkStart w:id="6" w:name="TextBodyBegin"/>
      <w:bookmarkEnd w:id="6"/>
      <w:r w:rsidRPr="004F1CB0">
        <w:t>(Proċedura leġiżlattiva ordinarja: l-ewwel qari)</w:t>
      </w:r>
    </w:p>
    <w:p w:rsidR="005A3362" w:rsidRPr="004F1CB0" w:rsidRDefault="005A3362" w:rsidP="005A3362">
      <w:pPr>
        <w:pStyle w:val="EPComma"/>
      </w:pPr>
      <w:r w:rsidRPr="004F1CB0">
        <w:rPr>
          <w:i/>
        </w:rPr>
        <w:t>Il-Parlament Ewropew</w:t>
      </w:r>
      <w:r w:rsidRPr="004F1CB0">
        <w:t>,</w:t>
      </w:r>
    </w:p>
    <w:p w:rsidR="005A3362" w:rsidRPr="004F1CB0" w:rsidRDefault="005A3362" w:rsidP="005A3362">
      <w:pPr>
        <w:pStyle w:val="NormalHanging12a"/>
      </w:pPr>
      <w:r w:rsidRPr="004F1CB0">
        <w:t>–</w:t>
      </w:r>
      <w:r w:rsidRPr="004F1CB0">
        <w:tab/>
        <w:t>wara li kkunsidra l-proposta tal-Kummissjoni lill-Parlament Ewropew u lill-Kunsill (COM(</w:t>
      </w:r>
      <w:r w:rsidRPr="004A0AA8">
        <w:t>2022</w:t>
      </w:r>
      <w:r w:rsidRPr="004F1CB0">
        <w:t>)</w:t>
      </w:r>
      <w:r w:rsidRPr="004A0AA8">
        <w:t>0684</w:t>
      </w:r>
      <w:r w:rsidRPr="004F1CB0">
        <w:t>),</w:t>
      </w:r>
    </w:p>
    <w:p w:rsidR="005A3362" w:rsidRPr="004F1CB0" w:rsidRDefault="005A3362" w:rsidP="005A3362">
      <w:pPr>
        <w:pStyle w:val="NormalHanging12a"/>
      </w:pPr>
      <w:r w:rsidRPr="004F1CB0">
        <w:t>–</w:t>
      </w:r>
      <w:r w:rsidRPr="004F1CB0">
        <w:tab/>
        <w:t>wara li kkunsidra l-Artikolu </w:t>
      </w:r>
      <w:r w:rsidRPr="004A0AA8">
        <w:t>294</w:t>
      </w:r>
      <w:r w:rsidRPr="004F1CB0">
        <w:t>(</w:t>
      </w:r>
      <w:r w:rsidRPr="004A0AA8">
        <w:t>2</w:t>
      </w:r>
      <w:r w:rsidRPr="004F1CB0">
        <w:t>) u l-Artikolu </w:t>
      </w:r>
      <w:r w:rsidRPr="004A0AA8">
        <w:t>83</w:t>
      </w:r>
      <w:r w:rsidRPr="004F1CB0">
        <w:t>(</w:t>
      </w:r>
      <w:r w:rsidRPr="004A0AA8">
        <w:t>1</w:t>
      </w:r>
      <w:r w:rsidRPr="004F1CB0">
        <w:t>) tat-Trattat dwar il-Funzjonament tal-Unjoni Ewropea, skont liema artikoli l-Kummissjoni ppreżentat il-proposta lill-Parlament (C</w:t>
      </w:r>
      <w:r w:rsidRPr="004A0AA8">
        <w:t>9</w:t>
      </w:r>
      <w:r w:rsidRPr="004F1CB0">
        <w:noBreakHyphen/>
      </w:r>
      <w:r w:rsidRPr="004A0AA8">
        <w:t>0401</w:t>
      </w:r>
      <w:r w:rsidRPr="004F1CB0">
        <w:t>/</w:t>
      </w:r>
      <w:r w:rsidRPr="004A0AA8">
        <w:t>2022</w:t>
      </w:r>
      <w:r w:rsidRPr="004F1CB0">
        <w:t>),</w:t>
      </w:r>
    </w:p>
    <w:p w:rsidR="007C74DC" w:rsidRPr="004F1CB0" w:rsidRDefault="007C74DC" w:rsidP="007C74DC">
      <w:pPr>
        <w:pStyle w:val="NormalHanging12a"/>
      </w:pPr>
      <w:r w:rsidRPr="004F1CB0">
        <w:t>–</w:t>
      </w:r>
      <w:r w:rsidRPr="004F1CB0">
        <w:tab/>
        <w:t xml:space="preserve">wara li kkunsidra d-Deċiżjoni tal-Kunsill (UE) </w:t>
      </w:r>
      <w:r w:rsidRPr="004A0AA8">
        <w:t>2022</w:t>
      </w:r>
      <w:r w:rsidRPr="004F1CB0">
        <w:t>/</w:t>
      </w:r>
      <w:r w:rsidRPr="004A0AA8">
        <w:t>2332</w:t>
      </w:r>
      <w:r w:rsidRPr="004F1CB0">
        <w:t xml:space="preserve"> tat-</w:t>
      </w:r>
      <w:r w:rsidRPr="004A0AA8">
        <w:t>28</w:t>
      </w:r>
      <w:r w:rsidRPr="004F1CB0">
        <w:t xml:space="preserve"> ta’ Novembru </w:t>
      </w:r>
      <w:r w:rsidRPr="004A0AA8">
        <w:t>2022</w:t>
      </w:r>
      <w:r w:rsidRPr="004F1CB0">
        <w:t xml:space="preserve"> dwar l-identifikazzjoni tal-ksur tal-miżuri restrittivi tal-Unjoni bħala qasam ta’ kriminalità li jissodisfa l-kriterji stabbiliti fl-Artikolu </w:t>
      </w:r>
      <w:r w:rsidRPr="004A0AA8">
        <w:t>83</w:t>
      </w:r>
      <w:r w:rsidRPr="004F1CB0">
        <w:t>(</w:t>
      </w:r>
      <w:r w:rsidRPr="004A0AA8">
        <w:t>1</w:t>
      </w:r>
      <w:r w:rsidRPr="004F1CB0">
        <w:t>) tat-Trattat dwar il-Funzjonament tal-Unjoni Ewropea</w:t>
      </w:r>
      <w:r w:rsidRPr="004F1CB0">
        <w:rPr>
          <w:rStyle w:val="FootnoteReference"/>
        </w:rPr>
        <w:footnoteReference w:id="1"/>
      </w:r>
      <w:r w:rsidRPr="004F1CB0">
        <w:t xml:space="preserve">, u b’mod partikolari l-Artikolu </w:t>
      </w:r>
      <w:r w:rsidRPr="004A0AA8">
        <w:t>1</w:t>
      </w:r>
      <w:r w:rsidRPr="004F1CB0">
        <w:t xml:space="preserve"> tagħha,</w:t>
      </w:r>
    </w:p>
    <w:p w:rsidR="005A3362" w:rsidRPr="004F1CB0" w:rsidRDefault="005A3362" w:rsidP="005A3362">
      <w:pPr>
        <w:pStyle w:val="NormalHanging12a"/>
      </w:pPr>
      <w:r w:rsidRPr="004F1CB0">
        <w:t>–</w:t>
      </w:r>
      <w:r w:rsidRPr="004F1CB0">
        <w:tab/>
        <w:t>wara li kkunsidra l-Artikolu </w:t>
      </w:r>
      <w:r w:rsidRPr="004A0AA8">
        <w:t>294</w:t>
      </w:r>
      <w:r w:rsidRPr="004F1CB0">
        <w:t>(</w:t>
      </w:r>
      <w:r w:rsidRPr="004A0AA8">
        <w:t>3</w:t>
      </w:r>
      <w:r w:rsidRPr="004F1CB0">
        <w:t>) tat-Trattat dwar il-Funzjonament tal-Unjoni Ewropea,</w:t>
      </w:r>
    </w:p>
    <w:p w:rsidR="005A3362" w:rsidRPr="004F1CB0" w:rsidRDefault="005A3362" w:rsidP="005A3362">
      <w:pPr>
        <w:pStyle w:val="NormalHanging12a"/>
      </w:pPr>
      <w:r w:rsidRPr="004F1CB0">
        <w:t>–</w:t>
      </w:r>
      <w:r w:rsidRPr="004F1CB0">
        <w:tab/>
        <w:t>wara li kkunsidra l-opinjoni tal-Kumitat Ekonomiku u Soċjali Ewropew tat-</w:t>
      </w:r>
      <w:r w:rsidRPr="004A0AA8">
        <w:t>23</w:t>
      </w:r>
      <w:r w:rsidRPr="004F1CB0">
        <w:t> ta’ Marzu </w:t>
      </w:r>
      <w:r w:rsidRPr="004A0AA8">
        <w:t>2023</w:t>
      </w:r>
      <w:r w:rsidRPr="004F1CB0">
        <w:rPr>
          <w:rStyle w:val="FootnoteReference"/>
        </w:rPr>
        <w:footnoteReference w:id="2"/>
      </w:r>
      <w:r w:rsidRPr="004F1CB0">
        <w:t>,</w:t>
      </w:r>
    </w:p>
    <w:p w:rsidR="007C74DC" w:rsidRPr="004F1CB0" w:rsidRDefault="007C74DC" w:rsidP="005A3362">
      <w:pPr>
        <w:pStyle w:val="NormalHanging12a"/>
      </w:pPr>
      <w:r w:rsidRPr="004F1CB0">
        <w:t>–</w:t>
      </w:r>
      <w:r w:rsidRPr="004F1CB0">
        <w:tab/>
        <w:t xml:space="preserve">wara li kkunsidra l-ftehim proviżorju approvat mill-kumitat responsabbli fis-sens tal-Artikolu </w:t>
      </w:r>
      <w:r w:rsidRPr="004A0AA8">
        <w:t>74</w:t>
      </w:r>
      <w:r w:rsidRPr="004F1CB0">
        <w:t>(</w:t>
      </w:r>
      <w:r w:rsidRPr="004A0AA8">
        <w:t>4</w:t>
      </w:r>
      <w:r w:rsidRPr="004F1CB0">
        <w:t>) tar-Regoli ta' Proċedura tiegħu u l-impenn meħud mir-rappreżentant tal-Kunsill, permezz tal-ittra tal-</w:t>
      </w:r>
      <w:r w:rsidRPr="004A0AA8">
        <w:t>20</w:t>
      </w:r>
      <w:r w:rsidRPr="004F1CB0">
        <w:t xml:space="preserve"> ta’ Diċembru </w:t>
      </w:r>
      <w:r w:rsidRPr="004A0AA8">
        <w:t>2023</w:t>
      </w:r>
      <w:r w:rsidRPr="004F1CB0">
        <w:t xml:space="preserve"> li japprova l-pożizzjoni tal-</w:t>
      </w:r>
      <w:r w:rsidRPr="004F1CB0">
        <w:lastRenderedPageBreak/>
        <w:t xml:space="preserve">Parlament, skont l-Artikolu </w:t>
      </w:r>
      <w:r w:rsidRPr="004A0AA8">
        <w:t>294</w:t>
      </w:r>
      <w:r w:rsidRPr="004F1CB0">
        <w:t>(</w:t>
      </w:r>
      <w:r w:rsidRPr="004A0AA8">
        <w:t>4</w:t>
      </w:r>
      <w:r w:rsidRPr="004F1CB0">
        <w:t>) tat-Trattat dwar il-Funzjonament tal-Unjoni Ewropea,</w:t>
      </w:r>
    </w:p>
    <w:p w:rsidR="005A3362" w:rsidRPr="004F1CB0" w:rsidRDefault="005A3362" w:rsidP="005A3362">
      <w:pPr>
        <w:pStyle w:val="NormalHanging12a"/>
      </w:pPr>
      <w:r w:rsidRPr="004F1CB0">
        <w:t>–</w:t>
      </w:r>
      <w:r w:rsidRPr="004F1CB0">
        <w:tab/>
        <w:t>wara li kkunsidra l-Artikolu </w:t>
      </w:r>
      <w:r w:rsidRPr="004A0AA8">
        <w:t>59</w:t>
      </w:r>
      <w:r w:rsidRPr="004F1CB0">
        <w:t xml:space="preserve"> tar-Regoli ta’ Proċedura tiegħu,</w:t>
      </w:r>
    </w:p>
    <w:p w:rsidR="005A3362" w:rsidRPr="004F1CB0" w:rsidRDefault="005A3362" w:rsidP="005A3362">
      <w:pPr>
        <w:pStyle w:val="NormalHanging12a"/>
      </w:pPr>
      <w:r w:rsidRPr="004F1CB0">
        <w:t>–</w:t>
      </w:r>
      <w:r w:rsidRPr="004F1CB0">
        <w:tab/>
        <w:t>wara li kkunsidra l-opinjoni tal-Kumitat għall-Baġits,</w:t>
      </w:r>
    </w:p>
    <w:p w:rsidR="005A3362" w:rsidRPr="004F1CB0" w:rsidRDefault="005A3362" w:rsidP="005A3362">
      <w:pPr>
        <w:pStyle w:val="NormalHanging12a"/>
      </w:pPr>
      <w:r w:rsidRPr="004F1CB0">
        <w:t>–</w:t>
      </w:r>
      <w:r w:rsidRPr="004F1CB0">
        <w:tab/>
        <w:t>wara li kkunsidra r-rapport tal-Kumitat għal-Libertajiet Ċivili, il-Ġustizzja u l-Intern (A</w:t>
      </w:r>
      <w:r w:rsidRPr="004A0AA8">
        <w:t>9</w:t>
      </w:r>
      <w:r w:rsidRPr="004F1CB0">
        <w:t>-</w:t>
      </w:r>
      <w:r w:rsidRPr="004A0AA8">
        <w:t>0235</w:t>
      </w:r>
      <w:r w:rsidRPr="004F1CB0">
        <w:t>/</w:t>
      </w:r>
      <w:r w:rsidRPr="004A0AA8">
        <w:t>2023</w:t>
      </w:r>
      <w:r w:rsidRPr="004F1CB0">
        <w:t>),</w:t>
      </w:r>
    </w:p>
    <w:p w:rsidR="005A3362" w:rsidRPr="004F1CB0" w:rsidRDefault="005A3362" w:rsidP="005A3362">
      <w:pPr>
        <w:pStyle w:val="NormalHanging12a"/>
      </w:pPr>
      <w:r w:rsidRPr="004A0AA8">
        <w:t>1</w:t>
      </w:r>
      <w:r w:rsidRPr="004F1CB0">
        <w:t>.</w:t>
      </w:r>
      <w:r w:rsidRPr="004F1CB0">
        <w:tab/>
        <w:t>Jadotta l-pożizzjoni fl-ewwel qari li tidher hawn taħt;</w:t>
      </w:r>
    </w:p>
    <w:p w:rsidR="005A3362" w:rsidRPr="004F1CB0" w:rsidRDefault="005A3362" w:rsidP="005A3362">
      <w:pPr>
        <w:pStyle w:val="NormalHanging12a"/>
      </w:pPr>
      <w:r w:rsidRPr="004A0AA8">
        <w:t>2</w:t>
      </w:r>
      <w:r w:rsidRPr="004F1CB0">
        <w:t xml:space="preserve">. </w:t>
      </w:r>
      <w:r w:rsidRPr="004F1CB0">
        <w:tab/>
        <w:t xml:space="preserve">Jitlob lill-Kummissjoni terġa’ tirreferi l-kwistjoni lill-Parlament jekk tibdel il-proposta tagħha, temendaha b’mod sustanzjali jew ikollha l-ħsieb li temendaha b’mod sustanzjali; </w:t>
      </w:r>
    </w:p>
    <w:p w:rsidR="002F1892" w:rsidRDefault="005A3362" w:rsidP="004F1CB0">
      <w:pPr>
        <w:pStyle w:val="NormalHanging12a"/>
        <w:sectPr w:rsidR="002F1892" w:rsidSect="002F18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A0AA8">
        <w:t>3</w:t>
      </w:r>
      <w:r w:rsidRPr="004F1CB0">
        <w:t xml:space="preserve">. </w:t>
      </w:r>
      <w:r w:rsidRPr="004F1CB0">
        <w:tab/>
        <w:t>Jagħti istruzzjonijiet lill-President tiegħu biex tgħaddi l-pożizzjoni tal-Parlament lill-Kunsill u lill-Kummissjoni kif ukoll lill-parlamenti nazzjonali.</w:t>
      </w:r>
    </w:p>
    <w:p w:rsidR="00EC4E87" w:rsidRPr="004F1CB0" w:rsidRDefault="00EC4E87" w:rsidP="004F1CB0">
      <w:pPr>
        <w:pStyle w:val="NormalHanging12a"/>
        <w:rPr>
          <w:b/>
          <w:bCs/>
          <w:color w:val="000000"/>
        </w:rPr>
      </w:pPr>
      <w:r w:rsidRPr="004F1CB0">
        <w:rPr>
          <w:b/>
          <w:bCs/>
          <w:color w:val="000000"/>
        </w:rPr>
        <w:lastRenderedPageBreak/>
        <w:t>P</w:t>
      </w:r>
      <w:r w:rsidRPr="004A0AA8">
        <w:rPr>
          <w:b/>
          <w:bCs/>
          <w:color w:val="000000"/>
        </w:rPr>
        <w:t>9</w:t>
      </w:r>
      <w:r w:rsidRPr="004F1CB0">
        <w:rPr>
          <w:b/>
          <w:bCs/>
          <w:color w:val="000000"/>
        </w:rPr>
        <w:t>_TC</w:t>
      </w:r>
      <w:r w:rsidRPr="004A0AA8">
        <w:rPr>
          <w:b/>
          <w:bCs/>
          <w:color w:val="000000"/>
        </w:rPr>
        <w:t>1</w:t>
      </w:r>
      <w:r w:rsidRPr="004F1CB0">
        <w:rPr>
          <w:b/>
          <w:bCs/>
          <w:color w:val="000000"/>
        </w:rPr>
        <w:t>-COD(</w:t>
      </w:r>
      <w:r w:rsidRPr="004A0AA8">
        <w:rPr>
          <w:b/>
          <w:bCs/>
          <w:color w:val="000000"/>
        </w:rPr>
        <w:t>2022</w:t>
      </w:r>
      <w:r w:rsidRPr="004F1CB0">
        <w:rPr>
          <w:b/>
          <w:bCs/>
          <w:color w:val="000000"/>
        </w:rPr>
        <w:t>)</w:t>
      </w:r>
      <w:r w:rsidRPr="004A0AA8">
        <w:rPr>
          <w:b/>
          <w:bCs/>
          <w:color w:val="000000"/>
        </w:rPr>
        <w:t>0398</w:t>
      </w:r>
    </w:p>
    <w:p w:rsidR="00EC4E87" w:rsidRPr="00BF10F7" w:rsidRDefault="00EC4E87" w:rsidP="00BF10F7">
      <w:pPr>
        <w:spacing w:before="240" w:after="240"/>
        <w:rPr>
          <w:rFonts w:eastAsia="Calibri"/>
          <w:b/>
          <w:szCs w:val="22"/>
        </w:rPr>
      </w:pPr>
      <w:r w:rsidRPr="004F1CB0">
        <w:rPr>
          <w:rFonts w:eastAsia="Calibri"/>
          <w:b/>
          <w:bCs/>
        </w:rPr>
        <w:t>Pożizzjoni tal-Parlament Ewropew adottata fl-ewwel qari tat-</w:t>
      </w:r>
      <w:r w:rsidRPr="004A0AA8">
        <w:rPr>
          <w:rFonts w:eastAsia="Calibri"/>
          <w:b/>
          <w:bCs/>
        </w:rPr>
        <w:t>12</w:t>
      </w:r>
      <w:r w:rsidRPr="004F1CB0">
        <w:rPr>
          <w:b/>
        </w:rPr>
        <w:t xml:space="preserve"> </w:t>
      </w:r>
      <w:r w:rsidRPr="004F1CB0">
        <w:rPr>
          <w:rFonts w:eastAsia="Calibri"/>
          <w:b/>
          <w:bCs/>
        </w:rPr>
        <w:t xml:space="preserve">ta' Marzu </w:t>
      </w:r>
      <w:r w:rsidRPr="004A0AA8">
        <w:rPr>
          <w:rFonts w:eastAsia="Calibri"/>
          <w:b/>
          <w:bCs/>
        </w:rPr>
        <w:t>2024</w:t>
      </w:r>
      <w:r w:rsidRPr="004F1CB0">
        <w:rPr>
          <w:rFonts w:eastAsia="Calibri"/>
          <w:b/>
          <w:bCs/>
        </w:rPr>
        <w:t xml:space="preserve"> bil-ħsieb tal-adozzjoni tad-Direttiva (UE) </w:t>
      </w:r>
      <w:r w:rsidRPr="004A0AA8">
        <w:rPr>
          <w:rFonts w:eastAsia="Calibri"/>
          <w:b/>
          <w:bCs/>
        </w:rPr>
        <w:t>2024</w:t>
      </w:r>
      <w:r w:rsidRPr="004F1CB0">
        <w:rPr>
          <w:rFonts w:eastAsia="Calibri"/>
          <w:b/>
          <w:bCs/>
        </w:rPr>
        <w:t xml:space="preserve">/... </w:t>
      </w:r>
      <w:r w:rsidRPr="004F1CB0">
        <w:rPr>
          <w:b/>
          <w:color w:val="000000"/>
          <w:szCs w:val="22"/>
        </w:rPr>
        <w:t>tal-Parlament Ewropew u tal-Kunsill</w:t>
      </w:r>
      <w:r w:rsidRPr="004F1CB0">
        <w:rPr>
          <w:rFonts w:eastAsia="Calibri"/>
          <w:b/>
          <w:szCs w:val="22"/>
        </w:rPr>
        <w:t xml:space="preserve"> dwar id-definizzjoni ta’ reati kriminali u ta’ penali għall-ksur ta’ miżuri restrittivi tal-Unjoni u li temenda d-Direttiva (UE) </w:t>
      </w:r>
      <w:r w:rsidRPr="004A0AA8">
        <w:rPr>
          <w:rFonts w:eastAsia="Calibri"/>
          <w:b/>
          <w:szCs w:val="22"/>
        </w:rPr>
        <w:t>2018</w:t>
      </w:r>
      <w:r w:rsidRPr="004F1CB0">
        <w:rPr>
          <w:rFonts w:eastAsia="Calibri"/>
          <w:b/>
          <w:szCs w:val="22"/>
        </w:rPr>
        <w:t>/</w:t>
      </w:r>
      <w:r w:rsidRPr="004A0AA8">
        <w:rPr>
          <w:rFonts w:eastAsia="Calibri"/>
          <w:b/>
          <w:szCs w:val="22"/>
        </w:rPr>
        <w:t>1673</w:t>
      </w:r>
    </w:p>
    <w:p w:rsidR="00BF10F7" w:rsidRPr="00BF10F7" w:rsidRDefault="00BF10F7" w:rsidP="00BF10F7">
      <w:pPr>
        <w:rPr>
          <w:i/>
        </w:rPr>
      </w:pPr>
      <w:r w:rsidRPr="00BF10F7">
        <w:rPr>
          <w:i/>
        </w:rPr>
        <w:t xml:space="preserve">(Peress li ntlaħaq ftehim bejn il-Parlament u l-Kunsill, il-pożizzjoni tal-Parlament taqbel mal-att leġiżlattiv finali, </w:t>
      </w:r>
      <w:r w:rsidRPr="00BF10F7">
        <w:rPr>
          <w:i/>
        </w:rPr>
        <w:t>id-Direttiva</w:t>
      </w:r>
      <w:r w:rsidRPr="00BF10F7">
        <w:rPr>
          <w:i/>
        </w:rPr>
        <w:t xml:space="preserve"> (UE) </w:t>
      </w:r>
      <w:r w:rsidRPr="00BF10F7">
        <w:rPr>
          <w:i/>
        </w:rPr>
        <w:t>2024/1226</w:t>
      </w:r>
      <w:r w:rsidRPr="00BF10F7">
        <w:rPr>
          <w:i/>
        </w:rPr>
        <w:t>.)</w:t>
      </w:r>
      <w:bookmarkStart w:id="7" w:name="_GoBack"/>
      <w:bookmarkEnd w:id="7"/>
    </w:p>
    <w:sectPr w:rsidR="00BF10F7" w:rsidRPr="00BF10F7" w:rsidSect="002F18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4DC" w:rsidRPr="00AF3C5A" w:rsidRDefault="007C74DC">
      <w:r w:rsidRPr="00AF3C5A">
        <w:separator/>
      </w:r>
    </w:p>
  </w:endnote>
  <w:endnote w:type="continuationSeparator" w:id="0">
    <w:p w:rsidR="007C74DC" w:rsidRPr="00AF3C5A" w:rsidRDefault="007C74DC">
      <w:r w:rsidRPr="00AF3C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4DC" w:rsidRPr="00AF3C5A" w:rsidRDefault="007C74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4DC" w:rsidRPr="00AF3C5A" w:rsidRDefault="007C74D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4DC" w:rsidRPr="00AF3C5A" w:rsidRDefault="007C74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4DC" w:rsidRPr="00AF3C5A" w:rsidRDefault="007C74DC">
      <w:r w:rsidRPr="00AF3C5A">
        <w:separator/>
      </w:r>
    </w:p>
  </w:footnote>
  <w:footnote w:type="continuationSeparator" w:id="0">
    <w:p w:rsidR="007C74DC" w:rsidRPr="00AF3C5A" w:rsidRDefault="007C74DC">
      <w:r w:rsidRPr="00AF3C5A">
        <w:continuationSeparator/>
      </w:r>
    </w:p>
  </w:footnote>
  <w:footnote w:id="1">
    <w:p w:rsidR="007C74DC" w:rsidRPr="004F1CB0" w:rsidRDefault="007C74DC" w:rsidP="004F1CB0">
      <w:pPr>
        <w:pStyle w:val="FootnoteText"/>
        <w:ind w:left="426" w:hanging="567"/>
        <w:rPr>
          <w:sz w:val="24"/>
          <w:szCs w:val="24"/>
          <w:lang w:val="mt-MT"/>
        </w:rPr>
      </w:pPr>
      <w:r w:rsidRPr="004F1CB0">
        <w:rPr>
          <w:rStyle w:val="FootnoteReference"/>
          <w:sz w:val="24"/>
          <w:szCs w:val="24"/>
        </w:rPr>
        <w:footnoteRef/>
      </w:r>
      <w:r w:rsidRPr="004F1CB0">
        <w:rPr>
          <w:sz w:val="24"/>
          <w:szCs w:val="24"/>
        </w:rPr>
        <w:t xml:space="preserve"> </w:t>
      </w:r>
      <w:r w:rsidRPr="004F1CB0">
        <w:rPr>
          <w:sz w:val="24"/>
          <w:szCs w:val="24"/>
        </w:rPr>
        <w:tab/>
      </w:r>
      <w:r w:rsidRPr="004F1CB0">
        <w:rPr>
          <w:sz w:val="24"/>
          <w:szCs w:val="24"/>
          <w:lang w:val="en-GB"/>
        </w:rPr>
        <w:t xml:space="preserve">ĠU L </w:t>
      </w:r>
      <w:r w:rsidRPr="004A0AA8">
        <w:rPr>
          <w:sz w:val="24"/>
          <w:szCs w:val="24"/>
          <w:lang w:val="en-GB"/>
        </w:rPr>
        <w:t>308</w:t>
      </w:r>
      <w:r w:rsidRPr="004F1CB0">
        <w:rPr>
          <w:sz w:val="24"/>
          <w:szCs w:val="24"/>
          <w:lang w:val="en-GB"/>
        </w:rPr>
        <w:t xml:space="preserve">, </w:t>
      </w:r>
      <w:r w:rsidRPr="004A0AA8">
        <w:rPr>
          <w:sz w:val="24"/>
          <w:szCs w:val="24"/>
          <w:lang w:val="en-GB"/>
        </w:rPr>
        <w:t>29</w:t>
      </w:r>
      <w:r w:rsidRPr="004F1CB0">
        <w:rPr>
          <w:sz w:val="24"/>
          <w:szCs w:val="24"/>
          <w:lang w:val="en-GB"/>
        </w:rPr>
        <w:t>.</w:t>
      </w:r>
      <w:r w:rsidRPr="004A0AA8">
        <w:rPr>
          <w:sz w:val="24"/>
          <w:szCs w:val="24"/>
          <w:lang w:val="en-GB"/>
        </w:rPr>
        <w:t>11</w:t>
      </w:r>
      <w:r w:rsidRPr="004F1CB0">
        <w:rPr>
          <w:sz w:val="24"/>
          <w:szCs w:val="24"/>
          <w:lang w:val="en-GB"/>
        </w:rPr>
        <w:t>.</w:t>
      </w:r>
      <w:r w:rsidRPr="004A0AA8">
        <w:rPr>
          <w:sz w:val="24"/>
          <w:szCs w:val="24"/>
          <w:lang w:val="en-GB"/>
        </w:rPr>
        <w:t>2022</w:t>
      </w:r>
      <w:r w:rsidRPr="004F1CB0">
        <w:rPr>
          <w:sz w:val="24"/>
          <w:szCs w:val="24"/>
          <w:lang w:val="en-GB"/>
        </w:rPr>
        <w:t xml:space="preserve">, p. </w:t>
      </w:r>
      <w:r w:rsidRPr="004A0AA8">
        <w:rPr>
          <w:sz w:val="24"/>
          <w:szCs w:val="24"/>
          <w:lang w:val="en-GB"/>
        </w:rPr>
        <w:t>18</w:t>
      </w:r>
      <w:r w:rsidRPr="004F1CB0">
        <w:rPr>
          <w:sz w:val="24"/>
          <w:szCs w:val="24"/>
          <w:lang w:val="en-GB"/>
        </w:rPr>
        <w:t>.</w:t>
      </w:r>
    </w:p>
  </w:footnote>
  <w:footnote w:id="2">
    <w:p w:rsidR="007C74DC" w:rsidRPr="007C74DC" w:rsidRDefault="007C74DC" w:rsidP="004F1CB0">
      <w:pPr>
        <w:pStyle w:val="FootnoteText"/>
        <w:ind w:left="426" w:hanging="567"/>
        <w:rPr>
          <w:sz w:val="24"/>
          <w:szCs w:val="24"/>
          <w:lang w:val="mt-MT"/>
        </w:rPr>
      </w:pPr>
      <w:r w:rsidRPr="007C74DC">
        <w:rPr>
          <w:rStyle w:val="FootnoteReference"/>
          <w:sz w:val="24"/>
          <w:szCs w:val="24"/>
          <w:lang w:val="mt-MT"/>
        </w:rPr>
        <w:footnoteRef/>
      </w:r>
      <w:r w:rsidRPr="007C74DC">
        <w:rPr>
          <w:sz w:val="24"/>
          <w:szCs w:val="24"/>
          <w:lang w:val="mt-MT"/>
        </w:rPr>
        <w:t xml:space="preserve"> </w:t>
      </w:r>
      <w:r w:rsidRPr="007C74DC">
        <w:rPr>
          <w:sz w:val="24"/>
          <w:szCs w:val="24"/>
          <w:lang w:val="mt-MT"/>
        </w:rPr>
        <w:tab/>
      </w:r>
      <w:r>
        <w:rPr>
          <w:sz w:val="24"/>
          <w:szCs w:val="24"/>
          <w:lang w:val="mt-MT"/>
        </w:rPr>
        <w:t>ĠU</w:t>
      </w:r>
      <w:r w:rsidRPr="004F1CB0">
        <w:rPr>
          <w:sz w:val="24"/>
          <w:szCs w:val="24"/>
          <w:lang w:val="mt-MT"/>
        </w:rPr>
        <w:t xml:space="preserve"> C </w:t>
      </w:r>
      <w:r w:rsidRPr="004A0AA8">
        <w:rPr>
          <w:sz w:val="24"/>
          <w:szCs w:val="24"/>
          <w:lang w:val="mt-MT"/>
        </w:rPr>
        <w:t>184</w:t>
      </w:r>
      <w:r w:rsidRPr="004F1CB0">
        <w:rPr>
          <w:sz w:val="24"/>
          <w:szCs w:val="24"/>
          <w:lang w:val="mt-MT"/>
        </w:rPr>
        <w:t xml:space="preserve">, </w:t>
      </w:r>
      <w:r w:rsidRPr="004A0AA8">
        <w:rPr>
          <w:sz w:val="24"/>
          <w:szCs w:val="24"/>
          <w:lang w:val="mt-MT"/>
        </w:rPr>
        <w:t>25</w:t>
      </w:r>
      <w:r w:rsidRPr="004F1CB0">
        <w:rPr>
          <w:sz w:val="24"/>
          <w:szCs w:val="24"/>
          <w:lang w:val="mt-MT"/>
        </w:rPr>
        <w:t>.</w:t>
      </w:r>
      <w:r w:rsidRPr="004A0AA8">
        <w:rPr>
          <w:sz w:val="24"/>
          <w:szCs w:val="24"/>
          <w:lang w:val="mt-MT"/>
        </w:rPr>
        <w:t>5</w:t>
      </w:r>
      <w:r w:rsidRPr="004F1CB0">
        <w:rPr>
          <w:sz w:val="24"/>
          <w:szCs w:val="24"/>
          <w:lang w:val="mt-MT"/>
        </w:rPr>
        <w:t>.</w:t>
      </w:r>
      <w:r w:rsidRPr="004A0AA8">
        <w:rPr>
          <w:sz w:val="24"/>
          <w:szCs w:val="24"/>
          <w:lang w:val="mt-MT"/>
        </w:rPr>
        <w:t>2023</w:t>
      </w:r>
      <w:r w:rsidRPr="004F1CB0">
        <w:rPr>
          <w:sz w:val="24"/>
          <w:szCs w:val="24"/>
          <w:lang w:val="mt-MT"/>
        </w:rPr>
        <w:t xml:space="preserve">, p. </w:t>
      </w:r>
      <w:r w:rsidRPr="004A0AA8">
        <w:rPr>
          <w:sz w:val="24"/>
          <w:szCs w:val="24"/>
          <w:lang w:val="mt-MT"/>
        </w:rPr>
        <w:t>59</w:t>
      </w:r>
      <w:r w:rsidRPr="007C74DC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4DC" w:rsidRPr="00AF3C5A" w:rsidRDefault="007C74D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4DC" w:rsidRPr="00AF3C5A" w:rsidRDefault="007C74D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4DC" w:rsidRPr="00AF3C5A" w:rsidRDefault="007C74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5/2023"/>
    <w:docVar w:name="dvlangue" w:val="MT"/>
    <w:docVar w:name="dvnumam" w:val="115"/>
    <w:docVar w:name="dvpe" w:val="746.946"/>
    <w:docVar w:name="dvrapporteur" w:val="Rapporteur: "/>
    <w:docVar w:name="dvstar" w:val="***I"/>
    <w:docVar w:name="dvtitre" w:val="Riżoluzzjoni leġiżlattiva tal-Parlament Ewropew tat-12 ta' Jannar 2024 dwar il-proposta għal direttiva tal-Parlament Ewropew u tal-Kunsill dwar id-definizzjoni ta’ reati kriminali u ta’ pieni għall-ksur ta’ miżuri restrittivi tal-Unjoni(COM(2022)0684 – C9-0401/2022 – 2022/0398(COD))"/>
  </w:docVars>
  <w:rsids>
    <w:rsidRoot w:val="00B2790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1892"/>
    <w:rsid w:val="00343214"/>
    <w:rsid w:val="00361C00"/>
    <w:rsid w:val="003929CD"/>
    <w:rsid w:val="00395FA1"/>
    <w:rsid w:val="003E15D4"/>
    <w:rsid w:val="00411CCE"/>
    <w:rsid w:val="0041666E"/>
    <w:rsid w:val="00421060"/>
    <w:rsid w:val="00471C19"/>
    <w:rsid w:val="004867E3"/>
    <w:rsid w:val="00494A28"/>
    <w:rsid w:val="004A0AA8"/>
    <w:rsid w:val="004C0004"/>
    <w:rsid w:val="004C5D52"/>
    <w:rsid w:val="004F1CB0"/>
    <w:rsid w:val="0050519A"/>
    <w:rsid w:val="005072A1"/>
    <w:rsid w:val="00514517"/>
    <w:rsid w:val="00545827"/>
    <w:rsid w:val="00560270"/>
    <w:rsid w:val="005A3362"/>
    <w:rsid w:val="005C2568"/>
    <w:rsid w:val="006037C0"/>
    <w:rsid w:val="006631B6"/>
    <w:rsid w:val="00680577"/>
    <w:rsid w:val="006F74FA"/>
    <w:rsid w:val="00731ADD"/>
    <w:rsid w:val="00734777"/>
    <w:rsid w:val="00747932"/>
    <w:rsid w:val="00750C69"/>
    <w:rsid w:val="00751A4A"/>
    <w:rsid w:val="00756632"/>
    <w:rsid w:val="00762C74"/>
    <w:rsid w:val="00786EC0"/>
    <w:rsid w:val="007C74D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3C5A"/>
    <w:rsid w:val="00B12E95"/>
    <w:rsid w:val="00B22876"/>
    <w:rsid w:val="00B2790D"/>
    <w:rsid w:val="00B558F0"/>
    <w:rsid w:val="00BD48FE"/>
    <w:rsid w:val="00BD7BD8"/>
    <w:rsid w:val="00BE6ADC"/>
    <w:rsid w:val="00BF10F7"/>
    <w:rsid w:val="00BF550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883"/>
    <w:rsid w:val="00E820A4"/>
    <w:rsid w:val="00EA6AF4"/>
    <w:rsid w:val="00EB006A"/>
    <w:rsid w:val="00EB4772"/>
    <w:rsid w:val="00EC4E8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444F5"/>
  <w15:chartTrackingRefBased/>
  <w15:docId w15:val="{B6BAFE2A-A73F-46FE-A92C-17816F4F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A336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A336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A336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A336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A336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A3362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5A3362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5A3362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5A3362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5A336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A33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A336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A3362"/>
    <w:pPr>
      <w:spacing w:after="120"/>
    </w:pPr>
  </w:style>
  <w:style w:type="paragraph" w:customStyle="1" w:styleId="PageHeading">
    <w:name w:val="PageHeading"/>
    <w:basedOn w:val="Normal"/>
    <w:rsid w:val="005A336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A3362"/>
    <w:rPr>
      <w:b/>
    </w:rPr>
  </w:style>
  <w:style w:type="paragraph" w:customStyle="1" w:styleId="NormalBold12a">
    <w:name w:val="NormalBold12a"/>
    <w:basedOn w:val="Normal"/>
    <w:rsid w:val="005A3362"/>
    <w:pPr>
      <w:spacing w:after="240"/>
    </w:pPr>
    <w:rPr>
      <w:b/>
    </w:rPr>
  </w:style>
  <w:style w:type="paragraph" w:customStyle="1" w:styleId="AmJustText">
    <w:name w:val="AmJustText"/>
    <w:basedOn w:val="Normal"/>
    <w:rsid w:val="005A336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A336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A3362"/>
    <w:pPr>
      <w:spacing w:after="480"/>
      <w:ind w:left="1417"/>
    </w:pPr>
  </w:style>
  <w:style w:type="paragraph" w:customStyle="1" w:styleId="CoverNormal">
    <w:name w:val="CoverNormal"/>
    <w:basedOn w:val="Normal"/>
    <w:rsid w:val="005A3362"/>
    <w:pPr>
      <w:ind w:left="1418"/>
    </w:pPr>
  </w:style>
  <w:style w:type="paragraph" w:customStyle="1" w:styleId="AmCrossRef">
    <w:name w:val="AmCrossRef"/>
    <w:basedOn w:val="Normal"/>
    <w:rsid w:val="005A336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A336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A336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A336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A33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A3362"/>
    <w:pPr>
      <w:spacing w:before="240" w:after="1200"/>
    </w:pPr>
  </w:style>
  <w:style w:type="paragraph" w:styleId="Header">
    <w:name w:val="header"/>
    <w:basedOn w:val="Normal"/>
    <w:link w:val="HeaderChar"/>
    <w:rsid w:val="005A33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A3362"/>
    <w:rPr>
      <w:sz w:val="24"/>
      <w:lang w:val="mt-MT"/>
    </w:rPr>
  </w:style>
  <w:style w:type="paragraph" w:customStyle="1" w:styleId="AmOrLang">
    <w:name w:val="AmOrLang"/>
    <w:basedOn w:val="Normal"/>
    <w:rsid w:val="005A336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A336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A33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A3362"/>
    <w:pPr>
      <w:spacing w:before="240"/>
    </w:pPr>
    <w:rPr>
      <w:b/>
    </w:rPr>
  </w:style>
  <w:style w:type="paragraph" w:customStyle="1" w:styleId="EPBody">
    <w:name w:val="EPBody"/>
    <w:basedOn w:val="Normal"/>
    <w:rsid w:val="005A336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A33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A3362"/>
    <w:pPr>
      <w:spacing w:before="480" w:after="240"/>
    </w:pPr>
  </w:style>
  <w:style w:type="paragraph" w:customStyle="1" w:styleId="Lgendesigne">
    <w:name w:val="Légende signe"/>
    <w:basedOn w:val="Normal"/>
    <w:rsid w:val="005A336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A336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5A3362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5A3362"/>
    <w:rPr>
      <w:b/>
      <w:sz w:val="24"/>
      <w:lang w:val="mt-MT"/>
    </w:rPr>
  </w:style>
  <w:style w:type="paragraph" w:customStyle="1" w:styleId="msonormal0">
    <w:name w:val="msonormal"/>
    <w:basedOn w:val="Normal"/>
    <w:rsid w:val="005A3362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5A3362"/>
    <w:rPr>
      <w:noProof/>
      <w:sz w:val="24"/>
    </w:rPr>
  </w:style>
  <w:style w:type="paragraph" w:customStyle="1" w:styleId="Normal12">
    <w:name w:val="Normal12"/>
    <w:basedOn w:val="Normal"/>
    <w:link w:val="Normal12Char"/>
    <w:rsid w:val="005A336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A336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A336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A336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A336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A336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A336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A3362"/>
    <w:pPr>
      <w:spacing w:after="120"/>
    </w:pPr>
  </w:style>
  <w:style w:type="paragraph" w:customStyle="1" w:styleId="Normal12Italic">
    <w:name w:val="Normal12Italic"/>
    <w:basedOn w:val="Normal12"/>
    <w:rsid w:val="005A3362"/>
    <w:rPr>
      <w:i/>
    </w:rPr>
  </w:style>
  <w:style w:type="paragraph" w:customStyle="1" w:styleId="JustificationTitle">
    <w:name w:val="JustificationTitle"/>
    <w:basedOn w:val="Normal"/>
    <w:next w:val="Normal12"/>
    <w:rsid w:val="005A336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A336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A336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A33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A3362"/>
    <w:pPr>
      <w:spacing w:before="240"/>
      <w:jc w:val="center"/>
    </w:pPr>
    <w:rPr>
      <w:i/>
    </w:rPr>
  </w:style>
  <w:style w:type="character" w:customStyle="1" w:styleId="Footer2Middle">
    <w:name w:val="Footer2Middle"/>
    <w:rsid w:val="005A336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A336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5A3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3362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5A33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336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336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A33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3362"/>
    <w:rPr>
      <w:b/>
      <w:bCs/>
      <w:lang w:val="mt-MT"/>
    </w:rPr>
  </w:style>
  <w:style w:type="paragraph" w:customStyle="1" w:styleId="Normal12a">
    <w:name w:val="Normal12a"/>
    <w:basedOn w:val="Normal"/>
    <w:rsid w:val="005A3362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5A336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5A3362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5A336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5A336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5A336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5A3362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5A3362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5A3362"/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A336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A3362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36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A3362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5A3362"/>
    <w:rPr>
      <w:b/>
      <w:bCs/>
    </w:rPr>
  </w:style>
  <w:style w:type="character" w:styleId="Emphasis">
    <w:name w:val="Emphasis"/>
    <w:basedOn w:val="DefaultParagraphFont"/>
    <w:uiPriority w:val="20"/>
    <w:qFormat/>
    <w:rsid w:val="005A336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A336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A336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336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A3362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36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362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5A336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A336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A336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A336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A3362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A3362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A3362"/>
    <w:rPr>
      <w:rFonts w:eastAsiaTheme="minorHAnsi"/>
      <w:sz w:val="24"/>
      <w:szCs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00437-74FA-40D5-9536-290C4F90A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2024-07-16T07:57:00Z</dcterms:created>
  <dcterms:modified xsi:type="dcterms:W3CDTF">2024-07-16T07:57:00Z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P9_TA(2024)0125_</vt:lpwstr>
  </property>
  <property fmtid="{D5CDD505-2E9C-101B-9397-08002B2CF9AE}" pid="4" name="&lt;Type&gt;">
    <vt:lpwstr>RR</vt:lpwstr>
  </property>
</Properties>
</file>