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3173" w14:paraId="48D1E27F" w14:textId="77777777" w:rsidTr="0010095E">
        <w:trPr>
          <w:trHeight w:hRule="exact" w:val="1418"/>
        </w:trPr>
        <w:tc>
          <w:tcPr>
            <w:tcW w:w="6804" w:type="dxa"/>
            <w:shd w:val="clear" w:color="auto" w:fill="auto"/>
            <w:vAlign w:val="center"/>
          </w:tcPr>
          <w:p w14:paraId="7FFF0DDC" w14:textId="77777777" w:rsidR="00751A4A" w:rsidRPr="00083173" w:rsidRDefault="006360A8" w:rsidP="0010095E">
            <w:pPr>
              <w:pStyle w:val="EPName"/>
            </w:pPr>
            <w:r w:rsidRPr="00083173">
              <w:t>Europa-Parlamentet</w:t>
            </w:r>
          </w:p>
          <w:p w14:paraId="76C39E3D" w14:textId="77777777" w:rsidR="00751A4A" w:rsidRPr="00083173" w:rsidRDefault="00817416" w:rsidP="00756632">
            <w:pPr>
              <w:pStyle w:val="EPTerm"/>
              <w:rPr>
                <w:rStyle w:val="HideTWBExt"/>
                <w:noProof w:val="0"/>
                <w:vanish w:val="0"/>
                <w:color w:val="auto"/>
              </w:rPr>
            </w:pPr>
            <w:r w:rsidRPr="00083173">
              <w:t>2019-2024</w:t>
            </w:r>
          </w:p>
        </w:tc>
        <w:tc>
          <w:tcPr>
            <w:tcW w:w="2268" w:type="dxa"/>
            <w:shd w:val="clear" w:color="auto" w:fill="auto"/>
          </w:tcPr>
          <w:p w14:paraId="499A8AF6" w14:textId="77777777" w:rsidR="00751A4A" w:rsidRPr="00083173" w:rsidRDefault="00187494" w:rsidP="0010095E">
            <w:pPr>
              <w:pStyle w:val="EPLogo"/>
            </w:pPr>
            <w:r w:rsidRPr="00083173">
              <w:rPr>
                <w:noProof/>
                <w:lang w:val="en-GB"/>
              </w:rPr>
              <w:drawing>
                <wp:inline distT="0" distB="0" distL="0" distR="0" wp14:anchorId="77988B90" wp14:editId="322F03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EB07E4" w14:textId="77777777" w:rsidR="00D058B8" w:rsidRPr="00083173" w:rsidRDefault="00D058B8" w:rsidP="004C5D52">
      <w:pPr>
        <w:pStyle w:val="LineTop"/>
      </w:pPr>
    </w:p>
    <w:p w14:paraId="719A82ED" w14:textId="77777777" w:rsidR="00680577" w:rsidRPr="00083173" w:rsidRDefault="006360A8" w:rsidP="00680577">
      <w:pPr>
        <w:pStyle w:val="EPBodyTA1"/>
      </w:pPr>
      <w:r w:rsidRPr="00083173">
        <w:t>VEDTAGNE TEKSTER</w:t>
      </w:r>
    </w:p>
    <w:p w14:paraId="4F9DBAC7" w14:textId="77777777" w:rsidR="00D058B8" w:rsidRPr="00083173" w:rsidRDefault="00D058B8" w:rsidP="00D058B8">
      <w:pPr>
        <w:pStyle w:val="LineBottom"/>
      </w:pPr>
    </w:p>
    <w:p w14:paraId="711347B8" w14:textId="6EC54221" w:rsidR="006360A8" w:rsidRPr="00083173" w:rsidRDefault="006360A8" w:rsidP="006360A8">
      <w:pPr>
        <w:pStyle w:val="ATHeading1"/>
      </w:pPr>
      <w:bookmarkStart w:id="0" w:name="TANumber"/>
      <w:r w:rsidRPr="00083173">
        <w:t>P9_TA(2024)0</w:t>
      </w:r>
      <w:bookmarkEnd w:id="0"/>
      <w:r w:rsidR="007A62FC">
        <w:t>127</w:t>
      </w:r>
    </w:p>
    <w:p w14:paraId="0BB35F79" w14:textId="0E897340" w:rsidR="006360A8" w:rsidRPr="00083173" w:rsidRDefault="00B8479C" w:rsidP="006360A8">
      <w:pPr>
        <w:pStyle w:val="ATHeading2"/>
      </w:pPr>
      <w:r>
        <w:t>A</w:t>
      </w:r>
      <w:r w:rsidRPr="00083173">
        <w:t>nvendelse af jernbaneinfrastrukturkapacitet i det fælles europæiske jernbaneområde, ændring af direktiv 2012/34/EU og ophævelse af forordning (EU) nr. 913/2010</w:t>
      </w:r>
    </w:p>
    <w:p w14:paraId="7B6261B8" w14:textId="77777777" w:rsidR="006360A8" w:rsidRPr="00083173" w:rsidRDefault="006360A8" w:rsidP="006360A8">
      <w:pPr>
        <w:rPr>
          <w:i/>
          <w:vanish/>
        </w:rPr>
      </w:pPr>
      <w:r w:rsidRPr="00083173">
        <w:rPr>
          <w:i/>
        </w:rPr>
        <w:fldChar w:fldCharType="begin"/>
      </w:r>
      <w:r w:rsidRPr="00083173">
        <w:rPr>
          <w:i/>
        </w:rPr>
        <w:instrText xml:space="preserve"> TC"(</w:instrText>
      </w:r>
      <w:bookmarkStart w:id="1" w:name="DocNumber"/>
      <w:r w:rsidRPr="00083173">
        <w:rPr>
          <w:i/>
        </w:rPr>
        <w:instrText>A9-0069/2024</w:instrText>
      </w:r>
      <w:bookmarkEnd w:id="1"/>
      <w:r w:rsidRPr="00083173">
        <w:rPr>
          <w:i/>
        </w:rPr>
        <w:instrText xml:space="preserve"> - Ordfører: Tilly Metz)"\l3 \n&gt; \* MERGEFORMAT </w:instrText>
      </w:r>
      <w:r w:rsidRPr="00083173">
        <w:rPr>
          <w:i/>
        </w:rPr>
        <w:fldChar w:fldCharType="end"/>
      </w:r>
    </w:p>
    <w:p w14:paraId="084BDBF7" w14:textId="77777777" w:rsidR="006360A8" w:rsidRPr="00083173" w:rsidRDefault="006360A8" w:rsidP="006360A8">
      <w:pPr>
        <w:rPr>
          <w:vanish/>
        </w:rPr>
      </w:pPr>
      <w:bookmarkStart w:id="2" w:name="Commission"/>
      <w:r w:rsidRPr="00083173">
        <w:rPr>
          <w:vanish/>
        </w:rPr>
        <w:t>Transport- og Turismeudvalget</w:t>
      </w:r>
      <w:bookmarkEnd w:id="2"/>
    </w:p>
    <w:p w14:paraId="6142399E" w14:textId="77777777" w:rsidR="006360A8" w:rsidRPr="00083173" w:rsidRDefault="006360A8" w:rsidP="006360A8">
      <w:pPr>
        <w:rPr>
          <w:vanish/>
        </w:rPr>
      </w:pPr>
      <w:bookmarkStart w:id="3" w:name="PE"/>
      <w:r w:rsidRPr="00083173">
        <w:rPr>
          <w:vanish/>
        </w:rPr>
        <w:t>PE752.954</w:t>
      </w:r>
      <w:bookmarkEnd w:id="3"/>
    </w:p>
    <w:p w14:paraId="44A946A7" w14:textId="55DE45AE" w:rsidR="006360A8" w:rsidRPr="00083173" w:rsidRDefault="006360A8" w:rsidP="006360A8">
      <w:pPr>
        <w:pStyle w:val="ATHeading3"/>
      </w:pPr>
      <w:bookmarkStart w:id="4" w:name="Sujet"/>
      <w:r w:rsidRPr="00083173">
        <w:t xml:space="preserve">Europa-Parlamentets lovgivningsmæssige beslutning af </w:t>
      </w:r>
      <w:r w:rsidR="00B8479C">
        <w:t>12</w:t>
      </w:r>
      <w:r w:rsidRPr="00083173">
        <w:t>.</w:t>
      </w:r>
      <w:r w:rsidR="00335806">
        <w:t xml:space="preserve"> marts</w:t>
      </w:r>
      <w:r w:rsidRPr="00083173">
        <w:t xml:space="preserve"> 2024 om forslag til Europa-Parlamentets og Rådets forordning om anvendelse af jernbaneinfrastrukturkapacitet i det fælles europæiske jernbaneområde, om ændring af direktiv 2012/34/EU og om ophævelse af forordning (EU) nr. 913/2010</w:t>
      </w:r>
      <w:bookmarkEnd w:id="4"/>
      <w:r w:rsidRPr="00083173">
        <w:t xml:space="preserve"> </w:t>
      </w:r>
      <w:bookmarkStart w:id="5" w:name="References"/>
      <w:r w:rsidRPr="00083173">
        <w:t>(COM(2023)0443 – C9-0304/2023 – 2023/0271(COD))</w:t>
      </w:r>
      <w:bookmarkEnd w:id="5"/>
    </w:p>
    <w:p w14:paraId="32EC6092" w14:textId="77777777" w:rsidR="00016021" w:rsidRPr="00083173" w:rsidRDefault="00016021" w:rsidP="00016021">
      <w:pPr>
        <w:pStyle w:val="NormalBold"/>
      </w:pPr>
      <w:bookmarkStart w:id="6" w:name="TextBodyBegin"/>
      <w:bookmarkEnd w:id="6"/>
      <w:r w:rsidRPr="00083173">
        <w:t>(Almindelig lovgivningsprocedure: førstebehandling)</w:t>
      </w:r>
    </w:p>
    <w:p w14:paraId="31419CFA" w14:textId="77777777" w:rsidR="00016021" w:rsidRPr="00083173" w:rsidRDefault="00016021" w:rsidP="00016021">
      <w:pPr>
        <w:pStyle w:val="EPComma"/>
      </w:pPr>
      <w:r w:rsidRPr="00083173">
        <w:rPr>
          <w:i/>
        </w:rPr>
        <w:t>Europa-Parlamentet</w:t>
      </w:r>
      <w:r w:rsidRPr="00083173">
        <w:t>,</w:t>
      </w:r>
    </w:p>
    <w:p w14:paraId="3D2FF7CA" w14:textId="2D13DDA3" w:rsidR="00016021" w:rsidRPr="00083173" w:rsidRDefault="00016021" w:rsidP="00016021">
      <w:pPr>
        <w:pStyle w:val="NormalHanging12a"/>
      </w:pPr>
      <w:r w:rsidRPr="00083173">
        <w:t>–</w:t>
      </w:r>
      <w:r w:rsidRPr="00083173">
        <w:tab/>
        <w:t>der henviser til Kommissionens forslag til Europa-Parlamentet og Rådet (COM(2023)</w:t>
      </w:r>
      <w:r w:rsidR="002E5A76">
        <w:t>0</w:t>
      </w:r>
      <w:r w:rsidRPr="00083173">
        <w:t>443),</w:t>
      </w:r>
    </w:p>
    <w:p w14:paraId="7441D978" w14:textId="77777777" w:rsidR="00016021" w:rsidRPr="00083173" w:rsidRDefault="00016021" w:rsidP="00016021">
      <w:pPr>
        <w:pStyle w:val="NormalHanging12a"/>
      </w:pPr>
      <w:r w:rsidRPr="00083173">
        <w:t>–</w:t>
      </w:r>
      <w:r w:rsidRPr="00083173">
        <w:tab/>
        <w:t>der henviser til artikel 294, stk. 2, og artikel 91 i traktaten om Den Europæiske Unions funktionsmåde, på grundlag af hvilke Kommissionen har forelagt forslaget for Europa-Parlamentet (C9</w:t>
      </w:r>
      <w:r w:rsidRPr="00083173">
        <w:noBreakHyphen/>
        <w:t>0304/2023),</w:t>
      </w:r>
    </w:p>
    <w:p w14:paraId="1D40CFAD" w14:textId="77777777" w:rsidR="00016021" w:rsidRPr="00083173" w:rsidRDefault="00016021" w:rsidP="00016021">
      <w:pPr>
        <w:pStyle w:val="NormalHanging12a"/>
      </w:pPr>
      <w:r w:rsidRPr="00083173">
        <w:t>–</w:t>
      </w:r>
      <w:r w:rsidRPr="00083173">
        <w:tab/>
        <w:t>der henviser til artikel 294, stk. 3, i traktaten om Den Europæiske Unions funktionsmåde,</w:t>
      </w:r>
    </w:p>
    <w:p w14:paraId="5A6BD5B8" w14:textId="77777777" w:rsidR="00016021" w:rsidRPr="00083173" w:rsidRDefault="00016021" w:rsidP="00016021">
      <w:pPr>
        <w:pStyle w:val="NormalHanging12a"/>
      </w:pPr>
      <w:r w:rsidRPr="00083173">
        <w:t>–</w:t>
      </w:r>
      <w:r w:rsidRPr="00083173">
        <w:tab/>
        <w:t>der henviser til udtalelse af 25. oktober 2023 fra Det Europæiske Økonomiske og Sociale Udvalg</w:t>
      </w:r>
      <w:r w:rsidRPr="00083173">
        <w:rPr>
          <w:rStyle w:val="FootnoteReference"/>
          <w:rFonts w:eastAsiaTheme="minorHAnsi"/>
        </w:rPr>
        <w:footnoteReference w:id="1"/>
      </w:r>
      <w:r w:rsidRPr="00083173">
        <w:t xml:space="preserve">, </w:t>
      </w:r>
    </w:p>
    <w:p w14:paraId="75F2E4AF" w14:textId="46C826FC" w:rsidR="00016021" w:rsidRPr="00083173" w:rsidRDefault="00016021" w:rsidP="00016021">
      <w:pPr>
        <w:pStyle w:val="NormalHanging12a"/>
      </w:pPr>
      <w:r w:rsidRPr="00083173">
        <w:t>–</w:t>
      </w:r>
      <w:r w:rsidRPr="00083173">
        <w:tab/>
        <w:t xml:space="preserve">der henviser til Regionsudvalgets udtalelse af </w:t>
      </w:r>
      <w:r w:rsidR="002E5A76">
        <w:t>1. februar 2024</w:t>
      </w:r>
      <w:r w:rsidRPr="00083173">
        <w:rPr>
          <w:rStyle w:val="FootnoteReference"/>
          <w:rFonts w:eastAsiaTheme="minorHAnsi"/>
        </w:rPr>
        <w:footnoteReference w:id="2"/>
      </w:r>
      <w:r w:rsidRPr="00083173">
        <w:t>,</w:t>
      </w:r>
    </w:p>
    <w:p w14:paraId="023BFC8C" w14:textId="77777777" w:rsidR="00016021" w:rsidRPr="00083173" w:rsidRDefault="00016021" w:rsidP="00016021">
      <w:pPr>
        <w:pStyle w:val="NormalHanging12a"/>
      </w:pPr>
      <w:r w:rsidRPr="00083173">
        <w:t>–</w:t>
      </w:r>
      <w:r w:rsidRPr="00083173">
        <w:tab/>
        <w:t>der henviser til forretningsordenens artikel 59,</w:t>
      </w:r>
    </w:p>
    <w:p w14:paraId="52543AC9" w14:textId="77777777" w:rsidR="00016021" w:rsidRPr="00083173" w:rsidRDefault="00016021" w:rsidP="00016021">
      <w:pPr>
        <w:pStyle w:val="NormalHanging12a"/>
      </w:pPr>
      <w:r w:rsidRPr="00083173">
        <w:t>–</w:t>
      </w:r>
      <w:r w:rsidRPr="00083173">
        <w:tab/>
        <w:t>der henviser til betænkning fra Transport- og Turismeudvalget (A9-0069/2024),</w:t>
      </w:r>
    </w:p>
    <w:p w14:paraId="04600625" w14:textId="77777777" w:rsidR="00016021" w:rsidRPr="00083173" w:rsidRDefault="00016021" w:rsidP="00016021">
      <w:pPr>
        <w:pStyle w:val="NormalHanging12a"/>
      </w:pPr>
      <w:r w:rsidRPr="00083173">
        <w:t>1.</w:t>
      </w:r>
      <w:r w:rsidRPr="00083173">
        <w:tab/>
        <w:t>vedtager nedenstående holdning ved førstebehandling;</w:t>
      </w:r>
    </w:p>
    <w:p w14:paraId="72D86ABE" w14:textId="77777777" w:rsidR="00016021" w:rsidRPr="00083173" w:rsidRDefault="00016021" w:rsidP="00016021">
      <w:pPr>
        <w:pStyle w:val="NormalHanging12a"/>
      </w:pPr>
      <w:r w:rsidRPr="00083173">
        <w:lastRenderedPageBreak/>
        <w:t>2.</w:t>
      </w:r>
      <w:r w:rsidRPr="00083173">
        <w:tab/>
        <w:t>anmoder om fornyet forelæggelse, hvis Kommissionen erstatter, i væsentlig grad ændrer eller agter i væsentlig grad at ændre sit forslag;</w:t>
      </w:r>
    </w:p>
    <w:p w14:paraId="7383E8CA" w14:textId="77777777" w:rsidR="00016021" w:rsidRPr="00083173" w:rsidRDefault="00016021" w:rsidP="00016021">
      <w:pPr>
        <w:pStyle w:val="NormalHanging12a"/>
      </w:pPr>
      <w:r w:rsidRPr="00083173">
        <w:t>3.</w:t>
      </w:r>
      <w:r w:rsidRPr="00083173">
        <w:tab/>
        <w:t>pålægger sin formand at sende Parlamentets holdning til Rådet og Kommissionen samt til de nationale parlamenter.</w:t>
      </w:r>
    </w:p>
    <w:p w14:paraId="689FDF80" w14:textId="0405BB22" w:rsidR="00AC5C90" w:rsidRDefault="00AC5C90">
      <w:pPr>
        <w:widowControl/>
      </w:pPr>
      <w:r>
        <w:br w:type="page"/>
      </w:r>
    </w:p>
    <w:p w14:paraId="6AE8A924" w14:textId="77777777" w:rsidR="008913ED" w:rsidRDefault="008913ED" w:rsidP="00016021">
      <w:pPr>
        <w:widowControl/>
        <w:sectPr w:rsidR="008913ED">
          <w:footerReference w:type="even" r:id="rId9"/>
          <w:footerReference w:type="first" r:id="rId10"/>
          <w:footnotePr>
            <w:numRestart w:val="eachSect"/>
          </w:footnotePr>
          <w:pgSz w:w="11909" w:h="16834"/>
          <w:pgMar w:top="1134" w:right="1417" w:bottom="1417" w:left="1417" w:header="1134" w:footer="567" w:gutter="0"/>
          <w:cols w:space="720"/>
        </w:sectPr>
      </w:pPr>
    </w:p>
    <w:p w14:paraId="75F5B6EC" w14:textId="602FE42E" w:rsidR="008913ED" w:rsidRPr="00EF7590" w:rsidRDefault="008913ED" w:rsidP="00002801">
      <w:pPr>
        <w:pStyle w:val="ATHeading3"/>
      </w:pPr>
      <w:r w:rsidRPr="00EF7590">
        <w:lastRenderedPageBreak/>
        <w:t>P9_TC1-COD(202</w:t>
      </w:r>
      <w:r>
        <w:t>3)0271</w:t>
      </w:r>
    </w:p>
    <w:p w14:paraId="6E776E86" w14:textId="15FFDBED" w:rsidR="008913ED" w:rsidRPr="00EF7590" w:rsidRDefault="008913ED" w:rsidP="00002801">
      <w:pPr>
        <w:pStyle w:val="Typedudocument"/>
        <w:spacing w:before="240" w:after="240"/>
        <w:jc w:val="left"/>
        <w:rPr>
          <w:noProof/>
        </w:rPr>
      </w:pPr>
      <w:r w:rsidRPr="00EF7590">
        <w:t xml:space="preserve">Europa-Parlamentets holdning fastlagt ved førstebehandlingen den </w:t>
      </w:r>
      <w:r w:rsidR="00CC5E8B">
        <w:t>12</w:t>
      </w:r>
      <w:r w:rsidR="00CC5E8B" w:rsidRPr="00083173">
        <w:t>.</w:t>
      </w:r>
      <w:r w:rsidR="00CC5E8B">
        <w:t xml:space="preserve"> marts</w:t>
      </w:r>
      <w:r w:rsidR="00CC5E8B" w:rsidRPr="00083173">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00CC5E8B" w:rsidRPr="008913ED">
        <w:rPr>
          <w:szCs w:val="24"/>
        </w:rPr>
        <w:t>anvendelse af jernbaneinfrastrukturkapacitet i det fælles europæiske jernbaneområde, om ændring af direktiv 2012/34/EU og om ophævelse af forordning (EU) nr. 913/2010</w:t>
      </w:r>
    </w:p>
    <w:p w14:paraId="6776C602" w14:textId="77777777" w:rsidR="008913ED" w:rsidRPr="008913ED" w:rsidRDefault="008913ED" w:rsidP="008913ED">
      <w:pPr>
        <w:widowControl/>
        <w:spacing w:before="360" w:after="240" w:line="360" w:lineRule="auto"/>
        <w:jc w:val="center"/>
        <w:rPr>
          <w:szCs w:val="24"/>
          <w:lang w:eastAsia="en-US"/>
        </w:rPr>
      </w:pPr>
      <w:r w:rsidRPr="008913ED">
        <w:rPr>
          <w:szCs w:val="24"/>
          <w:lang w:eastAsia="en-US"/>
        </w:rPr>
        <w:t>(EØS-relevant tekst)</w:t>
      </w:r>
    </w:p>
    <w:p w14:paraId="52972340" w14:textId="77777777" w:rsidR="008913ED" w:rsidRPr="008913ED" w:rsidRDefault="008913ED" w:rsidP="008913ED">
      <w:pPr>
        <w:keepNext/>
        <w:spacing w:before="600" w:after="120" w:line="360" w:lineRule="auto"/>
        <w:rPr>
          <w:szCs w:val="24"/>
          <w:lang w:eastAsia="en-US"/>
        </w:rPr>
      </w:pPr>
      <w:r w:rsidRPr="008913ED">
        <w:rPr>
          <w:szCs w:val="24"/>
          <w:lang w:eastAsia="en-US"/>
        </w:rPr>
        <w:t>EUROPA-PARLAMENTET OG RÅDET FOR DEN EUROPÆISKE UNION HAR —</w:t>
      </w:r>
    </w:p>
    <w:p w14:paraId="0B303701" w14:textId="77777777" w:rsidR="008913ED" w:rsidRPr="008913ED" w:rsidRDefault="008913ED" w:rsidP="008913ED">
      <w:pPr>
        <w:spacing w:before="120" w:after="120" w:line="360" w:lineRule="auto"/>
        <w:rPr>
          <w:lang w:eastAsia="en-US"/>
        </w:rPr>
      </w:pPr>
      <w:r w:rsidRPr="008913ED">
        <w:rPr>
          <w:lang w:eastAsia="en-US"/>
        </w:rPr>
        <w:t>under henvisning til traktaten om Den Europæiske Unions funktionsmåde, særlig artikel 91,</w:t>
      </w:r>
    </w:p>
    <w:p w14:paraId="53BAD24A" w14:textId="77777777" w:rsidR="008913ED" w:rsidRPr="008913ED" w:rsidRDefault="008913ED" w:rsidP="008913ED">
      <w:pPr>
        <w:spacing w:before="120" w:after="120" w:line="360" w:lineRule="auto"/>
        <w:rPr>
          <w:lang w:eastAsia="en-US"/>
        </w:rPr>
      </w:pPr>
      <w:r w:rsidRPr="008913ED">
        <w:rPr>
          <w:lang w:eastAsia="en-US"/>
        </w:rPr>
        <w:t>under henvisning til forslag fra Europa-Kommissionen,</w:t>
      </w:r>
    </w:p>
    <w:p w14:paraId="4122522D" w14:textId="77777777" w:rsidR="008913ED" w:rsidRPr="008913ED" w:rsidRDefault="008913ED" w:rsidP="008913ED">
      <w:pPr>
        <w:spacing w:before="120" w:after="120" w:line="360" w:lineRule="auto"/>
        <w:rPr>
          <w:lang w:eastAsia="en-US"/>
        </w:rPr>
      </w:pPr>
      <w:r w:rsidRPr="008913ED">
        <w:rPr>
          <w:lang w:eastAsia="en-US"/>
        </w:rPr>
        <w:t>efter fremsendelse af udkast til lovgivningsmæssig retsakt til de nationale parlamenter,</w:t>
      </w:r>
    </w:p>
    <w:p w14:paraId="5CB75466" w14:textId="77777777" w:rsidR="008913ED" w:rsidRPr="008913ED" w:rsidRDefault="008913ED" w:rsidP="008913ED">
      <w:pPr>
        <w:spacing w:before="120" w:after="120" w:line="360" w:lineRule="auto"/>
        <w:rPr>
          <w:lang w:eastAsia="en-US"/>
        </w:rPr>
      </w:pPr>
      <w:r w:rsidRPr="008913ED">
        <w:rPr>
          <w:lang w:eastAsia="en-US"/>
        </w:rPr>
        <w:t>under henvisning til udtalelse fra Det Europæiske Økonomiske og Sociale Udvalg</w:t>
      </w:r>
      <w:r w:rsidRPr="008913ED">
        <w:rPr>
          <w:vertAlign w:val="superscript"/>
          <w:lang w:val="en-GB" w:eastAsia="en-US"/>
        </w:rPr>
        <w:footnoteReference w:id="3"/>
      </w:r>
      <w:r w:rsidRPr="008913ED">
        <w:rPr>
          <w:lang w:eastAsia="en-US"/>
        </w:rPr>
        <w:t>,</w:t>
      </w:r>
    </w:p>
    <w:p w14:paraId="002DB4E9" w14:textId="77777777" w:rsidR="008913ED" w:rsidRPr="008913ED" w:rsidRDefault="008913ED" w:rsidP="008913ED">
      <w:pPr>
        <w:spacing w:before="120" w:after="120" w:line="360" w:lineRule="auto"/>
        <w:rPr>
          <w:lang w:eastAsia="en-US"/>
        </w:rPr>
      </w:pPr>
      <w:r w:rsidRPr="008913ED">
        <w:rPr>
          <w:lang w:eastAsia="en-US"/>
        </w:rPr>
        <w:t>under henvisning til udtalelse fra Regionsudvalget</w:t>
      </w:r>
      <w:r w:rsidRPr="008913ED">
        <w:rPr>
          <w:vertAlign w:val="superscript"/>
          <w:lang w:val="en-GB" w:eastAsia="en-US"/>
        </w:rPr>
        <w:footnoteReference w:id="4"/>
      </w:r>
      <w:r w:rsidRPr="008913ED">
        <w:rPr>
          <w:lang w:eastAsia="en-US"/>
        </w:rPr>
        <w:t>,</w:t>
      </w:r>
    </w:p>
    <w:p w14:paraId="7481F8AD" w14:textId="77777777" w:rsidR="008913ED" w:rsidRPr="008913ED" w:rsidRDefault="008913ED" w:rsidP="008913ED">
      <w:pPr>
        <w:spacing w:before="120" w:after="120" w:line="360" w:lineRule="auto"/>
        <w:rPr>
          <w:lang w:eastAsia="en-US"/>
        </w:rPr>
      </w:pPr>
      <w:r w:rsidRPr="008913ED">
        <w:rPr>
          <w:lang w:eastAsia="en-US"/>
        </w:rPr>
        <w:t>efter den almindelige lovgivningsprocedure, og</w:t>
      </w:r>
    </w:p>
    <w:p w14:paraId="36B052AF" w14:textId="77777777" w:rsidR="00124908" w:rsidRDefault="00124908">
      <w:pPr>
        <w:widowControl/>
        <w:rPr>
          <w:lang w:eastAsia="en-US"/>
        </w:rPr>
      </w:pPr>
      <w:r>
        <w:rPr>
          <w:lang w:eastAsia="en-US"/>
        </w:rPr>
        <w:br w:type="page"/>
      </w:r>
    </w:p>
    <w:p w14:paraId="392E013B" w14:textId="6FB610D3" w:rsidR="008913ED" w:rsidRPr="008913ED" w:rsidRDefault="008913ED" w:rsidP="008913ED">
      <w:pPr>
        <w:spacing w:before="120" w:after="120" w:line="360" w:lineRule="auto"/>
        <w:rPr>
          <w:lang w:eastAsia="en-US"/>
        </w:rPr>
      </w:pPr>
      <w:r w:rsidRPr="008913ED">
        <w:rPr>
          <w:lang w:eastAsia="en-US"/>
        </w:rPr>
        <w:lastRenderedPageBreak/>
        <w:t>ud fra følgende betragtninger:</w:t>
      </w:r>
    </w:p>
    <w:p w14:paraId="34F20A61" w14:textId="15826F42" w:rsidR="008913ED" w:rsidRPr="008913ED" w:rsidRDefault="00124908" w:rsidP="008913ED">
      <w:pPr>
        <w:spacing w:before="120" w:after="120" w:line="360" w:lineRule="auto"/>
        <w:ind w:left="850" w:hanging="850"/>
        <w:rPr>
          <w:szCs w:val="24"/>
          <w:lang w:eastAsia="en-US"/>
        </w:rPr>
      </w:pPr>
      <w:r>
        <w:rPr>
          <w:szCs w:val="24"/>
          <w:lang w:eastAsia="en-US"/>
        </w:rPr>
        <w:t>(</w:t>
      </w:r>
      <w:r w:rsidR="008913ED" w:rsidRPr="008913ED">
        <w:rPr>
          <w:szCs w:val="24"/>
          <w:lang w:eastAsia="en-US"/>
        </w:rPr>
        <w:t>1)</w:t>
      </w:r>
      <w:r w:rsidR="008913ED" w:rsidRPr="008913ED">
        <w:rPr>
          <w:szCs w:val="24"/>
          <w:lang w:eastAsia="en-US"/>
        </w:rPr>
        <w:tab/>
        <w:t>I Kommissionens meddelelse om den europæiske grønne pagt</w:t>
      </w:r>
      <w:r w:rsidR="008913ED" w:rsidRPr="008913ED">
        <w:rPr>
          <w:szCs w:val="24"/>
          <w:vertAlign w:val="superscript"/>
          <w:lang w:val="en-GB" w:eastAsia="en-US"/>
        </w:rPr>
        <w:footnoteReference w:id="5"/>
      </w:r>
      <w:r w:rsidR="008913ED" w:rsidRPr="008913ED">
        <w:rPr>
          <w:szCs w:val="24"/>
          <w:lang w:eastAsia="en-US"/>
        </w:rPr>
        <w:t xml:space="preserve"> fastsættes en målsætning om klimaneutralitet, som Unionen skal nå i 2050, og en klar målsætning om at reducere nettodrivhusgasemissionerne med mindst 55 % sammenlignet med 1990-niveauerne senest i 2030. I pagten opfordres der til en reduktion på 90 % af drivhusgasemissionerne fra transport, samtidig med at der arbejdes hen imod ambitionen om nulforurening</w:t>
      </w:r>
      <w:r w:rsidR="008913ED" w:rsidRPr="008913ED">
        <w:rPr>
          <w:szCs w:val="24"/>
          <w:vertAlign w:val="superscript"/>
          <w:lang w:val="en-GB" w:eastAsia="en-US"/>
        </w:rPr>
        <w:footnoteReference w:id="6"/>
      </w:r>
      <w:r w:rsidR="008913ED" w:rsidRPr="008913ED">
        <w:rPr>
          <w:szCs w:val="24"/>
          <w:lang w:eastAsia="en-US"/>
        </w:rPr>
        <w:t xml:space="preserve"> for at reducere sundhedsvirkningerne af luftforurenende emissioner med mere end 55 % og den andel af befolkningen, der er kronisk forstyrret af transportstøj, med 30 % inden 2030. Transport udgør ca. 25 % af Unionens samlede drivhusgasemissioner, og disse emissioner er steget i de seneste år. I den europæiske grønne pagt prioriteres det at flytte en væsentlig andel af de 75 % af landtransporten, der i dag foretages på vej, over på jernbaner og indre vandveje. Da jernbanetransport er en i vid udstrækning elektrificeret og energieffektiv transportform, bør øget brug af jernbanetjenester bidrage til at reducere transportens emissioner og energiforbrug.</w:t>
      </w:r>
    </w:p>
    <w:p w14:paraId="0D2F9ECF" w14:textId="77777777" w:rsidR="00124908" w:rsidRDefault="00124908">
      <w:pPr>
        <w:widowControl/>
        <w:rPr>
          <w:szCs w:val="24"/>
          <w:lang w:eastAsia="en-US"/>
        </w:rPr>
      </w:pPr>
      <w:r>
        <w:rPr>
          <w:szCs w:val="24"/>
          <w:lang w:eastAsia="en-US"/>
        </w:rPr>
        <w:br w:type="page"/>
      </w:r>
    </w:p>
    <w:p w14:paraId="4484EBD4" w14:textId="2B135A91"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2)</w:t>
      </w:r>
      <w:r w:rsidR="008913ED" w:rsidRPr="008913ED">
        <w:rPr>
          <w:szCs w:val="24"/>
          <w:lang w:eastAsia="en-US"/>
        </w:rPr>
        <w:tab/>
        <w:t>I meddelelsen om en strategi for bæredygtig og intelligent mobilitet</w:t>
      </w:r>
      <w:r w:rsidR="008913ED" w:rsidRPr="008913ED">
        <w:rPr>
          <w:szCs w:val="24"/>
          <w:vertAlign w:val="superscript"/>
          <w:lang w:val="en-GB" w:eastAsia="en-US"/>
        </w:rPr>
        <w:footnoteReference w:id="7"/>
      </w:r>
      <w:r w:rsidR="008913ED" w:rsidRPr="008913ED">
        <w:rPr>
          <w:szCs w:val="24"/>
          <w:lang w:eastAsia="en-US"/>
        </w:rPr>
        <w:t xml:space="preserve"> fastsættes milepæle for at vise det europæiske transportsystems vej mod at nå målene om bæredygtig, intelligent og robust mobilitet. Det forventes, at jernbanegodstrafikken vil vokse med 50 % inden 2030 og være fordoblet inden 2050, trafik med højhastighedstog vil være fordoblet i 2030 og tredoblet i 2050, og rejser med kollektiv trafik i rutefart på under 500 km vil være kulstofneutrale i 2030 i Unionen. For at nå disse mål skal jernbanetransport blive mere attraktiv med hensyn til prisoverkommelighed, pålidelighed og </w:t>
      </w:r>
      <w:r w:rsidR="008913ED" w:rsidRPr="008913ED">
        <w:rPr>
          <w:strike/>
          <w:szCs w:val="24"/>
          <w:lang w:eastAsia="en-US"/>
        </w:rPr>
        <w:t>tjenester, der er</w:t>
      </w:r>
      <w:r w:rsidR="008913ED" w:rsidRPr="008913ED">
        <w:rPr>
          <w:b/>
          <w:i/>
          <w:szCs w:val="24"/>
          <w:lang w:eastAsia="en-US"/>
        </w:rPr>
        <w:t>tilgængelighed, og tjenesterne skal være</w:t>
      </w:r>
      <w:r w:rsidR="008913ED" w:rsidRPr="008913ED">
        <w:rPr>
          <w:szCs w:val="24"/>
          <w:lang w:eastAsia="en-US"/>
        </w:rPr>
        <w:t xml:space="preserve"> bedre tilpasset de rejsendes og speditørernes behov.</w:t>
      </w:r>
      <w:r w:rsidR="008913ED" w:rsidRPr="008913ED">
        <w:rPr>
          <w:b/>
          <w:szCs w:val="24"/>
          <w:lang w:eastAsia="en-US"/>
        </w:rPr>
        <w:t xml:space="preserve"> [Ændring 1]</w:t>
      </w:r>
    </w:p>
    <w:p w14:paraId="3A57ED85"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(2a)</w:t>
      </w:r>
      <w:r w:rsidRPr="008913ED">
        <w:rPr>
          <w:szCs w:val="24"/>
          <w:lang w:eastAsia="en-US"/>
        </w:rPr>
        <w:tab/>
      </w:r>
      <w:r w:rsidRPr="008913ED">
        <w:rPr>
          <w:b/>
          <w:i/>
          <w:szCs w:val="24"/>
          <w:lang w:eastAsia="en-US"/>
        </w:rPr>
        <w:t>Det mål, der ligger til grund for denne forordning, er at øge udnyttelsen af jernbaneinfrastrukturen og derved øge jernbanetransportens andel af transport. Denne forordning kan imidlertid ikke alene tage højde for Unionens mål for dekarbonisering og trafikoverflytning. Både medlemsstaterne og Kommissionen bør fortsat arbejde på en lang række andre elementer, der kan bidrage til yderligere at øge både jernbaneinfrastruktur- og transportkapacitet, såsom sammenlægning af kanaler, hastighedsharmonisering, effektive passagerskift, brug af længere tog med større akseltryk, udrulning af harmoniseret ERTMS i hele Europa samt automatiseret togdrift.</w:t>
      </w:r>
      <w:r w:rsidRPr="008913ED">
        <w:rPr>
          <w:b/>
          <w:szCs w:val="24"/>
          <w:lang w:eastAsia="en-US"/>
        </w:rPr>
        <w:t xml:space="preserve"> [Ændring 2]</w:t>
      </w:r>
    </w:p>
    <w:p w14:paraId="5AE8E9F3" w14:textId="77777777" w:rsidR="00124908" w:rsidRDefault="00124908">
      <w:pPr>
        <w:widowControl/>
        <w:rPr>
          <w:b/>
          <w:i/>
          <w:szCs w:val="24"/>
          <w:lang w:eastAsia="en-US"/>
        </w:rPr>
      </w:pPr>
      <w:r>
        <w:rPr>
          <w:b/>
          <w:i/>
          <w:szCs w:val="24"/>
          <w:lang w:eastAsia="en-US"/>
        </w:rPr>
        <w:br w:type="page"/>
      </w:r>
    </w:p>
    <w:p w14:paraId="5A3FE86C" w14:textId="76EC1B86"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(2b)</w:t>
      </w:r>
      <w:r w:rsidRPr="008913ED">
        <w:rPr>
          <w:szCs w:val="24"/>
          <w:lang w:eastAsia="en-US"/>
        </w:rPr>
        <w:tab/>
      </w:r>
      <w:r w:rsidRPr="008913ED">
        <w:rPr>
          <w:b/>
          <w:i/>
          <w:szCs w:val="24"/>
          <w:lang w:eastAsia="en-US"/>
        </w:rPr>
        <w:t>Det er vigtigt at tackle jernbanetransportens effektivitet med henblik på at øge det multimodale konkurrencemæssige aspekt mellem forskellige transportformer for at fremme en betydelig trafikoverflytning og nå de mål, der er fastsat i strategien for bæredygtig og intelligent mobilitet. Derfor bør yderligere foranstaltninger til at øge jernbanernes konkurrenceevne, f.eks. lavere afgifter for sporadgang, også overvejes. Med en øget efterspørgsel efter jernbanekapacitet fra både passager- og godstransport bliver der også behov for investeringer for at gennemføre disse kapacitetsforbedrende foranstaltninger i praksis.</w:t>
      </w:r>
      <w:r w:rsidRPr="008913ED">
        <w:rPr>
          <w:b/>
          <w:szCs w:val="24"/>
          <w:lang w:eastAsia="en-US"/>
        </w:rPr>
        <w:t xml:space="preserve"> [Ændring 3]</w:t>
      </w:r>
    </w:p>
    <w:p w14:paraId="60C460A8"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(2c)</w:t>
      </w:r>
      <w:r w:rsidRPr="008913ED">
        <w:rPr>
          <w:szCs w:val="24"/>
          <w:lang w:eastAsia="en-US"/>
        </w:rPr>
        <w:tab/>
      </w:r>
      <w:r w:rsidRPr="008913ED">
        <w:rPr>
          <w:b/>
          <w:i/>
          <w:szCs w:val="24"/>
          <w:lang w:eastAsia="en-US"/>
        </w:rPr>
        <w:t>Målene for overflytning til jernbane på EU-plan kræver nationale mål, der er baseret på konkrete nationale planer udarbejdet af medlemsstaterne efter en bottom-up-tilgang.</w:t>
      </w:r>
      <w:r w:rsidRPr="008913ED">
        <w:rPr>
          <w:b/>
          <w:szCs w:val="24"/>
          <w:lang w:eastAsia="en-US"/>
        </w:rPr>
        <w:t xml:space="preserve"> [Ændring 4]</w:t>
      </w:r>
    </w:p>
    <w:p w14:paraId="68BCFCAC" w14:textId="20863DFA" w:rsidR="008913ED" w:rsidRPr="008913ED" w:rsidRDefault="00393501" w:rsidP="008913ED">
      <w:pPr>
        <w:spacing w:before="120" w:after="120" w:line="360" w:lineRule="auto"/>
        <w:ind w:left="850" w:hanging="850"/>
        <w:rPr>
          <w:szCs w:val="24"/>
          <w:lang w:eastAsia="en-US"/>
        </w:rPr>
      </w:pPr>
      <w:r>
        <w:rPr>
          <w:szCs w:val="24"/>
          <w:lang w:eastAsia="en-US"/>
        </w:rPr>
        <w:t>(</w:t>
      </w:r>
      <w:r w:rsidR="008913ED" w:rsidRPr="008913ED">
        <w:rPr>
          <w:szCs w:val="24"/>
          <w:lang w:eastAsia="en-US"/>
        </w:rPr>
        <w:t>3)</w:t>
      </w:r>
      <w:r w:rsidR="008913ED" w:rsidRPr="008913ED">
        <w:rPr>
          <w:szCs w:val="24"/>
          <w:lang w:eastAsia="en-US"/>
        </w:rPr>
        <w:tab/>
        <w:t>I Europa-Parlamentets og Rådets direktiv 2012/34/EU</w:t>
      </w:r>
      <w:r w:rsidR="008913ED" w:rsidRPr="008913ED">
        <w:rPr>
          <w:szCs w:val="24"/>
          <w:vertAlign w:val="superscript"/>
          <w:lang w:val="en-GB" w:eastAsia="en-US"/>
        </w:rPr>
        <w:footnoteReference w:id="8"/>
      </w:r>
      <w:r w:rsidR="008913ED" w:rsidRPr="008913ED">
        <w:rPr>
          <w:szCs w:val="24"/>
          <w:lang w:eastAsia="en-US"/>
        </w:rPr>
        <w:t xml:space="preserve"> fastsættes reglerne for forvaltning og drift af jernbaneinfrastruktur og de principper og procedurer, der gælder for tildeling af jernbaneinfrastrukturkapacitet for indenlandsk og international jernbanetransport.</w:t>
      </w:r>
    </w:p>
    <w:p w14:paraId="7AD2D476" w14:textId="77777777" w:rsidR="00124908" w:rsidRDefault="00124908">
      <w:pPr>
        <w:widowControl/>
        <w:rPr>
          <w:szCs w:val="24"/>
          <w:lang w:eastAsia="en-US"/>
        </w:rPr>
      </w:pPr>
      <w:r>
        <w:rPr>
          <w:szCs w:val="24"/>
          <w:lang w:eastAsia="en-US"/>
        </w:rPr>
        <w:br w:type="page"/>
      </w:r>
    </w:p>
    <w:p w14:paraId="3536450D" w14:textId="5904565E"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4)</w:t>
      </w:r>
      <w:r w:rsidR="008913ED" w:rsidRPr="008913ED">
        <w:rPr>
          <w:szCs w:val="24"/>
          <w:lang w:eastAsia="en-US"/>
        </w:rPr>
        <w:tab/>
        <w:t>Europa-Parlamentets og Rådets forordning (EU) nr. 913/2010 indeholder</w:t>
      </w:r>
      <w:r w:rsidR="008913ED" w:rsidRPr="008913ED">
        <w:rPr>
          <w:szCs w:val="24"/>
          <w:vertAlign w:val="superscript"/>
          <w:lang w:val="en-GB" w:eastAsia="en-US"/>
        </w:rPr>
        <w:footnoteReference w:id="9"/>
      </w:r>
      <w:r w:rsidR="008913ED" w:rsidRPr="008913ED">
        <w:rPr>
          <w:szCs w:val="24"/>
          <w:lang w:eastAsia="en-US"/>
        </w:rPr>
        <w:t xml:space="preserve"> bestemmelser om etablering af godstogskorridorer og one-stop-shops for at lette anmodninger om infrastrukturkapacitet med henblik på internationale jernbanegodstjenester.</w:t>
      </w:r>
    </w:p>
    <w:p w14:paraId="7E03D325" w14:textId="167236FB" w:rsidR="008913ED" w:rsidRPr="008913ED" w:rsidRDefault="00393501" w:rsidP="008913ED">
      <w:pPr>
        <w:spacing w:before="120" w:after="120" w:line="360" w:lineRule="auto"/>
        <w:ind w:left="850" w:hanging="850"/>
        <w:rPr>
          <w:b/>
          <w:szCs w:val="24"/>
          <w:lang w:eastAsia="en-US"/>
        </w:rPr>
      </w:pPr>
      <w:r>
        <w:rPr>
          <w:szCs w:val="24"/>
          <w:lang w:eastAsia="en-US"/>
        </w:rPr>
        <w:t>(</w:t>
      </w:r>
      <w:r w:rsidR="008913ED" w:rsidRPr="008913ED">
        <w:rPr>
          <w:szCs w:val="24"/>
          <w:lang w:eastAsia="en-US"/>
        </w:rPr>
        <w:t>5)</w:t>
      </w:r>
      <w:r w:rsidR="008913ED" w:rsidRPr="008913ED">
        <w:rPr>
          <w:szCs w:val="24"/>
          <w:lang w:eastAsia="en-US"/>
        </w:rPr>
        <w:tab/>
        <w:t xml:space="preserve">Forvaltning af jernbaneinfrastrukturkapacitet og </w:t>
      </w:r>
      <w:r w:rsidR="008913ED" w:rsidRPr="008913ED">
        <w:rPr>
          <w:strike/>
          <w:szCs w:val="24"/>
          <w:lang w:eastAsia="en-US"/>
        </w:rPr>
        <w:t>trafikstyring</w:t>
      </w:r>
      <w:r w:rsidR="008913ED" w:rsidRPr="008913ED">
        <w:rPr>
          <w:b/>
          <w:i/>
          <w:szCs w:val="24"/>
          <w:lang w:eastAsia="en-US"/>
        </w:rPr>
        <w:t>jernbanetrafikstyring</w:t>
      </w:r>
      <w:r w:rsidR="008913ED" w:rsidRPr="008913ED">
        <w:rPr>
          <w:szCs w:val="24"/>
          <w:lang w:eastAsia="en-US"/>
        </w:rPr>
        <w:t xml:space="preserve"> er afgørende for en velfungerende jernbanesektor. Driften af jernbanetransporttjenester skal planlægges og koordineres omhyggeligt for at gøre det muligt for tog med meget forskellige karakteristika, f.eks. med hensyn til hastighed og bremselængde, at dele de samme spor sikkert. Optimal forvaltning af kapaciteten skaber flere muligheder for jernbanetjenester og øger deres pålidelighed</w:t>
      </w:r>
      <w:r w:rsidR="008913ED" w:rsidRPr="008913ED">
        <w:rPr>
          <w:b/>
          <w:i/>
          <w:szCs w:val="24"/>
          <w:lang w:eastAsia="en-US"/>
        </w:rPr>
        <w:t>, hvilket er en særdeles vigtig forudsætning for at øge markedet for nattog og opfylde ambitionerne om at overflytte gods til jernbanetransport</w:t>
      </w:r>
      <w:r w:rsidR="008913ED" w:rsidRPr="008913ED">
        <w:rPr>
          <w:szCs w:val="24"/>
          <w:lang w:eastAsia="en-US"/>
        </w:rPr>
        <w:t>. Forordningen bør give infrastrukturforvalterne tilstrækkelig fleksibilitet til at kunne forvalte kapaciteten effektivt, samtidig med at det sikres, at alle jernbanevirksomheder behandles uden forskelsbehandling i forbindelse med deres adgang til nettet.</w:t>
      </w:r>
      <w:r w:rsidR="008913ED" w:rsidRPr="008913ED">
        <w:rPr>
          <w:b/>
          <w:szCs w:val="24"/>
          <w:lang w:eastAsia="en-US"/>
        </w:rPr>
        <w:t xml:space="preserve"> [Ændring 5]</w:t>
      </w:r>
    </w:p>
    <w:p w14:paraId="424A6D2B" w14:textId="77777777" w:rsidR="00124908" w:rsidRDefault="00124908">
      <w:pPr>
        <w:widowControl/>
        <w:rPr>
          <w:szCs w:val="24"/>
          <w:lang w:eastAsia="en-US"/>
        </w:rPr>
      </w:pPr>
      <w:r>
        <w:rPr>
          <w:szCs w:val="24"/>
          <w:lang w:eastAsia="en-US"/>
        </w:rPr>
        <w:br w:type="page"/>
      </w:r>
    </w:p>
    <w:p w14:paraId="73C820F5" w14:textId="36B40510"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6)</w:t>
      </w:r>
      <w:r w:rsidR="008913ED" w:rsidRPr="008913ED">
        <w:rPr>
          <w:szCs w:val="24"/>
          <w:lang w:eastAsia="en-US"/>
        </w:rPr>
        <w:tab/>
        <w:t>I direktiv 2012/34/EU anerkendes medlemsstaternes ret til ikke at anvende reglerne for tildeling af jernbaneinfrastrukturkapacitet på visse dele af jernbanenettet eller på visse jernbanetjenester, hvis en sådan undtagelse fra EU-rettens anvendelsesområde ikke vil påvirke det fælles europæiske jernbaneområdes funktion. Disse undtagelser</w:t>
      </w:r>
      <w:r w:rsidR="008913ED" w:rsidRPr="008913ED">
        <w:rPr>
          <w:b/>
          <w:i/>
          <w:szCs w:val="24"/>
          <w:lang w:eastAsia="en-US"/>
        </w:rPr>
        <w:t>, som er yderst begrænsede,</w:t>
      </w:r>
      <w:r w:rsidR="008913ED" w:rsidRPr="008913ED">
        <w:rPr>
          <w:szCs w:val="24"/>
          <w:lang w:eastAsia="en-US"/>
        </w:rPr>
        <w:t xml:space="preserve"> bør fortsat finde anvendelse, og medlemsstaterne bør fortsat have ret til at anmode om sådanne undtagelser i fremtiden, også i henhold til denne forordning.</w:t>
      </w:r>
      <w:r w:rsidR="008913ED" w:rsidRPr="008913ED">
        <w:rPr>
          <w:b/>
          <w:szCs w:val="24"/>
          <w:lang w:eastAsia="en-US"/>
        </w:rPr>
        <w:t xml:space="preserve"> [Ændring 6]</w:t>
      </w:r>
    </w:p>
    <w:p w14:paraId="5FA55435" w14:textId="33331466" w:rsidR="008913ED" w:rsidRPr="008913ED" w:rsidRDefault="00393501" w:rsidP="008913ED">
      <w:pPr>
        <w:spacing w:before="120" w:after="120" w:line="360" w:lineRule="auto"/>
        <w:ind w:left="850" w:hanging="850"/>
        <w:rPr>
          <w:b/>
          <w:szCs w:val="24"/>
          <w:lang w:eastAsia="en-US"/>
        </w:rPr>
      </w:pPr>
      <w:r>
        <w:rPr>
          <w:szCs w:val="24"/>
          <w:lang w:eastAsia="en-US"/>
        </w:rPr>
        <w:t>(</w:t>
      </w:r>
      <w:r w:rsidR="008913ED" w:rsidRPr="008913ED">
        <w:rPr>
          <w:szCs w:val="24"/>
          <w:lang w:eastAsia="en-US"/>
        </w:rPr>
        <w:t>7)</w:t>
      </w:r>
      <w:r w:rsidR="008913ED" w:rsidRPr="008913ED">
        <w:rPr>
          <w:szCs w:val="24"/>
          <w:lang w:eastAsia="en-US"/>
        </w:rPr>
        <w:tab/>
        <w:t xml:space="preserve">Reglerne og procedurerne for forvaltning af jernbaneinfrastrukturkapacitet bør </w:t>
      </w:r>
      <w:r w:rsidR="008913ED" w:rsidRPr="008913ED">
        <w:rPr>
          <w:strike/>
          <w:szCs w:val="24"/>
          <w:lang w:eastAsia="en-US"/>
        </w:rPr>
        <w:t>i højere grad afspejle</w:t>
      </w:r>
      <w:r w:rsidR="008913ED" w:rsidRPr="008913ED">
        <w:rPr>
          <w:b/>
          <w:i/>
          <w:szCs w:val="24"/>
          <w:lang w:eastAsia="en-US"/>
        </w:rPr>
        <w:t>tage hensyn til og imødekomme</w:t>
      </w:r>
      <w:r w:rsidR="008913ED" w:rsidRPr="008913ED">
        <w:rPr>
          <w:szCs w:val="24"/>
          <w:lang w:eastAsia="en-US"/>
        </w:rPr>
        <w:t xml:space="preserve"> alle jernbanemarkedssegmenternes behov</w:t>
      </w:r>
      <w:r w:rsidR="008913ED" w:rsidRPr="008913ED">
        <w:rPr>
          <w:b/>
          <w:i/>
          <w:szCs w:val="24"/>
          <w:lang w:eastAsia="en-US"/>
        </w:rPr>
        <w:t xml:space="preserve"> på en ikkediskriminerende måde</w:t>
      </w:r>
      <w:r w:rsidR="008913ED" w:rsidRPr="008913ED">
        <w:rPr>
          <w:szCs w:val="24"/>
          <w:lang w:eastAsia="en-US"/>
        </w:rPr>
        <w:t>. De bør navnlig tage hensyn til nødvendigheden af langsigtet stabilitet i den tilgængelige kapacitet til passagertransport og af kortsigtet fleksibilitet inden for godstrafik for at imødekomme efterspørgslen på markedet. Derfor bør kapacitetsforvaltningsprocessen ikke længere primært have et årligt fokus, men tilrettelægges i tre efterfølgende faser af den strategiske kapacitetsplanlægning, nemlig planlægning og tildeling af kapacitet til jernbanetransport samt tilpasning og omlægning af kapacitet. Indførelsen af bedre definerede og strukturerede faser, der giver mulighed for langsigtet planlægning og kortsigtet tilpasning af kapacitetsforvaltningen, vil især gavne tjenester, der er vanskeligere at planlægge på forhånd eller er mere komplekse at tilrettelægge, f.eks. godstog og internationale passagertog</w:t>
      </w:r>
      <w:r w:rsidR="008913ED" w:rsidRPr="008913ED">
        <w:rPr>
          <w:b/>
          <w:i/>
          <w:szCs w:val="24"/>
          <w:lang w:eastAsia="en-US"/>
        </w:rPr>
        <w:t>, herunder nattog</w:t>
      </w:r>
      <w:r w:rsidR="008913ED" w:rsidRPr="008913ED">
        <w:rPr>
          <w:szCs w:val="24"/>
          <w:lang w:eastAsia="en-US"/>
        </w:rPr>
        <w:t>.</w:t>
      </w:r>
      <w:r w:rsidR="008913ED" w:rsidRPr="008913ED">
        <w:rPr>
          <w:b/>
          <w:szCs w:val="24"/>
          <w:lang w:eastAsia="en-US"/>
        </w:rPr>
        <w:t xml:space="preserve"> [Ændring 7]</w:t>
      </w:r>
    </w:p>
    <w:p w14:paraId="21FA1FB8" w14:textId="77777777" w:rsidR="00124908" w:rsidRDefault="00124908">
      <w:pPr>
        <w:widowControl/>
        <w:rPr>
          <w:szCs w:val="24"/>
          <w:lang w:eastAsia="en-US"/>
        </w:rPr>
      </w:pPr>
      <w:r>
        <w:rPr>
          <w:szCs w:val="24"/>
          <w:lang w:eastAsia="en-US"/>
        </w:rPr>
        <w:br w:type="page"/>
      </w:r>
    </w:p>
    <w:p w14:paraId="649C632C" w14:textId="49A261E0"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8)</w:t>
      </w:r>
      <w:r w:rsidR="008913ED" w:rsidRPr="008913ED">
        <w:rPr>
          <w:szCs w:val="24"/>
          <w:lang w:eastAsia="en-US"/>
        </w:rPr>
        <w:tab/>
        <w:t>En stigende del af Unionens jernbanenet er enten overbelastet eller tæt på overbelastet og kan ikke imødekomme alle ansøgeres behov for jernbaneinfrastrukturkapacitet og støtte yderligere vækst inden for jernbanetransport. Infrastrukturudvikling og digitalisering i overensstemmelse med de tekniske specifikationer for interoperabilitet, der er udviklet i henhold til Europa-Parlamentets og Rådets direktiv (EU) 2016/797</w:t>
      </w:r>
      <w:r w:rsidR="008913ED" w:rsidRPr="008913ED">
        <w:rPr>
          <w:szCs w:val="24"/>
          <w:vertAlign w:val="superscript"/>
          <w:lang w:val="en-GB" w:eastAsia="en-US"/>
        </w:rPr>
        <w:footnoteReference w:id="10"/>
      </w:r>
      <w:r w:rsidR="008913ED" w:rsidRPr="008913ED">
        <w:rPr>
          <w:szCs w:val="24"/>
          <w:lang w:eastAsia="en-US"/>
        </w:rPr>
        <w:t>, navnlig European Rail Traffic Management System ("ERTMS"), forventes at medføre en forøgelse af den tilgængelige kapacitet på mellemlang til lang sigt. Infrastrukturforvalterne vil dog skulle opstille prioriteter for anvendelsen af overbelastede strækninger. Uden at det berører de generelle prioriteringsprincipper, som medlemsstaterne har fastsat for tildeling af infrastrukturkapacitet, bør infrastrukturforvalterne træffe beslutninger om prioriteter ved hjælp af gennemsigtige og harmoniserede metoder, der præciserer, hvordan der er taget hensyn til sociale, økonomiske og miljømæssige faktorer, og hvordan de påvirker deres beslutning.</w:t>
      </w:r>
      <w:r w:rsidR="008913ED" w:rsidRPr="008913ED">
        <w:rPr>
          <w:b/>
          <w:i/>
          <w:szCs w:val="24"/>
          <w:lang w:eastAsia="en-US"/>
        </w:rPr>
        <w:t xml:space="preserve"> Disse socioøkonomiske og miljømæssige kriterier skal være baseret på anerkendte metoder og den bedste tilgængelige viden. Kommissionen bør derfor tillægges beføjelser til at vedtage en delegeret retsakt, der fastsætter procedurer, kriterier og metoder. Ved udarbejdelsen af denne delegerede retsakt bør Kommissionen samarbejde med det europæiske netværk af infrastrukturforvaltere (ENIM) og Den Europæiske Unions Jernbaneagentur (ERA), der er oprettet ved forordning (EU) 2016/796.</w:t>
      </w:r>
      <w:r w:rsidR="008913ED" w:rsidRPr="008913ED">
        <w:rPr>
          <w:b/>
          <w:szCs w:val="24"/>
          <w:lang w:eastAsia="en-US"/>
        </w:rPr>
        <w:t xml:space="preserve"> [Ændring 8]</w:t>
      </w:r>
    </w:p>
    <w:p w14:paraId="6E60528C" w14:textId="77777777" w:rsidR="00124908" w:rsidRDefault="00124908">
      <w:pPr>
        <w:widowControl/>
        <w:rPr>
          <w:b/>
          <w:i/>
          <w:szCs w:val="24"/>
          <w:lang w:eastAsia="en-US"/>
        </w:rPr>
      </w:pPr>
      <w:r>
        <w:rPr>
          <w:b/>
          <w:i/>
          <w:szCs w:val="24"/>
          <w:lang w:eastAsia="en-US"/>
        </w:rPr>
        <w:br w:type="page"/>
      </w:r>
    </w:p>
    <w:p w14:paraId="5E957ABB" w14:textId="139FA3EC"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(8a)</w:t>
      </w:r>
      <w:r w:rsidRPr="008913ED">
        <w:rPr>
          <w:szCs w:val="24"/>
          <w:lang w:eastAsia="en-US"/>
        </w:rPr>
        <w:tab/>
      </w:r>
      <w:r w:rsidRPr="008913ED">
        <w:rPr>
          <w:b/>
          <w:i/>
          <w:szCs w:val="24"/>
          <w:lang w:eastAsia="en-US"/>
        </w:rPr>
        <w:t>Den eksisterende jernbaneinfrastrukturkapacitet er ikke tilstrækkelig til at nå Unionens mål for overflytning af trafik til jernbane i 2030 og 2050. Faktisk blev jernbanenettet i Unionen mellem 1990 og 2021 mindre med over 12 000 km. Opfyldelsen af Unionens mål for trafikoverflytning afhænger primært af en forøgelse af jernbaneeffektiviteten og en styrkelse af jernbanekapaciteten, idet det med henblik på sidstnævnte er nødvendigt med investeringer i vedligeholdelse, fornyelse og nyanlæggelse af jernbaneinfrastruktur. Dette omfatter anvendelse af de nationale budgetter, Connecting Europe-faciliteten (CEF), der blev oprettet i medfør af Europa-Parlamentets og Rådets forordning (EU) 2021/1153</w:t>
      </w:r>
      <w:r w:rsidRPr="008913ED">
        <w:rPr>
          <w:szCs w:val="24"/>
          <w:vertAlign w:val="superscript"/>
          <w:lang w:val="en-GB" w:eastAsia="en-US"/>
        </w:rPr>
        <w:footnoteReference w:id="11"/>
      </w:r>
      <w:r w:rsidRPr="008913ED">
        <w:rPr>
          <w:b/>
          <w:i/>
          <w:szCs w:val="24"/>
          <w:lang w:eastAsia="en-US"/>
        </w:rPr>
        <w:t>, og private investeringer for at råde bod på de afgørende manglende forbindelser, mindske flaskehalsene og sikre passende finansieringsniveauer for vedligeholdelse. Medlemsstaterne bør navnlig forhindre forringelse af jernbaneinfrastrukturen og minimere virkningerne af eventuelle kapacitetsbegrænsninger ved at sikre tilstrækkelig, stabil og rettidig langsigtet finansiering via flerårige præstationsaftaler, der bør indgås mellem medlemsstaten og infrastrukturforvalteren for en periode på mindst fem år.</w:t>
      </w:r>
      <w:r w:rsidRPr="008913ED">
        <w:rPr>
          <w:b/>
          <w:szCs w:val="24"/>
          <w:lang w:eastAsia="en-US"/>
        </w:rPr>
        <w:t xml:space="preserve"> [Ændring 9]</w:t>
      </w:r>
    </w:p>
    <w:p w14:paraId="74FC322E" w14:textId="77777777" w:rsidR="00124908" w:rsidRDefault="00124908">
      <w:pPr>
        <w:widowControl/>
        <w:rPr>
          <w:szCs w:val="24"/>
          <w:lang w:eastAsia="en-US"/>
        </w:rPr>
      </w:pPr>
      <w:r>
        <w:rPr>
          <w:szCs w:val="24"/>
          <w:lang w:eastAsia="en-US"/>
        </w:rPr>
        <w:br w:type="page"/>
      </w:r>
    </w:p>
    <w:p w14:paraId="2792396B" w14:textId="75919986"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9)</w:t>
      </w:r>
      <w:r w:rsidR="008913ED" w:rsidRPr="008913ED">
        <w:rPr>
          <w:szCs w:val="24"/>
          <w:lang w:eastAsia="en-US"/>
        </w:rPr>
        <w:tab/>
        <w:t>Den strategiske kapacitetsplanlægning bør forbedre udnyttelsen af jernbaneinfrastrukturen ved at foregribe efterspørgslen efter jernbanetjenester og tage hensyn til planlagt udvikling, fornyelse og vedligeholdelse af infrastruktur. Den bør sikre, at jernbaneinfrastrukturkapaciteten tildeles på en måde, der maksimerer jernbanetjenesternes samfundsmæssige værdi</w:t>
      </w:r>
      <w:r w:rsidR="008913ED" w:rsidRPr="008913ED">
        <w:rPr>
          <w:b/>
          <w:i/>
          <w:szCs w:val="24"/>
          <w:lang w:eastAsia="en-US"/>
        </w:rPr>
        <w:t>, under hensyntagen til socioøkonomiske og miljømæssige indvirkninger</w:t>
      </w:r>
      <w:r w:rsidR="008913ED" w:rsidRPr="008913ED">
        <w:rPr>
          <w:szCs w:val="24"/>
          <w:lang w:eastAsia="en-US"/>
        </w:rPr>
        <w:t>. Infrastrukturforvalterne bør sikre, at den strategiske planlægning gradvis tilvejebringer flere detaljer om tilgængelig kapacitet, og at den danner grundlag for kapacitetstildelingen.</w:t>
      </w:r>
      <w:r w:rsidR="008913ED" w:rsidRPr="008913ED">
        <w:rPr>
          <w:b/>
          <w:i/>
          <w:szCs w:val="24"/>
          <w:lang w:eastAsia="en-US"/>
        </w:rPr>
        <w:t xml:space="preserve"> Ansøgere, den europæiske jernbaneplatform, kunder inden for jernbanetransport og deres sammenslutninger, Unionens og de nationale offentlige myndigheder bør høres i forbindelse med den strategiske planlægning, og de bør have mulighed for at komme med input til undersøgelsen om analyse af den forventede udvikling på transportmarkedet som er omhandlet i artikel 15 og fremsætte uafhængige bemærkninger til resultaterne.</w:t>
      </w:r>
      <w:r w:rsidR="008913ED" w:rsidRPr="008913ED">
        <w:rPr>
          <w:b/>
          <w:szCs w:val="24"/>
          <w:lang w:eastAsia="en-US"/>
        </w:rPr>
        <w:t xml:space="preserve"> [Ændring 10]</w:t>
      </w:r>
    </w:p>
    <w:p w14:paraId="3E712418" w14:textId="77777777" w:rsidR="00124908" w:rsidRDefault="00124908">
      <w:pPr>
        <w:widowControl/>
        <w:rPr>
          <w:szCs w:val="24"/>
          <w:lang w:eastAsia="en-US"/>
        </w:rPr>
      </w:pPr>
      <w:r>
        <w:rPr>
          <w:szCs w:val="24"/>
          <w:lang w:eastAsia="en-US"/>
        </w:rPr>
        <w:br w:type="page"/>
      </w:r>
    </w:p>
    <w:p w14:paraId="2FB17D69" w14:textId="6DBBB0FF"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10)</w:t>
      </w:r>
      <w:r w:rsidR="008913ED" w:rsidRPr="008913ED">
        <w:rPr>
          <w:szCs w:val="24"/>
          <w:lang w:eastAsia="en-US"/>
        </w:rPr>
        <w:tab/>
        <w:t>For at sikre, at der er kapacitet til rådighed for tildeling til forskellige jernbanemarkedssegmenter og navnlig til godstransport og grænseoverskridende jernbanetjenester, bør infrastrukturforvalterne have mulighed for at forhåndsplanlægge anvendelsen af kapacitet på overbelastede eller stærkt udnyttede strækninger af jernbanenettet og udvide denne planlægning til andre strækninger af nettet, hvis det skønnes nødvendigt. Ved denne forudgående planlægning af kapacitet bør der tages hensyn til de forskellige metoder til kapacitetstildeling og de forskellige jernbanemarkedssegmenters karakteristika. Den bør give mulighed for en bedre udnyttelse af jernbaneinfrastrukturen ved at gruppere tog med lignende egenskaber for ydeevne i kapacitetstildelingsfasen.</w:t>
      </w:r>
    </w:p>
    <w:p w14:paraId="4725002F" w14:textId="548228A3" w:rsidR="008913ED" w:rsidRPr="008913ED" w:rsidRDefault="00393501" w:rsidP="008913ED">
      <w:pPr>
        <w:spacing w:before="120" w:after="120" w:line="360" w:lineRule="auto"/>
        <w:ind w:left="850" w:hanging="850"/>
        <w:rPr>
          <w:b/>
          <w:szCs w:val="24"/>
          <w:lang w:eastAsia="en-US"/>
        </w:rPr>
      </w:pPr>
      <w:r>
        <w:rPr>
          <w:szCs w:val="24"/>
          <w:lang w:eastAsia="en-US"/>
        </w:rPr>
        <w:t>(</w:t>
      </w:r>
      <w:r w:rsidR="008913ED" w:rsidRPr="008913ED">
        <w:rPr>
          <w:szCs w:val="24"/>
          <w:lang w:eastAsia="en-US"/>
        </w:rPr>
        <w:t>11)</w:t>
      </w:r>
      <w:r w:rsidR="008913ED" w:rsidRPr="008913ED">
        <w:rPr>
          <w:szCs w:val="24"/>
          <w:lang w:eastAsia="en-US"/>
        </w:rPr>
        <w:tab/>
        <w:t xml:space="preserve">Ved tildelingen af kapacitet bør infrastrukturforvalterne overholde de strategiske planer for kapacitetsudbud og samtidig sikre, at kapaciteten tildeles i overensstemmelse med markedsefterspørgslen på en retfærdig og ikkediskriminerende måde. Med henblik herpå kan visse kapacitetsansøgninger </w:t>
      </w:r>
      <w:r w:rsidR="008913ED" w:rsidRPr="008913ED">
        <w:rPr>
          <w:b/>
          <w:i/>
          <w:szCs w:val="24"/>
          <w:lang w:eastAsia="en-US"/>
        </w:rPr>
        <w:t xml:space="preserve">tilbydes alternativ kapacitet, eller, hvis der ikke eksisterer andre muligheder, </w:t>
      </w:r>
      <w:r w:rsidR="008913ED" w:rsidRPr="008913ED">
        <w:rPr>
          <w:szCs w:val="24"/>
          <w:lang w:eastAsia="en-US"/>
        </w:rPr>
        <w:t>afslås, og kapacitetsforsyningsplanen skal ajourføres regelmæssigt for at afspejle den faktiske efterspørgsel.</w:t>
      </w:r>
      <w:r w:rsidR="008913ED" w:rsidRPr="008913ED">
        <w:rPr>
          <w:b/>
          <w:szCs w:val="24"/>
          <w:lang w:eastAsia="en-US"/>
        </w:rPr>
        <w:t xml:space="preserve"> [Ændring 11]</w:t>
      </w:r>
    </w:p>
    <w:p w14:paraId="28FBEC2D" w14:textId="77777777" w:rsidR="00002801" w:rsidRDefault="00002801">
      <w:pPr>
        <w:widowControl/>
        <w:rPr>
          <w:b/>
          <w:i/>
          <w:szCs w:val="24"/>
          <w:lang w:eastAsia="en-US"/>
        </w:rPr>
      </w:pPr>
      <w:r>
        <w:rPr>
          <w:b/>
          <w:i/>
          <w:szCs w:val="24"/>
          <w:lang w:eastAsia="en-US"/>
        </w:rPr>
        <w:br w:type="page"/>
      </w:r>
    </w:p>
    <w:p w14:paraId="7184D926" w14:textId="71FA437C"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(11a)</w:t>
      </w:r>
      <w:r w:rsidRPr="008913ED">
        <w:rPr>
          <w:szCs w:val="24"/>
          <w:lang w:eastAsia="en-US"/>
        </w:rPr>
        <w:tab/>
      </w:r>
      <w:r w:rsidRPr="008913ED">
        <w:rPr>
          <w:b/>
          <w:i/>
          <w:szCs w:val="24"/>
          <w:lang w:eastAsia="en-US"/>
        </w:rPr>
        <w:t>På flere nationale jernbanemarkeder er infrastrukturforvalteren en del af et vertikalt integreret holdingselskab med en eller flere passager- og godstransportoperatører. Ved tildeling af kapacitet til disse jernbanevirksomheder er det af hensyn til et velfungerende marked yderst vigtigt, at kapaciteten tildeles på en fair, rimelig og ikkediskriminerende måde. Navnlig bør følsomme oplysninger, der deles med infrastrukturforvalteren som led i kapacitetstildelingsprocessen, betragtes som fortrolige.</w:t>
      </w:r>
      <w:r w:rsidRPr="008913ED">
        <w:rPr>
          <w:b/>
          <w:szCs w:val="24"/>
          <w:lang w:eastAsia="en-US"/>
        </w:rPr>
        <w:t xml:space="preserve"> [Ændring 12]</w:t>
      </w:r>
    </w:p>
    <w:p w14:paraId="108B6AFD" w14:textId="205DD4C0" w:rsidR="008913ED" w:rsidRPr="008913ED" w:rsidRDefault="00393501" w:rsidP="008913ED">
      <w:pPr>
        <w:spacing w:before="120" w:after="120" w:line="360" w:lineRule="auto"/>
        <w:ind w:left="850" w:hanging="850"/>
        <w:rPr>
          <w:b/>
          <w:szCs w:val="24"/>
          <w:lang w:eastAsia="en-US"/>
        </w:rPr>
      </w:pPr>
      <w:r>
        <w:rPr>
          <w:szCs w:val="24"/>
          <w:lang w:eastAsia="en-US"/>
        </w:rPr>
        <w:t>(</w:t>
      </w:r>
      <w:r w:rsidR="008913ED" w:rsidRPr="008913ED">
        <w:rPr>
          <w:szCs w:val="24"/>
          <w:lang w:eastAsia="en-US"/>
        </w:rPr>
        <w:t>12)</w:t>
      </w:r>
      <w:r w:rsidR="008913ED" w:rsidRPr="008913ED">
        <w:rPr>
          <w:szCs w:val="24"/>
          <w:lang w:eastAsia="en-US"/>
        </w:rPr>
        <w:tab/>
        <w:t>De forskellige jernbanemarkedssegmenter har forskellige muligheder for at foregribe deres behov for jernbaneinfrastrukturkapacitet. Nogle leverandører af jernbanegodstransport kan muligvis ikke identificere deres kapacitetsbehov i tide til at blive medtaget i køreplanen, dvs. i den årlige plan for togs og det rullende materiels bevægelser, og de passer muligvis ikke ind i den årlige plan. Derfor bør infrastrukturforvalterne også kunne tilbyde tilstrækkelig kapacitet med hensyn til kvalitet og kvantitet til jernbanetjenester, der har en svingende efterspørgsel, organiseres med relativt kort varsel, omfatter mere end én togkørsel og kan køre gentagne gange i en periode, der ikke nødvendigvis falder sammen med køreplansperiodens varighed.</w:t>
      </w:r>
      <w:r w:rsidR="008913ED" w:rsidRPr="008913ED">
        <w:rPr>
          <w:b/>
          <w:i/>
          <w:szCs w:val="24"/>
          <w:lang w:eastAsia="en-US"/>
        </w:rPr>
        <w:t xml:space="preserve"> Denne type kapacitetstilbud kan også tilbydes i en pakke af minimumsforhåndsberegnede ikkereserverede kanaler, som derefter kan tildeles med kort varsel.</w:t>
      </w:r>
      <w:r w:rsidR="008913ED" w:rsidRPr="008913ED">
        <w:rPr>
          <w:b/>
          <w:szCs w:val="24"/>
          <w:lang w:eastAsia="en-US"/>
        </w:rPr>
        <w:t xml:space="preserve"> [Ændring 13]</w:t>
      </w:r>
    </w:p>
    <w:p w14:paraId="05AB5C6F" w14:textId="77777777" w:rsidR="00002801" w:rsidRDefault="00002801" w:rsidP="008913ED">
      <w:pPr>
        <w:spacing w:before="120" w:after="120" w:line="360" w:lineRule="auto"/>
        <w:ind w:left="850" w:hanging="850"/>
        <w:rPr>
          <w:b/>
          <w:i/>
          <w:szCs w:val="24"/>
          <w:lang w:eastAsia="en-US"/>
        </w:rPr>
      </w:pPr>
      <w:r>
        <w:rPr>
          <w:b/>
          <w:i/>
          <w:szCs w:val="24"/>
          <w:lang w:eastAsia="en-US"/>
        </w:rPr>
        <w:br w:type="page"/>
      </w:r>
    </w:p>
    <w:p w14:paraId="4F9419D7" w14:textId="168BA0FA"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(12a)</w:t>
      </w:r>
      <w:r w:rsidRPr="008913ED">
        <w:rPr>
          <w:szCs w:val="24"/>
          <w:lang w:eastAsia="en-US"/>
        </w:rPr>
        <w:tab/>
      </w:r>
      <w:r w:rsidRPr="008913ED">
        <w:rPr>
          <w:b/>
          <w:i/>
          <w:szCs w:val="24"/>
          <w:lang w:eastAsia="en-US"/>
        </w:rPr>
        <w:t>Der anvendes forskellig praksis for planlægning af tidsplaner i medlemsstaterne, og der bør tages hensyn til disse opfattelser i den strategiske kapacitetsplanlægning. Denne praksis kræver øget koordinering mellem infrastrukturforvaltere på tværs af grænserne, navnlig når infrastrukturforvalteren på forhånd planlægger kapacitet med brug af integrerede køreplaner.</w:t>
      </w:r>
      <w:r w:rsidRPr="008913ED">
        <w:rPr>
          <w:b/>
          <w:szCs w:val="24"/>
          <w:lang w:eastAsia="en-US"/>
        </w:rPr>
        <w:t xml:space="preserve"> [Ændring 14]</w:t>
      </w:r>
    </w:p>
    <w:p w14:paraId="7FB03434" w14:textId="4AB793EE" w:rsidR="008913ED" w:rsidRPr="008913ED" w:rsidRDefault="00393501" w:rsidP="008913ED">
      <w:pPr>
        <w:spacing w:before="120" w:after="120" w:line="360" w:lineRule="auto"/>
        <w:ind w:left="850" w:hanging="850"/>
        <w:rPr>
          <w:szCs w:val="24"/>
          <w:lang w:eastAsia="en-US"/>
        </w:rPr>
      </w:pPr>
      <w:r>
        <w:rPr>
          <w:szCs w:val="24"/>
          <w:lang w:eastAsia="en-US"/>
        </w:rPr>
        <w:t>(</w:t>
      </w:r>
      <w:r w:rsidR="008913ED" w:rsidRPr="008913ED">
        <w:rPr>
          <w:szCs w:val="24"/>
          <w:lang w:eastAsia="en-US"/>
        </w:rPr>
        <w:t>13)</w:t>
      </w:r>
      <w:r w:rsidR="008913ED" w:rsidRPr="008913ED">
        <w:rPr>
          <w:szCs w:val="24"/>
          <w:lang w:eastAsia="en-US"/>
        </w:rPr>
        <w:tab/>
        <w:t>Ansøgere om jernbaneinfrastrukturkapacitet bør kunne planlægge og ansøge om jernbaneinfrastrukturkapacitet på årsbasis gennem køreplanen. Ansøgere bør også kunne ansøge om jernbaneinfrastrukturkapacitet, hvor der sker større fremskridt hen imod stabile, flerårige jernbanetjenester gennem rammeaftaler. Endelig bør ansøgerne kunne ansøge om kapacitet tæt på driftstidspunktet for individuelle tog gennem ad hoc-ansøgninger om kapacitet eller for gentagne togtjenester gennem ansøgninger om rullende planlægning.</w:t>
      </w:r>
    </w:p>
    <w:p w14:paraId="7F9C220A" w14:textId="77777777" w:rsidR="0005686F" w:rsidRDefault="0005686F">
      <w:pPr>
        <w:widowControl/>
        <w:rPr>
          <w:szCs w:val="24"/>
          <w:lang w:eastAsia="en-US"/>
        </w:rPr>
      </w:pPr>
      <w:r>
        <w:rPr>
          <w:szCs w:val="24"/>
          <w:lang w:eastAsia="en-US"/>
        </w:rPr>
        <w:br w:type="page"/>
      </w:r>
    </w:p>
    <w:p w14:paraId="25CFACB2" w14:textId="7FB2E48E"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14)</w:t>
      </w:r>
      <w:r w:rsidR="008913ED" w:rsidRPr="008913ED">
        <w:rPr>
          <w:szCs w:val="24"/>
          <w:lang w:eastAsia="en-US"/>
        </w:rPr>
        <w:tab/>
        <w:t>En betydelig del af jernbanegodstransporten foregår over lange afstande og kræver grænseoverskridende samordning af infrastrukturforvaltere. Det politiske mål om at øge jernbanetrafikken afhænger også af øget grænseoverskridende personbefordring. For at lette og fremme øget grænseoverskridende trafik i det fælles europæiske jernbaneområde er det nødvendigt at sikre større sammenhæng og harmonisering af regler og procedurer for forvaltning af jernbaneinfrastrukturkapacitet. Derfor bør det europæiske netværk af infrastrukturforvalteres rolle styrkes, således at det får til opgave at udarbejde retningslinjer for en harmoniseret gennemførelse af denne forordning om procedurer og metoder til forvaltning af jernbaneinfrastrukturkapacitet med aktiv koordinering af grænseoverskridende kapacitet og trafik. Det europæiske netværk af infrastrukturforvaltere bør navnlig udvikle europæiske rammer for kapacitetsforvaltning, for koordinering af grænseoverskridende trafikstyring, håndtering af forstyrrelser og krisestyring og for præstationsvurdering.</w:t>
      </w:r>
      <w:r w:rsidR="008913ED" w:rsidRPr="008913ED">
        <w:rPr>
          <w:b/>
          <w:i/>
          <w:szCs w:val="24"/>
          <w:lang w:eastAsia="en-US"/>
        </w:rPr>
        <w:t xml:space="preserve"> Jernbanevirksomheder, ansøgere og andre operationelle interessenter bør også høres i forbindelse med udviklingen af disse europæiske rammer.</w:t>
      </w:r>
      <w:r w:rsidR="008913ED" w:rsidRPr="008913ED">
        <w:rPr>
          <w:b/>
          <w:szCs w:val="24"/>
          <w:lang w:eastAsia="en-US"/>
        </w:rPr>
        <w:t xml:space="preserve"> [Ændring 15]</w:t>
      </w:r>
    </w:p>
    <w:p w14:paraId="6904AF0B" w14:textId="77777777" w:rsidR="0005686F" w:rsidRDefault="0005686F">
      <w:pPr>
        <w:widowControl/>
        <w:rPr>
          <w:szCs w:val="24"/>
          <w:lang w:eastAsia="en-US"/>
        </w:rPr>
      </w:pPr>
      <w:r>
        <w:rPr>
          <w:szCs w:val="24"/>
          <w:lang w:eastAsia="en-US"/>
        </w:rPr>
        <w:br w:type="page"/>
      </w:r>
    </w:p>
    <w:p w14:paraId="2B21019B" w14:textId="0CF7064A"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15)</w:t>
      </w:r>
      <w:r w:rsidR="008913ED" w:rsidRPr="008913ED">
        <w:rPr>
          <w:szCs w:val="24"/>
          <w:lang w:eastAsia="en-US"/>
        </w:rPr>
        <w:tab/>
        <w:t>I de europæiske rammer, der udvikles af det europæiske netværk af infrastrukturforvaltere, bør der udstikkes retningslinjer, som infrastrukturforvalterne bør gøre deres yderste for at følge, samtidig med at de fortsat har ansvaret for deres operationelle beslutninger. Infrastrukturforvalterne bør begrunde enhver afvigelse fra de rammer, der er udviklet af det europæiske netværk af infrastrukturforvaltere</w:t>
      </w:r>
      <w:r w:rsidR="008913ED" w:rsidRPr="008913ED">
        <w:rPr>
          <w:b/>
          <w:i/>
          <w:szCs w:val="24"/>
          <w:lang w:eastAsia="en-US"/>
        </w:rPr>
        <w:t>, og afvigelser bør kun tillades i ganske særlige tilfælde og skal godkendes af det nationale jernbanetilsynsorgan</w:t>
      </w:r>
      <w:r w:rsidR="008913ED" w:rsidRPr="008913ED">
        <w:rPr>
          <w:szCs w:val="24"/>
          <w:lang w:eastAsia="en-US"/>
        </w:rPr>
        <w:t>. Denne tilgang anses for at skabe en balance mellem behovet for koordinering og anvendelse af harmoniserede tilgange i det fælles europæiske jernbaneområde og behovet for at tilpasse procedurer og metoder til de særlige forhold i bestemte geografiske områder. Efter fem års anvendelse af denne forordning bør Kommissionen vurdere, om status med hensyn til procedurernes og metodernes konvergens og effektiviteten af samordningen mellem infrastrukturforvalterne samt de generelle fremskridt hen imod oprettelsen af det fælles europæiske jernbaneområde berettiger indførelsen af sekundær lovgivning til erstatning af elementer i de europæiske rammer, der er udviklet af det europæiske netværk af infrastrukturforvaltere.</w:t>
      </w:r>
      <w:r w:rsidR="008913ED" w:rsidRPr="008913ED">
        <w:rPr>
          <w:b/>
          <w:szCs w:val="24"/>
          <w:lang w:eastAsia="en-US"/>
        </w:rPr>
        <w:t xml:space="preserve"> [Ændring 16]</w:t>
      </w:r>
    </w:p>
    <w:p w14:paraId="15B1D94C" w14:textId="77777777" w:rsidR="0005686F" w:rsidRDefault="0005686F">
      <w:pPr>
        <w:widowControl/>
        <w:rPr>
          <w:b/>
          <w:i/>
          <w:szCs w:val="24"/>
          <w:lang w:eastAsia="en-US"/>
        </w:rPr>
      </w:pPr>
      <w:r>
        <w:rPr>
          <w:b/>
          <w:i/>
          <w:szCs w:val="24"/>
          <w:lang w:eastAsia="en-US"/>
        </w:rPr>
        <w:br w:type="page"/>
      </w:r>
    </w:p>
    <w:p w14:paraId="2C476217" w14:textId="73BC3107"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(15a)</w:t>
      </w:r>
      <w:r w:rsidRPr="008913ED">
        <w:rPr>
          <w:szCs w:val="24"/>
          <w:lang w:eastAsia="en-US"/>
        </w:rPr>
        <w:tab/>
      </w:r>
      <w:r w:rsidRPr="008913ED">
        <w:rPr>
          <w:b/>
          <w:i/>
          <w:szCs w:val="24"/>
          <w:lang w:eastAsia="en-US"/>
        </w:rPr>
        <w:t>Den Europæiske Unions Jernbaneagentur (ERA) bør tildeles nye opgaver for at sikre et gnidningsløst europæisk jernbanenet og styrke den grænseoverskridende jernbanetrafik og jernbanedriften på flere net for både gods- og passagertransport. ERA bør arbejde tæt sammen med det europæiske netværk af infrastrukturforvaltere (ENIM) og netværkskoordinatoren om udførelsen af sine nye opgaver.</w:t>
      </w:r>
      <w:r w:rsidRPr="008913ED">
        <w:rPr>
          <w:b/>
          <w:szCs w:val="24"/>
          <w:lang w:eastAsia="en-US"/>
        </w:rPr>
        <w:t xml:space="preserve"> [Ændring 17]</w:t>
      </w:r>
    </w:p>
    <w:p w14:paraId="498ACA79"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(15b)</w:t>
      </w:r>
      <w:r w:rsidRPr="008913ED">
        <w:rPr>
          <w:szCs w:val="24"/>
          <w:lang w:eastAsia="en-US"/>
        </w:rPr>
        <w:tab/>
      </w:r>
      <w:r w:rsidRPr="008913ED">
        <w:rPr>
          <w:b/>
          <w:i/>
          <w:szCs w:val="24"/>
          <w:lang w:eastAsia="en-US"/>
        </w:rPr>
        <w:t>ERA's ressourcer er utilstrækkelig i betragtning af omfanget af den foreslåede forøgelse af agenturets opgaver og omfanget af Unionens ambitioner med denne forordning. Størrelsen af de finansielle midler til udførelsen af ERA's opgaver i medfør af denne forordning bør komme fra margener, der ikke er tildelt under lofterne i den flerårige finansielle ramme (FFR), eller mobiliseres gennem de ikketematiske særlige instrumenter under FFR. Eftersom Kommissionens forslag til revision af FFR ikke styrkede ERA's budget, kan forhøjelsen af bevillingerne til ERA ikke opvejes af en kompenserende reduktion af de programmerede udgifter under CEF Transport eller føre til en reduktion af finansieringen til andre EU-programmer.</w:t>
      </w:r>
      <w:r w:rsidRPr="008913ED">
        <w:rPr>
          <w:b/>
          <w:szCs w:val="24"/>
          <w:lang w:eastAsia="en-US"/>
        </w:rPr>
        <w:t xml:space="preserve"> [Ændring 18]</w:t>
      </w:r>
    </w:p>
    <w:p w14:paraId="4717EB5E" w14:textId="77777777" w:rsidR="0005686F" w:rsidRDefault="0005686F">
      <w:pPr>
        <w:widowControl/>
        <w:rPr>
          <w:szCs w:val="24"/>
          <w:lang w:eastAsia="en-US"/>
        </w:rPr>
      </w:pPr>
      <w:r>
        <w:rPr>
          <w:szCs w:val="24"/>
          <w:lang w:eastAsia="en-US"/>
        </w:rPr>
        <w:br w:type="page"/>
      </w:r>
    </w:p>
    <w:p w14:paraId="6C864DAF" w14:textId="7BB8EB2B"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16)</w:t>
      </w:r>
      <w:r w:rsidR="008913ED" w:rsidRPr="008913ED">
        <w:rPr>
          <w:szCs w:val="24"/>
          <w:lang w:eastAsia="en-US"/>
        </w:rPr>
        <w:tab/>
        <w:t>Reglerne om forvaltning af grænseoverskridende jernbanetrafik under normale forhold og i tilfælde af forstyrrelser bør fremme en smidig, modstandsdygtig og gnidningsløs drift af jernbanetransporttjenester. De bør omfatte et system til struktureret samordning mellem infrastrukturforvaltere og andre interessenter.</w:t>
      </w:r>
    </w:p>
    <w:p w14:paraId="775F2895" w14:textId="02349175" w:rsidR="008913ED" w:rsidRPr="008913ED" w:rsidRDefault="00393501" w:rsidP="008913ED">
      <w:pPr>
        <w:spacing w:before="120" w:after="120" w:line="360" w:lineRule="auto"/>
        <w:ind w:left="850" w:hanging="850"/>
        <w:rPr>
          <w:b/>
          <w:szCs w:val="24"/>
          <w:lang w:eastAsia="en-US"/>
        </w:rPr>
      </w:pPr>
      <w:r>
        <w:rPr>
          <w:szCs w:val="24"/>
          <w:lang w:eastAsia="en-US"/>
        </w:rPr>
        <w:t>(</w:t>
      </w:r>
      <w:r w:rsidR="008913ED" w:rsidRPr="008913ED">
        <w:rPr>
          <w:szCs w:val="24"/>
          <w:lang w:eastAsia="en-US"/>
        </w:rPr>
        <w:t>17)</w:t>
      </w:r>
      <w:r w:rsidR="008913ED" w:rsidRPr="008913ED">
        <w:rPr>
          <w:szCs w:val="24"/>
          <w:lang w:eastAsia="en-US"/>
        </w:rPr>
        <w:tab/>
        <w:t>Drift af jernbaneinfrastruktur kræver ikke blot et tæt samarbejde mellem infrastrukturforvalterne, men også et stærkt samspil med jernbanevirksomheder og andre interessenter, der er direkte involveret i jernbanetransport og multimodal transport og logistik. Det er derfor nødvendigt at sikre en struktureret samordning mellem infrastrukturforvaltere og andre interessenter.</w:t>
      </w:r>
      <w:r w:rsidR="008913ED" w:rsidRPr="008913ED">
        <w:rPr>
          <w:b/>
          <w:i/>
          <w:szCs w:val="24"/>
          <w:lang w:eastAsia="en-US"/>
        </w:rPr>
        <w:t xml:space="preserve"> For at styrke jernbanevirksomhedernes og ansøgernes rolle, oprettes ERP som et rådgivende organ for ENIM. Operatører af servicefaciliteter og terminaler, interessenter med multimodal kapacitet såsom sø- og indlandshavne og ejere af andre jernbanerelaterede servicefaciliteter kan også være en del af ERP. ENIM bør rådføre sig med ERP før den forbereder indførelsen af de europæiske rammer for kapacitetsstyring, trafikstyring og præstationsstyring. ERP kunne ud over at give ENIM et mere præcist syn på markedsudviklingen også afgive initiativudtalelser vedrørende ENIM's og ERA's forslag eller afgørelser.</w:t>
      </w:r>
      <w:r w:rsidR="008913ED" w:rsidRPr="008913ED">
        <w:rPr>
          <w:b/>
          <w:szCs w:val="24"/>
          <w:lang w:eastAsia="en-US"/>
        </w:rPr>
        <w:t xml:space="preserve"> [Ændring 19]</w:t>
      </w:r>
    </w:p>
    <w:p w14:paraId="400A309F" w14:textId="77777777" w:rsidR="0005686F" w:rsidRDefault="0005686F">
      <w:pPr>
        <w:widowControl/>
        <w:rPr>
          <w:szCs w:val="24"/>
          <w:lang w:eastAsia="en-US"/>
        </w:rPr>
      </w:pPr>
      <w:r>
        <w:rPr>
          <w:szCs w:val="24"/>
          <w:lang w:eastAsia="en-US"/>
        </w:rPr>
        <w:br w:type="page"/>
      </w:r>
    </w:p>
    <w:p w14:paraId="18A4DFA1" w14:textId="35BCE708"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18)</w:t>
      </w:r>
      <w:r w:rsidR="008913ED" w:rsidRPr="008913ED">
        <w:rPr>
          <w:szCs w:val="24"/>
          <w:lang w:eastAsia="en-US"/>
        </w:rPr>
        <w:tab/>
        <w:t>Jernbanetransportens pålidelighed er et af de aspekter, der værdsættes mest af jernbanekunderne</w:t>
      </w:r>
      <w:r w:rsidR="008913ED" w:rsidRPr="008913ED">
        <w:rPr>
          <w:b/>
          <w:i/>
          <w:szCs w:val="24"/>
          <w:lang w:eastAsia="en-US"/>
        </w:rPr>
        <w:t>, og er ikke mindst en afgørende forudsætning for at få gang i markedet for nattog igen, hvor jernbanekunder og ansøgere god tid i forvejen er nødt til at vide, hvordan togene kan køre</w:t>
      </w:r>
      <w:r w:rsidR="008913ED" w:rsidRPr="008913ED">
        <w:rPr>
          <w:szCs w:val="24"/>
          <w:lang w:eastAsia="en-US"/>
        </w:rPr>
        <w:t>. Køreplanernes pålidelighed er også af afgørende betydning for, at jernbanesystemet kan fungere gnidningsløst med et stærkt samspil mellem tjenester og eksterne virkninger i nettet. Derfor bør afvigelser fra køreplanen holdes på et minimum. Desuden bør der indføres et system med passende incitamenter for at fremme infrastrukturforvalternes, jernbanevirksomhedernes</w:t>
      </w:r>
      <w:r w:rsidR="008913ED" w:rsidRPr="008913ED">
        <w:rPr>
          <w:b/>
          <w:i/>
          <w:szCs w:val="24"/>
          <w:lang w:eastAsia="en-US"/>
        </w:rPr>
        <w:t>, servicefacilitetsoperatørers,</w:t>
      </w:r>
      <w:r w:rsidR="008913ED" w:rsidRPr="008913ED">
        <w:rPr>
          <w:szCs w:val="24"/>
          <w:lang w:eastAsia="en-US"/>
        </w:rPr>
        <w:t xml:space="preserve"> og andre relevante interessenters opfyldelse af deres forpligtelser. Disse incitamenter bør være af både økonomisk og ikkeøkonomisk art.</w:t>
      </w:r>
      <w:r w:rsidR="008913ED" w:rsidRPr="008913ED">
        <w:rPr>
          <w:b/>
          <w:szCs w:val="24"/>
          <w:lang w:eastAsia="en-US"/>
        </w:rPr>
        <w:t xml:space="preserve"> [Ændring 20]</w:t>
      </w:r>
    </w:p>
    <w:p w14:paraId="0546FD9F" w14:textId="77777777" w:rsidR="0005686F" w:rsidRDefault="0005686F">
      <w:pPr>
        <w:widowControl/>
        <w:rPr>
          <w:szCs w:val="24"/>
          <w:lang w:eastAsia="en-US"/>
        </w:rPr>
      </w:pPr>
      <w:r>
        <w:rPr>
          <w:szCs w:val="24"/>
          <w:lang w:eastAsia="en-US"/>
        </w:rPr>
        <w:br w:type="page"/>
      </w:r>
    </w:p>
    <w:p w14:paraId="0823F4F0" w14:textId="2AF7FA39"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19)</w:t>
      </w:r>
      <w:r w:rsidR="008913ED" w:rsidRPr="008913ED">
        <w:rPr>
          <w:szCs w:val="24"/>
          <w:lang w:eastAsia="en-US"/>
        </w:rPr>
        <w:tab/>
        <w:t xml:space="preserve">Løbende overvågning af jernbaneinfrastrukturens og jernbanetransportens kvalitet er en forudsætning for at forbedre disse tjenesters resultater. </w:t>
      </w:r>
      <w:r w:rsidR="008913ED" w:rsidRPr="008913ED">
        <w:rPr>
          <w:strike/>
          <w:szCs w:val="24"/>
          <w:lang w:eastAsia="en-US"/>
        </w:rPr>
        <w:t>Det er</w:t>
      </w:r>
      <w:r w:rsidR="008913ED" w:rsidRPr="008913ED">
        <w:rPr>
          <w:b/>
          <w:i/>
          <w:szCs w:val="24"/>
          <w:lang w:eastAsia="en-US"/>
        </w:rPr>
        <w:t>Infrastrukturforvaltere bør</w:t>
      </w:r>
      <w:r w:rsidR="008913ED" w:rsidRPr="008913ED">
        <w:rPr>
          <w:szCs w:val="24"/>
          <w:lang w:eastAsia="en-US"/>
        </w:rPr>
        <w:t xml:space="preserve"> derfor</w:t>
      </w:r>
      <w:r w:rsidR="008913ED" w:rsidRPr="008913ED">
        <w:rPr>
          <w:b/>
          <w:i/>
          <w:szCs w:val="24"/>
          <w:lang w:eastAsia="en-US"/>
        </w:rPr>
        <w:t xml:space="preserve"> overvåge og benchmarke jernbaneinfrastrukturens og jernbanetransportens resultater. Infrastrukturforvalterne bør, når de fastsætter deres egne præstationsmål i planen, rådføre sig med de nationale tilsynsmyndigheder, nationale ministerier og Kommissionen for at sikre, at disse mål er i overensstemmelse med Unionens præstationsmål. Det er også</w:t>
      </w:r>
      <w:r w:rsidR="008913ED" w:rsidRPr="008913ED">
        <w:rPr>
          <w:szCs w:val="24"/>
          <w:lang w:eastAsia="en-US"/>
        </w:rPr>
        <w:t xml:space="preserve"> nødvendigt at etablere et gennemsigtigt og objektivt system af indikatorer, der giver feedback om præstationsaspekter, der er relevante for de forskellige operationelle interessenter og for jernbanetransportens slutkunder. I systemets primære funktion bør der være fokus på at overvåge opfyldelsen af de operationelle interessenters forpligtelser og fremskridt med hensyn til resultater over tid under hensyntagen til forskellige forhold og karakteristika i jernbanesektoren. Med henblik på oprettelsen af et sådant system og analysen af dets output bør Kommissionen </w:t>
      </w:r>
      <w:r w:rsidR="008913ED" w:rsidRPr="008913ED">
        <w:rPr>
          <w:b/>
          <w:i/>
          <w:szCs w:val="24"/>
          <w:lang w:eastAsia="en-US"/>
        </w:rPr>
        <w:t xml:space="preserve">og ERA </w:t>
      </w:r>
      <w:r w:rsidR="008913ED" w:rsidRPr="008913ED">
        <w:rPr>
          <w:szCs w:val="24"/>
          <w:lang w:eastAsia="en-US"/>
        </w:rPr>
        <w:t>kunne benytte uafhængige eksperter</w:t>
      </w:r>
      <w:r w:rsidR="008913ED" w:rsidRPr="008913ED">
        <w:rPr>
          <w:b/>
          <w:i/>
          <w:szCs w:val="24"/>
          <w:lang w:eastAsia="en-US"/>
        </w:rPr>
        <w:t xml:space="preserve"> med indgående kendskab til jernbanesektoren</w:t>
      </w:r>
      <w:r w:rsidR="008913ED" w:rsidRPr="008913ED">
        <w:rPr>
          <w:szCs w:val="24"/>
          <w:lang w:eastAsia="en-US"/>
        </w:rPr>
        <w:t xml:space="preserve"> i form af et præstationsvurderingsorgan. Dette organ bør kunne give Kommissionen </w:t>
      </w:r>
      <w:r w:rsidR="008913ED" w:rsidRPr="008913ED">
        <w:rPr>
          <w:b/>
          <w:i/>
          <w:szCs w:val="24"/>
          <w:lang w:eastAsia="en-US"/>
        </w:rPr>
        <w:t xml:space="preserve">og ERA </w:t>
      </w:r>
      <w:r w:rsidR="008913ED" w:rsidRPr="008913ED">
        <w:rPr>
          <w:szCs w:val="24"/>
          <w:lang w:eastAsia="en-US"/>
        </w:rPr>
        <w:t xml:space="preserve">uafhængig </w:t>
      </w:r>
      <w:r w:rsidR="008913ED" w:rsidRPr="008913ED">
        <w:rPr>
          <w:strike/>
          <w:szCs w:val="24"/>
          <w:lang w:eastAsia="en-US"/>
        </w:rPr>
        <w:t>rådgivning</w:t>
      </w:r>
      <w:r w:rsidR="008913ED" w:rsidRPr="008913ED">
        <w:rPr>
          <w:b/>
          <w:i/>
          <w:szCs w:val="24"/>
          <w:lang w:eastAsia="en-US"/>
        </w:rPr>
        <w:t>ekspertrådgivning</w:t>
      </w:r>
      <w:r w:rsidR="008913ED" w:rsidRPr="008913ED">
        <w:rPr>
          <w:szCs w:val="24"/>
          <w:lang w:eastAsia="en-US"/>
        </w:rPr>
        <w:t xml:space="preserve"> på alle områder, der har indflydelse på resultaterne inden for jernbanetransport og infrastrukturforvaltning.</w:t>
      </w:r>
      <w:r w:rsidR="008913ED" w:rsidRPr="008913ED">
        <w:rPr>
          <w:b/>
          <w:szCs w:val="24"/>
          <w:lang w:eastAsia="en-US"/>
        </w:rPr>
        <w:t xml:space="preserve"> [Ændring 21]</w:t>
      </w:r>
    </w:p>
    <w:p w14:paraId="367FC817" w14:textId="77777777" w:rsidR="0005686F" w:rsidRDefault="0005686F">
      <w:pPr>
        <w:widowControl/>
        <w:rPr>
          <w:szCs w:val="24"/>
          <w:lang w:eastAsia="en-US"/>
        </w:rPr>
      </w:pPr>
      <w:r>
        <w:rPr>
          <w:szCs w:val="24"/>
          <w:lang w:eastAsia="en-US"/>
        </w:rPr>
        <w:br w:type="page"/>
      </w:r>
    </w:p>
    <w:p w14:paraId="66785FAC" w14:textId="06471ECC"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20)</w:t>
      </w:r>
      <w:r w:rsidR="008913ED" w:rsidRPr="008913ED">
        <w:rPr>
          <w:szCs w:val="24"/>
          <w:lang w:eastAsia="en-US"/>
        </w:rPr>
        <w:tab/>
        <w:t>For at forbedre jernbaneinfrastrukturens resultater på det fælles europæiske jernbaneområde bør infrastrukturforvalterne i tæt samarbejde med Kommissionen</w:t>
      </w:r>
      <w:r w:rsidR="008913ED" w:rsidRPr="008913ED">
        <w:rPr>
          <w:b/>
          <w:i/>
          <w:szCs w:val="24"/>
          <w:lang w:eastAsia="en-US"/>
        </w:rPr>
        <w:t>, ERA</w:t>
      </w:r>
      <w:r w:rsidR="008913ED" w:rsidRPr="008913ED">
        <w:rPr>
          <w:szCs w:val="24"/>
          <w:lang w:eastAsia="en-US"/>
        </w:rPr>
        <w:t xml:space="preserve">, præstationsvurderingsorganet og relevante interessenter etablere og gennemføre en fælles ramme for præstationsvurdering. Denne ramme bør sikre, at alle EU-infrastrukturforvaltere anvender fælles principper og metoder til måling af resultater ved hjælp af aftalte indikatorer. Rammen bør gøre det muligt at identificere præstationsmangler på </w:t>
      </w:r>
      <w:r w:rsidR="008913ED" w:rsidRPr="008913ED">
        <w:rPr>
          <w:strike/>
          <w:szCs w:val="24"/>
          <w:lang w:eastAsia="en-US"/>
        </w:rPr>
        <w:t>EU's</w:t>
      </w:r>
      <w:r w:rsidR="008913ED" w:rsidRPr="008913ED">
        <w:rPr>
          <w:b/>
          <w:i/>
          <w:szCs w:val="24"/>
          <w:lang w:eastAsia="en-US"/>
        </w:rPr>
        <w:t>Unionens</w:t>
      </w:r>
      <w:r w:rsidR="008913ED" w:rsidRPr="008913ED">
        <w:rPr>
          <w:szCs w:val="24"/>
          <w:lang w:eastAsia="en-US"/>
        </w:rPr>
        <w:t xml:space="preserve"> jernbanenet. Den bør sikre, at infrastrukturforvalterne fastsætter præstationsmål under hensyntagen til de særlige forhold i det net, de forvalter, men samtidig sikrer sammenhæng ved at identificere de mest relevante præstationsmangler. Rammen bør gøre det muligt for infrastrukturforvalterne at samarbejde på EU-plan</w:t>
      </w:r>
      <w:r w:rsidR="008913ED" w:rsidRPr="008913ED">
        <w:rPr>
          <w:b/>
          <w:i/>
          <w:szCs w:val="24"/>
          <w:lang w:eastAsia="en-US"/>
        </w:rPr>
        <w:t>, herunder inden for ERA,</w:t>
      </w:r>
      <w:r w:rsidR="008913ED" w:rsidRPr="008913ED">
        <w:rPr>
          <w:szCs w:val="24"/>
          <w:lang w:eastAsia="en-US"/>
        </w:rPr>
        <w:t xml:space="preserve"> om at identificere foranstaltninger til afhjælpning af præstationsmangler og overvågning af deres indvirkning. Infrastrukturforvalterne bør regelmæssigt revidere denne ramme for at sikre, at den er egnet til formålet, inden for rammerne af samarbejdet </w:t>
      </w:r>
      <w:r w:rsidR="008913ED" w:rsidRPr="008913ED">
        <w:rPr>
          <w:b/>
          <w:i/>
          <w:szCs w:val="24"/>
          <w:lang w:eastAsia="en-US"/>
        </w:rPr>
        <w:t xml:space="preserve">med ERA </w:t>
      </w:r>
      <w:r w:rsidR="008913ED" w:rsidRPr="008913ED">
        <w:rPr>
          <w:szCs w:val="24"/>
          <w:lang w:eastAsia="en-US"/>
        </w:rPr>
        <w:t>i det europæiske netværk af infrastrukturforvaltere og under hensyntagen til præstationsvurderingsorganets og Kommissionens udtalelse.</w:t>
      </w:r>
      <w:r w:rsidR="008913ED" w:rsidRPr="008913ED">
        <w:rPr>
          <w:b/>
          <w:szCs w:val="24"/>
          <w:lang w:eastAsia="en-US"/>
        </w:rPr>
        <w:t xml:space="preserve"> [Ændring 22]</w:t>
      </w:r>
    </w:p>
    <w:p w14:paraId="3022236E" w14:textId="77777777" w:rsidR="0005686F" w:rsidRDefault="0005686F">
      <w:pPr>
        <w:widowControl/>
        <w:rPr>
          <w:szCs w:val="24"/>
          <w:lang w:eastAsia="en-US"/>
        </w:rPr>
      </w:pPr>
      <w:r>
        <w:rPr>
          <w:szCs w:val="24"/>
          <w:lang w:eastAsia="en-US"/>
        </w:rPr>
        <w:br w:type="page"/>
      </w:r>
    </w:p>
    <w:p w14:paraId="32FB2413" w14:textId="050A6838"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21)</w:t>
      </w:r>
      <w:r w:rsidR="008913ED" w:rsidRPr="008913ED">
        <w:rPr>
          <w:szCs w:val="24"/>
          <w:lang w:eastAsia="en-US"/>
        </w:rPr>
        <w:tab/>
        <w:t xml:space="preserve">For at sikre en effektiv EU-ramme for samordning af jernbaneinfrastrukturforvaltere bør det europæiske netværk af infrastrukturforvaltere, der blev oprettet ved direktiv 2012/34/EU, gøres mere operationelt. Det bør omfatte beslutningsmekanismer, der gør det muligt for </w:t>
      </w:r>
      <w:r w:rsidR="00425FF2">
        <w:rPr>
          <w:szCs w:val="24"/>
          <w:lang w:eastAsia="en-US"/>
        </w:rPr>
        <w:t>Unionens</w:t>
      </w:r>
      <w:r w:rsidR="008913ED" w:rsidRPr="008913ED">
        <w:rPr>
          <w:szCs w:val="24"/>
          <w:lang w:eastAsia="en-US"/>
        </w:rPr>
        <w:t xml:space="preserve"> jernbaneinfrastrukturforvaltere at koordinere den strategiske planlægning af jernbaneinfrastrukturkapacitet effektivt.</w:t>
      </w:r>
    </w:p>
    <w:p w14:paraId="67A3B787" w14:textId="38469D75" w:rsidR="008913ED" w:rsidRPr="008913ED" w:rsidRDefault="00393501" w:rsidP="008913ED">
      <w:pPr>
        <w:spacing w:before="120" w:after="120" w:line="360" w:lineRule="auto"/>
        <w:ind w:left="850" w:hanging="850"/>
        <w:rPr>
          <w:b/>
          <w:szCs w:val="24"/>
          <w:lang w:eastAsia="en-US"/>
        </w:rPr>
      </w:pPr>
      <w:r>
        <w:rPr>
          <w:szCs w:val="24"/>
          <w:lang w:eastAsia="en-US"/>
        </w:rPr>
        <w:t>(</w:t>
      </w:r>
      <w:r w:rsidR="008913ED" w:rsidRPr="008913ED">
        <w:rPr>
          <w:szCs w:val="24"/>
          <w:lang w:eastAsia="en-US"/>
        </w:rPr>
        <w:t>22)</w:t>
      </w:r>
      <w:r w:rsidR="008913ED" w:rsidRPr="008913ED">
        <w:rPr>
          <w:szCs w:val="24"/>
          <w:lang w:eastAsia="en-US"/>
        </w:rPr>
        <w:tab/>
        <w:t xml:space="preserve">Jernbanetilsynsorganerne bør samarbejde på EU-plan for at sikre en ensartet anvendelse af regelsættet og en ensartet behandling af ansøgere på tværs af det fælles europæiske jernbaneområde. De bør gøre dette gennem det europæiske netværk af tilsynsorganer på jernbaneområdet </w:t>
      </w:r>
      <w:r w:rsidR="008913ED" w:rsidRPr="008913ED">
        <w:rPr>
          <w:b/>
          <w:i/>
          <w:szCs w:val="24"/>
          <w:lang w:eastAsia="en-US"/>
        </w:rPr>
        <w:t xml:space="preserve">(ENRRB) </w:t>
      </w:r>
      <w:r w:rsidR="008913ED" w:rsidRPr="008913ED">
        <w:rPr>
          <w:szCs w:val="24"/>
          <w:lang w:eastAsia="en-US"/>
        </w:rPr>
        <w:t xml:space="preserve">med henblik på at udarbejde fælles metoder for de afgørelser, som de i henhold til denne forordning er beføjet til at træffe. Med henblik herpå bør </w:t>
      </w:r>
      <w:r w:rsidR="008913ED" w:rsidRPr="008913ED">
        <w:rPr>
          <w:strike/>
          <w:szCs w:val="24"/>
          <w:lang w:eastAsia="en-US"/>
        </w:rPr>
        <w:t>det europæiske netværk af tilsynsorganer på jernbaneområdet</w:t>
      </w:r>
      <w:r w:rsidR="008913ED" w:rsidRPr="008913ED">
        <w:rPr>
          <w:b/>
          <w:i/>
          <w:szCs w:val="24"/>
          <w:lang w:eastAsia="en-US"/>
        </w:rPr>
        <w:t>ENRRB</w:t>
      </w:r>
      <w:r w:rsidR="008913ED" w:rsidRPr="008913ED">
        <w:rPr>
          <w:szCs w:val="24"/>
          <w:lang w:eastAsia="en-US"/>
        </w:rPr>
        <w:t xml:space="preserve"> udføre koordineringsopgaver og fremsætte ikkebindende henstillinger og udtalelser, som ikke berører jernbanetilsynsorganernes eller infrastrukturforvalternes beføjelser.</w:t>
      </w:r>
      <w:r w:rsidR="008913ED" w:rsidRPr="008913ED">
        <w:rPr>
          <w:b/>
          <w:i/>
          <w:szCs w:val="24"/>
          <w:lang w:eastAsia="en-US"/>
        </w:rPr>
        <w:t xml:space="preserve"> ENRRB bør kontrollere, om de europæiske rammer er forenelige med de lovgivningsmæssige mål i denne forordning. Reguleringstilsyn bør udformes på en sådan måde, at det forhindrer, at nationale afgørelser underminerer de harmoniserede procedurer, der er beskrevet i de europæiske rammer, medmindre undtagelserne i denne forordning finder anvendelse.</w:t>
      </w:r>
      <w:r w:rsidR="008913ED" w:rsidRPr="008913ED">
        <w:rPr>
          <w:b/>
          <w:szCs w:val="24"/>
          <w:lang w:eastAsia="en-US"/>
        </w:rPr>
        <w:t xml:space="preserve"> [Ændring 23]</w:t>
      </w:r>
    </w:p>
    <w:p w14:paraId="6852C5F5" w14:textId="77777777" w:rsidR="0005686F" w:rsidRDefault="0005686F">
      <w:pPr>
        <w:widowControl/>
        <w:rPr>
          <w:szCs w:val="24"/>
          <w:lang w:eastAsia="en-US"/>
        </w:rPr>
      </w:pPr>
      <w:r>
        <w:rPr>
          <w:szCs w:val="24"/>
          <w:lang w:eastAsia="en-US"/>
        </w:rPr>
        <w:br w:type="page"/>
      </w:r>
    </w:p>
    <w:p w14:paraId="0EC4B2F4" w14:textId="08135C10"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23)</w:t>
      </w:r>
      <w:r w:rsidR="008913ED" w:rsidRPr="008913ED">
        <w:rPr>
          <w:szCs w:val="24"/>
          <w:lang w:eastAsia="en-US"/>
        </w:rPr>
        <w:tab/>
        <w:t>En effektiv forvaltning af jernbanekapacitet og trafikstyring kræver udveksling af data og oplysninger mellem infrastrukturforvaltere, ansøgere og andre operationelle interessenter. Denne udveksling kan være betydeligt mere effektiv ved brug af interoperable digitale værktøjer og, hvor det er muligt, automatisering. Specifikationer for interoperabilitet bør derfor gennemføres som en prioritet og videreudvikles for at holde trit med den teknologiske udvikling og de nye processer, der foreslås i denne forordning.</w:t>
      </w:r>
      <w:r w:rsidR="008913ED" w:rsidRPr="008913ED">
        <w:rPr>
          <w:b/>
          <w:i/>
          <w:szCs w:val="24"/>
          <w:lang w:eastAsia="en-US"/>
        </w:rPr>
        <w:t xml:space="preserve"> For at sikre en hurtig udvikling og gennemførelse bør Kommissionen tillægges beføjelser til at vedtage en delegeret retsakt med henblik på gennemførelse og forvaltning af en integreret digital europæisk jernbanetrafikstyring. Da ERA er den europæiske systemmyndighed for telematikapplikationer, bør det inddrages tæt i udviklingen og gennemførelsen af de digitale værktøjer, der er omhandlet i artikel 62 i denne forordning, for at sikre, at de er i overensstemmelse med TSI'en for trafiktelematik som defineret i direktiv (EU) 2016/797 og i overensstemmelse med artikel 23 i forordning (EU) 2016/796.</w:t>
      </w:r>
      <w:r w:rsidR="008913ED" w:rsidRPr="008913ED">
        <w:rPr>
          <w:b/>
          <w:szCs w:val="24"/>
          <w:lang w:eastAsia="en-US"/>
        </w:rPr>
        <w:t xml:space="preserve"> [Ændring 24]</w:t>
      </w:r>
    </w:p>
    <w:p w14:paraId="595D91B9" w14:textId="77777777" w:rsidR="0005686F" w:rsidRDefault="0005686F">
      <w:pPr>
        <w:widowControl/>
        <w:rPr>
          <w:b/>
          <w:i/>
          <w:szCs w:val="24"/>
          <w:lang w:eastAsia="en-US"/>
        </w:rPr>
      </w:pPr>
      <w:r>
        <w:rPr>
          <w:b/>
          <w:i/>
          <w:szCs w:val="24"/>
          <w:lang w:eastAsia="en-US"/>
        </w:rPr>
        <w:br w:type="page"/>
      </w:r>
    </w:p>
    <w:p w14:paraId="2B11E640" w14:textId="4A8131BA"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(23a)</w:t>
      </w:r>
      <w:r w:rsidRPr="008913ED">
        <w:rPr>
          <w:szCs w:val="24"/>
          <w:lang w:eastAsia="en-US"/>
        </w:rPr>
        <w:tab/>
      </w:r>
      <w:r w:rsidRPr="008913ED">
        <w:rPr>
          <w:b/>
          <w:i/>
          <w:szCs w:val="24"/>
          <w:lang w:eastAsia="en-US"/>
        </w:rPr>
        <w:t>Arbejdstagere er afgørende for, at jernbanesektoren kan fungere effektivt. Digitaliseringen er afgørende for at gøre tjenesterne mere effektive og øge kvaliteten af dem. Digitaliseringen og automatiseringen af jernbanekapaciteten og trafikstyringen vil skulle ledsages af en styrkelse af de digitale færdigheder hos de ansatte i sektoren. Yderligere uddannelse og investeringer i udbygning af digitale kompetencer med hensyn til nye digitale krav vil gøre det muligt for de ansatte at tilpasse sig og yde et positivt bidrag til at sikre en velfungerende sektor gennem en styrket kommunikation og en forbedret evne til at håndtere uventede begivenheder.</w:t>
      </w:r>
      <w:r w:rsidRPr="008913ED">
        <w:rPr>
          <w:b/>
          <w:szCs w:val="24"/>
          <w:lang w:eastAsia="en-US"/>
        </w:rPr>
        <w:t xml:space="preserve"> [Ændring 25]</w:t>
      </w:r>
    </w:p>
    <w:p w14:paraId="68BAF426" w14:textId="69BF7B05" w:rsidR="008913ED" w:rsidRPr="008913ED" w:rsidRDefault="00393501" w:rsidP="008913ED">
      <w:pPr>
        <w:spacing w:before="120" w:after="120" w:line="360" w:lineRule="auto"/>
        <w:ind w:left="850" w:hanging="850"/>
        <w:rPr>
          <w:szCs w:val="24"/>
          <w:lang w:eastAsia="en-US"/>
        </w:rPr>
      </w:pPr>
      <w:r>
        <w:rPr>
          <w:szCs w:val="24"/>
          <w:lang w:eastAsia="en-US"/>
        </w:rPr>
        <w:t>(</w:t>
      </w:r>
      <w:r w:rsidR="008913ED" w:rsidRPr="008913ED">
        <w:rPr>
          <w:szCs w:val="24"/>
          <w:lang w:eastAsia="en-US"/>
        </w:rPr>
        <w:t>24)</w:t>
      </w:r>
      <w:r w:rsidR="008913ED" w:rsidRPr="008913ED">
        <w:rPr>
          <w:szCs w:val="24"/>
          <w:lang w:eastAsia="en-US"/>
        </w:rPr>
        <w:tab/>
        <w:t>Infrastrukturforvalterne bør sikre tilpasning, navnlig med hensyn til digitalisering, til arbejdet i fællesforetagendet for Europas jernbaner, der er oprettet i henhold til afsnit IV i Rådets forordning (EU) 2021/2085, til den masterplan, der er omhandlet i artikel 86, stk. 5, og den systemsøjle, der er omhandlet i artikel 85, stk. 2, litra c), og gennem den udrulningsgruppe, der er omhandlet i artikel 97 i forordning (EU) 2021/2085.</w:t>
      </w:r>
    </w:p>
    <w:p w14:paraId="6D5E0FCE" w14:textId="77777777" w:rsidR="0005686F" w:rsidRDefault="0005686F">
      <w:pPr>
        <w:widowControl/>
        <w:rPr>
          <w:szCs w:val="24"/>
          <w:lang w:eastAsia="en-US"/>
        </w:rPr>
      </w:pPr>
      <w:r>
        <w:rPr>
          <w:szCs w:val="24"/>
          <w:lang w:eastAsia="en-US"/>
        </w:rPr>
        <w:br w:type="page"/>
      </w:r>
    </w:p>
    <w:p w14:paraId="673539E8" w14:textId="71DF6B45"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25)</w:t>
      </w:r>
      <w:r w:rsidR="008913ED" w:rsidRPr="008913ED">
        <w:rPr>
          <w:szCs w:val="24"/>
          <w:lang w:eastAsia="en-US"/>
        </w:rPr>
        <w:tab/>
        <w:t>Det er nødvendigt at indføre en mekanisme til fastsættelse af kriterier, principper og procedurer for kapacitetsforvaltning, samarbejde mellem jernbaneinteressenter og for koordinering på EU-plan, for infrastrukturforvaltere og inden for myndighedstilsyn. Denne mekanisme kræver, at infrastrukturforvaltere og jernbanetilsynsorganer i samarbejde med relevante interessenter udvikler og gennemfører europæiske rammer og retningslinjer. Efter en evaluering af udviklingen og gennemførelsen af de europæiske rammer, og hvis den frivillige anvendelse af sektorretningslinjerne ikke sikrer den nødvendige grad af lovgivningsmæssig sammenhæng, bør Kommissionen have mulighed for at afhjælpe sådanne lovgivningsmæssige mangler ved hjælp af gennemførelsesretsakter eller delegerede retsakter, hvor det er relevant.</w:t>
      </w:r>
    </w:p>
    <w:p w14:paraId="79425236" w14:textId="77777777" w:rsidR="0005686F" w:rsidRDefault="0005686F">
      <w:pPr>
        <w:widowControl/>
        <w:rPr>
          <w:szCs w:val="24"/>
          <w:lang w:eastAsia="en-US"/>
        </w:rPr>
      </w:pPr>
      <w:r>
        <w:rPr>
          <w:szCs w:val="24"/>
          <w:lang w:eastAsia="en-US"/>
        </w:rPr>
        <w:br w:type="page"/>
      </w:r>
    </w:p>
    <w:p w14:paraId="7FFB6CE4" w14:textId="7B4CCEF5"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26)</w:t>
      </w:r>
      <w:r w:rsidR="008913ED" w:rsidRPr="008913ED">
        <w:rPr>
          <w:szCs w:val="24"/>
          <w:lang w:eastAsia="en-US"/>
        </w:rPr>
        <w:tab/>
        <w:t xml:space="preserve">For at sikre en gnidningsløs kapacitetsforvaltning og trafikstyring inden for international jernbanetransport, minimere annulleringer af tildelt kapacitet og afbrydelser i jernbanedriften som følge af forstyrrelser på jernbanenettet og for at tage hensyn til udviklingen i infrastrukturforvalternes praksis og anvendelsen af nye metoder til kapacitetstildeling og informations- og kommunikationsteknologi bør beføjelsen til at vedtage retsakter delegeres til Kommissionen i overensstemmelse med traktatens artikel 290. Disse beføjelser bør vedrøre resultaterne af den strategiske planlægning af infrastrukturkapacitet, planen for den strategiske kapacitetsplanlægning og kapacitetstildelingsprocessen, fristerne for ændringer af tildelt kapacitet og udviklingen af alternative løsninger for ansøgere, planen for koordinering, høring og offentliggørelse af kapacitetsrestriktioner som følge af infrastrukturarbejder, definitionen af stærkt udnyttet og overbelastet infrastruktur og procedurerne og metoderne til beregning af kapacitetsudnyttelsesgraden, kriterierne for identifikation og erklæring af netforstyrrelser, de oplysninger, der skal gives til operationelle interessenter, og de områder, som infrastrukturforvalterne bør samordne, og de specifikke ordninger for en sådan samordning. Det er især vigtigt, at Kommissionen gennemfører relevante høringer under sit forberedende arbejde, herunder på ekspertniveau, og at disse høringer gennemføres i overensstemmelse med principperne i den interinstitutionelle aftale </w:t>
      </w:r>
      <w:r w:rsidR="0016765C" w:rsidRPr="008913ED">
        <w:rPr>
          <w:szCs w:val="24"/>
          <w:lang w:eastAsia="en-US"/>
        </w:rPr>
        <w:t>af 13. april 2016</w:t>
      </w:r>
      <w:r w:rsidR="0016765C">
        <w:rPr>
          <w:szCs w:val="24"/>
          <w:lang w:eastAsia="en-US"/>
        </w:rPr>
        <w:t xml:space="preserve"> </w:t>
      </w:r>
      <w:r w:rsidR="008913ED" w:rsidRPr="008913ED">
        <w:rPr>
          <w:szCs w:val="24"/>
          <w:lang w:eastAsia="en-US"/>
        </w:rPr>
        <w:t>om bedre lovgivning</w:t>
      </w:r>
      <w:r w:rsidR="008913ED" w:rsidRPr="008913ED">
        <w:rPr>
          <w:szCs w:val="24"/>
          <w:vertAlign w:val="superscript"/>
          <w:lang w:val="en-GB" w:eastAsia="en-US"/>
        </w:rPr>
        <w:footnoteReference w:id="12"/>
      </w:r>
      <w:r w:rsidR="008913ED" w:rsidRPr="008913ED">
        <w:rPr>
          <w:szCs w:val="24"/>
          <w:lang w:eastAsia="en-US"/>
        </w:rPr>
        <w:t>. For at sikre lige deltagelse i forberedelsen af delegerede retsakter bør Europa-Parlamentet og Rådet navnlig modtage alle dokumenter på samme tid som medlemsstaternes eksperter, og deres eksperter bør have systematisk adgang til møder i Kommissionens ekspertgrupper, der beskæftiger sig med forberedelse af delegerede retsakter.</w:t>
      </w:r>
    </w:p>
    <w:p w14:paraId="6B3B39DC" w14:textId="77777777" w:rsidR="0005686F" w:rsidRDefault="0005686F">
      <w:pPr>
        <w:widowControl/>
        <w:rPr>
          <w:szCs w:val="24"/>
          <w:lang w:eastAsia="en-US"/>
        </w:rPr>
      </w:pPr>
      <w:r>
        <w:rPr>
          <w:szCs w:val="24"/>
          <w:lang w:eastAsia="en-US"/>
        </w:rPr>
        <w:br w:type="page"/>
      </w:r>
    </w:p>
    <w:p w14:paraId="6B8D7171" w14:textId="1733BA45"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27)</w:t>
      </w:r>
      <w:r w:rsidR="008913ED" w:rsidRPr="008913ED">
        <w:rPr>
          <w:szCs w:val="24"/>
          <w:lang w:eastAsia="en-US"/>
        </w:rPr>
        <w:tab/>
        <w:t>For at sikre ensartede betingelser for gennemførelsen af denne forordning bør Kommissionen tillægges gennemførelsesbeføjelser til at indføre tekniske og operationelle krav for at fremme et velfungerende fælles europæisk jernbaneområde for så vidt angår ensartede kriterier for de krav, som infrastrukturforvalterne fastsætter til ansøgere, fælles procedurer, kriterier og metoder for forvaltning af knap kapacitet, for beredskabsplanlægning og for tildeling af kapacitet ud over den periode, der er omfattet af køreplanen, en fælles tilgang til kompensation for ændringer i tildelt kapacitet, fælles kriterier og procedurer for omlægning, og fastlæggelse af de tekniske elementer i et system til overvågning af jernbane- og jernbanerelaterede tjenesters resultater, herunder metoder og datakrav og vurdering heraf. Disse beføjelser bør udøves i overensstemmelse med Europa-Parlamentets og Rådets forordning (EU) nr. 182/2011</w:t>
      </w:r>
      <w:r w:rsidR="008913ED" w:rsidRPr="008913ED">
        <w:rPr>
          <w:szCs w:val="24"/>
          <w:vertAlign w:val="superscript"/>
          <w:lang w:val="en-GB" w:eastAsia="en-US"/>
        </w:rPr>
        <w:footnoteReference w:id="13"/>
      </w:r>
      <w:r w:rsidR="008913ED" w:rsidRPr="008913ED">
        <w:rPr>
          <w:szCs w:val="24"/>
          <w:lang w:eastAsia="en-US"/>
        </w:rPr>
        <w:t>.</w:t>
      </w:r>
    </w:p>
    <w:p w14:paraId="3EBF2978" w14:textId="77777777" w:rsidR="0005686F" w:rsidRDefault="0005686F">
      <w:pPr>
        <w:widowControl/>
        <w:rPr>
          <w:szCs w:val="24"/>
          <w:lang w:eastAsia="en-US"/>
        </w:rPr>
      </w:pPr>
      <w:r>
        <w:rPr>
          <w:szCs w:val="24"/>
          <w:lang w:eastAsia="en-US"/>
        </w:rPr>
        <w:br w:type="page"/>
      </w:r>
    </w:p>
    <w:p w14:paraId="2C45FDC1" w14:textId="367DA48F" w:rsidR="008913ED" w:rsidRPr="008913ED" w:rsidRDefault="00393501" w:rsidP="008913ED">
      <w:pPr>
        <w:spacing w:before="120" w:after="120" w:line="360" w:lineRule="auto"/>
        <w:ind w:left="850" w:hanging="850"/>
        <w:rPr>
          <w:szCs w:val="24"/>
          <w:lang w:eastAsia="en-US"/>
        </w:rPr>
      </w:pPr>
      <w:r>
        <w:rPr>
          <w:szCs w:val="24"/>
          <w:lang w:eastAsia="en-US"/>
        </w:rPr>
        <w:lastRenderedPageBreak/>
        <w:t>(</w:t>
      </w:r>
      <w:r w:rsidR="008913ED" w:rsidRPr="008913ED">
        <w:rPr>
          <w:szCs w:val="24"/>
          <w:lang w:eastAsia="en-US"/>
        </w:rPr>
        <w:t>28)</w:t>
      </w:r>
      <w:r w:rsidR="008913ED" w:rsidRPr="008913ED">
        <w:rPr>
          <w:szCs w:val="24"/>
          <w:lang w:eastAsia="en-US"/>
        </w:rPr>
        <w:tab/>
        <w:t>Reglerne om kapacitetstildeling i direktiv 2012/34/EU erstattes af reglerne i denne forordning. Derfor bør reglerne om samarbejde mellem infrastrukturforvaltere, reglerne om samarbejde mellem jernbanetilsynsorganer, kravene til de elementer i netvejledningen, der beskriver karakteren af den jernbaneinfrastruktur, som jernbanevirksomheder har adgang til, betingelserne for adgang hertil og principperne og kriterierne for kapacitetstildeling fastlægges i denne forordning. Reglerne om samarbejde og koordinering samt de elementer i netvejledningen, der ikke vedrører kapacitetsforvaltning, bør forblive i direktiv 2012/34/EU.</w:t>
      </w:r>
    </w:p>
    <w:p w14:paraId="045C70BC" w14:textId="77777777" w:rsidR="0005686F" w:rsidRDefault="0005686F">
      <w:pPr>
        <w:widowControl/>
        <w:rPr>
          <w:szCs w:val="24"/>
          <w:lang w:eastAsia="en-US"/>
        </w:rPr>
      </w:pPr>
      <w:r>
        <w:rPr>
          <w:szCs w:val="24"/>
          <w:lang w:eastAsia="en-US"/>
        </w:rPr>
        <w:br w:type="page"/>
      </w:r>
    </w:p>
    <w:p w14:paraId="142498C7" w14:textId="0D1EE455"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29)</w:t>
      </w:r>
      <w:r w:rsidR="008913ED" w:rsidRPr="008913ED">
        <w:rPr>
          <w:szCs w:val="24"/>
          <w:lang w:eastAsia="en-US"/>
        </w:rPr>
        <w:tab/>
        <w:t>I den efterfølgende evaluering af forordning (EU) nr. 913/2010</w:t>
      </w:r>
      <w:r w:rsidR="008913ED" w:rsidRPr="008913ED">
        <w:rPr>
          <w:szCs w:val="24"/>
          <w:vertAlign w:val="superscript"/>
          <w:lang w:val="en-GB" w:eastAsia="en-US"/>
        </w:rPr>
        <w:footnoteReference w:id="14"/>
      </w:r>
      <w:r w:rsidR="008913ED" w:rsidRPr="008913ED">
        <w:rPr>
          <w:szCs w:val="24"/>
          <w:lang w:eastAsia="en-US"/>
        </w:rPr>
        <w:t xml:space="preserve"> blev det konkluderet, at forordningens virkning var for begrænset til at bidrage til en trafikoverflytning fra vej til jernbane. Desuden var samarbejdet mellem medlemsstaterne og infrastrukturforvalterne om forvaltningen af jernbaneinfrastruktur stadig ineffektivt ud fra et grænseoverskridende perspektiv. Evalueringen har også vist, at særskilt forvaltning af kapaciteten i godstogskorridorerne og i resten af nettet ikke er effektiv. Der bør gælde et fælles regelsæt for driften af jernbanenettets kapacitet, som konsoliderer de relevante bestemmelser i direktiv 2012/34/EU og forordning (EU) nr. 913/2010. Forordning (EU) nr. 913/2010 og bestemmelserne i direktiv 2012/34/EU om kapacitetstildeling bør derfor ophæves og erstattes af nærværende forordning.</w:t>
      </w:r>
      <w:r w:rsidR="008913ED" w:rsidRPr="008913ED">
        <w:rPr>
          <w:b/>
          <w:i/>
          <w:szCs w:val="24"/>
          <w:lang w:eastAsia="en-US"/>
        </w:rPr>
        <w:t xml:space="preserve"> De relevante artikler i forordning (EU) nr. 1315/2013 om Unionens retningslinjer for udvikling af det transeuropæiske transportnet bør ændres i overensstemmelse hermed.</w:t>
      </w:r>
      <w:r w:rsidR="008913ED" w:rsidRPr="008913ED">
        <w:rPr>
          <w:b/>
          <w:szCs w:val="24"/>
          <w:lang w:eastAsia="en-US"/>
        </w:rPr>
        <w:t xml:space="preserve"> [Ændring 26]</w:t>
      </w:r>
    </w:p>
    <w:p w14:paraId="5B05BE97"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(29a)</w:t>
      </w:r>
      <w:r w:rsidRPr="008913ED">
        <w:rPr>
          <w:szCs w:val="24"/>
          <w:lang w:eastAsia="en-US"/>
        </w:rPr>
        <w:tab/>
      </w:r>
      <w:r w:rsidRPr="008913ED">
        <w:rPr>
          <w:b/>
          <w:i/>
          <w:szCs w:val="24"/>
          <w:lang w:eastAsia="en-US"/>
        </w:rPr>
        <w:t>Der bør på samme måde sikres en tilpasning til følgende gennemførelsesforordninger for så vidt angår reglerne for tildeling i servicefaciliteter (gennemførelsesforordning (EU) 2017/2177) og for så vidt angår procedurer og kriterier vedrørende rammeaftaler (gennemførelsesforordning (EU) 2016/545).</w:t>
      </w:r>
      <w:r w:rsidRPr="008913ED">
        <w:rPr>
          <w:b/>
          <w:szCs w:val="24"/>
          <w:lang w:eastAsia="en-US"/>
        </w:rPr>
        <w:t xml:space="preserve"> [Ændring 27]</w:t>
      </w:r>
    </w:p>
    <w:p w14:paraId="44D496F0" w14:textId="77777777" w:rsidR="0005686F" w:rsidRDefault="0005686F">
      <w:pPr>
        <w:widowControl/>
        <w:rPr>
          <w:szCs w:val="24"/>
          <w:lang w:eastAsia="en-US"/>
        </w:rPr>
      </w:pPr>
      <w:r>
        <w:rPr>
          <w:szCs w:val="24"/>
          <w:lang w:eastAsia="en-US"/>
        </w:rPr>
        <w:br w:type="page"/>
      </w:r>
    </w:p>
    <w:p w14:paraId="066D9ED2" w14:textId="12E4E4E0"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30)</w:t>
      </w:r>
      <w:r w:rsidR="008913ED" w:rsidRPr="008913ED">
        <w:rPr>
          <w:szCs w:val="24"/>
          <w:lang w:eastAsia="en-US"/>
        </w:rPr>
        <w:tab/>
        <w:t xml:space="preserve">I forbindelse med udarbejdelsen af køreplanen skal der gennemføres forberedende aktiviteter i årene forud for den pågældende køreplans ikrafttræden. Overgangen fra den lovgivningsmæssige ramme indført ved direktiv </w:t>
      </w:r>
      <w:r w:rsidR="008913ED" w:rsidRPr="008913ED">
        <w:rPr>
          <w:strike/>
          <w:szCs w:val="24"/>
          <w:lang w:eastAsia="en-US"/>
        </w:rPr>
        <w:t>2013/34/EU</w:t>
      </w:r>
      <w:r w:rsidR="008913ED" w:rsidRPr="008913ED">
        <w:rPr>
          <w:b/>
          <w:i/>
          <w:szCs w:val="24"/>
          <w:lang w:eastAsia="en-US"/>
        </w:rPr>
        <w:t>2012/34/EU</w:t>
      </w:r>
      <w:r w:rsidR="008913ED" w:rsidRPr="008913ED">
        <w:rPr>
          <w:szCs w:val="24"/>
          <w:lang w:eastAsia="en-US"/>
        </w:rPr>
        <w:t xml:space="preserve"> og forordning (EU) nr. 913/2010 til den ramme, der indføres ved nærværende forordning, indebærer derfor, at udarbejdelsen af køreplaner under den nye ramme bør påbegyndes parallelt med anvendelsen af reglerne under den nuværende ramme. En dobbelt ordning skal derfor finde anvendelse i en overgangsfase, hvor de nødvendige forberedende skridt til en bestemt køreplan bør være i overensstemmelse med den retlige ramme, der gælder for denne specifikke køreplan. </w:t>
      </w:r>
      <w:r w:rsidR="008913ED" w:rsidRPr="008913ED">
        <w:rPr>
          <w:strike/>
          <w:szCs w:val="24"/>
          <w:lang w:eastAsia="en-US"/>
        </w:rPr>
        <w:t xml:space="preserve">Ansøgere, der har indgået </w:t>
      </w:r>
      <w:r w:rsidR="008913ED" w:rsidRPr="008913ED">
        <w:rPr>
          <w:szCs w:val="24"/>
          <w:lang w:eastAsia="en-US"/>
        </w:rPr>
        <w:t>Rammeaftaler</w:t>
      </w:r>
      <w:r w:rsidR="008913ED" w:rsidRPr="008913ED">
        <w:rPr>
          <w:b/>
          <w:i/>
          <w:szCs w:val="24"/>
          <w:lang w:eastAsia="en-US"/>
        </w:rPr>
        <w:t>, der er indgået</w:t>
      </w:r>
      <w:r w:rsidR="008913ED" w:rsidRPr="008913ED">
        <w:rPr>
          <w:szCs w:val="24"/>
          <w:lang w:eastAsia="en-US"/>
        </w:rPr>
        <w:t xml:space="preserve"> under den nuværende ramme, bør </w:t>
      </w:r>
      <w:r w:rsidR="008913ED" w:rsidRPr="008913ED">
        <w:rPr>
          <w:strike/>
          <w:szCs w:val="24"/>
          <w:lang w:eastAsia="en-US"/>
        </w:rPr>
        <w:t>have mulighed for fortsat at ansøge i en overgangsperiode under den nye ordning</w:t>
      </w:r>
      <w:r w:rsidR="008913ED" w:rsidRPr="008913ED">
        <w:rPr>
          <w:b/>
          <w:i/>
          <w:szCs w:val="24"/>
          <w:lang w:eastAsia="en-US"/>
        </w:rPr>
        <w:t>kunne fortsætte indtil deres kontrakts udløb</w:t>
      </w:r>
      <w:r w:rsidR="008913ED" w:rsidRPr="008913ED">
        <w:rPr>
          <w:szCs w:val="24"/>
          <w:lang w:eastAsia="en-US"/>
        </w:rPr>
        <w:t>.</w:t>
      </w:r>
      <w:r w:rsidR="008913ED" w:rsidRPr="008913ED">
        <w:rPr>
          <w:b/>
          <w:szCs w:val="24"/>
          <w:lang w:eastAsia="en-US"/>
        </w:rPr>
        <w:t xml:space="preserve"> [Ændring 28]</w:t>
      </w:r>
    </w:p>
    <w:p w14:paraId="23EA6089" w14:textId="77777777" w:rsidR="0005686F" w:rsidRDefault="0005686F">
      <w:pPr>
        <w:widowControl/>
        <w:rPr>
          <w:szCs w:val="24"/>
          <w:lang w:eastAsia="en-US"/>
        </w:rPr>
      </w:pPr>
      <w:r>
        <w:rPr>
          <w:szCs w:val="24"/>
          <w:lang w:eastAsia="en-US"/>
        </w:rPr>
        <w:br w:type="page"/>
      </w:r>
    </w:p>
    <w:p w14:paraId="36728A59" w14:textId="722D1BEC" w:rsidR="008913ED" w:rsidRPr="008913ED" w:rsidRDefault="00393501" w:rsidP="008913ED">
      <w:pPr>
        <w:spacing w:before="120" w:after="120" w:line="360" w:lineRule="auto"/>
        <w:ind w:left="850" w:hanging="850"/>
        <w:rPr>
          <w:b/>
          <w:szCs w:val="24"/>
          <w:lang w:eastAsia="en-US"/>
        </w:rPr>
      </w:pPr>
      <w:r>
        <w:rPr>
          <w:szCs w:val="24"/>
          <w:lang w:eastAsia="en-US"/>
        </w:rPr>
        <w:lastRenderedPageBreak/>
        <w:t>(</w:t>
      </w:r>
      <w:r w:rsidR="008913ED" w:rsidRPr="008913ED">
        <w:rPr>
          <w:szCs w:val="24"/>
          <w:lang w:eastAsia="en-US"/>
        </w:rPr>
        <w:t>31)</w:t>
      </w:r>
      <w:r w:rsidR="008913ED" w:rsidRPr="008913ED">
        <w:rPr>
          <w:szCs w:val="24"/>
          <w:lang w:eastAsia="en-US"/>
        </w:rPr>
        <w:tab/>
        <w:t>I henhold til den nye ramme bør de forberedende skridt til en køreplan påbegyndes med offentliggørelsen af en kapacitetsstrategi fem år før en bestemt køreplan træder i kraft. Med henblik på en hurtig anvendelse af den nye lovgivningsmæssige ramme og under hensyntagen til det forberedende arbejde, der allerede er iværksat i sektoren, kan aktivitetsplanen for udarbejdelse af de første to køreplaner afkortes til 38 måneder ved at afkorte kapacitetsstrategifasen. Den første køreplan under den nye lovgivningsmæssige ramme bør derfor være den køreplan, der træder i kraft den [9. december 2029]. Alle interessenter bør straks påbegynde de nødvendige forberedelser med henblik på at overholde den nye ramme</w:t>
      </w:r>
      <w:r w:rsidR="008913ED" w:rsidRPr="008913ED">
        <w:rPr>
          <w:b/>
          <w:i/>
          <w:szCs w:val="24"/>
          <w:lang w:eastAsia="en-US"/>
        </w:rPr>
        <w:t>. En tidligere ansøgningsdato kan overvejes for medlemsstater, der er i stand til at bevise, at de har gennemført alle de nødvendige foranstaltninger inden forordningens vedtagelsesdato</w:t>
      </w:r>
      <w:r w:rsidR="008913ED" w:rsidRPr="008913ED">
        <w:rPr>
          <w:szCs w:val="24"/>
          <w:lang w:eastAsia="en-US"/>
        </w:rPr>
        <w:t xml:space="preserve"> —</w:t>
      </w:r>
      <w:r w:rsidR="008913ED" w:rsidRPr="008913ED">
        <w:rPr>
          <w:b/>
          <w:szCs w:val="24"/>
          <w:lang w:eastAsia="en-US"/>
        </w:rPr>
        <w:t xml:space="preserve"> [Ændring 29]</w:t>
      </w:r>
    </w:p>
    <w:p w14:paraId="63324AAD" w14:textId="77777777" w:rsidR="008913ED" w:rsidRPr="008913ED" w:rsidRDefault="008913ED" w:rsidP="008913ED">
      <w:pPr>
        <w:keepNext/>
        <w:widowControl/>
        <w:spacing w:before="120" w:after="120" w:line="360" w:lineRule="auto"/>
        <w:rPr>
          <w:szCs w:val="24"/>
          <w:lang w:eastAsia="en-US"/>
        </w:rPr>
      </w:pPr>
      <w:r w:rsidRPr="008913ED">
        <w:rPr>
          <w:szCs w:val="24"/>
          <w:lang w:eastAsia="en-US"/>
        </w:rPr>
        <w:t>VEDTAGET DENNE FORORDNING:</w:t>
      </w:r>
    </w:p>
    <w:p w14:paraId="4190A8E5" w14:textId="77777777" w:rsidR="0005686F" w:rsidRDefault="0005686F">
      <w:pPr>
        <w:widowControl/>
        <w:rPr>
          <w:szCs w:val="24"/>
          <w:lang w:eastAsia="en-US"/>
        </w:rPr>
      </w:pPr>
      <w:r>
        <w:rPr>
          <w:szCs w:val="24"/>
          <w:lang w:eastAsia="en-US"/>
        </w:rPr>
        <w:br w:type="page"/>
      </w:r>
    </w:p>
    <w:p w14:paraId="1B67C097" w14:textId="71862043" w:rsidR="008913ED" w:rsidRPr="008913ED" w:rsidRDefault="008913ED" w:rsidP="008913ED">
      <w:pPr>
        <w:spacing w:before="120" w:after="120" w:line="360" w:lineRule="auto"/>
        <w:jc w:val="center"/>
        <w:rPr>
          <w:szCs w:val="24"/>
          <w:lang w:eastAsia="en-US"/>
        </w:rPr>
      </w:pPr>
      <w:r w:rsidRPr="008913ED">
        <w:rPr>
          <w:szCs w:val="24"/>
          <w:lang w:eastAsia="en-US"/>
        </w:rPr>
        <w:lastRenderedPageBreak/>
        <w:t xml:space="preserve">KAPITEL I </w:t>
      </w:r>
      <w:r w:rsidRPr="008913ED">
        <w:rPr>
          <w:szCs w:val="24"/>
          <w:lang w:eastAsia="en-US"/>
        </w:rPr>
        <w:br/>
        <w:t>ALMINDELIGE BESTEMMELSER</w:t>
      </w:r>
    </w:p>
    <w:p w14:paraId="7654305A"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1</w:t>
      </w:r>
      <w:r w:rsidRPr="008913ED">
        <w:rPr>
          <w:szCs w:val="24"/>
          <w:lang w:eastAsia="en-US"/>
        </w:rPr>
        <w:br/>
        <w:t>Genstand og anvendelsesområde</w:t>
      </w:r>
    </w:p>
    <w:p w14:paraId="16CFE23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 denne forordning fastsættes de principper, regler og procedurer, der gælder for forvaltning af jernbaneinfrastrukturkapacitet og koordinering med servicefaciliteter, trafikstyring, krisestyring og præstationsstyring for indenlandsk og international jernbanetransport. Den fastsætter også regler om et europæisk netværk for samordning mellem infrastrukturforvaltere og med andre relevante interessenter og om tilsyn med kapacitetsforvaltning og trafikstyring.</w:t>
      </w:r>
    </w:p>
    <w:p w14:paraId="4024F7B8"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1a.</w:t>
      </w:r>
      <w:r w:rsidRPr="008913ED">
        <w:rPr>
          <w:szCs w:val="24"/>
          <w:lang w:eastAsia="en-US"/>
        </w:rPr>
        <w:tab/>
      </w:r>
      <w:r w:rsidRPr="008913ED">
        <w:rPr>
          <w:b/>
          <w:i/>
          <w:szCs w:val="24"/>
          <w:lang w:eastAsia="en-US"/>
        </w:rPr>
        <w:t>Denne forordning fastsætter også regler og procedurer for gennemførelsen af et integreret digitalt europæisk jernbanetrafikstyringssystem.</w:t>
      </w:r>
      <w:r w:rsidRPr="008913ED">
        <w:rPr>
          <w:b/>
          <w:szCs w:val="24"/>
          <w:lang w:eastAsia="en-US"/>
        </w:rPr>
        <w:t xml:space="preserve"> [Ændring 30]</w:t>
      </w:r>
    </w:p>
    <w:p w14:paraId="65403518"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Denne forordning finder anvendelse på</w:t>
      </w:r>
      <w:r w:rsidRPr="008913ED">
        <w:rPr>
          <w:b/>
          <w:i/>
          <w:szCs w:val="24"/>
          <w:lang w:eastAsia="en-US"/>
        </w:rPr>
        <w:t xml:space="preserve"> Unionens jernbanesystem, som defineret i artikel 2, nr. 1), i direktiv (EU) 2016/797, og den</w:t>
      </w:r>
      <w:r w:rsidRPr="008913ED">
        <w:rPr>
          <w:szCs w:val="24"/>
          <w:lang w:eastAsia="en-US"/>
        </w:rPr>
        <w:t xml:space="preserve"> infrastruktur, der anvendes til indenlandsk og international jernbanetransport, jf. artikel 1, stk. 2, i direktiv 2012/34/EU, herunder servicefaciliteter som defineret i artikel 3, nr. 11, i nævnte direktiv.</w:t>
      </w:r>
      <w:r w:rsidRPr="008913ED">
        <w:rPr>
          <w:b/>
          <w:szCs w:val="24"/>
          <w:lang w:eastAsia="en-US"/>
        </w:rPr>
        <w:t xml:space="preserve"> [Ændring 31]</w:t>
      </w:r>
    </w:p>
    <w:p w14:paraId="18FDD94A" w14:textId="77777777" w:rsidR="0005686F" w:rsidRDefault="0005686F">
      <w:pPr>
        <w:widowControl/>
        <w:rPr>
          <w:szCs w:val="24"/>
          <w:lang w:eastAsia="en-US"/>
        </w:rPr>
      </w:pPr>
      <w:r>
        <w:rPr>
          <w:szCs w:val="24"/>
          <w:lang w:eastAsia="en-US"/>
        </w:rPr>
        <w:br w:type="page"/>
      </w:r>
    </w:p>
    <w:p w14:paraId="6B41BF18" w14:textId="65AC2B16"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Kapitel II-V i denne forordning finder ikke anvendelse på jernbaneinfrastruktur eller jernbanetjenester, der er undtaget fra anvendelsen af kapitel IV i direktiv 2012/34/EU i overensstemmelse med artikel 2, stk. 3, 3a, 4, 8, 8a</w:t>
      </w:r>
      <w:r w:rsidRPr="008913ED">
        <w:rPr>
          <w:b/>
          <w:i/>
          <w:szCs w:val="24"/>
          <w:lang w:eastAsia="en-US"/>
        </w:rPr>
        <w:t>, 9</w:t>
      </w:r>
      <w:r w:rsidRPr="008913ED">
        <w:rPr>
          <w:szCs w:val="24"/>
          <w:lang w:eastAsia="en-US"/>
        </w:rPr>
        <w:t xml:space="preserve"> og 10, i nævnte direktiv i de relevante undtagelsers gyldighedsperiode.</w:t>
      </w:r>
      <w:r w:rsidRPr="008913ED">
        <w:rPr>
          <w:b/>
          <w:szCs w:val="24"/>
          <w:lang w:eastAsia="en-US"/>
        </w:rPr>
        <w:t xml:space="preserve"> [Ændring 32]</w:t>
      </w:r>
    </w:p>
    <w:p w14:paraId="544CF2B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Denne forordning gælder ikke for Cypern og Malta, så længe der ikke er etableret noget banenet på deres område.</w:t>
      </w:r>
    </w:p>
    <w:p w14:paraId="2707CE51"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w:t>
      </w:r>
      <w:r w:rsidRPr="008913ED">
        <w:rPr>
          <w:szCs w:val="24"/>
          <w:lang w:eastAsia="en-US"/>
        </w:rPr>
        <w:br/>
        <w:t>Generelle ansvarsområder og principper</w:t>
      </w:r>
    </w:p>
    <w:p w14:paraId="7182B49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er ansvarlige for forvaltning af jernbaneinfrastrukturkapacitet og jernbanetrafikstyring, jf. dog artikel 7c i direktiv 2012/34/EU.</w:t>
      </w:r>
    </w:p>
    <w:p w14:paraId="3E57FE45" w14:textId="77777777" w:rsidR="008913ED" w:rsidRPr="008913ED" w:rsidRDefault="008913ED" w:rsidP="008913ED">
      <w:pPr>
        <w:spacing w:before="120" w:after="120" w:line="360" w:lineRule="auto"/>
        <w:ind w:left="850"/>
        <w:rPr>
          <w:szCs w:val="24"/>
          <w:lang w:eastAsia="en-US"/>
        </w:rPr>
      </w:pPr>
      <w:r w:rsidRPr="008913ED">
        <w:rPr>
          <w:szCs w:val="24"/>
          <w:lang w:eastAsia="en-US"/>
        </w:rPr>
        <w:t>Henvisninger til en infrastrukturforvalter i alle bestemmelser vedrørende tildeling af jernbaneinfrastrukturkapacitet i denne forordning gælder som henvisninger til det tildelingsorgan, der er omhandlet i artikel 7a, stk. 3, i direktiv 2012/34/EU.</w:t>
      </w:r>
    </w:p>
    <w:p w14:paraId="6C674543" w14:textId="77777777" w:rsidR="0005686F" w:rsidRDefault="0005686F">
      <w:pPr>
        <w:widowControl/>
        <w:rPr>
          <w:szCs w:val="24"/>
          <w:lang w:eastAsia="en-US"/>
        </w:rPr>
      </w:pPr>
      <w:r>
        <w:rPr>
          <w:szCs w:val="24"/>
          <w:lang w:eastAsia="en-US"/>
        </w:rPr>
        <w:br w:type="page"/>
      </w:r>
    </w:p>
    <w:p w14:paraId="50C2740F" w14:textId="5D85ADBE"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Med henblik på at lette tilvejebringelsen af effektiv jernbaneinfrastrukturkapacitet og trafikstyring i Unionen samarbejder infrastrukturforvalterne inden for det europæiske netværk af infrastrukturforvaltere ("ENIM"), der er omhandlet i artikel 7f i direktiv 2012/34/EU, og i overensstemmelse med bestemmelserne i denne forordning om samarbejde.</w:t>
      </w:r>
    </w:p>
    <w:p w14:paraId="4EEB38D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Ved opfyldelsen af deres forpligtelser i henhold til stk. 1 og 2 skal infrastrukturforvalterne:</w:t>
      </w:r>
    </w:p>
    <w:p w14:paraId="30F17930"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a)</w:t>
      </w:r>
      <w:r w:rsidRPr="008913ED">
        <w:rPr>
          <w:szCs w:val="24"/>
          <w:lang w:eastAsia="en-US"/>
        </w:rPr>
        <w:tab/>
        <w:t>udnytte den disponible infrastrukturkapacitet så effektivt som muligt som krævet i artikel 26 i direktiv 2012/34/EU</w:t>
      </w:r>
      <w:r w:rsidRPr="008913ED">
        <w:rPr>
          <w:b/>
          <w:i/>
          <w:szCs w:val="24"/>
          <w:lang w:eastAsia="en-US"/>
        </w:rPr>
        <w:t xml:space="preserve"> med henblik på at øge jernbanetransportens andel, både i passager- og godstransport, i overensstemmelse med Unionens klimamål</w:t>
      </w:r>
      <w:r w:rsidRPr="008913ED">
        <w:rPr>
          <w:b/>
          <w:szCs w:val="24"/>
          <w:lang w:eastAsia="en-US"/>
        </w:rPr>
        <w:t xml:space="preserve"> [Ændring 33]</w:t>
      </w:r>
    </w:p>
    <w:p w14:paraId="3AC2E66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maksimere den samfundsmæssige værdi af jernbanetransport på jernbaneinfrastruktur i social, økonomisk og miljømæssig henseende</w:t>
      </w:r>
    </w:p>
    <w:p w14:paraId="620EC215"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sikre ikkediskriminerende forvaltning af og gennemsigtig adgang til infrastrukturkapacitet, herunder under arbejder, for at støtte fair konkurrence</w:t>
      </w:r>
    </w:p>
    <w:p w14:paraId="30595F68" w14:textId="77777777" w:rsidR="0005686F" w:rsidRDefault="0005686F">
      <w:pPr>
        <w:widowControl/>
        <w:rPr>
          <w:szCs w:val="24"/>
          <w:lang w:eastAsia="en-US"/>
        </w:rPr>
      </w:pPr>
      <w:r>
        <w:rPr>
          <w:szCs w:val="24"/>
          <w:lang w:eastAsia="en-US"/>
        </w:rPr>
        <w:br w:type="page"/>
      </w:r>
    </w:p>
    <w:p w14:paraId="6B387B57" w14:textId="50D9031D" w:rsidR="008913ED" w:rsidRPr="008913ED" w:rsidRDefault="008913ED" w:rsidP="008913ED">
      <w:pPr>
        <w:spacing w:before="120" w:after="120" w:line="360" w:lineRule="auto"/>
        <w:ind w:left="1416" w:hanging="566"/>
        <w:rPr>
          <w:b/>
          <w:szCs w:val="24"/>
          <w:lang w:eastAsia="en-US"/>
        </w:rPr>
      </w:pPr>
      <w:r w:rsidRPr="008913ED">
        <w:rPr>
          <w:szCs w:val="24"/>
          <w:lang w:eastAsia="en-US"/>
        </w:rPr>
        <w:lastRenderedPageBreak/>
        <w:t>d)</w:t>
      </w:r>
      <w:r w:rsidRPr="008913ED">
        <w:rPr>
          <w:szCs w:val="24"/>
          <w:lang w:eastAsia="en-US"/>
        </w:rPr>
        <w:tab/>
        <w:t>muliggøre en gnidningsløs jernbanetrafik</w:t>
      </w:r>
      <w:r w:rsidRPr="008913ED">
        <w:rPr>
          <w:b/>
          <w:i/>
          <w:szCs w:val="24"/>
          <w:lang w:eastAsia="en-US"/>
        </w:rPr>
        <w:t>, der kører til tiden,</w:t>
      </w:r>
      <w:r w:rsidRPr="008913ED">
        <w:rPr>
          <w:szCs w:val="24"/>
          <w:lang w:eastAsia="en-US"/>
        </w:rPr>
        <w:t xml:space="preserve"> på mere end ét net</w:t>
      </w:r>
      <w:r w:rsidRPr="008913ED">
        <w:rPr>
          <w:b/>
          <w:i/>
          <w:szCs w:val="24"/>
          <w:lang w:eastAsia="en-US"/>
        </w:rPr>
        <w:t xml:space="preserve"> og på tværs af grænser ved at bestræbe sig på at fjerne flaskehalse og driftsmæssige hindringer</w:t>
      </w:r>
      <w:r w:rsidRPr="008913ED">
        <w:rPr>
          <w:b/>
          <w:szCs w:val="24"/>
          <w:lang w:eastAsia="en-US"/>
        </w:rPr>
        <w:t xml:space="preserve"> [Ændring 34]</w:t>
      </w:r>
    </w:p>
    <w:p w14:paraId="70E09F0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sikre gennemsigtighed med hensyn til tilstanden og tilgængeligheden af jernbaneinfrastrukturkapacitet</w:t>
      </w:r>
    </w:p>
    <w:p w14:paraId="7441DB6E"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f)</w:t>
      </w:r>
      <w:r w:rsidRPr="008913ED">
        <w:rPr>
          <w:szCs w:val="24"/>
          <w:lang w:eastAsia="en-US"/>
        </w:rPr>
        <w:tab/>
        <w:t>vurdere og forbedre jernbaneinfrastrukturens og jernbanetransportens resultater i tæt samarbejde med operatører i jernbanesektoren</w:t>
      </w:r>
      <w:r w:rsidRPr="008913ED">
        <w:rPr>
          <w:b/>
          <w:i/>
          <w:szCs w:val="24"/>
          <w:lang w:eastAsia="en-US"/>
        </w:rPr>
        <w:t>, herunder servicefaciliteter, der er direkte involveret i en jernbanetjeneste</w:t>
      </w:r>
      <w:r w:rsidRPr="008913ED">
        <w:rPr>
          <w:b/>
          <w:szCs w:val="24"/>
          <w:lang w:eastAsia="en-US"/>
        </w:rPr>
        <w:t xml:space="preserve"> [Ændring 35]</w:t>
      </w:r>
    </w:p>
    <w:p w14:paraId="1D8C0FF6"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g)</w:t>
      </w:r>
      <w:r w:rsidRPr="008913ED">
        <w:rPr>
          <w:szCs w:val="24"/>
          <w:lang w:eastAsia="en-US"/>
        </w:rPr>
        <w:tab/>
        <w:t>bidrage til gennemførelsen og udviklingen af det fælles europæiske jernbaneområde</w:t>
      </w:r>
      <w:r w:rsidRPr="008913ED">
        <w:rPr>
          <w:b/>
          <w:i/>
          <w:szCs w:val="24"/>
          <w:lang w:eastAsia="en-US"/>
        </w:rPr>
        <w:t>, navnlig gennem fælles europæiske tekniske og operationelle regler og standarder, krav til teknisk udstyr og certificering af personale</w:t>
      </w:r>
      <w:r w:rsidRPr="008913ED">
        <w:rPr>
          <w:szCs w:val="24"/>
          <w:lang w:eastAsia="en-US"/>
        </w:rPr>
        <w:t>.</w:t>
      </w:r>
      <w:r w:rsidRPr="008913ED">
        <w:rPr>
          <w:b/>
          <w:szCs w:val="24"/>
          <w:lang w:eastAsia="en-US"/>
        </w:rPr>
        <w:t xml:space="preserve"> [Ændring 36]</w:t>
      </w:r>
    </w:p>
    <w:p w14:paraId="7A98A51A" w14:textId="77777777" w:rsidR="0005686F" w:rsidRDefault="0005686F">
      <w:pPr>
        <w:widowControl/>
        <w:rPr>
          <w:szCs w:val="24"/>
          <w:lang w:eastAsia="en-US"/>
        </w:rPr>
      </w:pPr>
      <w:r>
        <w:rPr>
          <w:szCs w:val="24"/>
          <w:lang w:eastAsia="en-US"/>
        </w:rPr>
        <w:br w:type="page"/>
      </w:r>
    </w:p>
    <w:p w14:paraId="214D13BB" w14:textId="6FADD386"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3</w:t>
      </w:r>
      <w:r w:rsidRPr="008913ED">
        <w:rPr>
          <w:szCs w:val="24"/>
          <w:lang w:eastAsia="en-US"/>
        </w:rPr>
        <w:br/>
        <w:t>Infrastrukturforvalterens uvildighed for så vidt angår trafikstyring og kapacitetsforvaltning, herunder vedligeholdelsesplanlægning</w:t>
      </w:r>
    </w:p>
    <w:p w14:paraId="24FAABB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udøver funktionerne forbundet med trafikstyring og kapacitetsforvaltning, herunder vedligeholdelsesplanlægning, på en gennemsigtig og ikkediskriminerende måde, og de personer, der er ansvarlige for at træffe beslutninger vedrørende disse funktioner, må ikke påvirkes af eventuelle interessekonflikter.</w:t>
      </w:r>
    </w:p>
    <w:p w14:paraId="3F9ABA4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For så vidt angår trafikstyring sikrer infrastrukturforvalterne, at jernbanevirksomheder i tilfælde af afbrydelser, der vedrører dem, har fuld og rettidig adgang til relevante oplysninger. Hvis infrastrukturforvalteren giver yderligere adgang til trafikstyringen, skal det ske på en gennemsigtig og ikkediskriminerende måde for de berørte jernbanevirksomheder.</w:t>
      </w:r>
    </w:p>
    <w:p w14:paraId="2DE979C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For så vidt angår den langsigtede planlægning af omfattende vedligeholdelse og/eller fornyelse af jernbaneinfrastrukturen hører infrastrukturforvalteren ansøgerne som defineret i artikel 3, nr. 19), i direktiv 2012/34/EU i overensstemmelse med denne forordning og tager i videst muligt omfang hensyn til de udtrykte bekymringer.</w:t>
      </w:r>
    </w:p>
    <w:p w14:paraId="7E790C80" w14:textId="77777777" w:rsidR="0005686F" w:rsidRDefault="0005686F">
      <w:pPr>
        <w:widowControl/>
        <w:rPr>
          <w:szCs w:val="24"/>
          <w:lang w:eastAsia="en-US"/>
        </w:rPr>
      </w:pPr>
      <w:r>
        <w:rPr>
          <w:szCs w:val="24"/>
          <w:lang w:eastAsia="en-US"/>
        </w:rPr>
        <w:br w:type="page"/>
      </w:r>
    </w:p>
    <w:p w14:paraId="70F2B444" w14:textId="4D02C62A"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4</w:t>
      </w:r>
      <w:r w:rsidRPr="008913ED">
        <w:rPr>
          <w:szCs w:val="24"/>
          <w:lang w:eastAsia="en-US"/>
        </w:rPr>
        <w:br/>
        <w:t>Definitioner</w:t>
      </w:r>
    </w:p>
    <w:p w14:paraId="29FA8C24" w14:textId="77777777" w:rsidR="008913ED" w:rsidRPr="008913ED" w:rsidRDefault="008913ED" w:rsidP="008913ED">
      <w:pPr>
        <w:spacing w:before="120" w:after="120" w:line="360" w:lineRule="auto"/>
        <w:rPr>
          <w:szCs w:val="24"/>
          <w:lang w:eastAsia="en-US"/>
        </w:rPr>
      </w:pPr>
      <w:r w:rsidRPr="008913ED">
        <w:rPr>
          <w:szCs w:val="24"/>
          <w:lang w:eastAsia="en-US"/>
        </w:rPr>
        <w:t>I denne forordning anvendes definitionerne i artikel 3 i direktiv 2012/34/EU.</w:t>
      </w:r>
    </w:p>
    <w:p w14:paraId="0BDF093D" w14:textId="77777777" w:rsidR="008913ED" w:rsidRPr="008913ED" w:rsidRDefault="008913ED" w:rsidP="008913ED">
      <w:pPr>
        <w:spacing w:before="120" w:after="120" w:line="360" w:lineRule="auto"/>
        <w:rPr>
          <w:szCs w:val="24"/>
          <w:lang w:eastAsia="en-US"/>
        </w:rPr>
      </w:pPr>
      <w:r w:rsidRPr="008913ED">
        <w:rPr>
          <w:szCs w:val="24"/>
          <w:lang w:eastAsia="en-US"/>
        </w:rPr>
        <w:t>Derudover forstås der ved:</w:t>
      </w:r>
    </w:p>
    <w:p w14:paraId="06721991"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"force majeure": enhver uforudseelig</w:t>
      </w:r>
      <w:r w:rsidRPr="008913ED">
        <w:rPr>
          <w:b/>
          <w:i/>
          <w:szCs w:val="24"/>
          <w:lang w:eastAsia="en-US"/>
        </w:rPr>
        <w:t>, uundgåelig</w:t>
      </w:r>
      <w:r w:rsidRPr="008913ED">
        <w:rPr>
          <w:szCs w:val="24"/>
          <w:lang w:eastAsia="en-US"/>
        </w:rPr>
        <w:t xml:space="preserve"> eller </w:t>
      </w:r>
      <w:r w:rsidRPr="008913ED">
        <w:rPr>
          <w:strike/>
          <w:szCs w:val="24"/>
          <w:lang w:eastAsia="en-US"/>
        </w:rPr>
        <w:t>usædvanlig</w:t>
      </w:r>
      <w:r w:rsidRPr="008913ED">
        <w:rPr>
          <w:b/>
          <w:i/>
          <w:szCs w:val="24"/>
          <w:lang w:eastAsia="en-US"/>
        </w:rPr>
        <w:t>ekstraordinær</w:t>
      </w:r>
      <w:r w:rsidRPr="008913ED">
        <w:rPr>
          <w:szCs w:val="24"/>
          <w:lang w:eastAsia="en-US"/>
        </w:rPr>
        <w:t xml:space="preserve"> begivenhed eller situation, som infrastrukturforvalteren</w:t>
      </w:r>
      <w:r w:rsidRPr="008913ED">
        <w:rPr>
          <w:strike/>
          <w:szCs w:val="24"/>
          <w:lang w:eastAsia="en-US"/>
        </w:rPr>
        <w:t xml:space="preserve"> eller</w:t>
      </w:r>
      <w:r w:rsidRPr="008913ED">
        <w:rPr>
          <w:b/>
          <w:i/>
          <w:szCs w:val="24"/>
          <w:lang w:eastAsia="en-US"/>
        </w:rPr>
        <w:t>,</w:t>
      </w:r>
      <w:r w:rsidRPr="008913ED">
        <w:rPr>
          <w:szCs w:val="24"/>
          <w:lang w:eastAsia="en-US"/>
        </w:rPr>
        <w:t xml:space="preserve"> jernbanevirksomheden</w:t>
      </w:r>
      <w:r w:rsidRPr="008913ED">
        <w:rPr>
          <w:b/>
          <w:i/>
          <w:szCs w:val="24"/>
          <w:lang w:eastAsia="en-US"/>
        </w:rPr>
        <w:t xml:space="preserve"> eller ansøgeren</w:t>
      </w:r>
      <w:r w:rsidRPr="008913ED">
        <w:rPr>
          <w:szCs w:val="24"/>
          <w:lang w:eastAsia="en-US"/>
        </w:rPr>
        <w:t xml:space="preserve"> ikke har kontrol over, og som ikke kan</w:t>
      </w:r>
      <w:r w:rsidRPr="008913ED">
        <w:rPr>
          <w:strike/>
          <w:szCs w:val="24"/>
          <w:lang w:eastAsia="en-US"/>
        </w:rPr>
        <w:t xml:space="preserve"> undgås eller</w:t>
      </w:r>
      <w:r w:rsidRPr="008913ED">
        <w:rPr>
          <w:szCs w:val="24"/>
          <w:lang w:eastAsia="en-US"/>
        </w:rPr>
        <w:t xml:space="preserve"> afhjælpes med rimelig forudseenhed og omhu,</w:t>
      </w:r>
      <w:r w:rsidRPr="008913ED">
        <w:rPr>
          <w:b/>
          <w:i/>
          <w:szCs w:val="24"/>
          <w:lang w:eastAsia="en-US"/>
        </w:rPr>
        <w:t xml:space="preserve"> og</w:t>
      </w:r>
      <w:r w:rsidRPr="008913ED">
        <w:rPr>
          <w:szCs w:val="24"/>
          <w:lang w:eastAsia="en-US"/>
        </w:rPr>
        <w:t xml:space="preserve"> ikke kan løses ved hjælp af foranstaltninger, der er rimelige og mulige </w:t>
      </w:r>
      <w:r w:rsidRPr="008913ED">
        <w:rPr>
          <w:strike/>
          <w:szCs w:val="24"/>
          <w:lang w:eastAsia="en-US"/>
        </w:rPr>
        <w:t xml:space="preserve">for dem set </w:t>
      </w:r>
      <w:r w:rsidRPr="008913ED">
        <w:rPr>
          <w:szCs w:val="24"/>
          <w:lang w:eastAsia="en-US"/>
        </w:rPr>
        <w:t xml:space="preserve">ud fra et teknisk eller økonomisk synspunkt, </w:t>
      </w:r>
      <w:r w:rsidRPr="008913ED">
        <w:rPr>
          <w:strike/>
          <w:szCs w:val="24"/>
          <w:lang w:eastAsia="en-US"/>
        </w:rPr>
        <w:t>som rent</w:t>
      </w:r>
      <w:r w:rsidRPr="008913ED">
        <w:rPr>
          <w:b/>
          <w:i/>
          <w:szCs w:val="24"/>
          <w:lang w:eastAsia="en-US"/>
        </w:rPr>
        <w:t>herunder omlægning af rejsen på tværs af grænserne; denne begivenhed skal</w:t>
      </w:r>
      <w:r w:rsidRPr="008913ED">
        <w:rPr>
          <w:szCs w:val="24"/>
          <w:lang w:eastAsia="en-US"/>
        </w:rPr>
        <w:t xml:space="preserve"> faktisk </w:t>
      </w:r>
      <w:r w:rsidRPr="008913ED">
        <w:rPr>
          <w:strike/>
          <w:szCs w:val="24"/>
          <w:lang w:eastAsia="en-US"/>
        </w:rPr>
        <w:t>er opstået og</w:t>
      </w:r>
      <w:r w:rsidRPr="008913ED">
        <w:rPr>
          <w:b/>
          <w:i/>
          <w:szCs w:val="24"/>
          <w:lang w:eastAsia="en-US"/>
        </w:rPr>
        <w:t>have fundet sted og være</w:t>
      </w:r>
      <w:r w:rsidRPr="008913ED">
        <w:rPr>
          <w:szCs w:val="24"/>
          <w:lang w:eastAsia="en-US"/>
        </w:rPr>
        <w:t xml:space="preserve"> objektivt kontrollerbar</w:t>
      </w:r>
      <w:r w:rsidRPr="008913ED">
        <w:rPr>
          <w:b/>
          <w:i/>
          <w:szCs w:val="24"/>
          <w:lang w:eastAsia="en-US"/>
        </w:rPr>
        <w:t xml:space="preserve"> , og gøre</w:t>
      </w:r>
      <w:r w:rsidRPr="008913ED">
        <w:rPr>
          <w:strike/>
          <w:szCs w:val="24"/>
          <w:lang w:eastAsia="en-US"/>
        </w:rPr>
        <w:t>, og som gør</w:t>
      </w:r>
      <w:r w:rsidRPr="008913ED">
        <w:rPr>
          <w:szCs w:val="24"/>
          <w:lang w:eastAsia="en-US"/>
        </w:rPr>
        <w:t xml:space="preserve"> det umuligt for infrastrukturforvalteren midlertidigt eller permanent at opfylde sine forpligtelser i henhold til denne forordning eller direktiv 2012/34/EU eller for jernbanevirksomheden at opfylde sine kontraktlige forpligtelser over for en eller flere infrastrukturforvaltere</w:t>
      </w:r>
      <w:r w:rsidRPr="008913ED">
        <w:rPr>
          <w:b/>
          <w:szCs w:val="24"/>
          <w:lang w:eastAsia="en-US"/>
        </w:rPr>
        <w:t xml:space="preserve"> [Ændring 37]</w:t>
      </w:r>
    </w:p>
    <w:p w14:paraId="5A709A46" w14:textId="77777777" w:rsidR="0005686F" w:rsidRDefault="0005686F">
      <w:pPr>
        <w:widowControl/>
        <w:rPr>
          <w:szCs w:val="24"/>
          <w:lang w:eastAsia="en-US"/>
        </w:rPr>
      </w:pPr>
      <w:r>
        <w:rPr>
          <w:szCs w:val="24"/>
          <w:lang w:eastAsia="en-US"/>
        </w:rPr>
        <w:br w:type="page"/>
      </w:r>
    </w:p>
    <w:p w14:paraId="624B9030" w14:textId="04E18323"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"interoperabilitet": interoperabilitet som defineret i artikel 2, nr. 2), i Europa-Parlamentets og Rådets direktiv (EU) 2016/797</w:t>
      </w:r>
      <w:r w:rsidRPr="008913ED">
        <w:rPr>
          <w:szCs w:val="24"/>
          <w:vertAlign w:val="superscript"/>
          <w:lang w:val="en-GB" w:eastAsia="en-US"/>
        </w:rPr>
        <w:footnoteReference w:id="15"/>
      </w:r>
    </w:p>
    <w:p w14:paraId="07E76A57"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2a)</w:t>
      </w:r>
      <w:r w:rsidRPr="008913ED">
        <w:rPr>
          <w:szCs w:val="24"/>
          <w:lang w:eastAsia="en-US"/>
        </w:rPr>
        <w:tab/>
      </w:r>
      <w:r w:rsidRPr="008913ED">
        <w:rPr>
          <w:b/>
          <w:i/>
          <w:szCs w:val="24"/>
          <w:lang w:eastAsia="en-US"/>
        </w:rPr>
        <w:t>"ansøger": en jernbanevirksomhed eller en international sammenslutning af jernbanevirksomheder eller andre fysiske eller juridiske personer som f.eks. kompetente myndigheder som defineret i artikel 2, litra b), i Europa-Parlaments og Rådets forordning (EØF) nr. 1370/2007</w:t>
      </w:r>
      <w:r w:rsidRPr="008913ED">
        <w:rPr>
          <w:szCs w:val="24"/>
          <w:vertAlign w:val="superscript"/>
          <w:lang w:val="en-GB" w:eastAsia="en-US"/>
        </w:rPr>
        <w:footnoteReference w:id="16"/>
      </w:r>
      <w:r w:rsidRPr="008913ED">
        <w:rPr>
          <w:b/>
          <w:i/>
          <w:szCs w:val="24"/>
          <w:lang w:eastAsia="en-US"/>
        </w:rPr>
        <w:t xml:space="preserve"> og speditører samt operatører inden for kombineret transport, som har en almennyttig eller forretningsmæssig interesse i at købe infrastrukturkapacitet</w:t>
      </w:r>
      <w:r w:rsidRPr="008913ED">
        <w:rPr>
          <w:b/>
          <w:szCs w:val="24"/>
          <w:lang w:eastAsia="en-US"/>
        </w:rPr>
        <w:t xml:space="preserve"> [Ændring 38]</w:t>
      </w:r>
    </w:p>
    <w:p w14:paraId="53E74A78"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 xml:space="preserve">"operationel interessent": en ansøger, en </w:t>
      </w:r>
      <w:r w:rsidRPr="008913ED">
        <w:rPr>
          <w:strike/>
          <w:szCs w:val="24"/>
          <w:lang w:eastAsia="en-US"/>
        </w:rPr>
        <w:t>jernbanevirksomhed</w:t>
      </w:r>
      <w:r w:rsidRPr="008913ED">
        <w:rPr>
          <w:b/>
          <w:i/>
          <w:szCs w:val="24"/>
          <w:lang w:eastAsia="en-US"/>
        </w:rPr>
        <w:t>sammenslutning af ansøgere</w:t>
      </w:r>
      <w:r w:rsidRPr="008913ED">
        <w:rPr>
          <w:szCs w:val="24"/>
          <w:lang w:eastAsia="en-US"/>
        </w:rPr>
        <w:t>, en infrastrukturforvalter, en operatør af jernbaneservicefaciliteter, en udbyder af jernbanerelaterede tjenesteydelser og enhver anden enhed, der er direkte involveret i driften af en jernbanetransporttjeneste</w:t>
      </w:r>
      <w:r w:rsidRPr="008913ED">
        <w:rPr>
          <w:b/>
          <w:szCs w:val="24"/>
          <w:lang w:eastAsia="en-US"/>
        </w:rPr>
        <w:t xml:space="preserve"> [Ændring 39]</w:t>
      </w:r>
    </w:p>
    <w:p w14:paraId="6B20C6A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"europæisk koordinator": den koordinator, der er omhandlet i artikel 51 i forordning [den nye TEN-T-forordning]</w:t>
      </w:r>
    </w:p>
    <w:p w14:paraId="74BEC06A" w14:textId="77777777" w:rsidR="0005686F" w:rsidRDefault="0005686F">
      <w:pPr>
        <w:widowControl/>
        <w:rPr>
          <w:szCs w:val="24"/>
          <w:lang w:eastAsia="en-US"/>
        </w:rPr>
      </w:pPr>
      <w:r>
        <w:rPr>
          <w:szCs w:val="24"/>
          <w:lang w:eastAsia="en-US"/>
        </w:rPr>
        <w:br w:type="page"/>
      </w:r>
    </w:p>
    <w:p w14:paraId="637174BE" w14:textId="2CDB50FD"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"rammeaftale": en juridisk bindende generel offentlig- eller privatretlig aftale, der fastsætter en ansøgers og infrastrukturforvalterens rettigheder og forpligtelser i forbindelse med den infrastrukturkapacitet, der skal tildeles, og de afgifter, der skal opkræves, i et tidsrum, der strækker sig længere end en køreplansperiode</w:t>
      </w:r>
    </w:p>
    <w:p w14:paraId="12987DE9"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"samtidig kapacitetstildeling": en proces, hvorved infrastrukturforvaltere tildeler jernbaneinfrastrukturkapacitet på baggrund af en række ansøgninger om kapacitet modtaget inden en bestemt skæringsdato og gennem samordning af disse ansøgninger sikrer den bedst mulige udnyttelse af infrastrukturen og det tættest mulige match med ansøgningerne</w:t>
      </w:r>
    </w:p>
    <w:p w14:paraId="7F2301C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7)</w:t>
      </w:r>
      <w:r w:rsidRPr="008913ED">
        <w:rPr>
          <w:szCs w:val="24"/>
          <w:lang w:eastAsia="en-US"/>
        </w:rPr>
        <w:tab/>
        <w:t>"først til mølle-princippet": et princip for tildeling af jernbaneinfrastrukturkapacitet, hvor kapacitetsansøgningerne prioriteres i kronologisk rækkefølge i tildelingsprocessen</w:t>
      </w:r>
    </w:p>
    <w:p w14:paraId="7D08EB1D"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8)</w:t>
      </w:r>
      <w:r w:rsidRPr="008913ED">
        <w:rPr>
          <w:szCs w:val="24"/>
          <w:lang w:eastAsia="en-US"/>
        </w:rPr>
        <w:tab/>
        <w:t>"kanal": den infrastrukturkapacitet, der er nødvendig for, at et tog kan køre fra et punkt til et andet i en bestemt periode, og som beskrives som en nøjagtig rute med tidsplan for det pågældende tog, herunder afgangs- og bestemmelsessted, tidspunkt og dato for indrejse og tidspunkt og dato for udrejse, herunder eventuelle standsningssteder og dertil knyttede afgangstider</w:t>
      </w:r>
    </w:p>
    <w:p w14:paraId="7B46D6D4" w14:textId="77777777" w:rsidR="0005686F" w:rsidRDefault="0005686F">
      <w:pPr>
        <w:widowControl/>
        <w:rPr>
          <w:szCs w:val="24"/>
          <w:lang w:eastAsia="en-US"/>
        </w:rPr>
      </w:pPr>
      <w:r>
        <w:rPr>
          <w:szCs w:val="24"/>
          <w:lang w:eastAsia="en-US"/>
        </w:rPr>
        <w:br w:type="page"/>
      </w:r>
    </w:p>
    <w:p w14:paraId="5A30A90D" w14:textId="54E89FC9"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9)</w:t>
      </w:r>
      <w:r w:rsidRPr="008913ED">
        <w:rPr>
          <w:szCs w:val="24"/>
          <w:lang w:eastAsia="en-US"/>
        </w:rPr>
        <w:tab/>
        <w:t>"kapacitetsspecifikation": en kapacitetsrettighed med en beskrivelse af de kommercielle og operationelle karakteristika ved den infrastrukturkapacitet, der er relevant for den pågældende ansøger, og som giver infrastrukturforvalteren tilstrækkelige oplysninger til at planlægge specifikke kanaler, der er i overensstemmelse med disse karakteristika</w:t>
      </w:r>
    </w:p>
    <w:p w14:paraId="17D238C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10)</w:t>
      </w:r>
      <w:r w:rsidRPr="008913ED">
        <w:rPr>
          <w:szCs w:val="24"/>
          <w:lang w:eastAsia="en-US"/>
        </w:rPr>
        <w:tab/>
        <w:t>"jernbanedrift på flere net": jernbanegodstransport eller -passagertransport — indenlandsk eller international — på to eller flere net, som forvaltes af forskellige infrastrukturforvaltere. Togstammerne kan kobles sammen og/eller adskilles, og de forskellige sektioner kan have forskelligt afgangs- og bestemmelsessted, når blot alle vognene krydser mindst ét net, der drives af en anden infrastrukturforvalter</w:t>
      </w:r>
    </w:p>
    <w:p w14:paraId="76D8269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11)</w:t>
      </w:r>
      <w:r w:rsidRPr="008913ED">
        <w:rPr>
          <w:szCs w:val="24"/>
          <w:lang w:eastAsia="en-US"/>
        </w:rPr>
        <w:tab/>
        <w:t>"kapacitetsrettighed på flere net": alle de kapacitetsrettigheder, der gør det muligt at levere en jernbanetjeneste på flere net</w:t>
      </w:r>
    </w:p>
    <w:p w14:paraId="5D4C7C7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12)</w:t>
      </w:r>
      <w:r w:rsidRPr="008913ED">
        <w:rPr>
          <w:szCs w:val="24"/>
          <w:lang w:eastAsia="en-US"/>
        </w:rPr>
        <w:tab/>
        <w:t>"opdeling af infrastrukturkapacitet": tildeling af andele af den samlede kapacitet, der er til rådighed på en del af infrastruktur, til forskellige former for jernbanetransport og til kapacitetsrestriktioner som følge af infrastrukturarbejder.</w:t>
      </w:r>
    </w:p>
    <w:p w14:paraId="61386165" w14:textId="77777777" w:rsidR="0005686F" w:rsidRDefault="0005686F">
      <w:pPr>
        <w:widowControl/>
        <w:rPr>
          <w:szCs w:val="24"/>
          <w:lang w:eastAsia="en-US"/>
        </w:rPr>
      </w:pPr>
      <w:r>
        <w:rPr>
          <w:szCs w:val="24"/>
          <w:lang w:eastAsia="en-US"/>
        </w:rPr>
        <w:br w:type="page"/>
      </w:r>
    </w:p>
    <w:p w14:paraId="5A4EC6F4" w14:textId="67AC8A09"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13)</w:t>
      </w:r>
      <w:r w:rsidRPr="008913ED">
        <w:rPr>
          <w:szCs w:val="24"/>
          <w:lang w:eastAsia="en-US"/>
        </w:rPr>
        <w:tab/>
        <w:t>"køreplan": de løbende ajourførte data, der fastlægger alle de af planen omfattede togs og det rullende materiels bevægelser på den relevante infrastruktur, udtrykt ved tildelte kapacitetsrettigheder, i en køreplansperiode</w:t>
      </w:r>
    </w:p>
    <w:p w14:paraId="1B33588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14)</w:t>
      </w:r>
      <w:r w:rsidRPr="008913ED">
        <w:rPr>
          <w:szCs w:val="24"/>
          <w:lang w:eastAsia="en-US"/>
        </w:rPr>
        <w:tab/>
        <w:t>"køreplansperiode": det tidsrum, hvori en bestemt køreplan er gyldig</w:t>
      </w:r>
    </w:p>
    <w:p w14:paraId="1BD9183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15)</w:t>
      </w:r>
      <w:r w:rsidRPr="008913ED">
        <w:rPr>
          <w:szCs w:val="24"/>
          <w:lang w:eastAsia="en-US"/>
        </w:rPr>
        <w:tab/>
        <w:t>"infrastrukturarbejder": interventioner på jernbaneinfrastrukturen med henblik på udvikling, vedligeholdelse, fornyelse og opgradering af jernbaneinfrastrukturen som defineret i artikel 3, nr. 2a), 2c), 2d) og 2e), i direktiv 2012/34/EU</w:t>
      </w:r>
    </w:p>
    <w:p w14:paraId="72833E5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16)</w:t>
      </w:r>
      <w:r w:rsidRPr="008913ED">
        <w:rPr>
          <w:szCs w:val="24"/>
          <w:lang w:eastAsia="en-US"/>
        </w:rPr>
        <w:tab/>
        <w:t>"tilsynsorgan": det tilsynsorgan, der er omhandlet i artikel 55 i direktiv 2012/34/EU</w:t>
      </w:r>
    </w:p>
    <w:p w14:paraId="2FFB5E3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17)</w:t>
      </w:r>
      <w:r w:rsidRPr="008913ED">
        <w:rPr>
          <w:szCs w:val="24"/>
          <w:lang w:eastAsia="en-US"/>
        </w:rPr>
        <w:tab/>
        <w:t>"hændelse": enhver begivenhed eller række af begivenheder, som har samme oprindelse, og som forårsager forstyrrelser i jernbanetrafikken.</w:t>
      </w:r>
    </w:p>
    <w:p w14:paraId="5959DF8F"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17a)</w:t>
      </w:r>
      <w:r w:rsidRPr="008913ED">
        <w:rPr>
          <w:szCs w:val="24"/>
          <w:lang w:eastAsia="en-US"/>
        </w:rPr>
        <w:tab/>
      </w:r>
      <w:r w:rsidRPr="008913ED">
        <w:rPr>
          <w:b/>
          <w:i/>
          <w:szCs w:val="24"/>
          <w:lang w:eastAsia="en-US"/>
        </w:rPr>
        <w:t>"systematiske kanaler": kanaler, der er baseret på artikel 11 og 20 i denne forordning, og som er planlagt på forhånd i en regelmæssig plan for køreplansperioden</w:t>
      </w:r>
      <w:r w:rsidRPr="008913ED">
        <w:rPr>
          <w:b/>
          <w:szCs w:val="24"/>
          <w:lang w:eastAsia="en-US"/>
        </w:rPr>
        <w:t xml:space="preserve"> [Ændring 40]</w:t>
      </w:r>
    </w:p>
    <w:p w14:paraId="72E4E1ED" w14:textId="77777777" w:rsidR="0005686F" w:rsidRDefault="0005686F">
      <w:pPr>
        <w:widowControl/>
        <w:rPr>
          <w:szCs w:val="24"/>
          <w:lang w:eastAsia="en-US"/>
        </w:rPr>
      </w:pPr>
      <w:r>
        <w:rPr>
          <w:szCs w:val="24"/>
          <w:lang w:eastAsia="en-US"/>
        </w:rPr>
        <w:br w:type="page"/>
      </w:r>
    </w:p>
    <w:p w14:paraId="67E255A7" w14:textId="4AFD4FA2" w:rsidR="008913ED" w:rsidRPr="008913ED" w:rsidRDefault="008913ED" w:rsidP="008913ED">
      <w:pPr>
        <w:spacing w:before="120" w:after="120" w:line="360" w:lineRule="auto"/>
        <w:jc w:val="center"/>
        <w:rPr>
          <w:szCs w:val="24"/>
          <w:lang w:eastAsia="en-US"/>
        </w:rPr>
      </w:pPr>
      <w:r w:rsidRPr="008913ED">
        <w:rPr>
          <w:szCs w:val="24"/>
          <w:lang w:eastAsia="en-US"/>
        </w:rPr>
        <w:lastRenderedPageBreak/>
        <w:t xml:space="preserve">KAPITEL II </w:t>
      </w:r>
      <w:r w:rsidRPr="008913ED">
        <w:rPr>
          <w:szCs w:val="24"/>
          <w:lang w:eastAsia="en-US"/>
        </w:rPr>
        <w:br/>
        <w:t>FORVALTNING AF INFRASTRUKTURKAPACITET</w:t>
      </w:r>
    </w:p>
    <w:p w14:paraId="70FCC64D" w14:textId="77777777" w:rsidR="008913ED" w:rsidRPr="008913ED" w:rsidRDefault="008913ED" w:rsidP="008913ED">
      <w:pPr>
        <w:spacing w:before="120" w:after="120" w:line="360" w:lineRule="auto"/>
        <w:jc w:val="center"/>
        <w:rPr>
          <w:szCs w:val="24"/>
          <w:lang w:eastAsia="en-US"/>
        </w:rPr>
      </w:pPr>
      <w:r w:rsidRPr="008913ED">
        <w:rPr>
          <w:szCs w:val="24"/>
          <w:lang w:eastAsia="en-US"/>
        </w:rPr>
        <w:t xml:space="preserve">AFDELING 1 </w:t>
      </w:r>
      <w:r w:rsidRPr="008913ED">
        <w:rPr>
          <w:szCs w:val="24"/>
          <w:lang w:eastAsia="en-US"/>
        </w:rPr>
        <w:br/>
        <w:t>Generelle principper for forvaltning af infrastrukturkapacitet</w:t>
      </w:r>
    </w:p>
    <w:p w14:paraId="2C5061A0"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5</w:t>
      </w:r>
      <w:r w:rsidRPr="008913ED">
        <w:rPr>
          <w:szCs w:val="24"/>
          <w:lang w:eastAsia="en-US"/>
        </w:rPr>
        <w:br/>
        <w:t>Kapacitetsforvaltning</w:t>
      </w:r>
    </w:p>
    <w:p w14:paraId="22BDEF19"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forvalter jernbaneinfrastrukturkapaciteten gennem en planlægnings- og tildelingsproces, der omfatter tre faser:</w:t>
      </w:r>
    </w:p>
    <w:p w14:paraId="6B8A5FD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strategisk kapacitetsplanlægning som omhandlet i afdeling 2</w:t>
      </w:r>
    </w:p>
    <w:p w14:paraId="368C433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planlægning og tildeling af infrastrukturkapacitet som omhandlet i afdeling 3</w:t>
      </w:r>
    </w:p>
    <w:p w14:paraId="3DFBECD9"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tilpasning og omlægning af tildelt kapacitet som omhandlet i afdeling 4.</w:t>
      </w:r>
    </w:p>
    <w:p w14:paraId="04BA267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Ud over det indhold, der er fastsat i bilag IV til direktiv 2012/34/EU, medtager infrastrukturforvalterne i den netvejledning, der er omhandlet i artikel 27 i nævnte direktiv, et afsnit om den infrastruktur, der er til jernbanevirksomhedernes rådighed, et afsnit om kapacitetsforvaltning, et afsnit om drift, herunder om trafikstyring, håndtering af forstyrrelser og krisestyring, og et afsnit om præstationsstyring i overensstemmelse med bilag IV.</w:t>
      </w:r>
    </w:p>
    <w:p w14:paraId="3A1A0713" w14:textId="77777777" w:rsidR="0005686F" w:rsidRDefault="0005686F">
      <w:pPr>
        <w:widowControl/>
        <w:rPr>
          <w:szCs w:val="24"/>
          <w:lang w:eastAsia="en-US"/>
        </w:rPr>
      </w:pPr>
      <w:r>
        <w:rPr>
          <w:szCs w:val="24"/>
          <w:lang w:eastAsia="en-US"/>
        </w:rPr>
        <w:br w:type="page"/>
      </w:r>
    </w:p>
    <w:p w14:paraId="746155D9" w14:textId="51BC2666"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Beslutningstagning vedrørende kapacitetsforvaltning som omhandlet i stk. 1, herunder både definitionen og vurderingen af tilgængelighed og tildelingen af kapacitetsrettigheder, er en af infrastrukturforvalterens væsentlige funktioner som omhandlet i artikel 3, nr. 2f), i direktiv 2012/34/EU. Bestemmelserne om væsentlige funktioner i nævnte direktiv, finder anvendelse herpå.</w:t>
      </w:r>
    </w:p>
    <w:p w14:paraId="55276AC1"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w:t>
      </w:r>
      <w:r w:rsidRPr="008913ED">
        <w:rPr>
          <w:szCs w:val="24"/>
          <w:lang w:eastAsia="en-US"/>
        </w:rPr>
        <w:br/>
        <w:t>Europæisk ramme for kapacitetsforvaltning</w:t>
      </w:r>
    </w:p>
    <w:p w14:paraId="643750F1"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 xml:space="preserve">Infrastrukturforvalterne bestræber sig på at følge fælles principper og procedurer for forvaltning af jernbaneinfrastrukturkapacitet. Med henblik herpå udvikler </w:t>
      </w:r>
      <w:r w:rsidRPr="008913ED">
        <w:rPr>
          <w:b/>
          <w:i/>
          <w:szCs w:val="24"/>
          <w:lang w:eastAsia="en-US"/>
        </w:rPr>
        <w:t xml:space="preserve">ENIM i samråd med ERP </w:t>
      </w:r>
      <w:r w:rsidRPr="008913ED">
        <w:rPr>
          <w:szCs w:val="24"/>
          <w:lang w:eastAsia="en-US"/>
        </w:rPr>
        <w:t xml:space="preserve">og vedtager </w:t>
      </w:r>
      <w:r w:rsidRPr="008913ED">
        <w:rPr>
          <w:strike/>
          <w:szCs w:val="24"/>
          <w:lang w:eastAsia="en-US"/>
        </w:rPr>
        <w:t xml:space="preserve">ENIM </w:t>
      </w:r>
      <w:r w:rsidRPr="008913ED">
        <w:rPr>
          <w:szCs w:val="24"/>
          <w:lang w:eastAsia="en-US"/>
        </w:rPr>
        <w:t>senest den</w:t>
      </w:r>
      <w:r w:rsidRPr="008913ED">
        <w:rPr>
          <w:b/>
          <w:i/>
          <w:szCs w:val="24"/>
          <w:lang w:eastAsia="en-US"/>
        </w:rPr>
        <w:t xml:space="preserve"> ...</w:t>
      </w:r>
      <w:r w:rsidRPr="008913ED">
        <w:rPr>
          <w:szCs w:val="24"/>
          <w:lang w:eastAsia="en-US"/>
        </w:rPr>
        <w:t xml:space="preserve"> [12 måneder </w:t>
      </w:r>
      <w:r w:rsidRPr="008913ED">
        <w:rPr>
          <w:strike/>
          <w:szCs w:val="24"/>
          <w:lang w:eastAsia="en-US"/>
        </w:rPr>
        <w:t>efter</w:t>
      </w:r>
      <w:r w:rsidRPr="008913ED">
        <w:rPr>
          <w:b/>
          <w:i/>
          <w:szCs w:val="24"/>
          <w:lang w:eastAsia="en-US"/>
        </w:rPr>
        <w:t>fra</w:t>
      </w:r>
      <w:r w:rsidRPr="008913ED">
        <w:rPr>
          <w:szCs w:val="24"/>
          <w:lang w:eastAsia="en-US"/>
        </w:rPr>
        <w:t xml:space="preserve"> denne forordnings ikrafttræden] en "europæisk ramme for kapacitetsforvaltning" i overensstemmelse med bestemmelserne i kapitel II.</w:t>
      </w:r>
      <w:r w:rsidRPr="008913ED">
        <w:rPr>
          <w:b/>
          <w:szCs w:val="24"/>
          <w:lang w:eastAsia="en-US"/>
        </w:rPr>
        <w:t xml:space="preserve"> [Ændring 41]</w:t>
      </w:r>
    </w:p>
    <w:p w14:paraId="39291DC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 den europæiske ramme for kapacitetsforvaltning fastlægges fælles principper og procedurer for forvaltning af jernbaneinfrastrukturkapacitet og for samordning mellem infrastrukturforvaltere, jernbanevirksomheder og andre ansøgere, operatører af jernbaneservicefaciliteter og andre operationelle interessenter.</w:t>
      </w:r>
    </w:p>
    <w:p w14:paraId="5051314F" w14:textId="77777777" w:rsidR="0005686F" w:rsidRDefault="0005686F">
      <w:pPr>
        <w:widowControl/>
        <w:rPr>
          <w:szCs w:val="24"/>
          <w:lang w:eastAsia="en-US"/>
        </w:rPr>
      </w:pPr>
      <w:r>
        <w:rPr>
          <w:szCs w:val="24"/>
          <w:lang w:eastAsia="en-US"/>
        </w:rPr>
        <w:br w:type="page"/>
      </w:r>
    </w:p>
    <w:p w14:paraId="7968D254" w14:textId="138E2C96"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Den europæiske ramme for kapacitetsforvaltning skal som minimum indeholde de elementer, der er opført i bilag III, og ajourføres efter behov for at tage hensyn til infrastrukturforvalternes, jernbanevirksomhedernes og andre ansøgeres erfaringer og baseres på ENIM's aktiviteter.</w:t>
      </w:r>
    </w:p>
    <w:p w14:paraId="4559DBB3"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t xml:space="preserve">Infrastrukturforvalterne tager i videst muligt omfang hensyn til den europæiske ramme for kapacitetsforvaltning ved udarbejdelsen af den netvejledning, der er omhandlet i artikel 27 i direktiv 2012/34/EU, navnlig indholdet i bilag IV til denne forordning. De </w:t>
      </w:r>
      <w:r w:rsidRPr="008913ED">
        <w:rPr>
          <w:strike/>
          <w:szCs w:val="24"/>
          <w:lang w:eastAsia="en-US"/>
        </w:rPr>
        <w:t>gør</w:t>
      </w:r>
      <w:r w:rsidRPr="008913ED">
        <w:rPr>
          <w:b/>
          <w:i/>
          <w:szCs w:val="24"/>
          <w:lang w:eastAsia="en-US"/>
        </w:rPr>
        <w:t>begrunder</w:t>
      </w:r>
      <w:r w:rsidRPr="008913ED">
        <w:rPr>
          <w:szCs w:val="24"/>
          <w:lang w:eastAsia="en-US"/>
        </w:rPr>
        <w:t xml:space="preserve"> i netvejledningen</w:t>
      </w:r>
      <w:r w:rsidRPr="008913ED">
        <w:rPr>
          <w:strike/>
          <w:szCs w:val="24"/>
          <w:lang w:eastAsia="en-US"/>
        </w:rPr>
        <w:t xml:space="preserve"> rede for</w:t>
      </w:r>
      <w:r w:rsidRPr="008913ED">
        <w:rPr>
          <w:szCs w:val="24"/>
          <w:lang w:eastAsia="en-US"/>
        </w:rPr>
        <w:t xml:space="preserve"> årsagerne til enhver afvigelse fra de fælles principper og procedurer fastlagt i den europæiske ramme for kapacitetsforvaltning.</w:t>
      </w:r>
      <w:r w:rsidRPr="008913ED">
        <w:rPr>
          <w:b/>
          <w:i/>
          <w:szCs w:val="24"/>
          <w:lang w:eastAsia="en-US"/>
        </w:rPr>
        <w:t xml:space="preserve"> Afvigelser er kun tilladt i ganske særlige og tilfælde og skal godkendes af det nationale jernbanetilsynsorgan.</w:t>
      </w:r>
      <w:r w:rsidRPr="008913ED">
        <w:rPr>
          <w:b/>
          <w:szCs w:val="24"/>
          <w:lang w:eastAsia="en-US"/>
        </w:rPr>
        <w:t xml:space="preserve"> [Ændring 42]</w:t>
      </w:r>
    </w:p>
    <w:p w14:paraId="234E2D2F"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4a.</w:t>
      </w:r>
      <w:r w:rsidRPr="008913ED">
        <w:rPr>
          <w:szCs w:val="24"/>
          <w:lang w:eastAsia="en-US"/>
        </w:rPr>
        <w:tab/>
      </w:r>
      <w:r w:rsidRPr="008913ED">
        <w:rPr>
          <w:b/>
          <w:i/>
          <w:szCs w:val="24"/>
          <w:lang w:eastAsia="en-US"/>
        </w:rPr>
        <w:t>Kommissionen tillægges beføjelser til at vedtage delegerede retsakter i overensstemmelse med artikel 71 med henblik på at fastlægge de fælles principper og procedurer for forvaltning af jernbaneinfrastrukturkapacitet og ændre nærværende artikels stk. 2. Disse delegerede retsakter vedtages senest den ... [24 måneder fra denne forordnings ikrafttræden].</w:t>
      </w:r>
      <w:r w:rsidRPr="008913ED">
        <w:rPr>
          <w:b/>
          <w:szCs w:val="24"/>
          <w:lang w:eastAsia="en-US"/>
        </w:rPr>
        <w:t xml:space="preserve"> [Ændring 43]</w:t>
      </w:r>
    </w:p>
    <w:p w14:paraId="308721E1" w14:textId="77777777" w:rsidR="0005686F" w:rsidRDefault="0005686F">
      <w:pPr>
        <w:widowControl/>
        <w:rPr>
          <w:szCs w:val="24"/>
          <w:lang w:eastAsia="en-US"/>
        </w:rPr>
      </w:pPr>
      <w:r>
        <w:rPr>
          <w:szCs w:val="24"/>
          <w:lang w:eastAsia="en-US"/>
        </w:rPr>
        <w:br w:type="page"/>
      </w:r>
    </w:p>
    <w:p w14:paraId="09281EAC" w14:textId="55DD9417"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7</w:t>
      </w:r>
      <w:r w:rsidRPr="008913ED">
        <w:rPr>
          <w:szCs w:val="24"/>
          <w:lang w:eastAsia="en-US"/>
        </w:rPr>
        <w:br/>
        <w:t>Ansøgere</w:t>
      </w:r>
    </w:p>
    <w:p w14:paraId="632D619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Ansøgere kan indgive ansøgninger om infrastrukturkapacitet. For at kunne benytte en sådan infrastrukturkapacitet skal ansøgerne</w:t>
      </w:r>
      <w:r w:rsidRPr="008913ED">
        <w:rPr>
          <w:b/>
          <w:i/>
          <w:szCs w:val="24"/>
          <w:lang w:eastAsia="en-US"/>
        </w:rPr>
        <w:t>, der ikke er en jernbanevirksomhed,</w:t>
      </w:r>
      <w:r w:rsidRPr="008913ED">
        <w:rPr>
          <w:szCs w:val="24"/>
          <w:lang w:eastAsia="en-US"/>
        </w:rPr>
        <w:t xml:space="preserve"> udpege en jernbanevirksomhed, der skal indgå en aftale med infrastrukturforvalteren i overensstemmelse med artikel 28 i direktiv 2012/34/EU. Dette berører ikke ansøgernes ret til at indgå rammeaftaler med infrastrukturforvaltere i overensstemmelse med artikel 31 i denne forordning.</w:t>
      </w:r>
      <w:r w:rsidRPr="008913ED">
        <w:rPr>
          <w:b/>
          <w:szCs w:val="24"/>
          <w:lang w:eastAsia="en-US"/>
        </w:rPr>
        <w:t xml:space="preserve"> [Ændring 44]</w:t>
      </w:r>
    </w:p>
    <w:p w14:paraId="5F066F31"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Infrastrukturforvalteren </w:t>
      </w:r>
      <w:r w:rsidRPr="008913ED">
        <w:rPr>
          <w:strike/>
          <w:szCs w:val="24"/>
          <w:lang w:eastAsia="en-US"/>
        </w:rPr>
        <w:t>kan fastsætte</w:t>
      </w:r>
      <w:r w:rsidRPr="008913ED">
        <w:rPr>
          <w:b/>
          <w:i/>
          <w:szCs w:val="24"/>
          <w:lang w:eastAsia="en-US"/>
        </w:rPr>
        <w:t>fastsætter</w:t>
      </w:r>
      <w:r w:rsidRPr="008913ED">
        <w:rPr>
          <w:szCs w:val="24"/>
          <w:lang w:eastAsia="en-US"/>
        </w:rPr>
        <w:t xml:space="preserve"> krav til ansøgere for at sikre, at infrastrukturforvalterens legitime forventninger om fremtidige indtægter og udnyttelsen af infrastrukturen kan opfyldes. Sådanne krav skal være rimelige, gennemsigtige og ikkediskriminerende. De skal præciseres i netvejledningen, jf. bilag IV, punkt </w:t>
      </w:r>
      <w:r w:rsidRPr="008913ED">
        <w:rPr>
          <w:strike/>
          <w:szCs w:val="24"/>
          <w:lang w:eastAsia="en-US"/>
        </w:rPr>
        <w:t>1</w:t>
      </w:r>
      <w:r w:rsidRPr="008913ED">
        <w:rPr>
          <w:b/>
          <w:i/>
          <w:szCs w:val="24"/>
          <w:lang w:eastAsia="en-US"/>
        </w:rPr>
        <w:t>2</w:t>
      </w:r>
      <w:r w:rsidRPr="008913ED">
        <w:rPr>
          <w:szCs w:val="24"/>
          <w:lang w:eastAsia="en-US"/>
        </w:rPr>
        <w:t>, litra</w:t>
      </w:r>
      <w:r w:rsidRPr="008913ED">
        <w:rPr>
          <w:strike/>
          <w:szCs w:val="24"/>
          <w:lang w:eastAsia="en-US"/>
        </w:rPr>
        <w:t xml:space="preserve"> b)</w:t>
      </w:r>
      <w:r w:rsidRPr="008913ED">
        <w:rPr>
          <w:b/>
          <w:i/>
          <w:szCs w:val="24"/>
          <w:lang w:eastAsia="en-US"/>
        </w:rPr>
        <w:t xml:space="preserve"> c)</w:t>
      </w:r>
      <w:r w:rsidRPr="008913ED">
        <w:rPr>
          <w:szCs w:val="24"/>
          <w:lang w:eastAsia="en-US"/>
        </w:rPr>
        <w:t>. De kan kun omfatte en finansiel garanti, som ikke må overstige et passende niveau, der står i et rimeligt forhold til niveauet for ansøgerens forventede aktivitet, og en garanti for evnen til at udarbejde bud på infrastrukturkapacitet i overensstemmelse med reglerne.</w:t>
      </w:r>
      <w:r w:rsidRPr="008913ED">
        <w:rPr>
          <w:b/>
          <w:szCs w:val="24"/>
          <w:lang w:eastAsia="en-US"/>
        </w:rPr>
        <w:t xml:space="preserve"> [Ændring 45]</w:t>
      </w:r>
    </w:p>
    <w:p w14:paraId="507764F9" w14:textId="77777777" w:rsidR="0005686F" w:rsidRDefault="0005686F">
      <w:pPr>
        <w:widowControl/>
        <w:rPr>
          <w:szCs w:val="24"/>
          <w:lang w:eastAsia="en-US"/>
        </w:rPr>
      </w:pPr>
      <w:r>
        <w:rPr>
          <w:szCs w:val="24"/>
          <w:lang w:eastAsia="en-US"/>
        </w:rPr>
        <w:br w:type="page"/>
      </w:r>
    </w:p>
    <w:p w14:paraId="14E49C9F" w14:textId="5F476194"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 xml:space="preserve">Kommissionen </w:t>
      </w:r>
      <w:r w:rsidRPr="008913ED">
        <w:rPr>
          <w:strike/>
          <w:szCs w:val="24"/>
          <w:lang w:eastAsia="en-US"/>
        </w:rPr>
        <w:t>kan vedtage</w:t>
      </w:r>
      <w:r w:rsidRPr="008913ED">
        <w:rPr>
          <w:b/>
          <w:i/>
          <w:szCs w:val="24"/>
          <w:lang w:eastAsia="en-US"/>
        </w:rPr>
        <w:t>vedtager senest den ... [24 måneder fra denne forordnings ikrafttræden]</w:t>
      </w:r>
      <w:r w:rsidRPr="008913ED">
        <w:rPr>
          <w:szCs w:val="24"/>
          <w:lang w:eastAsia="en-US"/>
        </w:rPr>
        <w:t xml:space="preserve"> gennemførelsesretsakter med nærmere kriterier for anvendelsen af stk. 2. Disse gennemførelsesretsakter vedtages efter undersøgelsesproceduren i artikel 72, stk. 3.</w:t>
      </w:r>
      <w:r w:rsidRPr="008913ED">
        <w:rPr>
          <w:b/>
          <w:i/>
          <w:szCs w:val="24"/>
          <w:lang w:eastAsia="en-US"/>
        </w:rPr>
        <w:t xml:space="preserve"> og ændrer den tilsvarende bestemmelse, der er omhandlet i stk. 2. Disse gennemførelsesretsakter vedtages efter undersøgelsesproceduren i artikel 72, stk. 3.</w:t>
      </w:r>
      <w:r w:rsidRPr="008913ED">
        <w:rPr>
          <w:b/>
          <w:szCs w:val="24"/>
          <w:lang w:eastAsia="en-US"/>
        </w:rPr>
        <w:t xml:space="preserve"> [Ændring 46]</w:t>
      </w:r>
    </w:p>
    <w:p w14:paraId="21592FDE"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8</w:t>
      </w:r>
      <w:r w:rsidRPr="008913ED">
        <w:rPr>
          <w:szCs w:val="24"/>
          <w:lang w:eastAsia="en-US"/>
        </w:rPr>
        <w:br/>
        <w:t>Forvaltning af knap infrastrukturkapacitet</w:t>
      </w:r>
    </w:p>
    <w:p w14:paraId="758E22A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sikrer, at knap infrastrukturkapacitet forvaltes i overensstemmelse med principperne i artikel 26 i direktiv 2012/34/EU og i artikel 2 i denne forordning i alle faser af kapacitetsforvaltningsprocessen som omhandlet i artikel 5.</w:t>
      </w:r>
    </w:p>
    <w:p w14:paraId="68D433B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Når infrastrukturforvalterne træffer afgørelser om knap kapacitet, tager de hensyn til de strategiske retningslinjer for udnyttelsen af infrastrukturkapacitet udarbejdet af medlemsstaterne i overensstemmelse med artikel 11, stk. 3.</w:t>
      </w:r>
    </w:p>
    <w:p w14:paraId="42FB0D08" w14:textId="77777777" w:rsidR="004050C6" w:rsidRDefault="004050C6">
      <w:pPr>
        <w:widowControl/>
        <w:rPr>
          <w:szCs w:val="24"/>
          <w:lang w:eastAsia="en-US"/>
        </w:rPr>
      </w:pPr>
      <w:r>
        <w:rPr>
          <w:szCs w:val="24"/>
          <w:lang w:eastAsia="en-US"/>
        </w:rPr>
        <w:br w:type="page"/>
      </w:r>
    </w:p>
    <w:p w14:paraId="2FCFCAAB" w14:textId="2EA6759E" w:rsidR="008913ED" w:rsidRPr="008913ED" w:rsidRDefault="008913ED" w:rsidP="008913ED">
      <w:pPr>
        <w:spacing w:before="120" w:after="120" w:line="360" w:lineRule="auto"/>
        <w:ind w:left="850"/>
        <w:rPr>
          <w:b/>
          <w:szCs w:val="24"/>
          <w:lang w:eastAsia="en-US"/>
        </w:rPr>
      </w:pPr>
      <w:r w:rsidRPr="008913ED">
        <w:rPr>
          <w:szCs w:val="24"/>
          <w:lang w:eastAsia="en-US"/>
        </w:rPr>
        <w:lastRenderedPageBreak/>
        <w:t xml:space="preserve">Med forbehold af statsstøttereglerne </w:t>
      </w:r>
      <w:r w:rsidRPr="008913ED">
        <w:rPr>
          <w:strike/>
          <w:szCs w:val="24"/>
          <w:lang w:eastAsia="en-US"/>
        </w:rPr>
        <w:t>kan</w:t>
      </w:r>
      <w:r w:rsidRPr="008913ED">
        <w:rPr>
          <w:b/>
          <w:i/>
          <w:szCs w:val="24"/>
          <w:lang w:eastAsia="en-US"/>
        </w:rPr>
        <w:t>skal</w:t>
      </w:r>
      <w:r w:rsidRPr="008913ED">
        <w:rPr>
          <w:szCs w:val="24"/>
          <w:lang w:eastAsia="en-US"/>
        </w:rPr>
        <w:t xml:space="preserve"> medlemsstaterne i givet fald godtgøre infrastrukturforvalteren et eventuelt indtægtstab, dog kun i forbindelse med overholdelsen af de strategiske retningslinjer for anvendelsen af jernbaneinfrastrukturkapacitet.</w:t>
      </w:r>
      <w:r w:rsidRPr="008913ED">
        <w:rPr>
          <w:b/>
          <w:szCs w:val="24"/>
          <w:lang w:eastAsia="en-US"/>
        </w:rPr>
        <w:t xml:space="preserve"> [Ændring 47]</w:t>
      </w:r>
    </w:p>
    <w:p w14:paraId="519ED2E5" w14:textId="0F69881D"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Infrastrukturforvalterne planlægger og tildeler i videst muligt omfang knap kapacitet gennem den i artikel 36 omhandlede konsensusbaserede konfliktløsningsmekanisme med inddragelse af de berørte ansøgere med henblik på at finde konsensusbaserede løsninger på indbyrdes modstridende kapacitetsbehov og -ansøgninger.</w:t>
      </w:r>
    </w:p>
    <w:p w14:paraId="550D6DB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Hvis den i artikel 3 omhandlede mekanisme ikke fører til en tilfredsstillende løsning på indbyrdes modstridende kapacitetsbehov og -ansøgninger, forvalter infrastrukturforvalterne den knappe kapacitet eller løser konflikter gennem objektive, gennemsigtige og ikkediskriminerende procedurer.</w:t>
      </w:r>
    </w:p>
    <w:p w14:paraId="7F35D240"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Gennem disse procedurer vurderes alternative muligheder for anvendelse af infrastrukturkapacitet på grundlag af følgende socioøkonomiske og miljømæssige kriterier, forudsat at der foreligger </w:t>
      </w:r>
      <w:r w:rsidRPr="008913ED">
        <w:rPr>
          <w:b/>
          <w:i/>
          <w:szCs w:val="24"/>
          <w:lang w:eastAsia="en-US"/>
        </w:rPr>
        <w:t>standardiserede data, som ansøgerne skal levere til infrastrukturforvalteren</w:t>
      </w:r>
      <w:r w:rsidRPr="008913ED">
        <w:rPr>
          <w:strike/>
          <w:szCs w:val="24"/>
          <w:lang w:eastAsia="en-US"/>
        </w:rPr>
        <w:t>data herom</w:t>
      </w:r>
      <w:r w:rsidRPr="008913ED">
        <w:rPr>
          <w:szCs w:val="24"/>
          <w:lang w:eastAsia="en-US"/>
        </w:rPr>
        <w:t>:</w:t>
      </w:r>
      <w:r w:rsidRPr="008913ED">
        <w:rPr>
          <w:b/>
          <w:i/>
          <w:szCs w:val="24"/>
          <w:lang w:eastAsia="en-US"/>
        </w:rPr>
        <w:t xml:space="preserve"> Kriterierne omfatter, men er ikke begrænset til, følgende:</w:t>
      </w:r>
      <w:r w:rsidRPr="008913ED">
        <w:rPr>
          <w:b/>
          <w:szCs w:val="24"/>
          <w:lang w:eastAsia="en-US"/>
        </w:rPr>
        <w:t xml:space="preserve"> [Ændring 48]</w:t>
      </w:r>
    </w:p>
    <w:p w14:paraId="66991DA5" w14:textId="77777777" w:rsidR="0005686F" w:rsidRDefault="0005686F">
      <w:pPr>
        <w:widowControl/>
        <w:rPr>
          <w:szCs w:val="24"/>
          <w:lang w:eastAsia="en-US"/>
        </w:rPr>
      </w:pPr>
      <w:r>
        <w:rPr>
          <w:szCs w:val="24"/>
          <w:lang w:eastAsia="en-US"/>
        </w:rPr>
        <w:br w:type="page"/>
      </w:r>
    </w:p>
    <w:p w14:paraId="4ECFCEDF" w14:textId="76A30238"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a)</w:t>
      </w:r>
      <w:r w:rsidRPr="008913ED">
        <w:rPr>
          <w:szCs w:val="24"/>
          <w:lang w:eastAsia="en-US"/>
        </w:rPr>
        <w:tab/>
        <w:t>jernbaneoperatørers driftsomkostninger og den deraf følgende indvirkning på priserne for jernbanekunder</w:t>
      </w:r>
    </w:p>
    <w:p w14:paraId="154010F7"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tidsrelaterede omkostninger for jernbanekunder</w:t>
      </w:r>
    </w:p>
    <w:p w14:paraId="55D77FF0"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c)</w:t>
      </w:r>
      <w:r w:rsidRPr="008913ED">
        <w:rPr>
          <w:szCs w:val="24"/>
          <w:lang w:eastAsia="en-US"/>
        </w:rPr>
        <w:tab/>
        <w:t>konnektivitet og tilgængelighed</w:t>
      </w:r>
      <w:r w:rsidRPr="008913ED">
        <w:rPr>
          <w:b/>
          <w:i/>
          <w:szCs w:val="24"/>
          <w:lang w:eastAsia="en-US"/>
        </w:rPr>
        <w:t xml:space="preserve"> som en netværkseffekt både på de overordnede net og på netsegmenter</w:t>
      </w:r>
      <w:r w:rsidRPr="008913ED">
        <w:rPr>
          <w:szCs w:val="24"/>
          <w:lang w:eastAsia="en-US"/>
        </w:rPr>
        <w:t xml:space="preserve"> for mennesker og regioner, der har adgang til jernbanetransport</w:t>
      </w:r>
      <w:r w:rsidRPr="008913ED">
        <w:rPr>
          <w:b/>
          <w:szCs w:val="24"/>
          <w:lang w:eastAsia="en-US"/>
        </w:rPr>
        <w:t xml:space="preserve"> [Ændring 49]</w:t>
      </w:r>
    </w:p>
    <w:p w14:paraId="4753FA7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emissioner af drivhusgasser, lokale luftforurenende stoffer, støj og andre eksterne omkostninger ved jernbanetransport og sandsynlige alternativer</w:t>
      </w:r>
    </w:p>
    <w:p w14:paraId="7BBCB717"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jernbanetransportens konsekvenser for sikkerheden og folkesundheden og sandsynlige alternativer.</w:t>
      </w:r>
    </w:p>
    <w:p w14:paraId="11C8E3F8"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ea)</w:t>
      </w:r>
      <w:r w:rsidRPr="008913ED">
        <w:rPr>
          <w:szCs w:val="24"/>
          <w:lang w:eastAsia="en-US"/>
        </w:rPr>
        <w:tab/>
      </w:r>
      <w:r w:rsidRPr="008913ED">
        <w:rPr>
          <w:b/>
          <w:i/>
          <w:szCs w:val="24"/>
          <w:lang w:eastAsia="en-US"/>
        </w:rPr>
        <w:t>trafikoverflytningsvirkninger i retning af jernbanetransport.</w:t>
      </w:r>
      <w:r w:rsidRPr="008913ED">
        <w:rPr>
          <w:b/>
          <w:szCs w:val="24"/>
          <w:lang w:eastAsia="en-US"/>
        </w:rPr>
        <w:t xml:space="preserve"> [Ændring 50]</w:t>
      </w:r>
    </w:p>
    <w:p w14:paraId="62DE693F"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ENIM udarbejder og vedtager</w:t>
      </w:r>
      <w:r w:rsidRPr="008913ED">
        <w:rPr>
          <w:b/>
          <w:i/>
          <w:szCs w:val="24"/>
          <w:lang w:eastAsia="en-US"/>
        </w:rPr>
        <w:t xml:space="preserve"> i samråd med ERP</w:t>
      </w:r>
      <w:r w:rsidRPr="008913ED">
        <w:rPr>
          <w:szCs w:val="24"/>
          <w:lang w:eastAsia="en-US"/>
        </w:rPr>
        <w:t xml:space="preserve"> de procedurer, der er omhandlet i stk. 4, og medtager dem i </w:t>
      </w:r>
      <w:r w:rsidRPr="008913ED">
        <w:rPr>
          <w:strike/>
          <w:szCs w:val="24"/>
          <w:lang w:eastAsia="en-US"/>
        </w:rPr>
        <w:t>EU-rammen</w:t>
      </w:r>
      <w:r w:rsidRPr="008913ED">
        <w:rPr>
          <w:b/>
          <w:i/>
          <w:szCs w:val="24"/>
          <w:lang w:eastAsia="en-US"/>
        </w:rPr>
        <w:t>den europæiske ramme</w:t>
      </w:r>
      <w:r w:rsidRPr="008913ED">
        <w:rPr>
          <w:szCs w:val="24"/>
          <w:lang w:eastAsia="en-US"/>
        </w:rPr>
        <w:t xml:space="preserve"> for kapacitetsforvaltning, jf. artikel 6. Procedurerne omfatter følgende trin:</w:t>
      </w:r>
      <w:r w:rsidRPr="008913ED">
        <w:rPr>
          <w:b/>
          <w:szCs w:val="24"/>
          <w:lang w:eastAsia="en-US"/>
        </w:rPr>
        <w:t xml:space="preserve"> [Ændring 51]</w:t>
      </w:r>
    </w:p>
    <w:p w14:paraId="4AC4CDFA" w14:textId="77777777" w:rsidR="0005686F" w:rsidRDefault="0005686F">
      <w:pPr>
        <w:widowControl/>
        <w:rPr>
          <w:szCs w:val="24"/>
          <w:lang w:eastAsia="en-US"/>
        </w:rPr>
      </w:pPr>
      <w:r>
        <w:rPr>
          <w:szCs w:val="24"/>
          <w:lang w:eastAsia="en-US"/>
        </w:rPr>
        <w:br w:type="page"/>
      </w:r>
    </w:p>
    <w:p w14:paraId="09789305" w14:textId="1B133429" w:rsidR="008913ED" w:rsidRPr="008913ED" w:rsidRDefault="008913ED" w:rsidP="008913ED">
      <w:pPr>
        <w:spacing w:before="120" w:after="120" w:line="360" w:lineRule="auto"/>
        <w:ind w:left="1416" w:hanging="566"/>
        <w:rPr>
          <w:b/>
          <w:szCs w:val="24"/>
          <w:lang w:eastAsia="en-US"/>
        </w:rPr>
      </w:pPr>
      <w:r w:rsidRPr="008913ED">
        <w:rPr>
          <w:szCs w:val="24"/>
          <w:lang w:eastAsia="en-US"/>
        </w:rPr>
        <w:lastRenderedPageBreak/>
        <w:t>a)</w:t>
      </w:r>
      <w:r w:rsidRPr="008913ED">
        <w:rPr>
          <w:szCs w:val="24"/>
          <w:lang w:eastAsia="en-US"/>
        </w:rPr>
        <w:tab/>
        <w:t xml:space="preserve">udformning af alternative scenarier for opdeling af den kapacitet, der er til rådighed for </w:t>
      </w:r>
      <w:r w:rsidRPr="008913ED">
        <w:rPr>
          <w:b/>
          <w:i/>
          <w:szCs w:val="24"/>
          <w:lang w:eastAsia="en-US"/>
        </w:rPr>
        <w:t xml:space="preserve">hver af de </w:t>
      </w:r>
      <w:r w:rsidRPr="008913ED">
        <w:rPr>
          <w:szCs w:val="24"/>
          <w:lang w:eastAsia="en-US"/>
        </w:rPr>
        <w:t>forskellige former for jernbanetransport</w:t>
      </w:r>
      <w:r w:rsidRPr="008913ED">
        <w:rPr>
          <w:b/>
          <w:i/>
          <w:szCs w:val="24"/>
          <w:lang w:eastAsia="en-US"/>
        </w:rPr>
        <w:t>, der ansøger om samme kapacitet</w:t>
      </w:r>
      <w:r w:rsidRPr="008913ED">
        <w:rPr>
          <w:szCs w:val="24"/>
          <w:lang w:eastAsia="en-US"/>
        </w:rPr>
        <w:t>, herunder, hvor det er muligt, tilvejebringelse af alternativ kapacitet på andre ruter eller alternative tidspunkter med sammenlignelige karakteristika</w:t>
      </w:r>
      <w:r w:rsidRPr="008913ED">
        <w:rPr>
          <w:b/>
          <w:i/>
          <w:szCs w:val="24"/>
          <w:lang w:eastAsia="en-US"/>
        </w:rPr>
        <w:t xml:space="preserve"> for både indenlandske og internationale tjenester</w:t>
      </w:r>
      <w:r w:rsidRPr="008913ED">
        <w:rPr>
          <w:b/>
          <w:szCs w:val="24"/>
          <w:lang w:eastAsia="en-US"/>
        </w:rPr>
        <w:t xml:space="preserve"> [Ændring 52]</w:t>
      </w:r>
    </w:p>
    <w:p w14:paraId="71ACE754"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aa)</w:t>
      </w:r>
      <w:r w:rsidRPr="008913ED">
        <w:rPr>
          <w:szCs w:val="24"/>
          <w:lang w:eastAsia="en-US"/>
        </w:rPr>
        <w:tab/>
      </w:r>
      <w:r w:rsidRPr="008913ED">
        <w:rPr>
          <w:b/>
          <w:i/>
          <w:szCs w:val="24"/>
          <w:lang w:eastAsia="en-US"/>
        </w:rPr>
        <w:t>udformning af alternative scenarier til håndtering af kapacitetskonflikter mellem to ansøgninger, hvoraf ingen af dem er i overensstemmelse med den strategiske kapacitetsplanlægning</w:t>
      </w:r>
      <w:r w:rsidRPr="008913ED">
        <w:rPr>
          <w:b/>
          <w:szCs w:val="24"/>
          <w:lang w:eastAsia="en-US"/>
        </w:rPr>
        <w:t xml:space="preserve"> [Ændring 53]</w:t>
      </w:r>
    </w:p>
    <w:p w14:paraId="11336A6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evaluering og rangordning af scenarierne på grundlag af objektive og gennemsigtige metoder under hensyntagen til de socioøkonomiske og miljømæssige kriterier i stk. 4</w:t>
      </w:r>
    </w:p>
    <w:p w14:paraId="7C8649B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udvælgelse af det bedste scenarie på grundlag af evalueringen i litra b) og ændring af definitionen af kapacitetsmodellen og kapacitetsforsyningsplanen i overensstemmelse hermed.</w:t>
      </w:r>
    </w:p>
    <w:p w14:paraId="69E2CAC4" w14:textId="77777777" w:rsidR="0005686F" w:rsidRDefault="0005686F">
      <w:pPr>
        <w:widowControl/>
        <w:rPr>
          <w:szCs w:val="24"/>
          <w:lang w:eastAsia="en-US"/>
        </w:rPr>
      </w:pPr>
      <w:r>
        <w:rPr>
          <w:szCs w:val="24"/>
          <w:lang w:eastAsia="en-US"/>
        </w:rPr>
        <w:br w:type="page"/>
      </w:r>
    </w:p>
    <w:p w14:paraId="46C79A59" w14:textId="7B1EDBCA"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6.</w:t>
      </w:r>
      <w:r w:rsidRPr="008913ED">
        <w:rPr>
          <w:szCs w:val="24"/>
          <w:lang w:eastAsia="en-US"/>
        </w:rPr>
        <w:tab/>
        <w:t xml:space="preserve">ENIM udvikler </w:t>
      </w:r>
      <w:r w:rsidRPr="008913ED">
        <w:rPr>
          <w:b/>
          <w:i/>
          <w:szCs w:val="24"/>
          <w:lang w:eastAsia="en-US"/>
        </w:rPr>
        <w:t>i samråd med ERP de i denne artikels</w:t>
      </w:r>
      <w:r w:rsidRPr="008913ED">
        <w:rPr>
          <w:strike/>
          <w:szCs w:val="24"/>
          <w:lang w:eastAsia="en-US"/>
        </w:rPr>
        <w:t>de i</w:t>
      </w:r>
      <w:r w:rsidRPr="008913ED">
        <w:rPr>
          <w:szCs w:val="24"/>
          <w:lang w:eastAsia="en-US"/>
        </w:rPr>
        <w:t xml:space="preserve"> stk. 5, litra b), omhandlede metoder. Parametrene for disse metoder skal gøre det muligt at tage hensyn til lokale eller nationale forhold baseret på accepterede fremgangsmåder og empirisk dokumentation. ENIM medtager disse metoder i den europæiske ramme for kapacitetsforvaltning, jf. artikel 6.</w:t>
      </w:r>
      <w:r w:rsidRPr="008913ED">
        <w:rPr>
          <w:b/>
          <w:szCs w:val="24"/>
          <w:lang w:eastAsia="en-US"/>
        </w:rPr>
        <w:t xml:space="preserve"> [Ændring 54]</w:t>
      </w:r>
    </w:p>
    <w:p w14:paraId="72791548"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7.</w:t>
      </w:r>
      <w:r w:rsidRPr="008913ED">
        <w:rPr>
          <w:szCs w:val="24"/>
          <w:lang w:eastAsia="en-US"/>
        </w:rPr>
        <w:tab/>
        <w:t xml:space="preserve">Under hensyntagen til erfaringerne med udarbejdelsen og gennemførelsen af den i stk. 6 omhandlede ramme </w:t>
      </w:r>
      <w:r w:rsidRPr="008913ED">
        <w:rPr>
          <w:strike/>
          <w:szCs w:val="24"/>
          <w:lang w:eastAsia="en-US"/>
        </w:rPr>
        <w:t>kan</w:t>
      </w:r>
      <w:r w:rsidRPr="008913ED">
        <w:rPr>
          <w:b/>
          <w:i/>
          <w:szCs w:val="24"/>
          <w:lang w:eastAsia="en-US"/>
        </w:rPr>
        <w:t>tillægges</w:t>
      </w:r>
      <w:r w:rsidRPr="008913ED">
        <w:rPr>
          <w:szCs w:val="24"/>
          <w:lang w:eastAsia="en-US"/>
        </w:rPr>
        <w:t xml:space="preserve"> Kommissionen </w:t>
      </w:r>
      <w:r w:rsidRPr="008913ED">
        <w:rPr>
          <w:b/>
          <w:i/>
          <w:szCs w:val="24"/>
          <w:lang w:eastAsia="en-US"/>
        </w:rPr>
        <w:t xml:space="preserve">beføjelser til at </w:t>
      </w:r>
      <w:r w:rsidRPr="008913ED">
        <w:rPr>
          <w:szCs w:val="24"/>
          <w:lang w:eastAsia="en-US"/>
        </w:rPr>
        <w:t xml:space="preserve">vedtage </w:t>
      </w:r>
      <w:r w:rsidRPr="008913ED">
        <w:rPr>
          <w:strike/>
          <w:szCs w:val="24"/>
          <w:lang w:eastAsia="en-US"/>
        </w:rPr>
        <w:t>gennemførelsesretsakter</w:t>
      </w:r>
      <w:r w:rsidRPr="008913ED">
        <w:rPr>
          <w:b/>
          <w:i/>
          <w:szCs w:val="24"/>
          <w:lang w:eastAsia="en-US"/>
        </w:rPr>
        <w:t>delegerede retsakter i overensstemmelse med artikel 71</w:t>
      </w:r>
      <w:r w:rsidRPr="008913ED">
        <w:rPr>
          <w:szCs w:val="24"/>
          <w:lang w:eastAsia="en-US"/>
        </w:rPr>
        <w:t xml:space="preserve">, der fastsætter de specifikke procedurer, </w:t>
      </w:r>
      <w:r w:rsidRPr="008913ED">
        <w:rPr>
          <w:b/>
          <w:i/>
          <w:szCs w:val="24"/>
          <w:lang w:eastAsia="en-US"/>
        </w:rPr>
        <w:t xml:space="preserve">de standardiserede data, der afspejler forskellige markedssegmenter for </w:t>
      </w:r>
      <w:r w:rsidRPr="008913ED">
        <w:rPr>
          <w:szCs w:val="24"/>
          <w:lang w:eastAsia="en-US"/>
        </w:rPr>
        <w:t>kriterier og</w:t>
      </w:r>
      <w:r w:rsidRPr="008913ED">
        <w:rPr>
          <w:b/>
          <w:i/>
          <w:szCs w:val="24"/>
          <w:lang w:eastAsia="en-US"/>
        </w:rPr>
        <w:t xml:space="preserve"> standardiserede</w:t>
      </w:r>
      <w:r w:rsidRPr="008913ED">
        <w:rPr>
          <w:szCs w:val="24"/>
          <w:lang w:eastAsia="en-US"/>
        </w:rPr>
        <w:t xml:space="preserve"> metoder, som skal anvendes i forbindelse med forvaltning af knap kapacitet</w:t>
      </w:r>
      <w:r w:rsidRPr="008913ED">
        <w:rPr>
          <w:b/>
          <w:i/>
          <w:szCs w:val="24"/>
          <w:lang w:eastAsia="en-US"/>
        </w:rPr>
        <w:t>, og til at ændre denne artikels stk</w:t>
      </w:r>
      <w:r w:rsidRPr="008913ED">
        <w:rPr>
          <w:szCs w:val="24"/>
          <w:lang w:eastAsia="en-US"/>
        </w:rPr>
        <w:t>.</w:t>
      </w:r>
      <w:r w:rsidRPr="008913ED">
        <w:rPr>
          <w:b/>
          <w:i/>
          <w:szCs w:val="24"/>
          <w:lang w:eastAsia="en-US"/>
        </w:rPr>
        <w:t xml:space="preserve"> 6</w:t>
      </w:r>
      <w:r w:rsidRPr="008913ED">
        <w:rPr>
          <w:szCs w:val="24"/>
          <w:lang w:eastAsia="en-US"/>
        </w:rPr>
        <w:t xml:space="preserve"> Disse </w:t>
      </w:r>
      <w:r w:rsidRPr="008913ED">
        <w:rPr>
          <w:strike/>
          <w:szCs w:val="24"/>
          <w:lang w:eastAsia="en-US"/>
        </w:rPr>
        <w:t>gennemførelsesretsakter</w:t>
      </w:r>
      <w:r w:rsidRPr="008913ED">
        <w:rPr>
          <w:b/>
          <w:i/>
          <w:szCs w:val="24"/>
          <w:lang w:eastAsia="en-US"/>
        </w:rPr>
        <w:t>delegerede retsakter</w:t>
      </w:r>
      <w:r w:rsidRPr="008913ED">
        <w:rPr>
          <w:szCs w:val="24"/>
          <w:lang w:eastAsia="en-US"/>
        </w:rPr>
        <w:t xml:space="preserve"> vedtages </w:t>
      </w:r>
      <w:r w:rsidRPr="008913ED">
        <w:rPr>
          <w:strike/>
          <w:szCs w:val="24"/>
          <w:lang w:eastAsia="en-US"/>
        </w:rPr>
        <w:t>efter undersøgelsesproceduren i artikel 72, stk. 3</w:t>
      </w:r>
      <w:r w:rsidRPr="008913ED">
        <w:rPr>
          <w:b/>
          <w:i/>
          <w:szCs w:val="24"/>
          <w:lang w:eastAsia="en-US"/>
        </w:rPr>
        <w:t>senest ... [24 måneder fra denne forordnings ikrafttræden]. De skal indgå i den europæiske ramme for kapacitetsforvaltning</w:t>
      </w:r>
      <w:r w:rsidRPr="008913ED">
        <w:rPr>
          <w:szCs w:val="24"/>
          <w:lang w:eastAsia="en-US"/>
        </w:rPr>
        <w:t>.</w:t>
      </w:r>
      <w:r w:rsidRPr="008913ED">
        <w:rPr>
          <w:b/>
          <w:szCs w:val="24"/>
          <w:lang w:eastAsia="en-US"/>
        </w:rPr>
        <w:t xml:space="preserve"> [Ændring 55]</w:t>
      </w:r>
    </w:p>
    <w:p w14:paraId="0BC204F9" w14:textId="77777777" w:rsidR="0005686F" w:rsidRDefault="0005686F">
      <w:pPr>
        <w:widowControl/>
        <w:rPr>
          <w:szCs w:val="24"/>
          <w:lang w:eastAsia="en-US"/>
        </w:rPr>
      </w:pPr>
      <w:r>
        <w:rPr>
          <w:szCs w:val="24"/>
          <w:lang w:eastAsia="en-US"/>
        </w:rPr>
        <w:br w:type="page"/>
      </w:r>
    </w:p>
    <w:p w14:paraId="2A3259E7" w14:textId="3C89C11B"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9</w:t>
      </w:r>
      <w:r w:rsidRPr="008913ED">
        <w:rPr>
          <w:szCs w:val="24"/>
          <w:lang w:eastAsia="en-US"/>
        </w:rPr>
        <w:br/>
        <w:t>Oplysninger om infrastrukturkapacitet</w:t>
      </w:r>
    </w:p>
    <w:p w14:paraId="68AFB860"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Infrastrukturforvalterne giver berørte parter, navnlig ansøgere, potentielle ansøgere og tilsynsorganer, nøjagtige og ajourførte oplysninger om tilgængeligheden af infrastrukturkapacitet under hele kapacitetsforvaltningsprocessen, herunder i den strategiske planlægningsfase, jf. afdeling 2, under planlægnings- og tildelingsprocesserne, jf. afdeling 3, og når der sker ændringer af den tildelte kapacitet, jf. afdeling 4</w:t>
      </w:r>
      <w:r w:rsidRPr="008913ED">
        <w:rPr>
          <w:b/>
          <w:i/>
          <w:szCs w:val="24"/>
          <w:lang w:eastAsia="en-US"/>
        </w:rPr>
        <w:t>, afhængigt af tilgængeligheden af den offentliggjorte kapacitetsstrategi, kapacitetsmodel og kapacitetsforsyningsplan</w:t>
      </w:r>
      <w:r w:rsidRPr="008913ED">
        <w:rPr>
          <w:szCs w:val="24"/>
          <w:lang w:eastAsia="en-US"/>
        </w:rPr>
        <w:t>.</w:t>
      </w:r>
      <w:r w:rsidRPr="008913ED">
        <w:rPr>
          <w:b/>
          <w:szCs w:val="24"/>
          <w:lang w:eastAsia="en-US"/>
        </w:rPr>
        <w:t xml:space="preserve"> [Ændring 56]</w:t>
      </w:r>
    </w:p>
    <w:p w14:paraId="38412353"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offentliggør straks enhver ajourføring af kapacitetsforsyningsplanen, jf. artikel 18, og køreplanen, jf. artikel 30.</w:t>
      </w:r>
    </w:p>
    <w:p w14:paraId="35F508E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Infrastrukturforvalterne offentliggør de i stk. 1 omhandlede oplysninger i overensstemmelse med artikel 62, stk. 5, og bidrager til udviklingen af relevante specifikationer i overensstemmelse med artikel 62, stk. 3.</w:t>
      </w:r>
    </w:p>
    <w:p w14:paraId="5F7E01D2" w14:textId="77777777" w:rsidR="0005686F" w:rsidRDefault="0005686F">
      <w:pPr>
        <w:widowControl/>
        <w:rPr>
          <w:szCs w:val="24"/>
          <w:lang w:eastAsia="en-US"/>
        </w:rPr>
      </w:pPr>
      <w:r>
        <w:rPr>
          <w:szCs w:val="24"/>
          <w:lang w:eastAsia="en-US"/>
        </w:rPr>
        <w:br w:type="page"/>
      </w:r>
    </w:p>
    <w:p w14:paraId="1464943D" w14:textId="2D4587F8"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På anmodning af ansøgere fremlægger infrastrukturforvalterne de i</w:t>
      </w:r>
      <w:r w:rsidRPr="008913ED">
        <w:rPr>
          <w:b/>
          <w:i/>
          <w:szCs w:val="24"/>
          <w:lang w:eastAsia="en-US"/>
        </w:rPr>
        <w:t xml:space="preserve"> denne artikels</w:t>
      </w:r>
      <w:r w:rsidRPr="008913ED">
        <w:rPr>
          <w:szCs w:val="24"/>
          <w:lang w:eastAsia="en-US"/>
        </w:rPr>
        <w:t xml:space="preserve"> stk. 1 omhandlede oplysninger på grundlag af konkrete specifikationer for kommercielle og operationelle behov ("gennemførlighedsvurderinger"). For så vidt angår grænseoverskridende tjenester modtager og besvarer infrastrukturforvalterne sådanne ansøgninger på ét og samme sted og på én gang eller via en enkelt grænseflade</w:t>
      </w:r>
      <w:r w:rsidRPr="008913ED">
        <w:rPr>
          <w:b/>
          <w:i/>
          <w:szCs w:val="24"/>
          <w:lang w:eastAsia="en-US"/>
        </w:rPr>
        <w:t>, der er oprettet i overensstemmelse med artikel 27, stk</w:t>
      </w:r>
      <w:r w:rsidRPr="008913ED">
        <w:rPr>
          <w:szCs w:val="24"/>
          <w:lang w:eastAsia="en-US"/>
        </w:rPr>
        <w:t>.</w:t>
      </w:r>
      <w:r w:rsidRPr="008913ED">
        <w:rPr>
          <w:b/>
          <w:i/>
          <w:szCs w:val="24"/>
          <w:lang w:eastAsia="en-US"/>
        </w:rPr>
        <w:t xml:space="preserve"> 4.</w:t>
      </w:r>
      <w:r w:rsidRPr="008913ED">
        <w:rPr>
          <w:b/>
          <w:szCs w:val="24"/>
          <w:lang w:eastAsia="en-US"/>
        </w:rPr>
        <w:t xml:space="preserve"> [Ændring 57]</w:t>
      </w:r>
    </w:p>
    <w:p w14:paraId="4E0356A9" w14:textId="77777777" w:rsidR="0005686F" w:rsidRDefault="0005686F">
      <w:pPr>
        <w:widowControl/>
        <w:rPr>
          <w:szCs w:val="24"/>
          <w:lang w:eastAsia="en-US"/>
        </w:rPr>
      </w:pPr>
      <w:r>
        <w:rPr>
          <w:szCs w:val="24"/>
          <w:lang w:eastAsia="en-US"/>
        </w:rPr>
        <w:br w:type="page"/>
      </w:r>
    </w:p>
    <w:p w14:paraId="7197B2B6" w14:textId="0018AF22"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10</w:t>
      </w:r>
      <w:r w:rsidRPr="008913ED">
        <w:rPr>
          <w:szCs w:val="24"/>
          <w:lang w:eastAsia="en-US"/>
        </w:rPr>
        <w:br/>
        <w:t>Kapacitetsrestriktioner som følge af infrastrukturarbejder og forringet infrastruktur</w:t>
      </w:r>
    </w:p>
    <w:p w14:paraId="63AFE60D"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Med forbehold af artikel 7, 7c og 7e i direktiv 2012/34/EU planlægger infrastrukturforvalterne infrastrukturarbejder i overensstemmelse med virksomhedsplanen og de investerings- og finansieringsprogrammer, der er omhandlet i artikel 8, stk. 3, i direktiv 2012/34/EU. Hvis ændringer af disse programmer efter vedtagelsen af virksomhedsplanen påvirker eller vil kunne påvirke planlægningen af infrastrukturarbejder, udarbejder infrastrukturforvalteren en oversigt over sådanne ændringer med angivelse af deres sandsynlige indvirkning i netvejledningen.</w:t>
      </w:r>
      <w:r w:rsidRPr="008913ED">
        <w:rPr>
          <w:b/>
          <w:i/>
          <w:szCs w:val="24"/>
          <w:lang w:eastAsia="en-US"/>
        </w:rPr>
        <w:t xml:space="preserve"> Medlemsstaten stiller stabil og rettidig flerårig finansiering til rådighed for infrastrukturforvalteren til vedligeholdelse, fornyelse og nybygning af jernbaneinfrastruktur i en løbende periode på mindst fem år via den flerårige præstationsaftale for at støtte infrastrukturforvalterne med henblik på at forhindre forringelse af jernbaneinfrastrukturen og minimere indvirkningen på eventuelle kapacitetsbegrænsninger. Det årlige budget, der er til rådighed for infrastrukturforvalterne, skal gøres gennemsigtigt for infrastrukturforvalteren, og tildelingen skal være pålidelig.</w:t>
      </w:r>
      <w:r w:rsidRPr="008913ED">
        <w:rPr>
          <w:b/>
          <w:szCs w:val="24"/>
          <w:lang w:eastAsia="en-US"/>
        </w:rPr>
        <w:t xml:space="preserve"> [Ændring 58]</w:t>
      </w:r>
    </w:p>
    <w:p w14:paraId="03AD7CE3" w14:textId="77777777" w:rsidR="0005686F" w:rsidRDefault="0005686F">
      <w:pPr>
        <w:widowControl/>
        <w:rPr>
          <w:szCs w:val="24"/>
          <w:lang w:eastAsia="en-US"/>
        </w:rPr>
      </w:pPr>
      <w:r>
        <w:rPr>
          <w:szCs w:val="24"/>
          <w:lang w:eastAsia="en-US"/>
        </w:rPr>
        <w:br w:type="page"/>
      </w:r>
    </w:p>
    <w:p w14:paraId="6E197D53" w14:textId="71206AC8"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Ved planlægningen af infrastrukturarbejder handler infrastrukturforvalteren i overensstemmelse med artikel 2, stk. 3, og artikel 3.</w:t>
      </w:r>
    </w:p>
    <w:p w14:paraId="62E9DBFA"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Infrastrukturforvalteren tager navnlig på en afbalanceret måde hensyn til infrastrukturarbejdets indvirkning på infrastrukturforvalterens kapitalforvaltning og finansielle situation samt til de operationelle og finansielle virkninger for alle berørte ansøgere.</w:t>
      </w:r>
    </w:p>
    <w:p w14:paraId="40A8E55B" w14:textId="406CBB1A" w:rsidR="008913ED" w:rsidRPr="008913ED" w:rsidRDefault="008913ED" w:rsidP="008913ED">
      <w:pPr>
        <w:spacing w:before="120" w:after="120" w:line="360" w:lineRule="auto"/>
        <w:ind w:left="850"/>
        <w:rPr>
          <w:b/>
          <w:szCs w:val="24"/>
          <w:lang w:eastAsia="en-US"/>
        </w:rPr>
      </w:pPr>
      <w:r w:rsidRPr="008913ED">
        <w:rPr>
          <w:b/>
          <w:i/>
          <w:szCs w:val="24"/>
          <w:lang w:eastAsia="en-US"/>
        </w:rPr>
        <w:t>Den finansiering, som medlemsstaten yder til infrastrukturforvalteren, skal tilstræbe at etablere denne balance. De oplysninger, der er nødvendige for, at infrastrukturforvalteren kan overholde denne bestemmelse, gives rettidigt af ansøgerne.</w:t>
      </w:r>
      <w:r w:rsidRPr="008913ED">
        <w:rPr>
          <w:b/>
          <w:szCs w:val="24"/>
          <w:lang w:eastAsia="en-US"/>
        </w:rPr>
        <w:t xml:space="preserve"> [Ændring 59</w:t>
      </w:r>
      <w:r w:rsidR="00E8777C">
        <w:rPr>
          <w:b/>
          <w:szCs w:val="24"/>
          <w:lang w:eastAsia="en-US"/>
        </w:rPr>
        <w:t xml:space="preserve"> + 60</w:t>
      </w:r>
      <w:r w:rsidRPr="008913ED">
        <w:rPr>
          <w:b/>
          <w:szCs w:val="24"/>
          <w:lang w:eastAsia="en-US"/>
        </w:rPr>
        <w:t>]</w:t>
      </w:r>
    </w:p>
    <w:p w14:paraId="64555A65" w14:textId="77777777" w:rsidR="0005686F" w:rsidRDefault="0005686F">
      <w:pPr>
        <w:widowControl/>
        <w:rPr>
          <w:szCs w:val="24"/>
          <w:lang w:eastAsia="en-US"/>
        </w:rPr>
      </w:pPr>
      <w:r>
        <w:rPr>
          <w:szCs w:val="24"/>
          <w:lang w:eastAsia="en-US"/>
        </w:rPr>
        <w:br w:type="page"/>
      </w:r>
    </w:p>
    <w:p w14:paraId="308A5D42" w14:textId="319CB841"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 xml:space="preserve">Infrastrukturforvalterne hører ansøgerne om infrastrukturarbejder inden for rammerne af de samordningsmekanismer, der er omhandlet i artikel 7e i direktiv </w:t>
      </w:r>
      <w:r w:rsidRPr="008913ED">
        <w:rPr>
          <w:strike/>
          <w:szCs w:val="24"/>
          <w:lang w:eastAsia="en-US"/>
        </w:rPr>
        <w:t>2012/34/EF</w:t>
      </w:r>
      <w:r w:rsidRPr="008913ED">
        <w:rPr>
          <w:b/>
          <w:i/>
          <w:szCs w:val="24"/>
          <w:lang w:eastAsia="en-US"/>
        </w:rPr>
        <w:t>2012/34/EU</w:t>
      </w:r>
      <w:r w:rsidRPr="008913ED">
        <w:rPr>
          <w:szCs w:val="24"/>
          <w:lang w:eastAsia="en-US"/>
        </w:rPr>
        <w:t>, og i forbindelse med grænseoverskridende jernbanetjenester i overensstemmelse med artikel 54 i denne forordning.</w:t>
      </w:r>
      <w:r w:rsidRPr="008913ED">
        <w:rPr>
          <w:b/>
          <w:szCs w:val="24"/>
          <w:lang w:eastAsia="en-US"/>
        </w:rPr>
        <w:t xml:space="preserve"> [Ændring 61]</w:t>
      </w:r>
    </w:p>
    <w:p w14:paraId="4728715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Infrastrukturforvalteren planlægger og informerer og hører ansøgerne om kapacitetsrestriktioner som følge af infrastrukturarbejder i tilstrækkelig god tid under hensyntagen til de anslåede virkninger for jernbanevirksomhederne. Med henblik herpå skal infrastrukturforvalterne overholde tidsplanen i afsnit 3 i bilag I.</w:t>
      </w:r>
    </w:p>
    <w:p w14:paraId="758FD6B6" w14:textId="77777777" w:rsidR="008913ED" w:rsidRPr="008913ED" w:rsidRDefault="008913ED" w:rsidP="008913ED">
      <w:pPr>
        <w:spacing w:before="120" w:after="120" w:line="360" w:lineRule="auto"/>
        <w:ind w:left="850"/>
        <w:rPr>
          <w:szCs w:val="24"/>
          <w:lang w:eastAsia="en-US"/>
        </w:rPr>
      </w:pPr>
      <w:r w:rsidRPr="008913ED">
        <w:rPr>
          <w:szCs w:val="24"/>
          <w:lang w:eastAsia="en-US"/>
        </w:rPr>
        <w:t>I forbindelse med kapacitetsrestriktioner, der har væsentlig indvirkning på den kapacitet, der er til rådighed for ansøgere, kan ansøgerne anmode infrastrukturforvalteren om at foreslå alternativ planlægning i forbindelse med kapacitetsrestriktionen med henblik på at identificere og vælge en løsning, hvor der på en afbalanceret måde tages hensyn til virkningerne for ansøgere og infrastrukturforvaltere. Infrastrukturforvalteren tilbyder disse ansøgere en vejledende planlægning af den alternative kapacitet, der er til rådighed under kapacitetsrestriktionen.</w:t>
      </w:r>
    </w:p>
    <w:p w14:paraId="2A2CFD5A" w14:textId="77777777" w:rsidR="008913ED" w:rsidRPr="008913ED" w:rsidRDefault="008913ED" w:rsidP="008913ED">
      <w:pPr>
        <w:spacing w:before="120" w:after="120" w:line="360" w:lineRule="auto"/>
        <w:ind w:left="850"/>
        <w:rPr>
          <w:szCs w:val="24"/>
          <w:lang w:eastAsia="en-US"/>
        </w:rPr>
      </w:pPr>
      <w:r w:rsidRPr="008913ED">
        <w:rPr>
          <w:szCs w:val="24"/>
          <w:lang w:eastAsia="en-US"/>
        </w:rPr>
        <w:t>Den vejledende planlægning omfatter både den berørte strækning og alternative strækninger og afspejles i den i artikel 17 omhandlede kapacitetsmodel og i den i artikel 18 omhandlede kapacitetsforsyningsplan.</w:t>
      </w:r>
    </w:p>
    <w:p w14:paraId="107377AE" w14:textId="77777777" w:rsidR="0005686F" w:rsidRDefault="0005686F">
      <w:pPr>
        <w:widowControl/>
        <w:rPr>
          <w:szCs w:val="24"/>
          <w:lang w:eastAsia="en-US"/>
        </w:rPr>
      </w:pPr>
      <w:r>
        <w:rPr>
          <w:szCs w:val="24"/>
          <w:lang w:eastAsia="en-US"/>
        </w:rPr>
        <w:br w:type="page"/>
      </w:r>
    </w:p>
    <w:p w14:paraId="1B003BA4" w14:textId="3979CB2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Infrastrukturforvalterne tager hensyn til og afbøder indvirkningen af infrastrukturarbejder på den grænseoverskridende trafik. Infrastrukturforvalterne samordner i overensstemmelse med artikel 53 alle infrastrukturarbejder på de strækninger, der er omhandlet i artikel 53, stk. 3, og alle andre infrastrukturarbejder med betydelige grænseoverskridende virkninger.</w:t>
      </w:r>
    </w:p>
    <w:p w14:paraId="72FCC32A"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Samordningen omfatter navnlig optimering af tidsplanen for infrastrukturarbejder og tilvejebringelse af alternativ kapacitet på den berørte strækning og på alternative ruter under hensyntagen til </w:t>
      </w:r>
      <w:r w:rsidRPr="008913ED">
        <w:rPr>
          <w:strike/>
          <w:szCs w:val="24"/>
          <w:lang w:eastAsia="en-US"/>
        </w:rPr>
        <w:t>ansøgernes</w:t>
      </w:r>
      <w:r w:rsidRPr="008913ED">
        <w:rPr>
          <w:b/>
          <w:i/>
          <w:szCs w:val="24"/>
          <w:lang w:eastAsia="en-US"/>
        </w:rPr>
        <w:t>de forskellige ansøgeres</w:t>
      </w:r>
      <w:r w:rsidRPr="008913ED">
        <w:rPr>
          <w:szCs w:val="24"/>
          <w:lang w:eastAsia="en-US"/>
        </w:rPr>
        <w:t xml:space="preserve"> operationelle</w:t>
      </w:r>
      <w:r w:rsidRPr="008913ED">
        <w:rPr>
          <w:b/>
          <w:i/>
          <w:szCs w:val="24"/>
          <w:lang w:eastAsia="en-US"/>
        </w:rPr>
        <w:t>, infrastrukturmæssige</w:t>
      </w:r>
      <w:r w:rsidRPr="008913ED">
        <w:rPr>
          <w:szCs w:val="24"/>
          <w:lang w:eastAsia="en-US"/>
        </w:rPr>
        <w:t xml:space="preserve"> og kommercielle behov.</w:t>
      </w:r>
      <w:r w:rsidRPr="008913ED">
        <w:rPr>
          <w:b/>
          <w:szCs w:val="24"/>
          <w:lang w:eastAsia="en-US"/>
        </w:rPr>
        <w:t xml:space="preserve"> [Ændring 62]</w:t>
      </w:r>
    </w:p>
    <w:p w14:paraId="65D81220"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Ledelsen for godstogtransport forelægger en henstilling vedrørende koordineringen af arbejder for sine respektive infrastrukturforvaltere tre måneder inden den i stk. 4 fastsatte periode.</w:t>
      </w:r>
      <w:r w:rsidRPr="008913ED">
        <w:rPr>
          <w:b/>
          <w:szCs w:val="24"/>
          <w:lang w:eastAsia="en-US"/>
        </w:rPr>
        <w:t xml:space="preserve"> [Ændring 63]</w:t>
      </w:r>
    </w:p>
    <w:p w14:paraId="2D3C36C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Reduktioner i infrastrukturens kapacitet eller ydeevne, der ligger under projekteringsværdierne som følge af forringelsen af aktiver, f.eks. reduktion af tilladt hastighed eller akseltryk, betragtes også som kapacitetsrestriktioner. De oplysningsforpligtelser, der er fastsat i artikel 9, finder anvendelse på sådanne restriktioner.</w:t>
      </w:r>
    </w:p>
    <w:p w14:paraId="2BDF91B7" w14:textId="77777777" w:rsidR="0005686F" w:rsidRDefault="0005686F">
      <w:pPr>
        <w:widowControl/>
        <w:rPr>
          <w:szCs w:val="24"/>
          <w:lang w:eastAsia="en-US"/>
        </w:rPr>
      </w:pPr>
      <w:r>
        <w:rPr>
          <w:szCs w:val="24"/>
          <w:lang w:eastAsia="en-US"/>
        </w:rPr>
        <w:br w:type="page"/>
      </w:r>
    </w:p>
    <w:p w14:paraId="7A0F6D3A" w14:textId="38C2FFE4"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7.</w:t>
      </w:r>
      <w:r w:rsidRPr="008913ED">
        <w:rPr>
          <w:szCs w:val="24"/>
          <w:lang w:eastAsia="en-US"/>
        </w:rPr>
        <w:tab/>
        <w:t>Infrastrukturforvalterne offentliggør oplysninger og hører ansøgerne om planlagte midlertidige kapacitetsrestriktioner, deres indvirkning på den kapacitet, der er til rådighed til kommercielle formål, og om alternativ kapacitet så hurtigt som muligt.</w:t>
      </w:r>
    </w:p>
    <w:p w14:paraId="3CDE359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8.</w:t>
      </w:r>
      <w:r w:rsidRPr="008913ED">
        <w:rPr>
          <w:szCs w:val="24"/>
          <w:lang w:eastAsia="en-US"/>
        </w:rPr>
        <w:tab/>
        <w:t>Kommissionen tillægges beføjelser til at vedtage delegerede retsakter i overensstemmelse med artikel 71 med henblik på at ændre afsnit 3 i bilag I for at mindske indvirkningen af kapacitetsrestriktioner som følge af infrastrukturarbejder på jernbanetrafikken under hensyntagen til de berørte interessenters planlægning og operationelle, tekniske og kommercielle interesser.</w:t>
      </w:r>
    </w:p>
    <w:p w14:paraId="33BAD4DF" w14:textId="77777777" w:rsidR="008913ED" w:rsidRPr="008913ED" w:rsidRDefault="008913ED" w:rsidP="008913ED">
      <w:pPr>
        <w:spacing w:before="120" w:after="120" w:line="360" w:lineRule="auto"/>
        <w:jc w:val="center"/>
        <w:rPr>
          <w:szCs w:val="24"/>
          <w:lang w:eastAsia="en-US"/>
        </w:rPr>
      </w:pPr>
      <w:r w:rsidRPr="008913ED">
        <w:rPr>
          <w:szCs w:val="24"/>
          <w:lang w:eastAsia="en-US"/>
        </w:rPr>
        <w:t xml:space="preserve">AFDELING 2 </w:t>
      </w:r>
      <w:r w:rsidRPr="008913ED">
        <w:rPr>
          <w:szCs w:val="24"/>
          <w:lang w:eastAsia="en-US"/>
        </w:rPr>
        <w:br/>
        <w:t>STRATEGISK KAPACITETSPLANLÆGNING</w:t>
      </w:r>
    </w:p>
    <w:p w14:paraId="218541E2"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11</w:t>
      </w:r>
      <w:r w:rsidRPr="008913ED">
        <w:rPr>
          <w:szCs w:val="24"/>
          <w:lang w:eastAsia="en-US"/>
        </w:rPr>
        <w:br/>
        <w:t>Strategisk kapacitetsplanlægning</w:t>
      </w:r>
    </w:p>
    <w:p w14:paraId="103D50E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Den strategiske kapacitetsplanlægning omfatter alle de aktiviteter, der er anført i artikel 12-25.</w:t>
      </w:r>
    </w:p>
    <w:p w14:paraId="1B553A3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Den strategiske kapacitetsplanlægning skal munde ud i følgende planlægningsdokumenter, som gradvis tilvejebringer flere detaljer om tilgængelig kapacitet:</w:t>
      </w:r>
    </w:p>
    <w:p w14:paraId="20363F2C" w14:textId="77777777" w:rsidR="0005686F" w:rsidRDefault="0005686F">
      <w:pPr>
        <w:widowControl/>
        <w:rPr>
          <w:szCs w:val="24"/>
          <w:lang w:eastAsia="en-US"/>
        </w:rPr>
      </w:pPr>
      <w:r>
        <w:rPr>
          <w:szCs w:val="24"/>
          <w:lang w:eastAsia="en-US"/>
        </w:rPr>
        <w:br w:type="page"/>
      </w:r>
    </w:p>
    <w:p w14:paraId="2FA6D501" w14:textId="3AE5E2B0"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a)</w:t>
      </w:r>
      <w:r w:rsidRPr="008913ED">
        <w:rPr>
          <w:szCs w:val="24"/>
          <w:lang w:eastAsia="en-US"/>
        </w:rPr>
        <w:tab/>
        <w:t>den kapacitetsstrategi, der er omhandlet i artikel 16</w:t>
      </w:r>
    </w:p>
    <w:p w14:paraId="2E46415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den kapacitetsmodel, der er omhandlet i artikel 17</w:t>
      </w:r>
    </w:p>
    <w:p w14:paraId="5846308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den kapacitetsforsyningsplan, der er omhandlet i artikel 18.</w:t>
      </w:r>
    </w:p>
    <w:p w14:paraId="17C0772C" w14:textId="77777777" w:rsidR="008913ED" w:rsidRPr="008913ED" w:rsidRDefault="008913ED" w:rsidP="008913ED">
      <w:pPr>
        <w:spacing w:before="120" w:after="120" w:line="360" w:lineRule="auto"/>
        <w:ind w:left="850"/>
        <w:rPr>
          <w:b/>
          <w:szCs w:val="24"/>
          <w:lang w:eastAsia="en-US"/>
        </w:rPr>
      </w:pPr>
      <w:r w:rsidRPr="008913ED">
        <w:rPr>
          <w:szCs w:val="24"/>
          <w:lang w:eastAsia="en-US"/>
        </w:rPr>
        <w:t>Indholdet af og tidsplanen for udarbejdelsen af disse resultater er anført i afsnit 1 og 2 i bilag I.</w:t>
      </w:r>
      <w:r w:rsidRPr="008913ED">
        <w:rPr>
          <w:b/>
          <w:i/>
          <w:szCs w:val="24"/>
          <w:lang w:eastAsia="en-US"/>
        </w:rPr>
        <w:t xml:space="preserve"> Alt indhold stilles til rådighed af infrastrukturforvalteren på det officielle sprog i medlemsstaten og på engelsk.</w:t>
      </w:r>
      <w:r w:rsidRPr="008913ED">
        <w:rPr>
          <w:b/>
          <w:szCs w:val="24"/>
          <w:lang w:eastAsia="en-US"/>
        </w:rPr>
        <w:t xml:space="preserve"> [Ændring 64]</w:t>
      </w:r>
    </w:p>
    <w:p w14:paraId="4DA89B71"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vedtager planlægningsdokumenterne som grundlag for næste fase i planlægningsprocessen.</w:t>
      </w:r>
    </w:p>
    <w:p w14:paraId="58600A54"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Kommissionen tillægges beføjelser til at vedtage delegerede retsakter i overensstemmelse med artikel 71 med henblik på at ændre afsnit 1 og 2 i bilag I for at sikre en effektiv strategisk planlægningsproces og afspejle infrastrukturforvalternes og ansøgernes operationelle interesser under hensyntagen til </w:t>
      </w:r>
      <w:r w:rsidRPr="008913ED">
        <w:rPr>
          <w:b/>
          <w:i/>
          <w:szCs w:val="24"/>
          <w:lang w:eastAsia="en-US"/>
        </w:rPr>
        <w:t xml:space="preserve">en henstilling fra ERA og </w:t>
      </w:r>
      <w:r w:rsidRPr="008913ED">
        <w:rPr>
          <w:szCs w:val="24"/>
          <w:lang w:eastAsia="en-US"/>
        </w:rPr>
        <w:t xml:space="preserve">erfaringerne fra ENIM, infrastrukturforvaltere, ansøgere og andre operationelle interessenter, tilsynsorganer og </w:t>
      </w:r>
      <w:r w:rsidRPr="008913ED">
        <w:rPr>
          <w:strike/>
          <w:szCs w:val="24"/>
          <w:lang w:eastAsia="en-US"/>
        </w:rPr>
        <w:t>ENRB</w:t>
      </w:r>
      <w:r w:rsidRPr="008913ED">
        <w:rPr>
          <w:b/>
          <w:i/>
          <w:szCs w:val="24"/>
          <w:lang w:eastAsia="en-US"/>
        </w:rPr>
        <w:t>ENRRB</w:t>
      </w:r>
      <w:r w:rsidRPr="008913ED">
        <w:rPr>
          <w:szCs w:val="24"/>
          <w:lang w:eastAsia="en-US"/>
        </w:rPr>
        <w:t xml:space="preserve"> med gennemførelsen af bestemmelserne i denne afdeling.</w:t>
      </w:r>
      <w:r w:rsidRPr="008913ED">
        <w:rPr>
          <w:b/>
          <w:szCs w:val="24"/>
          <w:lang w:eastAsia="en-US"/>
        </w:rPr>
        <w:t xml:space="preserve"> [Ændring 65]</w:t>
      </w:r>
    </w:p>
    <w:p w14:paraId="2B2B7F30" w14:textId="77777777" w:rsidR="0005686F" w:rsidRDefault="0005686F">
      <w:pPr>
        <w:widowControl/>
        <w:rPr>
          <w:szCs w:val="24"/>
          <w:lang w:eastAsia="en-US"/>
        </w:rPr>
      </w:pPr>
      <w:r>
        <w:rPr>
          <w:szCs w:val="24"/>
          <w:lang w:eastAsia="en-US"/>
        </w:rPr>
        <w:br w:type="page"/>
      </w:r>
    </w:p>
    <w:p w14:paraId="77790EE8" w14:textId="5C224E87"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 xml:space="preserve">Med forbehold af princippet om forvaltningsmæssig uafhængighed, jf. artikel 4 i direktiv 2012/34/EU, kan medlemsstaterne udarbejde strategiske retningslinjer til medlemsstaterne baseret på de vejledende udviklingsstrategier for jernbaneinfrastrukturen, der er omhandlet i artikel 8, stk. 1, i direktiv 2012/34/EU. </w:t>
      </w:r>
      <w:r w:rsidRPr="008913ED">
        <w:rPr>
          <w:b/>
          <w:i/>
          <w:szCs w:val="24"/>
          <w:lang w:eastAsia="en-US"/>
        </w:rPr>
        <w:t xml:space="preserve">Vejledningen gives af medlemsstaterne i så god tid, at infrastrukturforvaltere og operationelle interessenter kan overholde de frister, der er fastsat i bilag I til denne forordning. </w:t>
      </w:r>
      <w:r w:rsidRPr="008913ED">
        <w:rPr>
          <w:szCs w:val="24"/>
          <w:lang w:eastAsia="en-US"/>
        </w:rPr>
        <w:t>Disse retningslinjer kan navnlig omfatte/indeholde:</w:t>
      </w:r>
      <w:r w:rsidRPr="008913ED">
        <w:rPr>
          <w:b/>
          <w:szCs w:val="24"/>
          <w:lang w:eastAsia="en-US"/>
        </w:rPr>
        <w:t xml:space="preserve"> [Ændring 66]</w:t>
      </w:r>
    </w:p>
    <w:p w14:paraId="7A3DC4A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generelle målsætninger for den nationale jernbanepolitik af relevans for den strategiske kapacitetsplanlægning inden for denne forordnings anvendelsesområde</w:t>
      </w:r>
    </w:p>
    <w:p w14:paraId="2EAF1E5B"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b)</w:t>
      </w:r>
      <w:r w:rsidRPr="008913ED">
        <w:rPr>
          <w:szCs w:val="24"/>
          <w:lang w:eastAsia="en-US"/>
        </w:rPr>
        <w:tab/>
        <w:t>et overblik over udviklingen af jernbaneinfrastruktur under hensyntagen til relevante planer</w:t>
      </w:r>
      <w:r w:rsidRPr="008913ED">
        <w:rPr>
          <w:b/>
          <w:i/>
          <w:szCs w:val="24"/>
          <w:lang w:eastAsia="en-US"/>
        </w:rPr>
        <w:t>, herunder langsigtede infrastrukturplaner og -</w:t>
      </w:r>
      <w:r w:rsidRPr="008913ED">
        <w:rPr>
          <w:strike/>
          <w:szCs w:val="24"/>
          <w:lang w:eastAsia="en-US"/>
        </w:rPr>
        <w:t xml:space="preserve"> og </w:t>
      </w:r>
      <w:r w:rsidRPr="008913ED">
        <w:rPr>
          <w:szCs w:val="24"/>
          <w:lang w:eastAsia="en-US"/>
        </w:rPr>
        <w:t xml:space="preserve">strategier på nationalt eller regionalt plan og arbejdsplanerne for de europæiske transportkorridorer, jf. artikel </w:t>
      </w:r>
      <w:r w:rsidRPr="008913ED">
        <w:rPr>
          <w:strike/>
          <w:szCs w:val="24"/>
          <w:lang w:eastAsia="en-US"/>
        </w:rPr>
        <w:t>53 i</w:t>
      </w:r>
      <w:r w:rsidRPr="008913ED">
        <w:rPr>
          <w:b/>
          <w:i/>
          <w:szCs w:val="24"/>
          <w:lang w:eastAsia="en-US"/>
        </w:rPr>
        <w:t>54 i Europa-Parlaments og Rådets forordning (EU) 2024/...</w:t>
      </w:r>
      <w:r w:rsidRPr="008913ED">
        <w:rPr>
          <w:szCs w:val="24"/>
          <w:vertAlign w:val="superscript"/>
          <w:lang w:val="en-GB" w:eastAsia="en-US"/>
        </w:rPr>
        <w:footnoteReference w:id="17"/>
      </w:r>
      <w:r w:rsidRPr="008913ED">
        <w:rPr>
          <w:szCs w:val="24"/>
          <w:lang w:eastAsia="en-US"/>
        </w:rPr>
        <w:t xml:space="preserve"> [den nye TEN-T-forordning]</w:t>
      </w:r>
      <w:r w:rsidRPr="008913ED">
        <w:rPr>
          <w:b/>
          <w:szCs w:val="24"/>
          <w:lang w:eastAsia="en-US"/>
        </w:rPr>
        <w:t xml:space="preserve"> [Ændring 67]</w:t>
      </w:r>
    </w:p>
    <w:p w14:paraId="2DFC6AB1" w14:textId="77777777" w:rsidR="0005686F" w:rsidRDefault="0005686F">
      <w:pPr>
        <w:widowControl/>
        <w:rPr>
          <w:szCs w:val="24"/>
          <w:lang w:eastAsia="en-US"/>
        </w:rPr>
      </w:pPr>
      <w:r>
        <w:rPr>
          <w:szCs w:val="24"/>
          <w:lang w:eastAsia="en-US"/>
        </w:rPr>
        <w:br w:type="page"/>
      </w:r>
    </w:p>
    <w:p w14:paraId="0F2C4621" w14:textId="3EBB2EBA"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c)</w:t>
      </w:r>
      <w:r w:rsidRPr="008913ED">
        <w:rPr>
          <w:szCs w:val="24"/>
          <w:lang w:eastAsia="en-US"/>
        </w:rPr>
        <w:tab/>
        <w:t>generelle krav og retningslinjer for anvendelsen af jernbaneinfrastrukturkapacitet, som infrastrukturforvalteren skal tage hensyn til i den strategiske kapacitetsplanlægning, navnlig i forbindelse med stærkt udnyttet og overbelastet infrastruktur som omhandlet i artikel 21</w:t>
      </w:r>
    </w:p>
    <w:p w14:paraId="308B14E4"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et overblik over den planlagte udvikling af jernbanetjenester, som drives i henhold til forpligtelser til offentlig tjeneste, i givet fald under hensyntagen til de berørte regionale eller lokale myndigheders synspunkter.</w:t>
      </w:r>
    </w:p>
    <w:p w14:paraId="62AD2B71" w14:textId="77777777" w:rsidR="008913ED" w:rsidRPr="008913ED" w:rsidRDefault="008913ED" w:rsidP="008913ED">
      <w:pPr>
        <w:spacing w:before="120" w:after="120" w:line="360" w:lineRule="auto"/>
        <w:ind w:left="850"/>
        <w:rPr>
          <w:b/>
          <w:szCs w:val="24"/>
          <w:lang w:eastAsia="en-US"/>
        </w:rPr>
      </w:pPr>
      <w:r w:rsidRPr="008913ED">
        <w:rPr>
          <w:szCs w:val="24"/>
          <w:lang w:eastAsia="en-US"/>
        </w:rPr>
        <w:t>Medlemsstaterne koordinerer</w:t>
      </w:r>
      <w:r w:rsidRPr="008913ED">
        <w:rPr>
          <w:b/>
          <w:i/>
          <w:szCs w:val="24"/>
          <w:lang w:eastAsia="en-US"/>
        </w:rPr>
        <w:t xml:space="preserve"> den rettidige vejledning og</w:t>
      </w:r>
      <w:r w:rsidRPr="008913ED">
        <w:rPr>
          <w:szCs w:val="24"/>
          <w:lang w:eastAsia="en-US"/>
        </w:rPr>
        <w:t xml:space="preserve"> deres respektive strategiske retningslinjer i overensstemmelse med dette stykke for at sikre sammenhæng og støtte udviklingen af internationale jernbanepassager- og godstransporttjenester.</w:t>
      </w:r>
      <w:r w:rsidRPr="008913ED">
        <w:rPr>
          <w:b/>
          <w:i/>
          <w:szCs w:val="24"/>
          <w:lang w:eastAsia="en-US"/>
        </w:rPr>
        <w:t xml:space="preserve"> Med henblik på artikel 8 i direktiv 2012/34/EU sikrer medlemsstaterne forhåndstildeling af finansielle ressourcer til infrastrukturforvalterne til regelmæssig vedligeholdelse af infrastruktur og finansielle ressourcer til udvikling af infrastruktur som beskrevet i kapacitetsstrategien, jf. artikel 16 i denne forordning. Medlemsstaterne koordinerer deres langsigtede strategiske planer og køreplaner, deres udvikling af infrastruktur baseret på disse planer, og koordinerer tidsfristerne i gennemførelsen af dem.</w:t>
      </w:r>
      <w:r w:rsidRPr="008913ED">
        <w:rPr>
          <w:b/>
          <w:szCs w:val="24"/>
          <w:lang w:eastAsia="en-US"/>
        </w:rPr>
        <w:t xml:space="preserve"> [Ændring 68]</w:t>
      </w:r>
    </w:p>
    <w:p w14:paraId="584B7C34" w14:textId="77777777" w:rsidR="0005686F" w:rsidRDefault="0005686F">
      <w:pPr>
        <w:widowControl/>
        <w:rPr>
          <w:szCs w:val="24"/>
          <w:lang w:eastAsia="en-US"/>
        </w:rPr>
      </w:pPr>
      <w:r>
        <w:rPr>
          <w:szCs w:val="24"/>
          <w:lang w:eastAsia="en-US"/>
        </w:rPr>
        <w:br w:type="page"/>
      </w:r>
    </w:p>
    <w:p w14:paraId="28688C3B" w14:textId="4795C8F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Den strategiske kapacitetsplanlægning må ikke involvere tildeling af kapacitetsrettigheder til individuelle ansøgere, jf. artikel 26.</w:t>
      </w:r>
    </w:p>
    <w:p w14:paraId="4DD888C7"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4a.</w:t>
      </w:r>
      <w:r w:rsidRPr="008913ED">
        <w:rPr>
          <w:szCs w:val="24"/>
          <w:lang w:eastAsia="en-US"/>
        </w:rPr>
        <w:tab/>
      </w:r>
      <w:r w:rsidRPr="008913ED">
        <w:rPr>
          <w:b/>
          <w:i/>
          <w:szCs w:val="24"/>
          <w:lang w:eastAsia="en-US"/>
        </w:rPr>
        <w:t>Kommissionen kan under hensyntagen til erfaringerne med udarbejdelsen og gennemførelsen af de i stk. 3 omhandlede strategiske retningslinjer vedtage delegerede retsakter i overensstemmelse med artikel 71, der fastsætter den specifikke retlige status, skabelon, procedurer, kriterier og metoder, der skal anvendes med henblik på vedtagelsen af nationale strategiske retningslinjer til sikring af overensstemmelse mellem medlemsstaternes strategiske retningslinjer, som er nødvendig for at støtte udviklingen af international jernbanegodstransport og -passagertransport.</w:t>
      </w:r>
      <w:r w:rsidRPr="008913ED">
        <w:rPr>
          <w:b/>
          <w:szCs w:val="24"/>
          <w:lang w:eastAsia="en-US"/>
        </w:rPr>
        <w:t xml:space="preserve"> [Ændring 69]</w:t>
      </w:r>
    </w:p>
    <w:p w14:paraId="07040FDD" w14:textId="62E8B3E0" w:rsidR="008913ED" w:rsidRPr="008913ED" w:rsidRDefault="008913ED" w:rsidP="008913ED">
      <w:pPr>
        <w:spacing w:before="120" w:after="120" w:line="360" w:lineRule="auto"/>
        <w:jc w:val="center"/>
        <w:rPr>
          <w:szCs w:val="24"/>
          <w:lang w:eastAsia="en-US"/>
        </w:rPr>
      </w:pPr>
      <w:r w:rsidRPr="008913ED">
        <w:rPr>
          <w:szCs w:val="24"/>
          <w:lang w:eastAsia="en-US"/>
        </w:rPr>
        <w:t>Artikel 12</w:t>
      </w:r>
      <w:r w:rsidRPr="008913ED">
        <w:rPr>
          <w:szCs w:val="24"/>
          <w:lang w:eastAsia="en-US"/>
        </w:rPr>
        <w:br/>
        <w:t>Generelle krav til strategisk kapacitetsforvaltning</w:t>
      </w:r>
    </w:p>
    <w:p w14:paraId="41E1556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tager på en afbalanceret, retfærdig og ikkediskriminerende måde hensyn til alle former for jernbanetransport, for hvilke de kan modtage ansøgninger om kapacitet, uanset deres omfang, størrelsen af markedet i det efterfølgende omsætningsled, stabiliteten mellem på hinanden følgende køreplaner, regelmæssigheden eller antal afgange i en bestemt køreplansperiode.</w:t>
      </w:r>
    </w:p>
    <w:p w14:paraId="12AB29DE" w14:textId="77777777" w:rsidR="0005686F" w:rsidRDefault="0005686F">
      <w:pPr>
        <w:widowControl/>
        <w:rPr>
          <w:szCs w:val="24"/>
          <w:lang w:eastAsia="en-US"/>
        </w:rPr>
      </w:pPr>
      <w:r>
        <w:rPr>
          <w:szCs w:val="24"/>
          <w:lang w:eastAsia="en-US"/>
        </w:rPr>
        <w:br w:type="page"/>
      </w:r>
    </w:p>
    <w:p w14:paraId="7C95E1CC" w14:textId="0770EFC6"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I den strategiske kapacitetsplanlægning, navnlig i den i artikel 17 omhandlede kapacitetsmodel og i den i artikel 18 omhandlede kapacitetsforsyningsplan, skelner infrastrukturforvalterne som minimum mellem følgende former for jernbanetransport:</w:t>
      </w:r>
    </w:p>
    <w:p w14:paraId="1D0454B5"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godstransport</w:t>
      </w:r>
    </w:p>
    <w:p w14:paraId="4A32787F"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personbefordring mellem byer (lange afstande)</w:t>
      </w:r>
    </w:p>
    <w:p w14:paraId="0D458AB0"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personbefordring i byer og regioner.</w:t>
      </w:r>
    </w:p>
    <w:p w14:paraId="3FE640A7" w14:textId="77777777" w:rsidR="008913ED" w:rsidRPr="008913ED" w:rsidRDefault="008913ED" w:rsidP="008913ED">
      <w:pPr>
        <w:spacing w:before="120" w:after="120" w:line="360" w:lineRule="auto"/>
        <w:ind w:left="850"/>
        <w:rPr>
          <w:b/>
          <w:szCs w:val="24"/>
          <w:lang w:eastAsia="en-US"/>
        </w:rPr>
      </w:pPr>
      <w:r w:rsidRPr="008913ED">
        <w:rPr>
          <w:szCs w:val="24"/>
          <w:lang w:eastAsia="en-US"/>
        </w:rPr>
        <w:t>ENIM kan</w:t>
      </w:r>
      <w:r w:rsidRPr="008913ED">
        <w:rPr>
          <w:b/>
          <w:i/>
          <w:szCs w:val="24"/>
          <w:lang w:eastAsia="en-US"/>
        </w:rPr>
        <w:t xml:space="preserve"> i samarbejde med ERP</w:t>
      </w:r>
      <w:r w:rsidRPr="008913ED">
        <w:rPr>
          <w:szCs w:val="24"/>
          <w:lang w:eastAsia="en-US"/>
        </w:rPr>
        <w:t xml:space="preserve"> om nødvendigt på baggrund af erfaringerne med gennemførelsen af denne forordning opstille en mere detaljeret liste, hvor der skelnes yderligere mellem forskellige former for jernbanetransport. For at støtte den grænseoverskridende sammenhæng i den strategiske planlægningsproces medtages en harmoniseret liste i den europæiske ramme for kapacitetsforvaltning, jf. artikel 6.</w:t>
      </w:r>
      <w:r w:rsidRPr="008913ED">
        <w:rPr>
          <w:b/>
          <w:szCs w:val="24"/>
          <w:lang w:eastAsia="en-US"/>
        </w:rPr>
        <w:t xml:space="preserve"> [Ændring 70]</w:t>
      </w:r>
    </w:p>
    <w:p w14:paraId="6AB2C0FE" w14:textId="77777777" w:rsidR="0005686F" w:rsidRDefault="0005686F">
      <w:pPr>
        <w:widowControl/>
        <w:rPr>
          <w:szCs w:val="24"/>
          <w:lang w:eastAsia="en-US"/>
        </w:rPr>
      </w:pPr>
      <w:r>
        <w:rPr>
          <w:szCs w:val="24"/>
          <w:lang w:eastAsia="en-US"/>
        </w:rPr>
        <w:br w:type="page"/>
      </w:r>
    </w:p>
    <w:p w14:paraId="7F4B21C7" w14:textId="4B71E032"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I den strategiske kapacitetsplanlægning, navnlig i den i artikel 17 omhandlede kapacitetsmodel og i den i artikel 18 omhandlede kapacitetsforsyningsplan, angiver infrastrukturforvalterne den på forhånd planlagte kapacitet egnet til levering af transporttjenester, der omfatter flere net.</w:t>
      </w:r>
    </w:p>
    <w:p w14:paraId="005BCAB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I den strategiske kapacitetsplanlægning tages der ligeledes hensyn til:</w:t>
      </w:r>
    </w:p>
    <w:p w14:paraId="5C7C1529"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den observerede struktur og udvikling i efterspørgslen efter infrastrukturkapacitet som identificeret gennem kapacitetstildeling i tidligere køreplansperioder og gennem den markedsovervågning, der er omhandlet i artikel 15 i direktiv 2012/34/EU</w:t>
      </w:r>
    </w:p>
    <w:p w14:paraId="1F44A17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den forventede udvikling i transportbehov og den deraf følgende efterspørgsel efter jernbanetransporttjenester og jernbaneinfrastrukturkapacitet som identificeret i den analyse, der er omhandlet i artikel 15 i denne forordning</w:t>
      </w:r>
    </w:p>
    <w:p w14:paraId="26F2EC62"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c)</w:t>
      </w:r>
      <w:r w:rsidRPr="008913ED">
        <w:rPr>
          <w:szCs w:val="24"/>
          <w:lang w:eastAsia="en-US"/>
        </w:rPr>
        <w:tab/>
      </w:r>
      <w:r w:rsidRPr="008913ED">
        <w:rPr>
          <w:b/>
          <w:i/>
          <w:szCs w:val="24"/>
          <w:lang w:eastAsia="en-US"/>
        </w:rPr>
        <w:t xml:space="preserve">kapacitetsbehov meddelt af operationelle interessenter og </w:t>
      </w:r>
      <w:r w:rsidRPr="008913ED">
        <w:rPr>
          <w:szCs w:val="24"/>
          <w:lang w:eastAsia="en-US"/>
        </w:rPr>
        <w:t>input fra høringen af nuværende og potentielle ansøgere i overensstemmelse med artikel 13</w:t>
      </w:r>
      <w:r w:rsidRPr="008913ED">
        <w:rPr>
          <w:b/>
          <w:szCs w:val="24"/>
          <w:lang w:eastAsia="en-US"/>
        </w:rPr>
        <w:t xml:space="preserve"> [Ændring 71]</w:t>
      </w:r>
    </w:p>
    <w:p w14:paraId="0CC0658B" w14:textId="77777777" w:rsidR="0005686F" w:rsidRDefault="0005686F">
      <w:pPr>
        <w:widowControl/>
        <w:rPr>
          <w:szCs w:val="24"/>
          <w:lang w:eastAsia="en-US"/>
        </w:rPr>
      </w:pPr>
      <w:r>
        <w:rPr>
          <w:szCs w:val="24"/>
          <w:lang w:eastAsia="en-US"/>
        </w:rPr>
        <w:br w:type="page"/>
      </w:r>
    </w:p>
    <w:p w14:paraId="50632E23" w14:textId="66A2C084"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d)</w:t>
      </w:r>
      <w:r w:rsidRPr="008913ED">
        <w:rPr>
          <w:szCs w:val="24"/>
          <w:lang w:eastAsia="en-US"/>
        </w:rPr>
        <w:tab/>
        <w:t>den forventede eller planlagte udvikling af infrastrukturkapacitet, navnlig som angivet i den vejledende udviklingsstrategi for jernbaneinfrastruktur omhandlet i artikel 8, stk. 1, i direktiv 2012/34/EU og infrastrukturforvalterens virksomhedsplan omhandlet artikel 8, stk. 3, i direktiv 2012/34/EU</w:t>
      </w:r>
    </w:p>
    <w:p w14:paraId="07EDD9F2"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de planlagte infrastrukturarbejder, der forventes at påvirke nettet</w:t>
      </w:r>
    </w:p>
    <w:p w14:paraId="4ACEDB9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f)</w:t>
      </w:r>
      <w:r w:rsidRPr="008913ED">
        <w:rPr>
          <w:szCs w:val="24"/>
          <w:lang w:eastAsia="en-US"/>
        </w:rPr>
        <w:tab/>
        <w:t>de forskellige jernbanetransportmarkeders karakteristika, navnlig med hensyn til:</w:t>
      </w:r>
    </w:p>
    <w:p w14:paraId="7CCB6FBE"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w:t>
      </w:r>
      <w:r w:rsidRPr="008913ED">
        <w:rPr>
          <w:szCs w:val="24"/>
          <w:lang w:eastAsia="en-US"/>
        </w:rPr>
        <w:tab/>
        <w:t>hastighed</w:t>
      </w:r>
    </w:p>
    <w:p w14:paraId="238AD332"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ii)</w:t>
      </w:r>
      <w:r w:rsidRPr="008913ED">
        <w:rPr>
          <w:szCs w:val="24"/>
          <w:lang w:eastAsia="en-US"/>
        </w:rPr>
        <w:tab/>
        <w:t>antal afgange</w:t>
      </w:r>
    </w:p>
    <w:p w14:paraId="1FD4F2B8"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iii)</w:t>
      </w:r>
      <w:r w:rsidRPr="008913ED">
        <w:rPr>
          <w:szCs w:val="24"/>
          <w:lang w:eastAsia="en-US"/>
        </w:rPr>
        <w:tab/>
        <w:t>tolerance for afvigelser fra den tildelte kanal</w:t>
      </w:r>
    </w:p>
    <w:p w14:paraId="4770303F"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iv)</w:t>
      </w:r>
      <w:r w:rsidRPr="008913ED">
        <w:rPr>
          <w:szCs w:val="24"/>
          <w:lang w:eastAsia="en-US"/>
        </w:rPr>
        <w:tab/>
        <w:t>mulighed for at omdirigere, omlægge eller erstatte tjenester med andre transportformer i tilfælde af netforstyrrelser</w:t>
      </w:r>
    </w:p>
    <w:p w14:paraId="35F7AB97"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v)</w:t>
      </w:r>
      <w:r w:rsidRPr="008913ED">
        <w:rPr>
          <w:szCs w:val="24"/>
          <w:lang w:eastAsia="en-US"/>
        </w:rPr>
        <w:tab/>
        <w:t>svingende efterspørgsel efter jernbanetransport og det deraf følgende behov for at planlægge jernbanetjenester med en anden tidshorisont.</w:t>
      </w:r>
    </w:p>
    <w:p w14:paraId="797E9D5D"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fa)</w:t>
      </w:r>
      <w:r w:rsidRPr="008913ED">
        <w:rPr>
          <w:szCs w:val="24"/>
          <w:lang w:eastAsia="en-US"/>
        </w:rPr>
        <w:tab/>
      </w:r>
      <w:r w:rsidRPr="008913ED">
        <w:rPr>
          <w:b/>
          <w:i/>
          <w:szCs w:val="24"/>
          <w:lang w:eastAsia="en-US"/>
        </w:rPr>
        <w:t>så vidt muligt de socioøkonomiske og miljømæssige virkninger af udnyttelsen af infrastrukturkapacitet.</w:t>
      </w:r>
      <w:r w:rsidRPr="008913ED">
        <w:rPr>
          <w:b/>
          <w:szCs w:val="24"/>
          <w:lang w:eastAsia="en-US"/>
        </w:rPr>
        <w:t xml:space="preserve"> [Ændring 72]</w:t>
      </w:r>
    </w:p>
    <w:p w14:paraId="5849E2CB" w14:textId="77777777" w:rsidR="0005686F" w:rsidRDefault="0005686F">
      <w:pPr>
        <w:widowControl/>
        <w:rPr>
          <w:szCs w:val="24"/>
          <w:lang w:eastAsia="en-US"/>
        </w:rPr>
      </w:pPr>
      <w:r>
        <w:rPr>
          <w:szCs w:val="24"/>
          <w:lang w:eastAsia="en-US"/>
        </w:rPr>
        <w:br w:type="page"/>
      </w:r>
    </w:p>
    <w:p w14:paraId="0967ED01" w14:textId="4C0433F4"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Den strategiske kapacitetsplanlægning afspejler den kapacitet, der er tildelt gennem rammeaftaler og rullende planlægning.</w:t>
      </w:r>
    </w:p>
    <w:p w14:paraId="72FBE859"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6.</w:t>
      </w:r>
      <w:r w:rsidRPr="008913ED">
        <w:rPr>
          <w:szCs w:val="24"/>
          <w:lang w:eastAsia="en-US"/>
        </w:rPr>
        <w:tab/>
        <w:t xml:space="preserve">Den strategiske kapacitetsplanlægning omfatter </w:t>
      </w:r>
      <w:r w:rsidRPr="008913ED">
        <w:rPr>
          <w:strike/>
          <w:szCs w:val="24"/>
          <w:lang w:eastAsia="en-US"/>
        </w:rPr>
        <w:t>strækningerne i TEN-T-hovednettet og det udvidede hovednet omhandlet i artikel 6 i og bilag I til [den nye TEN-T-forordning]</w:t>
      </w:r>
      <w:r w:rsidRPr="008913ED">
        <w:rPr>
          <w:b/>
          <w:i/>
          <w:szCs w:val="24"/>
          <w:lang w:eastAsia="en-US"/>
        </w:rPr>
        <w:t>det fælles europæiske jernbaneområde</w:t>
      </w:r>
      <w:r w:rsidRPr="008913ED">
        <w:rPr>
          <w:szCs w:val="24"/>
          <w:lang w:eastAsia="en-US"/>
        </w:rPr>
        <w:t>.</w:t>
      </w:r>
      <w:r w:rsidRPr="008913ED">
        <w:rPr>
          <w:strike/>
          <w:szCs w:val="24"/>
          <w:lang w:eastAsia="en-US"/>
        </w:rPr>
        <w:t xml:space="preserve"> Infrastrukturforvalterne kan medtage andre strækninger og knudepunkter i det net, de forvalter.</w:t>
      </w:r>
      <w:r w:rsidRPr="008913ED">
        <w:rPr>
          <w:b/>
          <w:szCs w:val="24"/>
          <w:lang w:eastAsia="en-US"/>
        </w:rPr>
        <w:t xml:space="preserve"> [Ændring 73]</w:t>
      </w:r>
    </w:p>
    <w:p w14:paraId="450D85E2" w14:textId="77777777" w:rsidR="008913ED" w:rsidRPr="008913ED" w:rsidRDefault="008913ED" w:rsidP="008913ED">
      <w:pPr>
        <w:spacing w:before="120" w:after="120" w:line="360" w:lineRule="auto"/>
        <w:ind w:left="850"/>
        <w:rPr>
          <w:szCs w:val="24"/>
          <w:lang w:eastAsia="en-US"/>
        </w:rPr>
      </w:pPr>
      <w:r w:rsidRPr="008913ED">
        <w:rPr>
          <w:szCs w:val="24"/>
          <w:lang w:eastAsia="en-US"/>
        </w:rPr>
        <w:t>Den strategiske kapacitetsplanlægning gennemføres på et niveau, der er tilstrækkeligt detaljeret til at muliggøre kapacitetsplanlægning for bestemte strækninger af nettet. Med henblik herpå udgøres nettet af knudepunkter og strækninger, der gør det muligt at tage hensyn til relevante karakteristika ved kapacitetsefterspørgsel og -udbud.</w:t>
      </w:r>
    </w:p>
    <w:p w14:paraId="32D60A24" w14:textId="77777777" w:rsidR="008913ED" w:rsidRPr="008913ED" w:rsidRDefault="008913ED" w:rsidP="008913ED">
      <w:pPr>
        <w:spacing w:before="120" w:after="120" w:line="360" w:lineRule="auto"/>
        <w:ind w:left="850"/>
        <w:rPr>
          <w:szCs w:val="24"/>
          <w:lang w:eastAsia="en-US"/>
        </w:rPr>
      </w:pPr>
      <w:r w:rsidRPr="008913ED">
        <w:rPr>
          <w:szCs w:val="24"/>
          <w:lang w:eastAsia="en-US"/>
        </w:rPr>
        <w:t>Disse knudepunkter og strækninger anføres i det infrastrukturregister, der er omhandlet i artikel 49 i direktiv (EU) 2016/797.</w:t>
      </w:r>
    </w:p>
    <w:p w14:paraId="584FD527"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7.</w:t>
      </w:r>
      <w:r w:rsidRPr="008913ED">
        <w:rPr>
          <w:szCs w:val="24"/>
          <w:lang w:eastAsia="en-US"/>
        </w:rPr>
        <w:tab/>
        <w:t>Den strategiske kapacitetsplanlægning dækker en periode på mindst fem år frem. Infrastrukturforvalterne kan forlænge perioden ud over fem år, navnlig for at støtte udviklingen af infrastruktur inden for rammerne af den vejledende udviklingsstrategi for jernbaneinfrastruktur, der er omhandlet i artikel 8, stk. 1, i direktiv 2012/34/EU.</w:t>
      </w:r>
    </w:p>
    <w:p w14:paraId="6306E2E0" w14:textId="77777777" w:rsidR="0005686F" w:rsidRDefault="0005686F">
      <w:pPr>
        <w:widowControl/>
        <w:rPr>
          <w:szCs w:val="24"/>
          <w:lang w:eastAsia="en-US"/>
        </w:rPr>
      </w:pPr>
      <w:r>
        <w:rPr>
          <w:szCs w:val="24"/>
          <w:lang w:eastAsia="en-US"/>
        </w:rPr>
        <w:br w:type="page"/>
      </w:r>
    </w:p>
    <w:p w14:paraId="09B11D5A" w14:textId="258E66B5"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8.</w:t>
      </w:r>
      <w:r w:rsidRPr="008913ED">
        <w:rPr>
          <w:szCs w:val="24"/>
          <w:lang w:eastAsia="en-US"/>
        </w:rPr>
        <w:tab/>
        <w:t>Infrastrukturforvalterne gennemgår og ajourfører regelmæssigt resultaterne af den strategiske kapacitetsplanlægning, navnlig under hensyntagen til følgende:</w:t>
      </w:r>
    </w:p>
    <w:p w14:paraId="6ABFB38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udvikling af jernbaneinfrastrukturen</w:t>
      </w:r>
    </w:p>
    <w:p w14:paraId="5758085B"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b)</w:t>
      </w:r>
      <w:r w:rsidRPr="008913ED">
        <w:rPr>
          <w:szCs w:val="24"/>
          <w:lang w:eastAsia="en-US"/>
        </w:rPr>
        <w:tab/>
        <w:t>ændringer i markedsefterspørgslen efter infrastrukturkapacitet</w:t>
      </w:r>
      <w:r w:rsidRPr="008913ED">
        <w:rPr>
          <w:b/>
          <w:i/>
          <w:szCs w:val="24"/>
          <w:lang w:eastAsia="en-US"/>
        </w:rPr>
        <w:t>, idet der tages hensyn til behov for nye eller ændrede tjenester, der er meddelt af ansøgere</w:t>
      </w:r>
      <w:r w:rsidRPr="008913ED">
        <w:rPr>
          <w:b/>
          <w:szCs w:val="24"/>
          <w:lang w:eastAsia="en-US"/>
        </w:rPr>
        <w:t xml:space="preserve"> [Ændring 74]</w:t>
      </w:r>
    </w:p>
    <w:p w14:paraId="6745669E"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resultaterne af tildelingsprocesserne omhandlet i afdeling 3 og 4 i tidligere køreplansperioder, herunder graden af ansøgernes udnyttelse af infrastrukturkapacitet</w:t>
      </w:r>
    </w:p>
    <w:p w14:paraId="6C7EBA40"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viden fra trafikstyring udført i overensstemmelse med kapitel III</w:t>
      </w:r>
    </w:p>
    <w:p w14:paraId="54BC16F2"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resultatet af håndtering af forstyrrelser og krisestyring i overensstemmelse med kapitel III</w:t>
      </w:r>
    </w:p>
    <w:p w14:paraId="4EC918C1"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f)</w:t>
      </w:r>
      <w:r w:rsidRPr="008913ED">
        <w:rPr>
          <w:szCs w:val="24"/>
          <w:lang w:eastAsia="en-US"/>
        </w:rPr>
        <w:tab/>
        <w:t>resultaterne af præstationsvurderingen i overensstemmelse med kapitel IV.</w:t>
      </w:r>
    </w:p>
    <w:p w14:paraId="56960CCB" w14:textId="77777777" w:rsidR="0005686F" w:rsidRDefault="0005686F">
      <w:pPr>
        <w:widowControl/>
        <w:rPr>
          <w:szCs w:val="24"/>
          <w:lang w:eastAsia="en-US"/>
        </w:rPr>
      </w:pPr>
      <w:r>
        <w:rPr>
          <w:szCs w:val="24"/>
          <w:lang w:eastAsia="en-US"/>
        </w:rPr>
        <w:br w:type="page"/>
      </w:r>
    </w:p>
    <w:p w14:paraId="13C791F6" w14:textId="1A3AA343"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9.</w:t>
      </w:r>
      <w:r w:rsidRPr="008913ED">
        <w:rPr>
          <w:szCs w:val="24"/>
          <w:lang w:eastAsia="en-US"/>
        </w:rPr>
        <w:tab/>
        <w:t>ENIM udarbejder</w:t>
      </w:r>
      <w:r w:rsidRPr="008913ED">
        <w:rPr>
          <w:b/>
          <w:i/>
          <w:szCs w:val="24"/>
          <w:lang w:eastAsia="en-US"/>
        </w:rPr>
        <w:t xml:space="preserve"> senest den ... [12 måneder fra denne forordnings ikrafttræden]</w:t>
      </w:r>
      <w:r w:rsidRPr="008913ED">
        <w:rPr>
          <w:szCs w:val="24"/>
          <w:lang w:eastAsia="en-US"/>
        </w:rPr>
        <w:t xml:space="preserve"> retningslinjer med fælles principper, procedurer og metoder for strategisk kapacitetsplanlægning. ENIM medtager disse retningslinjer i den europæiske ramme for kapacitetsforvaltning, der er omhandlet i artikel 6 i denne forordning. Disse retningslinjer bør som minimum indeholde de elementer, der er opført i bilag III til denne forordning. Infrastrukturforvalterne tager størst muligt hensyn til disse retningslinjer i den netvejledning, der er omhandlet i artikel 27 i direktiv 2012/34/EU. De gør i netvejledningen rede for årsagerne til enhver afvigelse fra de fælles principper, procedurer og metoder fastlagt i retningslinjerne.</w:t>
      </w:r>
      <w:r w:rsidRPr="008913ED">
        <w:rPr>
          <w:b/>
          <w:szCs w:val="24"/>
          <w:lang w:eastAsia="en-US"/>
        </w:rPr>
        <w:t xml:space="preserve"> [Ændring 75]</w:t>
      </w:r>
    </w:p>
    <w:p w14:paraId="6A3748C8"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9a.</w:t>
      </w:r>
      <w:r w:rsidRPr="008913ED">
        <w:rPr>
          <w:szCs w:val="24"/>
          <w:lang w:eastAsia="en-US"/>
        </w:rPr>
        <w:tab/>
      </w:r>
      <w:r w:rsidRPr="008913ED">
        <w:rPr>
          <w:b/>
          <w:i/>
          <w:szCs w:val="24"/>
          <w:lang w:eastAsia="en-US"/>
        </w:rPr>
        <w:t>Kommissionen tillægges beføjelser til at vedtage delegerede retsakter i overensstemmelse med artikel 71 med henblik på at fastsætte fælles principper, procedurer og metoder for strategisk kapacitetsplanlægning og til at ændre stk. 9 i denne artikel. Disse delegerede retsakter vedtages senest den ... [24 måneder fra denne forordnings ikrafttræden]. De skal indgå i den europæiske ramme for kapacitetsforvaltning.</w:t>
      </w:r>
      <w:r w:rsidRPr="008913ED">
        <w:rPr>
          <w:b/>
          <w:szCs w:val="24"/>
          <w:lang w:eastAsia="en-US"/>
        </w:rPr>
        <w:t xml:space="preserve"> [Ændring 76]</w:t>
      </w:r>
    </w:p>
    <w:p w14:paraId="1C436EFC" w14:textId="77777777" w:rsidR="0005686F" w:rsidRDefault="0005686F">
      <w:pPr>
        <w:widowControl/>
        <w:rPr>
          <w:szCs w:val="24"/>
          <w:lang w:eastAsia="en-US"/>
        </w:rPr>
      </w:pPr>
      <w:r>
        <w:rPr>
          <w:szCs w:val="24"/>
          <w:lang w:eastAsia="en-US"/>
        </w:rPr>
        <w:br w:type="page"/>
      </w:r>
    </w:p>
    <w:p w14:paraId="65F00642" w14:textId="55759E36"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13</w:t>
      </w:r>
      <w:r w:rsidRPr="008913ED">
        <w:rPr>
          <w:szCs w:val="24"/>
          <w:lang w:eastAsia="en-US"/>
        </w:rPr>
        <w:br/>
        <w:t>Høring af interessenter om strategisk kapacitetsplanlægning</w:t>
      </w:r>
    </w:p>
    <w:p w14:paraId="442CF78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hører alle operationelle interessenter om den strategiske kapacitetsplanlægning i overensstemmelse med artikel 7e i direktiv 2012/34/EU.</w:t>
      </w:r>
    </w:p>
    <w:p w14:paraId="0C1FEE6D"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Infrastrukturforvalterne hører alle operationelle interessenter, som driver jernbanetjenester på flere net, om den strategiske kapacitetsplanlægning i </w:t>
      </w:r>
      <w:r w:rsidRPr="008913ED">
        <w:rPr>
          <w:b/>
          <w:i/>
          <w:szCs w:val="24"/>
          <w:lang w:eastAsia="en-US"/>
        </w:rPr>
        <w:t xml:space="preserve">hele den strategiske kapacitetsforvaltningsfase og som minimum i overensstemmelse med delmålene i bilag I i </w:t>
      </w:r>
      <w:r w:rsidRPr="008913ED">
        <w:rPr>
          <w:szCs w:val="24"/>
          <w:lang w:eastAsia="en-US"/>
        </w:rPr>
        <w:t>overensstemmelse med artikel 53 og 54.</w:t>
      </w:r>
      <w:r w:rsidRPr="008913ED">
        <w:rPr>
          <w:b/>
          <w:szCs w:val="24"/>
          <w:lang w:eastAsia="en-US"/>
        </w:rPr>
        <w:t xml:space="preserve"> [Ændring 77]</w:t>
      </w:r>
    </w:p>
    <w:p w14:paraId="400A87EA"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2a.</w:t>
      </w:r>
      <w:r w:rsidRPr="008913ED">
        <w:rPr>
          <w:szCs w:val="24"/>
          <w:lang w:eastAsia="en-US"/>
        </w:rPr>
        <w:tab/>
      </w:r>
      <w:r w:rsidRPr="008913ED">
        <w:rPr>
          <w:b/>
          <w:i/>
          <w:szCs w:val="24"/>
          <w:lang w:eastAsia="en-US"/>
        </w:rPr>
        <w:t>Infrastrukturforvalterne giver ansøgerne mulighed for at meddele deres kapacitetsbehov i et struktureret format gennem hele kapacitetsforvaltningsprocessen, for hvilke ENIM skal fastsætte passende tidsfrister. Infrastrukturforvalterne skal gøre deres yderste for at indarbejde de behov, som ansøgerne har meddelt, i de strategiske kapacitetsplanlægningsdokumenter, der er omhandlet i artikel 11, stk. 2. Hvis alternativer ikke er tilgængelige for alle meddelte kapacitetsbehov, gør infrastrukturforvalterne deres yderste for at løse den potentielle konflikt ved hjælp af den konsensusbaserede konfliktløsningsmekanisme i artikel 36.</w:t>
      </w:r>
      <w:r w:rsidRPr="008913ED">
        <w:rPr>
          <w:b/>
          <w:szCs w:val="24"/>
          <w:lang w:eastAsia="en-US"/>
        </w:rPr>
        <w:t xml:space="preserve"> [Ændring 78]</w:t>
      </w:r>
    </w:p>
    <w:p w14:paraId="09EE7A69" w14:textId="77777777" w:rsidR="0005686F" w:rsidRDefault="0005686F">
      <w:pPr>
        <w:widowControl/>
        <w:rPr>
          <w:b/>
          <w:i/>
          <w:szCs w:val="24"/>
          <w:lang w:eastAsia="en-US"/>
        </w:rPr>
      </w:pPr>
      <w:r>
        <w:rPr>
          <w:b/>
          <w:i/>
          <w:szCs w:val="24"/>
          <w:lang w:eastAsia="en-US"/>
        </w:rPr>
        <w:br w:type="page"/>
      </w:r>
    </w:p>
    <w:p w14:paraId="6F0CFE50" w14:textId="62058C91"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2b.</w:t>
      </w:r>
      <w:r w:rsidRPr="008913ED">
        <w:rPr>
          <w:szCs w:val="24"/>
          <w:lang w:eastAsia="en-US"/>
        </w:rPr>
        <w:tab/>
      </w:r>
      <w:r w:rsidRPr="008913ED">
        <w:rPr>
          <w:b/>
          <w:i/>
          <w:szCs w:val="24"/>
          <w:lang w:eastAsia="en-US"/>
        </w:rPr>
        <w:t>Tilsynsorganet overvåger infrastrukturforvalterens aktiviteter i den strategiske kapacitetsplanlægning i overensstemmelse med artikel 63.</w:t>
      </w:r>
      <w:r w:rsidRPr="008913ED">
        <w:rPr>
          <w:b/>
          <w:szCs w:val="24"/>
          <w:lang w:eastAsia="en-US"/>
        </w:rPr>
        <w:t xml:space="preserve"> [Ændring 79]</w:t>
      </w:r>
    </w:p>
    <w:p w14:paraId="608528E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14</w:t>
      </w:r>
      <w:r w:rsidRPr="008913ED">
        <w:rPr>
          <w:szCs w:val="24"/>
          <w:lang w:eastAsia="en-US"/>
        </w:rPr>
        <w:br/>
        <w:t>Koordinering af strategisk kapacitetsplanlægning mellem infrastrukturforvaltere</w:t>
      </w:r>
    </w:p>
    <w:p w14:paraId="6F7E86F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samordner deres aktiviteter i forbindelse med den strategiske kapacitetsplanlægning i overensstemmelse med artikel 53.</w:t>
      </w:r>
    </w:p>
    <w:p w14:paraId="640CD79F" w14:textId="77777777" w:rsidR="008913ED" w:rsidRPr="008913ED" w:rsidRDefault="008913ED" w:rsidP="008913ED">
      <w:pPr>
        <w:spacing w:before="120" w:after="120" w:line="360" w:lineRule="auto"/>
        <w:ind w:left="850"/>
        <w:rPr>
          <w:szCs w:val="24"/>
          <w:lang w:eastAsia="en-US"/>
        </w:rPr>
      </w:pPr>
      <w:r w:rsidRPr="008913ED">
        <w:rPr>
          <w:szCs w:val="24"/>
          <w:lang w:eastAsia="en-US"/>
        </w:rPr>
        <w:t>Koordineringen skal navnlig sikre:</w:t>
      </w:r>
    </w:p>
    <w:p w14:paraId="5BB8CE9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sammenhængen i den strategiske planlægning på tværs af de berørte net, navnlig i kapacitetsstrategien, kapacitetsmodellen og kapacitetsforsyningsplanen, planlægningen af infrastrukturarbejder og beredskabsplanlægningen</w:t>
      </w:r>
    </w:p>
    <w:p w14:paraId="5BDA8345"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passende hensyntagen til kapacitetsbehovet for jernbanedrift på flere net i kapacitetsstrategien, kapacitetsmodellen og kapacitetsforsyningsplanen</w:t>
      </w:r>
    </w:p>
    <w:p w14:paraId="0DE6F216" w14:textId="77777777" w:rsidR="0005686F" w:rsidRDefault="0005686F">
      <w:pPr>
        <w:widowControl/>
        <w:rPr>
          <w:szCs w:val="24"/>
          <w:lang w:eastAsia="en-US"/>
        </w:rPr>
      </w:pPr>
      <w:r>
        <w:rPr>
          <w:szCs w:val="24"/>
          <w:lang w:eastAsia="en-US"/>
        </w:rPr>
        <w:br w:type="page"/>
      </w:r>
    </w:p>
    <w:p w14:paraId="68EAD70A" w14:textId="1CDAB88E"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c)</w:t>
      </w:r>
      <w:r w:rsidRPr="008913ED">
        <w:rPr>
          <w:szCs w:val="24"/>
          <w:lang w:eastAsia="en-US"/>
        </w:rPr>
        <w:tab/>
        <w:t>en gennemgang af den strategiske kapacitetsplanlægning og resultaterne heraf i overensstemmelse med kapitel IV</w:t>
      </w:r>
    </w:p>
    <w:p w14:paraId="144886D5"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d)</w:t>
      </w:r>
      <w:r w:rsidRPr="008913ED">
        <w:rPr>
          <w:szCs w:val="24"/>
          <w:lang w:eastAsia="en-US"/>
        </w:rPr>
        <w:tab/>
        <w:t>inddragelsen af alle operationelle interessenter</w:t>
      </w:r>
      <w:r w:rsidRPr="008913ED">
        <w:rPr>
          <w:b/>
          <w:i/>
          <w:szCs w:val="24"/>
          <w:lang w:eastAsia="en-US"/>
        </w:rPr>
        <w:t xml:space="preserve"> og ERP</w:t>
      </w:r>
      <w:r w:rsidRPr="008913ED">
        <w:rPr>
          <w:szCs w:val="24"/>
          <w:lang w:eastAsia="en-US"/>
        </w:rPr>
        <w:t>, tilsynsorganer og det europæiske netværk af tilsynsorganer på jernbaneområdet ("ENRRB"), de europæiske koordinatorer og i givet fald medlemsstaternes myndigheder og andre interessenter.</w:t>
      </w:r>
      <w:r w:rsidRPr="008913ED">
        <w:rPr>
          <w:b/>
          <w:szCs w:val="24"/>
          <w:lang w:eastAsia="en-US"/>
        </w:rPr>
        <w:t xml:space="preserve"> [Ændring 80]</w:t>
      </w:r>
    </w:p>
    <w:p w14:paraId="3D6957F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ENIM tager hensyn til eventuelle relevante klager fra ansøgere eller potentielle ansøgere vedrørende de planlægningsdokumenter, der er omhandlet i artikel 11, stk. 2, og anmoder om yderligere oplysninger fra de enheder, der er involveret i samordningen i overensstemmelse med artikel 53, og fra operationelle interessenter, der er blevet hørt i overensstemmelse med artikel 54, inden vedtagelsen af en udtalelse eller henstilling for at forbedre sammenhængen i disse planlægningsdokumenter. ENIM fremsender sin udtalelse om udkast til planlægningsdokumenter til ENRRB eller underretter ENRRB, hvis der ikke vedtages en udtalelse. ENRRB handler i overensstemmelse med artikel 65, stk. 3.</w:t>
      </w:r>
    </w:p>
    <w:p w14:paraId="48B2532C" w14:textId="77777777" w:rsidR="0005686F" w:rsidRDefault="0005686F">
      <w:pPr>
        <w:widowControl/>
        <w:rPr>
          <w:szCs w:val="24"/>
          <w:lang w:eastAsia="en-US"/>
        </w:rPr>
      </w:pPr>
      <w:r>
        <w:rPr>
          <w:szCs w:val="24"/>
          <w:lang w:eastAsia="en-US"/>
        </w:rPr>
        <w:br w:type="page"/>
      </w:r>
    </w:p>
    <w:p w14:paraId="0D5FAC18" w14:textId="6FE1E8F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Infrastrukturforvalterne tager hensyn til enhver henstilling vedtaget af ENIM i overensstemmelse med stk. 2. Hvis infrastrukturforvalterne ikke følger henstillingen, begrundes dette i planlægningsdokumenterne. ENRRB overvåger koordineringsprocessen og dens gennemførelse og underretter Kommissionen, hvis det mener, at der er behov for at afhjælpe eventuelle mangler i koordineringsprocessen.</w:t>
      </w:r>
    </w:p>
    <w:p w14:paraId="2A59CBA5"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3a.</w:t>
      </w:r>
      <w:r w:rsidRPr="008913ED">
        <w:rPr>
          <w:szCs w:val="24"/>
          <w:lang w:eastAsia="en-US"/>
        </w:rPr>
        <w:tab/>
      </w:r>
      <w:r w:rsidRPr="008913ED">
        <w:rPr>
          <w:b/>
          <w:i/>
          <w:szCs w:val="24"/>
          <w:lang w:eastAsia="en-US"/>
        </w:rPr>
        <w:t>Ledelsen for godstogtransport forelægger en henstilling vedrørende den koordinerede kapacitetsstrategi for de respektive infrastrukturforvaltere tre måneder inden den i artikel 10, stk. 4, fastsatte periode.</w:t>
      </w:r>
      <w:r w:rsidRPr="008913ED">
        <w:rPr>
          <w:b/>
          <w:szCs w:val="24"/>
          <w:lang w:eastAsia="en-US"/>
        </w:rPr>
        <w:t xml:space="preserve"> [Ændring 81]</w:t>
      </w:r>
    </w:p>
    <w:p w14:paraId="51E631E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15</w:t>
      </w:r>
      <w:r w:rsidRPr="008913ED">
        <w:rPr>
          <w:szCs w:val="24"/>
          <w:lang w:eastAsia="en-US"/>
        </w:rPr>
        <w:br/>
        <w:t>Analyse af den forventede udvikling på transportmarkedet</w:t>
      </w:r>
    </w:p>
    <w:p w14:paraId="0714AD1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 xml:space="preserve">Infrastrukturforvalterne og ENIM overvåger og analyserer regelmæssigt </w:t>
      </w:r>
      <w:r w:rsidRPr="008913ED">
        <w:rPr>
          <w:b/>
          <w:i/>
          <w:szCs w:val="24"/>
          <w:lang w:eastAsia="en-US"/>
        </w:rPr>
        <w:t xml:space="preserve">i samråd med ENRRB og ERP </w:t>
      </w:r>
      <w:r w:rsidRPr="008913ED">
        <w:rPr>
          <w:szCs w:val="24"/>
          <w:lang w:eastAsia="en-US"/>
        </w:rPr>
        <w:t>transportmarkederne</w:t>
      </w:r>
      <w:r w:rsidRPr="008913ED">
        <w:rPr>
          <w:b/>
          <w:i/>
          <w:szCs w:val="24"/>
          <w:lang w:eastAsia="en-US"/>
        </w:rPr>
        <w:t xml:space="preserve"> og de for jernbane relevante multimodale aspekter</w:t>
      </w:r>
      <w:r w:rsidRPr="008913ED">
        <w:rPr>
          <w:szCs w:val="24"/>
          <w:lang w:eastAsia="en-US"/>
        </w:rPr>
        <w:t xml:space="preserve"> med henblik på at give input til deres overordnede forretningsstrategi, kapacitets- og beredskabsforvaltning og investeringsbeslutninger. Infrastrukturforvalterne meddeler resultaterne af denne analyse til andre interessenter med samme formål, herunder de europæiske koordinatorer.</w:t>
      </w:r>
      <w:r w:rsidRPr="008913ED">
        <w:rPr>
          <w:b/>
          <w:szCs w:val="24"/>
          <w:lang w:eastAsia="en-US"/>
        </w:rPr>
        <w:t xml:space="preserve"> [Ændring 82]</w:t>
      </w:r>
    </w:p>
    <w:p w14:paraId="7AD13964" w14:textId="77777777" w:rsidR="0005686F" w:rsidRDefault="0005686F">
      <w:pPr>
        <w:widowControl/>
        <w:rPr>
          <w:szCs w:val="24"/>
          <w:lang w:eastAsia="en-US"/>
        </w:rPr>
      </w:pPr>
      <w:r>
        <w:rPr>
          <w:szCs w:val="24"/>
          <w:lang w:eastAsia="en-US"/>
        </w:rPr>
        <w:br w:type="page"/>
      </w:r>
    </w:p>
    <w:p w14:paraId="3F419DE8" w14:textId="7C2D8EEE"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Med henblik på denne forordning giver den i stk. 1 omhandlede transportmarkedsanalyse navnlig input til den strategiske kapacitetsplanlægning, jf. artikel 11, til opdelingen af infrastrukturkapacitet, jf. artikel 25, og til tildelingen af kapacitet på grundlag af den formelle konfliktløsningsmekanisme, jf. artikel 37.</w:t>
      </w:r>
    </w:p>
    <w:p w14:paraId="5353907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ENIM gennemfører senest den [31. december 2028] en undersøgelse af det europæiske transportmarked, der omfatter passager- og godstransport i multimodal sammenhæng. Undersøgelsen skal navnlig omhandle:</w:t>
      </w:r>
    </w:p>
    <w:p w14:paraId="47DB08F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prognoser for efterspørgslen efter passager- og godstransport inden for alle transportformer i Unionen</w:t>
      </w:r>
    </w:p>
    <w:p w14:paraId="38F4BC3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skøn over potentialet for at øge mængden af jernbanetransport, både passager- og godstransport, og de nødvendige forudsætninger for opnåelse af en sådan vækst</w:t>
      </w:r>
    </w:p>
    <w:p w14:paraId="1FE619F9"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om muligt en geografisk opdeling af de forventede transportstrømme som input til den strategiske kapacitetsplanlægning.</w:t>
      </w:r>
    </w:p>
    <w:p w14:paraId="090B74C7" w14:textId="77777777" w:rsidR="0005686F" w:rsidRDefault="0005686F">
      <w:pPr>
        <w:widowControl/>
        <w:rPr>
          <w:b/>
          <w:i/>
          <w:szCs w:val="24"/>
          <w:lang w:eastAsia="en-US"/>
        </w:rPr>
      </w:pPr>
      <w:r>
        <w:rPr>
          <w:b/>
          <w:i/>
          <w:szCs w:val="24"/>
          <w:lang w:eastAsia="en-US"/>
        </w:rPr>
        <w:br w:type="page"/>
      </w:r>
    </w:p>
    <w:p w14:paraId="597F2692" w14:textId="4793B820" w:rsidR="008913ED" w:rsidRPr="008913ED" w:rsidRDefault="008913ED" w:rsidP="008913ED">
      <w:pPr>
        <w:spacing w:before="120" w:after="120" w:line="360" w:lineRule="auto"/>
        <w:ind w:left="1416" w:hanging="566"/>
        <w:rPr>
          <w:b/>
          <w:szCs w:val="24"/>
          <w:lang w:eastAsia="en-US"/>
        </w:rPr>
      </w:pPr>
      <w:r w:rsidRPr="008913ED">
        <w:rPr>
          <w:b/>
          <w:i/>
          <w:szCs w:val="24"/>
          <w:lang w:eastAsia="en-US"/>
        </w:rPr>
        <w:lastRenderedPageBreak/>
        <w:t>ca)</w:t>
      </w:r>
      <w:r w:rsidRPr="008913ED">
        <w:rPr>
          <w:szCs w:val="24"/>
          <w:lang w:eastAsia="en-US"/>
        </w:rPr>
        <w:tab/>
      </w:r>
      <w:r w:rsidRPr="008913ED">
        <w:rPr>
          <w:b/>
          <w:i/>
          <w:szCs w:val="24"/>
          <w:lang w:eastAsia="en-US"/>
        </w:rPr>
        <w:t>hvis det er muligt, virkningerne af de forventede klimaændringer på både infrastruktur og de leverede tjenester.</w:t>
      </w:r>
      <w:r w:rsidRPr="008913ED">
        <w:rPr>
          <w:b/>
          <w:szCs w:val="24"/>
          <w:lang w:eastAsia="en-US"/>
        </w:rPr>
        <w:t xml:space="preserve"> [Ændring 83]</w:t>
      </w:r>
    </w:p>
    <w:p w14:paraId="7DF782F5"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t>ENIM hører ansøgere</w:t>
      </w:r>
      <w:r w:rsidRPr="008913ED">
        <w:rPr>
          <w:b/>
          <w:i/>
          <w:szCs w:val="24"/>
          <w:lang w:eastAsia="en-US"/>
        </w:rPr>
        <w:t>, ERP</w:t>
      </w:r>
      <w:r w:rsidRPr="008913ED">
        <w:rPr>
          <w:szCs w:val="24"/>
          <w:lang w:eastAsia="en-US"/>
        </w:rPr>
        <w:t>, jernbanekunder og deres sammenslutninger samt nationale og europæiske offentlige myndigheder om undersøgelsens kommissorium, navnlig om formålet med undersøgelsen og processen for inddragelse af interessenter.</w:t>
      </w:r>
      <w:r w:rsidRPr="008913ED">
        <w:rPr>
          <w:b/>
          <w:szCs w:val="24"/>
          <w:lang w:eastAsia="en-US"/>
        </w:rPr>
        <w:t xml:space="preserve"> [Ændring 84]</w:t>
      </w:r>
    </w:p>
    <w:p w14:paraId="1B67DBA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ENIM gennemgår og ajourfører undersøgelsen i nødvendigt omfang og under alle omstændigheder mindst hvert femte år.</w:t>
      </w:r>
    </w:p>
    <w:p w14:paraId="7A61753E"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5a.</w:t>
      </w:r>
      <w:r w:rsidRPr="008913ED">
        <w:rPr>
          <w:szCs w:val="24"/>
          <w:lang w:eastAsia="en-US"/>
        </w:rPr>
        <w:tab/>
      </w:r>
      <w:r w:rsidRPr="008913ED">
        <w:rPr>
          <w:b/>
          <w:i/>
          <w:szCs w:val="24"/>
          <w:lang w:eastAsia="en-US"/>
        </w:rPr>
        <w:t>Alle data vedrørende undersøgelsen og selve undersøgelsen skal offentliggøres og være frit tilgængelige. Dataene skal være maskinlæsbare.</w:t>
      </w:r>
      <w:r w:rsidRPr="008913ED">
        <w:rPr>
          <w:b/>
          <w:szCs w:val="24"/>
          <w:lang w:eastAsia="en-US"/>
        </w:rPr>
        <w:t xml:space="preserve"> [Ændring 85]</w:t>
      </w:r>
    </w:p>
    <w:p w14:paraId="07DBCFDA"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16</w:t>
      </w:r>
      <w:r w:rsidRPr="008913ED">
        <w:rPr>
          <w:szCs w:val="24"/>
          <w:lang w:eastAsia="en-US"/>
        </w:rPr>
        <w:br/>
        <w:t>Kapacitetsstrategi</w:t>
      </w:r>
    </w:p>
    <w:p w14:paraId="16C1894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vedtager en kapacitetsstrategi, der beskriver infrastrukturforvalterens forventninger til den fremtidige udvikling i efterspørgslen efter og udbuddet af jernbaneinfrastrukturkapacitet og vision for, hvordan der kan tages højde for denne udvikling.</w:t>
      </w:r>
    </w:p>
    <w:p w14:paraId="625BEEFD" w14:textId="77777777" w:rsidR="0005686F" w:rsidRDefault="0005686F">
      <w:pPr>
        <w:widowControl/>
        <w:rPr>
          <w:szCs w:val="24"/>
          <w:lang w:eastAsia="en-US"/>
        </w:rPr>
      </w:pPr>
      <w:r>
        <w:rPr>
          <w:szCs w:val="24"/>
          <w:lang w:eastAsia="en-US"/>
        </w:rPr>
        <w:br w:type="page"/>
      </w:r>
    </w:p>
    <w:p w14:paraId="19BC53A5" w14:textId="178B9EE8" w:rsidR="008913ED" w:rsidRPr="008913ED" w:rsidRDefault="008913ED" w:rsidP="008913ED">
      <w:pPr>
        <w:spacing w:before="120" w:after="120" w:line="360" w:lineRule="auto"/>
        <w:ind w:left="850"/>
        <w:rPr>
          <w:szCs w:val="24"/>
          <w:lang w:eastAsia="en-US"/>
        </w:rPr>
      </w:pPr>
      <w:r w:rsidRPr="008913ED">
        <w:rPr>
          <w:szCs w:val="24"/>
          <w:lang w:eastAsia="en-US"/>
        </w:rPr>
        <w:lastRenderedPageBreak/>
        <w:t>Kapacitetsstrategien skal tjene som et redskab til kommunikation, høring og samordning mellem operationelle interessenter.</w:t>
      </w:r>
    </w:p>
    <w:p w14:paraId="68E1952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Kapacitetsstrategien skal indeholde oplysninger om den fremtidige udvikling af jernbaneinfrastrukturen, en prognose for udviklingen i efterspørgslen efter forskellige jernbanetransporttjenester og alle andre relevante oplysninger om tilgængeligheden og anvendelsen af jernbaneinfrastruktur.</w:t>
      </w:r>
    </w:p>
    <w:p w14:paraId="31245D4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Kapacitetsstrategien skal omfatte et strategisk rutekort, der definerer følgende:</w:t>
      </w:r>
    </w:p>
    <w:p w14:paraId="5B1A36C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det geografiske anvendelsesområde for den i artikel 16 omhandlede kapacitetsstrategi, den i artikel 17 omhandlede kapacitetsmodel og den i artikel 18 omhandlede kapacitetsforsyningsplan</w:t>
      </w:r>
    </w:p>
    <w:p w14:paraId="17B4DBB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de alternative strækninger, der kan anvendes i tilfælde af kapacitetsrestriktioner, jf. artikel 10, og i beredskabsplanlægningen, jf. artikel 19.</w:t>
      </w:r>
    </w:p>
    <w:p w14:paraId="33AF070C" w14:textId="77777777" w:rsidR="0005686F" w:rsidRDefault="0005686F">
      <w:pPr>
        <w:widowControl/>
        <w:rPr>
          <w:szCs w:val="24"/>
          <w:lang w:eastAsia="en-US"/>
        </w:rPr>
      </w:pPr>
      <w:r>
        <w:rPr>
          <w:szCs w:val="24"/>
          <w:lang w:eastAsia="en-US"/>
        </w:rPr>
        <w:br w:type="page"/>
      </w:r>
    </w:p>
    <w:p w14:paraId="105DF0BF" w14:textId="7BEC4F66" w:rsidR="008913ED" w:rsidRPr="008913ED" w:rsidRDefault="008913ED" w:rsidP="008913ED">
      <w:pPr>
        <w:spacing w:before="120" w:after="120" w:line="360" w:lineRule="auto"/>
        <w:ind w:left="850"/>
        <w:rPr>
          <w:szCs w:val="24"/>
          <w:lang w:eastAsia="en-US"/>
        </w:rPr>
      </w:pPr>
      <w:r w:rsidRPr="008913ED">
        <w:rPr>
          <w:szCs w:val="24"/>
          <w:lang w:eastAsia="en-US"/>
        </w:rPr>
        <w:lastRenderedPageBreak/>
        <w:t>Det strategiske rutekort anføres i det infrastrukturregister, der er omhandlet i artikel 49 i direktiv (EU) 2016/797.</w:t>
      </w:r>
    </w:p>
    <w:p w14:paraId="7EE98D20"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t>Infrastrukturforvalteren udarbejder, offentliggør og</w:t>
      </w:r>
      <w:r w:rsidRPr="008913ED">
        <w:rPr>
          <w:b/>
          <w:i/>
          <w:szCs w:val="24"/>
          <w:lang w:eastAsia="en-US"/>
        </w:rPr>
        <w:t>, når det er nødvendigt,</w:t>
      </w:r>
      <w:r w:rsidRPr="008913ED">
        <w:rPr>
          <w:szCs w:val="24"/>
          <w:lang w:eastAsia="en-US"/>
        </w:rPr>
        <w:t xml:space="preserve"> ajourfører</w:t>
      </w:r>
      <w:r w:rsidRPr="008913ED">
        <w:rPr>
          <w:strike/>
          <w:szCs w:val="24"/>
          <w:lang w:eastAsia="en-US"/>
        </w:rPr>
        <w:t xml:space="preserve"> regelmæssigt</w:t>
      </w:r>
      <w:r w:rsidRPr="008913ED">
        <w:rPr>
          <w:szCs w:val="24"/>
          <w:lang w:eastAsia="en-US"/>
        </w:rPr>
        <w:t xml:space="preserve"> kapacitetsstrategien i overensstemmelse med tidsplanen og indholdet fastsat i afsnit 2 i bilag I.</w:t>
      </w:r>
      <w:r w:rsidRPr="008913ED">
        <w:rPr>
          <w:b/>
          <w:szCs w:val="24"/>
          <w:lang w:eastAsia="en-US"/>
        </w:rPr>
        <w:t xml:space="preserve"> [Ændring 86]</w:t>
      </w:r>
    </w:p>
    <w:p w14:paraId="60D7F83D"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Infrastrukturforvalterne hører ansøgerne</w:t>
      </w:r>
      <w:r w:rsidRPr="008913ED">
        <w:rPr>
          <w:b/>
          <w:i/>
          <w:szCs w:val="24"/>
          <w:lang w:eastAsia="en-US"/>
        </w:rPr>
        <w:t xml:space="preserve"> og de påvirkede servicefaciliteter</w:t>
      </w:r>
      <w:r w:rsidRPr="008913ED">
        <w:rPr>
          <w:szCs w:val="24"/>
          <w:lang w:eastAsia="en-US"/>
        </w:rPr>
        <w:t xml:space="preserve"> om kapacitetsstrategien i overensstemmelse med artikel 13 og koordinerer kapacitetsstrategierne med andre </w:t>
      </w:r>
      <w:r w:rsidRPr="008913ED">
        <w:rPr>
          <w:b/>
          <w:i/>
          <w:szCs w:val="24"/>
          <w:lang w:eastAsia="en-US"/>
        </w:rPr>
        <w:t xml:space="preserve">berørte </w:t>
      </w:r>
      <w:r w:rsidRPr="008913ED">
        <w:rPr>
          <w:szCs w:val="24"/>
          <w:lang w:eastAsia="en-US"/>
        </w:rPr>
        <w:t>infrastrukturforvaltere i overensstemmelse med artikel 14.</w:t>
      </w:r>
      <w:r w:rsidRPr="008913ED">
        <w:rPr>
          <w:b/>
          <w:szCs w:val="24"/>
          <w:lang w:eastAsia="en-US"/>
        </w:rPr>
        <w:t xml:space="preserve"> [Ændring 87]</w:t>
      </w:r>
    </w:p>
    <w:p w14:paraId="585B207D"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5a.</w:t>
      </w:r>
      <w:r w:rsidRPr="008913ED">
        <w:rPr>
          <w:szCs w:val="24"/>
          <w:lang w:eastAsia="en-US"/>
        </w:rPr>
        <w:tab/>
      </w:r>
      <w:r w:rsidRPr="008913ED">
        <w:rPr>
          <w:b/>
          <w:i/>
          <w:szCs w:val="24"/>
          <w:lang w:eastAsia="en-US"/>
        </w:rPr>
        <w:t>Infrastrukturforvalteren forelægger kapacitetsstrategien for tilsynsorganet. Tilsynsorganet har inden for tre måneder efter offentliggørelsen beføjelse til efter en analyse at kræve, at infrastrukturforvalteren ændrer den.</w:t>
      </w:r>
      <w:r w:rsidRPr="008913ED">
        <w:rPr>
          <w:b/>
          <w:szCs w:val="24"/>
          <w:lang w:eastAsia="en-US"/>
        </w:rPr>
        <w:t xml:space="preserve"> [Ændring 88]</w:t>
      </w:r>
    </w:p>
    <w:p w14:paraId="2151C6D3" w14:textId="77777777" w:rsidR="0005686F" w:rsidRDefault="0005686F">
      <w:pPr>
        <w:widowControl/>
        <w:rPr>
          <w:szCs w:val="24"/>
          <w:lang w:eastAsia="en-US"/>
        </w:rPr>
      </w:pPr>
      <w:r>
        <w:rPr>
          <w:szCs w:val="24"/>
          <w:lang w:eastAsia="en-US"/>
        </w:rPr>
        <w:br w:type="page"/>
      </w:r>
    </w:p>
    <w:p w14:paraId="3AFA3D91" w14:textId="5CAE2F19"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17</w:t>
      </w:r>
      <w:r w:rsidRPr="008913ED">
        <w:rPr>
          <w:szCs w:val="24"/>
          <w:lang w:eastAsia="en-US"/>
        </w:rPr>
        <w:br/>
        <w:t>Kapacitetsmodel</w:t>
      </w:r>
    </w:p>
    <w:p w14:paraId="2D18BB9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udarbejder en kapacitetsmodel, der udbygger kapacitetsstrategien på grundlag af resultatet af de høringer og samordningsaktiviteter, der er omhandlet i artikel 13 og 14.</w:t>
      </w:r>
    </w:p>
    <w:p w14:paraId="28E085FD" w14:textId="77777777" w:rsidR="008913ED" w:rsidRPr="008913ED" w:rsidRDefault="008913ED" w:rsidP="008913ED">
      <w:pPr>
        <w:spacing w:before="120" w:after="120" w:line="360" w:lineRule="auto"/>
        <w:ind w:left="850"/>
        <w:rPr>
          <w:szCs w:val="24"/>
          <w:lang w:eastAsia="en-US"/>
        </w:rPr>
      </w:pPr>
      <w:r w:rsidRPr="008913ED">
        <w:rPr>
          <w:szCs w:val="24"/>
          <w:lang w:eastAsia="en-US"/>
        </w:rPr>
        <w:t>Kapacitetsmodellen skal understøtte en afbalanceret hensyntagen til kapacitetsbehovene i de forskellige segmenter af jernbanetransporten og infrastrukturforvalternes behov for at vedligeholde, forny og udvikle (opgradering af eksisterende og opførelse af ny) jernbaneinfrastrukturen. Modellen skal tjene som et redskab til kommunikation, høring og samordning af den strategiske kapacitetsplanlægning mellem de operationelle interessenter.</w:t>
      </w:r>
    </w:p>
    <w:p w14:paraId="48810C5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Kapacitetsmodellen skal som minimum indeholde oplysninger om den samlede tilgængelige kapacitetsmængde pr. netafsnit, de kapacitetsandele, der er øremærket til forskellige segmenter af jernbanetransporten, og kapacitetsrestriktioner som følge af infrastrukturarbejder. </w:t>
      </w:r>
      <w:r w:rsidRPr="008913ED">
        <w:rPr>
          <w:b/>
          <w:i/>
          <w:szCs w:val="24"/>
          <w:lang w:eastAsia="en-US"/>
        </w:rPr>
        <w:t xml:space="preserve">Den skal også indeholde oplysninger om kapaciteten i de respektive servicefaciliteter, der er omhandlet i artikel 29, stk. 1. </w:t>
      </w:r>
      <w:r w:rsidRPr="008913ED">
        <w:rPr>
          <w:szCs w:val="24"/>
          <w:lang w:eastAsia="en-US"/>
        </w:rPr>
        <w:t xml:space="preserve">Infrastrukturforvalterne udarbejder og offentliggør kapacitetsmodellen for hver køreplansperiode og ajourfører </w:t>
      </w:r>
      <w:r w:rsidRPr="008913ED">
        <w:rPr>
          <w:strike/>
          <w:szCs w:val="24"/>
          <w:lang w:eastAsia="en-US"/>
        </w:rPr>
        <w:t>regelmæssigt</w:t>
      </w:r>
      <w:r w:rsidRPr="008913ED">
        <w:rPr>
          <w:b/>
          <w:i/>
          <w:szCs w:val="24"/>
          <w:lang w:eastAsia="en-US"/>
        </w:rPr>
        <w:t>efter behov</w:t>
      </w:r>
      <w:r w:rsidRPr="008913ED">
        <w:rPr>
          <w:szCs w:val="24"/>
          <w:lang w:eastAsia="en-US"/>
        </w:rPr>
        <w:t xml:space="preserve"> kapacitetsmodellen i overensstemmelse med indholdet og tidsplanen fastsat i afsnit 1 og 2 i bilag I.</w:t>
      </w:r>
      <w:r w:rsidRPr="008913ED">
        <w:rPr>
          <w:b/>
          <w:szCs w:val="24"/>
          <w:lang w:eastAsia="en-US"/>
        </w:rPr>
        <w:t xml:space="preserve"> [Ændring 89]</w:t>
      </w:r>
    </w:p>
    <w:p w14:paraId="50B443EB" w14:textId="77777777" w:rsidR="0005686F" w:rsidRDefault="0005686F">
      <w:pPr>
        <w:widowControl/>
        <w:rPr>
          <w:szCs w:val="24"/>
          <w:lang w:eastAsia="en-US"/>
        </w:rPr>
      </w:pPr>
      <w:r>
        <w:rPr>
          <w:szCs w:val="24"/>
          <w:lang w:eastAsia="en-US"/>
        </w:rPr>
        <w:br w:type="page"/>
      </w:r>
    </w:p>
    <w:p w14:paraId="19C3E9E9" w14:textId="59453FFA"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 xml:space="preserve">Infrastrukturforvalterne dokumenterer og, hvor det er relevant, begrunder eventuelle afvigelser mellem kapacitetsmodellen og kapacitetsstrategien i samme køreplansperiode. </w:t>
      </w:r>
      <w:r w:rsidRPr="008913ED">
        <w:rPr>
          <w:strike/>
          <w:szCs w:val="24"/>
          <w:lang w:eastAsia="en-US"/>
        </w:rPr>
        <w:t>Kapacitetsstrategien revideres om</w:t>
      </w:r>
      <w:r w:rsidRPr="008913ED">
        <w:rPr>
          <w:b/>
          <w:i/>
          <w:szCs w:val="24"/>
          <w:lang w:eastAsia="en-US"/>
        </w:rPr>
        <w:t>Det er ikke</w:t>
      </w:r>
      <w:r w:rsidRPr="008913ED">
        <w:rPr>
          <w:szCs w:val="24"/>
          <w:lang w:eastAsia="en-US"/>
        </w:rPr>
        <w:t xml:space="preserve"> nødvendigt </w:t>
      </w:r>
      <w:r w:rsidRPr="008913ED">
        <w:rPr>
          <w:strike/>
          <w:szCs w:val="24"/>
          <w:lang w:eastAsia="en-US"/>
        </w:rPr>
        <w:t>i lyset af udviklingen efter vedtagelsen eller den seneste ajourføring af</w:t>
      </w:r>
      <w:r w:rsidRPr="008913ED">
        <w:rPr>
          <w:b/>
          <w:i/>
          <w:szCs w:val="24"/>
          <w:lang w:eastAsia="en-US"/>
        </w:rPr>
        <w:t>at ajourføre</w:t>
      </w:r>
      <w:r w:rsidRPr="008913ED">
        <w:rPr>
          <w:szCs w:val="24"/>
          <w:lang w:eastAsia="en-US"/>
        </w:rPr>
        <w:t xml:space="preserve"> kapacitetsstrategien</w:t>
      </w:r>
      <w:r w:rsidRPr="008913ED">
        <w:rPr>
          <w:b/>
          <w:i/>
          <w:szCs w:val="24"/>
          <w:lang w:eastAsia="en-US"/>
        </w:rPr>
        <w:t>, hvis kapacitetsmodellen allerede er blevet offentliggjort for samme køreplansperiode</w:t>
      </w:r>
      <w:r w:rsidRPr="008913ED">
        <w:rPr>
          <w:szCs w:val="24"/>
          <w:lang w:eastAsia="en-US"/>
        </w:rPr>
        <w:t>.</w:t>
      </w:r>
      <w:r w:rsidRPr="008913ED">
        <w:rPr>
          <w:b/>
          <w:szCs w:val="24"/>
          <w:lang w:eastAsia="en-US"/>
        </w:rPr>
        <w:t xml:space="preserve"> [Ændring 90]</w:t>
      </w:r>
    </w:p>
    <w:p w14:paraId="0BF143E0"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t>Infrastrukturforvalterne hører ansøgerne</w:t>
      </w:r>
      <w:r w:rsidRPr="008913ED">
        <w:rPr>
          <w:b/>
          <w:i/>
          <w:szCs w:val="24"/>
          <w:lang w:eastAsia="en-US"/>
        </w:rPr>
        <w:t xml:space="preserve"> og tilsynsorganet</w:t>
      </w:r>
      <w:r w:rsidRPr="008913ED">
        <w:rPr>
          <w:szCs w:val="24"/>
          <w:lang w:eastAsia="en-US"/>
        </w:rPr>
        <w:t xml:space="preserve"> om kapacitetsmodellen i overensstemmelse med artikel 13 og koordinerer kapacitetsstrategierne med andre </w:t>
      </w:r>
      <w:r w:rsidRPr="008913ED">
        <w:rPr>
          <w:b/>
          <w:i/>
          <w:szCs w:val="24"/>
          <w:lang w:eastAsia="en-US"/>
        </w:rPr>
        <w:t xml:space="preserve">berørte </w:t>
      </w:r>
      <w:r w:rsidRPr="008913ED">
        <w:rPr>
          <w:szCs w:val="24"/>
          <w:lang w:eastAsia="en-US"/>
        </w:rPr>
        <w:t>infrastrukturforvaltere i overensstemmelse med artikel 14.</w:t>
      </w:r>
      <w:r w:rsidRPr="008913ED">
        <w:rPr>
          <w:b/>
          <w:szCs w:val="24"/>
          <w:lang w:eastAsia="en-US"/>
        </w:rPr>
        <w:t xml:space="preserve"> [Ændring 91]</w:t>
      </w:r>
    </w:p>
    <w:p w14:paraId="41C58CA4"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4a.</w:t>
      </w:r>
      <w:r w:rsidRPr="008913ED">
        <w:rPr>
          <w:szCs w:val="24"/>
          <w:lang w:eastAsia="en-US"/>
        </w:rPr>
        <w:tab/>
      </w:r>
      <w:r w:rsidRPr="008913ED">
        <w:rPr>
          <w:b/>
          <w:i/>
          <w:szCs w:val="24"/>
          <w:lang w:eastAsia="en-US"/>
        </w:rPr>
        <w:t>Infrastrukturforvalteren forelægger kapacitetsmodellen for tilsynsorganet med henblik på kontrol to måneder før offentliggørelsen. Tilsynsorganet kan senest en måned før offentliggørelsen træffe en afgørelse, der pålægger infrastrukturforvalteren at ændre kapacitetsmodellen inden offentliggørelse. For at sikre kapacitetsmodellernes grænseoverskridende sammenhæng skal tilsynsorganets afgørelse, hvor det er relevant, tage hensyn til enhver udtalelse eller henstilling fra ENIM, ERA eller andre tilsynsorganer.</w:t>
      </w:r>
      <w:r w:rsidRPr="008913ED">
        <w:rPr>
          <w:b/>
          <w:szCs w:val="24"/>
          <w:lang w:eastAsia="en-US"/>
        </w:rPr>
        <w:t xml:space="preserve"> [Ændring 92]</w:t>
      </w:r>
    </w:p>
    <w:p w14:paraId="0F3BA3D8" w14:textId="77777777" w:rsidR="0005686F" w:rsidRDefault="0005686F">
      <w:pPr>
        <w:widowControl/>
        <w:rPr>
          <w:szCs w:val="24"/>
          <w:lang w:eastAsia="en-US"/>
        </w:rPr>
      </w:pPr>
      <w:r>
        <w:rPr>
          <w:szCs w:val="24"/>
          <w:lang w:eastAsia="en-US"/>
        </w:rPr>
        <w:br w:type="page"/>
      </w:r>
    </w:p>
    <w:p w14:paraId="52B1461F" w14:textId="2E9E7001"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18</w:t>
      </w:r>
      <w:r w:rsidRPr="008913ED">
        <w:rPr>
          <w:szCs w:val="24"/>
          <w:lang w:eastAsia="en-US"/>
        </w:rPr>
        <w:br/>
        <w:t>Kapacitetsforsyningsplan</w:t>
      </w:r>
    </w:p>
    <w:p w14:paraId="75DBE53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udarbejder en kapacitetsforsyningsplan med henblik på at give omfattende oplysninger om:</w:t>
      </w:r>
    </w:p>
    <w:p w14:paraId="0FF5FDB3"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a)</w:t>
      </w:r>
      <w:r w:rsidRPr="008913ED">
        <w:rPr>
          <w:szCs w:val="24"/>
          <w:lang w:eastAsia="en-US"/>
        </w:rPr>
        <w:tab/>
        <w:t>infrastrukturkapacitet, der er til rådighed for tildeling til ansøgere</w:t>
      </w:r>
      <w:r w:rsidRPr="008913ED">
        <w:rPr>
          <w:b/>
          <w:i/>
          <w:szCs w:val="24"/>
          <w:lang w:eastAsia="en-US"/>
        </w:rPr>
        <w:t xml:space="preserve"> i køreplanen og reserveret med henblik på senere ansøgninger i henhold til artikel 33, herunder servicefaciliteter;</w:t>
      </w:r>
      <w:r w:rsidRPr="008913ED">
        <w:rPr>
          <w:b/>
          <w:szCs w:val="24"/>
          <w:lang w:eastAsia="en-US"/>
        </w:rPr>
        <w:t xml:space="preserve"> [Ændring 93]</w:t>
      </w:r>
    </w:p>
    <w:p w14:paraId="6B1279D7"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infrastrukturkapacitet, der ikke er til rådighed for tildeling.</w:t>
      </w:r>
    </w:p>
    <w:p w14:paraId="3ED927B0" w14:textId="77777777" w:rsidR="008913ED" w:rsidRPr="008913ED" w:rsidRDefault="008913ED" w:rsidP="008913ED">
      <w:pPr>
        <w:spacing w:before="120" w:after="120" w:line="360" w:lineRule="auto"/>
        <w:ind w:left="850"/>
        <w:rPr>
          <w:szCs w:val="24"/>
          <w:lang w:eastAsia="en-US"/>
        </w:rPr>
      </w:pPr>
      <w:r w:rsidRPr="008913ED">
        <w:rPr>
          <w:szCs w:val="24"/>
          <w:lang w:eastAsia="en-US"/>
        </w:rPr>
        <w:t>Kapacitetsforsyningsplanen danner grundlag for kapacitetstildeling.</w:t>
      </w:r>
    </w:p>
    <w:p w14:paraId="2BD46B1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Infrastrukturforvalterne offentliggør kapacitetsforsyningsplanen for hver køreplansperiode senest inden udløbet af den tidsfrist, der er fastsat i afsnit 2 i bilag I, og ajourfører den løbende indtil udløbet af den køreplansperiode, som planen vedrører. Kapacitetsforsyningsplanen fremlægges for hver enkelt dag i den pågældende køreplansperiode.</w:t>
      </w:r>
    </w:p>
    <w:p w14:paraId="443209BE" w14:textId="77777777" w:rsidR="0005686F" w:rsidRDefault="0005686F">
      <w:pPr>
        <w:widowControl/>
        <w:rPr>
          <w:szCs w:val="24"/>
          <w:lang w:eastAsia="en-US"/>
        </w:rPr>
      </w:pPr>
      <w:r>
        <w:rPr>
          <w:szCs w:val="24"/>
          <w:lang w:eastAsia="en-US"/>
        </w:rPr>
        <w:br w:type="page"/>
      </w:r>
    </w:p>
    <w:p w14:paraId="0F1C6D1B" w14:textId="7E0941E6"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Infrastrukturforvalterne udarbejder kapacitetsforsyningsplanen på grundlag af resultaterne af den strategiske kapacitetsplanlægningsproces, der er omhandlet i artikel 11-17 og i afsnit 1 og 2 i bilag I.</w:t>
      </w:r>
    </w:p>
    <w:p w14:paraId="509256EF"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dokumenterer og, hvor det er relevant, begrunder eventuelle afvigelser mellem kapacitetsforsyningsplanen og kapacitetsmodellen i samme køreplansperiode.</w:t>
      </w:r>
    </w:p>
    <w:p w14:paraId="191DFC86"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t>I kapacitetsforsyningsplanen kan infrastrukturforvalterne angive infrastrukturkapacitet</w:t>
      </w:r>
      <w:r w:rsidRPr="008913ED">
        <w:rPr>
          <w:b/>
          <w:i/>
          <w:szCs w:val="24"/>
          <w:lang w:eastAsia="en-US"/>
        </w:rPr>
        <w:t xml:space="preserve"> og kapacitet i servicefaciliteter som omhandlet i artikel 29, stk. 1,</w:t>
      </w:r>
      <w:r w:rsidRPr="008913ED">
        <w:rPr>
          <w:szCs w:val="24"/>
          <w:lang w:eastAsia="en-US"/>
        </w:rPr>
        <w:t xml:space="preserve"> som på forhånd planlagt. På forhånd planlagt kapacitet er kapacitet, for hvilken infrastrukturforvalteren definerer karakteristika og mængder af den tilgængelige kapacitet, som ansøgerne kan ansøge om, fastsætter regler for tildeling af en sådan kapacitet og definerer processen for ansøgning om en sådan kapacitet i overensstemmelse med artikel 20. Der tages hensyn til de specificerede karakteristika, regler og tildelingsprocesser ved tildelingen af på forhånd planlagt kapacitet.</w:t>
      </w:r>
      <w:r w:rsidRPr="008913ED">
        <w:rPr>
          <w:b/>
          <w:szCs w:val="24"/>
          <w:lang w:eastAsia="en-US"/>
        </w:rPr>
        <w:t xml:space="preserve"> [Ændring 94]</w:t>
      </w:r>
    </w:p>
    <w:p w14:paraId="4EC94544" w14:textId="77777777" w:rsidR="0005686F" w:rsidRDefault="0005686F">
      <w:pPr>
        <w:widowControl/>
        <w:rPr>
          <w:szCs w:val="24"/>
          <w:lang w:eastAsia="en-US"/>
        </w:rPr>
      </w:pPr>
      <w:r>
        <w:rPr>
          <w:szCs w:val="24"/>
          <w:lang w:eastAsia="en-US"/>
        </w:rPr>
        <w:br w:type="page"/>
      </w:r>
    </w:p>
    <w:p w14:paraId="2E6D5129" w14:textId="4EAC9B29"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På forhånd planlagt kapacitet angives i kapacitetsforsyningsplanen som kapacitetsobjekter, jf. artikel 20, der specificerer kapacitetens mængde og karakteristika og er underlagt regler og procedurer for tildeling, hvorigennem en sådan kapacitet stilles til rådighed.</w:t>
      </w:r>
    </w:p>
    <w:p w14:paraId="32CF596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Med forbehold af stk. 7 skal kapacitetsforsyningsplanen indeholde følgende elementer:</w:t>
      </w:r>
    </w:p>
    <w:p w14:paraId="57A49CA7"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kapacitet, der er til rådighed for tildeling til ansøgere i den køreplansperiode, som kapacitetsforsyningsplanen vedrører:</w:t>
      </w:r>
    </w:p>
    <w:p w14:paraId="611A9845"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w:t>
      </w:r>
      <w:r w:rsidRPr="008913ED">
        <w:rPr>
          <w:szCs w:val="24"/>
          <w:lang w:eastAsia="en-US"/>
        </w:rPr>
        <w:tab/>
        <w:t>kapacitet, som ikke er planlagt på forhånd af infrastrukturforvalteren</w:t>
      </w:r>
    </w:p>
    <w:p w14:paraId="54507498"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ii)</w:t>
      </w:r>
      <w:r w:rsidRPr="008913ED">
        <w:rPr>
          <w:szCs w:val="24"/>
          <w:lang w:eastAsia="en-US"/>
        </w:rPr>
        <w:tab/>
        <w:t>kapacitet, som er planlagt på forhånd af infrastrukturforvalteren.</w:t>
      </w:r>
    </w:p>
    <w:p w14:paraId="2D95C9C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kapacitet, der ikke er til rådighed for tildeling til ansøgere:</w:t>
      </w:r>
    </w:p>
    <w:p w14:paraId="666AB9F9"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w:t>
      </w:r>
      <w:r w:rsidRPr="008913ED">
        <w:rPr>
          <w:szCs w:val="24"/>
          <w:lang w:eastAsia="en-US"/>
        </w:rPr>
        <w:tab/>
        <w:t>kapacitet reserveret til infrastrukturarbejder med betydelig kommerciel og operationel indvirkning på ansøgere og jernbanevirksomheder, jf. bilag I, afsnit 3</w:t>
      </w:r>
    </w:p>
    <w:p w14:paraId="4E75A3D6" w14:textId="77777777" w:rsidR="0005686F" w:rsidRDefault="0005686F">
      <w:pPr>
        <w:widowControl/>
        <w:rPr>
          <w:szCs w:val="24"/>
          <w:lang w:eastAsia="en-US"/>
        </w:rPr>
      </w:pPr>
      <w:r>
        <w:rPr>
          <w:szCs w:val="24"/>
          <w:lang w:eastAsia="en-US"/>
        </w:rPr>
        <w:br w:type="page"/>
      </w:r>
    </w:p>
    <w:p w14:paraId="276D67C4" w14:textId="1A732596" w:rsidR="008913ED" w:rsidRPr="008913ED" w:rsidRDefault="008913ED" w:rsidP="008913ED">
      <w:pPr>
        <w:spacing w:before="120" w:after="120" w:line="360" w:lineRule="auto"/>
        <w:ind w:left="1982" w:hanging="566"/>
        <w:rPr>
          <w:szCs w:val="24"/>
          <w:lang w:eastAsia="en-US"/>
        </w:rPr>
      </w:pPr>
      <w:r w:rsidRPr="008913ED">
        <w:rPr>
          <w:szCs w:val="24"/>
          <w:lang w:eastAsia="en-US"/>
        </w:rPr>
        <w:lastRenderedPageBreak/>
        <w:t>ii)</w:t>
      </w:r>
      <w:r w:rsidRPr="008913ED">
        <w:rPr>
          <w:szCs w:val="24"/>
          <w:lang w:eastAsia="en-US"/>
        </w:rPr>
        <w:tab/>
        <w:t>kapacitet reserveret til regelmæssige tidsintervaller, der gør det muligt at planlægge infrastrukturarbejder med begrænsede virkninger på et senere tidspunkt</w:t>
      </w:r>
    </w:p>
    <w:p w14:paraId="2B3289AB"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iii)</w:t>
      </w:r>
      <w:r w:rsidRPr="008913ED">
        <w:rPr>
          <w:szCs w:val="24"/>
          <w:lang w:eastAsia="en-US"/>
        </w:rPr>
        <w:tab/>
        <w:t>kapacitet, der allerede er tildelt gennem rammeaftaler i overensstemmelse med artikel 31 eller gennem den flerårige rullende planlægningsproces i overensstemmelse med artikel 33</w:t>
      </w:r>
    </w:p>
    <w:p w14:paraId="4CD83931"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iv)</w:t>
      </w:r>
      <w:r w:rsidRPr="008913ED">
        <w:rPr>
          <w:szCs w:val="24"/>
          <w:lang w:eastAsia="en-US"/>
        </w:rPr>
        <w:tab/>
        <w:t>kapacitet reserveret til andre formål end dem, der er anført i nr. i), ii) og iii), og som infrastrukturforvalteren skal angive tydeligt.</w:t>
      </w:r>
    </w:p>
    <w:p w14:paraId="1E16DF00" w14:textId="77777777" w:rsidR="008913ED" w:rsidRPr="008913ED" w:rsidRDefault="008913ED" w:rsidP="008913ED">
      <w:pPr>
        <w:spacing w:before="120" w:after="120" w:line="360" w:lineRule="auto"/>
        <w:ind w:left="850"/>
        <w:rPr>
          <w:szCs w:val="24"/>
          <w:lang w:eastAsia="en-US"/>
        </w:rPr>
      </w:pPr>
      <w:r w:rsidRPr="008913ED">
        <w:rPr>
          <w:szCs w:val="24"/>
          <w:lang w:eastAsia="en-US"/>
        </w:rPr>
        <w:t>I kapacitetsforsyningsplanen angives de begrænsninger, der gælder for anvendelsen af infrastruktur til særlige formål, jf. artikel 24.</w:t>
      </w:r>
    </w:p>
    <w:p w14:paraId="6E75C07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7.</w:t>
      </w:r>
      <w:r w:rsidRPr="008913ED">
        <w:rPr>
          <w:szCs w:val="24"/>
          <w:lang w:eastAsia="en-US"/>
        </w:rPr>
        <w:tab/>
        <w:t>Infrastrukturforvalterne medtager de elementer, der er anført i stk. 6, litra b), for den jernbaneinfrastruktur, de forvalter, i kapacitetsforsyningsplanen.</w:t>
      </w:r>
    </w:p>
    <w:p w14:paraId="366486CB"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Infrastrukturforvalterne medtager alle de elementer, der er anført i stk. 6, </w:t>
      </w:r>
      <w:r w:rsidRPr="008913ED">
        <w:rPr>
          <w:strike/>
          <w:szCs w:val="24"/>
          <w:lang w:eastAsia="en-US"/>
        </w:rPr>
        <w:t xml:space="preserve">for alle strækninger og knudepunkter i TEN-T-hovednettet og det udvidede hovednet som defineret i [den nye TEN-T-forordning] </w:t>
      </w:r>
      <w:r w:rsidRPr="008913ED">
        <w:rPr>
          <w:szCs w:val="24"/>
          <w:lang w:eastAsia="en-US"/>
        </w:rPr>
        <w:t>i kapacitetsforsyningsplanen</w:t>
      </w:r>
      <w:r w:rsidRPr="008913ED">
        <w:rPr>
          <w:b/>
          <w:i/>
          <w:szCs w:val="24"/>
          <w:lang w:eastAsia="en-US"/>
        </w:rPr>
        <w:t xml:space="preserve"> og sikrer sammenhæng med kapacitetsstrategien</w:t>
      </w:r>
      <w:r w:rsidRPr="008913ED">
        <w:rPr>
          <w:szCs w:val="24"/>
          <w:lang w:eastAsia="en-US"/>
        </w:rPr>
        <w:t>.</w:t>
      </w:r>
      <w:r w:rsidRPr="008913ED">
        <w:rPr>
          <w:b/>
          <w:szCs w:val="24"/>
          <w:lang w:eastAsia="en-US"/>
        </w:rPr>
        <w:t xml:space="preserve"> [Ændring 95]</w:t>
      </w:r>
    </w:p>
    <w:p w14:paraId="47853D84" w14:textId="77777777" w:rsidR="0005686F" w:rsidRDefault="0005686F">
      <w:pPr>
        <w:widowControl/>
        <w:rPr>
          <w:szCs w:val="24"/>
          <w:lang w:eastAsia="en-US"/>
        </w:rPr>
      </w:pPr>
      <w:r>
        <w:rPr>
          <w:szCs w:val="24"/>
          <w:lang w:eastAsia="en-US"/>
        </w:rPr>
        <w:br w:type="page"/>
      </w:r>
    </w:p>
    <w:p w14:paraId="4993E832" w14:textId="4B278E27" w:rsidR="008913ED" w:rsidRPr="008913ED" w:rsidRDefault="008913ED" w:rsidP="008913ED">
      <w:pPr>
        <w:spacing w:before="120" w:after="120" w:line="360" w:lineRule="auto"/>
        <w:ind w:left="850"/>
        <w:rPr>
          <w:szCs w:val="24"/>
          <w:lang w:eastAsia="en-US"/>
        </w:rPr>
      </w:pPr>
      <w:r w:rsidRPr="008913ED">
        <w:rPr>
          <w:szCs w:val="24"/>
          <w:lang w:eastAsia="en-US"/>
        </w:rPr>
        <w:lastRenderedPageBreak/>
        <w:t>Infrastrukturforvalterne kan medtage de elementer, der er anført i stk. 6, for andre strækninger og knudepunkter i det net, de forvalter, i kapacitetsforsyningsplanen.</w:t>
      </w:r>
    </w:p>
    <w:p w14:paraId="4A3FA6D2" w14:textId="121B395D" w:rsidR="008913ED" w:rsidRPr="008913ED" w:rsidRDefault="008913ED" w:rsidP="008913ED">
      <w:pPr>
        <w:spacing w:before="120" w:after="120" w:line="360" w:lineRule="auto"/>
        <w:ind w:left="850" w:hanging="850"/>
        <w:rPr>
          <w:szCs w:val="24"/>
          <w:lang w:eastAsia="en-US"/>
        </w:rPr>
      </w:pPr>
      <w:r w:rsidRPr="008913ED">
        <w:rPr>
          <w:szCs w:val="24"/>
          <w:lang w:eastAsia="en-US"/>
        </w:rPr>
        <w:t>8.</w:t>
      </w:r>
      <w:r w:rsidRPr="008913ED">
        <w:rPr>
          <w:szCs w:val="24"/>
          <w:lang w:eastAsia="en-US"/>
        </w:rPr>
        <w:tab/>
        <w:t>Ved forudgående kapacitetsplanlægning i overensstemmelse med stk. 6, litra a), nr. ii), følger infrastrukturforvalterne principperne i artikel 8, stk. 4.</w:t>
      </w:r>
    </w:p>
    <w:p w14:paraId="06EFAC45"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planlægger kapaciteten på forhånd på grundlag af medlemsstaternes strategiske retningslinjer i overensstemmelse med artikel 11, stk. 3, resultaterne af høringen af ansøgere i overensstemmelse med artikel 13 og koordineringen mellem infrastrukturforvalterne i overensstemmelse med artikel 14.</w:t>
      </w:r>
    </w:p>
    <w:p w14:paraId="33B08EB6"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9.</w:t>
      </w:r>
      <w:r w:rsidRPr="008913ED">
        <w:rPr>
          <w:szCs w:val="24"/>
          <w:lang w:eastAsia="en-US"/>
        </w:rPr>
        <w:tab/>
      </w:r>
      <w:r w:rsidRPr="008913ED">
        <w:rPr>
          <w:b/>
          <w:i/>
          <w:szCs w:val="24"/>
          <w:lang w:eastAsia="en-US"/>
        </w:rPr>
        <w:t xml:space="preserve">Infrastrukturforvalteren forelægger to måneder inden offentliggørelse udkastet til kapacitetsforsyningsplan for tilsynsorganet med henblik på kontrol. </w:t>
      </w:r>
      <w:r w:rsidRPr="008913ED">
        <w:rPr>
          <w:szCs w:val="24"/>
          <w:lang w:eastAsia="en-US"/>
        </w:rPr>
        <w:t xml:space="preserve">Tilsynsorganet analyserer </w:t>
      </w:r>
      <w:r w:rsidRPr="008913ED">
        <w:rPr>
          <w:strike/>
          <w:szCs w:val="24"/>
          <w:lang w:eastAsia="en-US"/>
        </w:rPr>
        <w:t>kapacitetsforsyningsplanen</w:t>
      </w:r>
      <w:r w:rsidRPr="008913ED">
        <w:rPr>
          <w:b/>
          <w:i/>
          <w:szCs w:val="24"/>
          <w:lang w:eastAsia="en-US"/>
        </w:rPr>
        <w:t>denne plan</w:t>
      </w:r>
      <w:r w:rsidRPr="008913ED">
        <w:rPr>
          <w:szCs w:val="24"/>
          <w:lang w:eastAsia="en-US"/>
        </w:rPr>
        <w:t xml:space="preserve"> og kan</w:t>
      </w:r>
      <w:r w:rsidRPr="008913ED">
        <w:rPr>
          <w:b/>
          <w:i/>
          <w:szCs w:val="24"/>
          <w:lang w:eastAsia="en-US"/>
        </w:rPr>
        <w:t xml:space="preserve"> senest en måned inden offentliggørelsen</w:t>
      </w:r>
      <w:r w:rsidRPr="008913ED">
        <w:rPr>
          <w:szCs w:val="24"/>
          <w:lang w:eastAsia="en-US"/>
        </w:rPr>
        <w:t xml:space="preserve"> træffe en afgørelse, der pålægger infrastrukturforvalteren at ændre kapacitetsforsyningsplanen.</w:t>
      </w:r>
      <w:r w:rsidRPr="008913ED">
        <w:rPr>
          <w:strike/>
          <w:szCs w:val="24"/>
          <w:lang w:eastAsia="en-US"/>
        </w:rPr>
        <w:t xml:space="preserve"> I tilsynsorganets afgørelse tages i påkommende tilfælde hensyn til enhver udtalelse eller henstilling fra ENIM.</w:t>
      </w:r>
      <w:r w:rsidRPr="008913ED">
        <w:rPr>
          <w:b/>
          <w:szCs w:val="24"/>
          <w:lang w:eastAsia="en-US"/>
        </w:rPr>
        <w:t xml:space="preserve"> [Ændring 96]</w:t>
      </w:r>
    </w:p>
    <w:p w14:paraId="589FA7C0" w14:textId="77777777" w:rsidR="0005686F" w:rsidRDefault="0005686F">
      <w:pPr>
        <w:widowControl/>
        <w:rPr>
          <w:b/>
          <w:i/>
          <w:szCs w:val="24"/>
          <w:lang w:eastAsia="en-US"/>
        </w:rPr>
      </w:pPr>
      <w:r>
        <w:rPr>
          <w:b/>
          <w:i/>
          <w:szCs w:val="24"/>
          <w:lang w:eastAsia="en-US"/>
        </w:rPr>
        <w:br w:type="page"/>
      </w:r>
    </w:p>
    <w:p w14:paraId="175FA613" w14:textId="5D95D881"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9a.</w:t>
      </w:r>
      <w:r w:rsidRPr="008913ED">
        <w:rPr>
          <w:szCs w:val="24"/>
          <w:lang w:eastAsia="en-US"/>
        </w:rPr>
        <w:tab/>
      </w:r>
      <w:r w:rsidRPr="008913ED">
        <w:rPr>
          <w:b/>
          <w:i/>
          <w:szCs w:val="24"/>
          <w:lang w:eastAsia="en-US"/>
        </w:rPr>
        <w:t>For at sikre kapacitetsforsyningsplanernes grænseoverskridende sammenhæng skal tilsynsorganets afgørelse, hvor det er relevant, tage hensyn til enhver udtalelse eller henstilling fra ENRRB, ERA eller andre tilsynsorganer.</w:t>
      </w:r>
      <w:r w:rsidRPr="008913ED">
        <w:rPr>
          <w:b/>
          <w:szCs w:val="24"/>
          <w:lang w:eastAsia="en-US"/>
        </w:rPr>
        <w:t xml:space="preserve"> [Ændring 97]</w:t>
      </w:r>
    </w:p>
    <w:p w14:paraId="4B72E518"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10.</w:t>
      </w:r>
      <w:r w:rsidRPr="008913ED">
        <w:rPr>
          <w:szCs w:val="24"/>
          <w:lang w:eastAsia="en-US"/>
        </w:rPr>
        <w:tab/>
        <w:t>ENIM vedtager</w:t>
      </w:r>
      <w:r w:rsidRPr="008913ED">
        <w:rPr>
          <w:b/>
          <w:i/>
          <w:szCs w:val="24"/>
          <w:lang w:eastAsia="en-US"/>
        </w:rPr>
        <w:t xml:space="preserve"> senest den ... [12 måneder fra denne forordnings ikrafttræden]</w:t>
      </w:r>
      <w:r w:rsidRPr="008913ED">
        <w:rPr>
          <w:szCs w:val="24"/>
          <w:lang w:eastAsia="en-US"/>
        </w:rPr>
        <w:t xml:space="preserve"> retningslinjer og medtager dem i den europæiske ramme for kapacitetsforvaltning, jf. artikel 6, og fastsætter følgende:</w:t>
      </w:r>
      <w:r w:rsidRPr="008913ED">
        <w:rPr>
          <w:b/>
          <w:szCs w:val="24"/>
          <w:lang w:eastAsia="en-US"/>
        </w:rPr>
        <w:t xml:space="preserve"> [Ændring 98]</w:t>
      </w:r>
    </w:p>
    <w:p w14:paraId="11CB9A6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metoderne til offentliggørelse af kapacitetsforsyningsplanen, herunder digitale tjenester, værktøjer, funktioner og grænseflader</w:t>
      </w:r>
    </w:p>
    <w:p w14:paraId="4AEFC66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proceduren for høring af ansøgere om kapacitetsforsyningsplanen.</w:t>
      </w:r>
    </w:p>
    <w:p w14:paraId="6B9B147D"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10a.</w:t>
      </w:r>
      <w:r w:rsidRPr="008913ED">
        <w:rPr>
          <w:szCs w:val="24"/>
          <w:lang w:eastAsia="en-US"/>
        </w:rPr>
        <w:tab/>
      </w:r>
      <w:r w:rsidRPr="008913ED">
        <w:rPr>
          <w:b/>
          <w:i/>
          <w:szCs w:val="24"/>
          <w:lang w:eastAsia="en-US"/>
        </w:rPr>
        <w:t>Kommissionen tillægges beføjelser til at vedtage delegerede retsakter i overensstemmelse med artikel 71 med henblik på at fastsætte fælles principper, procedurer og metoder for de retningslinjer, der er omhandlet i nærværende artikels stk. 10, og ændre nærværende artikels stk. 10. Disse delegerede retsakter vedtages senest den ... [24 måneder fra denne forordnings ikrafttræden]. De skal indgå i den europæiske ramme for kapacitetsforvaltning.</w:t>
      </w:r>
      <w:r w:rsidRPr="008913ED">
        <w:rPr>
          <w:b/>
          <w:szCs w:val="24"/>
          <w:lang w:eastAsia="en-US"/>
        </w:rPr>
        <w:t xml:space="preserve"> [Ændring 99]</w:t>
      </w:r>
    </w:p>
    <w:p w14:paraId="35671EAC" w14:textId="77777777" w:rsidR="0005686F" w:rsidRDefault="0005686F">
      <w:pPr>
        <w:widowControl/>
        <w:rPr>
          <w:szCs w:val="24"/>
          <w:lang w:eastAsia="en-US"/>
        </w:rPr>
      </w:pPr>
      <w:r>
        <w:rPr>
          <w:szCs w:val="24"/>
          <w:lang w:eastAsia="en-US"/>
        </w:rPr>
        <w:br w:type="page"/>
      </w:r>
    </w:p>
    <w:p w14:paraId="376DECA8" w14:textId="7FF35740"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19</w:t>
      </w:r>
      <w:r w:rsidRPr="008913ED">
        <w:rPr>
          <w:szCs w:val="24"/>
          <w:lang w:eastAsia="en-US"/>
        </w:rPr>
        <w:br/>
        <w:t>Beredskabsplanlægning</w:t>
      </w:r>
    </w:p>
    <w:p w14:paraId="0F1CBC9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indfører og gennemfører en løbende beredskabsplanlægningsproces for at forberede sig på forstyrrelser i netdriften og på andre krisesituationer, der påvirker jernbanetrafikken.</w:t>
      </w:r>
    </w:p>
    <w:p w14:paraId="5C7B418C" w14:textId="77777777" w:rsidR="008913ED" w:rsidRPr="008913ED" w:rsidRDefault="008913ED" w:rsidP="008913ED">
      <w:pPr>
        <w:spacing w:before="120" w:after="120" w:line="360" w:lineRule="auto"/>
        <w:ind w:left="850"/>
        <w:rPr>
          <w:szCs w:val="24"/>
          <w:lang w:eastAsia="en-US"/>
        </w:rPr>
      </w:pPr>
      <w:r w:rsidRPr="008913ED">
        <w:rPr>
          <w:szCs w:val="24"/>
          <w:lang w:eastAsia="en-US"/>
        </w:rPr>
        <w:t>Beredskabsplanlægningen danner grundlag for trafikstyring, håndtering af forstyrrelser og krisestyring i overensstemmelse med artikel 42 med henblik på at muliggøre en hurtig reaktion i sådanne situationer og minimere deres indvirkning på jernbanetrafikken.</w:t>
      </w:r>
    </w:p>
    <w:p w14:paraId="7F8E7225"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dokumenterer resultaterne af beredskabsplanlægningen i en beredskabsplan.</w:t>
      </w:r>
    </w:p>
    <w:p w14:paraId="16BDF0ED"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Beredskabsplanlægningen omfatter navnlig:</w:t>
      </w:r>
    </w:p>
    <w:p w14:paraId="0FD074C4"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a)</w:t>
      </w:r>
      <w:r w:rsidRPr="008913ED">
        <w:rPr>
          <w:szCs w:val="24"/>
          <w:lang w:eastAsia="en-US"/>
        </w:rPr>
        <w:tab/>
        <w:t xml:space="preserve">udpegelse af alternative strækninger, der gør det muligt at omlægge trafikken, hvis </w:t>
      </w:r>
      <w:r w:rsidRPr="008913ED">
        <w:rPr>
          <w:strike/>
          <w:szCs w:val="24"/>
          <w:lang w:eastAsia="en-US"/>
        </w:rPr>
        <w:t>strækningerne i TEN-T-hovednettet og det udvidede hovednet omhandlet i artikel 6 i og bilag I til [den nye TEN-T-forordning]</w:t>
      </w:r>
      <w:r w:rsidRPr="008913ED">
        <w:rPr>
          <w:b/>
          <w:i/>
          <w:szCs w:val="24"/>
          <w:lang w:eastAsia="en-US"/>
        </w:rPr>
        <w:t>en strækning</w:t>
      </w:r>
      <w:r w:rsidRPr="008913ED">
        <w:rPr>
          <w:szCs w:val="24"/>
          <w:lang w:eastAsia="en-US"/>
        </w:rPr>
        <w:t xml:space="preserve"> ikke er til rådighed</w:t>
      </w:r>
      <w:r w:rsidRPr="008913ED">
        <w:rPr>
          <w:b/>
          <w:szCs w:val="24"/>
          <w:lang w:eastAsia="en-US"/>
        </w:rPr>
        <w:t xml:space="preserve"> [Ændring 100]</w:t>
      </w:r>
    </w:p>
    <w:p w14:paraId="240C7AB1" w14:textId="77777777" w:rsidR="0005686F" w:rsidRDefault="0005686F">
      <w:pPr>
        <w:widowControl/>
        <w:rPr>
          <w:szCs w:val="24"/>
          <w:lang w:eastAsia="en-US"/>
        </w:rPr>
      </w:pPr>
      <w:r>
        <w:rPr>
          <w:szCs w:val="24"/>
          <w:lang w:eastAsia="en-US"/>
        </w:rPr>
        <w:br w:type="page"/>
      </w:r>
    </w:p>
    <w:p w14:paraId="4B1C2D50" w14:textId="50108007"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b)</w:t>
      </w:r>
      <w:r w:rsidRPr="008913ED">
        <w:rPr>
          <w:szCs w:val="24"/>
          <w:lang w:eastAsia="en-US"/>
        </w:rPr>
        <w:tab/>
        <w:t>en vejledende planlægning af den infrastrukturkapacitet, der er til rådighed på de alternative strækninger, der er udpeget i overensstemmelse med litra a), og som sikrer gennemsigtighed med hensyn til den disponible infrastrukturkapacitet på sådanne strækninger, som kan anvendes i tilfælde af hændelser, herunder navnlig netforstyrrelser, i overensstemmelse med artikel 46</w:t>
      </w:r>
    </w:p>
    <w:p w14:paraId="1303330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fastlæggelse af regler og procedurer for trafik- og krisestyring, herunder om udveksling af oplysninger mellem infrastrukturforvaltere, andre operationelle interessenter og andre interessenter såsom offentlige myndigheder med ansvar for jernbanetransport eller sikkerhed og beredskab, samt kriterier for aktivering af disse procedurer</w:t>
      </w:r>
    </w:p>
    <w:p w14:paraId="7CCA3D2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identifikation af og udarbejdelse af en liste over organer, der skal underrettes i tilfælde af alvorlige hændelser eller alvorlige forstyrrelser af togtrafikken</w:t>
      </w:r>
    </w:p>
    <w:p w14:paraId="759913A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anden forberedelse, der er nødvendig for håndteringen af forstyrrelser og krisestyringen i overensstemmelse med artikel 42 og med den europæiske ramme for grænseoverskridende koordinering af trafikstyring, håndtering af forstyrrelser og krisestyring, jf. artikel 44.</w:t>
      </w:r>
    </w:p>
    <w:p w14:paraId="54CF6230" w14:textId="77777777" w:rsidR="0005686F" w:rsidRDefault="0005686F">
      <w:pPr>
        <w:widowControl/>
        <w:rPr>
          <w:szCs w:val="24"/>
          <w:lang w:eastAsia="en-US"/>
        </w:rPr>
      </w:pPr>
      <w:r>
        <w:rPr>
          <w:szCs w:val="24"/>
          <w:lang w:eastAsia="en-US"/>
        </w:rPr>
        <w:br w:type="page"/>
      </w:r>
    </w:p>
    <w:p w14:paraId="0C93CBB5" w14:textId="0DCB8C3B"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Infrastrukturforvalterne sikrer sammenhæng mellem beredskabsplanlægningen og den strategiske kapacitetsplanlægning, navnlig kapacitetsstrategien, kapacitetsmodellen, kapacitetsforsyningsplanen og planlægningen af infrastrukturarbejder som omhandlet i artikel 10.</w:t>
      </w:r>
    </w:p>
    <w:p w14:paraId="1CFA90B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Resultaterne af beredskabsplanlægningen, navnlig udpegelsen af alternative strækninger i overensstemmelse med stk. 2, litra a), og den vejledende kapacitetsplanlægning på alternative strækninger i overensstemmelse med stk. 2, litra b), medtages i kapacitetsmodellen og i kapacitetsforsyningsplanen.</w:t>
      </w:r>
    </w:p>
    <w:p w14:paraId="538F35B1"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 xml:space="preserve">Kommissionen </w:t>
      </w:r>
      <w:r w:rsidRPr="008913ED">
        <w:rPr>
          <w:strike/>
          <w:szCs w:val="24"/>
          <w:lang w:eastAsia="en-US"/>
        </w:rPr>
        <w:t>vedtager gennemførelsesretsakter med</w:t>
      </w:r>
      <w:r w:rsidRPr="008913ED">
        <w:rPr>
          <w:b/>
          <w:i/>
          <w:szCs w:val="24"/>
          <w:lang w:eastAsia="en-US"/>
        </w:rPr>
        <w:t>tillægges beføjelser til at vedtage delegerede retsakter i overensstemmelse med artikel 71 for at fastsætte</w:t>
      </w:r>
      <w:r w:rsidRPr="008913ED">
        <w:rPr>
          <w:szCs w:val="24"/>
          <w:lang w:eastAsia="en-US"/>
        </w:rPr>
        <w:t xml:space="preserve"> nærmere procedureregler og kriterier for anvendelsen af</w:t>
      </w:r>
      <w:r w:rsidRPr="008913ED">
        <w:rPr>
          <w:b/>
          <w:i/>
          <w:szCs w:val="24"/>
          <w:lang w:eastAsia="en-US"/>
        </w:rPr>
        <w:t xml:space="preserve"> denne artikels</w:t>
      </w:r>
      <w:r w:rsidRPr="008913ED">
        <w:rPr>
          <w:szCs w:val="24"/>
          <w:lang w:eastAsia="en-US"/>
        </w:rPr>
        <w:t xml:space="preserve"> stk. 2, navnlig i situationer, der kan påvirke den grænseoverskridende trafik. Disse </w:t>
      </w:r>
      <w:r w:rsidRPr="008913ED">
        <w:rPr>
          <w:strike/>
          <w:szCs w:val="24"/>
          <w:lang w:eastAsia="en-US"/>
        </w:rPr>
        <w:t>gennemførelsesretsakter</w:t>
      </w:r>
      <w:r w:rsidRPr="008913ED">
        <w:rPr>
          <w:b/>
          <w:i/>
          <w:szCs w:val="24"/>
          <w:lang w:eastAsia="en-US"/>
        </w:rPr>
        <w:t>delegerede retsakter</w:t>
      </w:r>
      <w:r w:rsidRPr="008913ED">
        <w:rPr>
          <w:szCs w:val="24"/>
          <w:lang w:eastAsia="en-US"/>
        </w:rPr>
        <w:t xml:space="preserve"> vedtages </w:t>
      </w:r>
      <w:r w:rsidRPr="008913ED">
        <w:rPr>
          <w:strike/>
          <w:szCs w:val="24"/>
          <w:lang w:eastAsia="en-US"/>
        </w:rPr>
        <w:t>efter undersøgelsesproceduren i artikel 72, stk. 3</w:t>
      </w:r>
      <w:r w:rsidRPr="008913ED">
        <w:rPr>
          <w:b/>
          <w:i/>
          <w:szCs w:val="24"/>
          <w:lang w:eastAsia="en-US"/>
        </w:rPr>
        <w:t>senest den ... [24 måneder fra denne forordnings ikrafttræden]</w:t>
      </w:r>
      <w:r w:rsidRPr="008913ED">
        <w:rPr>
          <w:szCs w:val="24"/>
          <w:lang w:eastAsia="en-US"/>
        </w:rPr>
        <w:t>.</w:t>
      </w:r>
      <w:r w:rsidRPr="008913ED">
        <w:rPr>
          <w:b/>
          <w:szCs w:val="24"/>
          <w:lang w:eastAsia="en-US"/>
        </w:rPr>
        <w:t xml:space="preserve"> [Ændring 101]</w:t>
      </w:r>
    </w:p>
    <w:p w14:paraId="3D294FB4" w14:textId="77777777" w:rsidR="0005686F" w:rsidRDefault="0005686F">
      <w:pPr>
        <w:widowControl/>
        <w:rPr>
          <w:szCs w:val="24"/>
          <w:lang w:eastAsia="en-US"/>
        </w:rPr>
      </w:pPr>
      <w:r>
        <w:rPr>
          <w:szCs w:val="24"/>
          <w:lang w:eastAsia="en-US"/>
        </w:rPr>
        <w:br w:type="page"/>
      </w:r>
    </w:p>
    <w:p w14:paraId="380BA663" w14:textId="32F6B277"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20</w:t>
      </w:r>
      <w:r w:rsidRPr="008913ED">
        <w:rPr>
          <w:szCs w:val="24"/>
          <w:lang w:eastAsia="en-US"/>
        </w:rPr>
        <w:br/>
        <w:t>Kriterier og procedurer for tildeling af på forhånd planlagt kapacitet og for definition af kapacitetsplanlægningsobjekter</w:t>
      </w:r>
    </w:p>
    <w:p w14:paraId="31FAEAB3"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tildeler den på forhånd planlagte kapacitet, der indgår i den i artikel 18 omhandlede kapacitetsforsyningsplan, ved hjælp af gennemsigtige og ikkediskriminerende kriterier og procedurer.</w:t>
      </w:r>
    </w:p>
    <w:p w14:paraId="020A9A7D"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Kapacitetsplanlægningsobjekter definerer karakteristika og egenskaber ved forskellige former for på forhånd planlagt kapacitet, herunder kapacitet, som ansøgerne kan ansøge om, kapacitet reserveret til infrastrukturarbejder og allerede tildelt kapacitet. Disse karakteristika og egenskaber skal omfatte alle aspekter, der er relevante for specifikke former for på forhånd planlagt kapacitet såsom rute, tidsplan, garanteret eller krævet minimumshastighed, den tekniske kompatibilitet mellem det rullende materiel og infrastruktur, parametre og antal </w:t>
      </w:r>
      <w:r w:rsidRPr="008913ED">
        <w:rPr>
          <w:strike/>
          <w:szCs w:val="24"/>
          <w:lang w:eastAsia="en-US"/>
        </w:rPr>
        <w:t>ankomst- og afgangstidspunkter</w:t>
      </w:r>
      <w:r w:rsidRPr="008913ED">
        <w:rPr>
          <w:b/>
          <w:i/>
          <w:szCs w:val="24"/>
          <w:lang w:eastAsia="en-US"/>
        </w:rPr>
        <w:t>togkørsler</w:t>
      </w:r>
      <w:r w:rsidRPr="008913ED">
        <w:rPr>
          <w:szCs w:val="24"/>
          <w:lang w:eastAsia="en-US"/>
        </w:rPr>
        <w:t>.</w:t>
      </w:r>
      <w:r w:rsidRPr="008913ED">
        <w:rPr>
          <w:b/>
          <w:szCs w:val="24"/>
          <w:lang w:eastAsia="en-US"/>
        </w:rPr>
        <w:t xml:space="preserve"> [Ændring 102]</w:t>
      </w:r>
    </w:p>
    <w:p w14:paraId="581A11AC" w14:textId="77777777" w:rsidR="0005686F" w:rsidRDefault="0005686F">
      <w:pPr>
        <w:widowControl/>
        <w:rPr>
          <w:szCs w:val="24"/>
          <w:lang w:eastAsia="en-US"/>
        </w:rPr>
      </w:pPr>
      <w:r>
        <w:rPr>
          <w:szCs w:val="24"/>
          <w:lang w:eastAsia="en-US"/>
        </w:rPr>
        <w:br w:type="page"/>
      </w:r>
    </w:p>
    <w:p w14:paraId="6BD56F7F" w14:textId="74E38960"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ENIM udvikler</w:t>
      </w:r>
      <w:r w:rsidRPr="008913ED">
        <w:rPr>
          <w:b/>
          <w:i/>
          <w:szCs w:val="24"/>
          <w:lang w:eastAsia="en-US"/>
        </w:rPr>
        <w:t xml:space="preserve"> i samråd med ERP senest den ... [12 måneder fra denne forordnings ikrafttræden]</w:t>
      </w:r>
      <w:r w:rsidRPr="008913ED">
        <w:rPr>
          <w:szCs w:val="24"/>
          <w:lang w:eastAsia="en-US"/>
        </w:rPr>
        <w:t xml:space="preserve"> en fælles ramme for de i</w:t>
      </w:r>
      <w:r w:rsidRPr="008913ED">
        <w:rPr>
          <w:b/>
          <w:i/>
          <w:szCs w:val="24"/>
          <w:lang w:eastAsia="en-US"/>
        </w:rPr>
        <w:t xml:space="preserve"> denne artikel</w:t>
      </w:r>
      <w:r w:rsidRPr="008913ED">
        <w:rPr>
          <w:szCs w:val="24"/>
          <w:lang w:eastAsia="en-US"/>
        </w:rPr>
        <w:t xml:space="preserve"> stk. 1 omhandlede kriterier og procedurer og medtager den i den europæiske ramme for kapacitetsforvaltning, jf. artikel 6. I denne fælles ramme afvejes fordelene ved at reservere kapacitet til særlige former for jernbanetransport eller tildelingsprocesser med behovet for at sikre fleksibilitet til at imødekomme markedets behov ved kapacitetstildelingen. Med henblik herpå skal den fælles ramme give mulighed for at tage ansøgninger om kapacitetsrettigheder, der ikke er i overensstemmelse med den på forhånd planlagte kapacitet, i betragtning inden for rammerne af den i artikel 36 omhandlede konsensusbaserede konfliktløsningsmekanisme.</w:t>
      </w:r>
      <w:r w:rsidRPr="008913ED">
        <w:rPr>
          <w:b/>
          <w:szCs w:val="24"/>
          <w:lang w:eastAsia="en-US"/>
        </w:rPr>
        <w:t xml:space="preserve"> [Ændring 103]</w:t>
      </w:r>
    </w:p>
    <w:p w14:paraId="76233CE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t>ENIM udvikler og vedtager formelle specifikationer for kapacitetsplanlægningsobjekter i menneskeligt læsbart og maskinlæsbart format. ENIM medtager disse specifikationer i den europæiske ramme for kapacitetsforvaltning, jf. artikel 6</w:t>
      </w:r>
      <w:r w:rsidRPr="008913ED">
        <w:rPr>
          <w:b/>
          <w:i/>
          <w:szCs w:val="24"/>
          <w:lang w:eastAsia="en-US"/>
        </w:rPr>
        <w:t xml:space="preserve"> i nærværende forordning</w:t>
      </w:r>
      <w:r w:rsidRPr="008913ED">
        <w:rPr>
          <w:szCs w:val="24"/>
          <w:lang w:eastAsia="en-US"/>
        </w:rPr>
        <w:t>. På grundlag af sine erfaringer med anvendelsen af denne artikel forelægger ENIM</w:t>
      </w:r>
      <w:r w:rsidRPr="008913ED">
        <w:rPr>
          <w:b/>
          <w:i/>
          <w:szCs w:val="24"/>
          <w:lang w:eastAsia="en-US"/>
        </w:rPr>
        <w:t xml:space="preserve"> efter høring af ERP</w:t>
      </w:r>
      <w:r w:rsidRPr="008913ED">
        <w:rPr>
          <w:szCs w:val="24"/>
          <w:lang w:eastAsia="en-US"/>
        </w:rPr>
        <w:t xml:space="preserve"> Kommissionen oplysninger om eventuelle ændringer af de tekniske specifikationer for interoperabilitet som fastsat i direktiv (EU) 2016/797 og de gennemførelsesretsakter, der er vedtaget i henhold til nævnte direktiv, i overensstemmelse med artikel 62, stk. 3, i denne forordning.</w:t>
      </w:r>
      <w:r w:rsidRPr="008913ED">
        <w:rPr>
          <w:b/>
          <w:szCs w:val="24"/>
          <w:lang w:eastAsia="en-US"/>
        </w:rPr>
        <w:t xml:space="preserve"> [Ændring 104]</w:t>
      </w:r>
    </w:p>
    <w:p w14:paraId="50A31B45" w14:textId="77777777" w:rsidR="0005686F" w:rsidRDefault="0005686F">
      <w:pPr>
        <w:widowControl/>
        <w:rPr>
          <w:b/>
          <w:i/>
          <w:szCs w:val="24"/>
          <w:lang w:eastAsia="en-US"/>
        </w:rPr>
      </w:pPr>
      <w:r>
        <w:rPr>
          <w:b/>
          <w:i/>
          <w:szCs w:val="24"/>
          <w:lang w:eastAsia="en-US"/>
        </w:rPr>
        <w:br w:type="page"/>
      </w:r>
    </w:p>
    <w:p w14:paraId="40E4F5C9" w14:textId="7B24DF9A"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4a.</w:t>
      </w:r>
      <w:r w:rsidRPr="008913ED">
        <w:rPr>
          <w:szCs w:val="24"/>
          <w:lang w:eastAsia="en-US"/>
        </w:rPr>
        <w:tab/>
      </w:r>
      <w:r w:rsidRPr="008913ED">
        <w:rPr>
          <w:b/>
          <w:i/>
          <w:szCs w:val="24"/>
          <w:lang w:eastAsia="en-US"/>
        </w:rPr>
        <w:t xml:space="preserve">Kommissionen tillægges beføjelser til i overensstemmelse med artikel 71 at vedtage delegerede retsakter, der fastsætter nærmere procedureregler og kriterier for anvendelsen af stk. 1, navnlig i situationer, der kan påvirke den grænseoverskridende trafik, og til at ændre stk. 1 i nærværende artikel. Disse delegerede retsakter vedtages senest den ... [24 måneder fra denne forordnings ikrafttræden]. </w:t>
      </w:r>
      <w:r w:rsidRPr="008913ED">
        <w:rPr>
          <w:b/>
          <w:szCs w:val="24"/>
          <w:lang w:eastAsia="en-US"/>
        </w:rPr>
        <w:t xml:space="preserve"> [Ændring 105]</w:t>
      </w:r>
    </w:p>
    <w:p w14:paraId="2AB607F2"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21</w:t>
      </w:r>
      <w:r w:rsidRPr="008913ED">
        <w:rPr>
          <w:szCs w:val="24"/>
          <w:lang w:eastAsia="en-US"/>
        </w:rPr>
        <w:br/>
        <w:t>Stærkt udnyttet og overbelastet infrastruktur</w:t>
      </w:r>
    </w:p>
    <w:p w14:paraId="245BA64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erklærer straks en del af infrastrukturen for stærkt udnyttet eller overbelastet, hvis mindst en af følgende betingelser er opfyldt:</w:t>
      </w:r>
    </w:p>
    <w:p w14:paraId="6B06EA0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kapacitetsudnyttelsen ligger over tærskelværdierne for stærkt udnyttet infrastruktur eller for overbelastet infrastruktur i de referenceperioder, der er fastsat i punkt 1 i bilag II, i den foregående eller nuværende køreplansperiode</w:t>
      </w:r>
    </w:p>
    <w:p w14:paraId="42794770" w14:textId="77777777" w:rsidR="0005686F" w:rsidRDefault="0005686F">
      <w:pPr>
        <w:widowControl/>
        <w:rPr>
          <w:szCs w:val="24"/>
          <w:lang w:eastAsia="en-US"/>
        </w:rPr>
      </w:pPr>
      <w:r>
        <w:rPr>
          <w:szCs w:val="24"/>
          <w:lang w:eastAsia="en-US"/>
        </w:rPr>
        <w:br w:type="page"/>
      </w:r>
    </w:p>
    <w:p w14:paraId="034DE305" w14:textId="1C59F784"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b)</w:t>
      </w:r>
      <w:r w:rsidRPr="008913ED">
        <w:rPr>
          <w:szCs w:val="24"/>
          <w:lang w:eastAsia="en-US"/>
        </w:rPr>
        <w:tab/>
        <w:t>resultaterne af den strategiske kapacitetsplanlægning gennemført i overensstemmelse med dette afsnit viser, at de kapacitetsbehov, der er givet udtryk for i de strategiske kapacitetsplanlægningsfaser, overstiger den kapacitet, der er til rådighed for tildeling i en bestemt køreplansperiode</w:t>
      </w:r>
    </w:p>
    <w:p w14:paraId="5E0AF8A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infrastrukturarbejder, der resulterer i kapacitetsrestriktioner og er planlagt i overensstemmelse med artikel 10, bevirker, at kapaciteten bliver knap.</w:t>
      </w:r>
    </w:p>
    <w:p w14:paraId="65F2F81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 den i stk. 1 omhandlede erklæring angives køreplansperioden og den del af infrastrukturen og de bestemte tidsrum, som den vedrører.</w:t>
      </w:r>
    </w:p>
    <w:p w14:paraId="352462C6"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 xml:space="preserve">Indbyrdes modstridende individuelle ansøgninger om tildeling af kapacitet i </w:t>
      </w:r>
      <w:r w:rsidRPr="008913ED">
        <w:rPr>
          <w:strike/>
          <w:szCs w:val="24"/>
          <w:lang w:eastAsia="en-US"/>
        </w:rPr>
        <w:t>køreplanen</w:t>
      </w:r>
      <w:r w:rsidRPr="008913ED">
        <w:rPr>
          <w:b/>
          <w:i/>
          <w:szCs w:val="24"/>
          <w:lang w:eastAsia="en-US"/>
        </w:rPr>
        <w:t>køreplansperioden</w:t>
      </w:r>
      <w:r w:rsidRPr="008913ED">
        <w:rPr>
          <w:szCs w:val="24"/>
          <w:lang w:eastAsia="en-US"/>
        </w:rPr>
        <w:t xml:space="preserve"> må ikke danne grundlag for at erklære en del af infrastrukturen for stærkt udnyttet eller overbelastet, medmindre betingelserne i stk. 1 er opfyldt.</w:t>
      </w:r>
      <w:r w:rsidRPr="008913ED">
        <w:rPr>
          <w:b/>
          <w:szCs w:val="24"/>
          <w:lang w:eastAsia="en-US"/>
        </w:rPr>
        <w:t xml:space="preserve"> [Ændring 106]</w:t>
      </w:r>
    </w:p>
    <w:p w14:paraId="4FEE064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Hvis infrastrukturen er blevet erklæret for stærkt udnyttet eller overbelastet, foretager infrastrukturforvalteren en kapacitetsanalyse i henhold til artikel 22, medmindre en kapacitetsforbedringsplan i henhold til artikel 23 allerede er under gennemførelse.</w:t>
      </w:r>
    </w:p>
    <w:p w14:paraId="0EB1646D" w14:textId="77777777" w:rsidR="0005686F" w:rsidRDefault="0005686F">
      <w:pPr>
        <w:widowControl/>
        <w:rPr>
          <w:szCs w:val="24"/>
          <w:lang w:eastAsia="en-US"/>
        </w:rPr>
      </w:pPr>
      <w:r>
        <w:rPr>
          <w:szCs w:val="24"/>
          <w:lang w:eastAsia="en-US"/>
        </w:rPr>
        <w:br w:type="page"/>
      </w:r>
    </w:p>
    <w:p w14:paraId="79744635" w14:textId="41B66E4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For så vidt angår dele af infrastruktur, der er blevet erklæret for stærkt udnyttet eller overbelastet, reserverer infrastrukturforvalterne kapacitet i den i artikel 18 omhandlede kapacitetsforsyningsplan under hensyntagen til resultatet af kapacitetsanalysen omhandlet i artikel 22.</w:t>
      </w:r>
    </w:p>
    <w:p w14:paraId="7CB64CB9"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Hvis de afgifter, der er omhandlet i artikel 31, stk. 4, i direktiv 2012/34/EU, ikke er blevet opkrævet eller ikke har givet et tilfredsstillende resultat, og infrastrukturen er blevet erklæret for overbelastet, anvender infrastrukturforvalteren en procedure for opdeling eller tildeling af knap infrastrukturkapacitet på grundlag af gennemsigtige og objektive kriterier. Denne procedure gennemføres i overensstemmelse med artikel 8 i denne forordning og fastsættes sammen med de gældende kriterier i netvejledningen.</w:t>
      </w:r>
    </w:p>
    <w:p w14:paraId="78AA3D9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7.</w:t>
      </w:r>
      <w:r w:rsidRPr="008913ED">
        <w:rPr>
          <w:szCs w:val="24"/>
          <w:lang w:eastAsia="en-US"/>
        </w:rPr>
        <w:tab/>
        <w:t>Infrastrukturforvalterne angiver infrastruktur, som er blevet erklæret for stærkt udnyttet eller overbelastet, i det infrastrukturregister, der er omhandlet i artikel 49 i direktiv (EU) 2016/797.</w:t>
      </w:r>
    </w:p>
    <w:p w14:paraId="36095805"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8.</w:t>
      </w:r>
      <w:r w:rsidRPr="008913ED">
        <w:rPr>
          <w:szCs w:val="24"/>
          <w:lang w:eastAsia="en-US"/>
        </w:rPr>
        <w:tab/>
        <w:t xml:space="preserve">I netvejledningen redegøres for de procedurer, der skal følges, og de kriterier, der skal anvendes i forbindelse med overbelastet infrastruktur, og disse skal være i overensstemmelse med foranstaltninger og kriterier vedtaget i henhold til stk. </w:t>
      </w:r>
      <w:r w:rsidRPr="008913ED">
        <w:rPr>
          <w:strike/>
          <w:szCs w:val="24"/>
          <w:lang w:eastAsia="en-US"/>
        </w:rPr>
        <w:t>7</w:t>
      </w:r>
      <w:r w:rsidRPr="008913ED">
        <w:rPr>
          <w:b/>
          <w:i/>
          <w:szCs w:val="24"/>
          <w:lang w:eastAsia="en-US"/>
        </w:rPr>
        <w:t>6</w:t>
      </w:r>
      <w:r w:rsidRPr="008913ED">
        <w:rPr>
          <w:szCs w:val="24"/>
          <w:lang w:eastAsia="en-US"/>
        </w:rPr>
        <w:t>.</w:t>
      </w:r>
      <w:r w:rsidRPr="008913ED">
        <w:rPr>
          <w:b/>
          <w:szCs w:val="24"/>
          <w:lang w:eastAsia="en-US"/>
        </w:rPr>
        <w:t xml:space="preserve"> [Ændring 107]</w:t>
      </w:r>
    </w:p>
    <w:p w14:paraId="5F8EF943" w14:textId="77777777" w:rsidR="0005686F" w:rsidRDefault="0005686F">
      <w:pPr>
        <w:widowControl/>
        <w:rPr>
          <w:szCs w:val="24"/>
          <w:lang w:eastAsia="en-US"/>
        </w:rPr>
      </w:pPr>
      <w:r>
        <w:rPr>
          <w:szCs w:val="24"/>
          <w:lang w:eastAsia="en-US"/>
        </w:rPr>
        <w:br w:type="page"/>
      </w:r>
    </w:p>
    <w:p w14:paraId="1F827808" w14:textId="466659C7"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9.</w:t>
      </w:r>
      <w:r w:rsidRPr="008913ED">
        <w:rPr>
          <w:szCs w:val="24"/>
          <w:lang w:eastAsia="en-US"/>
        </w:rPr>
        <w:tab/>
        <w:t xml:space="preserve">Kommissionen tillægges beføjelser til at vedtage delegerede retsakter i overensstemmelse med artikel 71 med henblik på at ændre bilag II for at sikre en effektiv forvaltning af kapaciteten i stærkt udnyttet og overbelastet infrastruktur og afspejle infrastrukturforvalternes og ansøgernes operationelle interesser under hensyntagen til erfaringerne fra ENIM, infrastrukturforvaltere, ansøgere og andre operationelle interessenter, tilsynsorganer og </w:t>
      </w:r>
      <w:r w:rsidRPr="008913ED">
        <w:rPr>
          <w:strike/>
          <w:szCs w:val="24"/>
          <w:lang w:eastAsia="en-US"/>
        </w:rPr>
        <w:t>ENRB</w:t>
      </w:r>
      <w:r w:rsidRPr="008913ED">
        <w:rPr>
          <w:b/>
          <w:i/>
          <w:szCs w:val="24"/>
          <w:lang w:eastAsia="en-US"/>
        </w:rPr>
        <w:t>ENRRB</w:t>
      </w:r>
      <w:r w:rsidRPr="008913ED">
        <w:rPr>
          <w:szCs w:val="24"/>
          <w:lang w:eastAsia="en-US"/>
        </w:rPr>
        <w:t xml:space="preserve"> med gennemførelsen af bestemmelserne i denne artikel.</w:t>
      </w:r>
      <w:r w:rsidRPr="008913ED">
        <w:rPr>
          <w:b/>
          <w:szCs w:val="24"/>
          <w:lang w:eastAsia="en-US"/>
        </w:rPr>
        <w:t xml:space="preserve"> [Ændring 108]</w:t>
      </w:r>
    </w:p>
    <w:p w14:paraId="6B4397EE"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22</w:t>
      </w:r>
      <w:r w:rsidRPr="008913ED">
        <w:rPr>
          <w:szCs w:val="24"/>
          <w:lang w:eastAsia="en-US"/>
        </w:rPr>
        <w:br/>
        <w:t>Kapacitetsanalyse i tilfælde af stærkt udnyttet eller overbelastet infrastruktur</w:t>
      </w:r>
    </w:p>
    <w:p w14:paraId="1B287B2D"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foretager en kapacitetsanalyse senest seks måneder efter erklæringen om, at infrastrukturen er stærkt udnyttet eller overbelastet.</w:t>
      </w:r>
    </w:p>
    <w:p w14:paraId="7B0A2E9B" w14:textId="77777777" w:rsidR="008913ED" w:rsidRPr="008913ED" w:rsidRDefault="008913ED" w:rsidP="008913ED">
      <w:pPr>
        <w:spacing w:before="120" w:after="120" w:line="360" w:lineRule="auto"/>
        <w:ind w:left="850"/>
        <w:rPr>
          <w:szCs w:val="24"/>
          <w:lang w:eastAsia="en-US"/>
        </w:rPr>
      </w:pPr>
      <w:r w:rsidRPr="008913ED">
        <w:rPr>
          <w:szCs w:val="24"/>
          <w:lang w:eastAsia="en-US"/>
        </w:rPr>
        <w:t>I kapacitetsanalysen afdækkes de begrænsninger i infrastrukturkapaciteten, der gør det umuligt at medtage de kapacitetsbehov, som ansøgerne har givet udtryk for i kapacitetsmodellen eller i kapacitetsforsyningsplanen, eller som gør det umuligt at imødekomme ansøgninger om infrastrukturkapacitet i tilstrækkeligt omfang.</w:t>
      </w:r>
    </w:p>
    <w:p w14:paraId="386F1C0D" w14:textId="77777777" w:rsidR="0005686F" w:rsidRDefault="0005686F">
      <w:pPr>
        <w:widowControl/>
        <w:rPr>
          <w:szCs w:val="24"/>
          <w:lang w:eastAsia="en-US"/>
        </w:rPr>
      </w:pPr>
      <w:r>
        <w:rPr>
          <w:szCs w:val="24"/>
          <w:lang w:eastAsia="en-US"/>
        </w:rPr>
        <w:br w:type="page"/>
      </w:r>
    </w:p>
    <w:p w14:paraId="50AAF887" w14:textId="0AFD749B" w:rsidR="008913ED" w:rsidRPr="008913ED" w:rsidRDefault="008913ED" w:rsidP="008913ED">
      <w:pPr>
        <w:spacing w:before="120" w:after="120" w:line="360" w:lineRule="auto"/>
        <w:ind w:left="850"/>
        <w:rPr>
          <w:b/>
          <w:szCs w:val="24"/>
          <w:lang w:eastAsia="en-US"/>
        </w:rPr>
      </w:pPr>
      <w:r w:rsidRPr="008913ED">
        <w:rPr>
          <w:szCs w:val="24"/>
          <w:lang w:eastAsia="en-US"/>
        </w:rPr>
        <w:lastRenderedPageBreak/>
        <w:t>Kapacitetsanalysen skal også omfatte et første vejledende sæt mulige foranstaltninger, der skal træffes på kort, mellemlang og lang sigt for at lette overbelastningen og øge tilgængeligheden af kapacitet.</w:t>
      </w:r>
      <w:r w:rsidRPr="008913ED">
        <w:rPr>
          <w:b/>
          <w:i/>
          <w:szCs w:val="24"/>
          <w:lang w:eastAsia="en-US"/>
        </w:rPr>
        <w:t xml:space="preserve"> Der skal i kapacitetsanalysen skelnes mellem foranstaltninger for højt udnyttet infrastruktur og foranstaltninger for overbelastet infrastruktur.</w:t>
      </w:r>
      <w:r w:rsidRPr="008913ED">
        <w:rPr>
          <w:b/>
          <w:szCs w:val="24"/>
          <w:lang w:eastAsia="en-US"/>
        </w:rPr>
        <w:t xml:space="preserve"> [Ændring 109]</w:t>
      </w:r>
    </w:p>
    <w:p w14:paraId="4A0D3593"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Kapacitetsanalysen skal omfatte infrastrukturens karakteristika med hensyn til kapacitet og interoperabilitet, driftsprocedurer, karakteren af de forskellige tjenester, der opererer på infrastrukturen, og alle disse faktorers indvirkning på infrastrukturkapaciteten. Blandt de foranstaltninger, der skal tages i betragtning, kan nævnes ændret linjeføring, </w:t>
      </w:r>
      <w:r w:rsidRPr="008913ED">
        <w:rPr>
          <w:b/>
          <w:i/>
          <w:szCs w:val="24"/>
          <w:lang w:eastAsia="en-US"/>
        </w:rPr>
        <w:t xml:space="preserve">herunder via andre net, hvis det er relevant, </w:t>
      </w:r>
      <w:r w:rsidRPr="008913ED">
        <w:rPr>
          <w:szCs w:val="24"/>
          <w:lang w:eastAsia="en-US"/>
        </w:rPr>
        <w:t>tidsmæssig omdisponering, hastighedsændringer, harmonisering af driftsprocedurer og infrastrukturforbedringer.</w:t>
      </w:r>
      <w:r w:rsidRPr="008913ED">
        <w:rPr>
          <w:b/>
          <w:szCs w:val="24"/>
          <w:lang w:eastAsia="en-US"/>
        </w:rPr>
        <w:t xml:space="preserve"> [Ændring 110]</w:t>
      </w:r>
    </w:p>
    <w:p w14:paraId="77CD1CC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Infrastrukturforvalterne hører ansøgerne om udkastet til kapacitetsanalyse i overensstemmelse med artikel 7e i direktiv 2012/34/EU og, hvis den pågældende del af infrastrukturen indgår i en europæisk transportkorridor, i overensstemmelse med artikel 54.</w:t>
      </w:r>
    </w:p>
    <w:p w14:paraId="12D59FA4"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Infrastrukturforvalteren offentliggør resultatet af kapacitetsanalysen. ENIM sikrer, at disse offentliggørelser er let tilgængelige.</w:t>
      </w:r>
    </w:p>
    <w:p w14:paraId="5AD093B6" w14:textId="77777777" w:rsidR="0005686F" w:rsidRDefault="0005686F">
      <w:pPr>
        <w:widowControl/>
        <w:rPr>
          <w:szCs w:val="24"/>
          <w:lang w:eastAsia="en-US"/>
        </w:rPr>
      </w:pPr>
      <w:r>
        <w:rPr>
          <w:szCs w:val="24"/>
          <w:lang w:eastAsia="en-US"/>
        </w:rPr>
        <w:br w:type="page"/>
      </w:r>
    </w:p>
    <w:p w14:paraId="285A039D" w14:textId="1993EBFA"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4.</w:t>
      </w:r>
      <w:r w:rsidRPr="008913ED">
        <w:rPr>
          <w:szCs w:val="24"/>
          <w:lang w:eastAsia="en-US"/>
        </w:rPr>
        <w:tab/>
        <w:t>Infrastrukturforvalterne tager hensyn til resultaterne af kapacitetsanalyser udført</w:t>
      </w:r>
      <w:r w:rsidRPr="008913ED">
        <w:rPr>
          <w:b/>
          <w:i/>
          <w:szCs w:val="24"/>
          <w:lang w:eastAsia="en-US"/>
        </w:rPr>
        <w:t xml:space="preserve"> i bl.a. andre berørte netværk</w:t>
      </w:r>
      <w:r w:rsidRPr="008913ED">
        <w:rPr>
          <w:szCs w:val="24"/>
          <w:lang w:eastAsia="en-US"/>
        </w:rPr>
        <w:t xml:space="preserve"> i henhold til denne artikel i den strategiske kapacitetsplanlægning, navnlig i kapacitetsstrategien, kapacitetsmodellen og kapacitetsforsyningsplanen.</w:t>
      </w:r>
      <w:r w:rsidRPr="008913ED">
        <w:rPr>
          <w:b/>
          <w:szCs w:val="24"/>
          <w:lang w:eastAsia="en-US"/>
        </w:rPr>
        <w:t xml:space="preserve"> [Ændring 111]</w:t>
      </w:r>
    </w:p>
    <w:p w14:paraId="204957E2" w14:textId="77777777" w:rsidR="008913ED" w:rsidRPr="008913ED" w:rsidRDefault="008913ED" w:rsidP="008913ED">
      <w:pPr>
        <w:spacing w:before="120" w:after="120" w:line="360" w:lineRule="auto"/>
        <w:ind w:left="850"/>
        <w:rPr>
          <w:szCs w:val="24"/>
          <w:lang w:eastAsia="en-US"/>
        </w:rPr>
      </w:pPr>
      <w:r w:rsidRPr="008913ED">
        <w:rPr>
          <w:szCs w:val="24"/>
          <w:lang w:eastAsia="en-US"/>
        </w:rPr>
        <w:t>Resultaterne af kapacitetsanalysen fremsendes til de myndigheder i medlemsstaterne, der er ansvarlige for udarbejdelsen af den vejledende udviklingsstrategi for jernbaneinfrastrukturen, jf. artikel 8, stk. 1, i direktiv 2012/34/EU, og til den europæiske koordinator med ansvar for den pågældende europæiske transportkorridor.</w:t>
      </w:r>
    </w:p>
    <w:p w14:paraId="38BD3545"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23</w:t>
      </w:r>
      <w:r w:rsidRPr="008913ED">
        <w:rPr>
          <w:szCs w:val="24"/>
          <w:lang w:eastAsia="en-US"/>
        </w:rPr>
        <w:br/>
        <w:t>Kapacitetsforbedringsplan</w:t>
      </w:r>
    </w:p>
    <w:p w14:paraId="4DB16C6F"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r>
      <w:r w:rsidRPr="008913ED">
        <w:rPr>
          <w:b/>
          <w:i/>
          <w:szCs w:val="24"/>
          <w:lang w:eastAsia="en-US"/>
        </w:rPr>
        <w:t xml:space="preserve">For net, der er blevet erklæret for overbelastede i overensstemmelse med artikel 21, udarbejder infrastrukturforvalteren </w:t>
      </w:r>
      <w:r w:rsidRPr="008913ED">
        <w:rPr>
          <w:szCs w:val="24"/>
          <w:lang w:eastAsia="en-US"/>
        </w:rPr>
        <w:t xml:space="preserve">senest seks måneder efter færdiggørelsen af en kapacitetsanalyse </w:t>
      </w:r>
      <w:r w:rsidRPr="008913ED">
        <w:rPr>
          <w:strike/>
          <w:szCs w:val="24"/>
          <w:lang w:eastAsia="en-US"/>
        </w:rPr>
        <w:t xml:space="preserve">udarbejder infrastrukturforvalteren </w:t>
      </w:r>
      <w:r w:rsidRPr="008913ED">
        <w:rPr>
          <w:szCs w:val="24"/>
          <w:lang w:eastAsia="en-US"/>
        </w:rPr>
        <w:t>i overensstemmelse med artikel 22 en kapacitetsforbedringsplan.</w:t>
      </w:r>
      <w:r w:rsidRPr="008913ED">
        <w:rPr>
          <w:b/>
          <w:szCs w:val="24"/>
          <w:lang w:eastAsia="en-US"/>
        </w:rPr>
        <w:t xml:space="preserve"> [Ændring 112]</w:t>
      </w:r>
    </w:p>
    <w:p w14:paraId="64DCF459" w14:textId="77777777" w:rsidR="0005686F" w:rsidRDefault="0005686F">
      <w:pPr>
        <w:widowControl/>
        <w:rPr>
          <w:szCs w:val="24"/>
          <w:lang w:eastAsia="en-US"/>
        </w:rPr>
      </w:pPr>
      <w:r>
        <w:rPr>
          <w:szCs w:val="24"/>
          <w:lang w:eastAsia="en-US"/>
        </w:rPr>
        <w:br w:type="page"/>
      </w:r>
    </w:p>
    <w:p w14:paraId="2A99CC65" w14:textId="0EBF884F" w:rsidR="008913ED" w:rsidRPr="008913ED" w:rsidRDefault="008913ED" w:rsidP="008913ED">
      <w:pPr>
        <w:spacing w:before="120" w:after="120" w:line="360" w:lineRule="auto"/>
        <w:ind w:left="850"/>
        <w:rPr>
          <w:szCs w:val="24"/>
          <w:lang w:eastAsia="en-US"/>
        </w:rPr>
      </w:pPr>
      <w:r w:rsidRPr="008913ED">
        <w:rPr>
          <w:szCs w:val="24"/>
          <w:lang w:eastAsia="en-US"/>
        </w:rPr>
        <w:lastRenderedPageBreak/>
        <w:t>I kapacitetsforbedringsplanen angives:</w:t>
      </w:r>
    </w:p>
    <w:p w14:paraId="69431202"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årsagerne til overbelastningen</w:t>
      </w:r>
    </w:p>
    <w:p w14:paraId="4D16D654"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den forventede fremtidige trafikudvikling</w:t>
      </w:r>
    </w:p>
    <w:p w14:paraId="00293B2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begrænsningerne for infrastrukturudviklingen</w:t>
      </w:r>
    </w:p>
    <w:p w14:paraId="48CFB49E"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d)</w:t>
      </w:r>
      <w:r w:rsidRPr="008913ED">
        <w:rPr>
          <w:szCs w:val="24"/>
          <w:lang w:eastAsia="en-US"/>
        </w:rPr>
        <w:tab/>
        <w:t xml:space="preserve">mulighederne for og omkostningerne ved at forøge kapaciteten, herunder </w:t>
      </w:r>
      <w:r w:rsidRPr="008913ED">
        <w:rPr>
          <w:b/>
          <w:i/>
          <w:szCs w:val="24"/>
          <w:lang w:eastAsia="en-US"/>
        </w:rPr>
        <w:t xml:space="preserve">foranstaltninger beskrevet i artikel 22, stk. 2, og </w:t>
      </w:r>
      <w:r w:rsidRPr="008913ED">
        <w:rPr>
          <w:szCs w:val="24"/>
          <w:lang w:eastAsia="en-US"/>
        </w:rPr>
        <w:t>forventede ændringer i adgangsafgifter.</w:t>
      </w:r>
      <w:r w:rsidRPr="008913ED">
        <w:rPr>
          <w:b/>
          <w:szCs w:val="24"/>
          <w:lang w:eastAsia="en-US"/>
        </w:rPr>
        <w:t xml:space="preserve"> [Ændring 113]</w:t>
      </w:r>
    </w:p>
    <w:p w14:paraId="6350DCA0" w14:textId="77777777" w:rsidR="008913ED" w:rsidRPr="008913ED" w:rsidRDefault="008913ED" w:rsidP="008913ED">
      <w:pPr>
        <w:spacing w:before="120" w:after="120" w:line="360" w:lineRule="auto"/>
        <w:ind w:left="850"/>
        <w:rPr>
          <w:szCs w:val="24"/>
          <w:lang w:eastAsia="en-US"/>
        </w:rPr>
      </w:pPr>
      <w:r w:rsidRPr="008913ED">
        <w:rPr>
          <w:szCs w:val="24"/>
          <w:lang w:eastAsia="en-US"/>
        </w:rPr>
        <w:t>På grundlag af en costbenefitanalyse af de foreslåede foranstaltninger skal kapacitetsforbedringsplanen også fastlægge, hvilke foranstaltninger der skal træffes til at forøge infrastrukturkapaciteten, herunder en tidsplan for gennemførelsen.</w:t>
      </w:r>
    </w:p>
    <w:p w14:paraId="302CDC7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Kapacitetsforbedringsplanen udarbejdes efter samråd med brugerne af den pågældende overbelastede infrastruktur i overensstemmelse med artikel 13.</w:t>
      </w:r>
    </w:p>
    <w:p w14:paraId="44118742" w14:textId="77777777" w:rsidR="008913ED" w:rsidRPr="008913ED" w:rsidRDefault="008913ED" w:rsidP="008913ED">
      <w:pPr>
        <w:spacing w:before="120" w:after="120" w:line="360" w:lineRule="auto"/>
        <w:ind w:left="850"/>
        <w:rPr>
          <w:szCs w:val="24"/>
          <w:lang w:eastAsia="en-US"/>
        </w:rPr>
      </w:pPr>
      <w:r w:rsidRPr="008913ED">
        <w:rPr>
          <w:szCs w:val="24"/>
          <w:lang w:eastAsia="en-US"/>
        </w:rPr>
        <w:t>Den skal eventuelt forhåndsgodkendes af medlemsstaten.</w:t>
      </w:r>
    </w:p>
    <w:p w14:paraId="6F7ECF4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Den pågældende medlemsstat tager hensyn til kapacitetsforbedringsplaner i forbindelse med ændringer af den vejledende udviklingsstrategi for jernbaneinfrastruktur, der er omhandlet i artikel 8, stk. 1, i direktiv 2012/34/EU.</w:t>
      </w:r>
    </w:p>
    <w:p w14:paraId="28E61A20" w14:textId="77777777" w:rsidR="006D327E" w:rsidRDefault="006D327E">
      <w:pPr>
        <w:widowControl/>
        <w:rPr>
          <w:szCs w:val="24"/>
          <w:lang w:eastAsia="en-US"/>
        </w:rPr>
      </w:pPr>
      <w:r>
        <w:rPr>
          <w:szCs w:val="24"/>
          <w:lang w:eastAsia="en-US"/>
        </w:rPr>
        <w:br w:type="page"/>
      </w:r>
    </w:p>
    <w:p w14:paraId="6EE20079" w14:textId="3AECC8F4" w:rsidR="008913ED" w:rsidRPr="008913ED" w:rsidRDefault="008913ED" w:rsidP="008913ED">
      <w:pPr>
        <w:spacing w:before="120" w:after="120" w:line="360" w:lineRule="auto"/>
        <w:ind w:left="850"/>
        <w:rPr>
          <w:szCs w:val="24"/>
          <w:lang w:eastAsia="en-US"/>
        </w:rPr>
      </w:pPr>
      <w:r w:rsidRPr="008913ED">
        <w:rPr>
          <w:szCs w:val="24"/>
          <w:lang w:eastAsia="en-US"/>
        </w:rPr>
        <w:lastRenderedPageBreak/>
        <w:t>Den europæiske koordinator for den pågældende europæiske transportkorridor tager hensyn til kapacitetsforbedringsplanen i sin arbejdsplan som omhandlet i artikel 53 i [den nye TEN-T-forordning].</w:t>
      </w:r>
    </w:p>
    <w:p w14:paraId="6F391891"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På grundlag af en kapacitetsanalyse opbygger eller opgraderer medlemsstaten den nødvendige infrastruktur.</w:t>
      </w:r>
      <w:r w:rsidRPr="008913ED">
        <w:rPr>
          <w:b/>
          <w:szCs w:val="24"/>
          <w:lang w:eastAsia="en-US"/>
        </w:rPr>
        <w:t xml:space="preserve"> [Ændring 114]</w:t>
      </w:r>
    </w:p>
    <w:p w14:paraId="7C70613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Med forbehold af artikel 40 i denne forordning ophører infrastrukturforvalteren med at opkræve alle afgifter på den relevante infrastruktur i henhold til artikel 31, stk. 4, i direktiv 2012/34/EU i et af følgende tilfælde:</w:t>
      </w:r>
    </w:p>
    <w:p w14:paraId="7E4D9201"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infrastrukturforvalteren forelægger ikke en kapacitetsforbedringsplan</w:t>
      </w:r>
    </w:p>
    <w:p w14:paraId="00E71E4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infrastrukturforvalteren gør ikke fremskridt med de foranstaltninger, der er foreslået i kapacitetsforbedringsplanen.</w:t>
      </w:r>
    </w:p>
    <w:p w14:paraId="3D819BF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Uanset stk. 4 kan infrastrukturforvalteren med forbehold af tilsynsorganets godkendelse fortsætte med at opkræve disse afgifter i et af følgende tilfælde:</w:t>
      </w:r>
    </w:p>
    <w:p w14:paraId="3049AE4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kapacitetsforbedringsplanen kan ikke gennemføres på grund af forhold, der ligger uden for infrastrukturforvalterens kontrol</w:t>
      </w:r>
    </w:p>
    <w:p w14:paraId="6EF10F4B" w14:textId="77777777" w:rsidR="006D327E" w:rsidRDefault="006D327E">
      <w:pPr>
        <w:widowControl/>
        <w:rPr>
          <w:szCs w:val="24"/>
          <w:lang w:eastAsia="en-US"/>
        </w:rPr>
      </w:pPr>
      <w:r>
        <w:rPr>
          <w:szCs w:val="24"/>
          <w:lang w:eastAsia="en-US"/>
        </w:rPr>
        <w:br w:type="page"/>
      </w:r>
    </w:p>
    <w:p w14:paraId="15AF7A51" w14:textId="1E84FD2B"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b)</w:t>
      </w:r>
      <w:r w:rsidRPr="008913ED">
        <w:rPr>
          <w:szCs w:val="24"/>
          <w:lang w:eastAsia="en-US"/>
        </w:rPr>
        <w:tab/>
        <w:t>de forhåndenværende muligheder er ikke økonomisk eller finansielt levedygtige.</w:t>
      </w:r>
    </w:p>
    <w:p w14:paraId="07F42276"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24</w:t>
      </w:r>
      <w:r w:rsidRPr="008913ED">
        <w:rPr>
          <w:szCs w:val="24"/>
          <w:lang w:eastAsia="en-US"/>
        </w:rPr>
        <w:br/>
        <w:t>Infrastruktur til særlige formål</w:t>
      </w:r>
    </w:p>
    <w:p w14:paraId="3BDAC2B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Med forbehold af stk. 2 skal infrastrukturkapacitet kunne benyttes af alle trafiktyper, der er kompatible med den påtænkte driftsstrækning, i overensstemmelse med direktiv (EU) 2016/797 og de specifikationer, der er fastsat i gennemførelsesretsakter vedtaget i henhold hertil.</w:t>
      </w:r>
    </w:p>
    <w:p w14:paraId="526CA2A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Hvor der findes egnede alternative strækninger, og hvor det i overensstemmelse med proceduren i artikel 25 kan påvises, at det er berettiget ud fra et socialt, økonomisk og miljømæssigt synspunkt, kan infrastrukturforvalteren i samråd med de berørte parter forbeholde infrastruktur til brug for bestemte typer trafik. I så fald anfører infrastrukturforvalteren udpegelsen i de planlægningsdokumenter, der er omhandlet i artikel 11, stk. 2, og reserverer kapacitet til brug for de bestemte typer trafik i kapacitetsforsyningsplanen.</w:t>
      </w:r>
    </w:p>
    <w:p w14:paraId="4E8EB1E7" w14:textId="77777777" w:rsidR="006D327E" w:rsidRDefault="006D327E">
      <w:pPr>
        <w:widowControl/>
        <w:rPr>
          <w:szCs w:val="24"/>
          <w:lang w:eastAsia="en-US"/>
        </w:rPr>
      </w:pPr>
      <w:r>
        <w:rPr>
          <w:szCs w:val="24"/>
          <w:lang w:eastAsia="en-US"/>
        </w:rPr>
        <w:br w:type="page"/>
      </w:r>
    </w:p>
    <w:p w14:paraId="2CA88EAD" w14:textId="30E4A4B0" w:rsidR="008913ED" w:rsidRPr="008913ED" w:rsidRDefault="008913ED" w:rsidP="008913ED">
      <w:pPr>
        <w:spacing w:before="120" w:after="120" w:line="360" w:lineRule="auto"/>
        <w:ind w:left="850"/>
        <w:rPr>
          <w:szCs w:val="24"/>
          <w:lang w:eastAsia="en-US"/>
        </w:rPr>
      </w:pPr>
      <w:r w:rsidRPr="008913ED">
        <w:rPr>
          <w:szCs w:val="24"/>
          <w:lang w:eastAsia="en-US"/>
        </w:rPr>
        <w:lastRenderedPageBreak/>
        <w:t>Denne udpegelse er ikke til hinder for, at den pågældende infrastruktur kan benyttes af andre typer trafik, hvis der er kapacitet til rådighed.</w:t>
      </w:r>
    </w:p>
    <w:p w14:paraId="59764A8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Infrastruktur, der er udpeget i henhold til stk. 2 angives i netvejledningen, i infrastrukturregistret, jf. artikel 49 i direktiv (EU) 2016/797, i kapacitetsstrategien, i kapacitetsmodellen og i kapacitetsforsyningsplanen.</w:t>
      </w:r>
    </w:p>
    <w:p w14:paraId="2A16FCE8"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25</w:t>
      </w:r>
      <w:r w:rsidRPr="008913ED">
        <w:rPr>
          <w:szCs w:val="24"/>
          <w:lang w:eastAsia="en-US"/>
        </w:rPr>
        <w:br/>
        <w:t>Opdeling af infrastrukturkapacitet på grundlag af socioøkonomiske og miljømæssige kriterier</w:t>
      </w:r>
    </w:p>
    <w:p w14:paraId="4EF1298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Hvis en del af infrastrukturen er blevet erklæret for stærkt udnyttet eller overbelastet i en fremtidig køreplansperiode, opdeler infrastrukturforvalteren kapaciteten på denne del af infrastrukturen i den i artikel 17 omhandlede kapacitetsmodel og i den i artikel 18 omhandlede kapacitetsforsyningsplan, der vedrører den pågældende køreplansperiode.</w:t>
      </w:r>
    </w:p>
    <w:p w14:paraId="1E0729CC" w14:textId="77777777" w:rsidR="006D327E" w:rsidRDefault="006D327E">
      <w:pPr>
        <w:widowControl/>
        <w:rPr>
          <w:szCs w:val="24"/>
          <w:lang w:eastAsia="en-US"/>
        </w:rPr>
      </w:pPr>
      <w:r>
        <w:rPr>
          <w:szCs w:val="24"/>
          <w:lang w:eastAsia="en-US"/>
        </w:rPr>
        <w:br w:type="page"/>
      </w:r>
    </w:p>
    <w:p w14:paraId="14D2B9F9" w14:textId="534BCD13"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Ved opdeling af infrastrukturkapacitet</w:t>
      </w:r>
      <w:r w:rsidRPr="008913ED">
        <w:rPr>
          <w:b/>
          <w:i/>
          <w:szCs w:val="24"/>
          <w:lang w:eastAsia="en-US"/>
        </w:rPr>
        <w:t>, der er blevet erklæret overbelastet</w:t>
      </w:r>
      <w:r w:rsidRPr="008913ED">
        <w:rPr>
          <w:szCs w:val="24"/>
          <w:lang w:eastAsia="en-US"/>
        </w:rPr>
        <w:t xml:space="preserve"> i henhold til stk. 1</w:t>
      </w:r>
      <w:r w:rsidRPr="008913ED">
        <w:rPr>
          <w:b/>
          <w:i/>
          <w:szCs w:val="24"/>
          <w:lang w:eastAsia="en-US"/>
        </w:rPr>
        <w:t>,</w:t>
      </w:r>
      <w:r w:rsidRPr="008913ED">
        <w:rPr>
          <w:szCs w:val="24"/>
          <w:lang w:eastAsia="en-US"/>
        </w:rPr>
        <w:t xml:space="preserve"> handler infrastrukturforvalteren i overensstemmelse med artikel 8.</w:t>
      </w:r>
      <w:r w:rsidRPr="008913ED">
        <w:rPr>
          <w:b/>
          <w:szCs w:val="24"/>
          <w:lang w:eastAsia="en-US"/>
        </w:rPr>
        <w:t xml:space="preserve"> [Ændring 115]</w:t>
      </w:r>
    </w:p>
    <w:p w14:paraId="73353316"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Senest den ... [24 måneder fra denne forordnings ikrafttræden] handler infrastrukturforvalteren, hvis opdelingen af infrastrukturkapacitet er blevet erklæret for stærkt udnyttet i henhold til denne artikels stk. 1, i overensstemmelse med artikel 8.</w:t>
      </w:r>
      <w:r w:rsidRPr="008913ED">
        <w:rPr>
          <w:b/>
          <w:szCs w:val="24"/>
          <w:lang w:eastAsia="en-US"/>
        </w:rPr>
        <w:t xml:space="preserve"> [Ændring 116]</w:t>
      </w:r>
    </w:p>
    <w:p w14:paraId="5AF5C495" w14:textId="77777777" w:rsidR="008913ED" w:rsidRPr="008913ED" w:rsidRDefault="008913ED" w:rsidP="008913ED">
      <w:pPr>
        <w:spacing w:before="120" w:after="120" w:line="360" w:lineRule="auto"/>
        <w:ind w:left="850"/>
        <w:rPr>
          <w:b/>
          <w:szCs w:val="24"/>
          <w:lang w:eastAsia="en-US"/>
        </w:rPr>
      </w:pPr>
      <w:r w:rsidRPr="008913ED">
        <w:rPr>
          <w:szCs w:val="24"/>
          <w:lang w:eastAsia="en-US"/>
        </w:rPr>
        <w:t>Infrastrukturforvalteren tager hensyn til behovet for kapacitet til jernbanedrift på flere net</w:t>
      </w:r>
      <w:r w:rsidRPr="008913ED">
        <w:rPr>
          <w:b/>
          <w:i/>
          <w:szCs w:val="24"/>
          <w:lang w:eastAsia="en-US"/>
        </w:rPr>
        <w:t>, navnlig international jernbanegodstransport</w:t>
      </w:r>
      <w:r w:rsidRPr="008913ED">
        <w:rPr>
          <w:szCs w:val="24"/>
          <w:lang w:eastAsia="en-US"/>
        </w:rPr>
        <w:t>.</w:t>
      </w:r>
      <w:r w:rsidRPr="008913ED">
        <w:rPr>
          <w:b/>
          <w:szCs w:val="24"/>
          <w:lang w:eastAsia="en-US"/>
        </w:rPr>
        <w:t xml:space="preserve"> [Ændring 117]</w:t>
      </w:r>
    </w:p>
    <w:p w14:paraId="2183700E" w14:textId="77777777" w:rsidR="008913ED" w:rsidRPr="008913ED" w:rsidRDefault="008913ED" w:rsidP="008913ED">
      <w:pPr>
        <w:spacing w:before="120" w:after="120" w:line="360" w:lineRule="auto"/>
        <w:jc w:val="center"/>
        <w:rPr>
          <w:szCs w:val="24"/>
          <w:lang w:eastAsia="en-US"/>
        </w:rPr>
      </w:pPr>
      <w:r w:rsidRPr="008913ED">
        <w:rPr>
          <w:szCs w:val="24"/>
          <w:lang w:eastAsia="en-US"/>
        </w:rPr>
        <w:t xml:space="preserve">AFDELING 3 </w:t>
      </w:r>
      <w:r w:rsidRPr="008913ED">
        <w:rPr>
          <w:szCs w:val="24"/>
          <w:lang w:eastAsia="en-US"/>
        </w:rPr>
        <w:br/>
        <w:t>Planlægning og kapacitetstildeling</w:t>
      </w:r>
    </w:p>
    <w:p w14:paraId="4A6EA074"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26</w:t>
      </w:r>
      <w:r w:rsidRPr="008913ED">
        <w:rPr>
          <w:szCs w:val="24"/>
          <w:lang w:eastAsia="en-US"/>
        </w:rPr>
        <w:br/>
        <w:t>Rettigheder til kapacitet</w:t>
      </w:r>
    </w:p>
    <w:p w14:paraId="110E540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Ansøgere kan på offentlig- eller privatretligt grundlag indgive en ansøgning til infrastrukturforvalteren om en aftale, der giver ret til at benytte jernbaneinfrastruktur mod betaling af en afgift, som fastsat i kapitel IV, afdeling 2, i direktiv 2012/34/EU.</w:t>
      </w:r>
    </w:p>
    <w:p w14:paraId="5A5C69E5" w14:textId="77777777" w:rsidR="006D327E" w:rsidRDefault="006D327E">
      <w:pPr>
        <w:widowControl/>
        <w:rPr>
          <w:szCs w:val="24"/>
          <w:lang w:eastAsia="en-US"/>
        </w:rPr>
      </w:pPr>
      <w:r>
        <w:rPr>
          <w:szCs w:val="24"/>
          <w:lang w:eastAsia="en-US"/>
        </w:rPr>
        <w:br w:type="page"/>
      </w:r>
    </w:p>
    <w:p w14:paraId="6DBACB90" w14:textId="13DB2D10" w:rsidR="008913ED" w:rsidRPr="008913ED" w:rsidRDefault="008913ED" w:rsidP="008913ED">
      <w:pPr>
        <w:spacing w:before="120" w:after="120" w:line="360" w:lineRule="auto"/>
        <w:ind w:left="850"/>
        <w:rPr>
          <w:szCs w:val="24"/>
          <w:lang w:eastAsia="en-US"/>
        </w:rPr>
      </w:pPr>
      <w:r w:rsidRPr="008913ED">
        <w:rPr>
          <w:szCs w:val="24"/>
          <w:lang w:eastAsia="en-US"/>
        </w:rPr>
        <w:lastRenderedPageBreak/>
        <w:t>Infrastrukturforvalterne tildeler ansøgerne retten til at benytte infrastrukturkapacitet i form af:</w:t>
      </w:r>
    </w:p>
    <w:p w14:paraId="32203B8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kapacitetsspecifikationer</w:t>
      </w:r>
    </w:p>
    <w:p w14:paraId="1998EA1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kanaler.</w:t>
      </w:r>
    </w:p>
    <w:p w14:paraId="1A591660" w14:textId="77777777" w:rsidR="008913ED" w:rsidRPr="008913ED" w:rsidRDefault="008913ED" w:rsidP="008913ED">
      <w:pPr>
        <w:spacing w:before="120" w:after="120" w:line="360" w:lineRule="auto"/>
        <w:ind w:left="850"/>
        <w:rPr>
          <w:szCs w:val="24"/>
          <w:lang w:eastAsia="en-US"/>
        </w:rPr>
      </w:pPr>
      <w:r w:rsidRPr="008913ED">
        <w:rPr>
          <w:szCs w:val="24"/>
          <w:lang w:eastAsia="en-US"/>
        </w:rPr>
        <w:t>ENIM definerer karakteren af kapacitetsspecifikationerne og medtager dem i den europæiske ramme for kapacitetsforvaltning, jf. artikel 6.</w:t>
      </w:r>
    </w:p>
    <w:p w14:paraId="66BC262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Infrastrukturforvalterne konverterer kapacitetsrettighederne tildelt i form af en kapacitetsspecifikation til kapacitetsrettigheder i form af en kanal forud for den faktiske togkørsel i overensstemmelse med tidsfristerne fastsat i afsnit 4, 5 og 6 i bilag I.</w:t>
      </w:r>
    </w:p>
    <w:p w14:paraId="5B11B39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Ansøgere kan højst få tildelt kapacitetsrettigheder i form af en kanal for et tidsrum svarende til en køreplansperiode. Kapacitetsrettigheder i form af en kapacitetsspecifikation kan tildeles for et tidsrum, der overstiger en køreplansperiode, i overensstemmelse med artikel 31 og 33.</w:t>
      </w:r>
    </w:p>
    <w:p w14:paraId="0132973A" w14:textId="77777777" w:rsidR="006D327E" w:rsidRDefault="006D327E">
      <w:pPr>
        <w:widowControl/>
        <w:rPr>
          <w:szCs w:val="24"/>
          <w:lang w:eastAsia="en-US"/>
        </w:rPr>
      </w:pPr>
      <w:r>
        <w:rPr>
          <w:szCs w:val="24"/>
          <w:lang w:eastAsia="en-US"/>
        </w:rPr>
        <w:br w:type="page"/>
      </w:r>
    </w:p>
    <w:p w14:paraId="51236B84" w14:textId="2657610B"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Medmindre andet er fastsat i denne forordning, fastlægges infrastrukturforvalternes og ansøgernes respektive rettigheder og forpligtelser med hensyn til enhver tildeling af kapacitet i kontrakter eller i medlemsstaternes lovgivning.</w:t>
      </w:r>
    </w:p>
    <w:p w14:paraId="56E0819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Hvis en ansøger agter at indgive en ansøgning om infrastrukturkapacitet med henblik på at udføre passagertransport i en medlemsstat, hvor retten til adgang til jernbaneinfrastruktur er begrænset i overensstemmelse med artikel 11 i direktiv 2012/34/EU, underretter den de relevante infrastrukturforvaltere og tilsynsorganer mindst 18 måneder før den køreplan, som ansøgningen om kapacitet vedrører, træder i kraft. For at gøre det muligt for de relevante tilsynsorganer at vurdere den potentielle økonomiske betydning for eksisterende kontrakter om offentlig tjeneste skal tilsynsorganerne sikre, at enhver kompetent myndighed, der har indgået en kontrakt om passagertransport med jernbane på den pågældende rute i henhold til en kontrakt om offentlig tjeneste, alle andre berørte kompetente myndigheder med ret til at begrænse adgangen i henhold til artikel 11 i direktiv 2012/34/EU og enhver jernbanevirksomhed, der opfylder en kontrakt om offentlig tjeneste på den rute, passagertransporten vedrører, underrettes herom hurtigst muligt og senest inden for 10 dage.</w:t>
      </w:r>
    </w:p>
    <w:p w14:paraId="0FAB29CA" w14:textId="77777777" w:rsidR="006D327E" w:rsidRDefault="006D327E">
      <w:pPr>
        <w:widowControl/>
        <w:rPr>
          <w:szCs w:val="24"/>
          <w:lang w:eastAsia="en-US"/>
        </w:rPr>
      </w:pPr>
      <w:r>
        <w:rPr>
          <w:szCs w:val="24"/>
          <w:lang w:eastAsia="en-US"/>
        </w:rPr>
        <w:br w:type="page"/>
      </w:r>
    </w:p>
    <w:p w14:paraId="7DD95BFE" w14:textId="0CE0305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6.</w:t>
      </w:r>
      <w:r w:rsidRPr="008913ED">
        <w:rPr>
          <w:szCs w:val="24"/>
          <w:lang w:eastAsia="en-US"/>
        </w:rPr>
        <w:tab/>
        <w:t>Når en ansøger har fået tildelt en kapacitetsrettighed, kan modtageren ikke overdrage den til en anden virksomhed eller tjeneste.</w:t>
      </w:r>
    </w:p>
    <w:p w14:paraId="16AB1810" w14:textId="77777777" w:rsidR="008913ED" w:rsidRPr="008913ED" w:rsidRDefault="008913ED" w:rsidP="008913ED">
      <w:pPr>
        <w:spacing w:before="120" w:after="120" w:line="360" w:lineRule="auto"/>
        <w:ind w:left="850"/>
        <w:rPr>
          <w:szCs w:val="24"/>
          <w:lang w:eastAsia="en-US"/>
        </w:rPr>
      </w:pPr>
      <w:r w:rsidRPr="008913ED">
        <w:rPr>
          <w:szCs w:val="24"/>
          <w:lang w:eastAsia="en-US"/>
        </w:rPr>
        <w:t>Enhver form for overdragelse fører til udelukkelse fra videre tildeling af kapacitet.</w:t>
      </w:r>
    </w:p>
    <w:p w14:paraId="3CC6C9CC" w14:textId="77777777" w:rsidR="008913ED" w:rsidRPr="008913ED" w:rsidRDefault="008913ED" w:rsidP="008913ED">
      <w:pPr>
        <w:spacing w:before="120" w:after="120" w:line="360" w:lineRule="auto"/>
        <w:ind w:left="850"/>
        <w:rPr>
          <w:szCs w:val="24"/>
          <w:lang w:eastAsia="en-US"/>
        </w:rPr>
      </w:pPr>
      <w:r w:rsidRPr="008913ED">
        <w:rPr>
          <w:szCs w:val="24"/>
          <w:lang w:eastAsia="en-US"/>
        </w:rPr>
        <w:t>En jernbanevirksomheds udnyttelse af kapacitet til udførelse af operationer på vegne af en ansøger, som ikke er en jernbanevirksomhed, betragtes ikke som en overdragelse.</w:t>
      </w:r>
    </w:p>
    <w:p w14:paraId="3138627D"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27</w:t>
      </w:r>
      <w:r w:rsidRPr="008913ED">
        <w:rPr>
          <w:szCs w:val="24"/>
          <w:lang w:eastAsia="en-US"/>
        </w:rPr>
        <w:br/>
        <w:t>Kapacitetstildelingsmetoder</w:t>
      </w:r>
    </w:p>
    <w:p w14:paraId="5B2724E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tildeler kapacitetsrettigheder til ansøgere ved hjælp af de tildelingsprocesser, der er omhandlet i artikel 31-34.</w:t>
      </w:r>
    </w:p>
    <w:p w14:paraId="07BFCDC6" w14:textId="77777777" w:rsidR="008913ED" w:rsidRPr="008913ED" w:rsidRDefault="008913ED" w:rsidP="008913ED">
      <w:pPr>
        <w:spacing w:before="120" w:after="120" w:line="360" w:lineRule="auto"/>
        <w:ind w:left="850"/>
        <w:rPr>
          <w:szCs w:val="24"/>
          <w:lang w:eastAsia="en-US"/>
        </w:rPr>
      </w:pPr>
      <w:r w:rsidRPr="008913ED">
        <w:rPr>
          <w:szCs w:val="24"/>
          <w:lang w:eastAsia="en-US"/>
        </w:rPr>
        <w:t>Enhver ændring af den tildelte kapacitet betragtes også som kapacitetstildeling.</w:t>
      </w:r>
    </w:p>
    <w:p w14:paraId="6445D136"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Ansøgerne </w:t>
      </w:r>
      <w:r w:rsidRPr="008913ED">
        <w:rPr>
          <w:strike/>
          <w:szCs w:val="24"/>
          <w:lang w:eastAsia="en-US"/>
        </w:rPr>
        <w:t>har ret til at ansøge</w:t>
      </w:r>
      <w:r w:rsidRPr="008913ED">
        <w:rPr>
          <w:b/>
          <w:i/>
          <w:szCs w:val="24"/>
          <w:lang w:eastAsia="en-US"/>
        </w:rPr>
        <w:t>ansøger</w:t>
      </w:r>
      <w:r w:rsidRPr="008913ED">
        <w:rPr>
          <w:szCs w:val="24"/>
          <w:lang w:eastAsia="en-US"/>
        </w:rPr>
        <w:t xml:space="preserve"> om kapacitetsrettigheder på flere net og </w:t>
      </w:r>
      <w:r w:rsidRPr="008913ED">
        <w:rPr>
          <w:strike/>
          <w:szCs w:val="24"/>
          <w:lang w:eastAsia="en-US"/>
        </w:rPr>
        <w:t>til at modtage</w:t>
      </w:r>
      <w:r w:rsidRPr="008913ED">
        <w:rPr>
          <w:b/>
          <w:i/>
          <w:szCs w:val="24"/>
          <w:lang w:eastAsia="en-US"/>
        </w:rPr>
        <w:t>modtager</w:t>
      </w:r>
      <w:r w:rsidRPr="008913ED">
        <w:rPr>
          <w:szCs w:val="24"/>
          <w:lang w:eastAsia="en-US"/>
        </w:rPr>
        <w:t xml:space="preserve"> svar på sådanne ansøgninger på ét og samme sted og på én gang</w:t>
      </w:r>
      <w:r w:rsidRPr="008913ED">
        <w:rPr>
          <w:b/>
          <w:i/>
          <w:szCs w:val="24"/>
          <w:lang w:eastAsia="en-US"/>
        </w:rPr>
        <w:t>, jf. denne artikels stk. 4</w:t>
      </w:r>
      <w:r w:rsidRPr="008913ED">
        <w:rPr>
          <w:szCs w:val="24"/>
          <w:lang w:eastAsia="en-US"/>
        </w:rPr>
        <w:t>. Infrastrukturforvalterne samarbejder om tildeling af kapacitet til jernbanedrift på flere net, herunder navnlig i forbindelse med international jernbanegodstransport og international personbefordring med jernbane.</w:t>
      </w:r>
      <w:r w:rsidRPr="008913ED">
        <w:rPr>
          <w:b/>
          <w:szCs w:val="24"/>
          <w:lang w:eastAsia="en-US"/>
        </w:rPr>
        <w:t xml:space="preserve"> [Ændring 118]</w:t>
      </w:r>
    </w:p>
    <w:p w14:paraId="1CCD7C53" w14:textId="77777777" w:rsidR="006D327E" w:rsidRDefault="006D327E">
      <w:pPr>
        <w:widowControl/>
        <w:rPr>
          <w:szCs w:val="24"/>
          <w:lang w:eastAsia="en-US"/>
        </w:rPr>
      </w:pPr>
      <w:r>
        <w:rPr>
          <w:szCs w:val="24"/>
          <w:lang w:eastAsia="en-US"/>
        </w:rPr>
        <w:br w:type="page"/>
      </w:r>
    </w:p>
    <w:p w14:paraId="6577EBDE" w14:textId="346EE17E" w:rsidR="008913ED" w:rsidRPr="008913ED" w:rsidRDefault="008913ED" w:rsidP="008913ED">
      <w:pPr>
        <w:spacing w:before="120" w:after="120" w:line="360" w:lineRule="auto"/>
        <w:ind w:left="850"/>
        <w:rPr>
          <w:szCs w:val="24"/>
          <w:lang w:eastAsia="en-US"/>
        </w:rPr>
      </w:pPr>
      <w:r w:rsidRPr="008913ED">
        <w:rPr>
          <w:szCs w:val="24"/>
          <w:lang w:eastAsia="en-US"/>
        </w:rPr>
        <w:lastRenderedPageBreak/>
        <w:t>Infrastrukturforvalterne tildeler og forvalter kapacitetsrettigheder på flere net i overensstemmelse med artikel 28.</w:t>
      </w:r>
    </w:p>
    <w:p w14:paraId="44A08907"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Infrastrukturforvalterne behandler de forretningsmæssige oplysninger, de modtager, fortroligt</w:t>
      </w:r>
      <w:r w:rsidRPr="008913ED">
        <w:rPr>
          <w:b/>
          <w:i/>
          <w:szCs w:val="24"/>
          <w:lang w:eastAsia="en-US"/>
        </w:rPr>
        <w:t>, navnlig når der er tale om vertikalt integrerede jernbanevirksomheder</w:t>
      </w:r>
      <w:r w:rsidRPr="008913ED">
        <w:rPr>
          <w:szCs w:val="24"/>
          <w:lang w:eastAsia="en-US"/>
        </w:rPr>
        <w:t>.</w:t>
      </w:r>
      <w:r w:rsidRPr="008913ED">
        <w:rPr>
          <w:b/>
          <w:i/>
          <w:szCs w:val="24"/>
          <w:lang w:eastAsia="en-US"/>
        </w:rPr>
        <w:t xml:space="preserve"> Oplysninger såsom de specifikke strækninger, der er genstand for ansøgningen, antallet heraf eller deres frekvens betragtes som fortrolige.</w:t>
      </w:r>
      <w:r w:rsidRPr="008913ED">
        <w:rPr>
          <w:b/>
          <w:szCs w:val="24"/>
          <w:lang w:eastAsia="en-US"/>
        </w:rPr>
        <w:t xml:space="preserve"> [Ændring 119]</w:t>
      </w:r>
    </w:p>
    <w:p w14:paraId="5DB5A22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Infrastrukturforvalterne tildeler infrastrukturkapacitet via digitale værktøjer og digitale tjenester i overensstemmelse med artikel 62.</w:t>
      </w:r>
    </w:p>
    <w:p w14:paraId="1C1B102F" w14:textId="77777777" w:rsidR="008913ED" w:rsidRPr="008913ED" w:rsidRDefault="008913ED" w:rsidP="008913ED">
      <w:pPr>
        <w:spacing w:before="120" w:after="120" w:line="360" w:lineRule="auto"/>
        <w:ind w:left="850"/>
        <w:rPr>
          <w:b/>
          <w:szCs w:val="24"/>
          <w:lang w:eastAsia="en-US"/>
        </w:rPr>
      </w:pPr>
      <w:r w:rsidRPr="008913ED">
        <w:rPr>
          <w:szCs w:val="24"/>
          <w:lang w:eastAsia="en-US"/>
        </w:rPr>
        <w:t>For så vidt angår kapacitetsrettigheder på flere net</w:t>
      </w:r>
      <w:r w:rsidRPr="008913ED">
        <w:rPr>
          <w:strike/>
          <w:szCs w:val="24"/>
          <w:lang w:eastAsia="en-US"/>
        </w:rPr>
        <w:t>,</w:t>
      </w:r>
      <w:r w:rsidRPr="008913ED">
        <w:rPr>
          <w:szCs w:val="24"/>
          <w:lang w:eastAsia="en-US"/>
        </w:rPr>
        <w:t xml:space="preserve"> opretter ENIM</w:t>
      </w:r>
      <w:r w:rsidRPr="008913ED">
        <w:rPr>
          <w:b/>
          <w:i/>
          <w:szCs w:val="24"/>
          <w:lang w:eastAsia="en-US"/>
        </w:rPr>
        <w:t xml:space="preserve"> efter ERA's godkendelse af TSI'er og senest den ... [12 måneder fra datoen for denne forordnings ikrafttræden] en one-stop-shop baseret på</w:t>
      </w:r>
      <w:r w:rsidRPr="008913ED">
        <w:rPr>
          <w:szCs w:val="24"/>
          <w:lang w:eastAsia="en-US"/>
        </w:rPr>
        <w:t xml:space="preserve"> en enkelt grænseflade eller et fælles system</w:t>
      </w:r>
      <w:r w:rsidRPr="008913ED">
        <w:rPr>
          <w:b/>
          <w:i/>
          <w:szCs w:val="24"/>
          <w:lang w:eastAsia="en-US"/>
        </w:rPr>
        <w:t>, der er udviklet</w:t>
      </w:r>
      <w:r w:rsidRPr="008913ED">
        <w:rPr>
          <w:szCs w:val="24"/>
          <w:lang w:eastAsia="en-US"/>
        </w:rPr>
        <w:t xml:space="preserve"> i overensstemmelse med artikel 62</w:t>
      </w:r>
      <w:r w:rsidRPr="008913ED">
        <w:rPr>
          <w:strike/>
          <w:szCs w:val="24"/>
          <w:lang w:eastAsia="en-US"/>
        </w:rPr>
        <w:t xml:space="preserve"> med henblik på</w:t>
      </w:r>
      <w:r w:rsidRPr="008913ED">
        <w:rPr>
          <w:b/>
          <w:i/>
          <w:szCs w:val="24"/>
          <w:lang w:eastAsia="en-US"/>
        </w:rPr>
        <w:t>. Infrastrukturforvalterne anvender denne enkeltgrænseflade til</w:t>
      </w:r>
      <w:r w:rsidRPr="008913ED">
        <w:rPr>
          <w:szCs w:val="24"/>
          <w:lang w:eastAsia="en-US"/>
        </w:rPr>
        <w:t xml:space="preserve"> at forvalte kapacitetstildelingen på ét og samme sted og på én gang.</w:t>
      </w:r>
      <w:r w:rsidRPr="008913ED">
        <w:rPr>
          <w:b/>
          <w:i/>
          <w:szCs w:val="24"/>
          <w:lang w:eastAsia="en-US"/>
        </w:rPr>
        <w:t xml:space="preserve"> Forbundne eller grupperede jernbanetjenester skal have én infrastrukturforvalter som fælles kontaktpunkt. Sådanne forbundne eller grupperede jernbanetjenester skal angives i kapacitetsansøgningen.</w:t>
      </w:r>
      <w:r w:rsidRPr="008913ED">
        <w:rPr>
          <w:b/>
          <w:szCs w:val="24"/>
          <w:lang w:eastAsia="en-US"/>
        </w:rPr>
        <w:t xml:space="preserve"> [Ændring 120]</w:t>
      </w:r>
    </w:p>
    <w:p w14:paraId="05F4A2BC" w14:textId="77777777" w:rsidR="006D327E" w:rsidRDefault="006D327E">
      <w:pPr>
        <w:widowControl/>
        <w:rPr>
          <w:szCs w:val="24"/>
          <w:lang w:eastAsia="en-US"/>
        </w:rPr>
      </w:pPr>
      <w:r>
        <w:rPr>
          <w:szCs w:val="24"/>
          <w:lang w:eastAsia="en-US"/>
        </w:rPr>
        <w:br w:type="page"/>
      </w:r>
    </w:p>
    <w:p w14:paraId="55489644" w14:textId="12273A4F"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Ansøgere og infrastrukturforvaltere, der ansøger om eller foretager ændringer af tildelt kapacitet, skal overholde artikel 39.</w:t>
      </w:r>
    </w:p>
    <w:p w14:paraId="5CB99B93"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6.</w:t>
      </w:r>
      <w:r w:rsidRPr="008913ED">
        <w:rPr>
          <w:szCs w:val="24"/>
          <w:lang w:eastAsia="en-US"/>
        </w:rPr>
        <w:tab/>
        <w:t xml:space="preserve">Infrastrukturforvalteren annullerer en kapacitetsrettighed, hvis den i et tidsrum på mindst en måned er blevet benyttet til under en tærskelkvote, der skal fastsættes i netvejledningen, medmindre dette skyldes ikkeøkonomiske årsager, som ansøgeren ikke er herre over. ENIM </w:t>
      </w:r>
      <w:r w:rsidRPr="008913ED">
        <w:rPr>
          <w:strike/>
          <w:szCs w:val="24"/>
          <w:lang w:eastAsia="en-US"/>
        </w:rPr>
        <w:t>fastlægger</w:t>
      </w:r>
      <w:r w:rsidRPr="008913ED">
        <w:rPr>
          <w:b/>
          <w:i/>
          <w:szCs w:val="24"/>
          <w:lang w:eastAsia="en-US"/>
        </w:rPr>
        <w:t>rådfører sig med ERP for at fastlægge</w:t>
      </w:r>
      <w:r w:rsidRPr="008913ED">
        <w:rPr>
          <w:szCs w:val="24"/>
          <w:lang w:eastAsia="en-US"/>
        </w:rPr>
        <w:t xml:space="preserve"> intervaller for tærskelkvoten og medtager dem i den europæiske ramme for kapacitetsforvaltning, jf. artikel 6.</w:t>
      </w:r>
      <w:r w:rsidRPr="008913ED">
        <w:rPr>
          <w:b/>
          <w:szCs w:val="24"/>
          <w:lang w:eastAsia="en-US"/>
        </w:rPr>
        <w:t xml:space="preserve"> [Ændring 121]</w:t>
      </w:r>
    </w:p>
    <w:p w14:paraId="57922D51" w14:textId="77777777" w:rsidR="008913ED" w:rsidRPr="008913ED" w:rsidRDefault="008913ED" w:rsidP="008913ED">
      <w:pPr>
        <w:spacing w:before="120" w:after="120" w:line="360" w:lineRule="auto"/>
        <w:ind w:left="850"/>
        <w:rPr>
          <w:szCs w:val="24"/>
          <w:lang w:eastAsia="en-US"/>
        </w:rPr>
      </w:pPr>
      <w:r w:rsidRPr="008913ED">
        <w:rPr>
          <w:szCs w:val="24"/>
          <w:lang w:eastAsia="en-US"/>
        </w:rPr>
        <w:t>Tilsynsorganet overvåger, at dette stykke anvendes på en gennemsigtig og ikkediskriminerende måde, og undersøger eventuelle modtagne klager.</w:t>
      </w:r>
    </w:p>
    <w:p w14:paraId="1DE1713E"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7.</w:t>
      </w:r>
      <w:r w:rsidRPr="008913ED">
        <w:rPr>
          <w:szCs w:val="24"/>
          <w:lang w:eastAsia="en-US"/>
        </w:rPr>
        <w:tab/>
        <w:t xml:space="preserve">Hvis infrastrukturforvalteren i overensstemmelse med stk. 6 annullerer kapacitetsrettigheder på flere net, underretter </w:t>
      </w:r>
      <w:r w:rsidRPr="008913ED">
        <w:rPr>
          <w:b/>
          <w:i/>
          <w:szCs w:val="24"/>
          <w:lang w:eastAsia="en-US"/>
        </w:rPr>
        <w:t xml:space="preserve">denne </w:t>
      </w:r>
      <w:r w:rsidRPr="008913ED">
        <w:rPr>
          <w:szCs w:val="24"/>
          <w:lang w:eastAsia="en-US"/>
        </w:rPr>
        <w:t>det tilsynsorgan, der har ansvaret for den pågældende infrastrukturforvalter</w:t>
      </w:r>
      <w:r w:rsidRPr="008913ED">
        <w:rPr>
          <w:strike/>
          <w:szCs w:val="24"/>
          <w:lang w:eastAsia="en-US"/>
        </w:rPr>
        <w:t>,</w:t>
      </w:r>
      <w:r w:rsidRPr="008913ED">
        <w:rPr>
          <w:b/>
          <w:i/>
          <w:szCs w:val="24"/>
          <w:lang w:eastAsia="en-US"/>
        </w:rPr>
        <w:t>. Dette tilsynsorgan underretter</w:t>
      </w:r>
      <w:r w:rsidRPr="008913ED">
        <w:rPr>
          <w:szCs w:val="24"/>
          <w:lang w:eastAsia="en-US"/>
        </w:rPr>
        <w:t xml:space="preserve"> de relevante tilsynsorganer og ENRRB.</w:t>
      </w:r>
      <w:r w:rsidRPr="008913ED">
        <w:rPr>
          <w:b/>
          <w:szCs w:val="24"/>
          <w:lang w:eastAsia="en-US"/>
        </w:rPr>
        <w:t xml:space="preserve"> [Ændring 122]</w:t>
      </w:r>
    </w:p>
    <w:p w14:paraId="31D496A4" w14:textId="77777777" w:rsidR="006D327E" w:rsidRDefault="006D327E">
      <w:pPr>
        <w:widowControl/>
        <w:rPr>
          <w:b/>
          <w:i/>
          <w:szCs w:val="24"/>
          <w:lang w:eastAsia="en-US"/>
        </w:rPr>
      </w:pPr>
      <w:r>
        <w:rPr>
          <w:b/>
          <w:i/>
          <w:szCs w:val="24"/>
          <w:lang w:eastAsia="en-US"/>
        </w:rPr>
        <w:br w:type="page"/>
      </w:r>
    </w:p>
    <w:p w14:paraId="6CC211D1" w14:textId="1513C0B5"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7a.</w:t>
      </w:r>
      <w:r w:rsidRPr="008913ED">
        <w:rPr>
          <w:szCs w:val="24"/>
          <w:lang w:eastAsia="en-US"/>
        </w:rPr>
        <w:tab/>
      </w:r>
      <w:r w:rsidRPr="008913ED">
        <w:rPr>
          <w:b/>
          <w:i/>
          <w:szCs w:val="24"/>
          <w:lang w:eastAsia="en-US"/>
        </w:rPr>
        <w:t>Infrastrukturforvalteren skal have mulighed for, hvor det er relevant, at anvende specifikke tilgange til fastlæggelse af køreplaner. Hvis infrastrukturforvalteren beslutter at forudplanlægge kapaciteten ved at anvende systematiske kanaler med grænseoverskridende relevans, koordinerer infrastrukturforvalteren med tilstødende infrastrukturforvaltere og andre berørte infrastrukturforvaltere for at finde gensidigt aftalte løsninger for grænseoverskridende trafik. Uanset medlemsstaternes valg af køreplaner sikrer infrastrukturforvalterne en afbalanceret, retfærdig og ikkediskriminerende tildeling af kanaler. For så vidt angår den kompensation for ændringer af kapacitetsrettigheder, der er omhandlet i artikel 40, og som også omfatter systematiske kanaler, fastsættes dens værdi som mindst 1,25 gange den værdi, der er fastsat for ikke-systematiske kanaler i henhold til proceduren i artikel 40.</w:t>
      </w:r>
      <w:r w:rsidRPr="008913ED">
        <w:rPr>
          <w:b/>
          <w:szCs w:val="24"/>
          <w:lang w:eastAsia="en-US"/>
        </w:rPr>
        <w:t xml:space="preserve"> [Ændring 123]</w:t>
      </w:r>
    </w:p>
    <w:p w14:paraId="6C3264E7"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7b.</w:t>
      </w:r>
      <w:r w:rsidRPr="008913ED">
        <w:rPr>
          <w:szCs w:val="24"/>
          <w:lang w:eastAsia="en-US"/>
        </w:rPr>
        <w:tab/>
      </w:r>
      <w:r w:rsidRPr="008913ED">
        <w:rPr>
          <w:b/>
          <w:i/>
          <w:szCs w:val="24"/>
          <w:lang w:eastAsia="en-US"/>
        </w:rPr>
        <w:t>Infrastrukturforvalterne underretter tilsynsorganet om alle modtagne kapacitetsansøgninger, der ikke opfyldte parametrene for den disponible kapacitet som defineret i kapacitetsforsyningsplanen, uanset om de blev imødekommet eller afslået. På grundlag af disse oplysninger afgiver tilsynsorganet mindst hvert andet år en udtalelse, hvori organet kan anbefale infrastrukturforvalteren at ændre kapacitetsmodellen.</w:t>
      </w:r>
      <w:r w:rsidRPr="008913ED">
        <w:rPr>
          <w:b/>
          <w:szCs w:val="24"/>
          <w:lang w:eastAsia="en-US"/>
        </w:rPr>
        <w:t xml:space="preserve"> [Ændring 124]</w:t>
      </w:r>
    </w:p>
    <w:p w14:paraId="7FF78738" w14:textId="77777777" w:rsidR="006D327E" w:rsidRDefault="006D327E">
      <w:pPr>
        <w:widowControl/>
        <w:rPr>
          <w:szCs w:val="24"/>
          <w:lang w:eastAsia="en-US"/>
        </w:rPr>
      </w:pPr>
      <w:r>
        <w:rPr>
          <w:szCs w:val="24"/>
          <w:lang w:eastAsia="en-US"/>
        </w:rPr>
        <w:br w:type="page"/>
      </w:r>
    </w:p>
    <w:p w14:paraId="6455D3FF" w14:textId="43A3DA39"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28</w:t>
      </w:r>
      <w:r w:rsidRPr="008913ED">
        <w:rPr>
          <w:szCs w:val="24"/>
          <w:lang w:eastAsia="en-US"/>
        </w:rPr>
        <w:br/>
        <w:t>Koordinering af tildelingen af kapacitetsrettigheder på flere net</w:t>
      </w:r>
    </w:p>
    <w:p w14:paraId="4BB2D4F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Hvis infrastrukturforvalteren modtager en ansøgning om kapacitetsrettigheder på flere net i henhold til artikel 27, stk. 2, koordinerer infrastrukturforvalteren ansøgningen med de andre berørte infrastrukturforvaltere i overensstemmelse med artikel 53.</w:t>
      </w:r>
    </w:p>
    <w:p w14:paraId="26A2220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Koordineringen skal navnlig sikre:</w:t>
      </w:r>
    </w:p>
    <w:p w14:paraId="3500A696"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a)</w:t>
      </w:r>
      <w:r w:rsidRPr="008913ED">
        <w:rPr>
          <w:szCs w:val="24"/>
          <w:lang w:eastAsia="en-US"/>
        </w:rPr>
        <w:tab/>
        <w:t xml:space="preserve">at der udpeges </w:t>
      </w:r>
      <w:r w:rsidRPr="008913ED">
        <w:rPr>
          <w:strike/>
          <w:szCs w:val="24"/>
          <w:lang w:eastAsia="en-US"/>
        </w:rPr>
        <w:t>et centralt kontaktpunkt</w:t>
      </w:r>
      <w:r w:rsidRPr="008913ED">
        <w:rPr>
          <w:b/>
          <w:i/>
          <w:szCs w:val="24"/>
          <w:lang w:eastAsia="en-US"/>
        </w:rPr>
        <w:t>en one-stop-shop, jf. artikel 27, stk. 4,</w:t>
      </w:r>
      <w:r w:rsidRPr="008913ED">
        <w:rPr>
          <w:szCs w:val="24"/>
          <w:lang w:eastAsia="en-US"/>
        </w:rPr>
        <w:t xml:space="preserve"> med ansvar for kommunikation med ansøgeren i forbindelse med </w:t>
      </w:r>
      <w:r w:rsidRPr="008913ED">
        <w:rPr>
          <w:strike/>
          <w:szCs w:val="24"/>
          <w:lang w:eastAsia="en-US"/>
        </w:rPr>
        <w:t>ansøgningen</w:t>
      </w:r>
      <w:r w:rsidRPr="008913ED">
        <w:rPr>
          <w:b/>
          <w:i/>
          <w:szCs w:val="24"/>
          <w:lang w:eastAsia="en-US"/>
        </w:rPr>
        <w:t>hver enkelt ansøgning</w:t>
      </w:r>
      <w:r w:rsidRPr="008913ED">
        <w:rPr>
          <w:szCs w:val="24"/>
          <w:lang w:eastAsia="en-US"/>
        </w:rPr>
        <w:t xml:space="preserve"> om en kapacitetsrettighed på flere net, som meddeles ansøgeren straks efter modtagelsen af ansøgningen</w:t>
      </w:r>
      <w:r w:rsidRPr="008913ED">
        <w:rPr>
          <w:b/>
          <w:i/>
          <w:szCs w:val="24"/>
          <w:lang w:eastAsia="en-US"/>
        </w:rPr>
        <w:t>. Dette gælder også for grænseoverskridende togpar, som er internationale togtjenester til og fra et bestemmelsessted i en anden medlemsstat.</w:t>
      </w:r>
      <w:r w:rsidRPr="008913ED">
        <w:rPr>
          <w:b/>
          <w:szCs w:val="24"/>
          <w:lang w:eastAsia="en-US"/>
        </w:rPr>
        <w:t xml:space="preserve"> [Ændring 125]</w:t>
      </w:r>
    </w:p>
    <w:p w14:paraId="750390DF"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at kapacitetsrettigheden på flere net er i overensstemmelse med minimumskvalitetskriterier, for så vidt angår overensstemmelse mellem net og aspekter såsom ruteføring, tidsplan, tilgængelighed på forskellige køredage og status for tildeling</w:t>
      </w:r>
    </w:p>
    <w:p w14:paraId="1094F618" w14:textId="77777777" w:rsidR="006D327E" w:rsidRDefault="006D327E">
      <w:pPr>
        <w:widowControl/>
        <w:rPr>
          <w:szCs w:val="24"/>
          <w:lang w:eastAsia="en-US"/>
        </w:rPr>
      </w:pPr>
      <w:r>
        <w:rPr>
          <w:szCs w:val="24"/>
          <w:lang w:eastAsia="en-US"/>
        </w:rPr>
        <w:br w:type="page"/>
      </w:r>
    </w:p>
    <w:p w14:paraId="24D9A6B0" w14:textId="560B7504"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c)</w:t>
      </w:r>
      <w:r w:rsidRPr="008913ED">
        <w:rPr>
          <w:szCs w:val="24"/>
          <w:lang w:eastAsia="en-US"/>
        </w:rPr>
        <w:tab/>
        <w:t>at processen for tildeling af kapacitetsrettigheder på flere net, herunder navnlig den konsensusbaserede konfliktløsningsmekanisme, der er omhandlet i artikel 36, og den formelle konfliktløsningsmekanisme, der er omhandlet i artikel 37, gennemføres konsekvent</w:t>
      </w:r>
    </w:p>
    <w:p w14:paraId="4CDC6229"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at eventuelle ændringer af tildelte kapacitetsrettigheder på flere net koordineres i overensstemmelse med afsnit 4 for til enhver tid at sikre integriteten af kapacitetsrettigheder på flere net.</w:t>
      </w:r>
    </w:p>
    <w:p w14:paraId="3DAEAFE3" w14:textId="77777777" w:rsidR="008913ED" w:rsidRPr="008913ED" w:rsidRDefault="008913ED" w:rsidP="008913ED">
      <w:pPr>
        <w:spacing w:before="120" w:after="120" w:line="360" w:lineRule="auto"/>
        <w:ind w:left="850"/>
        <w:rPr>
          <w:szCs w:val="24"/>
          <w:lang w:eastAsia="en-US"/>
        </w:rPr>
      </w:pPr>
      <w:r w:rsidRPr="008913ED">
        <w:rPr>
          <w:szCs w:val="24"/>
          <w:lang w:eastAsia="en-US"/>
        </w:rPr>
        <w:t>Hvis infrastrukturforvalterne ikke udpeger et enkelt kontaktpunkt, er den infrastrukturforvalter, på hvis net det første afgangssted er beliggende, ansvarlig for at fungere som centralt kontaktpunkt for forespørgsler vedrørende den specifikke kapacitetsansøgning.</w:t>
      </w:r>
    </w:p>
    <w:p w14:paraId="719E6E0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Infrastrukturforvalterne må ikke tildele kapacitetsrettigheder af dårligere kvalitet i forbindelse med ansøgninger om kapacitetsrettigheder på flere net sammenlignet med ansøgninger om kapacitet på et enkelt net.</w:t>
      </w:r>
    </w:p>
    <w:p w14:paraId="64B2A822" w14:textId="77777777" w:rsidR="006D327E" w:rsidRDefault="006D327E">
      <w:pPr>
        <w:widowControl/>
        <w:rPr>
          <w:szCs w:val="24"/>
          <w:lang w:eastAsia="en-US"/>
        </w:rPr>
      </w:pPr>
      <w:r>
        <w:rPr>
          <w:szCs w:val="24"/>
          <w:lang w:eastAsia="en-US"/>
        </w:rPr>
        <w:br w:type="page"/>
      </w:r>
    </w:p>
    <w:p w14:paraId="65EF14B2" w14:textId="3DB1AFD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For så vidt angår kompensationen for ændringer af kapacitetsrettigheder, jf. artikel 40, betragtes en kapacitetsrettighed på flere net som en enkelt kapacitetsrettighed. En annullering som følge af force majeure på et net betragtes navnlig som en annullering på grund af force majeure for kapacitetsrettigheden på hele den strækning, der er omfattet heraf.</w:t>
      </w:r>
    </w:p>
    <w:p w14:paraId="1FF9E614"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ENIM fastlægger</w:t>
      </w:r>
      <w:r w:rsidRPr="008913ED">
        <w:rPr>
          <w:b/>
          <w:i/>
          <w:szCs w:val="24"/>
          <w:lang w:eastAsia="en-US"/>
        </w:rPr>
        <w:t xml:space="preserve"> senest den ... [12 måneder fra denne forordnings ikrafttræden] og i samråd med ERP</w:t>
      </w:r>
      <w:r w:rsidRPr="008913ED">
        <w:rPr>
          <w:szCs w:val="24"/>
          <w:lang w:eastAsia="en-US"/>
        </w:rPr>
        <w:t xml:space="preserve"> de detaljerede procedurer og metoder til gennemførelse af denne artikel og de minimumskvalitetskrav, der er omhandlet i stk. 2, litra b), og medtager dem i den europæiske ramme for kapacitetsforvaltning, jf. artikel 6.</w:t>
      </w:r>
      <w:r w:rsidRPr="008913ED">
        <w:rPr>
          <w:b/>
          <w:szCs w:val="24"/>
          <w:lang w:eastAsia="en-US"/>
        </w:rPr>
        <w:t xml:space="preserve"> [Ændring 126]</w:t>
      </w:r>
    </w:p>
    <w:p w14:paraId="50FC58F1"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5a.</w:t>
      </w:r>
      <w:r w:rsidRPr="008913ED">
        <w:rPr>
          <w:szCs w:val="24"/>
          <w:lang w:eastAsia="en-US"/>
        </w:rPr>
        <w:tab/>
      </w:r>
      <w:r w:rsidRPr="008913ED">
        <w:rPr>
          <w:b/>
          <w:i/>
          <w:szCs w:val="24"/>
          <w:lang w:eastAsia="en-US"/>
        </w:rPr>
        <w:t>Kommissionen vedtager senest den ... [24 måneder fra denne forordnings ikrafttræden] gennemførelsesretsakter med de detaljerede procedurer og metoder til gennemførelse af denne artikel og de minimumskvalitetskrav, der er omhandlet i stk. 2, litra b, og til ændring af denne artikels stk. 5. Disse gennemførelsesretsakter vedtages efter undersøgelsesproceduren i artikel 72, stk. 3. De skal medtages i den europæiske ramme for kapacitetsforvaltning.</w:t>
      </w:r>
      <w:r w:rsidRPr="008913ED">
        <w:rPr>
          <w:b/>
          <w:szCs w:val="24"/>
          <w:lang w:eastAsia="en-US"/>
        </w:rPr>
        <w:t xml:space="preserve"> [Ændring 127]</w:t>
      </w:r>
    </w:p>
    <w:p w14:paraId="6E2E1DC8" w14:textId="77777777" w:rsidR="006D327E" w:rsidRDefault="006D327E">
      <w:pPr>
        <w:widowControl/>
        <w:rPr>
          <w:szCs w:val="24"/>
          <w:lang w:eastAsia="en-US"/>
        </w:rPr>
      </w:pPr>
      <w:r>
        <w:rPr>
          <w:szCs w:val="24"/>
          <w:lang w:eastAsia="en-US"/>
        </w:rPr>
        <w:br w:type="page"/>
      </w:r>
    </w:p>
    <w:p w14:paraId="7BED00EB" w14:textId="34E91DEF"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29</w:t>
      </w:r>
      <w:r w:rsidRPr="008913ED">
        <w:rPr>
          <w:szCs w:val="24"/>
          <w:lang w:eastAsia="en-US"/>
        </w:rPr>
        <w:br/>
        <w:t>Samarbejde om tildeling af jernbaneinfrastrukturkapacitet og servicefaciliteter</w:t>
      </w:r>
    </w:p>
    <w:p w14:paraId="4E4942BD" w14:textId="155E45EF"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Operatører af servicefaciliteter, der leverer vejledende oplysninger om tilgængelig kapacitet i en servicefacilitet i overensstemmelse med artikel 6, stk. 3, i Kommissionens gennemførelsesforordning (EU) 2017/2177</w:t>
      </w:r>
      <w:r w:rsidRPr="008913ED">
        <w:rPr>
          <w:szCs w:val="24"/>
          <w:vertAlign w:val="superscript"/>
          <w:lang w:val="en-GB" w:eastAsia="en-US"/>
        </w:rPr>
        <w:footnoteReference w:id="18"/>
      </w:r>
      <w:r w:rsidRPr="008913ED">
        <w:rPr>
          <w:szCs w:val="24"/>
          <w:lang w:eastAsia="en-US"/>
        </w:rPr>
        <w:t xml:space="preserve">, samarbejder med infrastrukturforvalterne om forvalternes tilrådighedsstillelse af kanaler med kapacitet til </w:t>
      </w:r>
      <w:r w:rsidRPr="008913ED">
        <w:rPr>
          <w:strike/>
          <w:szCs w:val="24"/>
          <w:lang w:eastAsia="en-US"/>
        </w:rPr>
        <w:t>jernbanefaciliteter</w:t>
      </w:r>
      <w:r w:rsidRPr="008913ED">
        <w:rPr>
          <w:b/>
          <w:i/>
          <w:szCs w:val="24"/>
          <w:lang w:eastAsia="en-US"/>
        </w:rPr>
        <w:t>servicefaciliteter</w:t>
      </w:r>
      <w:r w:rsidRPr="008913ED">
        <w:rPr>
          <w:szCs w:val="24"/>
          <w:lang w:eastAsia="en-US"/>
        </w:rPr>
        <w:t>. Andre operatører af servicefaciliteter kan indgå en aftale med infrastrukturforvalterne om fælles tilvejebringelse af kapacitet.</w:t>
      </w:r>
      <w:r w:rsidR="00CD5FD6" w:rsidRPr="008913ED">
        <w:rPr>
          <w:b/>
          <w:szCs w:val="24"/>
          <w:lang w:eastAsia="en-US"/>
        </w:rPr>
        <w:t xml:space="preserve"> [Ændring 128]</w:t>
      </w:r>
    </w:p>
    <w:p w14:paraId="6B9220CD" w14:textId="54009290"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Infrastrukturforvalterne opstiller en liste over de servicefaciliteter, der er omhandlet i stk. 1, i netvejledningen.</w:t>
      </w:r>
    </w:p>
    <w:p w14:paraId="60015800"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Infrastrukturforvalterne sikrer, at ansøgere kan ansøge om kapacitetsrettigheder på jernbaneinfrastruktur og i de servicefaciliteter, der er omhandlet i stk. 1, på ét og samme sted</w:t>
      </w:r>
      <w:r w:rsidRPr="008913ED">
        <w:rPr>
          <w:strike/>
          <w:szCs w:val="24"/>
          <w:lang w:eastAsia="en-US"/>
        </w:rPr>
        <w:t xml:space="preserve"> og på én gang</w:t>
      </w:r>
      <w:r w:rsidRPr="008913ED">
        <w:rPr>
          <w:b/>
          <w:i/>
          <w:szCs w:val="24"/>
          <w:lang w:eastAsia="en-US"/>
        </w:rPr>
        <w:t>, der er oprettet i overensstemmelse med artikel 27, stk</w:t>
      </w:r>
      <w:r w:rsidRPr="008913ED">
        <w:rPr>
          <w:szCs w:val="24"/>
          <w:lang w:eastAsia="en-US"/>
        </w:rPr>
        <w:t>.</w:t>
      </w:r>
      <w:r w:rsidRPr="008913ED">
        <w:rPr>
          <w:b/>
          <w:i/>
          <w:szCs w:val="24"/>
          <w:lang w:eastAsia="en-US"/>
        </w:rPr>
        <w:t xml:space="preserve"> 4.</w:t>
      </w:r>
      <w:r w:rsidRPr="008913ED">
        <w:rPr>
          <w:b/>
          <w:szCs w:val="24"/>
          <w:lang w:eastAsia="en-US"/>
        </w:rPr>
        <w:t xml:space="preserve"> [Ændring 129]</w:t>
      </w:r>
    </w:p>
    <w:p w14:paraId="09C4D76E" w14:textId="77777777" w:rsidR="006D327E" w:rsidRDefault="006D327E">
      <w:pPr>
        <w:widowControl/>
        <w:rPr>
          <w:szCs w:val="24"/>
          <w:lang w:eastAsia="en-US"/>
        </w:rPr>
      </w:pPr>
      <w:r>
        <w:rPr>
          <w:szCs w:val="24"/>
          <w:lang w:eastAsia="en-US"/>
        </w:rPr>
        <w:br w:type="page"/>
      </w:r>
    </w:p>
    <w:p w14:paraId="2E99D7D6" w14:textId="7A397831"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4.</w:t>
      </w:r>
      <w:r w:rsidRPr="008913ED">
        <w:rPr>
          <w:szCs w:val="24"/>
          <w:lang w:eastAsia="en-US"/>
        </w:rPr>
        <w:tab/>
        <w:t xml:space="preserve">Med henblik på stk. 3 koordinerer infrastrukturforvaltere og operatører af servicefaciliteter kapaciteten og tildeler kapacitetsrettigheder, herunder kapacitet i </w:t>
      </w:r>
      <w:r w:rsidRPr="008913ED">
        <w:rPr>
          <w:strike/>
          <w:szCs w:val="24"/>
          <w:lang w:eastAsia="en-US"/>
        </w:rPr>
        <w:t>jernbanefaciliteten</w:t>
      </w:r>
      <w:r w:rsidRPr="008913ED">
        <w:rPr>
          <w:b/>
          <w:i/>
          <w:szCs w:val="24"/>
          <w:lang w:eastAsia="en-US"/>
        </w:rPr>
        <w:t>servicefaciliteten</w:t>
      </w:r>
      <w:r w:rsidRPr="008913ED">
        <w:rPr>
          <w:szCs w:val="24"/>
          <w:lang w:eastAsia="en-US"/>
        </w:rPr>
        <w:t>, der opfylder ansøgerens behov, eller bestræber sig på at tilvejebringe et levedygtigt alternativ.</w:t>
      </w:r>
      <w:r w:rsidRPr="008913ED">
        <w:rPr>
          <w:b/>
          <w:szCs w:val="24"/>
          <w:lang w:eastAsia="en-US"/>
        </w:rPr>
        <w:t xml:space="preserve"> [Ændring 130]</w:t>
      </w:r>
    </w:p>
    <w:p w14:paraId="5EF9EC6E"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De operatører af</w:t>
      </w:r>
      <w:r w:rsidRPr="008913ED">
        <w:rPr>
          <w:b/>
          <w:i/>
          <w:szCs w:val="24"/>
          <w:lang w:eastAsia="en-US"/>
        </w:rPr>
        <w:t xml:space="preserve"> berørte</w:t>
      </w:r>
      <w:r w:rsidRPr="008913ED">
        <w:rPr>
          <w:szCs w:val="24"/>
          <w:lang w:eastAsia="en-US"/>
        </w:rPr>
        <w:t xml:space="preserve"> servicefaciliteter, der er omhandlet i stk. 1, stiller </w:t>
      </w:r>
      <w:r w:rsidRPr="008913ED">
        <w:rPr>
          <w:strike/>
          <w:szCs w:val="24"/>
          <w:lang w:eastAsia="en-US"/>
        </w:rPr>
        <w:t xml:space="preserve">efter anmodning eller </w:t>
      </w:r>
      <w:r w:rsidRPr="008913ED">
        <w:rPr>
          <w:szCs w:val="24"/>
          <w:lang w:eastAsia="en-US"/>
        </w:rPr>
        <w:t>i realtid</w:t>
      </w:r>
      <w:r w:rsidRPr="008913ED">
        <w:rPr>
          <w:strike/>
          <w:szCs w:val="24"/>
          <w:lang w:eastAsia="en-US"/>
        </w:rPr>
        <w:t>, hvis det er nødvendigt,</w:t>
      </w:r>
      <w:r w:rsidRPr="008913ED">
        <w:rPr>
          <w:szCs w:val="24"/>
          <w:lang w:eastAsia="en-US"/>
        </w:rPr>
        <w:t xml:space="preserve"> oplysninger om den tilgængelige kapacitet til rådighed for infrastrukturforvalteren i et digitalt format i overensstemmelse med artikel 62.</w:t>
      </w:r>
      <w:r w:rsidRPr="008913ED">
        <w:rPr>
          <w:b/>
          <w:szCs w:val="24"/>
          <w:lang w:eastAsia="en-US"/>
        </w:rPr>
        <w:t xml:space="preserve"> [Ændring 131]</w:t>
      </w:r>
    </w:p>
    <w:p w14:paraId="34F020F0"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5a.</w:t>
      </w:r>
      <w:r w:rsidRPr="008913ED">
        <w:rPr>
          <w:szCs w:val="24"/>
          <w:lang w:eastAsia="en-US"/>
        </w:rPr>
        <w:tab/>
      </w:r>
      <w:r w:rsidRPr="008913ED">
        <w:rPr>
          <w:b/>
          <w:i/>
          <w:szCs w:val="24"/>
          <w:lang w:eastAsia="en-US"/>
        </w:rPr>
        <w:t>Når ansøgerne anmoder om kapacitetsrettigheder til at få adgang til en servicefacilitet, skal de dokumentere, at ejeren af servicefaciliteten er indforstået med at imødekomme deres køretøjer.</w:t>
      </w:r>
      <w:r w:rsidRPr="008913ED">
        <w:rPr>
          <w:b/>
          <w:szCs w:val="24"/>
          <w:lang w:eastAsia="en-US"/>
        </w:rPr>
        <w:t xml:space="preserve"> [Ændring 132]</w:t>
      </w:r>
    </w:p>
    <w:p w14:paraId="322FEE65" w14:textId="77777777" w:rsidR="006D327E" w:rsidRDefault="006D327E">
      <w:pPr>
        <w:widowControl/>
        <w:rPr>
          <w:szCs w:val="24"/>
          <w:lang w:eastAsia="en-US"/>
        </w:rPr>
      </w:pPr>
      <w:r>
        <w:rPr>
          <w:szCs w:val="24"/>
          <w:lang w:eastAsia="en-US"/>
        </w:rPr>
        <w:br w:type="page"/>
      </w:r>
    </w:p>
    <w:p w14:paraId="7B2C5D04" w14:textId="5F895287"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6.</w:t>
      </w:r>
      <w:r w:rsidRPr="008913ED">
        <w:rPr>
          <w:szCs w:val="24"/>
          <w:lang w:eastAsia="en-US"/>
        </w:rPr>
        <w:tab/>
        <w:t>Med henblik på denne artikel og i overensstemmelse med artikel 62 udarbejder ENIM</w:t>
      </w:r>
      <w:r w:rsidRPr="008913ED">
        <w:rPr>
          <w:b/>
          <w:i/>
          <w:szCs w:val="24"/>
          <w:lang w:eastAsia="en-US"/>
        </w:rPr>
        <w:t xml:space="preserve"> efter godkendelse af ERA og senest den ... [24 måneder fra denne forordnings ikrafttræden]</w:t>
      </w:r>
      <w:r w:rsidRPr="008913ED">
        <w:rPr>
          <w:szCs w:val="24"/>
          <w:lang w:eastAsia="en-US"/>
        </w:rPr>
        <w:t xml:space="preserve"> retningslinjer for de funktionelle og tekniske krav til udveksling af oplysninger mellem operatører af </w:t>
      </w:r>
      <w:r w:rsidRPr="008913ED">
        <w:rPr>
          <w:strike/>
          <w:szCs w:val="24"/>
          <w:lang w:eastAsia="en-US"/>
        </w:rPr>
        <w:t>jernbanefaciliteter</w:t>
      </w:r>
      <w:r w:rsidRPr="008913ED">
        <w:rPr>
          <w:b/>
          <w:i/>
          <w:szCs w:val="24"/>
          <w:lang w:eastAsia="en-US"/>
        </w:rPr>
        <w:t>servicefaciliteter</w:t>
      </w:r>
      <w:r w:rsidRPr="008913ED">
        <w:rPr>
          <w:szCs w:val="24"/>
          <w:lang w:eastAsia="en-US"/>
        </w:rPr>
        <w:t xml:space="preserve"> og infrastrukturforvaltere med henblik på denne artikel. Operatører af servicefaciliteter kan ansøge om at blive fritaget fra anvendelsen af denne artikel, jf. dog artikel 2 i gennemførelsesforordning (EU) 2017/2177. Sådanne ansøgninger indgives til tilsynsorganet og begrundes behørigt. Tilsynsorganerne kan beslutte at forlænge en fritagelse i behørigt begrundede tilfælde.</w:t>
      </w:r>
      <w:r w:rsidRPr="008913ED">
        <w:rPr>
          <w:b/>
          <w:szCs w:val="24"/>
          <w:lang w:eastAsia="en-US"/>
        </w:rPr>
        <w:t xml:space="preserve"> [Ændring 133]</w:t>
      </w:r>
    </w:p>
    <w:p w14:paraId="6FF96DBE"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7.</w:t>
      </w:r>
      <w:r w:rsidRPr="008913ED">
        <w:rPr>
          <w:szCs w:val="24"/>
          <w:lang w:eastAsia="en-US"/>
        </w:rPr>
        <w:tab/>
        <w:t xml:space="preserve">ENRRB overvåger anvendelsen af stk. </w:t>
      </w:r>
      <w:r w:rsidRPr="008913ED">
        <w:rPr>
          <w:strike/>
          <w:szCs w:val="24"/>
          <w:lang w:eastAsia="en-US"/>
        </w:rPr>
        <w:t>7</w:t>
      </w:r>
      <w:r w:rsidRPr="008913ED">
        <w:rPr>
          <w:b/>
          <w:i/>
          <w:szCs w:val="24"/>
          <w:lang w:eastAsia="en-US"/>
        </w:rPr>
        <w:t>6</w:t>
      </w:r>
      <w:r w:rsidRPr="008913ED">
        <w:rPr>
          <w:szCs w:val="24"/>
          <w:lang w:eastAsia="en-US"/>
        </w:rPr>
        <w:t xml:space="preserve"> og fremsætter henstillinger om de kriterier, der skal anvendes ved behandlingen af ansøgningerne om fritagelse.</w:t>
      </w:r>
      <w:r w:rsidRPr="008913ED">
        <w:rPr>
          <w:b/>
          <w:szCs w:val="24"/>
          <w:lang w:eastAsia="en-US"/>
        </w:rPr>
        <w:t xml:space="preserve"> [Ændring 134]</w:t>
      </w:r>
    </w:p>
    <w:p w14:paraId="4EF405A3"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7a.</w:t>
      </w:r>
      <w:r w:rsidRPr="008913ED">
        <w:rPr>
          <w:szCs w:val="24"/>
          <w:lang w:eastAsia="en-US"/>
        </w:rPr>
        <w:tab/>
      </w:r>
      <w:r w:rsidRPr="008913ED">
        <w:rPr>
          <w:b/>
          <w:i/>
          <w:szCs w:val="24"/>
          <w:lang w:eastAsia="en-US"/>
        </w:rPr>
        <w:t>Infrastrukturforvalterne underretter tilsynsorganet om alle modtagne kapacitetsansøgninger, der ikke opfyldte parametrene for den disponible kapacitet som defineret i kapacitetsforsyningsplanen, og derfor blev afslået. På grundlag af disse oplysninger afgiver tilsynsorganet mindst hvert andet år en udtalelse, hvori organet kan anbefale infrastrukturforvalteren at ændre kapacitetsmodellen.</w:t>
      </w:r>
      <w:r w:rsidRPr="008913ED">
        <w:rPr>
          <w:b/>
          <w:szCs w:val="24"/>
          <w:lang w:eastAsia="en-US"/>
        </w:rPr>
        <w:t xml:space="preserve"> [Ændring 135]</w:t>
      </w:r>
    </w:p>
    <w:p w14:paraId="748505AF" w14:textId="77777777" w:rsidR="006D327E" w:rsidRDefault="006D327E">
      <w:pPr>
        <w:widowControl/>
        <w:rPr>
          <w:b/>
          <w:i/>
          <w:szCs w:val="24"/>
          <w:lang w:eastAsia="en-US"/>
        </w:rPr>
      </w:pPr>
      <w:r>
        <w:rPr>
          <w:b/>
          <w:i/>
          <w:szCs w:val="24"/>
          <w:lang w:eastAsia="en-US"/>
        </w:rPr>
        <w:br w:type="page"/>
      </w:r>
    </w:p>
    <w:p w14:paraId="0289228C" w14:textId="73D95B00"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7b.</w:t>
      </w:r>
      <w:r w:rsidRPr="008913ED">
        <w:rPr>
          <w:szCs w:val="24"/>
          <w:lang w:eastAsia="en-US"/>
        </w:rPr>
        <w:tab/>
      </w:r>
      <w:r w:rsidRPr="008913ED">
        <w:rPr>
          <w:b/>
          <w:i/>
          <w:szCs w:val="24"/>
          <w:lang w:eastAsia="en-US"/>
        </w:rPr>
        <w:t>Kommissionen vedtager senest den ... [24 måneder fra denne forordnings ikrafttræden] gennemførelsesretsakter med de nærmere funktionelle og tekniske krav til udveksling af oplysninger mellem operatører af jernbanefaciliteter og infrastrukturforvaltere med henblik på denne artikel og med henblik på at ændre denne artikels stk. 6. Disse gennemførelsesretsakter vedtages efter undersøgelsesproceduren i artikel 72, stk. 3.</w:t>
      </w:r>
      <w:r w:rsidRPr="008913ED">
        <w:rPr>
          <w:b/>
          <w:szCs w:val="24"/>
          <w:lang w:eastAsia="en-US"/>
        </w:rPr>
        <w:t xml:space="preserve"> [Ændring 136]</w:t>
      </w:r>
    </w:p>
    <w:p w14:paraId="61FF10A7"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30</w:t>
      </w:r>
      <w:r w:rsidRPr="008913ED">
        <w:rPr>
          <w:szCs w:val="24"/>
          <w:lang w:eastAsia="en-US"/>
        </w:rPr>
        <w:br/>
        <w:t>Køreplan</w:t>
      </w:r>
    </w:p>
    <w:p w14:paraId="112EAE9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udarbejder en ny køreplan inden begyndelsen af hver køreplansperiode. Køreplansperioden har en varighed på et år.</w:t>
      </w:r>
    </w:p>
    <w:p w14:paraId="46EB9744"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indleder udarbejdelsen af køreplanen i forbindelse med tildelingen af kapacitet gennem den årlige tildelingsproces, der er omhandlet i artikel 32, under hensyntagen til kapacitetsrettigheder tildelt gennem rammeaftaler i overensstemmelse med artikel 31 og gennem den rullende planlægningsproces, der er omhandlet i artikel 33.</w:t>
      </w:r>
    </w:p>
    <w:p w14:paraId="356458AA" w14:textId="77777777" w:rsidR="006D327E" w:rsidRDefault="006D327E">
      <w:pPr>
        <w:widowControl/>
        <w:rPr>
          <w:szCs w:val="24"/>
          <w:lang w:eastAsia="en-US"/>
        </w:rPr>
      </w:pPr>
      <w:r>
        <w:rPr>
          <w:szCs w:val="24"/>
          <w:lang w:eastAsia="en-US"/>
        </w:rPr>
        <w:br w:type="page"/>
      </w:r>
    </w:p>
    <w:p w14:paraId="5716D415" w14:textId="2E37FFFD"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 xml:space="preserve">Infrastrukturforvalterne ajourfører </w:t>
      </w:r>
      <w:r w:rsidRPr="008913ED">
        <w:rPr>
          <w:strike/>
          <w:szCs w:val="24"/>
          <w:lang w:eastAsia="en-US"/>
        </w:rPr>
        <w:t>løbende</w:t>
      </w:r>
      <w:r w:rsidRPr="008913ED">
        <w:rPr>
          <w:b/>
          <w:i/>
          <w:szCs w:val="24"/>
          <w:lang w:eastAsia="en-US"/>
        </w:rPr>
        <w:t>med regelmæssige mellemrum</w:t>
      </w:r>
      <w:r w:rsidRPr="008913ED">
        <w:rPr>
          <w:szCs w:val="24"/>
          <w:lang w:eastAsia="en-US"/>
        </w:rPr>
        <w:t xml:space="preserve"> køreplanen indtil udløbet af køreplansperioden under hensyntagen til kapacitet tildelt gennem den rullende planlægningsproces, der er omhandlet i artikel 33, kapacitet tildelt gennem den ad hoc-proces, der er omhandlet i artikel 34, ændringer af kapacitetsrettigheder i overensstemmelse med artikel 39 og omlægning i forbindelse med håndtering af forstyrrelser og krisestyring i overensstemmelse med artikel 41.</w:t>
      </w:r>
      <w:r w:rsidRPr="008913ED">
        <w:rPr>
          <w:b/>
          <w:szCs w:val="24"/>
          <w:lang w:eastAsia="en-US"/>
        </w:rPr>
        <w:t xml:space="preserve"> [Ændring 137]</w:t>
      </w:r>
    </w:p>
    <w:p w14:paraId="21D3154E"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31</w:t>
      </w:r>
      <w:r w:rsidRPr="008913ED">
        <w:rPr>
          <w:szCs w:val="24"/>
          <w:lang w:eastAsia="en-US"/>
        </w:rPr>
        <w:br/>
        <w:t>Kapacitetstildeling gennem rammeaftaler</w:t>
      </w:r>
    </w:p>
    <w:p w14:paraId="39E5057D"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En ansøger har ret til at ansøge om infrastrukturkapacitet i et tidsrum, der overstiger en køreplansperiode. Med forbehold af artikel 101, 102 og 106 i TEUF tildeler infrastrukturforvalteren denne kapacitet gennem rammeaftaler, der indgås med den pågældende ansøger, jf. dog stk. 3 og 4.</w:t>
      </w:r>
    </w:p>
    <w:p w14:paraId="22105013" w14:textId="77777777" w:rsidR="008913ED" w:rsidRPr="008913ED" w:rsidRDefault="008913ED" w:rsidP="008913ED">
      <w:pPr>
        <w:spacing w:before="120" w:after="120" w:line="360" w:lineRule="auto"/>
        <w:ind w:left="850"/>
        <w:rPr>
          <w:szCs w:val="24"/>
          <w:lang w:eastAsia="en-US"/>
        </w:rPr>
      </w:pPr>
      <w:r w:rsidRPr="008913ED">
        <w:rPr>
          <w:szCs w:val="24"/>
          <w:lang w:eastAsia="en-US"/>
        </w:rPr>
        <w:t>I rammeaftalerne angives de tildelte kapacitetsrettigheder i form af en kapacitetsspecifikation som omhandlet i artikel 26, stk. 1, litra a). De må ikke omfatte kapacitetsrettigheder i form af en kanal.</w:t>
      </w:r>
    </w:p>
    <w:p w14:paraId="4F0F362E" w14:textId="77777777" w:rsidR="006D327E" w:rsidRDefault="006D327E">
      <w:pPr>
        <w:widowControl/>
        <w:rPr>
          <w:szCs w:val="24"/>
          <w:lang w:eastAsia="en-US"/>
        </w:rPr>
      </w:pPr>
      <w:r>
        <w:rPr>
          <w:szCs w:val="24"/>
          <w:lang w:eastAsia="en-US"/>
        </w:rPr>
        <w:br w:type="page"/>
      </w:r>
    </w:p>
    <w:p w14:paraId="66DC9D33" w14:textId="65AA3DBC" w:rsidR="008913ED" w:rsidRPr="008913ED" w:rsidRDefault="008913ED" w:rsidP="008913ED">
      <w:pPr>
        <w:spacing w:before="120" w:after="120" w:line="360" w:lineRule="auto"/>
        <w:ind w:left="850"/>
        <w:rPr>
          <w:szCs w:val="24"/>
          <w:lang w:eastAsia="en-US"/>
        </w:rPr>
      </w:pPr>
      <w:r w:rsidRPr="008913ED">
        <w:rPr>
          <w:szCs w:val="24"/>
          <w:lang w:eastAsia="en-US"/>
        </w:rPr>
        <w:lastRenderedPageBreak/>
        <w:t>Medlemsstaterne kan kræve forhåndsgodkendelse af rammeaftaler fra et tilsynsorgan.</w:t>
      </w:r>
    </w:p>
    <w:p w14:paraId="3887A57D"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Rammeaftaler meddeles tilsynsorganet og skal godkendes af dette. I tilfælde af rammeaftaler med flere net skal godkendelsen tage hensyn til ENRRB's udtalelse.</w:t>
      </w:r>
      <w:r w:rsidRPr="008913ED">
        <w:rPr>
          <w:b/>
          <w:szCs w:val="24"/>
          <w:lang w:eastAsia="en-US"/>
        </w:rPr>
        <w:t xml:space="preserve"> [Ændring 138]</w:t>
      </w:r>
    </w:p>
    <w:p w14:paraId="46E47ED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En ansøger, som har indgået en rammeaftale, indgiver en ansøgning om konvertering af kapacitetsspecifikationerne i rammeaftalen til en tilsvarende kanal i overensstemmelse med aftalen.</w:t>
      </w:r>
    </w:p>
    <w:p w14:paraId="46E283BA"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 xml:space="preserve">Infrastrukturforvalterne indgår kun rammeaftaler, hvis den efterspurgte kapacitetsrettighed er i overensstemmelse med planlægningsdokumenterne for den strategiske kapacitetsplanlægning, der er omhandlet i artikel 11, stk. 2. Infrastrukturforvalterne angiver </w:t>
      </w:r>
      <w:r w:rsidRPr="008913ED">
        <w:rPr>
          <w:b/>
          <w:i/>
          <w:szCs w:val="24"/>
          <w:lang w:eastAsia="en-US"/>
        </w:rPr>
        <w:t xml:space="preserve">efter høring af nettene i nabolandene </w:t>
      </w:r>
      <w:r w:rsidRPr="008913ED">
        <w:rPr>
          <w:szCs w:val="24"/>
          <w:lang w:eastAsia="en-US"/>
        </w:rPr>
        <w:t>den kapacitet, de planlægger at reservere til tildeling gennem rammeaftaler, i disse planlægningsdokumenter.</w:t>
      </w:r>
      <w:r w:rsidRPr="008913ED">
        <w:rPr>
          <w:b/>
          <w:szCs w:val="24"/>
          <w:lang w:eastAsia="en-US"/>
        </w:rPr>
        <w:t xml:space="preserve"> [Ændring 139]</w:t>
      </w:r>
    </w:p>
    <w:p w14:paraId="76854813" w14:textId="77777777" w:rsidR="006D327E" w:rsidRDefault="006D327E">
      <w:pPr>
        <w:widowControl/>
        <w:rPr>
          <w:szCs w:val="24"/>
          <w:lang w:eastAsia="en-US"/>
        </w:rPr>
      </w:pPr>
      <w:r>
        <w:rPr>
          <w:szCs w:val="24"/>
          <w:lang w:eastAsia="en-US"/>
        </w:rPr>
        <w:br w:type="page"/>
      </w:r>
    </w:p>
    <w:p w14:paraId="7AE441F2" w14:textId="159E573C"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4.</w:t>
      </w:r>
      <w:r w:rsidRPr="008913ED">
        <w:rPr>
          <w:szCs w:val="24"/>
          <w:lang w:eastAsia="en-US"/>
        </w:rPr>
        <w:tab/>
        <w:t xml:space="preserve">Rammeaftaler må ikke udelukke andre ansøgere eller tjenester fra at udnytte den relevante infrastruktur. Med henblik herpå fastsætter infrastrukturforvalterne </w:t>
      </w:r>
      <w:r w:rsidRPr="008913ED">
        <w:rPr>
          <w:b/>
          <w:i/>
          <w:szCs w:val="24"/>
          <w:lang w:eastAsia="en-US"/>
        </w:rPr>
        <w:t xml:space="preserve">efter høring af tilsynsorganet </w:t>
      </w:r>
      <w:r w:rsidRPr="008913ED">
        <w:rPr>
          <w:szCs w:val="24"/>
          <w:lang w:eastAsia="en-US"/>
        </w:rPr>
        <w:t>de maksimale andele af den samlede kapacitet, der kan tildeles gennem rammeaftaler, og medtager disse i netvejledningen.</w:t>
      </w:r>
      <w:r w:rsidRPr="008913ED">
        <w:rPr>
          <w:b/>
          <w:i/>
          <w:szCs w:val="24"/>
          <w:lang w:eastAsia="en-US"/>
        </w:rPr>
        <w:t xml:space="preserve"> Infrastrukturforvaltere fra nabolande, der har indgået grænseoverskridende rammeaftaler, skal tilpasse disse maksimale andele af den samlede kapacitet og gøre dem så konsekvente som muligt.</w:t>
      </w:r>
      <w:r w:rsidRPr="008913ED">
        <w:rPr>
          <w:b/>
          <w:szCs w:val="24"/>
          <w:lang w:eastAsia="en-US"/>
        </w:rPr>
        <w:t xml:space="preserve"> [Ændring 140]</w:t>
      </w:r>
    </w:p>
    <w:p w14:paraId="21C2D6C7"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Vilkårene i rammeaftaler skal kunne ændres for at muliggøre bedre udnyttelse af jernbaneinfrastrukturen, jf. dog artikel 39 og artikel 40.</w:t>
      </w:r>
    </w:p>
    <w:p w14:paraId="4AB65F7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Der skal kompenseres for ændringer af kapacitetsrettigheder, som tildeles gennem rammeaftaler, i overensstemmelse med artikel 40, undtagen i den situation, der er omhandlet i stk. 5.</w:t>
      </w:r>
    </w:p>
    <w:p w14:paraId="749FF41B" w14:textId="77777777" w:rsidR="006D327E" w:rsidRDefault="006D327E">
      <w:pPr>
        <w:widowControl/>
        <w:rPr>
          <w:szCs w:val="24"/>
          <w:lang w:eastAsia="en-US"/>
        </w:rPr>
      </w:pPr>
      <w:r>
        <w:rPr>
          <w:szCs w:val="24"/>
          <w:lang w:eastAsia="en-US"/>
        </w:rPr>
        <w:br w:type="page"/>
      </w:r>
    </w:p>
    <w:p w14:paraId="517A3E63" w14:textId="222CFB1D"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7.</w:t>
      </w:r>
      <w:r w:rsidRPr="008913ED">
        <w:rPr>
          <w:szCs w:val="24"/>
          <w:lang w:eastAsia="en-US"/>
        </w:rPr>
        <w:tab/>
        <w:t>Rammeaftaler indgås i princippet for den periode, der er anført i afsnit 5 i bilag I. Infrastrukturforvalteren kan i særlige tilfælde acceptere en kortere eller længere gyldighedsperiode. Enhver periode, der er længere end den periode, der er angivet i afsnit 5 i bilag I, begrundes i behovet for nye operatørers målrettede investeringer eller i det forhold, at tjenesten i væsentlig grad er ny.</w:t>
      </w:r>
      <w:r w:rsidR="00A9335A">
        <w:rPr>
          <w:szCs w:val="24"/>
          <w:lang w:eastAsia="en-US"/>
        </w:rPr>
        <w:t xml:space="preserve"> </w:t>
      </w:r>
      <w:r w:rsidR="00A9335A" w:rsidRPr="008913ED">
        <w:rPr>
          <w:b/>
          <w:szCs w:val="24"/>
          <w:lang w:eastAsia="en-US"/>
        </w:rPr>
        <w:t>[Ændring 141</w:t>
      </w:r>
      <w:r w:rsidR="00A9335A">
        <w:rPr>
          <w:b/>
          <w:szCs w:val="24"/>
          <w:lang w:eastAsia="en-US"/>
        </w:rPr>
        <w:t xml:space="preserve"> </w:t>
      </w:r>
      <w:r w:rsidR="00A9335A" w:rsidRPr="00A9335A">
        <w:rPr>
          <w:b/>
          <w:szCs w:val="24"/>
          <w:lang w:eastAsia="en-US"/>
        </w:rPr>
        <w:t xml:space="preserve">- </w:t>
      </w:r>
      <w:r w:rsidRPr="00C85626">
        <w:rPr>
          <w:b/>
          <w:i/>
          <w:szCs w:val="24"/>
          <w:lang w:eastAsia="en-US"/>
        </w:rPr>
        <w:t>Vedrører ikke den danske tekst</w:t>
      </w:r>
      <w:r w:rsidRPr="00A9335A">
        <w:rPr>
          <w:b/>
          <w:szCs w:val="24"/>
          <w:lang w:eastAsia="en-US"/>
        </w:rPr>
        <w:t>]</w:t>
      </w:r>
    </w:p>
    <w:p w14:paraId="59B83F1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8.</w:t>
      </w:r>
      <w:r w:rsidRPr="008913ED">
        <w:rPr>
          <w:szCs w:val="24"/>
          <w:lang w:eastAsia="en-US"/>
        </w:rPr>
        <w:tab/>
        <w:t>For tjenester, der anvender infrastruktur til særlige formål, jf. artikel 24, som kræver store og langfristede investeringer, kan der indgås rammeaftaler for en periode på 15 år, hvor det er behørigt begrundet af ansøgeren. En gyldighedsperiode på over 15 år kan kun aftales i ganske særlige tilfælde, navnlig i forbindelse med store og langfristede investeringer, og hvis disse er omfattet af aftalemæssige forpligtelser, der omfatter en flerårig afskrivningsplan.</w:t>
      </w:r>
    </w:p>
    <w:p w14:paraId="0C59617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9.</w:t>
      </w:r>
      <w:r w:rsidRPr="008913ED">
        <w:rPr>
          <w:szCs w:val="24"/>
          <w:lang w:eastAsia="en-US"/>
        </w:rPr>
        <w:tab/>
        <w:t>Infrastrukturforvalterne medtager kapacitet, der tildeles gennem rammeaftaler, i den i artikel 17 omhandlede kapacitetsmodel og i den i artikel 18 omhandlede kapacitetsforsyningsplan.</w:t>
      </w:r>
    </w:p>
    <w:p w14:paraId="5BFD2C0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10.</w:t>
      </w:r>
      <w:r w:rsidRPr="008913ED">
        <w:rPr>
          <w:szCs w:val="24"/>
          <w:lang w:eastAsia="en-US"/>
        </w:rPr>
        <w:tab/>
        <w:t>Den generelle karakter af hver rammeaftale gøres tilgængelig for alle berørte parter, idet forretningshemmeligheder dog behandles fortroligt.</w:t>
      </w:r>
    </w:p>
    <w:p w14:paraId="29F854E9" w14:textId="77777777" w:rsidR="006D327E" w:rsidRDefault="006D327E">
      <w:pPr>
        <w:widowControl/>
        <w:rPr>
          <w:szCs w:val="24"/>
          <w:lang w:eastAsia="en-US"/>
        </w:rPr>
      </w:pPr>
      <w:r>
        <w:rPr>
          <w:szCs w:val="24"/>
          <w:lang w:eastAsia="en-US"/>
        </w:rPr>
        <w:br w:type="page"/>
      </w:r>
    </w:p>
    <w:p w14:paraId="1A9011C5" w14:textId="37649D6E"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11.</w:t>
      </w:r>
      <w:r w:rsidRPr="008913ED">
        <w:rPr>
          <w:szCs w:val="24"/>
          <w:lang w:eastAsia="en-US"/>
        </w:rPr>
        <w:tab/>
        <w:t xml:space="preserve">Kommissionen </w:t>
      </w:r>
      <w:r w:rsidRPr="008913ED">
        <w:rPr>
          <w:strike/>
          <w:szCs w:val="24"/>
          <w:lang w:eastAsia="en-US"/>
        </w:rPr>
        <w:t>kan</w:t>
      </w:r>
      <w:r w:rsidRPr="008913ED">
        <w:rPr>
          <w:b/>
          <w:i/>
          <w:szCs w:val="24"/>
          <w:lang w:eastAsia="en-US"/>
        </w:rPr>
        <w:t>vedtager senest den ... [24 måneder fra denne forordnings ikrafttræden]</w:t>
      </w:r>
      <w:r w:rsidRPr="008913ED">
        <w:rPr>
          <w:szCs w:val="24"/>
          <w:lang w:eastAsia="en-US"/>
        </w:rPr>
        <w:t xml:space="preserve"> på grundlag af erfaringerne fra tilsynsorganerne, de kompetente myndigheder og jernbanevirksomhederne og på grundlag af arbejdet i ENRRB </w:t>
      </w:r>
      <w:r w:rsidRPr="008913ED">
        <w:rPr>
          <w:strike/>
          <w:szCs w:val="24"/>
          <w:lang w:eastAsia="en-US"/>
        </w:rPr>
        <w:t xml:space="preserve">vedtage </w:t>
      </w:r>
      <w:r w:rsidRPr="008913ED">
        <w:rPr>
          <w:szCs w:val="24"/>
          <w:lang w:eastAsia="en-US"/>
        </w:rPr>
        <w:t>en gennemførelsesretsakt</w:t>
      </w:r>
      <w:r w:rsidRPr="008913ED">
        <w:rPr>
          <w:b/>
          <w:i/>
          <w:szCs w:val="24"/>
          <w:lang w:eastAsia="en-US"/>
        </w:rPr>
        <w:t>, der fastsætter de</w:t>
      </w:r>
      <w:r w:rsidRPr="008913ED">
        <w:rPr>
          <w:strike/>
          <w:szCs w:val="24"/>
          <w:lang w:eastAsia="en-US"/>
        </w:rPr>
        <w:t xml:space="preserve"> med</w:t>
      </w:r>
      <w:r w:rsidRPr="008913ED">
        <w:rPr>
          <w:szCs w:val="24"/>
          <w:lang w:eastAsia="en-US"/>
        </w:rPr>
        <w:t xml:space="preserve"> nærmere procedureregler og kriterier for en ensartet anvendelse af nærværende</w:t>
      </w:r>
      <w:r w:rsidRPr="008913ED">
        <w:rPr>
          <w:b/>
          <w:i/>
          <w:szCs w:val="24"/>
          <w:lang w:eastAsia="en-US"/>
        </w:rPr>
        <w:t xml:space="preserve"> artikel og artikel 33, og ændrer denne</w:t>
      </w:r>
      <w:r w:rsidRPr="008913ED">
        <w:rPr>
          <w:szCs w:val="24"/>
          <w:lang w:eastAsia="en-US"/>
        </w:rPr>
        <w:t xml:space="preserve"> artikel og artikel 33. Disse gennemførelsesretsakter vedtages efter undersøgelsesproceduren i artikel 72, stk. 3.</w:t>
      </w:r>
      <w:r w:rsidRPr="008913ED">
        <w:rPr>
          <w:b/>
          <w:szCs w:val="24"/>
          <w:lang w:eastAsia="en-US"/>
        </w:rPr>
        <w:t xml:space="preserve"> [Ændring 142]</w:t>
      </w:r>
    </w:p>
    <w:p w14:paraId="24066FA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32</w:t>
      </w:r>
      <w:r w:rsidRPr="008913ED">
        <w:rPr>
          <w:szCs w:val="24"/>
          <w:lang w:eastAsia="en-US"/>
        </w:rPr>
        <w:br/>
        <w:t>Kapacitetstildeling gennem den årlige tildelingsproces</w:t>
      </w:r>
    </w:p>
    <w:p w14:paraId="25F5751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udarbejder den første driftsversion af køreplanen for en bestemt køreplansperiode på grundlag af følgende:</w:t>
      </w:r>
    </w:p>
    <w:p w14:paraId="549ABC84"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ansøgninger om kapacitetsrettigheder modtaget i forbindelse med den årlige tildelingsproces</w:t>
      </w:r>
    </w:p>
    <w:p w14:paraId="4F3EEBC5"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kapacitetsrettigheder vedrørende den pågældende køreplansperiode tildelt gennem rammeaftaler i overensstemmelse med artikel 31</w:t>
      </w:r>
    </w:p>
    <w:p w14:paraId="3BE7B9E9"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kapacitetsrettigheder vedrørende den pågældende køreplansperiode tildelt gennem den rullende planlægningsproces i overensstemmelse med artikel 33.</w:t>
      </w:r>
    </w:p>
    <w:p w14:paraId="0778BB44" w14:textId="77777777" w:rsidR="006D327E" w:rsidRDefault="006D327E">
      <w:pPr>
        <w:widowControl/>
        <w:rPr>
          <w:szCs w:val="24"/>
          <w:lang w:eastAsia="en-US"/>
        </w:rPr>
      </w:pPr>
      <w:r>
        <w:rPr>
          <w:szCs w:val="24"/>
          <w:lang w:eastAsia="en-US"/>
        </w:rPr>
        <w:br w:type="page"/>
      </w:r>
    </w:p>
    <w:p w14:paraId="43D3F536" w14:textId="36DE413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Infrastrukturforvalteren tildeler kapacitet gennem samtidig kapacitetstildeling for i videst muligt omfang at imødekomme alle ansøgninger om infrastrukturkapacitet som omhandlet i stk. 1, jf. dog stk. 5 og 6. Infrastrukturforvalteren tager i videst muligt omfang hensyn til alle forhold af betydning for ansøgerne, herunder de økonomiske konsekvenser for deres virksomhed.</w:t>
      </w:r>
    </w:p>
    <w:p w14:paraId="35730317"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I tilfælde af uoverensstemmelse mellem to eller flere kapacitetsansøgninger</w:t>
      </w:r>
      <w:r w:rsidRPr="008913ED">
        <w:rPr>
          <w:b/>
          <w:i/>
          <w:szCs w:val="24"/>
          <w:lang w:eastAsia="en-US"/>
        </w:rPr>
        <w:t xml:space="preserve"> eller i tilfælde af kapacitetsansøgninger, der ikke er i overensstemmelse med kapacitetsforsyningsplanen,</w:t>
      </w:r>
      <w:r w:rsidRPr="008913ED">
        <w:rPr>
          <w:szCs w:val="24"/>
          <w:lang w:eastAsia="en-US"/>
        </w:rPr>
        <w:t xml:space="preserve"> tilstræber infrastrukturforvalterne først at løse konflikten gennem den konsensusbaserede </w:t>
      </w:r>
      <w:r w:rsidRPr="008913ED">
        <w:rPr>
          <w:strike/>
          <w:szCs w:val="24"/>
          <w:lang w:eastAsia="en-US"/>
        </w:rPr>
        <w:t>høringsmekanisme</w:t>
      </w:r>
      <w:r w:rsidRPr="008913ED">
        <w:rPr>
          <w:b/>
          <w:i/>
          <w:szCs w:val="24"/>
          <w:lang w:eastAsia="en-US"/>
        </w:rPr>
        <w:t>konfliktløsningsmekanisme</w:t>
      </w:r>
      <w:r w:rsidRPr="008913ED">
        <w:rPr>
          <w:szCs w:val="24"/>
          <w:lang w:eastAsia="en-US"/>
        </w:rPr>
        <w:t>, der er omhandlet i artikel 36.</w:t>
      </w:r>
      <w:r w:rsidRPr="008913ED">
        <w:rPr>
          <w:b/>
          <w:szCs w:val="24"/>
          <w:lang w:eastAsia="en-US"/>
        </w:rPr>
        <w:t xml:space="preserve"> [Ændring 143]</w:t>
      </w:r>
    </w:p>
    <w:p w14:paraId="184A677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Hvis den konsensusbaserede tvistbilæggelsesmekanisme, der er omhandlet i stk. 3, ikke har løst kapacitetskonflikten, anvender infrastrukturforvalterne den formelle konfliktløsningsmekanisme, der er omhandlet i artikel 37.</w:t>
      </w:r>
    </w:p>
    <w:p w14:paraId="5F6F225A" w14:textId="77777777" w:rsidR="006D327E" w:rsidRDefault="006D327E">
      <w:pPr>
        <w:widowControl/>
        <w:rPr>
          <w:szCs w:val="24"/>
          <w:lang w:eastAsia="en-US"/>
        </w:rPr>
      </w:pPr>
      <w:r>
        <w:rPr>
          <w:szCs w:val="24"/>
          <w:lang w:eastAsia="en-US"/>
        </w:rPr>
        <w:br w:type="page"/>
      </w:r>
    </w:p>
    <w:p w14:paraId="79701F76" w14:textId="3DB4E2D7"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5.</w:t>
      </w:r>
      <w:r w:rsidRPr="008913ED">
        <w:rPr>
          <w:szCs w:val="24"/>
          <w:lang w:eastAsia="en-US"/>
        </w:rPr>
        <w:tab/>
        <w:t>I overensstemmelse med artikel 18 og artikel 20 prioriterer infrastrukturforvalteren ansøgninger, der er i overensstemmelse med den på forhånd planlagte kapacitet som defineret i kapacitetsforsyningsplanen</w:t>
      </w:r>
      <w:r w:rsidRPr="008913ED">
        <w:rPr>
          <w:strike/>
          <w:szCs w:val="24"/>
          <w:lang w:eastAsia="en-US"/>
        </w:rPr>
        <w:t>. Som følge heraf kan infrastrukturforvalteren enten imødekomme eller give afslag på ansøgninger, der ikke er i overensstemmelse med kapacitetsforsyningsplanen</w:t>
      </w:r>
      <w:r w:rsidRPr="008913ED">
        <w:rPr>
          <w:b/>
          <w:i/>
          <w:szCs w:val="24"/>
          <w:lang w:eastAsia="en-US"/>
        </w:rPr>
        <w:t>, forudsat at de operationelle interessenter er blevet behørigt hørt, og at der i videst muligt omfang er blevet taget hensyn til deres meddelelser om kapacitet</w:t>
      </w:r>
      <w:r w:rsidRPr="008913ED">
        <w:rPr>
          <w:szCs w:val="24"/>
          <w:lang w:eastAsia="en-US"/>
        </w:rPr>
        <w:t>.</w:t>
      </w:r>
      <w:r w:rsidRPr="008913ED">
        <w:rPr>
          <w:b/>
          <w:szCs w:val="24"/>
          <w:lang w:eastAsia="en-US"/>
        </w:rPr>
        <w:t xml:space="preserve"> [Ændring 144]</w:t>
      </w:r>
    </w:p>
    <w:p w14:paraId="5D73ECE6" w14:textId="77777777" w:rsidR="008913ED" w:rsidRPr="008913ED" w:rsidRDefault="008913ED" w:rsidP="008913ED">
      <w:pPr>
        <w:spacing w:before="120" w:after="120" w:line="360" w:lineRule="auto"/>
        <w:ind w:left="850"/>
        <w:rPr>
          <w:b/>
          <w:szCs w:val="24"/>
          <w:lang w:eastAsia="en-US"/>
        </w:rPr>
      </w:pPr>
      <w:r w:rsidRPr="008913ED">
        <w:rPr>
          <w:szCs w:val="24"/>
          <w:lang w:eastAsia="en-US"/>
        </w:rPr>
        <w:t>Ved imødekommelse af ansøgninger, der ikke er i overensstemmelse med kapacitetsforsyningsplanen, tilstræber infrastrukturforvalteren at opretholde den overordnede balance mellem de elementer i kapacitetsforsyningsplanen, der er anført i artikel 18, stk. 6</w:t>
      </w:r>
      <w:r w:rsidRPr="008913ED">
        <w:rPr>
          <w:b/>
          <w:i/>
          <w:szCs w:val="24"/>
          <w:lang w:eastAsia="en-US"/>
        </w:rPr>
        <w:t>, og i selve ansøgningen</w:t>
      </w:r>
      <w:r w:rsidRPr="008913ED">
        <w:rPr>
          <w:szCs w:val="24"/>
          <w:lang w:eastAsia="en-US"/>
        </w:rPr>
        <w:t>.</w:t>
      </w:r>
      <w:r w:rsidRPr="008913ED">
        <w:rPr>
          <w:b/>
          <w:i/>
          <w:szCs w:val="24"/>
          <w:lang w:eastAsia="en-US"/>
        </w:rPr>
        <w:t xml:space="preserve"> Disse ansøgninger skal tages i betragtning, hvis der er tilstrækkelig fri kapacitet til rådighed uden at skulle begrænse behovene i efterfølgende ansøgninger.</w:t>
      </w:r>
      <w:r w:rsidRPr="008913ED">
        <w:rPr>
          <w:b/>
          <w:szCs w:val="24"/>
          <w:lang w:eastAsia="en-US"/>
        </w:rPr>
        <w:t xml:space="preserve"> [Ændring 145]</w:t>
      </w:r>
    </w:p>
    <w:p w14:paraId="43541749"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Ved </w:t>
      </w:r>
      <w:r w:rsidRPr="008913ED">
        <w:rPr>
          <w:strike/>
          <w:szCs w:val="24"/>
          <w:lang w:eastAsia="en-US"/>
        </w:rPr>
        <w:t>afslag på</w:t>
      </w:r>
      <w:r w:rsidRPr="008913ED">
        <w:rPr>
          <w:b/>
          <w:i/>
          <w:szCs w:val="24"/>
          <w:lang w:eastAsia="en-US"/>
        </w:rPr>
        <w:t>behandling af</w:t>
      </w:r>
      <w:r w:rsidRPr="008913ED">
        <w:rPr>
          <w:szCs w:val="24"/>
          <w:lang w:eastAsia="en-US"/>
        </w:rPr>
        <w:t xml:space="preserve"> ansøgninger, der ikke er i overensstemmelse med kapacitetsforsyningsplanen</w:t>
      </w:r>
      <w:r w:rsidRPr="008913ED">
        <w:rPr>
          <w:b/>
          <w:i/>
          <w:szCs w:val="24"/>
          <w:lang w:eastAsia="en-US"/>
        </w:rPr>
        <w:t>, bør infrastrukturforvalteren tilbyde et alternativ efter forudgående høring af de berørte ansøgere, hvis det tidsmæssigt er muligt. Hvis der ikke er noget muligt alternativ, når der gives afslag på en ansøgning</w:t>
      </w:r>
      <w:r w:rsidRPr="008913ED">
        <w:rPr>
          <w:szCs w:val="24"/>
          <w:lang w:eastAsia="en-US"/>
        </w:rPr>
        <w:t>, underretter infrastrukturforvalteren straks den pågældende ansøger om afslaget på ansøgningen. Ansøgeren har ret til at indgive en klage til tilsynsorganet.</w:t>
      </w:r>
      <w:r w:rsidRPr="008913ED">
        <w:rPr>
          <w:b/>
          <w:szCs w:val="24"/>
          <w:lang w:eastAsia="en-US"/>
        </w:rPr>
        <w:t xml:space="preserve"> [Ændring 146]</w:t>
      </w:r>
    </w:p>
    <w:p w14:paraId="37E8C5E1" w14:textId="77777777" w:rsidR="006D327E" w:rsidRDefault="006D327E">
      <w:pPr>
        <w:widowControl/>
        <w:rPr>
          <w:szCs w:val="24"/>
          <w:lang w:eastAsia="en-US"/>
        </w:rPr>
      </w:pPr>
      <w:r>
        <w:rPr>
          <w:szCs w:val="24"/>
          <w:lang w:eastAsia="en-US"/>
        </w:rPr>
        <w:br w:type="page"/>
      </w:r>
    </w:p>
    <w:p w14:paraId="0C0E1C4C" w14:textId="4585C524"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6.</w:t>
      </w:r>
      <w:r w:rsidRPr="008913ED">
        <w:rPr>
          <w:szCs w:val="24"/>
          <w:lang w:eastAsia="en-US"/>
        </w:rPr>
        <w:tab/>
        <w:t>Kapacitetsrettigheder, der tildeles gennem den årlige tildelingsproces, kan omfatte:</w:t>
      </w:r>
    </w:p>
    <w:p w14:paraId="14603BBF"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kanaler</w:t>
      </w:r>
    </w:p>
    <w:p w14:paraId="4AE0C15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kapacitetsspecifikationer.</w:t>
      </w:r>
    </w:p>
    <w:p w14:paraId="2B65EDDD"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konverterer kapacitetsrettigheder tildelt i form af kapacitetsspecifikationer til kanaler i overensstemmelse med afsnit 4 i bilag I.</w:t>
      </w:r>
    </w:p>
    <w:p w14:paraId="0063072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7.</w:t>
      </w:r>
      <w:r w:rsidRPr="008913ED">
        <w:rPr>
          <w:szCs w:val="24"/>
          <w:lang w:eastAsia="en-US"/>
        </w:rPr>
        <w:tab/>
        <w:t>Infrastrukturforvalteren skal overholde den i afsnit 4 i bilag I fastsatte plan for tildelingsprocessen.</w:t>
      </w:r>
    </w:p>
    <w:p w14:paraId="72167B7F" w14:textId="6FD84374" w:rsidR="008913ED" w:rsidRPr="009E7DC1" w:rsidRDefault="008913ED" w:rsidP="008913ED">
      <w:pPr>
        <w:spacing w:before="120" w:after="120" w:line="360" w:lineRule="auto"/>
        <w:ind w:left="850" w:hanging="850"/>
        <w:rPr>
          <w:b/>
          <w:szCs w:val="24"/>
          <w:lang w:eastAsia="en-US"/>
        </w:rPr>
      </w:pPr>
      <w:r w:rsidRPr="008913ED">
        <w:rPr>
          <w:szCs w:val="24"/>
          <w:lang w:eastAsia="en-US"/>
        </w:rPr>
        <w:t>8.</w:t>
      </w:r>
      <w:r w:rsidRPr="008913ED">
        <w:rPr>
          <w:szCs w:val="24"/>
          <w:lang w:eastAsia="en-US"/>
        </w:rPr>
        <w:tab/>
        <w:t>Infrastrukturforvalteren behandler ansøgninger, der er indgivet efter den indledende frist og før den endelige frist fastsat i bilag I, afsnit 4. I sådanne tilfælde tildeler infrastrukturforvalterne kapacitetsrettigheder i overensstemmelse med bilag I, afsnit 4, punkt 2.</w:t>
      </w:r>
      <w:r w:rsidR="009E7DC1">
        <w:rPr>
          <w:b/>
          <w:i/>
          <w:szCs w:val="24"/>
          <w:lang w:eastAsia="en-US"/>
        </w:rPr>
        <w:t xml:space="preserve"> </w:t>
      </w:r>
      <w:r w:rsidRPr="009E7DC1">
        <w:rPr>
          <w:b/>
          <w:szCs w:val="24"/>
          <w:lang w:eastAsia="en-US"/>
        </w:rPr>
        <w:t>[Ændring 147</w:t>
      </w:r>
      <w:r w:rsidR="009E7DC1" w:rsidRPr="009E7DC1">
        <w:rPr>
          <w:b/>
          <w:szCs w:val="24"/>
          <w:lang w:eastAsia="en-US"/>
        </w:rPr>
        <w:t xml:space="preserve"> - </w:t>
      </w:r>
      <w:r w:rsidR="009E7DC1" w:rsidRPr="009E7DC1">
        <w:rPr>
          <w:b/>
          <w:i/>
          <w:szCs w:val="24"/>
          <w:lang w:eastAsia="en-US"/>
        </w:rPr>
        <w:t>Vedrører ikke den danske tekst</w:t>
      </w:r>
      <w:r w:rsidRPr="009E7DC1">
        <w:rPr>
          <w:b/>
          <w:szCs w:val="24"/>
          <w:lang w:eastAsia="en-US"/>
        </w:rPr>
        <w:t>]</w:t>
      </w:r>
    </w:p>
    <w:p w14:paraId="638C9B8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9.</w:t>
      </w:r>
      <w:r w:rsidRPr="008913ED">
        <w:rPr>
          <w:szCs w:val="24"/>
          <w:lang w:eastAsia="en-US"/>
        </w:rPr>
        <w:tab/>
        <w:t>For ansøgninger om kapacitet i køreplanen, der modtages efter den oprindelige frist, og som ikke kan imødekommes, hverken med den resterende reservekapacitet i køreplanen eller med den disponible ikkeplanlagte kapacitet, forsøger infrastrukturforvalteren at tilbyde alternativer via en anden rute.</w:t>
      </w:r>
    </w:p>
    <w:p w14:paraId="1B99DE0A" w14:textId="77777777" w:rsidR="006D327E" w:rsidRDefault="006D327E">
      <w:pPr>
        <w:widowControl/>
        <w:rPr>
          <w:szCs w:val="24"/>
          <w:lang w:eastAsia="en-US"/>
        </w:rPr>
      </w:pPr>
      <w:r>
        <w:rPr>
          <w:szCs w:val="24"/>
          <w:lang w:eastAsia="en-US"/>
        </w:rPr>
        <w:br w:type="page"/>
      </w:r>
    </w:p>
    <w:p w14:paraId="2437F4A5" w14:textId="77FC0D5F"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10.</w:t>
      </w:r>
      <w:r w:rsidRPr="008913ED">
        <w:rPr>
          <w:szCs w:val="24"/>
          <w:lang w:eastAsia="en-US"/>
        </w:rPr>
        <w:tab/>
        <w:t>Infrastrukturforvalteren hører alle berørte parter om udkastet til køreplan. Berørte parter omfatter alle, som har ansøgt om infrastrukturkapacitet, samt andre parter, som har bemærkninger til, hvordan køreplanen kan indvirke på deres mulighed for at levere jernbanetransportydelser i køreplansperioden.</w:t>
      </w:r>
    </w:p>
    <w:p w14:paraId="11B12CE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11.</w:t>
      </w:r>
      <w:r w:rsidRPr="008913ED">
        <w:rPr>
          <w:szCs w:val="24"/>
          <w:lang w:eastAsia="en-US"/>
        </w:rPr>
        <w:tab/>
        <w:t>Infrastrukturforvalteren træffer de nødvendige foranstaltninger til at forsøge at løse påpegede problemer.</w:t>
      </w:r>
    </w:p>
    <w:p w14:paraId="5514F814"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33</w:t>
      </w:r>
      <w:r w:rsidRPr="008913ED">
        <w:rPr>
          <w:szCs w:val="24"/>
          <w:lang w:eastAsia="en-US"/>
        </w:rPr>
        <w:br/>
        <w:t>Kapacitetstildeling gennem den rullende planlægningsproces</w:t>
      </w:r>
    </w:p>
    <w:p w14:paraId="207E06C3" w14:textId="16CF66F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Infrastrukturforvalterne tildeler kapacitet gennem den rullende planlægningsproces i overensstemmelse med tidsfristerne i afsnit 6 i bilag I. Infrastrukturforvalterne reserverer kapacitet til dette formål i den kapacitetsforsyningsplan, der er omhandlet i artikel 18.</w:t>
      </w:r>
      <w:r w:rsidRPr="008913ED">
        <w:rPr>
          <w:b/>
          <w:i/>
          <w:szCs w:val="24"/>
          <w:lang w:eastAsia="en-US"/>
        </w:rPr>
        <w:t xml:space="preserve"> </w:t>
      </w:r>
      <w:r w:rsidR="004358D1" w:rsidRPr="009E7DC1">
        <w:rPr>
          <w:b/>
          <w:szCs w:val="24"/>
          <w:lang w:eastAsia="en-US"/>
        </w:rPr>
        <w:t>[Ændring 14</w:t>
      </w:r>
      <w:r w:rsidR="004358D1">
        <w:rPr>
          <w:b/>
          <w:szCs w:val="24"/>
          <w:lang w:eastAsia="en-US"/>
        </w:rPr>
        <w:t>8</w:t>
      </w:r>
      <w:r w:rsidR="004358D1" w:rsidRPr="009E7DC1">
        <w:rPr>
          <w:b/>
          <w:szCs w:val="24"/>
          <w:lang w:eastAsia="en-US"/>
        </w:rPr>
        <w:t xml:space="preserve"> - </w:t>
      </w:r>
      <w:r w:rsidR="004358D1" w:rsidRPr="009E7DC1">
        <w:rPr>
          <w:b/>
          <w:i/>
          <w:szCs w:val="24"/>
          <w:lang w:eastAsia="en-US"/>
        </w:rPr>
        <w:t>Vedrører ikke den danske tekst</w:t>
      </w:r>
      <w:r w:rsidR="004358D1" w:rsidRPr="009E7DC1">
        <w:rPr>
          <w:b/>
          <w:szCs w:val="24"/>
          <w:lang w:eastAsia="en-US"/>
        </w:rPr>
        <w:t>]</w:t>
      </w:r>
    </w:p>
    <w:p w14:paraId="1DD6251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Kapacitetsrettigheder, der tildeles gennem den rullende planlægningsproces, kan omfatte:</w:t>
      </w:r>
    </w:p>
    <w:p w14:paraId="2A45C3BC" w14:textId="77777777" w:rsidR="003203BD" w:rsidRPr="008913ED" w:rsidRDefault="003203BD" w:rsidP="003203BD">
      <w:pPr>
        <w:spacing w:before="120" w:after="120" w:line="360" w:lineRule="auto"/>
        <w:ind w:left="1416" w:hanging="566"/>
        <w:rPr>
          <w:szCs w:val="24"/>
          <w:lang w:eastAsia="en-US"/>
        </w:rPr>
      </w:pPr>
      <w:r w:rsidRPr="008913ED">
        <w:rPr>
          <w:szCs w:val="24"/>
          <w:lang w:eastAsia="en-US"/>
        </w:rPr>
        <w:t>a)</w:t>
      </w:r>
      <w:r w:rsidRPr="008913ED">
        <w:rPr>
          <w:szCs w:val="24"/>
          <w:lang w:eastAsia="en-US"/>
        </w:rPr>
        <w:tab/>
        <w:t>specifikationer for kanaler eller kapacitet for alle køredage i køreplansperioden, der omfatter den første køredag medtaget i ansøgningen</w:t>
      </w:r>
    </w:p>
    <w:p w14:paraId="73BFBEFA" w14:textId="77777777" w:rsidR="006D327E" w:rsidRDefault="006D327E">
      <w:pPr>
        <w:widowControl/>
        <w:rPr>
          <w:szCs w:val="24"/>
          <w:lang w:eastAsia="en-US"/>
        </w:rPr>
      </w:pPr>
      <w:r>
        <w:rPr>
          <w:szCs w:val="24"/>
          <w:lang w:eastAsia="en-US"/>
        </w:rPr>
        <w:br w:type="page"/>
      </w:r>
    </w:p>
    <w:p w14:paraId="136793BB" w14:textId="24A00BF0" w:rsidR="008913ED" w:rsidRPr="008913ED" w:rsidRDefault="008913ED" w:rsidP="008913ED">
      <w:pPr>
        <w:spacing w:before="120" w:after="120" w:line="360" w:lineRule="auto"/>
        <w:ind w:left="1416" w:hanging="566"/>
        <w:rPr>
          <w:b/>
          <w:szCs w:val="24"/>
          <w:lang w:eastAsia="en-US"/>
        </w:rPr>
      </w:pPr>
      <w:r w:rsidRPr="008913ED">
        <w:rPr>
          <w:szCs w:val="24"/>
          <w:lang w:eastAsia="en-US"/>
        </w:rPr>
        <w:lastRenderedPageBreak/>
        <w:t>b)</w:t>
      </w:r>
      <w:r w:rsidRPr="008913ED">
        <w:rPr>
          <w:szCs w:val="24"/>
          <w:lang w:eastAsia="en-US"/>
        </w:rPr>
        <w:tab/>
        <w:t>kapacitetsspecifikationer for alle køredage ud over køreplansperioden, der omfatter den første dag medtaget i ansøgningen for den maksimumsperiode, der er angivet i afsnit 6 i bilag I.</w:t>
      </w:r>
      <w:r w:rsidRPr="008913ED">
        <w:rPr>
          <w:b/>
          <w:i/>
          <w:szCs w:val="24"/>
          <w:lang w:eastAsia="en-US"/>
        </w:rPr>
        <w:t xml:space="preserve"> </w:t>
      </w:r>
      <w:r w:rsidR="004358D1">
        <w:rPr>
          <w:b/>
          <w:szCs w:val="24"/>
          <w:lang w:eastAsia="en-US"/>
        </w:rPr>
        <w:t>[Ændring 149</w:t>
      </w:r>
      <w:r w:rsidR="004358D1" w:rsidRPr="009E7DC1">
        <w:rPr>
          <w:b/>
          <w:szCs w:val="24"/>
          <w:lang w:eastAsia="en-US"/>
        </w:rPr>
        <w:t xml:space="preserve"> - </w:t>
      </w:r>
      <w:r w:rsidR="004358D1" w:rsidRPr="009E7DC1">
        <w:rPr>
          <w:b/>
          <w:i/>
          <w:szCs w:val="24"/>
          <w:lang w:eastAsia="en-US"/>
        </w:rPr>
        <w:t>Vedrører ikke den danske tekst</w:t>
      </w:r>
      <w:r w:rsidR="004358D1" w:rsidRPr="009E7DC1">
        <w:rPr>
          <w:b/>
          <w:szCs w:val="24"/>
          <w:lang w:eastAsia="en-US"/>
        </w:rPr>
        <w:t>]</w:t>
      </w:r>
    </w:p>
    <w:p w14:paraId="079B2462"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konverterer kapacitetsrettigheder tildelt i form af kapacitetsspecifikationer til kanaler i overensstemmelse med afsnit 6 i bilag I.</w:t>
      </w:r>
    </w:p>
    <w:p w14:paraId="65CF86F6"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 xml:space="preserve">Med forbehold af artikel 18 tildeler infrastrukturforvalterne kapacitet, der er reserveret til tildeling gennem den rullende planlægningsproces, på grundlag af tildelingsprincippet i bilag I, afsnit </w:t>
      </w:r>
      <w:r w:rsidRPr="008913ED">
        <w:rPr>
          <w:strike/>
          <w:szCs w:val="24"/>
          <w:lang w:eastAsia="en-US"/>
        </w:rPr>
        <w:t>5</w:t>
      </w:r>
      <w:r w:rsidRPr="008913ED">
        <w:rPr>
          <w:b/>
          <w:i/>
          <w:szCs w:val="24"/>
          <w:lang w:eastAsia="en-US"/>
        </w:rPr>
        <w:t>6</w:t>
      </w:r>
      <w:r w:rsidRPr="008913ED">
        <w:rPr>
          <w:szCs w:val="24"/>
          <w:lang w:eastAsia="en-US"/>
        </w:rPr>
        <w:t>, punkt 2.</w:t>
      </w:r>
      <w:r w:rsidRPr="008913ED">
        <w:rPr>
          <w:b/>
          <w:szCs w:val="24"/>
          <w:lang w:eastAsia="en-US"/>
        </w:rPr>
        <w:t xml:space="preserve"> [Ændring 150]</w:t>
      </w:r>
    </w:p>
    <w:p w14:paraId="65797085"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t xml:space="preserve">I overensstemmelse med reglerne og procedurerne i artikel 20 </w:t>
      </w:r>
      <w:r w:rsidRPr="008913ED">
        <w:rPr>
          <w:strike/>
          <w:szCs w:val="24"/>
          <w:lang w:eastAsia="en-US"/>
        </w:rPr>
        <w:t>kan</w:t>
      </w:r>
      <w:r w:rsidRPr="008913ED">
        <w:rPr>
          <w:b/>
          <w:i/>
          <w:szCs w:val="24"/>
          <w:lang w:eastAsia="en-US"/>
        </w:rPr>
        <w:t>skal</w:t>
      </w:r>
      <w:r w:rsidRPr="008913ED">
        <w:rPr>
          <w:szCs w:val="24"/>
          <w:lang w:eastAsia="en-US"/>
        </w:rPr>
        <w:t xml:space="preserve"> infrastrukturforvaltere </w:t>
      </w:r>
      <w:r w:rsidRPr="008913ED">
        <w:rPr>
          <w:strike/>
          <w:szCs w:val="24"/>
          <w:lang w:eastAsia="en-US"/>
        </w:rPr>
        <w:t>afslå at tildele</w:t>
      </w:r>
      <w:r w:rsidRPr="008913ED">
        <w:rPr>
          <w:b/>
          <w:i/>
          <w:szCs w:val="24"/>
          <w:lang w:eastAsia="en-US"/>
        </w:rPr>
        <w:t>forsøge at gøre deres yderste for at tilbyde alternativ</w:t>
      </w:r>
      <w:r w:rsidRPr="008913ED">
        <w:rPr>
          <w:szCs w:val="24"/>
          <w:lang w:eastAsia="en-US"/>
        </w:rPr>
        <w:t xml:space="preserve"> kapacitet i forbindelse med ansøgninger om rullende planlægning, hvis ansøgningerne ikke er i overensstemmelse med den kapacitetsforsyningsplan, der er vedtaget i overensstemmelse med artikel 18. </w:t>
      </w:r>
      <w:r w:rsidRPr="008913ED">
        <w:rPr>
          <w:b/>
          <w:i/>
          <w:szCs w:val="24"/>
          <w:lang w:eastAsia="en-US"/>
        </w:rPr>
        <w:t>Hvis det ikke er muligt at tilbyde et alternativ, kan infrastrukturforvalteren afslå at tildele kapacitet i forbindelse med sådanne ansøgninger med manglende overensstemmelse</w:t>
      </w:r>
      <w:r w:rsidRPr="008913ED">
        <w:rPr>
          <w:strike/>
          <w:szCs w:val="24"/>
          <w:lang w:eastAsia="en-US"/>
        </w:rPr>
        <w:t>Et afslag meddeles straks ansøgeren</w:t>
      </w:r>
      <w:r w:rsidRPr="008913ED">
        <w:rPr>
          <w:szCs w:val="24"/>
          <w:lang w:eastAsia="en-US"/>
        </w:rPr>
        <w:t>. Ansøgeren har ret til at indgive en klage til tilsynsorganet.</w:t>
      </w:r>
      <w:r w:rsidRPr="008913ED">
        <w:rPr>
          <w:b/>
          <w:szCs w:val="24"/>
          <w:lang w:eastAsia="en-US"/>
        </w:rPr>
        <w:t xml:space="preserve"> [Ændring 151]</w:t>
      </w:r>
    </w:p>
    <w:p w14:paraId="2A0AC185" w14:textId="77777777" w:rsidR="006D327E" w:rsidRDefault="006D327E">
      <w:pPr>
        <w:widowControl/>
        <w:rPr>
          <w:strike/>
          <w:szCs w:val="24"/>
          <w:lang w:eastAsia="en-US"/>
        </w:rPr>
      </w:pPr>
      <w:r>
        <w:rPr>
          <w:strike/>
          <w:szCs w:val="24"/>
          <w:lang w:eastAsia="en-US"/>
        </w:rPr>
        <w:br w:type="page"/>
      </w:r>
    </w:p>
    <w:p w14:paraId="7EDE8065" w14:textId="1E0E6A25" w:rsidR="008913ED" w:rsidRPr="008913ED" w:rsidRDefault="008913ED" w:rsidP="008913ED">
      <w:pPr>
        <w:spacing w:before="120" w:after="120" w:line="360" w:lineRule="auto"/>
        <w:ind w:left="850" w:hanging="850"/>
        <w:rPr>
          <w:b/>
          <w:szCs w:val="24"/>
          <w:lang w:eastAsia="en-US"/>
        </w:rPr>
      </w:pPr>
      <w:r w:rsidRPr="008913ED">
        <w:rPr>
          <w:strike/>
          <w:szCs w:val="24"/>
          <w:lang w:eastAsia="en-US"/>
        </w:rPr>
        <w:lastRenderedPageBreak/>
        <w:t>5.</w:t>
      </w:r>
      <w:r w:rsidRPr="008913ED">
        <w:rPr>
          <w:szCs w:val="24"/>
          <w:lang w:eastAsia="en-US"/>
        </w:rPr>
        <w:tab/>
      </w:r>
      <w:r w:rsidRPr="008913ED">
        <w:rPr>
          <w:strike/>
          <w:szCs w:val="24"/>
          <w:lang w:eastAsia="en-US"/>
        </w:rPr>
        <w:t>Infrastrukturforvalterne underretter tilsynsorganet om alle modtagne kapacitetsansøgninger, der ikke opfyldte parametrene for den disponible kapacitet som defineret i kapacitetsforsyningsplanen, uanset om de blev imødekommet eller afslået. På grundlag af disse oplysninger afgiver tilsynsorganet mindst hvert andet år en udtalelse, hvori organet kan anbefale infrastrukturforvalteren at ændre kapacitetsmodellen.</w:t>
      </w:r>
      <w:r w:rsidRPr="008913ED">
        <w:rPr>
          <w:b/>
          <w:szCs w:val="24"/>
          <w:lang w:eastAsia="en-US"/>
        </w:rPr>
        <w:t xml:space="preserve"> [Ændring 152]</w:t>
      </w:r>
    </w:p>
    <w:p w14:paraId="38F099F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Infrastrukturforvalteren afslår efter underretning af tilsynsorganet eller efter en henstilling fra tilsynsorganet ansøgninger om rullende planlægning, hvis de er af gentagen karakter og opfylder de karakteristika ved kapacitet, der normalt tildeles gennem rammeaftaler i overensstemmelse med artikel 31. Tilsynsorganet underretter ENRRB om sådanne afgørelser og henstillinger og sikrer en sammenhængende anvendelse af dette stykke.</w:t>
      </w:r>
    </w:p>
    <w:p w14:paraId="413BD383" w14:textId="77777777" w:rsidR="006D327E" w:rsidRDefault="006D327E">
      <w:pPr>
        <w:widowControl/>
        <w:rPr>
          <w:szCs w:val="24"/>
          <w:lang w:eastAsia="en-US"/>
        </w:rPr>
      </w:pPr>
      <w:r>
        <w:rPr>
          <w:szCs w:val="24"/>
          <w:lang w:eastAsia="en-US"/>
        </w:rPr>
        <w:br w:type="page"/>
      </w:r>
    </w:p>
    <w:p w14:paraId="014FEC42" w14:textId="79AEC801"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34</w:t>
      </w:r>
      <w:r w:rsidRPr="008913ED">
        <w:rPr>
          <w:szCs w:val="24"/>
          <w:lang w:eastAsia="en-US"/>
        </w:rPr>
        <w:br/>
        <w:t>Kapacitetstildeling gennem ad hoc-processen</w:t>
      </w:r>
    </w:p>
    <w:p w14:paraId="72274AA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besvarer omgående og under alle omstændigheder inden for de frister, der er fastsat i afsnit 7 i bilag I, ad hoc-ansøgninger om infrastrukturkapacitet, der indgives på et hvilket som helst tidspunkt i køreplanens gyldighedsperiode. Oplysninger om disponibel overskydende kapacitet stilles til rådighed i overensstemmelse med artikel 9 for alle ansøgere, som måtte ønske at benytte denne kapacitet.</w:t>
      </w:r>
    </w:p>
    <w:p w14:paraId="686909F1" w14:textId="77777777" w:rsidR="008913ED" w:rsidRPr="008913ED" w:rsidRDefault="008913ED" w:rsidP="008913ED">
      <w:pPr>
        <w:spacing w:before="120" w:after="120" w:line="360" w:lineRule="auto"/>
        <w:ind w:left="850"/>
        <w:rPr>
          <w:szCs w:val="24"/>
          <w:lang w:eastAsia="en-US"/>
        </w:rPr>
      </w:pPr>
      <w:r w:rsidRPr="008913ED">
        <w:rPr>
          <w:szCs w:val="24"/>
          <w:lang w:eastAsia="en-US"/>
        </w:rPr>
        <w:t>Kapacitetsrettigheder, der tildeles gennem ad hoc-processen, tager form af kanaler.</w:t>
      </w:r>
    </w:p>
    <w:p w14:paraId="20AF5D5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Tildelingen af infrastrukturkapacitet på baggrund af ad hoc-ansøgninger baseres på "først til mølle"-princippet.</w:t>
      </w:r>
    </w:p>
    <w:p w14:paraId="029D611A"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35</w:t>
      </w:r>
      <w:r w:rsidRPr="008913ED">
        <w:rPr>
          <w:szCs w:val="24"/>
          <w:lang w:eastAsia="en-US"/>
        </w:rPr>
        <w:br/>
        <w:t>Planlægning af kapacitetsrestriktioner som følge af infrastrukturarbejder</w:t>
      </w:r>
    </w:p>
    <w:p w14:paraId="6AA2CB47"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planlægger hurtigst muligt kapacitetsrestriktioner som følge af infrastrukturarbejder, der ikke indgår i den i artikel 18 omhandlede kapacitetsforsyningsplan.</w:t>
      </w:r>
    </w:p>
    <w:p w14:paraId="16A3F661" w14:textId="77777777" w:rsidR="006D327E" w:rsidRDefault="006D327E">
      <w:pPr>
        <w:widowControl/>
        <w:rPr>
          <w:szCs w:val="24"/>
          <w:lang w:eastAsia="en-US"/>
        </w:rPr>
      </w:pPr>
      <w:r>
        <w:rPr>
          <w:szCs w:val="24"/>
          <w:lang w:eastAsia="en-US"/>
        </w:rPr>
        <w:br w:type="page"/>
      </w:r>
    </w:p>
    <w:p w14:paraId="025D62C7" w14:textId="2F2E19E3"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Ved planlægningen af infrastrukturarbejder begrænser infrastrukturforvalterne indvirkningen på den på forhånd planlagte kapacitet, der indgår i kapacitetsmodellen eller i kapacitetsforsyningsplanen, i det omfang det er muligt.</w:t>
      </w:r>
    </w:p>
    <w:p w14:paraId="53A319B3"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Hvis planlægningen af en kapacitetsrestriktion som følge af infrastrukturarbejder kræver en ændring af en tildelt kapacitetsrettighed som omhandlet i artikel 39, har den eller de pågældende ansøgere ret til den kompensation, der er omhandlet i artikel 40.</w:t>
      </w:r>
    </w:p>
    <w:p w14:paraId="331DC4B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Hvis planlægningen af en kapacitetsrestriktion som følge af infrastrukturarbejder kræver en ændring af en tildelt kapacitetsrettighed som omhandlet i artikel 39, gør infrastrukturforvalteren sit yderste for at tildele de berørte ansøgere alternativ kapacitet.</w:t>
      </w:r>
    </w:p>
    <w:p w14:paraId="18108569" w14:textId="77777777" w:rsidR="008913ED" w:rsidRPr="008913ED" w:rsidRDefault="008913ED" w:rsidP="008913ED">
      <w:pPr>
        <w:spacing w:before="120" w:after="120" w:line="360" w:lineRule="auto"/>
        <w:ind w:left="850"/>
        <w:rPr>
          <w:szCs w:val="24"/>
          <w:lang w:eastAsia="en-US"/>
        </w:rPr>
      </w:pPr>
      <w:r w:rsidRPr="008913ED">
        <w:rPr>
          <w:szCs w:val="24"/>
          <w:lang w:eastAsia="en-US"/>
        </w:rPr>
        <w:t>Med henblik herpå underretter infrastrukturforvalteren alle berørte ansøgere om den påtænkte ændring af de pågældende kapacitetsrettigheder. Infrastrukturforvalteren tilbyder de berørte ansøgere alternative kapacitetsrettigheder eller iværksætter en koordinering med de berørte ansøgere med henblik på at nå til enighed om alternative kapacitetsrettigheder.</w:t>
      </w:r>
    </w:p>
    <w:p w14:paraId="5DA820A2" w14:textId="77777777" w:rsidR="006D327E" w:rsidRDefault="006D327E">
      <w:pPr>
        <w:widowControl/>
        <w:rPr>
          <w:szCs w:val="24"/>
          <w:lang w:eastAsia="en-US"/>
        </w:rPr>
      </w:pPr>
      <w:r>
        <w:rPr>
          <w:szCs w:val="24"/>
          <w:lang w:eastAsia="en-US"/>
        </w:rPr>
        <w:br w:type="page"/>
      </w:r>
    </w:p>
    <w:p w14:paraId="4CDADA52" w14:textId="2B2FA3B5"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Ved planlægningen af infrastrukturarbejder i overensstemmelse med denne artikel skal infrastrukturforvalterne overholde tidsplanen i afsnit 3 i bilag I.</w:t>
      </w:r>
    </w:p>
    <w:p w14:paraId="02F6591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Infrastrukturforvalterne medtager alle kapacitetsrestriktioner som følge af infrastrukturarbejder i kapacitetsmodellen og i kapacitetsforsyningsplanen, uanset hvornår de er planlagt.</w:t>
      </w:r>
    </w:p>
    <w:p w14:paraId="3FC40D36"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36</w:t>
      </w:r>
      <w:r w:rsidRPr="008913ED">
        <w:rPr>
          <w:szCs w:val="24"/>
          <w:lang w:eastAsia="en-US"/>
        </w:rPr>
        <w:br/>
        <w:t>Konsensusbaseret konfliktløsningsmekanisme og samordning af ansøgninger</w:t>
      </w:r>
    </w:p>
    <w:p w14:paraId="5F3BAC4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Hvis der i forbindelse med samtidig kapacitetstildeling opstår konflikter mellem forskellige ansøgninger om infrastrukturkapacitet, forsøger infrastrukturforvalteren gennem en samordning af ansøgningerne at imødekomme alle ansøgninger i videst muligt omfang.</w:t>
      </w:r>
    </w:p>
    <w:p w14:paraId="0F4C301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Hvis der opstår en situation, der kræver samordning, har infrastrukturforvalteren ret til inden for rimelige grænser at tilbyde infrastrukturkapacitet, der adskiller sig fra den, hvorom der er ansøgt. Infrastrukturforvalteren fastsætter de gældende grænser i sin netvejledning. ENIM udarbejder retningslinjer for definitionen af sådanne grænser og medtager dem i den europæiske ramme for kapacitetsforvaltning, jf. artikel 6.</w:t>
      </w:r>
    </w:p>
    <w:p w14:paraId="0394D183" w14:textId="77777777" w:rsidR="006D327E" w:rsidRDefault="006D327E">
      <w:pPr>
        <w:widowControl/>
        <w:rPr>
          <w:szCs w:val="24"/>
          <w:lang w:eastAsia="en-US"/>
        </w:rPr>
      </w:pPr>
      <w:r>
        <w:rPr>
          <w:szCs w:val="24"/>
          <w:lang w:eastAsia="en-US"/>
        </w:rPr>
        <w:br w:type="page"/>
      </w:r>
    </w:p>
    <w:p w14:paraId="78DD2968" w14:textId="15F8C47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Infrastrukturforvalteren tilstræber gennem høring af de berørte ansøgere at løse eventuelle konflikter. En sådan høring skal ske på grundlag af videregivelse af følgende oplysninger, der inden for en rimelig frist stilles gratis til rådighed i elektronisk form:</w:t>
      </w:r>
    </w:p>
    <w:p w14:paraId="578A792F"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kanaler, som alle andre ansøgere har indgivet ansøgning om på de samme strækninger</w:t>
      </w:r>
    </w:p>
    <w:p w14:paraId="7657EA65"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kanaler, som er foreløbigt tildelt alle andre ansøgere på de samme strækninger</w:t>
      </w:r>
    </w:p>
    <w:p w14:paraId="25C81B3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alternative kanaler, som er foreslået på de relevante strækninger i overensstemmelse med stk. 2</w:t>
      </w:r>
    </w:p>
    <w:p w14:paraId="08C967B3"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fuldstændige oplysninger om de kriterier, der anvendes ved tildelingen af kapacitet.</w:t>
      </w:r>
    </w:p>
    <w:p w14:paraId="319BF986" w14:textId="77777777" w:rsidR="008913ED" w:rsidRPr="008913ED" w:rsidRDefault="008913ED" w:rsidP="008913ED">
      <w:pPr>
        <w:spacing w:before="120" w:after="120" w:line="360" w:lineRule="auto"/>
        <w:ind w:left="850"/>
        <w:rPr>
          <w:szCs w:val="24"/>
          <w:lang w:eastAsia="en-US"/>
        </w:rPr>
      </w:pPr>
      <w:r w:rsidRPr="008913ED">
        <w:rPr>
          <w:szCs w:val="24"/>
          <w:lang w:eastAsia="en-US"/>
        </w:rPr>
        <w:t>Uanset artikel 27, stk. 3, og med forbehold af alle ansøgeres samtykke kan infrastrukturforvalteren etablere kontakt mellem alle ansøgere, der potentielt er involveret i løsningen af en konflikt, for at lette samordningen af ansøgninger.</w:t>
      </w:r>
    </w:p>
    <w:p w14:paraId="47C045B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Netvejledningen skal indeholde en redegørelse for principperne for samordning af ansøgninger om kapacitet i forbindelse med indenlandsk jernbanetransport.</w:t>
      </w:r>
    </w:p>
    <w:p w14:paraId="5D5DF132" w14:textId="77777777" w:rsidR="006D327E" w:rsidRDefault="006D327E">
      <w:pPr>
        <w:widowControl/>
        <w:rPr>
          <w:szCs w:val="24"/>
          <w:lang w:eastAsia="en-US"/>
        </w:rPr>
      </w:pPr>
      <w:r>
        <w:rPr>
          <w:szCs w:val="24"/>
          <w:lang w:eastAsia="en-US"/>
        </w:rPr>
        <w:br w:type="page"/>
      </w:r>
    </w:p>
    <w:p w14:paraId="363EAA76" w14:textId="7F363360"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Hvis ansøgninger om infrastrukturkapacitet ikke kan imødekommes uden samordning, tilstræber infrastrukturforvalteren at imødekomme alle ansøgninger gennem samordning.</w:t>
      </w:r>
    </w:p>
    <w:p w14:paraId="1D1E40D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Med forbehold af de foreliggende appelmuligheder og bestemmelserne i artikel 56 i direktiv 2012/34/EU sikrer medlemsstaterne i tilfælde af tvister om tildeling af infrastrukturkapacitet, at der oprettes et tvistbilæggelsessystem til hurtig afgørelse af sådanne tvister. Netvejledningen skal indeholde en redegørelse for dette system for ansøgninger om kapacitet i forbindelse med indenlandsk jernbanetransport. Hvis dette system anvendes, skal der træffes en afgørelse inden for en frist på ti arbejdsdage.</w:t>
      </w:r>
    </w:p>
    <w:p w14:paraId="2CA9648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7.</w:t>
      </w:r>
      <w:r w:rsidRPr="008913ED">
        <w:rPr>
          <w:szCs w:val="24"/>
          <w:lang w:eastAsia="en-US"/>
        </w:rPr>
        <w:tab/>
        <w:t>I forbindelse med ansøgninger om kapacitet på flere net gennemføres den konsensusbaserede konfliktløsningsmekanisme, der er fastsat i stk. 1, 2 og 3, i overensstemmelse med artikel 53 med inddragelse af netværkskoordinatoren.</w:t>
      </w:r>
    </w:p>
    <w:p w14:paraId="79813C6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8.</w:t>
      </w:r>
      <w:r w:rsidRPr="008913ED">
        <w:rPr>
          <w:szCs w:val="24"/>
          <w:lang w:eastAsia="en-US"/>
        </w:rPr>
        <w:tab/>
        <w:t>ENIM udarbejder</w:t>
      </w:r>
      <w:r w:rsidRPr="008913ED">
        <w:rPr>
          <w:b/>
          <w:i/>
          <w:szCs w:val="24"/>
          <w:lang w:eastAsia="en-US"/>
        </w:rPr>
        <w:t xml:space="preserve"> senest den ... [24 måneder fra denne forordnings ikrafttræden] og efter høring af ERP</w:t>
      </w:r>
      <w:r w:rsidRPr="008913ED">
        <w:rPr>
          <w:szCs w:val="24"/>
          <w:lang w:eastAsia="en-US"/>
        </w:rPr>
        <w:t xml:space="preserve"> retningslinjer for den konsensusbaserede konfliktløsningsmekanisme i forbindelse med ansøgninger om kapacitet på flere net og medtager dem i den europæiske ramme for kapacitetsforvaltning, jf. artikel 6.</w:t>
      </w:r>
      <w:r w:rsidRPr="008913ED">
        <w:rPr>
          <w:b/>
          <w:szCs w:val="24"/>
          <w:lang w:eastAsia="en-US"/>
        </w:rPr>
        <w:t xml:space="preserve"> [Ændring 153]</w:t>
      </w:r>
    </w:p>
    <w:p w14:paraId="6F7525EE" w14:textId="77777777" w:rsidR="006D327E" w:rsidRDefault="006D327E">
      <w:pPr>
        <w:widowControl/>
        <w:rPr>
          <w:b/>
          <w:i/>
          <w:szCs w:val="24"/>
          <w:lang w:eastAsia="en-US"/>
        </w:rPr>
      </w:pPr>
      <w:r>
        <w:rPr>
          <w:b/>
          <w:i/>
          <w:szCs w:val="24"/>
          <w:lang w:eastAsia="en-US"/>
        </w:rPr>
        <w:br w:type="page"/>
      </w:r>
    </w:p>
    <w:p w14:paraId="6DF7BE5E" w14:textId="77FAE6CC"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8a.</w:t>
      </w:r>
      <w:r w:rsidRPr="008913ED">
        <w:rPr>
          <w:szCs w:val="24"/>
          <w:lang w:eastAsia="en-US"/>
        </w:rPr>
        <w:tab/>
      </w:r>
      <w:r w:rsidRPr="008913ED">
        <w:rPr>
          <w:b/>
          <w:i/>
          <w:szCs w:val="24"/>
          <w:lang w:eastAsia="en-US"/>
        </w:rPr>
        <w:t>Kommissionen vedtager senest den ... [24 måneder fra denne forordnings ikrafttræden] en gennemførelsesretsakt med nærmere procedureregler og kriterier for den konsensusbaserede konfliktløsningsmekanisme i forbindelse med ansøgninger om kapacitet på flere net og for at ændre denne artikels stk. 8. Disse gennemførelsesretsakter vedtages efter undersøgelsesproceduren i artikel 72, stk. 3. De skal indgå i den europæiske ramme for kapacitetsforvaltning.</w:t>
      </w:r>
      <w:r w:rsidRPr="008913ED">
        <w:rPr>
          <w:b/>
          <w:szCs w:val="24"/>
          <w:lang w:eastAsia="en-US"/>
        </w:rPr>
        <w:t xml:space="preserve"> [Ændring 154]</w:t>
      </w:r>
    </w:p>
    <w:p w14:paraId="544F12C2"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37</w:t>
      </w:r>
      <w:r w:rsidRPr="008913ED">
        <w:rPr>
          <w:szCs w:val="24"/>
          <w:lang w:eastAsia="en-US"/>
        </w:rPr>
        <w:br/>
        <w:t>Formel konfliktløsningsmekanisme på grundlag af socioøkonomiske og miljømæssige kriterier</w:t>
      </w:r>
    </w:p>
    <w:p w14:paraId="788F8AF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Hvis de konsensusbaserede konfliktløsningsmekanismer, der er omhandlet i artikel 36, ikke har løst kapacitetskonflikten, tildeler infrastrukturforvalterne infrastrukturkapacitet i overensstemmelse med artikel 8.</w:t>
      </w:r>
    </w:p>
    <w:p w14:paraId="35D42F68"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I forbindelse med den formelle </w:t>
      </w:r>
      <w:r w:rsidRPr="008913ED">
        <w:rPr>
          <w:strike/>
          <w:szCs w:val="24"/>
          <w:lang w:eastAsia="en-US"/>
        </w:rPr>
        <w:t>konfliktløsningsproces</w:t>
      </w:r>
      <w:r w:rsidRPr="008913ED">
        <w:rPr>
          <w:b/>
          <w:i/>
          <w:szCs w:val="24"/>
          <w:lang w:eastAsia="en-US"/>
        </w:rPr>
        <w:t>konfliktløsningsmekanisme</w:t>
      </w:r>
      <w:r w:rsidRPr="008913ED">
        <w:rPr>
          <w:szCs w:val="24"/>
          <w:lang w:eastAsia="en-US"/>
        </w:rPr>
        <w:t xml:space="preserve"> tages ansøgninger om kapacitetsrettigheder på flere net i betragtning i deres helhed. Hvis der i overensstemmelse med artikel 8, stk. 6, anvendes forskellige nationale parametre, anvendes disse parametre i de respektive afsnit.</w:t>
      </w:r>
      <w:r w:rsidRPr="008913ED">
        <w:rPr>
          <w:b/>
          <w:szCs w:val="24"/>
          <w:lang w:eastAsia="en-US"/>
        </w:rPr>
        <w:t xml:space="preserve"> [Ændring 155]</w:t>
      </w:r>
    </w:p>
    <w:p w14:paraId="4BFCC14D" w14:textId="77777777" w:rsidR="006D327E" w:rsidRDefault="006D327E">
      <w:pPr>
        <w:widowControl/>
        <w:rPr>
          <w:szCs w:val="24"/>
          <w:lang w:eastAsia="en-US"/>
        </w:rPr>
      </w:pPr>
      <w:r>
        <w:rPr>
          <w:szCs w:val="24"/>
          <w:lang w:eastAsia="en-US"/>
        </w:rPr>
        <w:br w:type="page"/>
      </w:r>
    </w:p>
    <w:p w14:paraId="282B6972" w14:textId="7C3D052E"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I forbindelse med indbyrdes modstridende ansøger om kapacitet, der involverer jernbanetjenester med lignende karakteristika og samfundsøkonomisk profil, tildeler infrastrukturforvalteren kapacitet på grundlag af en auktion eller på en måde, der giver adgang til det største antal ansøgere. Sidstnævnte metode anvendes med forbehold af tilsynsorganets godkendelse.</w:t>
      </w:r>
    </w:p>
    <w:p w14:paraId="24790AE4"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3a.</w:t>
      </w:r>
      <w:r w:rsidRPr="008913ED">
        <w:rPr>
          <w:szCs w:val="24"/>
          <w:lang w:eastAsia="en-US"/>
        </w:rPr>
        <w:tab/>
      </w:r>
      <w:r w:rsidRPr="008913ED">
        <w:rPr>
          <w:b/>
          <w:i/>
          <w:szCs w:val="24"/>
          <w:lang w:eastAsia="en-US"/>
        </w:rPr>
        <w:t>I den forbindelse udarbejder ENRRB retningslinjer for at lette en harmoniseret anvendelse af artikel 3.</w:t>
      </w:r>
      <w:r w:rsidRPr="008913ED">
        <w:rPr>
          <w:b/>
          <w:szCs w:val="24"/>
          <w:lang w:eastAsia="en-US"/>
        </w:rPr>
        <w:t xml:space="preserve"> [Ændring 156]</w:t>
      </w:r>
    </w:p>
    <w:p w14:paraId="52A3837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38</w:t>
      </w:r>
      <w:r w:rsidRPr="008913ED">
        <w:rPr>
          <w:szCs w:val="24"/>
          <w:lang w:eastAsia="en-US"/>
        </w:rPr>
        <w:br/>
        <w:t>Plan for kapacitetstildelingsprocesser</w:t>
      </w:r>
    </w:p>
    <w:p w14:paraId="65F6BC93"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og ansøgerne skal overholde planen for kapacitetstildelingsprocesser i afsnit 4, 5, 6 og 7 i bilag I.</w:t>
      </w:r>
    </w:p>
    <w:p w14:paraId="45AD3F8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Infrastrukturforvalterne kan træffe afgørelse om perioder og frister for planen for kapacitetstildeling, som er forskellige fra dem, der er omhandlet i denne forordning og i punkt 2, litra b), i bilag VI til direktiv 2012/34/EU, hvis etableringen af internationale kanaler i samarbejde med tredjelandes infrastrukturforvaltere, på et net, hvis sporvidde afviger fra hovedjernbanenettet i Unionen, har væsentlig indvirkning på planen for kapacitetstildeling generelt.</w:t>
      </w:r>
    </w:p>
    <w:p w14:paraId="56F4E2DA" w14:textId="77777777" w:rsidR="006D327E" w:rsidRDefault="006D327E">
      <w:pPr>
        <w:widowControl/>
        <w:rPr>
          <w:szCs w:val="24"/>
          <w:lang w:eastAsia="en-US"/>
        </w:rPr>
      </w:pPr>
      <w:r>
        <w:rPr>
          <w:szCs w:val="24"/>
          <w:lang w:eastAsia="en-US"/>
        </w:rPr>
        <w:br w:type="page"/>
      </w:r>
    </w:p>
    <w:p w14:paraId="226AD5A4" w14:textId="3A909019"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Kommissionen tillægges beføjelser til at vedtage delegerede retsakter i overensstemmelse med artikel 71 med henblik på at ændre afsnit 4, 5, 6 og 7 i bilag I for at sikre en effektiv tildelingsproces under hensyntagen til de berørte interessenters planlægning og operationelle, tekniske og kommercielle interesser i forbindelse med planlægning og kapacitetstildeling.</w:t>
      </w:r>
    </w:p>
    <w:p w14:paraId="7792C5DF" w14:textId="77777777" w:rsidR="008913ED" w:rsidRPr="008913ED" w:rsidRDefault="008913ED" w:rsidP="008913ED">
      <w:pPr>
        <w:spacing w:before="120" w:after="120" w:line="360" w:lineRule="auto"/>
        <w:jc w:val="center"/>
        <w:rPr>
          <w:szCs w:val="24"/>
          <w:lang w:eastAsia="en-US"/>
        </w:rPr>
      </w:pPr>
      <w:r w:rsidRPr="008913ED">
        <w:rPr>
          <w:szCs w:val="24"/>
          <w:lang w:eastAsia="en-US"/>
        </w:rPr>
        <w:t xml:space="preserve">AFDELING 4 </w:t>
      </w:r>
      <w:r w:rsidRPr="008913ED">
        <w:rPr>
          <w:szCs w:val="24"/>
          <w:lang w:eastAsia="en-US"/>
        </w:rPr>
        <w:br/>
        <w:t>Tilpasning og omlægning</w:t>
      </w:r>
    </w:p>
    <w:p w14:paraId="54BDFF49"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39</w:t>
      </w:r>
      <w:r w:rsidRPr="008913ED">
        <w:rPr>
          <w:szCs w:val="24"/>
          <w:lang w:eastAsia="en-US"/>
        </w:rPr>
        <w:br/>
        <w:t>Ændringer af kapacitetsrettigheder efter tildeling</w:t>
      </w:r>
    </w:p>
    <w:p w14:paraId="17F7765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kan kun ændre kapacitetsrettigheder, der er tildelt en ansøger, på eget initiativ i overensstemmelse med denne forordning. Ansøgerne kan til enhver tid anmode om ændringer af den tildelte kapacitet. En annullering betragtes som en bestemt type ændring.</w:t>
      </w:r>
    </w:p>
    <w:p w14:paraId="0B842494" w14:textId="77777777" w:rsidR="008913ED" w:rsidRPr="008913ED" w:rsidRDefault="008913ED" w:rsidP="008913ED">
      <w:pPr>
        <w:spacing w:before="120" w:after="120" w:line="360" w:lineRule="auto"/>
        <w:ind w:left="850"/>
        <w:rPr>
          <w:szCs w:val="24"/>
          <w:lang w:eastAsia="en-US"/>
        </w:rPr>
      </w:pPr>
      <w:r w:rsidRPr="008913ED">
        <w:rPr>
          <w:szCs w:val="24"/>
          <w:lang w:eastAsia="en-US"/>
        </w:rPr>
        <w:t>I tilfælde af ændringer af tildelte kapacitetsrettigheder finder artikel 40 anvendelse. Infrastrukturforvalterne ajourfører straks den køreplan, der er omhandlet i artikel 30.</w:t>
      </w:r>
    </w:p>
    <w:p w14:paraId="6BE22906" w14:textId="77777777" w:rsidR="006D327E" w:rsidRDefault="006D327E">
      <w:pPr>
        <w:widowControl/>
        <w:rPr>
          <w:szCs w:val="24"/>
          <w:lang w:eastAsia="en-US"/>
        </w:rPr>
      </w:pPr>
      <w:r>
        <w:rPr>
          <w:szCs w:val="24"/>
          <w:lang w:eastAsia="en-US"/>
        </w:rPr>
        <w:br w:type="page"/>
      </w:r>
    </w:p>
    <w:p w14:paraId="677BF8FC" w14:textId="0BAFA1E3"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Infrastrukturforvalterne og ansøgerne skal i videst muligt omfang begrænse ændringerne af kapacitetsrettigheder efter tildeling i overensstemmelse med målene i artikel 2, stk. 3.</w:t>
      </w:r>
    </w:p>
    <w:p w14:paraId="1A0BD6B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Ændringer af kapacitetsrettigheder omfatter tilfælde, hvor infrastrukturforvalteren ikke kan tillade toget at køre i overensstemmelse med den tildelte kapacitetsrettighed og har tilstrækkelig tid til at tilbyde ansøgeren en rettighed til alternativ kapacitet efter at have underrettet ansøgeren om den nødvendige ændring.</w:t>
      </w:r>
    </w:p>
    <w:p w14:paraId="53398F16"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kan angive forskellige frister for tildeling af kapacitetsrettigheder på et enkelt net og tildeling af kapacitetsrettigheder på flere net. Infrastrukturforvalterne angiver i netvejledningen, hvor lang tid det tager at anlægge en kanal. Denne periode må ikke være længere end de frister, der er fastsat i afsnit 8 i bilag I.</w:t>
      </w:r>
    </w:p>
    <w:p w14:paraId="62331FF3"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I de regler og procedurer, der skal anvendes i tilfælde af en ændring af en kapacitetsrettighed, tages hensyn til de operationelle og kommercielle konsekvenser af ændringen af kapacitetsrettigheden for ansøgeren. Med henblik herpå kategoriseres ændringer på grundlag af deres indvirkning i overensstemmelse med denne artikels stk. 8 og giver anledning til forskellige kompensationsniveauer som omhandlet i artikel 40.</w:t>
      </w:r>
    </w:p>
    <w:p w14:paraId="4299468E" w14:textId="77777777" w:rsidR="006D327E" w:rsidRDefault="006D327E">
      <w:pPr>
        <w:widowControl/>
        <w:rPr>
          <w:b/>
          <w:i/>
          <w:szCs w:val="24"/>
          <w:lang w:eastAsia="en-US"/>
        </w:rPr>
      </w:pPr>
      <w:r>
        <w:rPr>
          <w:b/>
          <w:i/>
          <w:szCs w:val="24"/>
          <w:lang w:eastAsia="en-US"/>
        </w:rPr>
        <w:br w:type="page"/>
      </w:r>
    </w:p>
    <w:p w14:paraId="5E5D88C3" w14:textId="5E4CC7C9"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4a.</w:t>
      </w:r>
      <w:r w:rsidRPr="008913ED">
        <w:rPr>
          <w:szCs w:val="24"/>
          <w:lang w:eastAsia="en-US"/>
        </w:rPr>
        <w:tab/>
      </w:r>
      <w:r w:rsidRPr="008913ED">
        <w:rPr>
          <w:b/>
          <w:i/>
          <w:szCs w:val="24"/>
          <w:lang w:eastAsia="en-US"/>
        </w:rPr>
        <w:t>Hvis kapacitet reserveres, men ikke benyttes, betales kompensation i overensstemmelse med artikel 40.</w:t>
      </w:r>
      <w:r w:rsidRPr="008913ED">
        <w:rPr>
          <w:b/>
          <w:szCs w:val="24"/>
          <w:lang w:eastAsia="en-US"/>
        </w:rPr>
        <w:t xml:space="preserve"> [Ændring 157]</w:t>
      </w:r>
    </w:p>
    <w:p w14:paraId="455498B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I tilfælde af en ændring af en kapacitetsrettighed på flere net træffer de berørte infrastrukturforvaltere alle rimelige foranstaltninger for at sikre overensstemmelse mellem kapacitetsrettighederne på hele togkørslen.</w:t>
      </w:r>
    </w:p>
    <w:p w14:paraId="5973E306" w14:textId="77777777" w:rsidR="008913ED" w:rsidRPr="008913ED" w:rsidRDefault="008913ED" w:rsidP="008913ED">
      <w:pPr>
        <w:spacing w:before="120" w:after="120" w:line="360" w:lineRule="auto"/>
        <w:ind w:left="850"/>
        <w:rPr>
          <w:szCs w:val="24"/>
          <w:lang w:eastAsia="en-US"/>
        </w:rPr>
      </w:pPr>
      <w:r w:rsidRPr="008913ED">
        <w:rPr>
          <w:szCs w:val="24"/>
          <w:lang w:eastAsia="en-US"/>
        </w:rPr>
        <w:t>Den infrastrukturforvalter, der foretager en ændring af en kapacitetsrettighed på flere net, er ansvarlig for processen med at koordinere tildelingen af en rettighed til alternativ kapacitet på flere net med de andre berørte infrastrukturforvaltere og underretter ansøgeren og alle berørte parter om resultatet af koordineringen. Udfaldet kan enten være tildeling af en rettighed til alternativ kapacitet på flere net eller oplysning om, at der ikke er nogen rettighed til alternativ kapacitet på flere net til rådighed.</w:t>
      </w:r>
    </w:p>
    <w:p w14:paraId="4DD933A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Ved anvendelsen af denne forordning betragtes jernbanevirksomhedernes manglende udnyttelse af en tildelt kapacitetsrettighed som en aflysning på dagen af den pågældende togkørsel.</w:t>
      </w:r>
    </w:p>
    <w:p w14:paraId="364F24AC" w14:textId="77777777" w:rsidR="006D327E" w:rsidRDefault="006D327E">
      <w:pPr>
        <w:widowControl/>
        <w:rPr>
          <w:szCs w:val="24"/>
          <w:lang w:eastAsia="en-US"/>
        </w:rPr>
      </w:pPr>
      <w:r>
        <w:rPr>
          <w:szCs w:val="24"/>
          <w:lang w:eastAsia="en-US"/>
        </w:rPr>
        <w:br w:type="page"/>
      </w:r>
    </w:p>
    <w:p w14:paraId="209F324F" w14:textId="0D349BF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7.</w:t>
      </w:r>
      <w:r w:rsidRPr="008913ED">
        <w:rPr>
          <w:szCs w:val="24"/>
          <w:lang w:eastAsia="en-US"/>
        </w:rPr>
        <w:tab/>
        <w:t>Hvis en infrastrukturforvalter ændrer en tildelt kapacitetsrettighed, underretter infrastrukturforvalteren straks ansøgeren og den berørte jernbanevirksomhed herom.</w:t>
      </w:r>
    </w:p>
    <w:p w14:paraId="1659D3B9"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Infrastrukturforvalteren tilbyder ansøgeren alternative kapacitetsrettigheder inden for de frister, der er fastsat i afsnit 8 i bilag I. Hvis </w:t>
      </w:r>
      <w:r w:rsidRPr="008913ED">
        <w:rPr>
          <w:strike/>
          <w:szCs w:val="24"/>
          <w:lang w:eastAsia="en-US"/>
        </w:rPr>
        <w:t>dette</w:t>
      </w:r>
      <w:r w:rsidRPr="008913ED">
        <w:rPr>
          <w:b/>
          <w:i/>
          <w:szCs w:val="24"/>
          <w:lang w:eastAsia="en-US"/>
        </w:rPr>
        <w:t>der</w:t>
      </w:r>
      <w:r w:rsidRPr="008913ED">
        <w:rPr>
          <w:szCs w:val="24"/>
          <w:lang w:eastAsia="en-US"/>
        </w:rPr>
        <w:t xml:space="preserve"> ikke er </w:t>
      </w:r>
      <w:r w:rsidRPr="008913ED">
        <w:rPr>
          <w:strike/>
          <w:szCs w:val="24"/>
          <w:lang w:eastAsia="en-US"/>
        </w:rPr>
        <w:t>muligt</w:t>
      </w:r>
      <w:r w:rsidRPr="008913ED">
        <w:rPr>
          <w:b/>
          <w:i/>
          <w:szCs w:val="24"/>
          <w:lang w:eastAsia="en-US"/>
        </w:rPr>
        <w:t>mulighed for et alternativt tilbud i overensstemmelse med artikel 32, stk. 5, og artikel 33, stk. 4</w:t>
      </w:r>
      <w:r w:rsidRPr="008913ED">
        <w:rPr>
          <w:szCs w:val="24"/>
          <w:lang w:eastAsia="en-US"/>
        </w:rPr>
        <w:t>, skal infrastrukturforvalteren give ansøgeren relevante oplysninger, der sætter ansøgeren i stand til at indgive en ny ansøgning om infrastrukturkapacitet. Hvor det er relevant, henvises der i disse oplysninger til kapacitetsforsyningsplanen i artikel 18 og beredskabsplanlægningen i artikel 19.</w:t>
      </w:r>
      <w:r w:rsidRPr="008913ED">
        <w:rPr>
          <w:b/>
          <w:szCs w:val="24"/>
          <w:lang w:eastAsia="en-US"/>
        </w:rPr>
        <w:t xml:space="preserve"> [Ændring 158]</w:t>
      </w:r>
    </w:p>
    <w:p w14:paraId="0F1C1D94"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8.</w:t>
      </w:r>
      <w:r w:rsidRPr="008913ED">
        <w:rPr>
          <w:szCs w:val="24"/>
          <w:lang w:eastAsia="en-US"/>
        </w:rPr>
        <w:tab/>
        <w:t>ENIM udarbejder og vedtager</w:t>
      </w:r>
      <w:r w:rsidRPr="008913ED">
        <w:rPr>
          <w:b/>
          <w:i/>
          <w:szCs w:val="24"/>
          <w:lang w:eastAsia="en-US"/>
        </w:rPr>
        <w:t xml:space="preserve"> senest den ... [12 måneder fra denne forordnings ikrafttræden]</w:t>
      </w:r>
      <w:r w:rsidRPr="008913ED">
        <w:rPr>
          <w:szCs w:val="24"/>
          <w:lang w:eastAsia="en-US"/>
        </w:rPr>
        <w:t xml:space="preserve"> harmoniserede procedurer for håndtering af ændringer af kapacitetsrettigheder efter tildeling og medtager dem i den europæiske ramme for kapacitetsforvaltning, jf. artikel 6.</w:t>
      </w:r>
      <w:r w:rsidRPr="008913ED">
        <w:rPr>
          <w:b/>
          <w:szCs w:val="24"/>
          <w:lang w:eastAsia="en-US"/>
        </w:rPr>
        <w:t xml:space="preserve"> [Ændring 159]</w:t>
      </w:r>
    </w:p>
    <w:p w14:paraId="21E08298" w14:textId="77777777" w:rsidR="006D327E" w:rsidRDefault="006D327E">
      <w:pPr>
        <w:widowControl/>
        <w:rPr>
          <w:szCs w:val="24"/>
          <w:lang w:eastAsia="en-US"/>
        </w:rPr>
      </w:pPr>
      <w:r>
        <w:rPr>
          <w:szCs w:val="24"/>
          <w:lang w:eastAsia="en-US"/>
        </w:rPr>
        <w:br w:type="page"/>
      </w:r>
    </w:p>
    <w:p w14:paraId="44A7612D" w14:textId="153EB633" w:rsidR="008913ED" w:rsidRPr="008913ED" w:rsidRDefault="008913ED" w:rsidP="008913ED">
      <w:pPr>
        <w:spacing w:before="120" w:after="120" w:line="360" w:lineRule="auto"/>
        <w:ind w:left="850"/>
        <w:rPr>
          <w:szCs w:val="24"/>
          <w:lang w:eastAsia="en-US"/>
        </w:rPr>
      </w:pPr>
      <w:r w:rsidRPr="008913ED">
        <w:rPr>
          <w:szCs w:val="24"/>
          <w:lang w:eastAsia="en-US"/>
        </w:rPr>
        <w:lastRenderedPageBreak/>
        <w:t>I disse harmoniserede procedurer skelnes mellem ændringer, som har væsentlig kommerciel og operationel indvirkning på ansøgere og jernbanevirksomheder, og ændringer med mindre indvirkning. I de kriterier, der skal anvendes til at kategorisere en ændring som væsentlig, tages der bl.a. hensyn til jernbanevirksomhedens evne til at levere tjenesten i overensstemmelse med virksomhedens kontraktlige forpligtelser, forsinkelser ved afgang eller ændringer af ruten, som medfører større afstand, længere rejsetid, højere afgifter for sporadgang eller andre dermed forbundne omkostninger, samt tærskler for disse ændringer. Der gælder strengere kriterier for ændringer med væsentlig indvirkning.</w:t>
      </w:r>
    </w:p>
    <w:p w14:paraId="6447CDD8"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8a.</w:t>
      </w:r>
      <w:r w:rsidRPr="008913ED">
        <w:rPr>
          <w:szCs w:val="24"/>
          <w:lang w:eastAsia="en-US"/>
        </w:rPr>
        <w:tab/>
      </w:r>
      <w:r w:rsidRPr="008913ED">
        <w:rPr>
          <w:b/>
          <w:i/>
          <w:szCs w:val="24"/>
          <w:lang w:eastAsia="en-US"/>
        </w:rPr>
        <w:t>Kommissionen tillægges beføjelser til at vedtage delegerede retsakter i overensstemmelse med artikel 71 med henblik på at fastsætte regler og procedurer for håndtering af ændringer af kapacitetsrettigheder efter tildeling og for at ændre denne artikels stk. 8. Disse delegerede retsakter vedtages senest den ... [24 måneder fra denne forordnings ikrafttræden]. De skal indgå i den europæiske ramme for kapacitetsforvaltning.</w:t>
      </w:r>
      <w:r w:rsidRPr="008913ED">
        <w:rPr>
          <w:b/>
          <w:szCs w:val="24"/>
          <w:lang w:eastAsia="en-US"/>
        </w:rPr>
        <w:t xml:space="preserve"> [Ændring 160]</w:t>
      </w:r>
    </w:p>
    <w:p w14:paraId="14246E4B" w14:textId="77777777" w:rsidR="006D327E" w:rsidRDefault="006D327E">
      <w:pPr>
        <w:widowControl/>
        <w:rPr>
          <w:szCs w:val="24"/>
          <w:lang w:eastAsia="en-US"/>
        </w:rPr>
      </w:pPr>
      <w:r>
        <w:rPr>
          <w:szCs w:val="24"/>
          <w:lang w:eastAsia="en-US"/>
        </w:rPr>
        <w:br w:type="page"/>
      </w:r>
    </w:p>
    <w:p w14:paraId="31B0B0C9" w14:textId="3CFEC04F"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9.</w:t>
      </w:r>
      <w:r w:rsidRPr="008913ED">
        <w:rPr>
          <w:szCs w:val="24"/>
          <w:lang w:eastAsia="en-US"/>
        </w:rPr>
        <w:tab/>
        <w:t>Kommissionen tillægges beføjelser til at vedtage delegerede retsakter i overensstemmelse med artikel 71 med henblik på at ændre afsnit 8 i bilag I for at sikre effektive tilpasnings- og omlægningsprocesser under hensyntagen til de berørte interessenters planlægning og operationelle, tekniske og kommercielle interesser.</w:t>
      </w:r>
    </w:p>
    <w:p w14:paraId="627AD646"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40</w:t>
      </w:r>
      <w:r w:rsidRPr="008913ED">
        <w:rPr>
          <w:szCs w:val="24"/>
          <w:lang w:eastAsia="en-US"/>
        </w:rPr>
        <w:br/>
        <w:t>Kompensation for ændringer af kapacitetsrettigheder</w:t>
      </w:r>
    </w:p>
    <w:p w14:paraId="1D7B31A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Hvis infrastrukturforvalteren eller en ansøger ikke opfylder deres forpligtelser med hensyn til en tildelt kapacitetsrettighed, og hvis dette resulterer i en ændring, der kategoriseres som væsentlig i overensstemmelse med artikel 39, betaler den part, der iværksætter ændringen, en kompensation til den anden part.</w:t>
      </w:r>
    </w:p>
    <w:p w14:paraId="1A2D38B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Den i stk. 1 omhandlede kompensation kan ikke udbetales i tilfælde af force majeure.</w:t>
      </w:r>
    </w:p>
    <w:p w14:paraId="53E5F59C"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 xml:space="preserve">Efter høring af ENRRB </w:t>
      </w:r>
      <w:r w:rsidRPr="008913ED">
        <w:rPr>
          <w:b/>
          <w:i/>
          <w:szCs w:val="24"/>
          <w:lang w:eastAsia="en-US"/>
        </w:rPr>
        <w:t xml:space="preserve">og ERP </w:t>
      </w:r>
      <w:r w:rsidRPr="008913ED">
        <w:rPr>
          <w:szCs w:val="24"/>
          <w:lang w:eastAsia="en-US"/>
        </w:rPr>
        <w:t>fastlægger ENIM</w:t>
      </w:r>
      <w:r w:rsidRPr="008913ED">
        <w:rPr>
          <w:b/>
          <w:i/>
          <w:szCs w:val="24"/>
          <w:lang w:eastAsia="en-US"/>
        </w:rPr>
        <w:t xml:space="preserve"> senest den ... [12 måneder fra denne forordnings ikrafttræden]</w:t>
      </w:r>
      <w:r w:rsidRPr="008913ED">
        <w:rPr>
          <w:szCs w:val="24"/>
          <w:lang w:eastAsia="en-US"/>
        </w:rPr>
        <w:t xml:space="preserve"> harmoniserede betingelser, der giver anledning til kompensation. I disse betingelser tages hensyn til reglerne i artikel 39, stk. 4 og 8. ENIM medtager disse betingelser i den europæiske ramme for kapacitetsforvaltning, jf. artikel 6. ENRRB offentliggør en udtalelse om de betingelser, der er fastsat af ENIM.</w:t>
      </w:r>
      <w:r w:rsidRPr="008913ED">
        <w:rPr>
          <w:b/>
          <w:szCs w:val="24"/>
          <w:lang w:eastAsia="en-US"/>
        </w:rPr>
        <w:t xml:space="preserve"> [Ændring 161]</w:t>
      </w:r>
    </w:p>
    <w:p w14:paraId="4A3C6281" w14:textId="77777777" w:rsidR="006D327E" w:rsidRDefault="006D327E">
      <w:pPr>
        <w:widowControl/>
        <w:rPr>
          <w:szCs w:val="24"/>
          <w:lang w:eastAsia="en-US"/>
        </w:rPr>
      </w:pPr>
      <w:r>
        <w:rPr>
          <w:szCs w:val="24"/>
          <w:lang w:eastAsia="en-US"/>
        </w:rPr>
        <w:br w:type="page"/>
      </w:r>
    </w:p>
    <w:p w14:paraId="380C4ACC" w14:textId="54A7F3AF"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Efter tilsynsorganets godkendelse fastsætter infrastrukturforvalterne i netvejledningen størrelsen af den kompensation, som ansøgerne skal betale.</w:t>
      </w:r>
    </w:p>
    <w:p w14:paraId="4A9E47E1" w14:textId="77777777" w:rsidR="008913ED" w:rsidRPr="008913ED" w:rsidRDefault="008913ED" w:rsidP="008913ED">
      <w:pPr>
        <w:spacing w:before="120" w:after="120" w:line="360" w:lineRule="auto"/>
        <w:ind w:left="850"/>
        <w:rPr>
          <w:szCs w:val="24"/>
          <w:lang w:eastAsia="en-US"/>
        </w:rPr>
      </w:pPr>
      <w:r w:rsidRPr="008913ED">
        <w:rPr>
          <w:szCs w:val="24"/>
          <w:lang w:eastAsia="en-US"/>
        </w:rPr>
        <w:t>Efter forslag fra infrastrukturforvalteren og efter høring af ansøgere og potentielle ansøgere fastsætter tilsynsorganet størrelsen af den kompensation, som infrastrukturforvalteren skal betale. Infrastrukturforvalteren offentliggør disse oplysninger i netvejledningen.</w:t>
      </w:r>
    </w:p>
    <w:p w14:paraId="35385F6D" w14:textId="77777777" w:rsidR="008913ED" w:rsidRPr="008913ED" w:rsidRDefault="008913ED" w:rsidP="008913ED">
      <w:pPr>
        <w:spacing w:before="120" w:after="120" w:line="360" w:lineRule="auto"/>
        <w:ind w:left="850"/>
        <w:rPr>
          <w:szCs w:val="24"/>
          <w:lang w:eastAsia="en-US"/>
        </w:rPr>
      </w:pPr>
      <w:r w:rsidRPr="008913ED">
        <w:rPr>
          <w:szCs w:val="24"/>
          <w:lang w:eastAsia="en-US"/>
        </w:rPr>
        <w:t>Kompensationen skal være på et niveau, der giver infrastrukturforvalteren og ansøgerne effektive incitamenter til at respektere den planlagte udnyttelse af kapaciteten og minimere forstyrrelser. Disse niveauer skal være forholdsmæssige og ikkediskriminerende.</w:t>
      </w:r>
    </w:p>
    <w:p w14:paraId="4EB1A686"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Infrastrukturforvaltere og tilsynsorganer kan fastsætte forskellige kompensationsniveauer afhængigt af virkningen af ændringen og af, om kapaciteten kan omfordeles og anvendes af en anden ansøger. I disse niveauer tages der navnlig hensyn til reglerne i artikel 39, stk. 4 og 8, den tid, der er tilbage efter anmodningen om eller indførelsen af ændringen indtil tidspunktet for togkørslen, og udnyttelsen af jernbaneinfrastrukturen omfattet af kapacitetsrettigheden.</w:t>
      </w:r>
    </w:p>
    <w:p w14:paraId="3AC2784B" w14:textId="77777777" w:rsidR="006D327E" w:rsidRDefault="006D327E">
      <w:pPr>
        <w:widowControl/>
        <w:rPr>
          <w:szCs w:val="24"/>
          <w:lang w:eastAsia="en-US"/>
        </w:rPr>
      </w:pPr>
      <w:r>
        <w:rPr>
          <w:szCs w:val="24"/>
          <w:lang w:eastAsia="en-US"/>
        </w:rPr>
        <w:br w:type="page"/>
      </w:r>
    </w:p>
    <w:p w14:paraId="104E38ED" w14:textId="099BD83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I forbindelse med kapacitetsrettigheder på flere net gælder forpligtelsen til at betale kompensationen til ansøgeren for den eller de infrastrukturforvaltere, der er ansvarlige for ændringen af kapacitetsrettigheden, under hensyntagen til hele kapacitetsrettigheden og, hvis mere end én infrastrukturforvalter er ansvarlig, til længden af deres net omfattet af kapacitetsrettigheden. Kompensationen for hele kapacitetsrettigheden må ikke overstige den kompensation, der skal betales for den kapacitetsrettighed, som infrastrukturforvalteren har tildelt, ganget med tre.</w:t>
      </w:r>
    </w:p>
    <w:p w14:paraId="23EA9233"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6.</w:t>
      </w:r>
      <w:r w:rsidRPr="008913ED">
        <w:rPr>
          <w:szCs w:val="24"/>
          <w:lang w:eastAsia="en-US"/>
        </w:rPr>
        <w:tab/>
        <w:t xml:space="preserve">Tilsynsorganerne behandler tvister vedrørende årsagen til ændringen af en kapacitetsrettighed eller </w:t>
      </w:r>
      <w:r w:rsidRPr="008913ED">
        <w:rPr>
          <w:strike/>
          <w:szCs w:val="24"/>
          <w:lang w:eastAsia="en-US"/>
        </w:rPr>
        <w:t>forsinket</w:t>
      </w:r>
      <w:r w:rsidRPr="008913ED">
        <w:rPr>
          <w:b/>
          <w:i/>
          <w:szCs w:val="24"/>
          <w:lang w:eastAsia="en-US"/>
        </w:rPr>
        <w:t>en forsinkelse i udbetalingen af</w:t>
      </w:r>
      <w:r w:rsidRPr="008913ED">
        <w:rPr>
          <w:szCs w:val="24"/>
          <w:lang w:eastAsia="en-US"/>
        </w:rPr>
        <w:t xml:space="preserve"> kompensation og træffer afgørelse hurtigst muligt og senest en måned efter indsamlingen af alle de oplysninger, der er nødvendige for at vurdere årsagen til ændringen. Tilsynsorganerne underretter og kan høre ENRRB om sådanne afgørelser. ENRRB sikrer, at sådanne afgørelser er sammenhængende og baseret på almindeligt anerkendte principper.</w:t>
      </w:r>
      <w:r w:rsidRPr="008913ED">
        <w:rPr>
          <w:b/>
          <w:szCs w:val="24"/>
          <w:lang w:eastAsia="en-US"/>
        </w:rPr>
        <w:t xml:space="preserve"> [Ændring 162]</w:t>
      </w:r>
    </w:p>
    <w:p w14:paraId="4215A117" w14:textId="77777777" w:rsidR="006D327E" w:rsidRDefault="006D327E">
      <w:pPr>
        <w:widowControl/>
        <w:rPr>
          <w:szCs w:val="24"/>
          <w:lang w:eastAsia="en-US"/>
        </w:rPr>
      </w:pPr>
      <w:r>
        <w:rPr>
          <w:szCs w:val="24"/>
          <w:lang w:eastAsia="en-US"/>
        </w:rPr>
        <w:br w:type="page"/>
      </w:r>
    </w:p>
    <w:p w14:paraId="78F7678B" w14:textId="518DA592"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7.</w:t>
      </w:r>
      <w:r w:rsidRPr="008913ED">
        <w:rPr>
          <w:szCs w:val="24"/>
          <w:lang w:eastAsia="en-US"/>
        </w:rPr>
        <w:tab/>
        <w:t xml:space="preserve">Kommissionen </w:t>
      </w:r>
      <w:r w:rsidRPr="008913ED">
        <w:rPr>
          <w:strike/>
          <w:szCs w:val="24"/>
          <w:lang w:eastAsia="en-US"/>
        </w:rPr>
        <w:t>kan</w:t>
      </w:r>
      <w:r w:rsidRPr="008913ED">
        <w:rPr>
          <w:b/>
          <w:i/>
          <w:szCs w:val="24"/>
          <w:lang w:eastAsia="en-US"/>
        </w:rPr>
        <w:t>tillægges beføjelse til i overensstemmelse med artikel 71 at</w:t>
      </w:r>
      <w:r w:rsidRPr="008913ED">
        <w:rPr>
          <w:szCs w:val="24"/>
          <w:lang w:eastAsia="en-US"/>
        </w:rPr>
        <w:t xml:space="preserve"> vedtage </w:t>
      </w:r>
      <w:r w:rsidRPr="008913ED">
        <w:rPr>
          <w:strike/>
          <w:szCs w:val="24"/>
          <w:lang w:eastAsia="en-US"/>
        </w:rPr>
        <w:t>gennemførelsesretsakter</w:t>
      </w:r>
      <w:r w:rsidRPr="008913ED">
        <w:rPr>
          <w:b/>
          <w:i/>
          <w:szCs w:val="24"/>
          <w:lang w:eastAsia="en-US"/>
        </w:rPr>
        <w:t>delegerede retsakter</w:t>
      </w:r>
      <w:r w:rsidRPr="008913ED">
        <w:rPr>
          <w:szCs w:val="24"/>
          <w:lang w:eastAsia="en-US"/>
        </w:rPr>
        <w:t>, der fastsætter de betingelser, som giver anledning til udbetalingen af kompensation, kategoriseringen af ændringer af kapacitetsrettigheder og metoderne til fastsættelse af kompensationsniveauerne</w:t>
      </w:r>
      <w:r w:rsidRPr="008913ED">
        <w:rPr>
          <w:b/>
          <w:i/>
          <w:szCs w:val="24"/>
          <w:lang w:eastAsia="en-US"/>
        </w:rPr>
        <w:t>, og til at ændre denne artikels stk. 2</w:t>
      </w:r>
      <w:r w:rsidRPr="008913ED">
        <w:rPr>
          <w:szCs w:val="24"/>
          <w:lang w:eastAsia="en-US"/>
        </w:rPr>
        <w:t xml:space="preserve">. Disse </w:t>
      </w:r>
      <w:r w:rsidRPr="008913ED">
        <w:rPr>
          <w:strike/>
          <w:szCs w:val="24"/>
          <w:lang w:eastAsia="en-US"/>
        </w:rPr>
        <w:t>gennemførelsesretsakter</w:t>
      </w:r>
      <w:r w:rsidRPr="008913ED">
        <w:rPr>
          <w:b/>
          <w:i/>
          <w:szCs w:val="24"/>
          <w:lang w:eastAsia="en-US"/>
        </w:rPr>
        <w:t>delegerede retsakter</w:t>
      </w:r>
      <w:r w:rsidRPr="008913ED">
        <w:rPr>
          <w:szCs w:val="24"/>
          <w:lang w:eastAsia="en-US"/>
        </w:rPr>
        <w:t xml:space="preserve"> vedtages </w:t>
      </w:r>
      <w:r w:rsidRPr="008913ED">
        <w:rPr>
          <w:strike/>
          <w:szCs w:val="24"/>
          <w:lang w:eastAsia="en-US"/>
        </w:rPr>
        <w:t>efter undersøgelsesproceduren i artikel 72, stk. 3</w:t>
      </w:r>
      <w:r w:rsidRPr="008913ED">
        <w:rPr>
          <w:b/>
          <w:i/>
          <w:szCs w:val="24"/>
          <w:lang w:eastAsia="en-US"/>
        </w:rPr>
        <w:t>senest den ... [24 måneder fra denne forordnings ikrafttræden]. De skal indgå i den europæiske ramme for kapacitetsforvaltning</w:t>
      </w:r>
      <w:r w:rsidRPr="008913ED">
        <w:rPr>
          <w:szCs w:val="24"/>
          <w:lang w:eastAsia="en-US"/>
        </w:rPr>
        <w:t>.</w:t>
      </w:r>
      <w:r w:rsidRPr="008913ED">
        <w:rPr>
          <w:b/>
          <w:szCs w:val="24"/>
          <w:lang w:eastAsia="en-US"/>
        </w:rPr>
        <w:t xml:space="preserve"> [Ændring 163]</w:t>
      </w:r>
    </w:p>
    <w:p w14:paraId="464C4877"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41</w:t>
      </w:r>
      <w:r w:rsidRPr="008913ED">
        <w:rPr>
          <w:szCs w:val="24"/>
          <w:lang w:eastAsia="en-US"/>
        </w:rPr>
        <w:br/>
        <w:t>Omlægning i forbindelse med håndtering af forstyrrelser og krisestyring</w:t>
      </w:r>
    </w:p>
    <w:p w14:paraId="7784D89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 tilfælde af netforstyrrelser som omhandlet i artikel 46 eller en krisesituation som omhandlet i artikel 47 gør den eller de berørte infrastrukturforvaltere alt, hvad der er muligt, for at omlægge den trafik, der er berørt af forstyrrelserne. Med henblik herpå tildeler infrastrukturforvalterne jernbaneinfrastrukturkapacitet i overensstemmelse med den europæiske ramme for grænseoverskridende koordinering af trafikstyring, håndtering af forstyrrelser og krisestyring, jf. artikel 44, på grundlag af de beredskabsplaner, der er udarbejdet i overensstemmelse med artikel 19, og i tæt samarbejde med operationelle interessenter og, hvor det er relevant, andre berørte interessenter.</w:t>
      </w:r>
    </w:p>
    <w:p w14:paraId="53010D47" w14:textId="77777777" w:rsidR="006D327E" w:rsidRDefault="006D327E">
      <w:pPr>
        <w:widowControl/>
        <w:rPr>
          <w:szCs w:val="24"/>
          <w:lang w:eastAsia="en-US"/>
        </w:rPr>
      </w:pPr>
      <w:r>
        <w:rPr>
          <w:szCs w:val="24"/>
          <w:lang w:eastAsia="en-US"/>
        </w:rPr>
        <w:br w:type="page"/>
      </w:r>
    </w:p>
    <w:p w14:paraId="3E751CA0" w14:textId="52D1BB08"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ENIM udarbejder og vedtager</w:t>
      </w:r>
      <w:r w:rsidRPr="008913ED">
        <w:rPr>
          <w:b/>
          <w:i/>
          <w:szCs w:val="24"/>
          <w:lang w:eastAsia="en-US"/>
        </w:rPr>
        <w:t xml:space="preserve"> senest den ... [12 måneder fra denne forordnings ikrafttræden]</w:t>
      </w:r>
      <w:r w:rsidRPr="008913ED">
        <w:rPr>
          <w:szCs w:val="24"/>
          <w:lang w:eastAsia="en-US"/>
        </w:rPr>
        <w:t xml:space="preserve"> retningslinjer for forvaltning og tildeling af infrastrukturkapacitet i tilfælde af netforstyrrelser på en gennemsigtig og ikkediskriminerende måde. ENIM udarbejder navnlig retningslinjer for anvendelsen af samtidig kapacitetstildeling og "først til mølle"-princippet.</w:t>
      </w:r>
      <w:r w:rsidRPr="008913ED">
        <w:rPr>
          <w:b/>
          <w:szCs w:val="24"/>
          <w:lang w:eastAsia="en-US"/>
        </w:rPr>
        <w:t xml:space="preserve"> [Ændring 164]</w:t>
      </w:r>
    </w:p>
    <w:p w14:paraId="2DD7F9F9"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Ved samtidig tildeling udarbejder ENIM retningslinjer for de procedurer, der skal anvendes, i givet fald inden for rammerne af den konsensusbaserede </w:t>
      </w:r>
      <w:r w:rsidRPr="008913ED">
        <w:rPr>
          <w:strike/>
          <w:szCs w:val="24"/>
          <w:lang w:eastAsia="en-US"/>
        </w:rPr>
        <w:t>konfliktløsningsproces</w:t>
      </w:r>
      <w:r w:rsidRPr="008913ED">
        <w:rPr>
          <w:b/>
          <w:i/>
          <w:szCs w:val="24"/>
          <w:lang w:eastAsia="en-US"/>
        </w:rPr>
        <w:t>konfliktløsningsmekanisme</w:t>
      </w:r>
      <w:r w:rsidRPr="008913ED">
        <w:rPr>
          <w:szCs w:val="24"/>
          <w:lang w:eastAsia="en-US"/>
        </w:rPr>
        <w:t xml:space="preserve">, der er omhandlet i artikel 36, og af den formelle </w:t>
      </w:r>
      <w:r w:rsidRPr="008913ED">
        <w:rPr>
          <w:strike/>
          <w:szCs w:val="24"/>
          <w:lang w:eastAsia="en-US"/>
        </w:rPr>
        <w:t>konfliktløsningsproces</w:t>
      </w:r>
      <w:r w:rsidRPr="008913ED">
        <w:rPr>
          <w:b/>
          <w:i/>
          <w:szCs w:val="24"/>
          <w:lang w:eastAsia="en-US"/>
        </w:rPr>
        <w:t>konfliktløsningsmekanisme</w:t>
      </w:r>
      <w:r w:rsidRPr="008913ED">
        <w:rPr>
          <w:szCs w:val="24"/>
          <w:lang w:eastAsia="en-US"/>
        </w:rPr>
        <w:t>, der er omhandlet i artikel 37.ENIM medtager disse retningslinjer i den europæiske ramme for kapacitetsforvaltning, jf. artikel 6.</w:t>
      </w:r>
      <w:r w:rsidRPr="008913ED">
        <w:rPr>
          <w:b/>
          <w:szCs w:val="24"/>
          <w:lang w:eastAsia="en-US"/>
        </w:rPr>
        <w:t xml:space="preserve"> [Ændring 165]</w:t>
      </w:r>
    </w:p>
    <w:p w14:paraId="16540342" w14:textId="77777777" w:rsidR="006D327E" w:rsidRDefault="006D327E">
      <w:pPr>
        <w:widowControl/>
        <w:rPr>
          <w:szCs w:val="24"/>
          <w:lang w:eastAsia="en-US"/>
        </w:rPr>
      </w:pPr>
      <w:r>
        <w:rPr>
          <w:szCs w:val="24"/>
          <w:lang w:eastAsia="en-US"/>
        </w:rPr>
        <w:br w:type="page"/>
      </w:r>
    </w:p>
    <w:p w14:paraId="519D82BF" w14:textId="6A6741CB"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 xml:space="preserve">I forbindelse med omlægning må infrastrukturforvalterne ikke ensidigt ændre eller annullere eksisterende kapacitetsrettigheder med henblik på håndtering af forstyrrelser. På grundlag af erfaringerne fra tilsynsorganerne, infrastrukturforvalterne og jernbanevirksomhederne og arbejdet i ENIM og ENRRB </w:t>
      </w:r>
      <w:r w:rsidRPr="008913ED">
        <w:rPr>
          <w:strike/>
          <w:szCs w:val="24"/>
          <w:lang w:eastAsia="en-US"/>
        </w:rPr>
        <w:t>kan</w:t>
      </w:r>
      <w:r w:rsidRPr="008913ED">
        <w:rPr>
          <w:b/>
          <w:i/>
          <w:szCs w:val="24"/>
          <w:lang w:eastAsia="en-US"/>
        </w:rPr>
        <w:t>tillægges</w:t>
      </w:r>
      <w:r w:rsidRPr="008913ED">
        <w:rPr>
          <w:szCs w:val="24"/>
          <w:lang w:eastAsia="en-US"/>
        </w:rPr>
        <w:t xml:space="preserve"> Kommissionen </w:t>
      </w:r>
      <w:r w:rsidRPr="008913ED">
        <w:rPr>
          <w:strike/>
          <w:szCs w:val="24"/>
          <w:lang w:eastAsia="en-US"/>
        </w:rPr>
        <w:t>dog</w:t>
      </w:r>
      <w:r w:rsidRPr="008913ED">
        <w:rPr>
          <w:b/>
          <w:i/>
          <w:szCs w:val="24"/>
          <w:lang w:eastAsia="en-US"/>
        </w:rPr>
        <w:t>beføjelse til at</w:t>
      </w:r>
      <w:r w:rsidRPr="008913ED">
        <w:rPr>
          <w:szCs w:val="24"/>
          <w:lang w:eastAsia="en-US"/>
        </w:rPr>
        <w:t xml:space="preserve"> vedtage en </w:t>
      </w:r>
      <w:r w:rsidRPr="008913ED">
        <w:rPr>
          <w:strike/>
          <w:szCs w:val="24"/>
          <w:lang w:eastAsia="en-US"/>
        </w:rPr>
        <w:t>gennemførelsesretsakt</w:t>
      </w:r>
      <w:r w:rsidRPr="008913ED">
        <w:rPr>
          <w:b/>
          <w:i/>
          <w:szCs w:val="24"/>
          <w:lang w:eastAsia="en-US"/>
        </w:rPr>
        <w:t>delegeret retsakt i overensstemmelse med artikel 71</w:t>
      </w:r>
      <w:r w:rsidRPr="008913ED">
        <w:rPr>
          <w:szCs w:val="24"/>
          <w:lang w:eastAsia="en-US"/>
        </w:rPr>
        <w:t>, der fastsætter kriterierne og procedurerne for omlægning, herunder ensidige ændringer af kapacitetsrettigheder tildelt af infrastrukturforvalterne, med henblik på håndtering af netforstyrrelser</w:t>
      </w:r>
      <w:r w:rsidRPr="008913ED">
        <w:rPr>
          <w:strike/>
          <w:szCs w:val="24"/>
          <w:lang w:eastAsia="en-US"/>
        </w:rPr>
        <w:t>.</w:t>
      </w:r>
      <w:r w:rsidRPr="008913ED">
        <w:rPr>
          <w:b/>
          <w:i/>
          <w:szCs w:val="24"/>
          <w:lang w:eastAsia="en-US"/>
        </w:rPr>
        <w:t>, og til at ændre</w:t>
      </w:r>
      <w:r w:rsidRPr="008913ED">
        <w:rPr>
          <w:szCs w:val="24"/>
          <w:lang w:eastAsia="en-US"/>
        </w:rPr>
        <w:t xml:space="preserve"> denne </w:t>
      </w:r>
      <w:r w:rsidRPr="008913ED">
        <w:rPr>
          <w:strike/>
          <w:szCs w:val="24"/>
          <w:lang w:eastAsia="en-US"/>
        </w:rPr>
        <w:t>gennemførelsesretsakt</w:t>
      </w:r>
      <w:r w:rsidRPr="008913ED">
        <w:rPr>
          <w:b/>
          <w:i/>
          <w:szCs w:val="24"/>
          <w:lang w:eastAsia="en-US"/>
        </w:rPr>
        <w:t>artikels stk. 2. Disse delegerede retsakter</w:t>
      </w:r>
      <w:r w:rsidRPr="008913ED">
        <w:rPr>
          <w:szCs w:val="24"/>
          <w:lang w:eastAsia="en-US"/>
        </w:rPr>
        <w:t xml:space="preserve"> vedtages </w:t>
      </w:r>
      <w:r w:rsidRPr="008913ED">
        <w:rPr>
          <w:strike/>
          <w:szCs w:val="24"/>
          <w:lang w:eastAsia="en-US"/>
        </w:rPr>
        <w:t>efter undersøgelsesproceduren i artikel 72, stk. 3</w:t>
      </w:r>
      <w:r w:rsidRPr="008913ED">
        <w:rPr>
          <w:b/>
          <w:i/>
          <w:szCs w:val="24"/>
          <w:lang w:eastAsia="en-US"/>
        </w:rPr>
        <w:t>senest den ... [24 måneder fra denne forordnings ikrafttræden]. De skal indgå i den europæiske ramme for kapacitetsforvaltning</w:t>
      </w:r>
      <w:r w:rsidRPr="008913ED">
        <w:rPr>
          <w:szCs w:val="24"/>
          <w:lang w:eastAsia="en-US"/>
        </w:rPr>
        <w:t>.</w:t>
      </w:r>
      <w:r w:rsidRPr="008913ED">
        <w:rPr>
          <w:b/>
          <w:szCs w:val="24"/>
          <w:lang w:eastAsia="en-US"/>
        </w:rPr>
        <w:t xml:space="preserve"> [Ændring 166]</w:t>
      </w:r>
    </w:p>
    <w:p w14:paraId="22ADC98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Infrastrukturforvalterne og ansøgerne kan på frivillig basis indgå aftaler om erstatning af bestemte kapacitetsrettigheder i tilfælde af netforstyrrelser. Sådanne aftaler skal anføres i den beredskabsplan, der er omhandlet i artikel 19.</w:t>
      </w:r>
    </w:p>
    <w:p w14:paraId="17D08AFB" w14:textId="77777777" w:rsidR="006D327E" w:rsidRDefault="006D327E">
      <w:pPr>
        <w:widowControl/>
        <w:rPr>
          <w:szCs w:val="24"/>
          <w:lang w:eastAsia="en-US"/>
        </w:rPr>
      </w:pPr>
      <w:r>
        <w:rPr>
          <w:szCs w:val="24"/>
          <w:lang w:eastAsia="en-US"/>
        </w:rPr>
        <w:br w:type="page"/>
      </w:r>
    </w:p>
    <w:p w14:paraId="001A2335" w14:textId="300DADC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I tilfælde af netforstyrrelser, der påvirker trafikken på mere end ét net, samordner de berørte infrastrukturforvaltere tildelingen af alternativ kapacitet i overensstemmelse med artikel 53 og med den europæiske ramme for grænseoverskridende koordinering af trafikstyring, håndtering af forstyrrelser og krisestyring, jf. artikel 44.</w:t>
      </w:r>
    </w:p>
    <w:p w14:paraId="05C55AD6" w14:textId="77777777" w:rsidR="008913ED" w:rsidRPr="008913ED" w:rsidRDefault="008913ED" w:rsidP="008913ED">
      <w:pPr>
        <w:spacing w:before="120" w:after="120" w:line="360" w:lineRule="auto"/>
        <w:jc w:val="center"/>
        <w:rPr>
          <w:szCs w:val="24"/>
          <w:lang w:eastAsia="en-US"/>
        </w:rPr>
      </w:pPr>
      <w:r w:rsidRPr="008913ED">
        <w:rPr>
          <w:szCs w:val="24"/>
          <w:lang w:eastAsia="en-US"/>
        </w:rPr>
        <w:t xml:space="preserve">KAPITEL III </w:t>
      </w:r>
      <w:r w:rsidRPr="008913ED">
        <w:rPr>
          <w:szCs w:val="24"/>
          <w:lang w:eastAsia="en-US"/>
        </w:rPr>
        <w:br/>
        <w:t>TRAFIKSTYRING, HÅNDTERING AF FORSTYRRELSER OG KRISESTYRING</w:t>
      </w:r>
    </w:p>
    <w:p w14:paraId="7F3A6828"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42</w:t>
      </w:r>
      <w:r w:rsidRPr="008913ED">
        <w:rPr>
          <w:szCs w:val="24"/>
          <w:lang w:eastAsia="en-US"/>
        </w:rPr>
        <w:br/>
        <w:t>Trafikstyring, håndtering af forstyrrelser og krisestyring</w:t>
      </w:r>
    </w:p>
    <w:p w14:paraId="7EBAB96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varetager trafikstyringen i overensstemmelse med denne forordning og direktiv (EU) 2016/797 og de specifikationer, der er fastsat i gennemførelsesretsakter vedtaget i henhold til nævnte direktiv.</w:t>
      </w:r>
    </w:p>
    <w:p w14:paraId="5C66B90B" w14:textId="77777777" w:rsidR="008913ED" w:rsidRPr="008913ED" w:rsidRDefault="008913ED" w:rsidP="008913ED">
      <w:pPr>
        <w:spacing w:before="120" w:after="120" w:line="360" w:lineRule="auto"/>
        <w:ind w:left="850"/>
        <w:rPr>
          <w:szCs w:val="24"/>
          <w:lang w:eastAsia="en-US"/>
        </w:rPr>
      </w:pPr>
      <w:r w:rsidRPr="008913ED">
        <w:rPr>
          <w:szCs w:val="24"/>
          <w:lang w:eastAsia="en-US"/>
        </w:rPr>
        <w:t>Med henblik herpå varetager infrastrukturforvalterne:</w:t>
      </w:r>
    </w:p>
    <w:p w14:paraId="6BD5D01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trafikstyring under normale driftsforhold, der indebærer håndtering af hændelser, som medfører begrænsede afvigelser fra køreplanen</w:t>
      </w:r>
    </w:p>
    <w:p w14:paraId="12A9720B" w14:textId="77777777" w:rsidR="006D327E" w:rsidRDefault="006D327E">
      <w:pPr>
        <w:widowControl/>
        <w:rPr>
          <w:szCs w:val="24"/>
          <w:lang w:eastAsia="en-US"/>
        </w:rPr>
      </w:pPr>
      <w:r>
        <w:rPr>
          <w:szCs w:val="24"/>
          <w:lang w:eastAsia="en-US"/>
        </w:rPr>
        <w:br w:type="page"/>
      </w:r>
    </w:p>
    <w:p w14:paraId="049D9858" w14:textId="367070F0"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b)</w:t>
      </w:r>
      <w:r w:rsidRPr="008913ED">
        <w:rPr>
          <w:szCs w:val="24"/>
          <w:lang w:eastAsia="en-US"/>
        </w:rPr>
        <w:tab/>
        <w:t>håndtering af forstyrrelser for at afhjælpe væsentlige forstyrrelser i netdriften, der kræver en samordnet indsats i overensstemmelse med artikel 46</w:t>
      </w:r>
    </w:p>
    <w:p w14:paraId="2CEA1740"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trafikstyring i krisesituationer, jf. artikel 47.</w:t>
      </w:r>
    </w:p>
    <w:p w14:paraId="2B8ABD5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 tilfælde af alvorlige krisesituationer, både inden for og uden for transportsektoren, kan medlemsstaterne gennemføre foranstaltninger, der fraviger de regler, der gælder i normale situationer, i overensstemmelse med artikel 47. I sådanne tilfælde, og hvor det er relevant, vedtager og anvender infrastrukturforvalterne særlige regler og procedurer på de betingelser, der er fastsat i artikel 47.</w:t>
      </w:r>
    </w:p>
    <w:p w14:paraId="048E1982"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2a.</w:t>
      </w:r>
      <w:r w:rsidRPr="008913ED">
        <w:rPr>
          <w:szCs w:val="24"/>
          <w:lang w:eastAsia="en-US"/>
        </w:rPr>
        <w:tab/>
      </w:r>
      <w:r w:rsidRPr="008913ED">
        <w:rPr>
          <w:b/>
          <w:i/>
          <w:szCs w:val="24"/>
          <w:lang w:eastAsia="en-US"/>
        </w:rPr>
        <w:t>Infrastrukturforvalterne offentliggør og giver fri adgang til de særlige regler og procedurer, der er omhandlet i stk. 2. De meddeler disse til Kommissionen.</w:t>
      </w:r>
      <w:r w:rsidRPr="008913ED">
        <w:rPr>
          <w:b/>
          <w:szCs w:val="24"/>
          <w:lang w:eastAsia="en-US"/>
        </w:rPr>
        <w:t xml:space="preserve"> [Ændring 167]</w:t>
      </w:r>
    </w:p>
    <w:p w14:paraId="5A75497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I forbindelse med trafikstyringen skal infrastrukturforvalterne overholde principperne i artikel 2.</w:t>
      </w:r>
    </w:p>
    <w:p w14:paraId="6090781A"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minimerer navnlig forstyrrelser og deres indvirkning på jernbanetrafikken og:</w:t>
      </w:r>
    </w:p>
    <w:p w14:paraId="23905809" w14:textId="77777777" w:rsidR="004A1561" w:rsidRDefault="004A1561">
      <w:pPr>
        <w:widowControl/>
        <w:rPr>
          <w:szCs w:val="24"/>
          <w:lang w:eastAsia="en-US"/>
        </w:rPr>
      </w:pPr>
      <w:r>
        <w:rPr>
          <w:szCs w:val="24"/>
          <w:lang w:eastAsia="en-US"/>
        </w:rPr>
        <w:br w:type="page"/>
      </w:r>
    </w:p>
    <w:p w14:paraId="215C72C9" w14:textId="53955951"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a)</w:t>
      </w:r>
      <w:r w:rsidRPr="008913ED">
        <w:rPr>
          <w:szCs w:val="24"/>
          <w:lang w:eastAsia="en-US"/>
        </w:rPr>
        <w:tab/>
        <w:t>sikrer en hurtig og koordineret reaktion på forstyrrelser, navnlig i tilfælde af netforstyrrelser og i krisesituationer</w:t>
      </w:r>
    </w:p>
    <w:p w14:paraId="72AC4DB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stabiliserer og optimerer jernbanetrafikken i forbindelse med netforstyrrelser og kriser i hele perioden</w:t>
      </w:r>
    </w:p>
    <w:p w14:paraId="572EC810"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giver relevante, nøjagtige og ajourførte oplysninger til operationelle interessenter og andre berørte parter, navnlig myndigheder med ansvar for håndtering af krisesituationer uden for jernbanesektoren. Oplysningerne gives på enhver hensigtsmæssig måde, herunder ved hjælp af de midler, der er omhandlet i artikel 62.</w:t>
      </w:r>
    </w:p>
    <w:p w14:paraId="38BDF271" w14:textId="738E226A" w:rsidR="008913ED" w:rsidRPr="008913ED" w:rsidRDefault="008913ED" w:rsidP="008913ED">
      <w:pPr>
        <w:spacing w:before="120" w:after="120" w:line="360" w:lineRule="auto"/>
        <w:jc w:val="center"/>
        <w:rPr>
          <w:szCs w:val="24"/>
          <w:lang w:eastAsia="en-US"/>
        </w:rPr>
      </w:pPr>
      <w:r w:rsidRPr="008913ED">
        <w:rPr>
          <w:szCs w:val="24"/>
          <w:lang w:eastAsia="en-US"/>
        </w:rPr>
        <w:t>Artikel 43</w:t>
      </w:r>
      <w:r w:rsidRPr="008913ED">
        <w:rPr>
          <w:szCs w:val="24"/>
          <w:lang w:eastAsia="en-US"/>
        </w:rPr>
        <w:br/>
        <w:t>Regler og procedurer for trafikstyring og håndtering af forstyrrelser</w:t>
      </w:r>
    </w:p>
    <w:p w14:paraId="6A0AB0B7"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Infrastrukturforvalterne indfører</w:t>
      </w:r>
      <w:r w:rsidRPr="008913ED">
        <w:rPr>
          <w:b/>
          <w:i/>
          <w:szCs w:val="24"/>
          <w:lang w:eastAsia="en-US"/>
        </w:rPr>
        <w:t xml:space="preserve"> senest den ... [18 måneder fra denne forordnings ikrafttræden]</w:t>
      </w:r>
      <w:r w:rsidRPr="008913ED">
        <w:rPr>
          <w:szCs w:val="24"/>
          <w:lang w:eastAsia="en-US"/>
        </w:rPr>
        <w:t xml:space="preserve"> regler og procedurer for håndtering af afvigelser fra køreplanen. Disse regler og procedurer offentliggøres i den netvejledning, der er omhandlet i artikel 27 i direktiv 2012/34/EU, og omfatter trafikstyring i de situationer, der er omhandlet i artikel 42, stk. 1, litra a), b) og c), i denne forordning.</w:t>
      </w:r>
      <w:r w:rsidRPr="008913ED">
        <w:rPr>
          <w:b/>
          <w:szCs w:val="24"/>
          <w:lang w:eastAsia="en-US"/>
        </w:rPr>
        <w:t xml:space="preserve"> [Ændring 168]</w:t>
      </w:r>
    </w:p>
    <w:p w14:paraId="17E9018A" w14:textId="77777777" w:rsidR="004A1561" w:rsidRDefault="004A1561">
      <w:pPr>
        <w:widowControl/>
        <w:rPr>
          <w:szCs w:val="24"/>
          <w:lang w:eastAsia="en-US"/>
        </w:rPr>
      </w:pPr>
      <w:r>
        <w:rPr>
          <w:szCs w:val="24"/>
          <w:lang w:eastAsia="en-US"/>
        </w:rPr>
        <w:br w:type="page"/>
      </w:r>
    </w:p>
    <w:p w14:paraId="372A4A40" w14:textId="03275B5F"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 xml:space="preserve">De regler og procedurer, der er omhandlet i stk. 1, skal have til formål at minimere den samlede indvirkning af afvigelser fra køreplanen på jernbanetrafikken under hensyntagen til alle transportformers behov. </w:t>
      </w:r>
      <w:r w:rsidRPr="008913ED">
        <w:rPr>
          <w:strike/>
          <w:szCs w:val="24"/>
          <w:lang w:eastAsia="en-US"/>
        </w:rPr>
        <w:t>Principperne</w:t>
      </w:r>
      <w:r w:rsidRPr="008913ED">
        <w:rPr>
          <w:b/>
          <w:i/>
          <w:szCs w:val="24"/>
          <w:lang w:eastAsia="en-US"/>
        </w:rPr>
        <w:t>Reglerne og procedurerne</w:t>
      </w:r>
      <w:r w:rsidRPr="008913ED">
        <w:rPr>
          <w:szCs w:val="24"/>
          <w:lang w:eastAsia="en-US"/>
        </w:rPr>
        <w:t xml:space="preserve"> kan omfatte prioritetsregler for forvaltningen af de forskellige trafikformer og de specifikke procedurer, kriterier og mål, som skal anvendes i en optimeringsbaseret tilgang, der bygger på optimering af en målfunktion, såsom minimering af forsinkelser i minutter eller af den tid, det tager at vende tilbage til normal drift, snarere end eksplicitte prioritetsregler.</w:t>
      </w:r>
      <w:r w:rsidRPr="008913ED">
        <w:rPr>
          <w:b/>
          <w:szCs w:val="24"/>
          <w:lang w:eastAsia="en-US"/>
        </w:rPr>
        <w:t xml:space="preserve"> [Ændring 169]</w:t>
      </w:r>
    </w:p>
    <w:p w14:paraId="6C6F570F"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Hvis der opstår en forstyrrelse i togtrafikken på grund af tekniske fejl eller som følge af en ulykke, træffer infrastrukturforvalteren</w:t>
      </w:r>
      <w:r w:rsidRPr="008913ED">
        <w:rPr>
          <w:b/>
          <w:i/>
          <w:szCs w:val="24"/>
          <w:lang w:eastAsia="en-US"/>
        </w:rPr>
        <w:t xml:space="preserve"> straks</w:t>
      </w:r>
      <w:r w:rsidRPr="008913ED">
        <w:rPr>
          <w:szCs w:val="24"/>
          <w:lang w:eastAsia="en-US"/>
        </w:rPr>
        <w:t xml:space="preserve"> alle de foranstaltninger, der er nødvendige for at normalisere situationen. Med henblik herpå gennemfører infrastrukturforvalteren en beredskabsplan i overensstemmelse med artikel 19. Hvis der opstår en forstyrrelse, som kan påvirke den grænseoverskridende trafik, normaliserer de relevante infrastrukturforvaltere i fællesskab den grænseoverskridende trafik i overensstemmelse med den europæiske ramme for koordinering af trafikstyring, håndtering af forstyrrelser og krisestyring, der er omhandlet i artikel 44.</w:t>
      </w:r>
      <w:r w:rsidRPr="008913ED">
        <w:rPr>
          <w:b/>
          <w:szCs w:val="24"/>
          <w:lang w:eastAsia="en-US"/>
        </w:rPr>
        <w:t xml:space="preserve"> [Ændring 170]</w:t>
      </w:r>
    </w:p>
    <w:p w14:paraId="7522B1CD" w14:textId="77777777" w:rsidR="004A1561" w:rsidRDefault="004A1561">
      <w:pPr>
        <w:widowControl/>
        <w:rPr>
          <w:szCs w:val="24"/>
          <w:lang w:eastAsia="en-US"/>
        </w:rPr>
      </w:pPr>
      <w:r>
        <w:rPr>
          <w:szCs w:val="24"/>
          <w:lang w:eastAsia="en-US"/>
        </w:rPr>
        <w:br w:type="page"/>
      </w:r>
    </w:p>
    <w:p w14:paraId="066BC42D" w14:textId="60ECBD30"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Ved fastsættelsen af de regler og procedurer, der er omhandlet i stk. 1, tager infrastrukturforvalterne størst muligt hensyn til den europæiske ramme for koordinering af trafikstyring, håndtering af forstyrrelser og krisestyring, der er omhandlet i artikel 44. De gør i netvejledningen rede for årsagerne til enhver afvigelse fra de fælles regler og procedurer, der er fastlagt i den europæiske ramme for koordinering af trafikstyring, håndtering af forstyrrelser og krisestyring.</w:t>
      </w:r>
    </w:p>
    <w:p w14:paraId="6F51B136"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4a.</w:t>
      </w:r>
      <w:r w:rsidRPr="008913ED">
        <w:rPr>
          <w:szCs w:val="24"/>
          <w:lang w:eastAsia="en-US"/>
        </w:rPr>
        <w:tab/>
      </w:r>
      <w:r w:rsidRPr="008913ED">
        <w:rPr>
          <w:b/>
          <w:i/>
          <w:szCs w:val="24"/>
          <w:lang w:eastAsia="en-US"/>
        </w:rPr>
        <w:t>Afvigelser bør kun tillades i behørigt begrundede tilfælde og bør godkendes af det nationale tilsynsorgan.</w:t>
      </w:r>
      <w:r w:rsidRPr="008913ED">
        <w:rPr>
          <w:b/>
          <w:szCs w:val="24"/>
          <w:lang w:eastAsia="en-US"/>
        </w:rPr>
        <w:t xml:space="preserve"> [Ændring 171]</w:t>
      </w:r>
    </w:p>
    <w:p w14:paraId="2C084DA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I tilfælde af force majeure og når det er uomgængelig nødvendigt som følge af en hændelse, som midlertidigt gør infrastrukturen ubrugelig, kan de tildelte kapacitetsrettigheder uden advarsel trækkes tilbage lige så længe, som det tager at reparere systemet</w:t>
      </w:r>
      <w:r w:rsidRPr="008913ED">
        <w:rPr>
          <w:b/>
          <w:i/>
          <w:szCs w:val="24"/>
          <w:lang w:eastAsia="en-US"/>
        </w:rPr>
        <w:t>, samtidig med at der gøres det yderste for at tilvejebringe mulige alternativer</w:t>
      </w:r>
      <w:r w:rsidRPr="008913ED">
        <w:rPr>
          <w:szCs w:val="24"/>
          <w:lang w:eastAsia="en-US"/>
        </w:rPr>
        <w:t>.</w:t>
      </w:r>
      <w:r w:rsidRPr="008913ED">
        <w:rPr>
          <w:b/>
          <w:szCs w:val="24"/>
          <w:lang w:eastAsia="en-US"/>
        </w:rPr>
        <w:t xml:space="preserve"> [Ændring 172]</w:t>
      </w:r>
    </w:p>
    <w:p w14:paraId="55986612"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Infrastrukturforvalteren kan, hvis han anser det for nødvendigt, forlange, at jernbanevirksomhederne stiller de midler, han finder mest hensigtsmæssige, til hans disposition, for at togtrafikken kan normaliseres hurtigst muligt.</w:t>
      </w:r>
    </w:p>
    <w:p w14:paraId="1A11DD4E" w14:textId="77777777" w:rsidR="004A1561" w:rsidRDefault="004A1561">
      <w:pPr>
        <w:widowControl/>
        <w:rPr>
          <w:b/>
          <w:i/>
          <w:szCs w:val="24"/>
          <w:lang w:eastAsia="en-US"/>
        </w:rPr>
      </w:pPr>
      <w:r>
        <w:rPr>
          <w:b/>
          <w:i/>
          <w:szCs w:val="24"/>
          <w:lang w:eastAsia="en-US"/>
        </w:rPr>
        <w:br w:type="page"/>
      </w:r>
    </w:p>
    <w:p w14:paraId="5290AF48" w14:textId="4F0BFDBB"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5a.</w:t>
      </w:r>
      <w:r w:rsidRPr="008913ED">
        <w:rPr>
          <w:szCs w:val="24"/>
          <w:lang w:eastAsia="en-US"/>
        </w:rPr>
        <w:tab/>
      </w:r>
      <w:r w:rsidRPr="008913ED">
        <w:rPr>
          <w:b/>
          <w:i/>
          <w:szCs w:val="24"/>
          <w:lang w:eastAsia="en-US"/>
        </w:rPr>
        <w:t>I tilfælde af tilbagetrækning af kapacitet underretter infrastrukturforvalterne jernbanevirksomhederne rettidigt om deres tidsstyring, om reparationernes forløb og om mulige alternativer til deres tildelte kapacitet.</w:t>
      </w:r>
      <w:r w:rsidRPr="008913ED">
        <w:rPr>
          <w:b/>
          <w:szCs w:val="24"/>
          <w:lang w:eastAsia="en-US"/>
        </w:rPr>
        <w:t xml:space="preserve"> [Ændring 173]</w:t>
      </w:r>
    </w:p>
    <w:p w14:paraId="13A148D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Medlemsstaterne kan kræve, at jernbanevirksomhederne deltager i tilsynet med, at de selv overholder sikkerhedsstandarder og -regler, og i håndhævelsen af disse standarder og regler.</w:t>
      </w:r>
    </w:p>
    <w:p w14:paraId="2D73C788"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6a.</w:t>
      </w:r>
      <w:r w:rsidRPr="008913ED">
        <w:rPr>
          <w:szCs w:val="24"/>
          <w:lang w:eastAsia="en-US"/>
        </w:rPr>
        <w:tab/>
      </w:r>
      <w:r w:rsidRPr="008913ED">
        <w:rPr>
          <w:b/>
          <w:i/>
          <w:szCs w:val="24"/>
          <w:lang w:eastAsia="en-US"/>
        </w:rPr>
        <w:t>Kommissionen vedtager senest den ... [24 måneder fra denne forordnings ikrafttræden] gennemførelsesretsakter med regler og procedurer for håndtering af afvigelser fra køreplanen og ændring af denne artikels stk. 1. Disse gennemførelsesretsakter vedtages efter undersøgelsesproceduren i artikel 72, stk. 3.</w:t>
      </w:r>
      <w:r w:rsidRPr="008913ED">
        <w:rPr>
          <w:b/>
          <w:szCs w:val="24"/>
          <w:lang w:eastAsia="en-US"/>
        </w:rPr>
        <w:t xml:space="preserve"> [Ændring 174]</w:t>
      </w:r>
    </w:p>
    <w:p w14:paraId="4DBA7011"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44</w:t>
      </w:r>
      <w:r w:rsidRPr="008913ED">
        <w:rPr>
          <w:szCs w:val="24"/>
          <w:lang w:eastAsia="en-US"/>
        </w:rPr>
        <w:br/>
        <w:t>Europæisk ramme for koordinering af grænseoverskridende trafikstyring, håndtering af forstyrrelser og krisestyring</w:t>
      </w:r>
    </w:p>
    <w:p w14:paraId="046A16D8" w14:textId="2EA17FF5"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 xml:space="preserve">ENIM udvikler og vedtager en europæisk ramme for koordinering af trafikstyring, håndtering af forstyrrelser og krisestyring i overensstemmelse med artikel 42 senest den </w:t>
      </w:r>
      <w:r w:rsidR="003203BD">
        <w:rPr>
          <w:szCs w:val="24"/>
          <w:lang w:eastAsia="en-US"/>
        </w:rPr>
        <w:t xml:space="preserve">... </w:t>
      </w:r>
      <w:r w:rsidRPr="008913ED">
        <w:rPr>
          <w:szCs w:val="24"/>
          <w:lang w:eastAsia="en-US"/>
        </w:rPr>
        <w:t>[12 måneder efter denne forordnings ikrafttræden].</w:t>
      </w:r>
    </w:p>
    <w:p w14:paraId="201CB461" w14:textId="77777777" w:rsidR="004A1561" w:rsidRDefault="004A1561">
      <w:pPr>
        <w:widowControl/>
        <w:rPr>
          <w:szCs w:val="24"/>
          <w:lang w:eastAsia="en-US"/>
        </w:rPr>
      </w:pPr>
      <w:r>
        <w:rPr>
          <w:szCs w:val="24"/>
          <w:lang w:eastAsia="en-US"/>
        </w:rPr>
        <w:br w:type="page"/>
      </w:r>
    </w:p>
    <w:p w14:paraId="74FB07B3" w14:textId="17AFA5AA" w:rsidR="008913ED" w:rsidRPr="008913ED" w:rsidRDefault="008913ED" w:rsidP="008913ED">
      <w:pPr>
        <w:spacing w:before="120" w:after="120" w:line="360" w:lineRule="auto"/>
        <w:ind w:left="850"/>
        <w:rPr>
          <w:b/>
          <w:szCs w:val="24"/>
          <w:lang w:eastAsia="en-US"/>
        </w:rPr>
      </w:pPr>
      <w:r w:rsidRPr="008913ED">
        <w:rPr>
          <w:szCs w:val="24"/>
          <w:lang w:eastAsia="en-US"/>
        </w:rPr>
        <w:lastRenderedPageBreak/>
        <w:t>ENIM udvikler den europæiske ramme for grænseoverskridende koordinering af trafikstyring, håndtering af forstyrrelser og krisestyring i samarbejde med operationelle interessenter og berørte parter gennem den høringsproces, der er omhandlet i artikel 54, under hensyntagen til arbejdet i fællesforetagendet for Europas jernbaner, der er oprettet i henhold til afsnit IV i forordning (EU) 2021/2085.</w:t>
      </w:r>
      <w:r w:rsidRPr="008913ED">
        <w:rPr>
          <w:b/>
          <w:i/>
          <w:szCs w:val="24"/>
          <w:lang w:eastAsia="en-US"/>
        </w:rPr>
        <w:t xml:space="preserve"> </w:t>
      </w:r>
      <w:r w:rsidRPr="008913ED">
        <w:rPr>
          <w:b/>
          <w:szCs w:val="24"/>
          <w:lang w:eastAsia="en-US"/>
        </w:rPr>
        <w:t>[Ændring 175</w:t>
      </w:r>
      <w:r w:rsidR="003203BD">
        <w:rPr>
          <w:b/>
          <w:szCs w:val="24"/>
          <w:lang w:eastAsia="en-US"/>
        </w:rPr>
        <w:t xml:space="preserve"> - </w:t>
      </w:r>
      <w:r w:rsidR="003203BD" w:rsidRPr="008913ED">
        <w:rPr>
          <w:b/>
          <w:i/>
          <w:szCs w:val="24"/>
          <w:lang w:eastAsia="en-US"/>
        </w:rPr>
        <w:t>Vedrører ikke den danske tekst</w:t>
      </w:r>
      <w:r w:rsidRPr="008913ED">
        <w:rPr>
          <w:b/>
          <w:szCs w:val="24"/>
          <w:lang w:eastAsia="en-US"/>
        </w:rPr>
        <w:t>]</w:t>
      </w:r>
    </w:p>
    <w:p w14:paraId="5D6356CF"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Den europæiske ramme for koordinering af grænseoverskridende trafikstyring, håndtering af forstyrrelser og krisestyring skal indeholde retningslinjer for samordningen mellem infrastrukturforvaltere, jernbanevirksomheder og andre operationelle interessenter</w:t>
      </w:r>
      <w:r w:rsidRPr="008913ED">
        <w:rPr>
          <w:b/>
          <w:i/>
          <w:szCs w:val="24"/>
          <w:lang w:eastAsia="en-US"/>
        </w:rPr>
        <w:t>, herunder ENRRB</w:t>
      </w:r>
      <w:r w:rsidRPr="008913ED">
        <w:rPr>
          <w:szCs w:val="24"/>
          <w:lang w:eastAsia="en-US"/>
        </w:rPr>
        <w:t>.</w:t>
      </w:r>
      <w:r w:rsidRPr="008913ED">
        <w:rPr>
          <w:b/>
          <w:szCs w:val="24"/>
          <w:lang w:eastAsia="en-US"/>
        </w:rPr>
        <w:t xml:space="preserve"> [Ændring 176]</w:t>
      </w:r>
    </w:p>
    <w:p w14:paraId="47063BE9"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Den europæiske ramme for grænseoverskridende koordinering af trafikstyring, håndtering af forstyrrelser og krisestyring skal navnlig omfatte de elementer, der er anført i bilag V.</w:t>
      </w:r>
    </w:p>
    <w:p w14:paraId="34876574" w14:textId="77777777" w:rsidR="004A1561" w:rsidRDefault="004A1561">
      <w:pPr>
        <w:widowControl/>
        <w:rPr>
          <w:b/>
          <w:i/>
          <w:szCs w:val="24"/>
          <w:lang w:eastAsia="en-US"/>
        </w:rPr>
      </w:pPr>
      <w:r>
        <w:rPr>
          <w:b/>
          <w:i/>
          <w:szCs w:val="24"/>
          <w:lang w:eastAsia="en-US"/>
        </w:rPr>
        <w:br w:type="page"/>
      </w:r>
    </w:p>
    <w:p w14:paraId="55352505" w14:textId="0840AF07"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3a.</w:t>
      </w:r>
      <w:r w:rsidRPr="008913ED">
        <w:rPr>
          <w:szCs w:val="24"/>
          <w:lang w:eastAsia="en-US"/>
        </w:rPr>
        <w:tab/>
      </w:r>
      <w:r w:rsidRPr="008913ED">
        <w:rPr>
          <w:b/>
          <w:i/>
          <w:szCs w:val="24"/>
          <w:lang w:eastAsia="en-US"/>
        </w:rPr>
        <w:t>Under hensyntagen til den ramme, som ENIM har vedtaget i overensstemmelse med stk. 1, tillægges Kommissionen beføjelse til at vedtage delegerede retsakter i overensstemmelse med artikel 71 med henblik på at fastsætte de nærmere bestemmelser for koordineringen af grænseoverskridende trafikstyring, håndtering af forstyrrelser og krisestyring og til at ændre nærværende artikels stk. 2. Disse delegerede retsakter vedtages senest den ... [24 måneder fra denne forordnings ikrafttræden].</w:t>
      </w:r>
      <w:r w:rsidRPr="008913ED">
        <w:rPr>
          <w:b/>
          <w:szCs w:val="24"/>
          <w:lang w:eastAsia="en-US"/>
        </w:rPr>
        <w:t xml:space="preserve"> [Ændring 177]</w:t>
      </w:r>
    </w:p>
    <w:p w14:paraId="72DA26AD"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45</w:t>
      </w:r>
      <w:r w:rsidRPr="008913ED">
        <w:rPr>
          <w:szCs w:val="24"/>
          <w:lang w:eastAsia="en-US"/>
        </w:rPr>
        <w:br/>
        <w:t>Koordinering af trafikstyring, håndtering af forstyrrelser og krisestyring</w:t>
      </w:r>
    </w:p>
    <w:p w14:paraId="360AB056" w14:textId="77777777" w:rsidR="008913ED" w:rsidRPr="008913ED" w:rsidRDefault="008913ED" w:rsidP="008913ED">
      <w:pPr>
        <w:spacing w:before="120" w:after="120" w:line="360" w:lineRule="auto"/>
        <w:rPr>
          <w:szCs w:val="24"/>
          <w:lang w:eastAsia="en-US"/>
        </w:rPr>
      </w:pPr>
      <w:r w:rsidRPr="008913ED">
        <w:rPr>
          <w:szCs w:val="24"/>
          <w:lang w:eastAsia="en-US"/>
        </w:rPr>
        <w:t>Infrastrukturforvalterne samordner trafikstyringen i overensstemmelse med artikel 53 og på grundlag af den europæiske ramme for grænseoverskridende koordinering af trafikstyring, håndtering af forstyrrelser og krisestyring, der er omhandlet i artikel 44.</w:t>
      </w:r>
    </w:p>
    <w:p w14:paraId="531BA5E3" w14:textId="77777777" w:rsidR="008913ED" w:rsidRPr="008913ED" w:rsidRDefault="008913ED" w:rsidP="008913ED">
      <w:pPr>
        <w:spacing w:before="120" w:after="120" w:line="360" w:lineRule="auto"/>
        <w:rPr>
          <w:szCs w:val="24"/>
          <w:lang w:eastAsia="en-US"/>
        </w:rPr>
      </w:pPr>
      <w:r w:rsidRPr="008913ED">
        <w:rPr>
          <w:szCs w:val="24"/>
          <w:lang w:eastAsia="en-US"/>
        </w:rPr>
        <w:t>Koordineringen skal navnlig sikre:</w:t>
      </w:r>
    </w:p>
    <w:p w14:paraId="66B7DCB7"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a)</w:t>
      </w:r>
      <w:r w:rsidRPr="008913ED">
        <w:rPr>
          <w:szCs w:val="24"/>
          <w:lang w:eastAsia="en-US"/>
        </w:rPr>
        <w:tab/>
        <w:t>at internationale jernbanetjenester drives med minimale forstyrrelser både under normal drift og i tilfælde af forstyrrelser</w:t>
      </w:r>
    </w:p>
    <w:p w14:paraId="7DC42DE6" w14:textId="77777777" w:rsidR="004A1561" w:rsidRDefault="004A1561">
      <w:pPr>
        <w:widowControl/>
        <w:rPr>
          <w:szCs w:val="24"/>
          <w:lang w:eastAsia="en-US"/>
        </w:rPr>
      </w:pPr>
      <w:r>
        <w:rPr>
          <w:szCs w:val="24"/>
          <w:lang w:eastAsia="en-US"/>
        </w:rPr>
        <w:br w:type="page"/>
      </w:r>
    </w:p>
    <w:p w14:paraId="369B3DDC" w14:textId="494BD8AD"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b)</w:t>
      </w:r>
      <w:r w:rsidRPr="008913ED">
        <w:rPr>
          <w:szCs w:val="24"/>
          <w:lang w:eastAsia="en-US"/>
        </w:rPr>
        <w:tab/>
        <w:t>at der tages behørigt hensyn til de specifikke udfordringer i forbindelse med grænseoverskridende strækninger, der bl.a. skyldes begrænset interoperabilitet med hensyn til infrastruktur, teknisk udstyr og drift, sprog- og uddannelseskrav til personale, administrative formaliteter eller formaliteter ved grænserne</w:t>
      </w:r>
    </w:p>
    <w:p w14:paraId="7CA0F18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c)</w:t>
      </w:r>
      <w:r w:rsidRPr="008913ED">
        <w:rPr>
          <w:szCs w:val="24"/>
          <w:lang w:eastAsia="en-US"/>
        </w:rPr>
        <w:tab/>
        <w:t>effektiv udveksling af ajourførte og relevante oplysninger mellem infrastrukturforvaltere, ansøgere, jernbanevirksomheder og andre operationelle interessenter samt eventuelle relevante forvaltningsstrukturer for krisestyring på EU-plan, herunder i overensstemmelse med artikel 62.</w:t>
      </w:r>
    </w:p>
    <w:p w14:paraId="455F4C6B"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46</w:t>
      </w:r>
      <w:r w:rsidRPr="008913ED">
        <w:rPr>
          <w:szCs w:val="24"/>
          <w:lang w:eastAsia="en-US"/>
        </w:rPr>
        <w:br/>
        <w:t>Netforstyrrelser</w:t>
      </w:r>
    </w:p>
    <w:p w14:paraId="7403868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Hvis en hændelse resulterer i eller sandsynligvis vil resultere i begrænsninger af netdriften, der kræver en samordnet indsats fra de operationelle interessenters side for at sikre den bedst mulige trafikstyring under begrænsningerne, vurderer de berørte infrastrukturforvaltere hændelsens sandsynlige varighed og virkning på grundlag af alle tilgængelige oplysninger og tidligere erfaringer.</w:t>
      </w:r>
    </w:p>
    <w:p w14:paraId="2EE50DB4" w14:textId="77777777" w:rsidR="004A1561" w:rsidRDefault="004A1561">
      <w:pPr>
        <w:widowControl/>
        <w:rPr>
          <w:szCs w:val="24"/>
          <w:lang w:eastAsia="en-US"/>
        </w:rPr>
      </w:pPr>
      <w:r>
        <w:rPr>
          <w:szCs w:val="24"/>
          <w:lang w:eastAsia="en-US"/>
        </w:rPr>
        <w:br w:type="page"/>
      </w:r>
    </w:p>
    <w:p w14:paraId="464BD057" w14:textId="6A21D493" w:rsidR="008913ED" w:rsidRPr="008913ED" w:rsidRDefault="008913ED" w:rsidP="008913ED">
      <w:pPr>
        <w:spacing w:before="120" w:after="120" w:line="360" w:lineRule="auto"/>
        <w:ind w:left="850"/>
        <w:rPr>
          <w:szCs w:val="24"/>
          <w:lang w:eastAsia="en-US"/>
        </w:rPr>
      </w:pPr>
      <w:r w:rsidRPr="008913ED">
        <w:rPr>
          <w:szCs w:val="24"/>
          <w:lang w:eastAsia="en-US"/>
        </w:rPr>
        <w:lastRenderedPageBreak/>
        <w:t>Hvis den anslåede varighed og virkning opfylder kriterierne for erklæring af netforstyrrelser som fastsat i bilag VI, erklærer de berørte infrastrukturforvaltere netforstyrrelser og gennemfører de foranstaltninger, der er fastsat i artikel 43.</w:t>
      </w:r>
    </w:p>
    <w:p w14:paraId="65846C8D"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Hvis hændelsen påvirker eller sandsynligvis vil påvirke mere end ét net, erklærer </w:t>
      </w:r>
      <w:r w:rsidRPr="008913ED">
        <w:rPr>
          <w:strike/>
          <w:szCs w:val="24"/>
          <w:lang w:eastAsia="en-US"/>
        </w:rPr>
        <w:t>infrastrukturforvalteren på det sted</w:t>
      </w:r>
      <w:r w:rsidRPr="008913ED">
        <w:rPr>
          <w:b/>
          <w:i/>
          <w:szCs w:val="24"/>
          <w:lang w:eastAsia="en-US"/>
        </w:rPr>
        <w:t>forvalteren af den infrastruktur</w:t>
      </w:r>
      <w:r w:rsidRPr="008913ED">
        <w:rPr>
          <w:szCs w:val="24"/>
          <w:lang w:eastAsia="en-US"/>
        </w:rPr>
        <w:t>, hvor hændelsen fandt sted, forstyrrelser på flere net og koordinerer foranstaltninger i overensstemmelse med artikel 44, 45 og 53.</w:t>
      </w:r>
      <w:r w:rsidRPr="008913ED">
        <w:rPr>
          <w:b/>
          <w:szCs w:val="24"/>
          <w:lang w:eastAsia="en-US"/>
        </w:rPr>
        <w:t xml:space="preserve"> [Ændring 178]</w:t>
      </w:r>
    </w:p>
    <w:p w14:paraId="244539FC"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ENIM fastlægger en harmoniseret metode til at anslå den sandsynlige varighed og virkning af netforstyrrelser og medtager den i den europæiske ramme for koordinering af trafikstyring</w:t>
      </w:r>
      <w:r w:rsidRPr="008913ED">
        <w:rPr>
          <w:b/>
          <w:i/>
          <w:szCs w:val="24"/>
          <w:lang w:eastAsia="en-US"/>
        </w:rPr>
        <w:t>, håndtering af forstyrrelser</w:t>
      </w:r>
      <w:r w:rsidRPr="008913ED">
        <w:rPr>
          <w:szCs w:val="24"/>
          <w:lang w:eastAsia="en-US"/>
        </w:rPr>
        <w:t xml:space="preserve"> og krisestyring, der er omhandlet i artikel 44.</w:t>
      </w:r>
      <w:r w:rsidRPr="008913ED">
        <w:rPr>
          <w:b/>
          <w:szCs w:val="24"/>
          <w:lang w:eastAsia="en-US"/>
        </w:rPr>
        <w:t xml:space="preserve"> [Ændring 179]</w:t>
      </w:r>
    </w:p>
    <w:p w14:paraId="0ECE4D7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Infrastrukturforvalteren underretter hurtigst muligt de berørte parter om, at infrastrukturkapaciteten ikke er til rådighed, navnlig som følge af en hændelse.</w:t>
      </w:r>
    </w:p>
    <w:p w14:paraId="1B7DBA2D" w14:textId="77777777" w:rsidR="008913ED" w:rsidRPr="008913ED" w:rsidRDefault="008913ED" w:rsidP="008913ED">
      <w:pPr>
        <w:spacing w:before="120" w:after="120" w:line="360" w:lineRule="auto"/>
        <w:ind w:left="850"/>
        <w:rPr>
          <w:szCs w:val="24"/>
          <w:lang w:eastAsia="en-US"/>
        </w:rPr>
      </w:pPr>
      <w:r w:rsidRPr="008913ED">
        <w:rPr>
          <w:szCs w:val="24"/>
          <w:lang w:eastAsia="en-US"/>
        </w:rPr>
        <w:t>Tilsynsorganet kan kræve, at infrastrukturforvalteren gør sådanne oplysninger tilgængelige, hvis det anser det for nødvendigt.</w:t>
      </w:r>
    </w:p>
    <w:p w14:paraId="0094AD84" w14:textId="77777777" w:rsidR="004A1561" w:rsidRDefault="004A1561">
      <w:pPr>
        <w:widowControl/>
        <w:rPr>
          <w:b/>
          <w:i/>
          <w:szCs w:val="24"/>
          <w:lang w:eastAsia="en-US"/>
        </w:rPr>
      </w:pPr>
      <w:r>
        <w:rPr>
          <w:b/>
          <w:i/>
          <w:szCs w:val="24"/>
          <w:lang w:eastAsia="en-US"/>
        </w:rPr>
        <w:br w:type="page"/>
      </w:r>
    </w:p>
    <w:p w14:paraId="415C06D2" w14:textId="244B875C" w:rsidR="008913ED" w:rsidRPr="008913ED" w:rsidRDefault="008913ED" w:rsidP="008913ED">
      <w:pPr>
        <w:spacing w:before="120" w:after="120" w:line="360" w:lineRule="auto"/>
        <w:ind w:left="850" w:hanging="850"/>
        <w:rPr>
          <w:szCs w:val="24"/>
          <w:lang w:eastAsia="en-US"/>
        </w:rPr>
      </w:pPr>
      <w:r w:rsidRPr="008913ED">
        <w:rPr>
          <w:b/>
          <w:i/>
          <w:szCs w:val="24"/>
          <w:lang w:eastAsia="en-US"/>
        </w:rPr>
        <w:lastRenderedPageBreak/>
        <w:t>4a.</w:t>
      </w:r>
      <w:r w:rsidRPr="008913ED">
        <w:rPr>
          <w:szCs w:val="24"/>
          <w:lang w:eastAsia="en-US"/>
        </w:rPr>
        <w:tab/>
      </w:r>
      <w:r w:rsidRPr="008913ED">
        <w:rPr>
          <w:b/>
          <w:i/>
          <w:szCs w:val="24"/>
          <w:lang w:eastAsia="en-US"/>
        </w:rPr>
        <w:t>I tilfælde af en delvis eller fuldstændig afbrydelse af tjenesterne som følge af en afbrydelse af togdriften som følge af et teknisk svigt, en hændelse eller en ulykke på en grænseoverskridende strækning, der varer længere end 15 dage, udarbejder de berørte infrastrukturforvaltere senest 30 dage efter hændelsen en hændelsesrapport. Hændelsesrapporten skal som minimum indeholde:</w:t>
      </w:r>
    </w:p>
    <w:p w14:paraId="027E8228"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a)</w:t>
      </w:r>
      <w:r w:rsidRPr="008913ED">
        <w:rPr>
          <w:szCs w:val="24"/>
          <w:lang w:eastAsia="en-US"/>
        </w:rPr>
        <w:tab/>
      </w:r>
      <w:r w:rsidRPr="008913ED">
        <w:rPr>
          <w:b/>
          <w:i/>
          <w:szCs w:val="24"/>
          <w:lang w:eastAsia="en-US"/>
        </w:rPr>
        <w:t>oplysninger om alle operationelle foranstaltninger, der er truffet for at sikre alternative ruter</w:t>
      </w:r>
    </w:p>
    <w:p w14:paraId="4A53E02B"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b)</w:t>
      </w:r>
      <w:r w:rsidRPr="008913ED">
        <w:rPr>
          <w:szCs w:val="24"/>
          <w:lang w:eastAsia="en-US"/>
        </w:rPr>
        <w:tab/>
      </w:r>
      <w:r w:rsidRPr="008913ED">
        <w:rPr>
          <w:b/>
          <w:i/>
          <w:szCs w:val="24"/>
          <w:lang w:eastAsia="en-US"/>
        </w:rPr>
        <w:t>oplysninger om alle foranstaltninger, der er truffet for at genoprette almindelig drift på den afbrudte strækning.</w:t>
      </w:r>
    </w:p>
    <w:p w14:paraId="0ECBAED6" w14:textId="77777777" w:rsidR="008913ED" w:rsidRPr="008913ED" w:rsidRDefault="008913ED" w:rsidP="008913ED">
      <w:pPr>
        <w:spacing w:before="120" w:after="120" w:line="360" w:lineRule="auto"/>
        <w:ind w:left="850"/>
        <w:rPr>
          <w:szCs w:val="24"/>
          <w:lang w:eastAsia="en-US"/>
        </w:rPr>
      </w:pPr>
      <w:r w:rsidRPr="008913ED">
        <w:rPr>
          <w:b/>
          <w:i/>
          <w:szCs w:val="24"/>
          <w:lang w:eastAsia="en-US"/>
        </w:rPr>
        <w:t>Rapporten gøres offentligt tilgængelig og ajourføres regelmæssigt, indtil afbrydelsen er afsluttet.</w:t>
      </w:r>
    </w:p>
    <w:p w14:paraId="36FF10B9"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ERA kan udstede henstillinger om forbedrede foranstaltninger til afhjælpning af forstyrrelser og trafikkapacitetsbegrænsninger som følge af ulykken.</w:t>
      </w:r>
      <w:r w:rsidRPr="008913ED">
        <w:rPr>
          <w:b/>
          <w:szCs w:val="24"/>
          <w:lang w:eastAsia="en-US"/>
        </w:rPr>
        <w:t xml:space="preserve"> [Ændring 180]</w:t>
      </w:r>
    </w:p>
    <w:p w14:paraId="1375B394" w14:textId="77777777" w:rsidR="004A1561" w:rsidRDefault="004A1561">
      <w:pPr>
        <w:widowControl/>
        <w:rPr>
          <w:szCs w:val="24"/>
          <w:lang w:eastAsia="en-US"/>
        </w:rPr>
      </w:pPr>
      <w:r>
        <w:rPr>
          <w:szCs w:val="24"/>
          <w:lang w:eastAsia="en-US"/>
        </w:rPr>
        <w:br w:type="page"/>
      </w:r>
    </w:p>
    <w:p w14:paraId="72315FE5" w14:textId="62D1534E"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Netværkskoordinatoren indsamler oplysninger om netforstyrrelser, analyserer reaktionen, drager konklusioner om effektiviteten af håndteringen af sådanne hændelser og hører operationelle interessenter i overensstemmelse med artikel 54 og rapporterer til ENIM og præstationsvurderingsorganet.</w:t>
      </w:r>
    </w:p>
    <w:p w14:paraId="6B38DA7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Kommissionen tillægges beføjelser til at vedtage delegerede retsakter i overensstemmelse med artikel 71 med henblik på at ændre bilag VI for at sikre en effektiv forvaltning af netforstyrrelser under hensyntagen til de berørte interessenters planlægning og operationelle, tekniske og kommercielle interesser.</w:t>
      </w:r>
    </w:p>
    <w:p w14:paraId="7F21CDE2"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47</w:t>
      </w:r>
      <w:r w:rsidRPr="008913ED">
        <w:rPr>
          <w:szCs w:val="24"/>
          <w:lang w:eastAsia="en-US"/>
        </w:rPr>
        <w:br/>
        <w:t>Krisesituationer</w:t>
      </w:r>
    </w:p>
    <w:p w14:paraId="4EE4626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 tilfælde af kriser i forbindelse med offentlig sikkerhed, sundhedsepidemier, naturkatastrofer, miljø-, forsvars- og sikkerhedskriser, der har eller forventes at have en kritisk indvirkning på udbuddet af eller efterspørgslen efter jernbanetransportydelser, kan medlemsstaterne træffe hasteforanstaltninger, der som en undtagelse fra bestemmelserne i denne forordning omfatter:</w:t>
      </w:r>
    </w:p>
    <w:p w14:paraId="5D22EAEB" w14:textId="77777777" w:rsidR="004A1561" w:rsidRDefault="004A1561">
      <w:pPr>
        <w:widowControl/>
        <w:rPr>
          <w:szCs w:val="24"/>
          <w:lang w:eastAsia="en-US"/>
        </w:rPr>
      </w:pPr>
      <w:r>
        <w:rPr>
          <w:szCs w:val="24"/>
          <w:lang w:eastAsia="en-US"/>
        </w:rPr>
        <w:br w:type="page"/>
      </w:r>
    </w:p>
    <w:p w14:paraId="2A9F89F2" w14:textId="2576E459"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a)</w:t>
      </w:r>
      <w:r w:rsidRPr="008913ED">
        <w:rPr>
          <w:szCs w:val="24"/>
          <w:lang w:eastAsia="en-US"/>
        </w:rPr>
        <w:tab/>
        <w:t>annullering af kapacitetsrettigheder uden kompensation</w:t>
      </w:r>
    </w:p>
    <w:p w14:paraId="457BC6CE"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alternative principper, regler og procedurer for kapacitetsforvaltning, navnlig for tildeling af knap infrastrukturkapacitet</w:t>
      </w:r>
    </w:p>
    <w:p w14:paraId="3886A80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alternative procedurer for trafikstyring</w:t>
      </w:r>
    </w:p>
    <w:p w14:paraId="20E8CA32"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anvendelse af alternative ruter</w:t>
      </w:r>
    </w:p>
    <w:p w14:paraId="1DA195B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ændring af kapacitetsforsyningsplaner.</w:t>
      </w:r>
    </w:p>
    <w:p w14:paraId="5AFA48A1" w14:textId="77777777" w:rsidR="008913ED" w:rsidRPr="008913ED" w:rsidRDefault="008913ED" w:rsidP="008913ED">
      <w:pPr>
        <w:spacing w:before="120" w:after="120" w:line="360" w:lineRule="auto"/>
        <w:ind w:left="850"/>
        <w:rPr>
          <w:b/>
          <w:szCs w:val="24"/>
          <w:lang w:eastAsia="en-US"/>
        </w:rPr>
      </w:pPr>
      <w:r w:rsidRPr="008913ED">
        <w:rPr>
          <w:szCs w:val="24"/>
          <w:lang w:eastAsia="en-US"/>
        </w:rPr>
        <w:t xml:space="preserve">Den pågældende medlemsstat sikrer, at nødforanstaltningerne så vidt muligt følger de principper om kapacitetsforvaltning og trafikstyring, der er fastsat i denne forordning, og at der gøres brug af eksisterende planer udarbejdet i overensstemmelse med artikel 19. </w:t>
      </w:r>
      <w:r w:rsidRPr="008913ED">
        <w:rPr>
          <w:strike/>
          <w:szCs w:val="24"/>
          <w:lang w:eastAsia="en-US"/>
        </w:rPr>
        <w:t>Medlemsstaten</w:t>
      </w:r>
      <w:r w:rsidRPr="008913ED">
        <w:rPr>
          <w:b/>
          <w:i/>
          <w:szCs w:val="24"/>
          <w:lang w:eastAsia="en-US"/>
        </w:rPr>
        <w:t>Den</w:t>
      </w:r>
      <w:r w:rsidRPr="008913ED">
        <w:rPr>
          <w:szCs w:val="24"/>
          <w:lang w:eastAsia="en-US"/>
        </w:rPr>
        <w:t xml:space="preserve"> koordinerer sådanne nødforanstaltninger med andre medlemsstater.</w:t>
      </w:r>
      <w:r w:rsidRPr="008913ED">
        <w:rPr>
          <w:b/>
          <w:szCs w:val="24"/>
          <w:lang w:eastAsia="en-US"/>
        </w:rPr>
        <w:t xml:space="preserve"> [Ændring 181]</w:t>
      </w:r>
    </w:p>
    <w:p w14:paraId="4EC1219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Den pågældende medlemsstat underretter straks Kommissionen og ENIM om sin beslutning om at anvende hasteforanstaltninger og begrunder og redegør for disse foranstaltninger og den forventede varighed af deres anvendelse. Hvis det er relevant, underretter medlemsstaten også Kommissionen og de centrale forbindelseskontorer, jf. artikel 8 i [forordningen om et nødinstrument for det indre marked].</w:t>
      </w:r>
    </w:p>
    <w:p w14:paraId="1E89EA45" w14:textId="77777777" w:rsidR="004A1561" w:rsidRDefault="004A1561">
      <w:pPr>
        <w:widowControl/>
        <w:rPr>
          <w:szCs w:val="24"/>
          <w:lang w:eastAsia="en-US"/>
        </w:rPr>
      </w:pPr>
      <w:r>
        <w:rPr>
          <w:szCs w:val="24"/>
          <w:lang w:eastAsia="en-US"/>
        </w:rPr>
        <w:br w:type="page"/>
      </w:r>
    </w:p>
    <w:p w14:paraId="6232037B" w14:textId="1F9B293E"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Infrastrukturforvalteren udpeger et kontaktpunkt som omhandlet i artikel 60, der informerer Kommissionen, ENIM, andre infrastrukturforvaltere og andre berørte parter om nødforanstaltningerne og hjælper med at koordinere sådanne foranstaltninger.</w:t>
      </w:r>
    </w:p>
    <w:p w14:paraId="33BC61E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Hvis nødforanstaltninger har en betydelig indvirkning på den grænseoverskridende trafik, samordner infrastrukturforvalterne foranstaltningerne indbyrdes i overensstemmelse med artikel 53 og 54. Kommissionen og de berørte medlemsstater inddrages i samordningen gennem særlige koordineringsstrukturer i overensstemmelse med artikel 53, stk. 2, litra a).</w:t>
      </w:r>
    </w:p>
    <w:p w14:paraId="5D056536" w14:textId="1E7675EF"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Efter anmodning fra Kommissionen afgiver tilsynsorganerne og ENRRB en udtalelse om nødforanstaltningerne til Kommissionen inden for den frist, som Kommissionen har fastsat. Kommissionen kan vedtage afgørelser, der pålægger en medlemsstat at ophæve nødforanstaltningerne, hvis de ikke anses for at være nødvendige.</w:t>
      </w:r>
    </w:p>
    <w:p w14:paraId="3308B79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Medlemsstaterne fremlægger ajourførte oplysninger, hvis det er nødvendigt eller efter anmodning fra Kommissionen. Medlemsstaterne fremlægger alle de oplysninger om nødforanstaltningerne, som Kommissionen har anmodet om, inden for de frister, som Kommissionen har fastsat.</w:t>
      </w:r>
    </w:p>
    <w:p w14:paraId="3E7160F5" w14:textId="77777777" w:rsidR="00216C2C" w:rsidRDefault="00216C2C">
      <w:pPr>
        <w:widowControl/>
        <w:rPr>
          <w:szCs w:val="24"/>
          <w:lang w:eastAsia="en-US"/>
        </w:rPr>
      </w:pPr>
      <w:r>
        <w:rPr>
          <w:szCs w:val="24"/>
          <w:lang w:eastAsia="en-US"/>
        </w:rPr>
        <w:br w:type="page"/>
      </w:r>
    </w:p>
    <w:p w14:paraId="7077CFB4" w14:textId="341FAE60"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7.</w:t>
      </w:r>
      <w:r w:rsidRPr="008913ED">
        <w:rPr>
          <w:szCs w:val="24"/>
          <w:lang w:eastAsia="en-US"/>
        </w:rPr>
        <w:tab/>
        <w:t>Offentlige myndigheder med ansvar for håndtering af krisesituationer, herunder militæret, civilbeskyttelsesagenturer og andre, kan tilrettelægge øvelser til simulering af krisesituationer, der hører under denne artikels anvendelsesområde. I sådanne tilfælde tildeler infrastrukturforvalteren kapacitet efter behov og annullerer om nødvendigt tildelte kapacitetsrettigheder. De berørte offentlige myndigheder yder kompensation til de berørte ansøgere i overensstemmelse med artikel 40.</w:t>
      </w:r>
    </w:p>
    <w:p w14:paraId="3F6820E8"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48</w:t>
      </w:r>
      <w:r w:rsidRPr="008913ED">
        <w:rPr>
          <w:szCs w:val="24"/>
          <w:lang w:eastAsia="en-US"/>
        </w:rPr>
        <w:br/>
        <w:t>Udveksling af oplysninger om trafikstyring</w:t>
      </w:r>
    </w:p>
    <w:p w14:paraId="18C3292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Alle operationelle interessenter, der er direkte involveret i driften af en jernbanetransporttjeneste, har ret til adgang til de oplysninger om denne jernbanetransporttjeneste, der er fastsat i bilag VIII.</w:t>
      </w:r>
    </w:p>
    <w:p w14:paraId="120E2126" w14:textId="77777777" w:rsidR="008913ED" w:rsidRPr="008913ED" w:rsidRDefault="008913ED" w:rsidP="008913ED">
      <w:pPr>
        <w:spacing w:before="120" w:after="120" w:line="360" w:lineRule="auto"/>
        <w:ind w:left="850"/>
        <w:rPr>
          <w:szCs w:val="24"/>
          <w:lang w:eastAsia="en-US"/>
        </w:rPr>
      </w:pPr>
      <w:r w:rsidRPr="008913ED">
        <w:rPr>
          <w:szCs w:val="24"/>
          <w:lang w:eastAsia="en-US"/>
        </w:rPr>
        <w:t>De berørte parter må kun anvende disse oplysninger i forbindelse med denne forordning og med henblik på direktiv (EU) 2016/797 og gennemførelsesretsakter vedtaget i henhold til nævnte direktiv, medmindre andet er fastsat i kontraktlige aftaler.</w:t>
      </w:r>
    </w:p>
    <w:p w14:paraId="30F1B179" w14:textId="77777777" w:rsidR="00216C2C" w:rsidRDefault="00216C2C">
      <w:pPr>
        <w:widowControl/>
        <w:rPr>
          <w:szCs w:val="24"/>
          <w:lang w:eastAsia="en-US"/>
        </w:rPr>
      </w:pPr>
      <w:r>
        <w:rPr>
          <w:szCs w:val="24"/>
          <w:lang w:eastAsia="en-US"/>
        </w:rPr>
        <w:br w:type="page"/>
      </w:r>
    </w:p>
    <w:p w14:paraId="431A64D4" w14:textId="1EA166CE"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Oplysningerne gøres tilgængelige i overensstemmelse med artikel 62.</w:t>
      </w:r>
    </w:p>
    <w:p w14:paraId="669AF16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Kommissionen tillægges beføjelser til at vedtage delegerede retsakter i overensstemmelse med artikel 71 med henblik på at ændre bilag VIII for at sikre, at det afspejler eventuelle ændringer af de tekniske specifikationer for interoperabilitet som fastsat i de relevante gennemførelsesretsakter, der er vedtaget i overensstemmelse med direktiv (EU) 2016/797, under hensyntagen til de berørte interessenters planlægning og operationelle, tekniske og kommercielle interesser.</w:t>
      </w:r>
    </w:p>
    <w:p w14:paraId="779334A5" w14:textId="77777777" w:rsidR="00216C2C" w:rsidRDefault="00216C2C">
      <w:pPr>
        <w:widowControl/>
        <w:rPr>
          <w:szCs w:val="24"/>
          <w:lang w:eastAsia="en-US"/>
        </w:rPr>
      </w:pPr>
      <w:r>
        <w:rPr>
          <w:szCs w:val="24"/>
          <w:lang w:eastAsia="en-US"/>
        </w:rPr>
        <w:br w:type="page"/>
      </w:r>
    </w:p>
    <w:p w14:paraId="612CEFB0" w14:textId="4332311E" w:rsidR="008913ED" w:rsidRPr="008913ED" w:rsidRDefault="008913ED" w:rsidP="008913ED">
      <w:pPr>
        <w:spacing w:before="120" w:after="120" w:line="360" w:lineRule="auto"/>
        <w:jc w:val="center"/>
        <w:rPr>
          <w:szCs w:val="24"/>
          <w:lang w:eastAsia="en-US"/>
        </w:rPr>
      </w:pPr>
      <w:r w:rsidRPr="008913ED">
        <w:rPr>
          <w:szCs w:val="24"/>
          <w:lang w:eastAsia="en-US"/>
        </w:rPr>
        <w:lastRenderedPageBreak/>
        <w:t xml:space="preserve">KAPITEL IV </w:t>
      </w:r>
      <w:r w:rsidRPr="008913ED">
        <w:rPr>
          <w:szCs w:val="24"/>
          <w:lang w:eastAsia="en-US"/>
        </w:rPr>
        <w:br/>
        <w:t xml:space="preserve">PRÆSTATIONSVURDERING </w:t>
      </w:r>
    </w:p>
    <w:p w14:paraId="13F40DE7"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49</w:t>
      </w:r>
      <w:r w:rsidRPr="008913ED">
        <w:rPr>
          <w:szCs w:val="24"/>
          <w:lang w:eastAsia="en-US"/>
        </w:rPr>
        <w:br/>
        <w:t>Generelle principper for præstationsvurdering</w:t>
      </w:r>
    </w:p>
    <w:p w14:paraId="14C61E07"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r>
      <w:r w:rsidRPr="008913ED">
        <w:rPr>
          <w:b/>
          <w:i/>
          <w:szCs w:val="24"/>
          <w:lang w:eastAsia="en-US"/>
        </w:rPr>
        <w:t xml:space="preserve">Kommissionen vedtager Unionens præstationsmål for de præstationsområder, der er fastsat i bilag VII. Målene skal være i overensstemmelse med målene for trafikoverflytning og ajourføres regelmæssigt. </w:t>
      </w:r>
      <w:r w:rsidRPr="008913ED">
        <w:rPr>
          <w:szCs w:val="24"/>
          <w:lang w:eastAsia="en-US"/>
        </w:rPr>
        <w:t xml:space="preserve">I overensstemmelse med artikel 7f, litra d), i direktiv 2012/34/EU overvåger og benchmarker ENIM </w:t>
      </w:r>
      <w:r w:rsidRPr="008913ED">
        <w:rPr>
          <w:b/>
          <w:i/>
          <w:szCs w:val="24"/>
          <w:lang w:eastAsia="en-US"/>
        </w:rPr>
        <w:t xml:space="preserve">med støtte af jernbaneinfrastrukturforvaltere </w:t>
      </w:r>
      <w:r w:rsidRPr="008913ED">
        <w:rPr>
          <w:szCs w:val="24"/>
          <w:lang w:eastAsia="en-US"/>
        </w:rPr>
        <w:t>jernbaneinfrastrukturens</w:t>
      </w:r>
      <w:r w:rsidRPr="008913ED">
        <w:rPr>
          <w:b/>
          <w:i/>
          <w:szCs w:val="24"/>
          <w:lang w:eastAsia="en-US"/>
        </w:rPr>
        <w:t xml:space="preserve"> og jernbanetransportens</w:t>
      </w:r>
      <w:r w:rsidRPr="008913ED">
        <w:rPr>
          <w:szCs w:val="24"/>
          <w:lang w:eastAsia="en-US"/>
        </w:rPr>
        <w:t xml:space="preserve"> resultater under hensyntagen til </w:t>
      </w:r>
      <w:r w:rsidRPr="008913ED">
        <w:rPr>
          <w:strike/>
          <w:szCs w:val="24"/>
          <w:lang w:eastAsia="en-US"/>
        </w:rPr>
        <w:t>de generelle mål, der er fastsat i denne forordnings artikel 2. Jernbaneinfrastrukturforvalterne overvåger ligeledes jernbanetransportens resultater</w:t>
      </w:r>
      <w:r w:rsidRPr="008913ED">
        <w:rPr>
          <w:b/>
          <w:i/>
          <w:szCs w:val="24"/>
          <w:lang w:eastAsia="en-US"/>
        </w:rPr>
        <w:t>Unionens og infrastrukturforvalternes præstationsmål. ENIM underretter regelmæssigt præstationsvurderingsorganet og Kommissionen</w:t>
      </w:r>
      <w:r w:rsidRPr="008913ED">
        <w:rPr>
          <w:szCs w:val="24"/>
          <w:lang w:eastAsia="en-US"/>
        </w:rPr>
        <w:t>.</w:t>
      </w:r>
      <w:r w:rsidRPr="008913ED">
        <w:rPr>
          <w:b/>
          <w:szCs w:val="24"/>
          <w:lang w:eastAsia="en-US"/>
        </w:rPr>
        <w:t xml:space="preserve"> [Ændring 182]</w:t>
      </w:r>
    </w:p>
    <w:p w14:paraId="6CF90795" w14:textId="77777777" w:rsidR="00216C2C" w:rsidRDefault="00216C2C">
      <w:pPr>
        <w:widowControl/>
        <w:rPr>
          <w:szCs w:val="24"/>
          <w:lang w:eastAsia="en-US"/>
        </w:rPr>
      </w:pPr>
      <w:r>
        <w:rPr>
          <w:szCs w:val="24"/>
          <w:lang w:eastAsia="en-US"/>
        </w:rPr>
        <w:br w:type="page"/>
      </w:r>
    </w:p>
    <w:p w14:paraId="0F7AB47C" w14:textId="65579B98"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 xml:space="preserve">Med henblik herpå </w:t>
      </w:r>
      <w:r w:rsidRPr="008913ED">
        <w:rPr>
          <w:strike/>
          <w:szCs w:val="24"/>
          <w:lang w:eastAsia="en-US"/>
        </w:rPr>
        <w:t>fastsætter</w:t>
      </w:r>
      <w:r w:rsidRPr="008913ED">
        <w:rPr>
          <w:b/>
          <w:i/>
          <w:szCs w:val="24"/>
          <w:lang w:eastAsia="en-US"/>
        </w:rPr>
        <w:t>fastlægger</w:t>
      </w:r>
      <w:r w:rsidRPr="008913ED">
        <w:rPr>
          <w:szCs w:val="24"/>
          <w:lang w:eastAsia="en-US"/>
        </w:rPr>
        <w:t xml:space="preserve"> infrastrukturforvalterne deres egne præstationsmål i den plan, der er omhandlet i artikel 8, stk. 3, i direktiv 2012/34/EU, under hensyntagen til mål fastsat i de kontraktmæssige aftaler, der er omhandlet i artikel 30 i nævnte direktiv</w:t>
      </w:r>
      <w:r w:rsidRPr="008913ED">
        <w:rPr>
          <w:b/>
          <w:i/>
          <w:szCs w:val="24"/>
          <w:lang w:eastAsia="en-US"/>
        </w:rPr>
        <w:t>. Infrastrukturforvalterne rådfører sig med de relevante nationale og europæiske organer for at sikre, at disse mål er i overensstemmelse med Unionens præstationsmål</w:t>
      </w:r>
      <w:r w:rsidRPr="008913ED">
        <w:rPr>
          <w:szCs w:val="24"/>
          <w:lang w:eastAsia="en-US"/>
        </w:rPr>
        <w:t>. De indfører og gennemfører procedurer til at overvåge og rapportere om fremskridt hen imod opfyldelsen af målene, til at identificere årsagerne til præstationsmangler sammen med operationelle interessenter og til at udforme og gennemføre afhjælpende foranstaltninger for at forbedre resultaterne. I disse procedurer tages hensyn til den europæiske ramme for præstationsvurdering, jf. artikel 50 i denne forordning. Infrastrukturforvalterne gør i netvejledningen rede for årsagerne til enhver afvigelse fra de fælles procedurer fastlagt i den europæiske ramme for præstationsvurdering.</w:t>
      </w:r>
      <w:r w:rsidRPr="008913ED">
        <w:rPr>
          <w:b/>
          <w:i/>
          <w:szCs w:val="24"/>
          <w:lang w:eastAsia="en-US"/>
        </w:rPr>
        <w:t xml:space="preserve"> Afvigelser bør kun tillades i behørigt begrundede tilfælde og bør godkendes af det nationale tilsynsorgan.</w:t>
      </w:r>
      <w:r w:rsidRPr="008913ED">
        <w:rPr>
          <w:b/>
          <w:szCs w:val="24"/>
          <w:lang w:eastAsia="en-US"/>
        </w:rPr>
        <w:t xml:space="preserve"> [Ændring 183]</w:t>
      </w:r>
    </w:p>
    <w:p w14:paraId="5712FD51" w14:textId="77777777" w:rsidR="00216C2C" w:rsidRDefault="00216C2C">
      <w:pPr>
        <w:widowControl/>
        <w:rPr>
          <w:szCs w:val="24"/>
          <w:lang w:eastAsia="en-US"/>
        </w:rPr>
      </w:pPr>
      <w:r>
        <w:rPr>
          <w:szCs w:val="24"/>
          <w:lang w:eastAsia="en-US"/>
        </w:rPr>
        <w:br w:type="page"/>
      </w:r>
    </w:p>
    <w:p w14:paraId="716AA687" w14:textId="28A4D884"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ENIM samarbejder med de europæiske koordinatorer om præstationsvurderinger i overensstemmelse med de operationelle krav til de europæiske transportkorridorer, der er fastsat i artikel 18 i [den nye TEN-T-forordning].</w:t>
      </w:r>
    </w:p>
    <w:p w14:paraId="23836CB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50</w:t>
      </w:r>
      <w:r w:rsidRPr="008913ED">
        <w:rPr>
          <w:szCs w:val="24"/>
          <w:lang w:eastAsia="en-US"/>
        </w:rPr>
        <w:br/>
        <w:t>Europæisk ramme for præstationsvurdering</w:t>
      </w:r>
    </w:p>
    <w:p w14:paraId="03EDD8FC"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r>
      <w:r w:rsidRPr="008913ED">
        <w:rPr>
          <w:b/>
          <w:i/>
          <w:szCs w:val="24"/>
          <w:lang w:eastAsia="en-US"/>
        </w:rPr>
        <w:t xml:space="preserve">Med støtte fra </w:t>
      </w:r>
      <w:r w:rsidRPr="008913ED">
        <w:rPr>
          <w:szCs w:val="24"/>
          <w:lang w:eastAsia="en-US"/>
        </w:rPr>
        <w:t xml:space="preserve">ENIM opretter og gennemfører </w:t>
      </w:r>
      <w:r w:rsidRPr="008913ED">
        <w:rPr>
          <w:b/>
          <w:i/>
          <w:szCs w:val="24"/>
          <w:lang w:eastAsia="en-US"/>
        </w:rPr>
        <w:t xml:space="preserve">ERA </w:t>
      </w:r>
      <w:r w:rsidRPr="008913ED">
        <w:rPr>
          <w:szCs w:val="24"/>
          <w:lang w:eastAsia="en-US"/>
        </w:rPr>
        <w:t>senest den</w:t>
      </w:r>
      <w:r w:rsidRPr="008913ED">
        <w:rPr>
          <w:b/>
          <w:i/>
          <w:szCs w:val="24"/>
          <w:lang w:eastAsia="en-US"/>
        </w:rPr>
        <w:t xml:space="preserve"> ...</w:t>
      </w:r>
      <w:r w:rsidRPr="008913ED">
        <w:rPr>
          <w:szCs w:val="24"/>
          <w:lang w:eastAsia="en-US"/>
        </w:rPr>
        <w:t xml:space="preserve"> [12 måneder </w:t>
      </w:r>
      <w:r w:rsidRPr="008913ED">
        <w:rPr>
          <w:strike/>
          <w:szCs w:val="24"/>
          <w:lang w:eastAsia="en-US"/>
        </w:rPr>
        <w:t>efter</w:t>
      </w:r>
      <w:r w:rsidRPr="008913ED">
        <w:rPr>
          <w:b/>
          <w:i/>
          <w:szCs w:val="24"/>
          <w:lang w:eastAsia="en-US"/>
        </w:rPr>
        <w:t>fra</w:t>
      </w:r>
      <w:r w:rsidRPr="008913ED">
        <w:rPr>
          <w:szCs w:val="24"/>
          <w:lang w:eastAsia="en-US"/>
        </w:rPr>
        <w:t xml:space="preserve"> denne forordnings ikrafttræden] en europæisk ramme for præstationsvurdering. I denne ramme tages der navnlig hensyn til principperne i artikel 2, stk. 3, artikel 8, stk. 4, artikel 42, stk. 3, og de operationelle krav, præstationsmål og målværdier, der er fastsat i </w:t>
      </w:r>
      <w:r w:rsidRPr="008913ED">
        <w:rPr>
          <w:strike/>
          <w:szCs w:val="24"/>
          <w:lang w:eastAsia="en-US"/>
        </w:rPr>
        <w:t>[</w:t>
      </w:r>
      <w:r w:rsidRPr="008913ED">
        <w:rPr>
          <w:szCs w:val="24"/>
          <w:lang w:eastAsia="en-US"/>
        </w:rPr>
        <w:t xml:space="preserve">artikel </w:t>
      </w:r>
      <w:r w:rsidRPr="008913ED">
        <w:rPr>
          <w:strike/>
          <w:szCs w:val="24"/>
          <w:lang w:eastAsia="en-US"/>
        </w:rPr>
        <w:t xml:space="preserve">18 i </w:t>
      </w:r>
      <w:r w:rsidRPr="008913ED">
        <w:rPr>
          <w:b/>
          <w:i/>
          <w:szCs w:val="24"/>
          <w:lang w:eastAsia="en-US"/>
        </w:rPr>
        <w:t>19 i forordning (EU) 2024/... [</w:t>
      </w:r>
      <w:r w:rsidRPr="008913ED">
        <w:rPr>
          <w:szCs w:val="24"/>
          <w:lang w:eastAsia="en-US"/>
        </w:rPr>
        <w:t>den nye TEN-T-forordning].</w:t>
      </w:r>
      <w:r w:rsidRPr="008913ED">
        <w:rPr>
          <w:b/>
          <w:szCs w:val="24"/>
          <w:lang w:eastAsia="en-US"/>
        </w:rPr>
        <w:t xml:space="preserve"> [Ændring 184]</w:t>
      </w:r>
    </w:p>
    <w:p w14:paraId="56A9F9BC"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1a.</w:t>
      </w:r>
      <w:r w:rsidRPr="008913ED">
        <w:rPr>
          <w:szCs w:val="24"/>
          <w:lang w:eastAsia="en-US"/>
        </w:rPr>
        <w:tab/>
      </w:r>
      <w:r w:rsidRPr="008913ED">
        <w:rPr>
          <w:b/>
          <w:i/>
          <w:szCs w:val="24"/>
          <w:lang w:eastAsia="en-US"/>
        </w:rPr>
        <w:t>ENRRB vedtager senest den ... [6 måneder fra denne forordnings ikrafttræden] en henstilling om den europæiske ramme for præstationsvurdering. ERA tager i forbindelse med oprettelsen og gennemførelsen af den europæiske ramme for præstationsvurdering hensyn til ENRRB's henstilling.</w:t>
      </w:r>
      <w:r w:rsidRPr="008913ED">
        <w:rPr>
          <w:b/>
          <w:szCs w:val="24"/>
          <w:lang w:eastAsia="en-US"/>
        </w:rPr>
        <w:t xml:space="preserve"> [Ændring 185]</w:t>
      </w:r>
    </w:p>
    <w:p w14:paraId="52CE7DCF" w14:textId="77777777" w:rsidR="00216C2C" w:rsidRDefault="00216C2C">
      <w:pPr>
        <w:widowControl/>
        <w:rPr>
          <w:szCs w:val="24"/>
          <w:lang w:eastAsia="en-US"/>
        </w:rPr>
      </w:pPr>
      <w:r>
        <w:rPr>
          <w:szCs w:val="24"/>
          <w:lang w:eastAsia="en-US"/>
        </w:rPr>
        <w:br w:type="page"/>
      </w:r>
    </w:p>
    <w:p w14:paraId="51DE985B" w14:textId="0E8D039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Den europæiske ramme dækker de i bilag VII fastsatte præstationsområder. Den skal navnlig omfatte:</w:t>
      </w:r>
    </w:p>
    <w:p w14:paraId="6387CCF3"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en liste over prioriterede præstationsspørgsmål, der skal behandles, på de i bilag VII fastsatte præstationsområder</w:t>
      </w:r>
    </w:p>
    <w:p w14:paraId="6BCE63B6"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resultatindikatorer, der gør det muligt at overvåge fremskridt med hensyn til præstationsspørgsmål, herunder metodologi og datakrav til beregning af sådanne indikatorer</w:t>
      </w:r>
    </w:p>
    <w:p w14:paraId="67D42A5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kriterier og procedurer for fastlæggelse af præstationsmål for infrastrukturforvaltere</w:t>
      </w:r>
    </w:p>
    <w:p w14:paraId="516A0554"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procedurer for overvågning og revision af elementerne i litra a)-c) samt gennemførelse af korrigerende foranstaltninger og opfyldelsen af de præstationsmål, der er omhandlet i stk. 4.</w:t>
      </w:r>
    </w:p>
    <w:p w14:paraId="6B5B55A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På grundlag af stk. 2, litra d), gennemgår ENIM regelmæssigt den europæiske ramme for præstationsvurdering og resultaterne af dens gennemførelse og foreslår passende ændringer af rammen.</w:t>
      </w:r>
    </w:p>
    <w:p w14:paraId="366D5A36" w14:textId="77777777" w:rsidR="00216C2C" w:rsidRDefault="00216C2C">
      <w:pPr>
        <w:widowControl/>
        <w:rPr>
          <w:szCs w:val="24"/>
          <w:lang w:eastAsia="en-US"/>
        </w:rPr>
      </w:pPr>
      <w:r>
        <w:rPr>
          <w:szCs w:val="24"/>
          <w:lang w:eastAsia="en-US"/>
        </w:rPr>
        <w:br w:type="page"/>
      </w:r>
    </w:p>
    <w:p w14:paraId="29F20EAF" w14:textId="56BD4783"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Infrastrukturforvalterne tager størst muligt hensyn til den europæiske ramme for præstationsvurdering i forbindelse med varetagelsen af deres funktioner. Infrastrukturforvalterne medtager navnlig de mål, der er fastsat i overensstemmelse med stk. 2, litra c), i den virksomhedsplan, der er omhandlet i artikel 8, stk. 3, i direktiv 2012/34/EU. Disse mål skal omfatte de målværdier, der er fastsat i [artikel 18, stk. 1, litra a) og b), i den nye TEN-T-forordning].</w:t>
      </w:r>
    </w:p>
    <w:p w14:paraId="462A24C5"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 xml:space="preserve">Kommissionen </w:t>
      </w:r>
      <w:r w:rsidRPr="008913ED">
        <w:rPr>
          <w:strike/>
          <w:szCs w:val="24"/>
          <w:lang w:eastAsia="en-US"/>
        </w:rPr>
        <w:t>kan vedtage</w:t>
      </w:r>
      <w:r w:rsidRPr="008913ED">
        <w:rPr>
          <w:b/>
          <w:i/>
          <w:szCs w:val="24"/>
          <w:lang w:eastAsia="en-US"/>
        </w:rPr>
        <w:t>vedtager senest den ... [24 måneder fra denne forordnings ikrafttræden]</w:t>
      </w:r>
      <w:r w:rsidRPr="008913ED">
        <w:rPr>
          <w:szCs w:val="24"/>
          <w:lang w:eastAsia="en-US"/>
        </w:rPr>
        <w:t xml:space="preserve"> gennemførelsesretsakter med</w:t>
      </w:r>
      <w:r w:rsidRPr="008913ED">
        <w:rPr>
          <w:b/>
          <w:i/>
          <w:szCs w:val="24"/>
          <w:lang w:eastAsia="en-US"/>
        </w:rPr>
        <w:t xml:space="preserve"> henblik på at fastsætte ensartede betingelser for anvendelsen af de elementer, der er omhandlet i denne artikels stk. 2 senest den ... [36 måneder fra denne forordnings ikrafttræden], herunder</w:t>
      </w:r>
      <w:r w:rsidRPr="008913ED">
        <w:rPr>
          <w:szCs w:val="24"/>
          <w:lang w:eastAsia="en-US"/>
        </w:rPr>
        <w:t xml:space="preserve"> nærmere regler for elementerne i stk. 2, litra b)-d),</w:t>
      </w:r>
      <w:r w:rsidRPr="008913ED">
        <w:rPr>
          <w:b/>
          <w:i/>
          <w:szCs w:val="24"/>
          <w:lang w:eastAsia="en-US"/>
        </w:rPr>
        <w:t xml:space="preserve"> og præstationsmål. Disse gennemførelsesretsakter vedtages</w:t>
      </w:r>
      <w:r w:rsidRPr="008913ED">
        <w:rPr>
          <w:szCs w:val="24"/>
          <w:lang w:eastAsia="en-US"/>
        </w:rPr>
        <w:t xml:space="preserve"> efter rådgivningsproceduren i artikel 72, stk. 2. I denne forbindelse </w:t>
      </w:r>
      <w:r w:rsidRPr="008913ED">
        <w:rPr>
          <w:strike/>
          <w:szCs w:val="24"/>
          <w:lang w:eastAsia="en-US"/>
        </w:rPr>
        <w:t>tager</w:t>
      </w:r>
      <w:r w:rsidRPr="008913ED">
        <w:rPr>
          <w:b/>
          <w:i/>
          <w:szCs w:val="24"/>
          <w:lang w:eastAsia="en-US"/>
        </w:rPr>
        <w:t>hører</w:t>
      </w:r>
      <w:r w:rsidRPr="008913ED">
        <w:rPr>
          <w:szCs w:val="24"/>
          <w:lang w:eastAsia="en-US"/>
        </w:rPr>
        <w:t xml:space="preserve"> Kommissionen </w:t>
      </w:r>
      <w:r w:rsidRPr="008913ED">
        <w:rPr>
          <w:strike/>
          <w:szCs w:val="24"/>
          <w:lang w:eastAsia="en-US"/>
        </w:rPr>
        <w:t>hensyn til det arbejde, som ENIM har udført i overensstemmelse med stk. 3, og eventuelle henstillinger fra</w:t>
      </w:r>
      <w:r w:rsidRPr="008913ED">
        <w:rPr>
          <w:b/>
          <w:i/>
          <w:szCs w:val="24"/>
          <w:lang w:eastAsia="en-US"/>
        </w:rPr>
        <w:t>ENIM, ERP, ENRRB,</w:t>
      </w:r>
      <w:r w:rsidRPr="008913ED">
        <w:rPr>
          <w:szCs w:val="24"/>
          <w:lang w:eastAsia="en-US"/>
        </w:rPr>
        <w:t xml:space="preserve"> præstationsvurderingsorganet</w:t>
      </w:r>
      <w:r w:rsidRPr="008913ED">
        <w:rPr>
          <w:b/>
          <w:i/>
          <w:szCs w:val="24"/>
          <w:lang w:eastAsia="en-US"/>
        </w:rPr>
        <w:t>, ERA og fællesforetagendet for Europas jernbaner</w:t>
      </w:r>
      <w:r w:rsidRPr="008913ED">
        <w:rPr>
          <w:szCs w:val="24"/>
          <w:lang w:eastAsia="en-US"/>
        </w:rPr>
        <w:t>.</w:t>
      </w:r>
      <w:r w:rsidRPr="008913ED">
        <w:rPr>
          <w:b/>
          <w:szCs w:val="24"/>
          <w:lang w:eastAsia="en-US"/>
        </w:rPr>
        <w:t xml:space="preserve"> [Ændring 186]</w:t>
      </w:r>
    </w:p>
    <w:p w14:paraId="294F4261" w14:textId="77777777" w:rsidR="00216C2C" w:rsidRDefault="00216C2C">
      <w:pPr>
        <w:widowControl/>
        <w:rPr>
          <w:szCs w:val="24"/>
          <w:lang w:eastAsia="en-US"/>
        </w:rPr>
      </w:pPr>
      <w:r>
        <w:rPr>
          <w:szCs w:val="24"/>
          <w:lang w:eastAsia="en-US"/>
        </w:rPr>
        <w:br w:type="page"/>
      </w:r>
    </w:p>
    <w:p w14:paraId="59D16132" w14:textId="1C2A997E"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51</w:t>
      </w:r>
      <w:r w:rsidRPr="008913ED">
        <w:rPr>
          <w:szCs w:val="24"/>
          <w:lang w:eastAsia="en-US"/>
        </w:rPr>
        <w:br/>
        <w:t>Europæisk præstationsvurderingsrapport</w:t>
      </w:r>
    </w:p>
    <w:p w14:paraId="508AADE1"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Med forbehold af artikel 15 i direktiv 2012/34/EU og artikel 3 i Kommissionens gennemførelsesforordning (EU) 2015/1100</w:t>
      </w:r>
      <w:r w:rsidRPr="008913ED">
        <w:rPr>
          <w:szCs w:val="24"/>
          <w:vertAlign w:val="superscript"/>
          <w:lang w:val="en-GB" w:eastAsia="en-US"/>
        </w:rPr>
        <w:footnoteReference w:id="19"/>
      </w:r>
      <w:r w:rsidRPr="008913ED">
        <w:rPr>
          <w:szCs w:val="24"/>
          <w:lang w:eastAsia="en-US"/>
        </w:rPr>
        <w:t xml:space="preserve"> udarbejder og offentliggør ENIM senest den </w:t>
      </w:r>
      <w:r w:rsidRPr="008913ED">
        <w:rPr>
          <w:b/>
          <w:i/>
          <w:szCs w:val="24"/>
          <w:lang w:eastAsia="en-US"/>
        </w:rPr>
        <w:t xml:space="preserve">... </w:t>
      </w:r>
      <w:r w:rsidRPr="008913ED">
        <w:rPr>
          <w:szCs w:val="24"/>
          <w:lang w:eastAsia="en-US"/>
        </w:rPr>
        <w:t>[24 måneder efter nærværende forordnings ikrafttræden]</w:t>
      </w:r>
      <w:r w:rsidRPr="008913ED">
        <w:rPr>
          <w:b/>
          <w:i/>
          <w:szCs w:val="24"/>
          <w:lang w:eastAsia="en-US"/>
        </w:rPr>
        <w:t xml:space="preserve"> et udkast til</w:t>
      </w:r>
      <w:r w:rsidRPr="008913ED">
        <w:rPr>
          <w:szCs w:val="24"/>
          <w:lang w:eastAsia="en-US"/>
        </w:rPr>
        <w:t xml:space="preserve"> en europæisk præstationsvurderingsrapport på grundlag af den europæiske ramme for præstationsvurdering, jf. artikel 50 i nærværende forordning, og </w:t>
      </w:r>
      <w:r w:rsidRPr="008913ED">
        <w:rPr>
          <w:strike/>
          <w:szCs w:val="24"/>
          <w:lang w:eastAsia="en-US"/>
        </w:rPr>
        <w:t>offentliggør</w:t>
      </w:r>
      <w:r w:rsidRPr="008913ED">
        <w:rPr>
          <w:b/>
          <w:i/>
          <w:szCs w:val="24"/>
          <w:lang w:eastAsia="en-US"/>
        </w:rPr>
        <w:t>ajourfører</w:t>
      </w:r>
      <w:r w:rsidRPr="008913ED">
        <w:rPr>
          <w:szCs w:val="24"/>
          <w:lang w:eastAsia="en-US"/>
        </w:rPr>
        <w:t xml:space="preserve"> den hvert år.</w:t>
      </w:r>
      <w:r w:rsidRPr="008913ED">
        <w:rPr>
          <w:b/>
          <w:i/>
          <w:szCs w:val="24"/>
          <w:lang w:eastAsia="en-US"/>
        </w:rPr>
        <w:t xml:space="preserve"> På grundlag af denne rapport støtter ERA Kommissionen i overvågningen og rapporteringen af fremskridt med hensyn til Unionens mål for jernbanetransport, herunder den forventede vækst i jernbanetrafikken i 2030 og 2050. Udkastet til europæisk præstationsvurderingsrapport sendes til præstationsvurderingsorganet.</w:t>
      </w:r>
      <w:r w:rsidRPr="008913ED">
        <w:rPr>
          <w:b/>
          <w:szCs w:val="24"/>
          <w:lang w:eastAsia="en-US"/>
        </w:rPr>
        <w:t xml:space="preserve"> [Ændring 187]</w:t>
      </w:r>
    </w:p>
    <w:p w14:paraId="733D6E19"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Præstationsvurderingsorganet udarbejder </w:t>
      </w:r>
      <w:r w:rsidRPr="008913ED">
        <w:rPr>
          <w:strike/>
          <w:szCs w:val="24"/>
          <w:lang w:eastAsia="en-US"/>
        </w:rPr>
        <w:t>et selvstændigt afsnit af rapporten</w:t>
      </w:r>
      <w:r w:rsidRPr="008913ED">
        <w:rPr>
          <w:b/>
          <w:i/>
          <w:szCs w:val="24"/>
          <w:lang w:eastAsia="en-US"/>
        </w:rPr>
        <w:t>og vedtager den europæiske præstationsvurderingsrapport</w:t>
      </w:r>
      <w:r w:rsidRPr="008913ED">
        <w:rPr>
          <w:szCs w:val="24"/>
          <w:lang w:eastAsia="en-US"/>
        </w:rPr>
        <w:t xml:space="preserve"> med sin vurdering af jernbaneinfrastrukturens og jernbanetransportens resultater, </w:t>
      </w:r>
      <w:r w:rsidRPr="008913ED">
        <w:rPr>
          <w:b/>
          <w:i/>
          <w:szCs w:val="24"/>
          <w:lang w:eastAsia="en-US"/>
        </w:rPr>
        <w:t xml:space="preserve">rejste uoverensstemmelser og </w:t>
      </w:r>
      <w:r w:rsidRPr="008913ED">
        <w:rPr>
          <w:szCs w:val="24"/>
          <w:lang w:eastAsia="en-US"/>
        </w:rPr>
        <w:t xml:space="preserve">henstillinger om præstationsspørgsmål, </w:t>
      </w:r>
      <w:r w:rsidRPr="008913ED">
        <w:rPr>
          <w:strike/>
          <w:szCs w:val="24"/>
          <w:lang w:eastAsia="en-US"/>
        </w:rPr>
        <w:t>der skal prioriteres, og henstillinger om</w:t>
      </w:r>
      <w:r w:rsidRPr="008913ED">
        <w:rPr>
          <w:b/>
          <w:i/>
          <w:szCs w:val="24"/>
          <w:lang w:eastAsia="en-US"/>
        </w:rPr>
        <w:t>herunder</w:t>
      </w:r>
      <w:r w:rsidRPr="008913ED">
        <w:rPr>
          <w:szCs w:val="24"/>
          <w:lang w:eastAsia="en-US"/>
        </w:rPr>
        <w:t xml:space="preserve"> foranstaltninger til forbedring af resultaterne</w:t>
      </w:r>
      <w:r w:rsidRPr="008913ED">
        <w:rPr>
          <w:b/>
          <w:i/>
          <w:szCs w:val="24"/>
          <w:lang w:eastAsia="en-US"/>
        </w:rPr>
        <w:t>, og rapporten skal medtages i det kommende program i overensstemmelse med artikel 55, stk</w:t>
      </w:r>
      <w:r w:rsidRPr="008913ED">
        <w:rPr>
          <w:szCs w:val="24"/>
          <w:lang w:eastAsia="en-US"/>
        </w:rPr>
        <w:t>.</w:t>
      </w:r>
      <w:r w:rsidRPr="008913ED">
        <w:rPr>
          <w:b/>
          <w:i/>
          <w:szCs w:val="24"/>
          <w:lang w:eastAsia="en-US"/>
        </w:rPr>
        <w:t xml:space="preserve"> 8.</w:t>
      </w:r>
      <w:r w:rsidRPr="008913ED">
        <w:rPr>
          <w:b/>
          <w:szCs w:val="24"/>
          <w:lang w:eastAsia="en-US"/>
        </w:rPr>
        <w:t xml:space="preserve"> [Ændring 188]</w:t>
      </w:r>
    </w:p>
    <w:p w14:paraId="317F29EB" w14:textId="77777777" w:rsidR="00216C2C" w:rsidRDefault="00216C2C">
      <w:pPr>
        <w:widowControl/>
        <w:rPr>
          <w:szCs w:val="24"/>
          <w:lang w:eastAsia="en-US"/>
        </w:rPr>
      </w:pPr>
      <w:r>
        <w:rPr>
          <w:szCs w:val="24"/>
          <w:lang w:eastAsia="en-US"/>
        </w:rPr>
        <w:br w:type="page"/>
      </w:r>
    </w:p>
    <w:p w14:paraId="16B59B5D" w14:textId="60B24147"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r>
      <w:r w:rsidRPr="008913ED">
        <w:rPr>
          <w:strike/>
          <w:szCs w:val="24"/>
          <w:lang w:eastAsia="en-US"/>
        </w:rPr>
        <w:t>Præstationsvurderingsrapporten</w:t>
      </w:r>
      <w:r w:rsidRPr="008913ED">
        <w:rPr>
          <w:b/>
          <w:i/>
          <w:szCs w:val="24"/>
          <w:lang w:eastAsia="en-US"/>
        </w:rPr>
        <w:t>Den europæiske præstationsvurderingsrapport</w:t>
      </w:r>
      <w:r w:rsidRPr="008913ED">
        <w:rPr>
          <w:szCs w:val="24"/>
          <w:lang w:eastAsia="en-US"/>
        </w:rPr>
        <w:t xml:space="preserve"> skal som minimum omfatte de strækninger, der indgår i </w:t>
      </w:r>
      <w:r w:rsidRPr="008913ED">
        <w:rPr>
          <w:strike/>
          <w:szCs w:val="24"/>
          <w:lang w:eastAsia="en-US"/>
        </w:rPr>
        <w:t>de</w:t>
      </w:r>
      <w:r w:rsidRPr="008913ED">
        <w:rPr>
          <w:b/>
          <w:i/>
          <w:szCs w:val="24"/>
          <w:lang w:eastAsia="en-US"/>
        </w:rPr>
        <w:t>det fælles</w:t>
      </w:r>
      <w:r w:rsidRPr="008913ED">
        <w:rPr>
          <w:szCs w:val="24"/>
          <w:lang w:eastAsia="en-US"/>
        </w:rPr>
        <w:t xml:space="preserve"> europæiske </w:t>
      </w:r>
      <w:r w:rsidRPr="008913ED">
        <w:rPr>
          <w:strike/>
          <w:szCs w:val="24"/>
          <w:lang w:eastAsia="en-US"/>
        </w:rPr>
        <w:t>transportkorridorer omhandlet i forordning [den nye TEN-T-forordning], og skal</w:t>
      </w:r>
      <w:r w:rsidRPr="008913ED">
        <w:rPr>
          <w:b/>
          <w:i/>
          <w:szCs w:val="24"/>
          <w:lang w:eastAsia="en-US"/>
        </w:rPr>
        <w:t>jernbaneområde og</w:t>
      </w:r>
      <w:r w:rsidRPr="008913ED">
        <w:rPr>
          <w:szCs w:val="24"/>
          <w:lang w:eastAsia="en-US"/>
        </w:rPr>
        <w:t xml:space="preserve"> indeholde de oplysninger, der kræves i henhold til </w:t>
      </w:r>
      <w:r w:rsidRPr="008913ED">
        <w:rPr>
          <w:strike/>
          <w:szCs w:val="24"/>
          <w:lang w:eastAsia="en-US"/>
        </w:rPr>
        <w:t>[</w:t>
      </w:r>
      <w:r w:rsidRPr="008913ED">
        <w:rPr>
          <w:szCs w:val="24"/>
          <w:lang w:eastAsia="en-US"/>
        </w:rPr>
        <w:t xml:space="preserve">artikel </w:t>
      </w:r>
      <w:r w:rsidRPr="008913ED">
        <w:rPr>
          <w:strike/>
          <w:szCs w:val="24"/>
          <w:lang w:eastAsia="en-US"/>
        </w:rPr>
        <w:t>53</w:t>
      </w:r>
      <w:r w:rsidRPr="008913ED">
        <w:rPr>
          <w:b/>
          <w:i/>
          <w:szCs w:val="24"/>
          <w:lang w:eastAsia="en-US"/>
        </w:rPr>
        <w:t>54</w:t>
      </w:r>
      <w:r w:rsidRPr="008913ED">
        <w:rPr>
          <w:szCs w:val="24"/>
          <w:lang w:eastAsia="en-US"/>
        </w:rPr>
        <w:t>, stk. 3, litra g)</w:t>
      </w:r>
      <w:r w:rsidRPr="008913ED">
        <w:rPr>
          <w:strike/>
          <w:szCs w:val="24"/>
          <w:lang w:eastAsia="en-US"/>
        </w:rPr>
        <w:t>] heri</w:t>
      </w:r>
      <w:r w:rsidRPr="008913ED">
        <w:rPr>
          <w:b/>
          <w:i/>
          <w:szCs w:val="24"/>
          <w:lang w:eastAsia="en-US"/>
        </w:rPr>
        <w:t>, i forordning (EU) 2024/... [den nye TEN-T-forordning]</w:t>
      </w:r>
      <w:r w:rsidRPr="008913ED">
        <w:rPr>
          <w:szCs w:val="24"/>
          <w:lang w:eastAsia="en-US"/>
        </w:rPr>
        <w:t>. De fremlagte oplysninger skal være tilstrækkelig detaljerede med hensyn til geografisk anvendelsesområde og bør dække en tilstrækkelig lang periode til at give mulighed for meningsfulde fortolkninger.</w:t>
      </w:r>
      <w:r w:rsidRPr="008913ED">
        <w:rPr>
          <w:b/>
          <w:szCs w:val="24"/>
          <w:lang w:eastAsia="en-US"/>
        </w:rPr>
        <w:t xml:space="preserve"> [Ændring 189]</w:t>
      </w:r>
    </w:p>
    <w:p w14:paraId="5015F003"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4.</w:t>
      </w:r>
      <w:r w:rsidRPr="008913ED">
        <w:rPr>
          <w:szCs w:val="24"/>
          <w:lang w:eastAsia="en-US"/>
        </w:rPr>
        <w:tab/>
      </w:r>
      <w:r w:rsidRPr="008913ED">
        <w:rPr>
          <w:strike/>
          <w:szCs w:val="24"/>
          <w:lang w:eastAsia="en-US"/>
        </w:rPr>
        <w:t>Præstationsvurderingsrapporten</w:t>
      </w:r>
      <w:r w:rsidRPr="008913ED">
        <w:rPr>
          <w:b/>
          <w:i/>
          <w:szCs w:val="24"/>
          <w:lang w:eastAsia="en-US"/>
        </w:rPr>
        <w:t>Den europæiske præstationsvurderingsrapport</w:t>
      </w:r>
      <w:r w:rsidRPr="008913ED">
        <w:rPr>
          <w:szCs w:val="24"/>
          <w:lang w:eastAsia="en-US"/>
        </w:rPr>
        <w:t xml:space="preserve"> skal indeholde et særligt afsnit om samordningen mellem infrastrukturforvalterne i overensstemmelse med artikel 53 og om den høringsmekanisme, der er omhandlet i artikel 54 i denne forordning.</w:t>
      </w:r>
      <w:r w:rsidRPr="008913ED">
        <w:rPr>
          <w:b/>
          <w:szCs w:val="24"/>
          <w:lang w:eastAsia="en-US"/>
        </w:rPr>
        <w:t xml:space="preserve"> [Ændring 190]</w:t>
      </w:r>
    </w:p>
    <w:p w14:paraId="74A589E3"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4a.</w:t>
      </w:r>
      <w:r w:rsidRPr="008913ED">
        <w:rPr>
          <w:szCs w:val="24"/>
          <w:lang w:eastAsia="en-US"/>
        </w:rPr>
        <w:tab/>
      </w:r>
      <w:r w:rsidRPr="008913ED">
        <w:rPr>
          <w:b/>
          <w:i/>
          <w:szCs w:val="24"/>
          <w:lang w:eastAsia="en-US"/>
        </w:rPr>
        <w:t>Den europæiske præstationsvurderingsrapport skal indeholde et særskilt afsnit om gennemførelsen af de processer, som ENIM har indført. Den skal også indeholde en analyse af fremskridtene med gennemførelsen i forskellige medlemsstater, herunder rapporter vedrørende nationale undtagelser og henstillinger med henblik på yderligere harmonisering.</w:t>
      </w:r>
      <w:r w:rsidRPr="008913ED">
        <w:rPr>
          <w:b/>
          <w:szCs w:val="24"/>
          <w:lang w:eastAsia="en-US"/>
        </w:rPr>
        <w:t xml:space="preserve"> [Ændring 191]</w:t>
      </w:r>
    </w:p>
    <w:p w14:paraId="724471C3" w14:textId="77777777" w:rsidR="00216C2C" w:rsidRDefault="00216C2C">
      <w:pPr>
        <w:widowControl/>
        <w:rPr>
          <w:szCs w:val="24"/>
          <w:lang w:eastAsia="en-US"/>
        </w:rPr>
      </w:pPr>
      <w:r>
        <w:rPr>
          <w:szCs w:val="24"/>
          <w:lang w:eastAsia="en-US"/>
        </w:rPr>
        <w:br w:type="page"/>
      </w:r>
    </w:p>
    <w:p w14:paraId="0DA7D1C3" w14:textId="7677F023"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52</w:t>
      </w:r>
      <w:r w:rsidRPr="008913ED">
        <w:rPr>
          <w:szCs w:val="24"/>
          <w:lang w:eastAsia="en-US"/>
        </w:rPr>
        <w:br/>
        <w:t>Præstationsvurderingsorgan</w:t>
      </w:r>
    </w:p>
    <w:p w14:paraId="7A26E8E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r>
      <w:r w:rsidRPr="008913ED">
        <w:rPr>
          <w:strike/>
          <w:szCs w:val="24"/>
          <w:lang w:eastAsia="en-US"/>
        </w:rPr>
        <w:t>Kommissionen kan efter proceduren i artikel 73, stk. 3, oprette eller udpege et upartisk og kompetent organ, der skal fungere som</w:t>
      </w:r>
      <w:r w:rsidRPr="008913ED">
        <w:rPr>
          <w:b/>
          <w:i/>
          <w:szCs w:val="24"/>
          <w:lang w:eastAsia="en-US"/>
        </w:rPr>
        <w:t>Senest den ... [6 måneder fra denne forordnings ikrafttræden] oprettes et</w:t>
      </w:r>
      <w:r w:rsidRPr="008913ED">
        <w:rPr>
          <w:szCs w:val="24"/>
          <w:lang w:eastAsia="en-US"/>
        </w:rPr>
        <w:t xml:space="preserve"> præstationsvurderingsorgan</w:t>
      </w:r>
      <w:r w:rsidRPr="008913ED">
        <w:rPr>
          <w:b/>
          <w:i/>
          <w:szCs w:val="24"/>
          <w:lang w:eastAsia="en-US"/>
        </w:rPr>
        <w:t>, som er et upartisk, kompetent og selvstændigt organ</w:t>
      </w:r>
      <w:r w:rsidRPr="008913ED">
        <w:rPr>
          <w:szCs w:val="24"/>
          <w:lang w:eastAsia="en-US"/>
        </w:rPr>
        <w:t>.</w:t>
      </w:r>
      <w:r w:rsidRPr="008913ED">
        <w:rPr>
          <w:b/>
          <w:i/>
          <w:szCs w:val="24"/>
          <w:lang w:eastAsia="en-US"/>
        </w:rPr>
        <w:t xml:space="preserve"> Medlemmerne udnævnes på grundlag af kvalifikationer og for at sikre en blanding af færdigheder og erfaring, der er relevante for forvaltningen af jernbanekapaciteten.</w:t>
      </w:r>
    </w:p>
    <w:p w14:paraId="41C1AF33" w14:textId="77777777" w:rsidR="008913ED" w:rsidRPr="008913ED" w:rsidRDefault="008913ED" w:rsidP="008913ED">
      <w:pPr>
        <w:spacing w:before="120" w:after="120" w:line="360" w:lineRule="auto"/>
        <w:ind w:left="850"/>
        <w:rPr>
          <w:szCs w:val="24"/>
          <w:lang w:eastAsia="en-US"/>
        </w:rPr>
      </w:pPr>
      <w:r w:rsidRPr="008913ED">
        <w:rPr>
          <w:b/>
          <w:i/>
          <w:szCs w:val="24"/>
          <w:lang w:eastAsia="en-US"/>
        </w:rPr>
        <w:t>Medlemmerne af præstationsvurderingsorganet udpeges af Kommissionen efter en procedure med indkaldelse af eksperter. Kommissionen tillægges beføjelser til at vedtage delegerede retsakter i overensstemmelse med artikel 71 med henblik på at fastsætte nærmere bestemmelser om præstationsvurderingsorganets organisation, forvaltning og finansiering. De delegerede retsakter vedtages senest den ... [12 måneder fra denne forordnings ikrafttræden].</w:t>
      </w:r>
    </w:p>
    <w:p w14:paraId="4A3EBA2D" w14:textId="77777777" w:rsidR="00216C2C" w:rsidRDefault="00216C2C">
      <w:pPr>
        <w:widowControl/>
        <w:rPr>
          <w:b/>
          <w:i/>
          <w:szCs w:val="24"/>
          <w:lang w:eastAsia="en-US"/>
        </w:rPr>
      </w:pPr>
      <w:r>
        <w:rPr>
          <w:b/>
          <w:i/>
          <w:szCs w:val="24"/>
          <w:lang w:eastAsia="en-US"/>
        </w:rPr>
        <w:br w:type="page"/>
      </w:r>
    </w:p>
    <w:p w14:paraId="3E6B03E1" w14:textId="46CD3A34" w:rsidR="008913ED" w:rsidRPr="008913ED" w:rsidRDefault="008913ED" w:rsidP="008913ED">
      <w:pPr>
        <w:spacing w:before="120" w:after="120" w:line="360" w:lineRule="auto"/>
        <w:ind w:left="850"/>
        <w:rPr>
          <w:b/>
          <w:szCs w:val="24"/>
          <w:lang w:eastAsia="en-US"/>
        </w:rPr>
      </w:pPr>
      <w:r w:rsidRPr="008913ED">
        <w:rPr>
          <w:b/>
          <w:i/>
          <w:szCs w:val="24"/>
          <w:lang w:eastAsia="en-US"/>
        </w:rPr>
        <w:lastRenderedPageBreak/>
        <w:t>Præstationsvurderingsorganet skal være uafhængigt i udførelsen af de opgaver, der pålægges det ved denne forordning, og må ikke søge eller efterleve instrukser fra en medlemsstats regering, fra Kommissionen eller fra ERA eller enhver anden offentlig eller privat enhed.</w:t>
      </w:r>
      <w:r w:rsidRPr="008913ED">
        <w:rPr>
          <w:b/>
          <w:szCs w:val="24"/>
          <w:lang w:eastAsia="en-US"/>
        </w:rPr>
        <w:t xml:space="preserve"> [Ændring 192]</w:t>
      </w:r>
    </w:p>
    <w:p w14:paraId="2A80AC1A"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Præstationsvurderingsorganet rådgiver Kommissionen</w:t>
      </w:r>
      <w:r w:rsidRPr="008913ED">
        <w:rPr>
          <w:b/>
          <w:i/>
          <w:szCs w:val="24"/>
          <w:lang w:eastAsia="en-US"/>
        </w:rPr>
        <w:t>, ERA, ENIM</w:t>
      </w:r>
      <w:r w:rsidRPr="008913ED">
        <w:rPr>
          <w:szCs w:val="24"/>
          <w:lang w:eastAsia="en-US"/>
        </w:rPr>
        <w:t xml:space="preserve"> og de europæiske koordinatorer om spørgsmål vedrørende jernbaneinfrastrukturens og jernbanetransportens resultater efter anmodning fra Kommissionen</w:t>
      </w:r>
      <w:r w:rsidRPr="008913ED">
        <w:rPr>
          <w:b/>
          <w:i/>
          <w:szCs w:val="24"/>
          <w:lang w:eastAsia="en-US"/>
        </w:rPr>
        <w:t>, ERA</w:t>
      </w:r>
      <w:r w:rsidRPr="008913ED">
        <w:rPr>
          <w:szCs w:val="24"/>
          <w:lang w:eastAsia="en-US"/>
        </w:rPr>
        <w:t xml:space="preserve"> eller de europæiske koordinatorer.</w:t>
      </w:r>
      <w:r w:rsidRPr="008913ED">
        <w:rPr>
          <w:b/>
          <w:szCs w:val="24"/>
          <w:lang w:eastAsia="en-US"/>
        </w:rPr>
        <w:t xml:space="preserve"> [Ændring 193]</w:t>
      </w:r>
    </w:p>
    <w:p w14:paraId="2557215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Præstationsvurderingsorganet varetager følgende opgaver:</w:t>
      </w:r>
    </w:p>
    <w:p w14:paraId="1AA79DF1"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a)</w:t>
      </w:r>
      <w:r w:rsidRPr="008913ED">
        <w:rPr>
          <w:szCs w:val="24"/>
          <w:lang w:eastAsia="en-US"/>
        </w:rPr>
        <w:tab/>
        <w:t>fremsættelse af henstillinger til</w:t>
      </w:r>
      <w:r w:rsidRPr="008913ED">
        <w:rPr>
          <w:b/>
          <w:i/>
          <w:szCs w:val="24"/>
          <w:lang w:eastAsia="en-US"/>
        </w:rPr>
        <w:t xml:space="preserve"> Kommissionen og</w:t>
      </w:r>
      <w:r w:rsidRPr="008913ED">
        <w:rPr>
          <w:szCs w:val="24"/>
          <w:lang w:eastAsia="en-US"/>
        </w:rPr>
        <w:t xml:space="preserve"> ENIM om oprettelse og revision af den europæiske ramme for præstationsvurdering, jf. artikel 50, herunder om præstationsområder, præstationsspørgsmål, der skal behandles på de enkelte præstationsområder, harmonisering af metoder, processer, kriterier og definitioner for indsamling og analyse af data vedrørende resultater og resultatindikatorer</w:t>
      </w:r>
      <w:r w:rsidRPr="008913ED">
        <w:rPr>
          <w:b/>
          <w:szCs w:val="24"/>
          <w:lang w:eastAsia="en-US"/>
        </w:rPr>
        <w:t xml:space="preserve"> [Ændring 194]</w:t>
      </w:r>
    </w:p>
    <w:p w14:paraId="3B261BAB" w14:textId="77777777" w:rsidR="00216C2C" w:rsidRDefault="00216C2C">
      <w:pPr>
        <w:widowControl/>
        <w:rPr>
          <w:szCs w:val="24"/>
          <w:lang w:eastAsia="en-US"/>
        </w:rPr>
      </w:pPr>
      <w:r>
        <w:rPr>
          <w:szCs w:val="24"/>
          <w:lang w:eastAsia="en-US"/>
        </w:rPr>
        <w:br w:type="page"/>
      </w:r>
    </w:p>
    <w:p w14:paraId="2B62E006" w14:textId="63792FA8" w:rsidR="008913ED" w:rsidRPr="008913ED" w:rsidRDefault="008913ED" w:rsidP="008913ED">
      <w:pPr>
        <w:spacing w:before="120" w:after="120" w:line="360" w:lineRule="auto"/>
        <w:ind w:left="1416" w:hanging="566"/>
        <w:rPr>
          <w:b/>
          <w:szCs w:val="24"/>
          <w:lang w:eastAsia="en-US"/>
        </w:rPr>
      </w:pPr>
      <w:r w:rsidRPr="008913ED">
        <w:rPr>
          <w:szCs w:val="24"/>
          <w:lang w:eastAsia="en-US"/>
        </w:rPr>
        <w:lastRenderedPageBreak/>
        <w:t>b)</w:t>
      </w:r>
      <w:r w:rsidRPr="008913ED">
        <w:rPr>
          <w:szCs w:val="24"/>
          <w:lang w:eastAsia="en-US"/>
        </w:rPr>
        <w:tab/>
        <w:t>fremsættelse af henstillinger til ENIM</w:t>
      </w:r>
      <w:r w:rsidRPr="008913ED">
        <w:rPr>
          <w:b/>
          <w:i/>
          <w:szCs w:val="24"/>
          <w:lang w:eastAsia="en-US"/>
        </w:rPr>
        <w:t>, ERA</w:t>
      </w:r>
      <w:r w:rsidRPr="008913ED">
        <w:rPr>
          <w:szCs w:val="24"/>
          <w:lang w:eastAsia="en-US"/>
        </w:rPr>
        <w:t>, ENRRB, infrastrukturforvaltere, ansøgere, tilsynsorganer, medlemsstaternes myndigheder og, hvor det er relevant, andre interessenter med ansvar for korrigerende foranstaltninger, om kapacitetsforvaltning, trafikstyring, håndtering af forstyrrelser og krisestyring</w:t>
      </w:r>
      <w:r w:rsidRPr="008913ED">
        <w:rPr>
          <w:b/>
          <w:szCs w:val="24"/>
          <w:lang w:eastAsia="en-US"/>
        </w:rPr>
        <w:t xml:space="preserve"> [Ændring 195]</w:t>
      </w:r>
    </w:p>
    <w:p w14:paraId="0B3905DF"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c)</w:t>
      </w:r>
      <w:r w:rsidRPr="008913ED">
        <w:rPr>
          <w:szCs w:val="24"/>
          <w:lang w:eastAsia="en-US"/>
        </w:rPr>
        <w:tab/>
        <w:t xml:space="preserve">gennemgang af udkastet til </w:t>
      </w:r>
      <w:r w:rsidRPr="008913ED">
        <w:rPr>
          <w:strike/>
          <w:szCs w:val="24"/>
          <w:lang w:eastAsia="en-US"/>
        </w:rPr>
        <w:t>europæisk præstationsrapport</w:t>
      </w:r>
      <w:r w:rsidRPr="008913ED">
        <w:rPr>
          <w:b/>
          <w:i/>
          <w:szCs w:val="24"/>
          <w:lang w:eastAsia="en-US"/>
        </w:rPr>
        <w:t>den europæiske præstationsvurderingsrapport</w:t>
      </w:r>
      <w:r w:rsidRPr="008913ED">
        <w:rPr>
          <w:szCs w:val="24"/>
          <w:lang w:eastAsia="en-US"/>
        </w:rPr>
        <w:t xml:space="preserve"> og udarbejdelse af </w:t>
      </w:r>
      <w:r w:rsidRPr="008913ED">
        <w:rPr>
          <w:strike/>
          <w:szCs w:val="24"/>
          <w:lang w:eastAsia="en-US"/>
        </w:rPr>
        <w:t>det selvstændige afsnit</w:t>
      </w:r>
      <w:r w:rsidRPr="008913ED">
        <w:rPr>
          <w:b/>
          <w:i/>
          <w:szCs w:val="24"/>
          <w:lang w:eastAsia="en-US"/>
        </w:rPr>
        <w:t>den rapport</w:t>
      </w:r>
      <w:r w:rsidRPr="008913ED">
        <w:rPr>
          <w:szCs w:val="24"/>
          <w:lang w:eastAsia="en-US"/>
        </w:rPr>
        <w:t>, der er omhandlet i artikel 51, stk. 2</w:t>
      </w:r>
      <w:r w:rsidRPr="008913ED">
        <w:rPr>
          <w:b/>
          <w:szCs w:val="24"/>
          <w:lang w:eastAsia="en-US"/>
        </w:rPr>
        <w:t xml:space="preserve"> [Ændring 196]</w:t>
      </w:r>
    </w:p>
    <w:p w14:paraId="25A2FEA0"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fremsættelse af udtalelser og henstillinger vedrørende jernbaneinfrastrukturens resultater inden for rammerne af den vejledende udviklingsstrategi for jernbaneinfrastruktur, der er omhandlet i artikel 8, stk. 1, den virksomhedsplan, der er omhandlet i artikel 8, stk. 3, de kontraktmæssige aftaler, der er omhandlet i artikel 30, stk. 2, og den præstationsordning, der er omhandlet i artikel 35 i direktiv 2012/34/EU</w:t>
      </w:r>
    </w:p>
    <w:p w14:paraId="790F05F4"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ydelse af rådgivning til de europæiske koordinatorer om spørgsmål vedrørende jernbaneinfrastrukturens og jernbanetransportens resultater.</w:t>
      </w:r>
    </w:p>
    <w:p w14:paraId="66D36D56" w14:textId="77777777" w:rsidR="00216C2C" w:rsidRDefault="00216C2C">
      <w:pPr>
        <w:widowControl/>
        <w:rPr>
          <w:szCs w:val="24"/>
          <w:lang w:eastAsia="en-US"/>
        </w:rPr>
      </w:pPr>
      <w:r>
        <w:rPr>
          <w:szCs w:val="24"/>
          <w:lang w:eastAsia="en-US"/>
        </w:rPr>
        <w:br w:type="page"/>
      </w:r>
    </w:p>
    <w:p w14:paraId="50646CEF" w14:textId="40004E94"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Adressaterne for udtalelserne og henstillingerne i stk. 3 svarer præstationsvurderingsorganet inden for de af organet fastsatte frister.</w:t>
      </w:r>
    </w:p>
    <w:p w14:paraId="37B3DA13"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ENIM, netværkskoordinatoren infrastrukturforvalterne, tilsynsorganerne, ENRRB</w:t>
      </w:r>
      <w:r w:rsidRPr="008913ED">
        <w:rPr>
          <w:b/>
          <w:i/>
          <w:szCs w:val="24"/>
          <w:lang w:eastAsia="en-US"/>
        </w:rPr>
        <w:t>, ERA</w:t>
      </w:r>
      <w:r w:rsidRPr="008913ED">
        <w:rPr>
          <w:szCs w:val="24"/>
          <w:lang w:eastAsia="en-US"/>
        </w:rPr>
        <w:t xml:space="preserve"> og, hvor det er relevant, andre interessenter samarbejder med præstationsvurderingsorganet, navnlig ved at give oplysninger om resultater</w:t>
      </w:r>
      <w:r w:rsidRPr="008913ED">
        <w:rPr>
          <w:strike/>
          <w:szCs w:val="24"/>
          <w:lang w:eastAsia="en-US"/>
        </w:rPr>
        <w:t xml:space="preserve"> på eget initiativ eller efter anmodning fra organet</w:t>
      </w:r>
      <w:r w:rsidRPr="008913ED">
        <w:rPr>
          <w:szCs w:val="24"/>
          <w:lang w:eastAsia="en-US"/>
        </w:rPr>
        <w:t>, og gør sit yderste for at tage hensyn til organets henstillinger i deres arbejde med præstationsstyring på jernbaneområdet.</w:t>
      </w:r>
      <w:r w:rsidRPr="008913ED">
        <w:rPr>
          <w:b/>
          <w:szCs w:val="24"/>
          <w:lang w:eastAsia="en-US"/>
        </w:rPr>
        <w:t xml:space="preserve"> [Ændring 197]</w:t>
      </w:r>
    </w:p>
    <w:p w14:paraId="09C1EF29"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Præstationsvurderingsorganet behandler forretningshemmeligheder fortroligt i forbindelse med behandlingen af oplysninger fra relevante interessenter eller Kommissionen.</w:t>
      </w:r>
    </w:p>
    <w:p w14:paraId="714C579C" w14:textId="77777777" w:rsidR="00216C2C" w:rsidRDefault="00216C2C">
      <w:pPr>
        <w:widowControl/>
        <w:rPr>
          <w:szCs w:val="24"/>
          <w:lang w:eastAsia="en-US"/>
        </w:rPr>
      </w:pPr>
      <w:r>
        <w:rPr>
          <w:szCs w:val="24"/>
          <w:lang w:eastAsia="en-US"/>
        </w:rPr>
        <w:br w:type="page"/>
      </w:r>
    </w:p>
    <w:p w14:paraId="7000ACB7" w14:textId="581679D2" w:rsidR="008913ED" w:rsidRPr="008913ED" w:rsidRDefault="008913ED" w:rsidP="008913ED">
      <w:pPr>
        <w:spacing w:before="120" w:after="120" w:line="360" w:lineRule="auto"/>
        <w:jc w:val="center"/>
        <w:rPr>
          <w:szCs w:val="24"/>
          <w:lang w:eastAsia="en-US"/>
        </w:rPr>
      </w:pPr>
      <w:r w:rsidRPr="008913ED">
        <w:rPr>
          <w:szCs w:val="24"/>
          <w:lang w:eastAsia="en-US"/>
        </w:rPr>
        <w:lastRenderedPageBreak/>
        <w:t xml:space="preserve">KAPITEL V </w:t>
      </w:r>
      <w:r w:rsidRPr="008913ED">
        <w:rPr>
          <w:szCs w:val="24"/>
          <w:lang w:eastAsia="en-US"/>
        </w:rPr>
        <w:br/>
        <w:t>EUROPÆISK NETVÆRK FOR SAMORDNING</w:t>
      </w:r>
    </w:p>
    <w:p w14:paraId="64EEEADB"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53</w:t>
      </w:r>
      <w:r w:rsidRPr="008913ED">
        <w:rPr>
          <w:szCs w:val="24"/>
          <w:lang w:eastAsia="en-US"/>
        </w:rPr>
        <w:br/>
        <w:t>Samordning mellem infrastrukturforvaltere</w:t>
      </w:r>
    </w:p>
    <w:p w14:paraId="3CB4AF7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Når der henvises til denne artikel, samordner infrastrukturforvalterne de ansvarsområder og opgaver, de pålægges i henhold til denne forordning, indbyrdes og med andre relevante interessenter.</w:t>
      </w:r>
    </w:p>
    <w:p w14:paraId="7ABD701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Infrastrukturforvalterne samordner som minimum de spørgsmål, der er anført i bilag IX, og skal overholde de specifikke koordineringskrav i de artikler, som der er henvist til heri.</w:t>
      </w:r>
    </w:p>
    <w:p w14:paraId="508294E6" w14:textId="77777777" w:rsidR="008913ED" w:rsidRPr="008913ED" w:rsidRDefault="008913ED" w:rsidP="008913ED">
      <w:pPr>
        <w:spacing w:before="120" w:after="120" w:line="360" w:lineRule="auto"/>
        <w:ind w:left="850"/>
        <w:rPr>
          <w:szCs w:val="24"/>
          <w:lang w:eastAsia="en-US"/>
        </w:rPr>
      </w:pPr>
      <w:r w:rsidRPr="008913ED">
        <w:rPr>
          <w:szCs w:val="24"/>
          <w:lang w:eastAsia="en-US"/>
        </w:rPr>
        <w:t>Infrastrukturforvalterne skal navnlig:</w:t>
      </w:r>
    </w:p>
    <w:p w14:paraId="3C97145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etablere organisatoriske strukturer, procedurer og værktøjer, hvor det er relevant, herunder de digitale værktøjer, der er omhandlet i artikel 62</w:t>
      </w:r>
    </w:p>
    <w:p w14:paraId="0AF4572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samordne på det mest hensigtsmæssige geografiske niveau med inddragelse af de enheder, der har de bedste forudsætninger for at opnå effektive og virkningsfulde resultater i overensstemmelse med nærhedsprincippet</w:t>
      </w:r>
    </w:p>
    <w:p w14:paraId="165DC2E2" w14:textId="77777777" w:rsidR="00216C2C" w:rsidRDefault="00216C2C">
      <w:pPr>
        <w:widowControl/>
        <w:rPr>
          <w:szCs w:val="24"/>
          <w:lang w:eastAsia="en-US"/>
        </w:rPr>
      </w:pPr>
      <w:r>
        <w:rPr>
          <w:szCs w:val="24"/>
          <w:lang w:eastAsia="en-US"/>
        </w:rPr>
        <w:br w:type="page"/>
      </w:r>
    </w:p>
    <w:p w14:paraId="5AC11FB4" w14:textId="18C9F236"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c)</w:t>
      </w:r>
      <w:r w:rsidRPr="008913ED">
        <w:rPr>
          <w:szCs w:val="24"/>
          <w:lang w:eastAsia="en-US"/>
        </w:rPr>
        <w:tab/>
        <w:t>samarbejde med andre infrastrukturforvaltere gennem de udpegede kontaktpunkter, der er omhandlet i artikel 60</w:t>
      </w:r>
    </w:p>
    <w:p w14:paraId="3DEA2BB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inddrage ENIM eller netværkskoordinatoren, hvor det er relevant, i spørgsmål af relevans for Unionen. Samordningen mellem infrastrukturforvalterne kan gennemføres på mere end ét niveau, navnlig på områder, hvor samordning er påkrævet både på EU-plan og inden for et mere bestemt geografisk område</w:t>
      </w:r>
    </w:p>
    <w:p w14:paraId="5B9CA1FD"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udpege en ledende enhed, når samordningsaktiviteterne involverer flere aktører, som rapporterer til ENIM og er ansvarlig for at tilrettelægge høringsaktiviteter i overensstemmelse med artikel 54</w:t>
      </w:r>
    </w:p>
    <w:p w14:paraId="22FF46D2"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f)</w:t>
      </w:r>
      <w:r w:rsidRPr="008913ED">
        <w:rPr>
          <w:szCs w:val="24"/>
          <w:lang w:eastAsia="en-US"/>
        </w:rPr>
        <w:tab/>
        <w:t>henvise sager til ENIM, hvis parterne ikke kan blive enige</w:t>
      </w:r>
    </w:p>
    <w:p w14:paraId="364CACF3"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g)</w:t>
      </w:r>
      <w:r w:rsidRPr="008913ED">
        <w:rPr>
          <w:szCs w:val="24"/>
          <w:lang w:eastAsia="en-US"/>
        </w:rPr>
        <w:tab/>
        <w:t>vurdere resultaterne af samordningsaktiviteter i overensstemmelse med kapitel IV.</w:t>
      </w:r>
    </w:p>
    <w:p w14:paraId="3693A4C5"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 xml:space="preserve">Samordningen </w:t>
      </w:r>
      <w:r w:rsidRPr="008913ED">
        <w:rPr>
          <w:strike/>
          <w:szCs w:val="24"/>
          <w:lang w:eastAsia="en-US"/>
        </w:rPr>
        <w:t xml:space="preserve">omfatter alle strækninger og </w:t>
      </w:r>
      <w:r w:rsidRPr="008913ED">
        <w:rPr>
          <w:b/>
          <w:i/>
          <w:szCs w:val="24"/>
          <w:lang w:eastAsia="en-US"/>
        </w:rPr>
        <w:t>styrkes navnlig for de TEN-T-strækninger og -</w:t>
      </w:r>
      <w:r w:rsidRPr="008913ED">
        <w:rPr>
          <w:szCs w:val="24"/>
          <w:lang w:eastAsia="en-US"/>
        </w:rPr>
        <w:t>knudepunkter, der indgår i de europæiske transportkorridorer, jf. artikel 7 i og bilag III til [den nye TEN-T-forordning].</w:t>
      </w:r>
      <w:r w:rsidRPr="008913ED">
        <w:rPr>
          <w:b/>
          <w:szCs w:val="24"/>
          <w:lang w:eastAsia="en-US"/>
        </w:rPr>
        <w:t xml:space="preserve"> [Ændring 198]</w:t>
      </w:r>
    </w:p>
    <w:p w14:paraId="6B9E9099" w14:textId="77777777" w:rsidR="00216C2C" w:rsidRDefault="00216C2C">
      <w:pPr>
        <w:widowControl/>
        <w:rPr>
          <w:szCs w:val="24"/>
          <w:lang w:eastAsia="en-US"/>
        </w:rPr>
      </w:pPr>
      <w:r>
        <w:rPr>
          <w:szCs w:val="24"/>
          <w:lang w:eastAsia="en-US"/>
        </w:rPr>
        <w:br w:type="page"/>
      </w:r>
    </w:p>
    <w:p w14:paraId="5924DFC6" w14:textId="260A1399" w:rsidR="008913ED" w:rsidRPr="008913ED" w:rsidRDefault="008913ED" w:rsidP="008913ED">
      <w:pPr>
        <w:spacing w:before="120" w:after="120" w:line="360" w:lineRule="auto"/>
        <w:ind w:left="850"/>
        <w:rPr>
          <w:szCs w:val="24"/>
          <w:lang w:eastAsia="en-US"/>
        </w:rPr>
      </w:pPr>
      <w:r w:rsidRPr="008913ED">
        <w:rPr>
          <w:szCs w:val="24"/>
          <w:lang w:eastAsia="en-US"/>
        </w:rPr>
        <w:lastRenderedPageBreak/>
        <w:t>Infrastrukturforvalterne kan udvide samordningen til at omfatte yderligere strækninger efter aftale mellem alle berørte infrastrukturforvaltere.</w:t>
      </w:r>
    </w:p>
    <w:p w14:paraId="76A99055"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Medlemsstaterne og de offentlige myndigheder kan udvide dækningen til andre strækninger.</w:t>
      </w:r>
      <w:r w:rsidRPr="008913ED">
        <w:rPr>
          <w:b/>
          <w:szCs w:val="24"/>
          <w:lang w:eastAsia="en-US"/>
        </w:rPr>
        <w:t xml:space="preserve"> [Ændring 199]</w:t>
      </w:r>
    </w:p>
    <w:p w14:paraId="6213122D"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Samordningen mellem infrastrukturforvaltere i forbindelse med tildeling af kapacitetsrettigheder på flere net i overensstemmelse med artikel 29 omfatter alle de net, der forvaltes af infrastrukturforvaltere, som er medlemmer af ENIM.</w:t>
      </w:r>
    </w:p>
    <w:p w14:paraId="10AD279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Kommissionen tillægges beføjelser til at vedtage delegerede retsakter i overensstemmelse med artikel 71 med henblik på at ændre bilag IX for at sikre en effektiv koordinering mellem infrastrukturforvalterne under hensyntagen til alle berørte interessenters planlægning og operationelle og kommercielle interesser og i lyset af erfaringerne med gennemførelsen af denne forordning.</w:t>
      </w:r>
    </w:p>
    <w:p w14:paraId="494C9B30" w14:textId="77777777" w:rsidR="00216C2C" w:rsidRDefault="00216C2C">
      <w:pPr>
        <w:widowControl/>
        <w:rPr>
          <w:szCs w:val="24"/>
          <w:lang w:eastAsia="en-US"/>
        </w:rPr>
      </w:pPr>
      <w:r>
        <w:rPr>
          <w:szCs w:val="24"/>
          <w:lang w:eastAsia="en-US"/>
        </w:rPr>
        <w:br w:type="page"/>
      </w:r>
    </w:p>
    <w:p w14:paraId="5DD453CC" w14:textId="3D1E2A61"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54</w:t>
      </w:r>
      <w:r w:rsidRPr="008913ED">
        <w:rPr>
          <w:szCs w:val="24"/>
          <w:lang w:eastAsia="en-US"/>
        </w:rPr>
        <w:br/>
        <w:t>Høringsmekanisme vedrørende europæiske og grænseoverskridende spørgsmål</w:t>
      </w:r>
    </w:p>
    <w:p w14:paraId="359F9CB1"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ENIM udarbejder, vedtager og gennemfører</w:t>
      </w:r>
      <w:r w:rsidRPr="008913ED">
        <w:rPr>
          <w:b/>
          <w:i/>
          <w:szCs w:val="24"/>
          <w:lang w:eastAsia="en-US"/>
        </w:rPr>
        <w:t xml:space="preserve"> senest den ... [12 måneder fra denne forordnings ikrafttræden]</w:t>
      </w:r>
      <w:r w:rsidRPr="008913ED">
        <w:rPr>
          <w:szCs w:val="24"/>
          <w:lang w:eastAsia="en-US"/>
        </w:rPr>
        <w:t xml:space="preserve"> retningslinjer for at sikre passende og regelmæssig høring af berørte parter</w:t>
      </w:r>
      <w:r w:rsidRPr="008913ED">
        <w:rPr>
          <w:b/>
          <w:i/>
          <w:szCs w:val="24"/>
          <w:lang w:eastAsia="en-US"/>
        </w:rPr>
        <w:t>, herunder repræsentanter for ERA og medlemsstaterne samt de repræsentative organer, der er omhandlet i artikel 38, stk. 4, i Europa-Parlamentets og Rådets forordning (EU) 2016/796,</w:t>
      </w:r>
      <w:r w:rsidRPr="008913ED">
        <w:rPr>
          <w:szCs w:val="24"/>
          <w:lang w:eastAsia="en-US"/>
        </w:rPr>
        <w:t xml:space="preserve"> og inddrager dem i den europæiske ramme for kapacitetsforvaltning, jf. artikel 6, den europæiske ramme for grænseoverskridende koordinering af trafikstyring, håndtering af forstyrrelser og krisestyring, jf. artikel 44, og den europæiske ramme for præstationsvurdering, jf. artikel 50. </w:t>
      </w:r>
      <w:r w:rsidRPr="008913ED">
        <w:rPr>
          <w:strike/>
          <w:szCs w:val="24"/>
          <w:lang w:eastAsia="en-US"/>
        </w:rPr>
        <w:t>Processen</w:t>
      </w:r>
      <w:r w:rsidRPr="008913ED">
        <w:rPr>
          <w:b/>
          <w:i/>
          <w:szCs w:val="24"/>
          <w:lang w:eastAsia="en-US"/>
        </w:rPr>
        <w:t>Denne mekanisme</w:t>
      </w:r>
      <w:r w:rsidRPr="008913ED">
        <w:rPr>
          <w:szCs w:val="24"/>
          <w:lang w:eastAsia="en-US"/>
        </w:rPr>
        <w:t xml:space="preserve"> udvikles og gennemføres med støtte fra netværkskoordinatoren og med inddragelse af </w:t>
      </w:r>
      <w:r w:rsidRPr="008913ED">
        <w:rPr>
          <w:b/>
          <w:i/>
          <w:szCs w:val="24"/>
          <w:lang w:eastAsia="en-US"/>
        </w:rPr>
        <w:t xml:space="preserve">de af </w:t>
      </w:r>
      <w:r w:rsidRPr="008913ED">
        <w:rPr>
          <w:szCs w:val="24"/>
          <w:lang w:eastAsia="en-US"/>
        </w:rPr>
        <w:t>infrastrukturforvalternes udpegede kontaktpunkter, jf. artikel 60.</w:t>
      </w:r>
      <w:r w:rsidRPr="008913ED">
        <w:rPr>
          <w:b/>
          <w:szCs w:val="24"/>
          <w:lang w:eastAsia="en-US"/>
        </w:rPr>
        <w:t xml:space="preserve"> [Ændring 200]</w:t>
      </w:r>
    </w:p>
    <w:p w14:paraId="2A7F5403" w14:textId="77777777" w:rsidR="00216C2C" w:rsidRDefault="00216C2C">
      <w:pPr>
        <w:widowControl/>
        <w:rPr>
          <w:szCs w:val="24"/>
          <w:lang w:eastAsia="en-US"/>
        </w:rPr>
      </w:pPr>
      <w:r>
        <w:rPr>
          <w:szCs w:val="24"/>
          <w:lang w:eastAsia="en-US"/>
        </w:rPr>
        <w:br w:type="page"/>
      </w:r>
    </w:p>
    <w:p w14:paraId="474AF523" w14:textId="1AEA5303"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Hvis ENIM vedtager en udtalelse eller en henstilling, som må forventes at berøre jernbanevirksomheder, andre ansøgere, andre operationelle interessenter og interesserede parter</w:t>
      </w:r>
      <w:r w:rsidRPr="008913ED">
        <w:rPr>
          <w:b/>
          <w:i/>
          <w:szCs w:val="24"/>
          <w:lang w:eastAsia="en-US"/>
        </w:rPr>
        <w:t>, herunder repræsentanter for ERA og medlemsstaterne, samt de repræsentative organer, der er omhandlet i artikel 38, stk. 4, i forordning (EU) 2016/796</w:t>
      </w:r>
      <w:r w:rsidRPr="008913ED">
        <w:rPr>
          <w:szCs w:val="24"/>
          <w:lang w:eastAsia="en-US"/>
        </w:rPr>
        <w:t>, offentliggør ENIM et udkast med henblik på høring af berørte parter. De berørte parter skal have tilstrækkelig tid til at give feedback om udkastet til afgørelse. Medlemsstaternes myndigheder inddrages, når det er påkrævet.</w:t>
      </w:r>
      <w:r w:rsidRPr="008913ED">
        <w:rPr>
          <w:b/>
          <w:i/>
          <w:szCs w:val="24"/>
          <w:lang w:eastAsia="en-US"/>
        </w:rPr>
        <w:t xml:space="preserve"> Hvis ENIM træffer en afgørelse, som må forventes at berøre ERP'en, hører ENIM de respektive rådgivende grupper.</w:t>
      </w:r>
      <w:r w:rsidRPr="008913ED">
        <w:rPr>
          <w:b/>
          <w:szCs w:val="24"/>
          <w:lang w:eastAsia="en-US"/>
        </w:rPr>
        <w:t xml:space="preserve"> [Ændring 201]</w:t>
      </w:r>
    </w:p>
    <w:p w14:paraId="21AB1A75"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 xml:space="preserve">ENIM tager hensyn til feedback fra berørte parter i overensstemmelse med stk. 2 i forbindelse med vedtagelsen af den endelige udtalelse eller henstilling. Hvis ENIM ikke tager hensyn til væsentlige elementer i den modtagne feedback, anfører det </w:t>
      </w:r>
      <w:r w:rsidRPr="008913ED">
        <w:rPr>
          <w:strike/>
          <w:szCs w:val="24"/>
          <w:lang w:eastAsia="en-US"/>
        </w:rPr>
        <w:t>begrundelsen</w:t>
      </w:r>
      <w:r w:rsidRPr="008913ED">
        <w:rPr>
          <w:b/>
          <w:i/>
          <w:szCs w:val="24"/>
          <w:lang w:eastAsia="en-US"/>
        </w:rPr>
        <w:t>de begrundede årsager</w:t>
      </w:r>
      <w:r w:rsidRPr="008913ED">
        <w:rPr>
          <w:szCs w:val="24"/>
          <w:lang w:eastAsia="en-US"/>
        </w:rPr>
        <w:t xml:space="preserve"> herfor.</w:t>
      </w:r>
      <w:r w:rsidRPr="008913ED">
        <w:rPr>
          <w:b/>
          <w:szCs w:val="24"/>
          <w:lang w:eastAsia="en-US"/>
        </w:rPr>
        <w:t xml:space="preserve"> [Ændring 202]</w:t>
      </w:r>
    </w:p>
    <w:p w14:paraId="3C22ACB5"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3a.</w:t>
      </w:r>
      <w:r w:rsidRPr="008913ED">
        <w:rPr>
          <w:szCs w:val="24"/>
          <w:lang w:eastAsia="en-US"/>
        </w:rPr>
        <w:tab/>
      </w:r>
      <w:r w:rsidRPr="008913ED">
        <w:rPr>
          <w:b/>
          <w:i/>
          <w:szCs w:val="24"/>
          <w:lang w:eastAsia="en-US"/>
        </w:rPr>
        <w:t>I tilfælde af divergerende synspunkter mellem ENIM og de rådgivende organer, underretter de rådgivende organer ENRRB. ENRRB tager højde for sådanne divergerende synspunkter i sin europæiske præstationsvurderingsrapport som omhandlet i artikel 51.</w:t>
      </w:r>
      <w:r w:rsidRPr="008913ED">
        <w:rPr>
          <w:b/>
          <w:szCs w:val="24"/>
          <w:lang w:eastAsia="en-US"/>
        </w:rPr>
        <w:t xml:space="preserve"> [Ændring 203]</w:t>
      </w:r>
    </w:p>
    <w:p w14:paraId="6FE31351" w14:textId="77777777" w:rsidR="00216C2C" w:rsidRDefault="00216C2C">
      <w:pPr>
        <w:widowControl/>
        <w:rPr>
          <w:b/>
          <w:i/>
          <w:szCs w:val="24"/>
          <w:lang w:eastAsia="en-US"/>
        </w:rPr>
      </w:pPr>
      <w:r>
        <w:rPr>
          <w:b/>
          <w:i/>
          <w:szCs w:val="24"/>
          <w:lang w:eastAsia="en-US"/>
        </w:rPr>
        <w:br w:type="page"/>
      </w:r>
    </w:p>
    <w:p w14:paraId="19486A0F" w14:textId="71C6BA39"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3b.</w:t>
      </w:r>
      <w:r w:rsidRPr="008913ED">
        <w:rPr>
          <w:szCs w:val="24"/>
          <w:lang w:eastAsia="en-US"/>
        </w:rPr>
        <w:tab/>
      </w:r>
      <w:r w:rsidRPr="008913ED">
        <w:rPr>
          <w:b/>
          <w:i/>
          <w:szCs w:val="24"/>
          <w:lang w:eastAsia="en-US"/>
        </w:rPr>
        <w:t>Kommissionen vedtager senest den ... [24 måneder fra denne forordnings ikrafttræden] gennemførelsesretsakter med henblik på at fastsætte ensartede betingelser for at sikre passende og regelmæssig høring af interesserede parter og for at ændre denne artikels stk. 1. Disse gennemførelsesretsakter vedtages efter undersøgelsesproceduren i artikel 72, stk. 3. De skal indgå i den europæiske ramme for kapacitetsforvaltning.</w:t>
      </w:r>
      <w:r w:rsidRPr="008913ED">
        <w:rPr>
          <w:b/>
          <w:szCs w:val="24"/>
          <w:lang w:eastAsia="en-US"/>
        </w:rPr>
        <w:t xml:space="preserve"> [Ændring 204]</w:t>
      </w:r>
    </w:p>
    <w:p w14:paraId="0A196DCF"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55</w:t>
      </w:r>
      <w:r w:rsidRPr="008913ED">
        <w:rPr>
          <w:szCs w:val="24"/>
          <w:lang w:eastAsia="en-US"/>
        </w:rPr>
        <w:br/>
        <w:t>Organisering af det europæiske netværk af infrastrukturforvaltere</w:t>
      </w:r>
    </w:p>
    <w:p w14:paraId="0C96660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Med henblik på denne forordning organiseres det europæiske netværk af infrastrukturforvaltere, jf. artikel 7f i direktiv 2012/34/EU, i overensstemmelse med denne artikel.</w:t>
      </w:r>
    </w:p>
    <w:p w14:paraId="00D60859"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Alle jernbaneinfrastrukturforvaltere</w:t>
      </w:r>
      <w:r w:rsidRPr="008913ED">
        <w:rPr>
          <w:strike/>
          <w:szCs w:val="24"/>
          <w:lang w:eastAsia="en-US"/>
        </w:rPr>
        <w:t>, som er ansvarlige for strækninger, der udgør en del af hovednettet og det udvidede TEN-T-hovednet, jf. [artikel 6 i og bilag I til den nye TEN-T-forordning],</w:t>
      </w:r>
      <w:r w:rsidRPr="008913ED">
        <w:rPr>
          <w:b/>
          <w:i/>
          <w:szCs w:val="24"/>
          <w:lang w:eastAsia="en-US"/>
        </w:rPr>
        <w:t xml:space="preserve"> af det fælles europæiske jernbaneområde</w:t>
      </w:r>
      <w:r w:rsidRPr="008913ED">
        <w:rPr>
          <w:szCs w:val="24"/>
          <w:lang w:eastAsia="en-US"/>
        </w:rPr>
        <w:t xml:space="preserve"> er medlemmer af ENIM. De udpeger en repræsentant og en suppleant.</w:t>
      </w:r>
      <w:r w:rsidRPr="008913ED">
        <w:rPr>
          <w:b/>
          <w:szCs w:val="24"/>
          <w:lang w:eastAsia="en-US"/>
        </w:rPr>
        <w:t xml:space="preserve"> [Ændring 205]</w:t>
      </w:r>
    </w:p>
    <w:p w14:paraId="572332C1" w14:textId="77777777" w:rsidR="00216C2C" w:rsidRDefault="00216C2C">
      <w:pPr>
        <w:widowControl/>
        <w:rPr>
          <w:szCs w:val="24"/>
          <w:lang w:eastAsia="en-US"/>
        </w:rPr>
      </w:pPr>
      <w:r>
        <w:rPr>
          <w:szCs w:val="24"/>
          <w:lang w:eastAsia="en-US"/>
        </w:rPr>
        <w:br w:type="page"/>
      </w:r>
    </w:p>
    <w:p w14:paraId="2E0AE8F8" w14:textId="7568F8F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Jernbaneinfrastrukturforvaltere, der ikke opfylder kriteriet i stk. 2, kan udpege en repræsentant, som ikke er medlem, til at deltage i ENIM's drøftelser.</w:t>
      </w:r>
    </w:p>
    <w:p w14:paraId="7398332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Efter høring af og godkendelse fra Kommissionen vedtager og offentliggør ENIM sin forretningsorden. ENIM tilrettelægger sine aktiviteter i overensstemmelse med forretningsordenen.</w:t>
      </w:r>
    </w:p>
    <w:p w14:paraId="30EE77C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ENIM træffer sine afgørelser med simpelt flertal, medmindre andet er fastsat i forretningsordenen. Alle medlemmer fra én medlemsstat har tilsammen én stemme. Hvis et medlem ikke er til stede, er suppleanten berettiget til at udøve stemmeretten.</w:t>
      </w:r>
    </w:p>
    <w:p w14:paraId="4776F0F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ENIM mødes med regelmæssige mellemrum. Det vælger en formand blandt sine medlemmer med et flertal på to tredjedele af sine medlemmer.</w:t>
      </w:r>
    </w:p>
    <w:p w14:paraId="39078A2D"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7.</w:t>
      </w:r>
      <w:r w:rsidRPr="008913ED">
        <w:rPr>
          <w:szCs w:val="24"/>
          <w:lang w:eastAsia="en-US"/>
        </w:rPr>
        <w:tab/>
        <w:t>Kommissionen</w:t>
      </w:r>
      <w:r w:rsidRPr="008913ED">
        <w:rPr>
          <w:b/>
          <w:i/>
          <w:szCs w:val="24"/>
          <w:lang w:eastAsia="en-US"/>
        </w:rPr>
        <w:t xml:space="preserve"> og ERA</w:t>
      </w:r>
      <w:r w:rsidRPr="008913ED">
        <w:rPr>
          <w:szCs w:val="24"/>
          <w:lang w:eastAsia="en-US"/>
        </w:rPr>
        <w:t xml:space="preserve"> skal være medlem af ENIM uden stemmeret. </w:t>
      </w:r>
      <w:r w:rsidRPr="008913ED">
        <w:rPr>
          <w:strike/>
          <w:szCs w:val="24"/>
          <w:lang w:eastAsia="en-US"/>
        </w:rPr>
        <w:t>Den</w:t>
      </w:r>
      <w:r w:rsidRPr="008913ED">
        <w:rPr>
          <w:b/>
          <w:i/>
          <w:szCs w:val="24"/>
          <w:lang w:eastAsia="en-US"/>
        </w:rPr>
        <w:t>De</w:t>
      </w:r>
      <w:r w:rsidRPr="008913ED">
        <w:rPr>
          <w:szCs w:val="24"/>
          <w:lang w:eastAsia="en-US"/>
        </w:rPr>
        <w:t xml:space="preserve"> skal støtte ENIM's arbejde og lette samordningen.</w:t>
      </w:r>
      <w:r w:rsidRPr="008913ED">
        <w:rPr>
          <w:b/>
          <w:szCs w:val="24"/>
          <w:lang w:eastAsia="en-US"/>
        </w:rPr>
        <w:t xml:space="preserve"> [Ændring 206]</w:t>
      </w:r>
    </w:p>
    <w:p w14:paraId="642A92A7" w14:textId="77777777" w:rsidR="00216C2C" w:rsidRDefault="00216C2C">
      <w:pPr>
        <w:widowControl/>
        <w:rPr>
          <w:szCs w:val="24"/>
          <w:lang w:eastAsia="en-US"/>
        </w:rPr>
      </w:pPr>
      <w:r>
        <w:rPr>
          <w:szCs w:val="24"/>
          <w:lang w:eastAsia="en-US"/>
        </w:rPr>
        <w:br w:type="page"/>
      </w:r>
    </w:p>
    <w:p w14:paraId="714CB4A4" w14:textId="7C5F0408"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8.</w:t>
      </w:r>
      <w:r w:rsidRPr="008913ED">
        <w:rPr>
          <w:szCs w:val="24"/>
          <w:lang w:eastAsia="en-US"/>
        </w:rPr>
        <w:tab/>
        <w:t>ENIM fastlægger sit arbejdsprogram. Arbejdsprogrammet skal dække en periode på mindst to år. ENIM hører</w:t>
      </w:r>
      <w:r w:rsidRPr="008913ED">
        <w:rPr>
          <w:b/>
          <w:i/>
          <w:szCs w:val="24"/>
          <w:lang w:eastAsia="en-US"/>
        </w:rPr>
        <w:t xml:space="preserve"> ERP, de rådgivende grupper, der er nedsat i henhold til artikel 55a,</w:t>
      </w:r>
      <w:r w:rsidRPr="008913ED">
        <w:rPr>
          <w:szCs w:val="24"/>
          <w:lang w:eastAsia="en-US"/>
        </w:rPr>
        <w:t xml:space="preserve"> ansøgere og andre operationelle interessenter gennem den høringsmekanisme, der er omhandlet i artikel 54, om udkastet til arbejdsprogram. ENIM hører desuden Europa-Kommissionen, Den Europæiske Unions Jernbaneagentur og fællesforetagendet for Europas jernbaner og, hvor det er relevant, andre interessenter.</w:t>
      </w:r>
      <w:r w:rsidRPr="008913ED">
        <w:rPr>
          <w:b/>
          <w:szCs w:val="24"/>
          <w:lang w:eastAsia="en-US"/>
        </w:rPr>
        <w:t xml:space="preserve"> [Ændring 207]</w:t>
      </w:r>
    </w:p>
    <w:p w14:paraId="26BADEAE"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8a.</w:t>
      </w:r>
      <w:r w:rsidRPr="008913ED">
        <w:rPr>
          <w:szCs w:val="24"/>
          <w:lang w:eastAsia="en-US"/>
        </w:rPr>
        <w:tab/>
      </w:r>
      <w:r w:rsidRPr="008913ED">
        <w:rPr>
          <w:b/>
          <w:i/>
          <w:szCs w:val="24"/>
          <w:lang w:eastAsia="en-US"/>
        </w:rPr>
        <w:t>I forbindelse med udviklingen af de europæiske rammer for kapacitetsstyring, trafikstyring og præstationsstyring rådfører ENIM sig med ERP.</w:t>
      </w:r>
      <w:r w:rsidRPr="008913ED">
        <w:rPr>
          <w:b/>
          <w:szCs w:val="24"/>
          <w:lang w:eastAsia="en-US"/>
        </w:rPr>
        <w:t xml:space="preserve"> [Ændring 208]</w:t>
      </w:r>
    </w:p>
    <w:p w14:paraId="69FD90A6"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8b.</w:t>
      </w:r>
      <w:r w:rsidRPr="008913ED">
        <w:rPr>
          <w:szCs w:val="24"/>
          <w:lang w:eastAsia="en-US"/>
        </w:rPr>
        <w:tab/>
      </w:r>
      <w:r w:rsidRPr="008913ED">
        <w:rPr>
          <w:b/>
          <w:i/>
          <w:szCs w:val="24"/>
          <w:lang w:eastAsia="en-US"/>
        </w:rPr>
        <w:t>Jernbaneinfrastrukturforvaltere og tildelingsorganer i tredjelande, som er ansvarlige for strækninger, der udgør en del af det transeuropæiske transportnet, kan tilslutte sig ENIM som observatører.</w:t>
      </w:r>
      <w:r w:rsidRPr="008913ED">
        <w:rPr>
          <w:b/>
          <w:szCs w:val="24"/>
          <w:lang w:eastAsia="en-US"/>
        </w:rPr>
        <w:t xml:space="preserve"> [Ændring 209]</w:t>
      </w:r>
    </w:p>
    <w:p w14:paraId="19844174" w14:textId="77777777" w:rsidR="00216C2C" w:rsidRDefault="00216C2C">
      <w:pPr>
        <w:widowControl/>
        <w:rPr>
          <w:b/>
          <w:i/>
          <w:szCs w:val="24"/>
          <w:lang w:eastAsia="en-US"/>
        </w:rPr>
      </w:pPr>
      <w:r>
        <w:rPr>
          <w:b/>
          <w:i/>
          <w:szCs w:val="24"/>
          <w:lang w:eastAsia="en-US"/>
        </w:rPr>
        <w:br w:type="page"/>
      </w:r>
    </w:p>
    <w:p w14:paraId="3FA32F89" w14:textId="5048F24D" w:rsidR="008913ED" w:rsidRPr="008913ED" w:rsidRDefault="008913ED" w:rsidP="008913ED">
      <w:pPr>
        <w:spacing w:before="120" w:after="120" w:line="360" w:lineRule="auto"/>
        <w:jc w:val="center"/>
        <w:rPr>
          <w:szCs w:val="24"/>
          <w:lang w:eastAsia="en-US"/>
        </w:rPr>
      </w:pPr>
      <w:r w:rsidRPr="008913ED">
        <w:rPr>
          <w:b/>
          <w:i/>
          <w:szCs w:val="24"/>
          <w:lang w:eastAsia="en-US"/>
        </w:rPr>
        <w:lastRenderedPageBreak/>
        <w:t>Artikel 55a</w:t>
      </w:r>
      <w:r w:rsidRPr="008913ED">
        <w:rPr>
          <w:szCs w:val="24"/>
          <w:lang w:eastAsia="en-US"/>
        </w:rPr>
        <w:br/>
      </w:r>
      <w:r w:rsidRPr="008913ED">
        <w:rPr>
          <w:b/>
          <w:i/>
          <w:szCs w:val="24"/>
          <w:lang w:eastAsia="en-US"/>
        </w:rPr>
        <w:t>Den europæiske jernbaneplatform</w:t>
      </w:r>
    </w:p>
    <w:p w14:paraId="72635E94"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1.</w:t>
      </w:r>
      <w:r w:rsidRPr="008913ED">
        <w:rPr>
          <w:szCs w:val="24"/>
          <w:lang w:eastAsia="en-US"/>
        </w:rPr>
        <w:tab/>
      </w:r>
      <w:r w:rsidRPr="008913ED">
        <w:rPr>
          <w:b/>
          <w:i/>
          <w:szCs w:val="24"/>
          <w:lang w:eastAsia="en-US"/>
        </w:rPr>
        <w:t>Den europæiske jernbaneplatform (ERP) oprettes hermed som et rådgivende organ for ENIM.</w:t>
      </w:r>
    </w:p>
    <w:p w14:paraId="69303C5D"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2.</w:t>
      </w:r>
      <w:r w:rsidRPr="008913ED">
        <w:rPr>
          <w:szCs w:val="24"/>
          <w:lang w:eastAsia="en-US"/>
        </w:rPr>
        <w:tab/>
      </w:r>
      <w:r w:rsidRPr="008913ED">
        <w:rPr>
          <w:b/>
          <w:i/>
          <w:szCs w:val="24"/>
          <w:lang w:eastAsia="en-US"/>
        </w:rPr>
        <w:t>ERP består af repræsentanter for jernbanevirksomheder, der benytter europæisk jernbaneinfrastruktur. ERP kan også som medlem omfatte enhver ansøger, der anvender europæisk jernbaneinfrastruktur individuelt eller gennem sammenslutninger, operatører af servicefaciliteter og terminaler, multimodale kapacitetsinteressenter såsom søhavne og indlandshavne og ejere af andre jernbanerelaterede servicefaciliteter. Hvert medlem udpeger én repræsentant og én suppleant. Kommissionen og ERA udnævnes desuden som observatører i ERP. Jernbaneindustrien kan indbydes til at deltage i rådgivningsgrupper og drøftelser for at muliggøre bedre information og beredskab.</w:t>
      </w:r>
    </w:p>
    <w:p w14:paraId="7A88AB80"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3.</w:t>
      </w:r>
      <w:r w:rsidRPr="008913ED">
        <w:rPr>
          <w:szCs w:val="24"/>
          <w:lang w:eastAsia="en-US"/>
        </w:rPr>
        <w:tab/>
      </w:r>
      <w:r w:rsidRPr="008913ED">
        <w:rPr>
          <w:b/>
          <w:i/>
          <w:szCs w:val="24"/>
          <w:lang w:eastAsia="en-US"/>
        </w:rPr>
        <w:t>Kommissionen bistår ERP ved at fastlægge de nærmere bestemmelser for ERP's funktion, herunder betingelserne for adgang til platformen for repræsentanter for de kategorier, der er omhandlet i stk. 2.</w:t>
      </w:r>
    </w:p>
    <w:p w14:paraId="16F5F53B" w14:textId="77777777" w:rsidR="00216C2C" w:rsidRDefault="00216C2C">
      <w:pPr>
        <w:widowControl/>
        <w:rPr>
          <w:b/>
          <w:i/>
          <w:szCs w:val="24"/>
          <w:lang w:eastAsia="en-US"/>
        </w:rPr>
      </w:pPr>
      <w:r>
        <w:rPr>
          <w:b/>
          <w:i/>
          <w:szCs w:val="24"/>
          <w:lang w:eastAsia="en-US"/>
        </w:rPr>
        <w:br w:type="page"/>
      </w:r>
    </w:p>
    <w:p w14:paraId="68284708" w14:textId="01CFAB94" w:rsidR="008913ED" w:rsidRPr="008913ED" w:rsidRDefault="008913ED" w:rsidP="008913ED">
      <w:pPr>
        <w:spacing w:before="120" w:after="120" w:line="360" w:lineRule="auto"/>
        <w:ind w:left="850" w:hanging="850"/>
        <w:rPr>
          <w:szCs w:val="24"/>
          <w:lang w:eastAsia="en-US"/>
        </w:rPr>
      </w:pPr>
      <w:r w:rsidRPr="008913ED">
        <w:rPr>
          <w:b/>
          <w:i/>
          <w:szCs w:val="24"/>
          <w:lang w:eastAsia="en-US"/>
        </w:rPr>
        <w:lastRenderedPageBreak/>
        <w:t>4.</w:t>
      </w:r>
      <w:r w:rsidRPr="008913ED">
        <w:rPr>
          <w:szCs w:val="24"/>
          <w:lang w:eastAsia="en-US"/>
        </w:rPr>
        <w:tab/>
      </w:r>
      <w:r w:rsidRPr="008913ED">
        <w:rPr>
          <w:b/>
          <w:i/>
          <w:szCs w:val="24"/>
          <w:lang w:eastAsia="en-US"/>
        </w:rPr>
        <w:t>Efter høring af og godkendelse fra Kommissionen vedtager og offentliggør ERP sin forretningsorden. Den tilrettelægger sine aktiviteter i overensstemmelse med forretningsordenen. ERP's forretningsorden fastsætter bl.a. mødehyppighed og tilrettelæggelse af dets aktiviteter. ERP kan inddele sine aktiviteter i undergrupper efter interessenttype og regionale klynger.</w:t>
      </w:r>
    </w:p>
    <w:p w14:paraId="6C39EFB8"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5.</w:t>
      </w:r>
      <w:r w:rsidRPr="008913ED">
        <w:rPr>
          <w:szCs w:val="24"/>
          <w:lang w:eastAsia="en-US"/>
        </w:rPr>
        <w:tab/>
      </w:r>
      <w:r w:rsidRPr="008913ED">
        <w:rPr>
          <w:b/>
          <w:i/>
          <w:szCs w:val="24"/>
          <w:lang w:eastAsia="en-US"/>
        </w:rPr>
        <w:t>ENIM rådfører sig med ERP før udarbejdelse og vedtagelse af de europæiske rammer for kapacitetsstyring, trafikstyring og præstationsstyring. ERP kan afgive sine egne udtalelser, som ENIM skal tage hensyn til. ERP kan også afgive initiativudtalelser rettet til ERA og/eller Kommissionen.</w:t>
      </w:r>
    </w:p>
    <w:p w14:paraId="05AE62AE"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6.</w:t>
      </w:r>
      <w:r w:rsidRPr="008913ED">
        <w:rPr>
          <w:szCs w:val="24"/>
          <w:lang w:eastAsia="en-US"/>
        </w:rPr>
        <w:tab/>
      </w:r>
      <w:r w:rsidRPr="008913ED">
        <w:rPr>
          <w:b/>
          <w:i/>
          <w:szCs w:val="24"/>
          <w:lang w:eastAsia="en-US"/>
        </w:rPr>
        <w:t>Høringer i henhold til denne artikel berører ikke ansøgernes ret til at klage over ENIM's afgørelser.</w:t>
      </w:r>
    </w:p>
    <w:p w14:paraId="0E0C5201"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7.</w:t>
      </w:r>
      <w:r w:rsidRPr="008913ED">
        <w:rPr>
          <w:szCs w:val="24"/>
          <w:lang w:eastAsia="en-US"/>
        </w:rPr>
        <w:tab/>
      </w:r>
      <w:r w:rsidRPr="008913ED">
        <w:rPr>
          <w:b/>
          <w:i/>
          <w:szCs w:val="24"/>
          <w:lang w:eastAsia="en-US"/>
        </w:rPr>
        <w:t>ERP sender en årsberetning om sine aktiviteter til ERA og Kommissionen. Denne beretning offentliggøres.</w:t>
      </w:r>
      <w:r w:rsidRPr="008913ED">
        <w:rPr>
          <w:b/>
          <w:szCs w:val="24"/>
          <w:lang w:eastAsia="en-US"/>
        </w:rPr>
        <w:t xml:space="preserve"> [Ændring 210]</w:t>
      </w:r>
    </w:p>
    <w:p w14:paraId="0CFBCCA2" w14:textId="77777777" w:rsidR="00216C2C" w:rsidRDefault="00216C2C">
      <w:pPr>
        <w:widowControl/>
        <w:rPr>
          <w:szCs w:val="24"/>
          <w:lang w:eastAsia="en-US"/>
        </w:rPr>
      </w:pPr>
      <w:r>
        <w:rPr>
          <w:szCs w:val="24"/>
          <w:lang w:eastAsia="en-US"/>
        </w:rPr>
        <w:br w:type="page"/>
      </w:r>
    </w:p>
    <w:p w14:paraId="09B2AAF6" w14:textId="74CD8F35"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56</w:t>
      </w:r>
      <w:r w:rsidRPr="008913ED">
        <w:rPr>
          <w:szCs w:val="24"/>
          <w:lang w:eastAsia="en-US"/>
        </w:rPr>
        <w:br/>
        <w:t>ENIM's ansvarsområder</w:t>
      </w:r>
    </w:p>
    <w:p w14:paraId="2655547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Ud over de opgaver, der er fastsat i artikel 7f i direktiv 2012/34/EU, er ENIM ansvarlig for alle de opgaver, som det pålægges i medfør af denne forordning. ENIM skal navnlig:</w:t>
      </w:r>
    </w:p>
    <w:p w14:paraId="3297374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vedtage den europæiske ramme for kapacitetsforvaltning, jf. artikel 6</w:t>
      </w:r>
    </w:p>
    <w:p w14:paraId="6E312A0F"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vedtage den europæiske ramme for koordinering af trafikstyring og krisestyring, jf. artikel 44</w:t>
      </w:r>
    </w:p>
    <w:p w14:paraId="6F277E47"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vedtage den europæiske ramme for præstationsvurdering, jf. artikel 50</w:t>
      </w:r>
    </w:p>
    <w:p w14:paraId="59245B4F"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vedtage udtalelser og henstillinger til infrastrukturforvaltere i overensstemmelse med bestemmelserne i denne forordning og på eget initiativ</w:t>
      </w:r>
    </w:p>
    <w:p w14:paraId="62CFC6B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vedtage udtalelser og henstillinger til infrastrukturforvaltere i de tilfælde, der er omhandlet i artikel 53, stk. 2, litra f)</w:t>
      </w:r>
    </w:p>
    <w:p w14:paraId="401BA461" w14:textId="77777777" w:rsidR="00216C2C" w:rsidRDefault="00216C2C">
      <w:pPr>
        <w:widowControl/>
        <w:rPr>
          <w:szCs w:val="24"/>
          <w:lang w:eastAsia="en-US"/>
        </w:rPr>
      </w:pPr>
      <w:r>
        <w:rPr>
          <w:szCs w:val="24"/>
          <w:lang w:eastAsia="en-US"/>
        </w:rPr>
        <w:br w:type="page"/>
      </w:r>
    </w:p>
    <w:p w14:paraId="5807D663" w14:textId="32E61761"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f)</w:t>
      </w:r>
      <w:r w:rsidRPr="008913ED">
        <w:rPr>
          <w:szCs w:val="24"/>
          <w:lang w:eastAsia="en-US"/>
        </w:rPr>
        <w:tab/>
        <w:t>tilrettelægge samordningen mellem infrastrukturforvalterne i overensstemmelse med artikel 53.</w:t>
      </w:r>
    </w:p>
    <w:p w14:paraId="3FB887B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 forbindelse med koordineringen gennem særlige koordinationsgrupper udpeger infrastrukturforvalterne de enheder, der skal deltage i denne gruppe, herunder kontaktpunkter udpeget af infrastrukturforvalterne i overensstemmelse med artikel 60, netværkskoordinatoren eller begge.</w:t>
      </w:r>
    </w:p>
    <w:p w14:paraId="253BDCC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57</w:t>
      </w:r>
      <w:r w:rsidRPr="008913ED">
        <w:rPr>
          <w:szCs w:val="24"/>
          <w:lang w:eastAsia="en-US"/>
        </w:rPr>
        <w:br/>
        <w:t>Gennemsigtighed</w:t>
      </w:r>
    </w:p>
    <w:p w14:paraId="0490F7C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ENIM sikrer, at navne på deltagere, driftsmetoder og alle relevante oplysninger om netværkets arbejde gøres offentligt tilgængelige på ENIM's websted. Det skal indeholde kontaktoplysninger for særlige koordinationsgrupper nedsat af infrastrukturforvalterne og henvisninger til samordningsværktøjer og -procedurer i overensstemmelse med artikel 53.</w:t>
      </w:r>
    </w:p>
    <w:p w14:paraId="1B85AE15" w14:textId="77777777" w:rsidR="00216C2C" w:rsidRDefault="00216C2C">
      <w:pPr>
        <w:widowControl/>
        <w:rPr>
          <w:szCs w:val="24"/>
          <w:lang w:eastAsia="en-US"/>
        </w:rPr>
      </w:pPr>
      <w:r>
        <w:rPr>
          <w:szCs w:val="24"/>
          <w:lang w:eastAsia="en-US"/>
        </w:rPr>
        <w:br w:type="page"/>
      </w:r>
    </w:p>
    <w:p w14:paraId="487EB6C8" w14:textId="7F7DE34B"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ENIM indbyder Kommissionen, herunder de europæiske koordinatorer</w:t>
      </w:r>
      <w:r w:rsidRPr="008913ED">
        <w:rPr>
          <w:b/>
          <w:i/>
          <w:szCs w:val="24"/>
          <w:lang w:eastAsia="en-US"/>
        </w:rPr>
        <w:t>, ERP</w:t>
      </w:r>
      <w:r w:rsidRPr="008913ED">
        <w:rPr>
          <w:szCs w:val="24"/>
          <w:lang w:eastAsia="en-US"/>
        </w:rPr>
        <w:t xml:space="preserve"> og, hvor det er relevant,</w:t>
      </w:r>
      <w:r w:rsidRPr="008913ED">
        <w:rPr>
          <w:b/>
          <w:i/>
          <w:szCs w:val="24"/>
          <w:lang w:eastAsia="en-US"/>
        </w:rPr>
        <w:t xml:space="preserve"> ERA's og</w:t>
      </w:r>
      <w:r w:rsidRPr="008913ED">
        <w:rPr>
          <w:szCs w:val="24"/>
          <w:lang w:eastAsia="en-US"/>
        </w:rPr>
        <w:t xml:space="preserve"> medlemsstaternes repræsentanter</w:t>
      </w:r>
      <w:r w:rsidRPr="008913ED">
        <w:rPr>
          <w:b/>
          <w:i/>
          <w:szCs w:val="24"/>
          <w:lang w:eastAsia="en-US"/>
        </w:rPr>
        <w:t>, samt de repræsentative organer, der er omhandlet i artikel 38, stk. 4, i forordning (EU) 2016/796,</w:t>
      </w:r>
      <w:r w:rsidRPr="008913ED">
        <w:rPr>
          <w:szCs w:val="24"/>
          <w:lang w:eastAsia="en-US"/>
        </w:rPr>
        <w:t xml:space="preserve"> til sine møder for at drøfte spørgsmål vedrørende udviklingen af jernbaneinfrastruktur og sikre samarbejdet med de europæiske koordinatorer som skitseret i [den nye TEN-T-forordning]. ENIM fremlægger de oplysninger, der kræves i henhold til [artikel 53, tredje afsnit, i den nye TEN-T-forordning].</w:t>
      </w:r>
      <w:r w:rsidRPr="008913ED">
        <w:rPr>
          <w:b/>
          <w:szCs w:val="24"/>
          <w:lang w:eastAsia="en-US"/>
        </w:rPr>
        <w:t xml:space="preserve"> [Ændring 211]</w:t>
      </w:r>
    </w:p>
    <w:p w14:paraId="4036EB8D" w14:textId="77777777" w:rsidR="008913ED" w:rsidRPr="008913ED" w:rsidRDefault="008913ED" w:rsidP="008913ED">
      <w:pPr>
        <w:spacing w:before="120" w:after="120" w:line="360" w:lineRule="auto"/>
        <w:jc w:val="center"/>
        <w:rPr>
          <w:szCs w:val="24"/>
          <w:lang w:eastAsia="en-US"/>
        </w:rPr>
      </w:pPr>
      <w:r w:rsidRPr="008913ED">
        <w:rPr>
          <w:b/>
          <w:i/>
          <w:szCs w:val="24"/>
          <w:lang w:eastAsia="en-US"/>
        </w:rPr>
        <w:t>Artikel 57a</w:t>
      </w:r>
      <w:r w:rsidRPr="008913ED">
        <w:rPr>
          <w:szCs w:val="24"/>
          <w:lang w:eastAsia="en-US"/>
        </w:rPr>
        <w:br/>
      </w:r>
      <w:r w:rsidRPr="008913ED">
        <w:rPr>
          <w:b/>
          <w:i/>
          <w:szCs w:val="24"/>
          <w:lang w:eastAsia="en-US"/>
        </w:rPr>
        <w:t>ERA's ansvarsområder</w:t>
      </w:r>
    </w:p>
    <w:p w14:paraId="15F75259"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1.</w:t>
      </w:r>
      <w:r w:rsidRPr="008913ED">
        <w:rPr>
          <w:szCs w:val="24"/>
          <w:lang w:eastAsia="en-US"/>
        </w:rPr>
        <w:tab/>
      </w:r>
      <w:r w:rsidRPr="008913ED">
        <w:rPr>
          <w:b/>
          <w:i/>
          <w:szCs w:val="24"/>
          <w:lang w:eastAsia="en-US"/>
        </w:rPr>
        <w:t>Ud over de opgaver, der er fastsat i direktiv 2016/796/EU, er ERA ansvarlig for alle de opgaver, som det pålægges i medfør af denne forordning. Det skal navnlig:</w:t>
      </w:r>
    </w:p>
    <w:p w14:paraId="4C1ED6CE"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a)</w:t>
      </w:r>
      <w:r w:rsidRPr="008913ED">
        <w:rPr>
          <w:szCs w:val="24"/>
          <w:lang w:eastAsia="en-US"/>
        </w:rPr>
        <w:tab/>
      </w:r>
      <w:r w:rsidRPr="008913ED">
        <w:rPr>
          <w:b/>
          <w:i/>
          <w:szCs w:val="24"/>
          <w:lang w:eastAsia="en-US"/>
        </w:rPr>
        <w:t>efter anmodning fra Kommissionen yde støtte til udarbejdelsen af de specifikke gennemførelsesretsakter og delegerede retsakter, der er omhandlet i denne forordning</w:t>
      </w:r>
    </w:p>
    <w:p w14:paraId="562378B2"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b)</w:t>
      </w:r>
      <w:r w:rsidRPr="008913ED">
        <w:rPr>
          <w:szCs w:val="24"/>
          <w:lang w:eastAsia="en-US"/>
        </w:rPr>
        <w:tab/>
      </w:r>
      <w:r w:rsidRPr="008913ED">
        <w:rPr>
          <w:b/>
          <w:i/>
          <w:szCs w:val="24"/>
          <w:lang w:eastAsia="en-US"/>
        </w:rPr>
        <w:t>som systemmyndighed i henhold til artikel 23 i forordning (EU) 2016/796 koordinere de opgaver, der er fastsat i artikel 62 i nærværende forordning</w:t>
      </w:r>
    </w:p>
    <w:p w14:paraId="6B79B933" w14:textId="77777777" w:rsidR="00216C2C" w:rsidRDefault="00216C2C">
      <w:pPr>
        <w:widowControl/>
        <w:rPr>
          <w:b/>
          <w:i/>
          <w:szCs w:val="24"/>
          <w:lang w:eastAsia="en-US"/>
        </w:rPr>
      </w:pPr>
      <w:r>
        <w:rPr>
          <w:b/>
          <w:i/>
          <w:szCs w:val="24"/>
          <w:lang w:eastAsia="en-US"/>
        </w:rPr>
        <w:br w:type="page"/>
      </w:r>
    </w:p>
    <w:p w14:paraId="29DA3908" w14:textId="72741C97" w:rsidR="008913ED" w:rsidRPr="008913ED" w:rsidRDefault="008913ED" w:rsidP="008913ED">
      <w:pPr>
        <w:spacing w:before="120" w:after="120" w:line="360" w:lineRule="auto"/>
        <w:ind w:left="1416" w:hanging="566"/>
        <w:rPr>
          <w:szCs w:val="24"/>
          <w:lang w:eastAsia="en-US"/>
        </w:rPr>
      </w:pPr>
      <w:r w:rsidRPr="008913ED">
        <w:rPr>
          <w:b/>
          <w:i/>
          <w:szCs w:val="24"/>
          <w:lang w:eastAsia="en-US"/>
        </w:rPr>
        <w:lastRenderedPageBreak/>
        <w:t>c)</w:t>
      </w:r>
      <w:r w:rsidRPr="008913ED">
        <w:rPr>
          <w:szCs w:val="24"/>
          <w:lang w:eastAsia="en-US"/>
        </w:rPr>
        <w:tab/>
      </w:r>
      <w:r w:rsidRPr="008913ED">
        <w:rPr>
          <w:b/>
          <w:i/>
          <w:szCs w:val="24"/>
          <w:lang w:eastAsia="en-US"/>
        </w:rPr>
        <w:t>udføre de opgaver, der er fastsat i artikel 50 i nærværende forordning</w:t>
      </w:r>
    </w:p>
    <w:p w14:paraId="33CA9EC1"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d)</w:t>
      </w:r>
      <w:r w:rsidRPr="008913ED">
        <w:rPr>
          <w:szCs w:val="24"/>
          <w:lang w:eastAsia="en-US"/>
        </w:rPr>
        <w:tab/>
      </w:r>
      <w:r w:rsidRPr="008913ED">
        <w:rPr>
          <w:b/>
          <w:i/>
          <w:szCs w:val="24"/>
          <w:lang w:eastAsia="en-US"/>
        </w:rPr>
        <w:t>efter anmodning yde tilsynsorganerne støtte i forbindelse med fastlæggelsen af regler, procedurer og værktøjer inden for denne forordnings anvendelsesområde</w:t>
      </w:r>
    </w:p>
    <w:p w14:paraId="7F392A73"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e)</w:t>
      </w:r>
      <w:r w:rsidRPr="008913ED">
        <w:rPr>
          <w:szCs w:val="24"/>
          <w:lang w:eastAsia="en-US"/>
        </w:rPr>
        <w:tab/>
      </w:r>
      <w:r w:rsidRPr="008913ED">
        <w:rPr>
          <w:b/>
          <w:i/>
          <w:szCs w:val="24"/>
          <w:lang w:eastAsia="en-US"/>
        </w:rPr>
        <w:t>kortlægge hindringer for jernbanedrift på flere net</w:t>
      </w:r>
    </w:p>
    <w:p w14:paraId="4F1E83E6"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2.</w:t>
      </w:r>
      <w:r w:rsidRPr="008913ED">
        <w:rPr>
          <w:szCs w:val="24"/>
          <w:lang w:eastAsia="en-US"/>
        </w:rPr>
        <w:tab/>
      </w:r>
      <w:r w:rsidRPr="008913ED">
        <w:rPr>
          <w:b/>
          <w:i/>
          <w:szCs w:val="24"/>
          <w:lang w:eastAsia="en-US"/>
        </w:rPr>
        <w:t xml:space="preserve">Agenturet skal i sit arbejde: </w:t>
      </w:r>
    </w:p>
    <w:p w14:paraId="60B6EDC9"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a)</w:t>
      </w:r>
      <w:r w:rsidRPr="008913ED">
        <w:rPr>
          <w:szCs w:val="24"/>
          <w:lang w:eastAsia="en-US"/>
        </w:rPr>
        <w:tab/>
      </w:r>
      <w:r w:rsidRPr="008913ED">
        <w:rPr>
          <w:b/>
          <w:i/>
          <w:szCs w:val="24"/>
          <w:lang w:eastAsia="en-US"/>
        </w:rPr>
        <w:t>udarbejde sine henstillinger på grundlag af arbejdet i ENIM og netværkskoordinatorens arbejde</w:t>
      </w:r>
    </w:p>
    <w:p w14:paraId="64CD330D"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b)</w:t>
      </w:r>
      <w:r w:rsidRPr="008913ED">
        <w:rPr>
          <w:szCs w:val="24"/>
          <w:lang w:eastAsia="en-US"/>
        </w:rPr>
        <w:tab/>
      </w:r>
      <w:r w:rsidRPr="008913ED">
        <w:rPr>
          <w:b/>
          <w:i/>
          <w:szCs w:val="24"/>
          <w:lang w:eastAsia="en-US"/>
        </w:rPr>
        <w:t>i givet fald tage hensyn til den tekniske udvikling og anerkendt forskningsarbejde</w:t>
      </w:r>
    </w:p>
    <w:p w14:paraId="2F2C5D4E"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c)</w:t>
      </w:r>
      <w:r w:rsidRPr="008913ED">
        <w:rPr>
          <w:szCs w:val="24"/>
          <w:lang w:eastAsia="en-US"/>
        </w:rPr>
        <w:tab/>
      </w:r>
      <w:r w:rsidRPr="008913ED">
        <w:rPr>
          <w:b/>
          <w:i/>
          <w:szCs w:val="24"/>
          <w:lang w:eastAsia="en-US"/>
        </w:rPr>
        <w:t>tage hensyn til de anslåede omkostninger og fordele ved dens anbefalinger og understrege de mest holdbare løsninger</w:t>
      </w:r>
    </w:p>
    <w:p w14:paraId="54043C2C"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d)</w:t>
      </w:r>
      <w:r w:rsidRPr="008913ED">
        <w:rPr>
          <w:szCs w:val="24"/>
          <w:lang w:eastAsia="en-US"/>
        </w:rPr>
        <w:tab/>
      </w:r>
      <w:r w:rsidRPr="008913ED">
        <w:rPr>
          <w:b/>
          <w:i/>
          <w:szCs w:val="24"/>
          <w:lang w:eastAsia="en-US"/>
        </w:rPr>
        <w:t>opfylde kriterierne om åbenhed, konsensus og gennemsigtighed som defineret i bilag II til forordning (EU) nr. 1025/2012.</w:t>
      </w:r>
    </w:p>
    <w:p w14:paraId="472DC371" w14:textId="77777777" w:rsidR="00216C2C" w:rsidRDefault="00216C2C">
      <w:pPr>
        <w:widowControl/>
        <w:rPr>
          <w:b/>
          <w:i/>
          <w:szCs w:val="24"/>
          <w:lang w:eastAsia="en-US"/>
        </w:rPr>
      </w:pPr>
      <w:r>
        <w:rPr>
          <w:b/>
          <w:i/>
          <w:szCs w:val="24"/>
          <w:lang w:eastAsia="en-US"/>
        </w:rPr>
        <w:br w:type="page"/>
      </w:r>
    </w:p>
    <w:p w14:paraId="41853EB9" w14:textId="37C2CC8B"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3.</w:t>
      </w:r>
      <w:r w:rsidRPr="008913ED">
        <w:rPr>
          <w:szCs w:val="24"/>
          <w:lang w:eastAsia="en-US"/>
        </w:rPr>
        <w:tab/>
      </w:r>
      <w:r w:rsidRPr="008913ED">
        <w:rPr>
          <w:b/>
          <w:i/>
          <w:szCs w:val="24"/>
          <w:lang w:eastAsia="en-US"/>
        </w:rPr>
        <w:t>Omfanget af de finansielle midler, der er afsat til udførelsen af ERA's opgaver i medfør af denne forordning trækkes fra de uudnyttede margener under FFR-lofterne eller mobiliseres gennem de særlige ikketematiske FFR-instrumenter.</w:t>
      </w:r>
      <w:r w:rsidRPr="008913ED">
        <w:rPr>
          <w:b/>
          <w:szCs w:val="24"/>
          <w:lang w:eastAsia="en-US"/>
        </w:rPr>
        <w:t xml:space="preserve"> [Ændring 212]</w:t>
      </w:r>
    </w:p>
    <w:p w14:paraId="2FC417C6"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58</w:t>
      </w:r>
      <w:r w:rsidRPr="008913ED">
        <w:rPr>
          <w:szCs w:val="24"/>
          <w:lang w:eastAsia="en-US"/>
        </w:rPr>
        <w:br/>
        <w:t>Netværkskoordinator</w:t>
      </w:r>
    </w:p>
    <w:p w14:paraId="10D0D53C"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 xml:space="preserve">Infrastrukturforvalterne giver ENIM de nødvendige ressourcer til at udføre sine opgaver. Med henblik herpå udpeger </w:t>
      </w:r>
      <w:r w:rsidRPr="008913ED">
        <w:rPr>
          <w:strike/>
          <w:szCs w:val="24"/>
          <w:lang w:eastAsia="en-US"/>
        </w:rPr>
        <w:t>de</w:t>
      </w:r>
      <w:r w:rsidRPr="008913ED">
        <w:rPr>
          <w:b/>
          <w:i/>
          <w:szCs w:val="24"/>
          <w:lang w:eastAsia="en-US"/>
        </w:rPr>
        <w:t>Kommissionen efter høring af medlemsstaterne og ENIM</w:t>
      </w:r>
      <w:r w:rsidRPr="008913ED">
        <w:rPr>
          <w:szCs w:val="24"/>
          <w:lang w:eastAsia="en-US"/>
        </w:rPr>
        <w:t xml:space="preserve"> senest den </w:t>
      </w:r>
      <w:r w:rsidRPr="008913ED">
        <w:rPr>
          <w:b/>
          <w:i/>
          <w:szCs w:val="24"/>
          <w:lang w:eastAsia="en-US"/>
        </w:rPr>
        <w:t xml:space="preserve">... </w:t>
      </w:r>
      <w:r w:rsidRPr="008913ED">
        <w:rPr>
          <w:szCs w:val="24"/>
          <w:lang w:eastAsia="en-US"/>
        </w:rPr>
        <w:t>[</w:t>
      </w:r>
      <w:r w:rsidRPr="008913ED">
        <w:rPr>
          <w:strike/>
          <w:szCs w:val="24"/>
          <w:lang w:eastAsia="en-US"/>
        </w:rPr>
        <w:t>12</w:t>
      </w:r>
      <w:r w:rsidRPr="008913ED">
        <w:rPr>
          <w:b/>
          <w:i/>
          <w:szCs w:val="24"/>
          <w:lang w:eastAsia="en-US"/>
        </w:rPr>
        <w:t>seks</w:t>
      </w:r>
      <w:r w:rsidRPr="008913ED">
        <w:rPr>
          <w:szCs w:val="24"/>
          <w:lang w:eastAsia="en-US"/>
        </w:rPr>
        <w:t xml:space="preserve"> måneder </w:t>
      </w:r>
      <w:r w:rsidRPr="008913ED">
        <w:rPr>
          <w:strike/>
          <w:szCs w:val="24"/>
          <w:lang w:eastAsia="en-US"/>
        </w:rPr>
        <w:t>efter</w:t>
      </w:r>
      <w:r w:rsidRPr="008913ED">
        <w:rPr>
          <w:b/>
          <w:i/>
          <w:szCs w:val="24"/>
          <w:lang w:eastAsia="en-US"/>
        </w:rPr>
        <w:t>fra</w:t>
      </w:r>
      <w:r w:rsidRPr="008913ED">
        <w:rPr>
          <w:szCs w:val="24"/>
          <w:lang w:eastAsia="en-US"/>
        </w:rPr>
        <w:t xml:space="preserve"> denne forordnings ikrafttræden] en upartisk og kompetent enhed til at varetage de funktioner, der er omhandlet i artikel 59. En sådan enhed vil blive udpeget som netværkskoordinator.</w:t>
      </w:r>
      <w:r w:rsidRPr="008913ED">
        <w:rPr>
          <w:b/>
          <w:i/>
          <w:szCs w:val="24"/>
          <w:lang w:eastAsia="en-US"/>
        </w:rPr>
        <w:t xml:space="preserve"> ENIM kan med Kommissionens samtykke beslutte at udskifte den enhed, der er udpeget som netværkskoordinator.</w:t>
      </w:r>
      <w:r w:rsidRPr="008913ED">
        <w:rPr>
          <w:b/>
          <w:szCs w:val="24"/>
          <w:lang w:eastAsia="en-US"/>
        </w:rPr>
        <w:t xml:space="preserve"> [Ændring 213]</w:t>
      </w:r>
    </w:p>
    <w:p w14:paraId="36910B28" w14:textId="77777777" w:rsidR="008913ED" w:rsidRPr="008913ED" w:rsidRDefault="008913ED" w:rsidP="008913ED">
      <w:pPr>
        <w:spacing w:before="120" w:after="120" w:line="360" w:lineRule="auto"/>
        <w:ind w:left="850"/>
        <w:rPr>
          <w:szCs w:val="24"/>
          <w:lang w:eastAsia="en-US"/>
        </w:rPr>
      </w:pPr>
      <w:r w:rsidRPr="008913ED">
        <w:rPr>
          <w:szCs w:val="24"/>
          <w:lang w:eastAsia="en-US"/>
        </w:rPr>
        <w:t>Inden udpegelsen af netværkskoordinatoren indhenter infrastrukturforvalterne Kommissionens samtykke vedrørende den udpegede enhed og følgende aspekter:</w:t>
      </w:r>
    </w:p>
    <w:p w14:paraId="0A05DA76" w14:textId="77777777" w:rsidR="00216C2C" w:rsidRDefault="00216C2C">
      <w:pPr>
        <w:widowControl/>
        <w:rPr>
          <w:szCs w:val="24"/>
          <w:lang w:eastAsia="en-US"/>
        </w:rPr>
      </w:pPr>
      <w:r>
        <w:rPr>
          <w:szCs w:val="24"/>
          <w:lang w:eastAsia="en-US"/>
        </w:rPr>
        <w:br w:type="page"/>
      </w:r>
    </w:p>
    <w:p w14:paraId="7565C562" w14:textId="41AFA2D0"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a)</w:t>
      </w:r>
      <w:r w:rsidRPr="008913ED">
        <w:rPr>
          <w:szCs w:val="24"/>
          <w:lang w:eastAsia="en-US"/>
        </w:rPr>
        <w:tab/>
        <w:t>vilkår og betingelser for udpegelsen af netværkskoordinatoren</w:t>
      </w:r>
    </w:p>
    <w:p w14:paraId="5C524838"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betingelserne for tilbagetrækning af udpegelsen</w:t>
      </w:r>
    </w:p>
    <w:p w14:paraId="5BA983D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proceduren for regelmæssig overvågning af koordinatorens arbejde og vurdering af, om koordinatoren har udført sine opgaver effektivt</w:t>
      </w:r>
    </w:p>
    <w:p w14:paraId="11343789"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netværkskoordinatorens eventuelle yderligere operationelle forpligtelser og opgaver.</w:t>
      </w:r>
    </w:p>
    <w:p w14:paraId="1B43477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Netværkskoordinatoren udfører sine opgaver på en upartisk og omkostningseffektiv måde og handler på vegne af ENIM</w:t>
      </w:r>
      <w:r w:rsidRPr="008913ED">
        <w:rPr>
          <w:b/>
          <w:i/>
          <w:szCs w:val="24"/>
          <w:lang w:eastAsia="en-US"/>
        </w:rPr>
        <w:t xml:space="preserve"> og Kommissionen</w:t>
      </w:r>
      <w:r w:rsidRPr="008913ED">
        <w:rPr>
          <w:szCs w:val="24"/>
          <w:lang w:eastAsia="en-US"/>
        </w:rPr>
        <w:t>. Med henblik herpå forelægger koordinatoren sit årlige arbejdsprogram vedrørende de opgaver, der er fastsat ved denne forordning, samt en årlig rapport om gennemførelsen af arbejdsprogrammet for ENIM</w:t>
      </w:r>
      <w:r w:rsidRPr="008913ED">
        <w:rPr>
          <w:b/>
          <w:i/>
          <w:szCs w:val="24"/>
          <w:lang w:eastAsia="en-US"/>
        </w:rPr>
        <w:t xml:space="preserve"> og Kommissionen</w:t>
      </w:r>
      <w:r w:rsidRPr="008913ED">
        <w:rPr>
          <w:szCs w:val="24"/>
          <w:lang w:eastAsia="en-US"/>
        </w:rPr>
        <w:t>.</w:t>
      </w:r>
      <w:r w:rsidRPr="008913ED">
        <w:rPr>
          <w:b/>
          <w:szCs w:val="24"/>
          <w:lang w:eastAsia="en-US"/>
        </w:rPr>
        <w:t xml:space="preserve"> [Ændring 214]</w:t>
      </w:r>
    </w:p>
    <w:p w14:paraId="7F1A02CF"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59</w:t>
      </w:r>
      <w:r w:rsidRPr="008913ED">
        <w:rPr>
          <w:szCs w:val="24"/>
          <w:lang w:eastAsia="en-US"/>
        </w:rPr>
        <w:br/>
        <w:t>Netværkskoordinatorens opgaver og ansvarsområder</w:t>
      </w:r>
    </w:p>
    <w:p w14:paraId="23EACA31" w14:textId="77777777" w:rsidR="008913ED" w:rsidRPr="008913ED" w:rsidRDefault="008913ED" w:rsidP="008913ED">
      <w:pPr>
        <w:spacing w:before="120" w:after="120" w:line="360" w:lineRule="auto"/>
        <w:rPr>
          <w:szCs w:val="24"/>
          <w:lang w:eastAsia="en-US"/>
        </w:rPr>
      </w:pPr>
      <w:r w:rsidRPr="008913ED">
        <w:rPr>
          <w:szCs w:val="24"/>
          <w:lang w:eastAsia="en-US"/>
        </w:rPr>
        <w:t>Netværkskoordinatoren udfører følgende opgaver til støtte for ENIM:</w:t>
      </w:r>
    </w:p>
    <w:p w14:paraId="015B918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a)</w:t>
      </w:r>
      <w:r w:rsidRPr="008913ED">
        <w:rPr>
          <w:szCs w:val="24"/>
          <w:lang w:eastAsia="en-US"/>
        </w:rPr>
        <w:tab/>
        <w:t>varetagelse af sekretariatsfunktionen og forberedelse af ENIM's møder, dokumenter, afgørelser og udtalelser</w:t>
      </w:r>
    </w:p>
    <w:p w14:paraId="4D11B2F6" w14:textId="77777777" w:rsidR="00216C2C" w:rsidRDefault="00216C2C">
      <w:pPr>
        <w:widowControl/>
        <w:rPr>
          <w:szCs w:val="24"/>
          <w:lang w:eastAsia="en-US"/>
        </w:rPr>
      </w:pPr>
      <w:r>
        <w:rPr>
          <w:szCs w:val="24"/>
          <w:lang w:eastAsia="en-US"/>
        </w:rPr>
        <w:br w:type="page"/>
      </w:r>
    </w:p>
    <w:p w14:paraId="30EB4FDF" w14:textId="1D9A8CA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b)</w:t>
      </w:r>
      <w:r w:rsidRPr="008913ED">
        <w:rPr>
          <w:szCs w:val="24"/>
          <w:lang w:eastAsia="en-US"/>
        </w:rPr>
        <w:tab/>
        <w:t>bidrag til udarbejdelsen af den europæiske ramme for kapacitetsforvaltning, jf. artikel 6, den europæiske ramme for koordinering af grænseoverskridende trafikstyring, håndtering af forstyrrelser og krisestyring, jf. artikel 44, og den europæiske ramme for præstationsvurdering, jf. artikel 50</w:t>
      </w:r>
    </w:p>
    <w:p w14:paraId="4E63F7B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c)</w:t>
      </w:r>
      <w:r w:rsidRPr="008913ED">
        <w:rPr>
          <w:szCs w:val="24"/>
          <w:lang w:eastAsia="en-US"/>
        </w:rPr>
        <w:tab/>
        <w:t>bidrag til den operationelle samordning mellem infrastrukturforvalterne i overensstemmelse med artikel 53</w:t>
      </w:r>
    </w:p>
    <w:p w14:paraId="6C2283A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d)</w:t>
      </w:r>
      <w:r w:rsidRPr="008913ED">
        <w:rPr>
          <w:szCs w:val="24"/>
          <w:lang w:eastAsia="en-US"/>
        </w:rPr>
        <w:tab/>
        <w:t>kortlægning af regler, procedurer og værktøjer inden for denne forordnings anvendelsesområde fastlagt på nationalt plan eller af infrastrukturforvaltere, der skaber hindringer for jernbanedrift på flere net som defineret i denne forordning</w:t>
      </w:r>
    </w:p>
    <w:p w14:paraId="0320815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e)</w:t>
      </w:r>
      <w:r w:rsidRPr="008913ED">
        <w:rPr>
          <w:szCs w:val="24"/>
          <w:lang w:eastAsia="en-US"/>
        </w:rPr>
        <w:tab/>
        <w:t>varetagelse af funktionen som kontaktpunkt på vegne af infrastrukturforvaltere i forbindelse med forespørgsler vedrørende kapacitetsplanlægning og -tildeling, navnlig i forbindelse med potentielle anmodninger om kapacitet, oplysninger eller kontaktpunkter vedrørende jernbanehændelser og midlertidige kapacitetsrestriktioner</w:t>
      </w:r>
    </w:p>
    <w:p w14:paraId="3EEA9C6F" w14:textId="77777777" w:rsidR="00216C2C" w:rsidRDefault="00216C2C">
      <w:pPr>
        <w:widowControl/>
        <w:rPr>
          <w:szCs w:val="24"/>
          <w:lang w:eastAsia="en-US"/>
        </w:rPr>
      </w:pPr>
      <w:r>
        <w:rPr>
          <w:szCs w:val="24"/>
          <w:lang w:eastAsia="en-US"/>
        </w:rPr>
        <w:br w:type="page"/>
      </w:r>
    </w:p>
    <w:p w14:paraId="110FD0E3" w14:textId="3B0B633B"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f)</w:t>
      </w:r>
      <w:r w:rsidRPr="008913ED">
        <w:rPr>
          <w:szCs w:val="24"/>
          <w:lang w:eastAsia="en-US"/>
        </w:rPr>
        <w:tab/>
        <w:t>varetagelse af funktionen som det første kontaktpunkt for interessenter uden for jernbanesektoren, der ønsker at benytte jernbanetjenester, herunder etablering af kontakter til relevante aktører hos infrastrukturforvaltere og andre operationelle interessenter</w:t>
      </w:r>
    </w:p>
    <w:p w14:paraId="26CD50D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g)</w:t>
      </w:r>
      <w:r w:rsidRPr="008913ED">
        <w:rPr>
          <w:szCs w:val="24"/>
          <w:lang w:eastAsia="en-US"/>
        </w:rPr>
        <w:tab/>
        <w:t>varetagelse af funktionen som kontaktpunkt på vegne af ENIM for ansøgere og andre operationelle interessenter i forbindelse med spørgsmål, der ikke udtrykkeligt er omfattet af denne forordning, navnlig iværksættelse eller ændring af grænseoverskridende jernbanetransporttjenester eller organisering af støtte til ad hoc-aktiviteter, navnlig med henblik på håndtering af de krisesituationer, der er omhandlet i artikel 47.</w:t>
      </w:r>
    </w:p>
    <w:p w14:paraId="2DA3E1D6"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ga)</w:t>
      </w:r>
      <w:r w:rsidRPr="008913ED">
        <w:rPr>
          <w:szCs w:val="24"/>
          <w:lang w:eastAsia="en-US"/>
        </w:rPr>
        <w:tab/>
      </w:r>
      <w:r w:rsidRPr="008913ED">
        <w:rPr>
          <w:b/>
          <w:i/>
          <w:szCs w:val="24"/>
          <w:lang w:eastAsia="en-US"/>
        </w:rPr>
        <w:t>levering af eksisterende og nye fælles B2B-tjenester til infrastrukturforvaltere og jernbanevirksomheder for at forbedre jernbanetransporten og fremme den transeuropæiske jernbanetrafik.</w:t>
      </w:r>
      <w:r w:rsidRPr="008913ED">
        <w:rPr>
          <w:b/>
          <w:szCs w:val="24"/>
          <w:lang w:eastAsia="en-US"/>
        </w:rPr>
        <w:t xml:space="preserve"> [Ændring 215]</w:t>
      </w:r>
    </w:p>
    <w:p w14:paraId="031BA76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60</w:t>
      </w:r>
      <w:r w:rsidRPr="008913ED">
        <w:rPr>
          <w:szCs w:val="24"/>
          <w:lang w:eastAsia="en-US"/>
        </w:rPr>
        <w:br/>
        <w:t>Kontaktpunkter for samordning af infrastrukturforvaltere</w:t>
      </w:r>
    </w:p>
    <w:p w14:paraId="56F12FD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For at sikre samordningen mellem infrastrukturforvalterne i overensstemmelse med artikel 53 udpeger infrastrukturforvalterne kontaktpunkter. Kontaktpunktet fungerer som den centrale grænseflade mellem infrastrukturforvalterens organisation og de andre enheder, der er involveret i samordningsaktiviteterne.</w:t>
      </w:r>
    </w:p>
    <w:p w14:paraId="5512FF1C" w14:textId="77777777" w:rsidR="00216C2C" w:rsidRDefault="00216C2C">
      <w:pPr>
        <w:widowControl/>
        <w:rPr>
          <w:szCs w:val="24"/>
          <w:lang w:eastAsia="en-US"/>
        </w:rPr>
      </w:pPr>
      <w:r>
        <w:rPr>
          <w:szCs w:val="24"/>
          <w:lang w:eastAsia="en-US"/>
        </w:rPr>
        <w:br w:type="page"/>
      </w:r>
    </w:p>
    <w:p w14:paraId="7DC64C9C" w14:textId="49802B89"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Infrastrukturforvalterne underretter straks ENIM om eventuelle ændringer i de kontaktpunkter, der skal medtages i de i artikel 57, stk. 1, omhandlede offentliggørelser (Gennemsigtighed).</w:t>
      </w:r>
    </w:p>
    <w:p w14:paraId="3B760245"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61</w:t>
      </w:r>
      <w:r w:rsidRPr="008913ED">
        <w:rPr>
          <w:szCs w:val="24"/>
          <w:lang w:eastAsia="en-US"/>
        </w:rPr>
        <w:br/>
        <w:t>Fælles struktur, indhold og plan for netvejledninger</w:t>
      </w:r>
    </w:p>
    <w:p w14:paraId="3941E5D0"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ENIM udarbejder og vedtager</w:t>
      </w:r>
      <w:r w:rsidRPr="008913ED">
        <w:rPr>
          <w:b/>
          <w:i/>
          <w:szCs w:val="24"/>
          <w:lang w:eastAsia="en-US"/>
        </w:rPr>
        <w:t xml:space="preserve"> senest den ... [12 måneder fra denne forordnings ikrafttræden]</w:t>
      </w:r>
      <w:r w:rsidRPr="008913ED">
        <w:rPr>
          <w:szCs w:val="24"/>
          <w:lang w:eastAsia="en-US"/>
        </w:rPr>
        <w:t xml:space="preserve"> en fælles struktur for den netvejledning, der er omhandlet i artikel 27 i direktiv 2012/34/EU, hvor der tages hensyn til de oplysninger, der er anført i bilag IV til nævnte direktiv, bilag IV til denne forordning, og en fælles plan for høring af interesserede parter om udkastet til netvejledning. Infrastrukturforvalterne tager størst muligt hensyn til denne struktur og plan ved udarbejdelsen af netvejledningen.</w:t>
      </w:r>
      <w:r w:rsidRPr="008913ED">
        <w:rPr>
          <w:b/>
          <w:szCs w:val="24"/>
          <w:lang w:eastAsia="en-US"/>
        </w:rPr>
        <w:t xml:space="preserve"> [Ændring 216]</w:t>
      </w:r>
    </w:p>
    <w:p w14:paraId="301A20C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Ved udarbejdelsen af den netvejledning, der er omhandlet i artikel 27 i direktiv 2012/34/EU, tager infrastrukturforvalteren størst muligt hensyn til den europæiske ramme for kapacitetsforvaltning, den europæiske ramme for grænseoverskridende koordinering af trafikstyring, håndtering af forstyrrelser og krisestyring og den europæiske ramme for præstationsvurdering, jf. henholdsvis artikel 6, 44 og 50 i denne forordning.</w:t>
      </w:r>
    </w:p>
    <w:p w14:paraId="0C16ED8C" w14:textId="77777777" w:rsidR="00216C2C" w:rsidRDefault="00216C2C">
      <w:pPr>
        <w:widowControl/>
        <w:rPr>
          <w:szCs w:val="24"/>
          <w:lang w:eastAsia="en-US"/>
        </w:rPr>
      </w:pPr>
      <w:r>
        <w:rPr>
          <w:szCs w:val="24"/>
          <w:lang w:eastAsia="en-US"/>
        </w:rPr>
        <w:br w:type="page"/>
      </w:r>
    </w:p>
    <w:p w14:paraId="75672476" w14:textId="54D1B4EE"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Hvis infrastrukturforvalteren ikke overholder stk. 1 eller 2, begrunder infrastrukturforvalteren dette i netvejledningen og underretter det kompetente tilsynsorgan og ENIM herom.</w:t>
      </w:r>
    </w:p>
    <w:p w14:paraId="10EEC459"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62</w:t>
      </w:r>
      <w:r w:rsidRPr="008913ED">
        <w:rPr>
          <w:szCs w:val="24"/>
          <w:lang w:eastAsia="en-US"/>
        </w:rPr>
        <w:br/>
        <w:t>Digitalisering af kapacitetsforvaltning og trafikstyring</w:t>
      </w:r>
    </w:p>
    <w:p w14:paraId="32EF3903"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Infrastrukturforvalterne sikrer, at kapacitetsforvaltningen og trafikstyringen inden for denne forordnings anvendelsesområde gennemføres ved hjælp af digitale værktøjer og digitale tjenester.</w:t>
      </w:r>
    </w:p>
    <w:p w14:paraId="1E6B082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De anvendte digitale værktøjer, og de leverede digitale tjenester skal:</w:t>
      </w:r>
    </w:p>
    <w:p w14:paraId="0B246E67"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forbedre resultaterne og kvaliteten, herunder sikre fuld interoperabilitet, af de tjenester, som infrastrukturforvalterne leverer til ansøgerne</w:t>
      </w:r>
    </w:p>
    <w:p w14:paraId="0FAC1BAB"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b)</w:t>
      </w:r>
      <w:r w:rsidRPr="008913ED">
        <w:rPr>
          <w:szCs w:val="24"/>
          <w:lang w:eastAsia="en-US"/>
        </w:rPr>
        <w:tab/>
        <w:t>forbedre gennemsigtigheden i forvaltningen af jernbanekapacitet og trafikstyringen i alle faser</w:t>
      </w:r>
      <w:r w:rsidRPr="008913ED">
        <w:rPr>
          <w:b/>
          <w:i/>
          <w:szCs w:val="24"/>
          <w:lang w:eastAsia="en-US"/>
        </w:rPr>
        <w:t>, herunder digitale løsninger og realtidsløsninger, som gradvist skal udarbejdes sammen med relevante interessenter</w:t>
      </w:r>
      <w:r w:rsidRPr="008913ED">
        <w:rPr>
          <w:b/>
          <w:szCs w:val="24"/>
          <w:lang w:eastAsia="en-US"/>
        </w:rPr>
        <w:t xml:space="preserve"> [Ændring 217]</w:t>
      </w:r>
    </w:p>
    <w:p w14:paraId="3705BEAE" w14:textId="77777777" w:rsidR="00216C2C" w:rsidRDefault="00216C2C">
      <w:pPr>
        <w:widowControl/>
        <w:rPr>
          <w:szCs w:val="24"/>
          <w:lang w:eastAsia="en-US"/>
        </w:rPr>
      </w:pPr>
      <w:r>
        <w:rPr>
          <w:szCs w:val="24"/>
          <w:lang w:eastAsia="en-US"/>
        </w:rPr>
        <w:br w:type="page"/>
      </w:r>
    </w:p>
    <w:p w14:paraId="58AE3614" w14:textId="66A3DA97"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c)</w:t>
      </w:r>
      <w:r w:rsidRPr="008913ED">
        <w:rPr>
          <w:szCs w:val="24"/>
          <w:lang w:eastAsia="en-US"/>
        </w:rPr>
        <w:tab/>
        <w:t>mindske den administrative byrde for ansøgerne ved kun at anmode om hver enkelt oplysning én gang og ved at stille oplysninger eller data til rådighed på ét og samme sted, herunder for så vidt angår grænseoverskridende tjenester.</w:t>
      </w:r>
    </w:p>
    <w:p w14:paraId="2E5D77A1"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Hvor det er relevant, skal de digitale værktøjer og de digitale tjenester være i overensstemmelse med TSI TAF/TAP og RINF, jf. artikel 49 i direktiv (EU) 2016/797, for at sikre interoperabilitet mellem relevante systemer.</w:t>
      </w:r>
      <w:r w:rsidRPr="008913ED">
        <w:rPr>
          <w:b/>
          <w:szCs w:val="24"/>
          <w:lang w:eastAsia="en-US"/>
        </w:rPr>
        <w:t xml:space="preserve"> [Ændring 218]</w:t>
      </w:r>
    </w:p>
    <w:p w14:paraId="52C33793"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2a.</w:t>
      </w:r>
      <w:r w:rsidRPr="008913ED">
        <w:rPr>
          <w:szCs w:val="24"/>
          <w:lang w:eastAsia="en-US"/>
        </w:rPr>
        <w:tab/>
      </w:r>
      <w:r w:rsidRPr="008913ED">
        <w:rPr>
          <w:b/>
          <w:i/>
          <w:szCs w:val="24"/>
          <w:lang w:eastAsia="en-US"/>
        </w:rPr>
        <w:t>Infrastrukturforvalterne sikrer, at de digitale værktøjer og digitale tjenester opfylder kravene i den kapacitetsplanlægnings- og tildelingsproces, der er fastsat i denne forordnings afdeling 3. For at opnå de forbedringer, der er anført i denne artikels stk. 2, litra a), skal infrastrukturforvalterne også anvende et værktøj til digitalisering af midlertidige kapacitetsbegrænsninger og en digital illustration af de tog, der kører på det europæiske jernbanenet.</w:t>
      </w:r>
      <w:r w:rsidRPr="008913ED">
        <w:rPr>
          <w:b/>
          <w:szCs w:val="24"/>
          <w:lang w:eastAsia="en-US"/>
        </w:rPr>
        <w:t xml:space="preserve"> [Ændring 219]</w:t>
      </w:r>
    </w:p>
    <w:p w14:paraId="6E99D463" w14:textId="77777777" w:rsidR="00216C2C" w:rsidRDefault="00216C2C">
      <w:pPr>
        <w:widowControl/>
        <w:rPr>
          <w:szCs w:val="24"/>
          <w:lang w:eastAsia="en-US"/>
        </w:rPr>
      </w:pPr>
      <w:r>
        <w:rPr>
          <w:szCs w:val="24"/>
          <w:lang w:eastAsia="en-US"/>
        </w:rPr>
        <w:br w:type="page"/>
      </w:r>
    </w:p>
    <w:p w14:paraId="2637E54F" w14:textId="7270DB4C"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3.</w:t>
      </w:r>
      <w:r w:rsidRPr="008913ED">
        <w:rPr>
          <w:szCs w:val="24"/>
          <w:lang w:eastAsia="en-US"/>
        </w:rPr>
        <w:tab/>
        <w:t xml:space="preserve">Hvis de digitale værktøjer eller de digitale tjenester, der er nødvendige for at støtte kapacitetsforvaltningen eller trafikstyringen, skal være omfattet af tekniske specifikationer for interoperabilitet, eller hvis det er nødvendigt at ændre eksisterende specifikationer, der dækker eller delvist dækker disse værktøjer, jf. direktiv (EU) 2016/797 og de gennemførelsesretsakter, der er vedtaget i henhold til nævnte direktiv, bidrager ENIM og infrastrukturforvalterne til udarbejdelsen og vedligeholdelsen af sådanne specifikationer i samarbejde med </w:t>
      </w:r>
      <w:r w:rsidRPr="008913ED">
        <w:rPr>
          <w:b/>
          <w:i/>
          <w:szCs w:val="24"/>
          <w:lang w:eastAsia="en-US"/>
        </w:rPr>
        <w:t xml:space="preserve">ERA og </w:t>
      </w:r>
      <w:r w:rsidRPr="008913ED">
        <w:rPr>
          <w:szCs w:val="24"/>
          <w:lang w:eastAsia="en-US"/>
        </w:rPr>
        <w:t>fællesforetagendet for Europas jernbaner og gennem den proces, der er omhandlet i artikel 5 i direktiv (EU) 2016/797.</w:t>
      </w:r>
      <w:r w:rsidRPr="008913ED">
        <w:rPr>
          <w:b/>
          <w:szCs w:val="24"/>
          <w:lang w:eastAsia="en-US"/>
        </w:rPr>
        <w:t xml:space="preserve"> [Ændring 220]</w:t>
      </w:r>
    </w:p>
    <w:p w14:paraId="4964D88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Infrastrukturforvalterne bidrager med arbejdet i fællesforetagendet for Europas jernbaner i forbindelse med spørgsmål, der hører under denne forordnings anvendelsesområde. Med henblik herpå skal ENIM og infrastrukturforvalterne være behørigt repræsenteret i den styregruppe for systemsøjlen og udrulningsgruppe, der er omhandlet i henholdsvis artikel 96 og 97 i forordning (EU) 2021/2085.</w:t>
      </w:r>
    </w:p>
    <w:p w14:paraId="2A7EB286" w14:textId="77777777" w:rsidR="00216C2C" w:rsidRDefault="00216C2C">
      <w:pPr>
        <w:widowControl/>
        <w:rPr>
          <w:szCs w:val="24"/>
          <w:lang w:eastAsia="en-US"/>
        </w:rPr>
      </w:pPr>
      <w:r>
        <w:rPr>
          <w:szCs w:val="24"/>
          <w:lang w:eastAsia="en-US"/>
        </w:rPr>
        <w:br w:type="page"/>
      </w:r>
    </w:p>
    <w:p w14:paraId="3CD44C53" w14:textId="1E75DBD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Infrastrukturforvaltere, jernbanevirksomheder, andre ansøgere og, når det er relevant, operatører af jernbaneservicefaciliteter udveksler digitale oplysninger om kapacitetsforvaltning og trafikstyring ved hjælp af digitale værktøjer og digitale tjenester, som er baseret på en harmoniseret arkitektur og omfatter standardiserede grænseflader eller fælles systemer i overensstemmelse med direktiv (EU) 2016/797 og de specifikationer, der er fastsat i gennemførelsesretsakter vedtaget i henhold til nævnte direktiv.</w:t>
      </w:r>
    </w:p>
    <w:p w14:paraId="3780E159" w14:textId="77777777" w:rsidR="008913ED" w:rsidRPr="008913ED" w:rsidRDefault="008913ED" w:rsidP="008913ED">
      <w:pPr>
        <w:spacing w:before="120" w:after="120" w:line="360" w:lineRule="auto"/>
        <w:ind w:left="850"/>
        <w:rPr>
          <w:szCs w:val="24"/>
          <w:lang w:eastAsia="en-US"/>
        </w:rPr>
      </w:pPr>
      <w:r w:rsidRPr="008913ED">
        <w:rPr>
          <w:szCs w:val="24"/>
          <w:lang w:eastAsia="en-US"/>
        </w:rPr>
        <w:t>I forbindelse med jernbanedrift på flere net leverer infrastrukturforvalterne digitale tjenester og digitale oplysninger gennem en enkelt grænseflade eller fælles systemer, der udvikles og implementeres under ENIM's samordning i overensstemmelse med stk. 3.</w:t>
      </w:r>
    </w:p>
    <w:p w14:paraId="6651DAF6"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5a.</w:t>
      </w:r>
      <w:r w:rsidRPr="008913ED">
        <w:rPr>
          <w:szCs w:val="24"/>
          <w:lang w:eastAsia="en-US"/>
        </w:rPr>
        <w:tab/>
      </w:r>
      <w:r w:rsidRPr="008913ED">
        <w:rPr>
          <w:b/>
          <w:i/>
          <w:szCs w:val="24"/>
          <w:lang w:eastAsia="en-US"/>
        </w:rPr>
        <w:t>Infrastrukturforvalterne sikrer, at de digitale værktøjer og digitale tjenester, der er omhandlet i stk. 1, er fuldt operationelle i overensstemmelse med de tidsfrister, der er fastsat i denne forordning: Der skal indføres følgende digitale europæiske jernbanekapacitets- og trafikstyringssystemer:</w:t>
      </w:r>
    </w:p>
    <w:p w14:paraId="0D3264CC" w14:textId="77777777" w:rsidR="00216C2C" w:rsidRDefault="00216C2C">
      <w:pPr>
        <w:widowControl/>
        <w:rPr>
          <w:b/>
          <w:i/>
          <w:szCs w:val="24"/>
          <w:lang w:eastAsia="en-US"/>
        </w:rPr>
      </w:pPr>
      <w:r>
        <w:rPr>
          <w:b/>
          <w:i/>
          <w:szCs w:val="24"/>
          <w:lang w:eastAsia="en-US"/>
        </w:rPr>
        <w:br w:type="page"/>
      </w:r>
    </w:p>
    <w:p w14:paraId="6D4A0214" w14:textId="59939119" w:rsidR="008913ED" w:rsidRPr="008913ED" w:rsidRDefault="008913ED" w:rsidP="008913ED">
      <w:pPr>
        <w:spacing w:before="120" w:after="120" w:line="360" w:lineRule="auto"/>
        <w:ind w:left="1416" w:hanging="566"/>
        <w:rPr>
          <w:szCs w:val="24"/>
          <w:lang w:eastAsia="en-US"/>
        </w:rPr>
      </w:pPr>
      <w:r w:rsidRPr="008913ED">
        <w:rPr>
          <w:b/>
          <w:i/>
          <w:szCs w:val="24"/>
          <w:lang w:eastAsia="en-US"/>
        </w:rPr>
        <w:lastRenderedPageBreak/>
        <w:t>a)</w:t>
      </w:r>
      <w:r w:rsidRPr="008913ED">
        <w:rPr>
          <w:szCs w:val="24"/>
          <w:lang w:eastAsia="en-US"/>
        </w:rPr>
        <w:tab/>
      </w:r>
      <w:r w:rsidRPr="008913ED">
        <w:rPr>
          <w:b/>
          <w:i/>
          <w:szCs w:val="24"/>
          <w:lang w:eastAsia="en-US"/>
        </w:rPr>
        <w:t>et europæisk digitalt system til de kapacitetsforvaltningsprocesser, der er fastsat i kapitel II i denne forordning, og som består af:</w:t>
      </w:r>
    </w:p>
    <w:p w14:paraId="4B3EBCFD"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w:t>
      </w:r>
      <w:r w:rsidRPr="008913ED">
        <w:rPr>
          <w:szCs w:val="24"/>
          <w:lang w:eastAsia="en-US"/>
        </w:rPr>
        <w:tab/>
      </w:r>
      <w:r w:rsidRPr="008913ED">
        <w:rPr>
          <w:b/>
          <w:i/>
          <w:szCs w:val="24"/>
          <w:lang w:eastAsia="en-US"/>
        </w:rPr>
        <w:t>en digital visning af kapacitetsmodeller, jf. artikel 17, senest den 1. juli 2025 ("europæisk kapacitetsforvaltningsværktøj"), der skal anvendes fra køreplansperioden 2027</w:t>
      </w:r>
    </w:p>
    <w:p w14:paraId="40E51C56"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ii)</w:t>
      </w:r>
      <w:r w:rsidRPr="008913ED">
        <w:rPr>
          <w:szCs w:val="24"/>
          <w:lang w:eastAsia="en-US"/>
        </w:rPr>
        <w:tab/>
      </w:r>
      <w:r w:rsidRPr="008913ED">
        <w:rPr>
          <w:b/>
          <w:i/>
          <w:szCs w:val="24"/>
          <w:lang w:eastAsia="en-US"/>
        </w:rPr>
        <w:t>et værktøj til at indgive årlige anmodninger om kapacitet på flere net og modtage svar på et enkelt sted og én gang senest den 1. januar 2026 (= "path coordination system"), der skal anvendes fra køreplansperioden 2027</w:t>
      </w:r>
    </w:p>
    <w:p w14:paraId="307CF4B2"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iii)</w:t>
      </w:r>
      <w:r w:rsidRPr="008913ED">
        <w:rPr>
          <w:szCs w:val="24"/>
          <w:lang w:eastAsia="en-US"/>
        </w:rPr>
        <w:tab/>
      </w:r>
      <w:r w:rsidRPr="008913ED">
        <w:rPr>
          <w:b/>
          <w:i/>
          <w:szCs w:val="24"/>
          <w:lang w:eastAsia="en-US"/>
        </w:rPr>
        <w:t>en digital visning af kapacitetsforsyningsplanen i realtid, jf. artikel 9 og 18, senest den 1. december 2028 ("det europæiske kapacitetsforvaltningsværktøj"), der skal anvendes fra køreplansperioden 2030</w:t>
      </w:r>
    </w:p>
    <w:p w14:paraId="44C42841"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iv)</w:t>
      </w:r>
      <w:r w:rsidRPr="008913ED">
        <w:rPr>
          <w:szCs w:val="24"/>
          <w:lang w:eastAsia="en-US"/>
        </w:rPr>
        <w:tab/>
      </w:r>
      <w:r w:rsidRPr="008913ED">
        <w:rPr>
          <w:b/>
          <w:i/>
          <w:szCs w:val="24"/>
          <w:lang w:eastAsia="en-US"/>
        </w:rPr>
        <w:t>en digital skærm og et digitalt værktøj til koordinering af midlertidige kapacitetsrestriktioner, jf. artikel 10, senest den 1. december 2027 ("værktøj til midlertidige kapacitetsrestriktioner"), der skal anvendes fra køreplansperioden 2029</w:t>
      </w:r>
    </w:p>
    <w:p w14:paraId="10531A21" w14:textId="77777777" w:rsidR="00216C2C" w:rsidRDefault="00216C2C">
      <w:pPr>
        <w:widowControl/>
        <w:rPr>
          <w:b/>
          <w:i/>
          <w:szCs w:val="24"/>
          <w:lang w:eastAsia="en-US"/>
        </w:rPr>
      </w:pPr>
      <w:r>
        <w:rPr>
          <w:b/>
          <w:i/>
          <w:szCs w:val="24"/>
          <w:lang w:eastAsia="en-US"/>
        </w:rPr>
        <w:br w:type="page"/>
      </w:r>
    </w:p>
    <w:p w14:paraId="34492C6A" w14:textId="61518B1F" w:rsidR="008913ED" w:rsidRPr="008913ED" w:rsidRDefault="008913ED" w:rsidP="008913ED">
      <w:pPr>
        <w:spacing w:before="120" w:after="120" w:line="360" w:lineRule="auto"/>
        <w:ind w:left="1982" w:hanging="566"/>
        <w:rPr>
          <w:szCs w:val="24"/>
          <w:lang w:eastAsia="en-US"/>
        </w:rPr>
      </w:pPr>
      <w:r w:rsidRPr="008913ED">
        <w:rPr>
          <w:b/>
          <w:i/>
          <w:szCs w:val="24"/>
          <w:lang w:eastAsia="en-US"/>
        </w:rPr>
        <w:lastRenderedPageBreak/>
        <w:t>v)</w:t>
      </w:r>
      <w:r w:rsidRPr="008913ED">
        <w:rPr>
          <w:szCs w:val="24"/>
          <w:lang w:eastAsia="en-US"/>
        </w:rPr>
        <w:tab/>
      </w:r>
      <w:r w:rsidRPr="008913ED">
        <w:rPr>
          <w:b/>
          <w:i/>
          <w:szCs w:val="24"/>
          <w:lang w:eastAsia="en-US"/>
        </w:rPr>
        <w:t>en kapacitetsmægler til at anmode om kapacitet med flere net i henhold til de processer, der er beskrevet i artikel 32-34, senest den 1. januar 2029 ("kapacitetsmægler"), der skal anvendes fra køreplansperioden 2030</w:t>
      </w:r>
    </w:p>
    <w:p w14:paraId="7639C070" w14:textId="77777777" w:rsidR="008913ED" w:rsidRPr="008913ED" w:rsidRDefault="008913ED" w:rsidP="008913ED">
      <w:pPr>
        <w:spacing w:before="120" w:after="120" w:line="360" w:lineRule="auto"/>
        <w:ind w:left="1416" w:hanging="566"/>
        <w:rPr>
          <w:szCs w:val="24"/>
          <w:lang w:eastAsia="en-US"/>
        </w:rPr>
      </w:pPr>
      <w:r w:rsidRPr="008913ED">
        <w:rPr>
          <w:b/>
          <w:i/>
          <w:szCs w:val="24"/>
          <w:lang w:eastAsia="en-US"/>
        </w:rPr>
        <w:t>b)</w:t>
      </w:r>
      <w:r w:rsidRPr="008913ED">
        <w:rPr>
          <w:szCs w:val="24"/>
          <w:lang w:eastAsia="en-US"/>
        </w:rPr>
        <w:tab/>
      </w:r>
      <w:r w:rsidRPr="008913ED">
        <w:rPr>
          <w:b/>
          <w:i/>
          <w:szCs w:val="24"/>
          <w:lang w:eastAsia="en-US"/>
        </w:rPr>
        <w:t>et europæisk digitalt system til støtte for det europæiske trafikstyringsnetkoncept for de trafikstyringsprocesser, der er fastsat i kapitel III i denne forordning ("toginformationssystem"), og som indeholder bestemmelser om</w:t>
      </w:r>
    </w:p>
    <w:p w14:paraId="2098720A"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w:t>
      </w:r>
      <w:r w:rsidRPr="008913ED">
        <w:rPr>
          <w:szCs w:val="24"/>
          <w:lang w:eastAsia="en-US"/>
        </w:rPr>
        <w:tab/>
      </w:r>
      <w:r w:rsidRPr="008913ED">
        <w:rPr>
          <w:b/>
          <w:i/>
          <w:szCs w:val="24"/>
          <w:lang w:eastAsia="en-US"/>
        </w:rPr>
        <w:t>en europæisk oversigt over togkørsler med flere net fra oprindelses- til bestemmelsessted fra datoen for forordningens anvendelse</w:t>
      </w:r>
    </w:p>
    <w:p w14:paraId="135BAC19"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ii)</w:t>
      </w:r>
      <w:r w:rsidRPr="008913ED">
        <w:rPr>
          <w:szCs w:val="24"/>
          <w:lang w:eastAsia="en-US"/>
        </w:rPr>
        <w:tab/>
      </w:r>
      <w:r w:rsidRPr="008913ED">
        <w:rPr>
          <w:b/>
          <w:i/>
          <w:szCs w:val="24"/>
          <w:lang w:eastAsia="en-US"/>
        </w:rPr>
        <w:t>en regelmæssig udveksling af oplysninger om forventet ankomsttidspunkt senest i december 2027</w:t>
      </w:r>
    </w:p>
    <w:p w14:paraId="3EE5F2FB"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iii)</w:t>
      </w:r>
      <w:r w:rsidRPr="008913ED">
        <w:rPr>
          <w:szCs w:val="24"/>
          <w:lang w:eastAsia="en-US"/>
        </w:rPr>
        <w:tab/>
      </w:r>
      <w:r w:rsidRPr="008913ED">
        <w:rPr>
          <w:b/>
          <w:i/>
          <w:szCs w:val="24"/>
          <w:lang w:eastAsia="en-US"/>
        </w:rPr>
        <w:t>en indberetning af hændelser til eller via dette fælles system senest i december 2030</w:t>
      </w:r>
    </w:p>
    <w:p w14:paraId="16A74DFE" w14:textId="77777777" w:rsidR="008913ED" w:rsidRPr="008913ED" w:rsidRDefault="008913ED" w:rsidP="008913ED">
      <w:pPr>
        <w:spacing w:before="120" w:after="120" w:line="360" w:lineRule="auto"/>
        <w:ind w:left="1982" w:hanging="566"/>
        <w:rPr>
          <w:szCs w:val="24"/>
          <w:lang w:eastAsia="en-US"/>
        </w:rPr>
      </w:pPr>
      <w:r w:rsidRPr="008913ED">
        <w:rPr>
          <w:b/>
          <w:i/>
          <w:szCs w:val="24"/>
          <w:lang w:eastAsia="en-US"/>
        </w:rPr>
        <w:t>iv)</w:t>
      </w:r>
      <w:r w:rsidRPr="008913ED">
        <w:rPr>
          <w:szCs w:val="24"/>
          <w:lang w:eastAsia="en-US"/>
        </w:rPr>
        <w:tab/>
      </w:r>
      <w:r w:rsidRPr="008913ED">
        <w:rPr>
          <w:b/>
          <w:i/>
          <w:szCs w:val="24"/>
          <w:lang w:eastAsia="en-US"/>
        </w:rPr>
        <w:t>en fælles platform for kommunikation og samarbejde mellem de nationale trafikkontrolcentre senest i december 2030.</w:t>
      </w:r>
    </w:p>
    <w:p w14:paraId="1EDBF466" w14:textId="77777777" w:rsidR="00216C2C" w:rsidRDefault="00216C2C">
      <w:pPr>
        <w:widowControl/>
        <w:rPr>
          <w:b/>
          <w:i/>
          <w:szCs w:val="24"/>
          <w:lang w:eastAsia="en-US"/>
        </w:rPr>
      </w:pPr>
      <w:r>
        <w:rPr>
          <w:b/>
          <w:i/>
          <w:szCs w:val="24"/>
          <w:lang w:eastAsia="en-US"/>
        </w:rPr>
        <w:br w:type="page"/>
      </w:r>
    </w:p>
    <w:p w14:paraId="2B67D5B4" w14:textId="5F1E0CBF" w:rsidR="008913ED" w:rsidRPr="008913ED" w:rsidRDefault="008913ED" w:rsidP="008913ED">
      <w:pPr>
        <w:spacing w:before="120" w:after="120" w:line="360" w:lineRule="auto"/>
        <w:ind w:left="850"/>
        <w:rPr>
          <w:b/>
          <w:szCs w:val="24"/>
          <w:lang w:eastAsia="en-US"/>
        </w:rPr>
      </w:pPr>
      <w:r w:rsidRPr="008913ED">
        <w:rPr>
          <w:b/>
          <w:i/>
          <w:szCs w:val="24"/>
          <w:lang w:eastAsia="en-US"/>
        </w:rPr>
        <w:lastRenderedPageBreak/>
        <w:t>ERA skal i samarbejde med ENIM og netværkskoordinatoren i overensstemmelse med artikel 19 i forordning (EU) 2016/796 senest den ... [12 måneder fra denne forordnings ikrafttræden], fremlægge en henstilling til Kommissionen med værktøjer til gennemførelse og forvaltning af det digitale europæiske jernbanekapacitets- og trafikstyringssystem. Henstillingen skal tage hensyn til de værktøjer, der allerede er i drift eller under udvikling, samt de investeringer, der er indgået forpligtelser for, og de værktøjer og tidsfrister, der er fastsat i dette stykke. På grundlag af denne henstilling tillægges Kommissionen beføjelse til at vedtage en delegeret retsakt i overensstemmelse med artikel 71 med henblik på at fastlægge disse værktøjer til gennemførelse og forvaltning af det digitale europæiske jernbanekapacitets- og trafikstyringssystem og til at udpege opgaverne for fællesforetagendet for Europas jernbaner, ERA, infrastrukturforvaltere, ENIM, ENRRB og netværkskoordinatoren i denne proces.</w:t>
      </w:r>
      <w:r w:rsidRPr="008913ED">
        <w:rPr>
          <w:b/>
          <w:szCs w:val="24"/>
          <w:lang w:eastAsia="en-US"/>
        </w:rPr>
        <w:t xml:space="preserve"> [Ændring 221]</w:t>
      </w:r>
    </w:p>
    <w:p w14:paraId="497E185B" w14:textId="77777777" w:rsidR="008913ED" w:rsidRPr="008913ED" w:rsidRDefault="008913ED" w:rsidP="008913ED">
      <w:pPr>
        <w:spacing w:before="120" w:after="120" w:line="360" w:lineRule="auto"/>
        <w:ind w:left="850" w:hanging="850"/>
        <w:rPr>
          <w:szCs w:val="24"/>
          <w:lang w:eastAsia="en-US"/>
        </w:rPr>
      </w:pPr>
      <w:r w:rsidRPr="008913ED">
        <w:rPr>
          <w:b/>
          <w:i/>
          <w:szCs w:val="24"/>
          <w:lang w:eastAsia="en-US"/>
        </w:rPr>
        <w:t>5b.</w:t>
      </w:r>
      <w:r w:rsidRPr="008913ED">
        <w:rPr>
          <w:szCs w:val="24"/>
          <w:lang w:eastAsia="en-US"/>
        </w:rPr>
        <w:tab/>
      </w:r>
      <w:r w:rsidRPr="008913ED">
        <w:rPr>
          <w:b/>
          <w:i/>
          <w:szCs w:val="24"/>
          <w:lang w:eastAsia="en-US"/>
        </w:rPr>
        <w:t>ERA koordinerer disse opgaver.</w:t>
      </w:r>
    </w:p>
    <w:p w14:paraId="05793D38" w14:textId="77777777" w:rsidR="008913ED" w:rsidRPr="008913ED" w:rsidRDefault="008913ED" w:rsidP="008913ED">
      <w:pPr>
        <w:spacing w:before="120" w:after="120" w:line="360" w:lineRule="auto"/>
        <w:ind w:left="850"/>
        <w:rPr>
          <w:szCs w:val="24"/>
          <w:lang w:eastAsia="en-US"/>
        </w:rPr>
      </w:pPr>
      <w:r w:rsidRPr="008913ED">
        <w:rPr>
          <w:b/>
          <w:i/>
          <w:szCs w:val="24"/>
          <w:lang w:eastAsia="en-US"/>
        </w:rPr>
        <w:t>De centrale værktøjer i de europæiske digitale kapacitets- og trafikstyringssystemer drives af netværkskoordinatoren.</w:t>
      </w:r>
    </w:p>
    <w:p w14:paraId="172E3EE0" w14:textId="77777777" w:rsidR="008913ED" w:rsidRPr="008913ED" w:rsidRDefault="008913ED" w:rsidP="008913ED">
      <w:pPr>
        <w:spacing w:before="120" w:after="120" w:line="360" w:lineRule="auto"/>
        <w:ind w:left="850"/>
        <w:rPr>
          <w:b/>
          <w:szCs w:val="24"/>
          <w:lang w:eastAsia="en-US"/>
        </w:rPr>
      </w:pPr>
      <w:r w:rsidRPr="008913ED">
        <w:rPr>
          <w:b/>
          <w:i/>
          <w:szCs w:val="24"/>
          <w:lang w:eastAsia="en-US"/>
        </w:rPr>
        <w:t>ERA sikrer, at digitale systemer, der er udviklet af sektoren, er i overensstemmelse med de tekniske standarder for interoperabilitet.</w:t>
      </w:r>
      <w:r w:rsidRPr="008913ED">
        <w:rPr>
          <w:b/>
          <w:szCs w:val="24"/>
          <w:lang w:eastAsia="en-US"/>
        </w:rPr>
        <w:t xml:space="preserve"> [Ændring 222]</w:t>
      </w:r>
    </w:p>
    <w:p w14:paraId="478CDBEE" w14:textId="77777777" w:rsidR="00216C2C" w:rsidRDefault="00216C2C">
      <w:pPr>
        <w:widowControl/>
        <w:rPr>
          <w:b/>
          <w:i/>
          <w:szCs w:val="24"/>
          <w:lang w:eastAsia="en-US"/>
        </w:rPr>
      </w:pPr>
      <w:r>
        <w:rPr>
          <w:b/>
          <w:i/>
          <w:szCs w:val="24"/>
          <w:lang w:eastAsia="en-US"/>
        </w:rPr>
        <w:br w:type="page"/>
      </w:r>
    </w:p>
    <w:p w14:paraId="642ECD52" w14:textId="773BADF1"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5c.</w:t>
      </w:r>
      <w:r w:rsidRPr="008913ED">
        <w:rPr>
          <w:szCs w:val="24"/>
          <w:lang w:eastAsia="en-US"/>
        </w:rPr>
        <w:tab/>
      </w:r>
      <w:r w:rsidRPr="008913ED">
        <w:rPr>
          <w:b/>
          <w:i/>
          <w:szCs w:val="24"/>
          <w:lang w:eastAsia="en-US"/>
        </w:rPr>
        <w:t>Kommissionen og medlemsstaterne støtter finansieringen af de aktiviteter, der er omhandlet i denne artikel, herunder fra CEF, med henblik på at sikre en rettidig, grænseoverskridende, harmoniseret og interoperabel gennemførelse af digitale værktøjer og tjenester.</w:t>
      </w:r>
      <w:r w:rsidRPr="008913ED">
        <w:rPr>
          <w:b/>
          <w:szCs w:val="24"/>
          <w:lang w:eastAsia="en-US"/>
        </w:rPr>
        <w:t xml:space="preserve"> [Ændring 223]</w:t>
      </w:r>
    </w:p>
    <w:p w14:paraId="7287BA99" w14:textId="77777777" w:rsidR="008913ED" w:rsidRPr="008913ED" w:rsidRDefault="008913ED" w:rsidP="008913ED">
      <w:pPr>
        <w:spacing w:before="120" w:after="120" w:line="360" w:lineRule="auto"/>
        <w:jc w:val="center"/>
        <w:rPr>
          <w:szCs w:val="24"/>
          <w:lang w:eastAsia="en-US"/>
        </w:rPr>
      </w:pPr>
      <w:r w:rsidRPr="008913ED">
        <w:rPr>
          <w:szCs w:val="24"/>
          <w:lang w:eastAsia="en-US"/>
        </w:rPr>
        <w:t xml:space="preserve">KAPITEL VI </w:t>
      </w:r>
      <w:r w:rsidRPr="008913ED">
        <w:rPr>
          <w:szCs w:val="24"/>
          <w:lang w:eastAsia="en-US"/>
        </w:rPr>
        <w:br/>
        <w:t>MYNDIGHEDSTILSYN MED KAPACITETSFORVALTNING OG TRAFIKSTYRING</w:t>
      </w:r>
    </w:p>
    <w:p w14:paraId="5C0E6A6E" w14:textId="77777777" w:rsidR="008913ED" w:rsidRPr="008913ED" w:rsidRDefault="008913ED" w:rsidP="008913ED">
      <w:pPr>
        <w:spacing w:before="120" w:after="120" w:line="360" w:lineRule="auto"/>
        <w:jc w:val="center"/>
        <w:rPr>
          <w:szCs w:val="24"/>
          <w:lang w:eastAsia="en-US"/>
        </w:rPr>
      </w:pPr>
      <w:r w:rsidRPr="008913ED">
        <w:rPr>
          <w:szCs w:val="24"/>
          <w:lang w:eastAsia="en-US"/>
        </w:rPr>
        <w:t>AFDELING 1</w:t>
      </w:r>
      <w:r w:rsidRPr="008913ED">
        <w:rPr>
          <w:szCs w:val="24"/>
          <w:lang w:eastAsia="en-US"/>
        </w:rPr>
        <w:br/>
        <w:t>Tilsynsorganer</w:t>
      </w:r>
    </w:p>
    <w:p w14:paraId="3015D8B3"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63</w:t>
      </w:r>
      <w:r w:rsidRPr="008913ED">
        <w:rPr>
          <w:szCs w:val="24"/>
          <w:lang w:eastAsia="en-US"/>
        </w:rPr>
        <w:br/>
        <w:t>Tilsynsorganernes ansvarsområder</w:t>
      </w:r>
    </w:p>
    <w:p w14:paraId="51272398"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 xml:space="preserve">De funktioner og beføjelser, der er fastsat i artikel 56 i direktiv 2012/34/EU, udøves også inden for de områder, der er omfattet af denne forordning. Tilsynsorganet skal navnlig overvåge infrastrukturforvalternes </w:t>
      </w:r>
      <w:r w:rsidRPr="008913ED">
        <w:rPr>
          <w:b/>
          <w:i/>
          <w:szCs w:val="24"/>
          <w:lang w:eastAsia="en-US"/>
        </w:rPr>
        <w:t xml:space="preserve">og den europæiske netværkskoordinators </w:t>
      </w:r>
      <w:r w:rsidRPr="008913ED">
        <w:rPr>
          <w:szCs w:val="24"/>
          <w:lang w:eastAsia="en-US"/>
        </w:rPr>
        <w:t>aktiviteter som fastsat i kapitel II-V</w:t>
      </w:r>
      <w:r w:rsidRPr="008913ED">
        <w:rPr>
          <w:b/>
          <w:i/>
          <w:szCs w:val="24"/>
          <w:lang w:eastAsia="en-US"/>
        </w:rPr>
        <w:t xml:space="preserve"> i denne forordning</w:t>
      </w:r>
      <w:r w:rsidRPr="008913ED">
        <w:rPr>
          <w:szCs w:val="24"/>
          <w:lang w:eastAsia="en-US"/>
        </w:rPr>
        <w:t xml:space="preserve"> og føre tilsyn med overholdelsen af denne forordning på eget initiativ med henblik på at undgå forskelsbehandling af ansøgerne.</w:t>
      </w:r>
      <w:r w:rsidRPr="008913ED">
        <w:rPr>
          <w:b/>
          <w:szCs w:val="24"/>
          <w:lang w:eastAsia="en-US"/>
        </w:rPr>
        <w:t xml:space="preserve"> [Ændring 224]</w:t>
      </w:r>
    </w:p>
    <w:p w14:paraId="3E38926C" w14:textId="77777777" w:rsidR="00216C2C" w:rsidRDefault="00216C2C">
      <w:pPr>
        <w:widowControl/>
        <w:rPr>
          <w:b/>
          <w:i/>
          <w:szCs w:val="24"/>
          <w:lang w:eastAsia="en-US"/>
        </w:rPr>
      </w:pPr>
      <w:r>
        <w:rPr>
          <w:b/>
          <w:i/>
          <w:szCs w:val="24"/>
          <w:lang w:eastAsia="en-US"/>
        </w:rPr>
        <w:br w:type="page"/>
      </w:r>
    </w:p>
    <w:p w14:paraId="658D4C84" w14:textId="01DE0A2A"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1a.</w:t>
      </w:r>
      <w:r w:rsidRPr="008913ED">
        <w:rPr>
          <w:szCs w:val="24"/>
          <w:lang w:eastAsia="en-US"/>
        </w:rPr>
        <w:tab/>
      </w:r>
      <w:r w:rsidRPr="008913ED">
        <w:rPr>
          <w:b/>
          <w:i/>
          <w:szCs w:val="24"/>
          <w:lang w:eastAsia="en-US"/>
        </w:rPr>
        <w:t>Tilsynsorganet deltager i og fører tilsyn med den strategiske kapacitetsplanlægning, jf. denne forordnings afdeling 2. Tilsynsorganet evaluerer også proportionalitet, ikkeforskelsbehandling og gennemsigtighed. Tilsynsorganet kan afgive og dele udtalelser med infrastrukturforvaltere, ENIM og ERP. Infrastrukturforvalterne tager hensyn til tilsynsorganets forslag i forbindelse med udarbejdelsen af den strategiske kapacitetsplanlægning.</w:t>
      </w:r>
      <w:r w:rsidRPr="008913ED">
        <w:rPr>
          <w:b/>
          <w:szCs w:val="24"/>
          <w:lang w:eastAsia="en-US"/>
        </w:rPr>
        <w:t xml:space="preserve"> [Ændring 225]</w:t>
      </w:r>
    </w:p>
    <w:p w14:paraId="78BD5D09"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En jernbanevirksomhed, en</w:t>
      </w:r>
      <w:r w:rsidRPr="008913ED">
        <w:rPr>
          <w:b/>
          <w:i/>
          <w:szCs w:val="24"/>
          <w:lang w:eastAsia="en-US"/>
        </w:rPr>
        <w:t xml:space="preserve"> anden</w:t>
      </w:r>
      <w:r w:rsidRPr="008913ED">
        <w:rPr>
          <w:szCs w:val="24"/>
          <w:lang w:eastAsia="en-US"/>
        </w:rPr>
        <w:t xml:space="preserve"> ansøger, en potentiel ansøger, en national, regional eller lokal myndighed med ansvar for transport har ret til indgive klage til tilsynsorganet i overensstemmelse med artikel 56 i direktiv 2012/34/EU, hvis vedkommende mener at være blevet uretfærdigt behandlet, udsat for forskelsbehandling eller på anden måde krænket af infrastrukturforvalteren under udførelsen af de aktiviteter, der er omhandlet i kapitel II, III, IV og V i denne forordning</w:t>
      </w:r>
      <w:r w:rsidRPr="00F5681B">
        <w:rPr>
          <w:strike/>
          <w:szCs w:val="24"/>
          <w:lang w:eastAsia="en-US"/>
        </w:rPr>
        <w:t xml:space="preserve"> (forvaltning af infrastruktur,</w:t>
      </w:r>
      <w:r w:rsidRPr="008913ED">
        <w:rPr>
          <w:strike/>
          <w:szCs w:val="24"/>
          <w:lang w:eastAsia="en-US"/>
        </w:rPr>
        <w:t xml:space="preserve"> trafik- og krisestyring, præstationsvurdering og -styring og europæisk netværk for samordning)</w:t>
      </w:r>
      <w:r w:rsidRPr="00F5681B">
        <w:rPr>
          <w:szCs w:val="24"/>
          <w:lang w:eastAsia="en-US"/>
        </w:rPr>
        <w:t>.</w:t>
      </w:r>
      <w:r w:rsidRPr="008913ED">
        <w:rPr>
          <w:b/>
          <w:szCs w:val="24"/>
          <w:lang w:eastAsia="en-US"/>
        </w:rPr>
        <w:t xml:space="preserve"> [Ændring 226]</w:t>
      </w:r>
    </w:p>
    <w:p w14:paraId="50B0A25E" w14:textId="77777777" w:rsidR="00216C2C" w:rsidRDefault="00216C2C">
      <w:pPr>
        <w:widowControl/>
        <w:rPr>
          <w:szCs w:val="24"/>
          <w:lang w:eastAsia="en-US"/>
        </w:rPr>
      </w:pPr>
      <w:r>
        <w:rPr>
          <w:szCs w:val="24"/>
          <w:lang w:eastAsia="en-US"/>
        </w:rPr>
        <w:br w:type="page"/>
      </w:r>
    </w:p>
    <w:p w14:paraId="13A7107E" w14:textId="1B5616AD"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64</w:t>
      </w:r>
      <w:r w:rsidRPr="008913ED">
        <w:rPr>
          <w:szCs w:val="24"/>
          <w:lang w:eastAsia="en-US"/>
        </w:rPr>
        <w:br/>
        <w:t>Samarbejde mellem tilsynsorganer inden for rammerne af det europæiske netværk af tilsynsorganer på jernbaneområdet (ENRRB)</w:t>
      </w:r>
    </w:p>
    <w:p w14:paraId="0B306CBF"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Med henblik på at opfylde deres forpligtelser i henhold til denne forordning samarbejder tilsynsorganerne inden for rammerne af ENRRB, jf. artikel 57, stk. 1, i direktiv 2012/34/EU, herunder gennem fælles høringer og undersøgelser, ved at vedtage udtalelser eller henstillinger eller gennem andre relevante aktiviteter. Tilsynsorganerne fremsender alle de krævede oplysninger til ENRRB</w:t>
      </w:r>
      <w:r w:rsidRPr="008913ED">
        <w:rPr>
          <w:b/>
          <w:i/>
          <w:szCs w:val="24"/>
          <w:lang w:eastAsia="en-US"/>
        </w:rPr>
        <w:t xml:space="preserve"> og tager hensyn til de udtalelser og henstillinger, som ENRRB har vedtaget</w:t>
      </w:r>
      <w:r w:rsidRPr="008913ED">
        <w:rPr>
          <w:szCs w:val="24"/>
          <w:lang w:eastAsia="en-US"/>
        </w:rPr>
        <w:t>.</w:t>
      </w:r>
      <w:r w:rsidRPr="008913ED">
        <w:rPr>
          <w:b/>
          <w:szCs w:val="24"/>
          <w:lang w:eastAsia="en-US"/>
        </w:rPr>
        <w:t xml:space="preserve"> [Ændring 227]</w:t>
      </w:r>
    </w:p>
    <w:p w14:paraId="5BC88CFD" w14:textId="77777777" w:rsidR="008913ED" w:rsidRPr="008913ED" w:rsidRDefault="008913ED" w:rsidP="008913ED">
      <w:pPr>
        <w:spacing w:before="120" w:after="120" w:line="360" w:lineRule="auto"/>
        <w:ind w:left="850"/>
        <w:rPr>
          <w:szCs w:val="24"/>
          <w:lang w:eastAsia="en-US"/>
        </w:rPr>
      </w:pPr>
      <w:r w:rsidRPr="008913ED">
        <w:rPr>
          <w:szCs w:val="24"/>
          <w:lang w:eastAsia="en-US"/>
        </w:rPr>
        <w:t>Når ENRRB handler inden for denne forordnings anvendelsesområde, har det opgaver og ansvarsområder og tilrettelægger sit arbejde som defineret i afdeling 2 i dette kapitel.</w:t>
      </w:r>
    </w:p>
    <w:p w14:paraId="37D5A93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I tilfælde af en klage eller en undersøgelse på eget initiativ om et spørgsmål, der hører under denne forordnings anvendelsesområde og påvirker adgangen til eller brugen af jernbanenet i mere end én medlemsstat, underretter det berørte tilsynsorgan ENRRB og Kommissionen om klagen eller undersøgelsen.</w:t>
      </w:r>
    </w:p>
    <w:p w14:paraId="172B7924" w14:textId="77777777" w:rsidR="00216C2C" w:rsidRDefault="00216C2C">
      <w:pPr>
        <w:widowControl/>
        <w:rPr>
          <w:szCs w:val="24"/>
          <w:lang w:eastAsia="en-US"/>
        </w:rPr>
      </w:pPr>
      <w:r>
        <w:rPr>
          <w:szCs w:val="24"/>
          <w:lang w:eastAsia="en-US"/>
        </w:rPr>
        <w:br w:type="page"/>
      </w:r>
    </w:p>
    <w:p w14:paraId="1AC88A21" w14:textId="2351E0D8"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3.</w:t>
      </w:r>
      <w:r w:rsidRPr="008913ED">
        <w:rPr>
          <w:szCs w:val="24"/>
          <w:lang w:eastAsia="en-US"/>
        </w:rPr>
        <w:tab/>
        <w:t>Et tilsynsorgan kan fremsende alle relevante spørgsmål, klager eller undersøgelser til ENRRB med henblik på en drøftelse eller vedtagelse af en udtalelse eller henstilling.</w:t>
      </w:r>
    </w:p>
    <w:p w14:paraId="1A67D8D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Når de berørte tilsynsorganer træffer afgørelser om spørgsmål, der berører mere end én medlemsstat, samarbejder de om at forberede deres respektive afgørelser under ENRRB's samordning for at finde en løsning på spørgsmålet. Med henblik herpå udfører de berørte tilsynsorganer deres funktioner i overensstemmelse med stk. 1 i denne artikel og artikel 56 i direktiv 2012/34/EU. De tager hensyn til eventuelle relevante udtalelser og henstillinger vedtaget af ENRRB og forelægger disse afgørelser for ENRRB.</w:t>
      </w:r>
    </w:p>
    <w:p w14:paraId="1CF6D3E7"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Hvis et tilsynsorgan vedtager en afgørelse, der afviger fra en relevant udtalelse eller henstilling fra ENRRB, eller hvis tilsynsorganet nægter at vedtage en afgørelse, giver organet ENRRB en forklaring, hvori der redegøres for forskellene og organets begrundelse for ikke at følge ENRRB's udtalelser eller henstillinger</w:t>
      </w:r>
      <w:r w:rsidRPr="008913ED">
        <w:rPr>
          <w:b/>
          <w:i/>
          <w:szCs w:val="24"/>
          <w:lang w:eastAsia="en-US"/>
        </w:rPr>
        <w:t xml:space="preserve"> og medtager den relevante forklaring i sin afgørelse</w:t>
      </w:r>
      <w:r w:rsidRPr="008913ED">
        <w:rPr>
          <w:szCs w:val="24"/>
          <w:lang w:eastAsia="en-US"/>
        </w:rPr>
        <w:t>.</w:t>
      </w:r>
      <w:r w:rsidRPr="008913ED">
        <w:rPr>
          <w:b/>
          <w:szCs w:val="24"/>
          <w:lang w:eastAsia="en-US"/>
        </w:rPr>
        <w:t xml:space="preserve"> [Ændring 228]</w:t>
      </w:r>
    </w:p>
    <w:p w14:paraId="32066363" w14:textId="77777777" w:rsidR="00216C2C" w:rsidRDefault="00216C2C">
      <w:pPr>
        <w:widowControl/>
        <w:rPr>
          <w:szCs w:val="24"/>
          <w:lang w:eastAsia="en-US"/>
        </w:rPr>
      </w:pPr>
      <w:r>
        <w:rPr>
          <w:szCs w:val="24"/>
          <w:lang w:eastAsia="en-US"/>
        </w:rPr>
        <w:br w:type="page"/>
      </w:r>
    </w:p>
    <w:p w14:paraId="442BFAF1" w14:textId="79D3162B"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6.</w:t>
      </w:r>
      <w:r w:rsidRPr="008913ED">
        <w:rPr>
          <w:szCs w:val="24"/>
          <w:lang w:eastAsia="en-US"/>
        </w:rPr>
        <w:tab/>
        <w:t>De tilsynsorganer, der høres af ENRRB, svarer inden for de frister, der er fastsat af ENRRB, og udleverer på ENRRB's anmodning alle de oplysninger, som de selv har ret til at anmode om i overensstemmelse med deres nationale lovgivning. Disse oplysninger må kun anvendes i forbindelse med de aktiviteter, der udføres af tilsynsorganerne i overensstemmelse med denne forordning.</w:t>
      </w:r>
    </w:p>
    <w:p w14:paraId="6646C7F7"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7.</w:t>
      </w:r>
      <w:r w:rsidRPr="008913ED">
        <w:rPr>
          <w:szCs w:val="24"/>
          <w:lang w:eastAsia="en-US"/>
        </w:rPr>
        <w:tab/>
        <w:t>Infrastrukturforvalterne udleverer straks alle de oplysninger, der er nødvendige for behandlingen af den i nærværende artikel omhandlede klage eller undersøgelse, og som tilsynsorganet i den medlemsstat, hvor infrastrukturforvalteren har sit hjemsted, har anmodet om. Tilsynsorganerne har ret til at anmode ENIM om oplysninger om undersøgelser, der henhører under deres kompetence. Tilsynsorganerne har ret til at fremsende sådanne oplysninger til ENRRB.</w:t>
      </w:r>
    </w:p>
    <w:p w14:paraId="4472357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8.</w:t>
      </w:r>
      <w:r w:rsidRPr="008913ED">
        <w:rPr>
          <w:szCs w:val="24"/>
          <w:lang w:eastAsia="en-US"/>
        </w:rPr>
        <w:tab/>
        <w:t>Jernbanetilsynsorganerne tilvejebringer de midler, der er nødvendige for, at ENRRB kan fungere.</w:t>
      </w:r>
    </w:p>
    <w:p w14:paraId="6C79A477"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8a.</w:t>
      </w:r>
      <w:r w:rsidRPr="008913ED">
        <w:rPr>
          <w:szCs w:val="24"/>
          <w:lang w:eastAsia="en-US"/>
        </w:rPr>
        <w:tab/>
      </w:r>
      <w:r w:rsidRPr="008913ED">
        <w:rPr>
          <w:b/>
          <w:i/>
          <w:szCs w:val="24"/>
          <w:lang w:eastAsia="en-US"/>
        </w:rPr>
        <w:t>ENRRB sikrer, at dets sammensætning, driftsmetoder og alle relevante oplysninger om netværkets arbejde, herunder udtalelser og henstillinger, gøres offentligt tilgængelige på dets websted. Det skal inkludere kontaktoplysninger på arbejdsgrupperne.</w:t>
      </w:r>
      <w:r w:rsidRPr="008913ED">
        <w:rPr>
          <w:b/>
          <w:szCs w:val="24"/>
          <w:lang w:eastAsia="en-US"/>
        </w:rPr>
        <w:t xml:space="preserve"> [Ændring 229]</w:t>
      </w:r>
    </w:p>
    <w:p w14:paraId="6938568F" w14:textId="77777777" w:rsidR="00216C2C" w:rsidRDefault="00216C2C">
      <w:pPr>
        <w:widowControl/>
        <w:rPr>
          <w:szCs w:val="24"/>
          <w:lang w:eastAsia="en-US"/>
        </w:rPr>
      </w:pPr>
      <w:r>
        <w:rPr>
          <w:szCs w:val="24"/>
          <w:lang w:eastAsia="en-US"/>
        </w:rPr>
        <w:br w:type="page"/>
      </w:r>
    </w:p>
    <w:p w14:paraId="11A756B4" w14:textId="3A1F98DE"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AFDELING 2</w:t>
      </w:r>
      <w:r w:rsidRPr="008913ED">
        <w:rPr>
          <w:szCs w:val="24"/>
          <w:lang w:eastAsia="en-US"/>
        </w:rPr>
        <w:br/>
        <w:t>Opgaver og ansvarsområder for det europæiske netværk af tilsynsorganer på jernbaneområdet</w:t>
      </w:r>
    </w:p>
    <w:p w14:paraId="5BB5F967"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65</w:t>
      </w:r>
      <w:r w:rsidRPr="008913ED">
        <w:rPr>
          <w:szCs w:val="24"/>
          <w:lang w:eastAsia="en-US"/>
        </w:rPr>
        <w:br/>
        <w:t>Opgaver og ansvar</w:t>
      </w:r>
    </w:p>
    <w:p w14:paraId="6F2DBF3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Ud over netværkets opgaver i henhold til direktiv 2012/34/EU har ENRRB også de opgaver og ansvarsområder, der er fastsat i denne forordning.</w:t>
      </w:r>
    </w:p>
    <w:p w14:paraId="490E19F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ENRRB koordinerer alle jernbanetilsynsorganernes samarbejdsaktiviteter som beskrevet i artikel 64 og fremmer tilpasningen af tilsynsorganernes afgørelser om international jernbanetransport.</w:t>
      </w:r>
    </w:p>
    <w:p w14:paraId="3D070959"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2a.</w:t>
      </w:r>
      <w:r w:rsidRPr="008913ED">
        <w:rPr>
          <w:szCs w:val="24"/>
          <w:lang w:eastAsia="en-US"/>
        </w:rPr>
        <w:tab/>
      </w:r>
      <w:r w:rsidRPr="008913ED">
        <w:rPr>
          <w:b/>
          <w:i/>
          <w:szCs w:val="24"/>
          <w:lang w:eastAsia="en-US"/>
        </w:rPr>
        <w:t>Inden vedtagelsen vurderer ENRRB de europæiske rammer for kapacitetsstyring, trafikstyring og præstationsvurdering samt den fælles struktur for netvejledningen og afgiver og deler en udtalelse med de nationale tilsynsorganer, der kan træffe foranstaltninger i overensstemmelse med artikel 56 i direktiv 2012/34/EU. ENRRB kan vurdere alle ENIM-afgørelser og afgive og dele udtalelser med ENIM, tilsynsorganer, ERP og infrastrukturforvaltere.</w:t>
      </w:r>
      <w:r w:rsidRPr="008913ED">
        <w:rPr>
          <w:b/>
          <w:szCs w:val="24"/>
          <w:lang w:eastAsia="en-US"/>
        </w:rPr>
        <w:t xml:space="preserve"> [Ændring 230]</w:t>
      </w:r>
    </w:p>
    <w:p w14:paraId="717427E8" w14:textId="77777777" w:rsidR="00216C2C" w:rsidRDefault="00216C2C">
      <w:pPr>
        <w:widowControl/>
        <w:rPr>
          <w:strike/>
          <w:szCs w:val="24"/>
          <w:lang w:eastAsia="en-US"/>
        </w:rPr>
      </w:pPr>
      <w:r>
        <w:rPr>
          <w:strike/>
          <w:szCs w:val="24"/>
          <w:lang w:eastAsia="en-US"/>
        </w:rPr>
        <w:br w:type="page"/>
      </w:r>
    </w:p>
    <w:p w14:paraId="51FE7565" w14:textId="315DAAF4" w:rsidR="008913ED" w:rsidRPr="008913ED" w:rsidRDefault="008913ED" w:rsidP="008913ED">
      <w:pPr>
        <w:spacing w:before="120" w:after="120" w:line="360" w:lineRule="auto"/>
        <w:ind w:left="850" w:hanging="850"/>
        <w:rPr>
          <w:b/>
          <w:szCs w:val="24"/>
          <w:lang w:eastAsia="en-US"/>
        </w:rPr>
      </w:pPr>
      <w:r w:rsidRPr="008913ED">
        <w:rPr>
          <w:strike/>
          <w:szCs w:val="24"/>
          <w:lang w:eastAsia="en-US"/>
        </w:rPr>
        <w:lastRenderedPageBreak/>
        <w:t>3.</w:t>
      </w:r>
      <w:r w:rsidRPr="008913ED">
        <w:rPr>
          <w:szCs w:val="24"/>
          <w:lang w:eastAsia="en-US"/>
        </w:rPr>
        <w:tab/>
      </w:r>
      <w:r w:rsidRPr="008913ED">
        <w:rPr>
          <w:strike/>
          <w:szCs w:val="24"/>
          <w:lang w:eastAsia="en-US"/>
        </w:rPr>
        <w:t>På grundlag af ansøgninger fra ansøgere, infrastrukturforvaltere og andre berørte parter fremsætter ENRRB udtalelser eller henstillinger om verserende eller vedtagne afgørelser om klager indgivet til jernbanetilsynsorganerne.</w:t>
      </w:r>
      <w:r w:rsidRPr="008913ED">
        <w:rPr>
          <w:b/>
          <w:szCs w:val="24"/>
          <w:lang w:eastAsia="en-US"/>
        </w:rPr>
        <w:t xml:space="preserve"> [Ændring 231]</w:t>
      </w:r>
    </w:p>
    <w:p w14:paraId="29EA8A4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Berørte parter kan indgive en klage til ENRRB om spørgsmål, der hører under denne forordnings anvendelsesområde, eller som påvirker adgangen til eller brugen af jernbaneinfrastruktur i mere end én medlemsstat. Når ENRRB modtager en sådan klage, henviser den straks klagen til det eller de kompetente tilsynsorganer.</w:t>
      </w:r>
    </w:p>
    <w:p w14:paraId="25C74618" w14:textId="77777777" w:rsidR="008913ED" w:rsidRPr="008913ED" w:rsidRDefault="008913ED" w:rsidP="008913ED">
      <w:pPr>
        <w:spacing w:before="120" w:after="120" w:line="360" w:lineRule="auto"/>
        <w:ind w:left="850"/>
        <w:rPr>
          <w:szCs w:val="24"/>
          <w:lang w:eastAsia="en-US"/>
        </w:rPr>
      </w:pPr>
      <w:r w:rsidRPr="008913ED">
        <w:rPr>
          <w:szCs w:val="24"/>
          <w:lang w:eastAsia="en-US"/>
        </w:rPr>
        <w:t>I så fald underretter ENRRB straks de berørte jernbanetilsynsorganer om, at det agter at vedtage en udtalelse eller henstilling om et sådant spørgsmål.</w:t>
      </w:r>
    </w:p>
    <w:p w14:paraId="68D8D61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ENRRB forelægger sin udtalelse eller henstilling for de berørte jernbanetilsynsorganer senest en måned efter modtagelsen af alle relevante oplysninger om klagen. ENRRB kan forlænge fristen i forbindelse med særlig komplekse spørgsmål.</w:t>
      </w:r>
    </w:p>
    <w:p w14:paraId="7EE00D30" w14:textId="77777777" w:rsidR="00216C2C" w:rsidRDefault="00216C2C">
      <w:pPr>
        <w:widowControl/>
        <w:rPr>
          <w:b/>
          <w:i/>
          <w:szCs w:val="24"/>
          <w:lang w:eastAsia="en-US"/>
        </w:rPr>
      </w:pPr>
      <w:r>
        <w:rPr>
          <w:b/>
          <w:i/>
          <w:szCs w:val="24"/>
          <w:lang w:eastAsia="en-US"/>
        </w:rPr>
        <w:br w:type="page"/>
      </w:r>
    </w:p>
    <w:p w14:paraId="619931BA" w14:textId="102BE43F" w:rsidR="008913ED" w:rsidRPr="008913ED" w:rsidRDefault="008913ED" w:rsidP="008913ED">
      <w:pPr>
        <w:spacing w:before="120" w:after="120" w:line="360" w:lineRule="auto"/>
        <w:ind w:left="850" w:hanging="850"/>
        <w:rPr>
          <w:b/>
          <w:szCs w:val="24"/>
          <w:lang w:eastAsia="en-US"/>
        </w:rPr>
      </w:pPr>
      <w:r w:rsidRPr="008913ED">
        <w:rPr>
          <w:b/>
          <w:i/>
          <w:szCs w:val="24"/>
          <w:lang w:eastAsia="en-US"/>
        </w:rPr>
        <w:lastRenderedPageBreak/>
        <w:t>5a.</w:t>
      </w:r>
      <w:r w:rsidRPr="008913ED">
        <w:rPr>
          <w:szCs w:val="24"/>
          <w:lang w:eastAsia="en-US"/>
        </w:rPr>
        <w:tab/>
      </w:r>
      <w:r w:rsidRPr="008913ED">
        <w:rPr>
          <w:b/>
          <w:i/>
          <w:szCs w:val="24"/>
          <w:lang w:eastAsia="en-US"/>
        </w:rPr>
        <w:t>ENRRB fremsætter henstillinger til ENIM om oprettelse og revision af den europæiske ramme for præstationsvurdering, jf. artikel 50, herunder om præstationsområder, præstationsspørgsmål, der skal behandles på de enkelte præstationsområder, harmonisering af metoder, processer, kriterier og definitioner for indsamling og analyse af data vedrørende resultater og resultatindikatorer.</w:t>
      </w:r>
      <w:r w:rsidRPr="008913ED">
        <w:rPr>
          <w:b/>
          <w:szCs w:val="24"/>
          <w:lang w:eastAsia="en-US"/>
        </w:rPr>
        <w:t xml:space="preserve"> [Ændring 232]</w:t>
      </w:r>
    </w:p>
    <w:p w14:paraId="4D15877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6.</w:t>
      </w:r>
      <w:r w:rsidRPr="008913ED">
        <w:rPr>
          <w:szCs w:val="24"/>
          <w:lang w:eastAsia="en-US"/>
        </w:rPr>
        <w:tab/>
        <w:t>ENRRB udarbejder fælles principper og metoder for de afgørelser, som tilsynsorganerne i henhold til denne forordning er beføjet til at træffe.</w:t>
      </w:r>
    </w:p>
    <w:p w14:paraId="4DFA7A01"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6a.</w:t>
      </w:r>
      <w:r w:rsidRPr="008913ED">
        <w:rPr>
          <w:szCs w:val="24"/>
          <w:lang w:eastAsia="en-US"/>
        </w:rPr>
        <w:tab/>
      </w:r>
      <w:r w:rsidRPr="008913ED">
        <w:rPr>
          <w:b/>
          <w:i/>
          <w:szCs w:val="24"/>
          <w:lang w:eastAsia="en-US"/>
        </w:rPr>
        <w:t>ENRRB vurderer de europæiske rammer for kapacitetsstyring, trafikstyring og præstationsvurdering samt den fælles struktur for netvejledningen og afgiver en udtalelse. Tilsynsorganerne tager størst muligt hensyn til ENRRB's udtalelse i forbindelse med kontrollen af netværksvejledninger.</w:t>
      </w:r>
      <w:r w:rsidRPr="008913ED">
        <w:rPr>
          <w:b/>
          <w:szCs w:val="24"/>
          <w:lang w:eastAsia="en-US"/>
        </w:rPr>
        <w:t xml:space="preserve"> [Ændring 233]</w:t>
      </w:r>
    </w:p>
    <w:p w14:paraId="1D2764C9"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66</w:t>
      </w:r>
      <w:r w:rsidRPr="008913ED">
        <w:rPr>
          <w:szCs w:val="24"/>
          <w:lang w:eastAsia="en-US"/>
        </w:rPr>
        <w:br/>
        <w:t>Organisation og struktur af det europæiske netværk af tilsynsorganer på jernbaneområdet (ENRRB)</w:t>
      </w:r>
    </w:p>
    <w:p w14:paraId="0B52467E" w14:textId="77777777" w:rsidR="008913ED" w:rsidRPr="008913ED" w:rsidRDefault="008913ED" w:rsidP="008913ED">
      <w:pPr>
        <w:spacing w:before="120" w:after="120" w:line="360" w:lineRule="auto"/>
        <w:rPr>
          <w:szCs w:val="24"/>
          <w:lang w:eastAsia="en-US"/>
        </w:rPr>
      </w:pPr>
      <w:r w:rsidRPr="008913ED">
        <w:rPr>
          <w:szCs w:val="24"/>
          <w:lang w:eastAsia="en-US"/>
        </w:rPr>
        <w:t>Med henblik på denne forordning opdele ENRRB i:</w:t>
      </w:r>
    </w:p>
    <w:p w14:paraId="6E67109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a)</w:t>
      </w:r>
      <w:r w:rsidRPr="008913ED">
        <w:rPr>
          <w:szCs w:val="24"/>
          <w:lang w:eastAsia="en-US"/>
        </w:rPr>
        <w:tab/>
        <w:t>et udvalg bestående af tilsynsorganer</w:t>
      </w:r>
    </w:p>
    <w:p w14:paraId="2CE53480" w14:textId="77777777" w:rsidR="00216C2C" w:rsidRDefault="00216C2C">
      <w:pPr>
        <w:widowControl/>
        <w:rPr>
          <w:szCs w:val="24"/>
          <w:lang w:eastAsia="en-US"/>
        </w:rPr>
      </w:pPr>
      <w:r>
        <w:rPr>
          <w:szCs w:val="24"/>
          <w:lang w:eastAsia="en-US"/>
        </w:rPr>
        <w:br w:type="page"/>
      </w:r>
    </w:p>
    <w:p w14:paraId="02F428E8" w14:textId="7466F580"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b)</w:t>
      </w:r>
      <w:r w:rsidRPr="008913ED">
        <w:rPr>
          <w:szCs w:val="24"/>
          <w:lang w:eastAsia="en-US"/>
        </w:rPr>
        <w:tab/>
        <w:t>et sekretariat.</w:t>
      </w:r>
    </w:p>
    <w:p w14:paraId="6BD1FAA9" w14:textId="77777777" w:rsidR="008913ED" w:rsidRPr="008913ED" w:rsidRDefault="008913ED" w:rsidP="008913ED">
      <w:pPr>
        <w:spacing w:before="120" w:after="120" w:line="360" w:lineRule="auto"/>
        <w:rPr>
          <w:szCs w:val="24"/>
          <w:lang w:eastAsia="en-US"/>
        </w:rPr>
      </w:pPr>
      <w:r w:rsidRPr="008913ED">
        <w:rPr>
          <w:szCs w:val="24"/>
          <w:lang w:eastAsia="en-US"/>
        </w:rPr>
        <w:t>Tilsynsorganerne sikrer sekretariatets drift.</w:t>
      </w:r>
    </w:p>
    <w:p w14:paraId="718A0FF1" w14:textId="77777777" w:rsidR="008913ED" w:rsidRPr="008913ED" w:rsidRDefault="008913ED" w:rsidP="008913ED">
      <w:pPr>
        <w:spacing w:before="120" w:after="120" w:line="360" w:lineRule="auto"/>
        <w:rPr>
          <w:b/>
          <w:szCs w:val="24"/>
          <w:lang w:eastAsia="en-US"/>
        </w:rPr>
      </w:pPr>
      <w:r w:rsidRPr="008913ED">
        <w:rPr>
          <w:b/>
          <w:i/>
          <w:szCs w:val="24"/>
          <w:lang w:eastAsia="en-US"/>
        </w:rPr>
        <w:t>ENRRB sikrer, at dets driftsmetoder og alle relevante oplysninger om dets arbejde gøres offentligt tilgængelige på et fælles websted. Det omfatter kontaktoplysninger i forbindelse med klager, kontaktoplysninger for særlige arbejdsgrupper og oplysninger om procedurer.</w:t>
      </w:r>
      <w:r w:rsidRPr="008913ED">
        <w:rPr>
          <w:b/>
          <w:szCs w:val="24"/>
          <w:lang w:eastAsia="en-US"/>
        </w:rPr>
        <w:t xml:space="preserve"> [Ændring 234]</w:t>
      </w:r>
    </w:p>
    <w:p w14:paraId="58928CB5" w14:textId="77777777" w:rsidR="008913ED" w:rsidRPr="008913ED" w:rsidRDefault="008913ED" w:rsidP="008913ED">
      <w:pPr>
        <w:spacing w:before="120" w:after="120" w:line="360" w:lineRule="auto"/>
        <w:rPr>
          <w:b/>
          <w:szCs w:val="24"/>
          <w:lang w:eastAsia="en-US"/>
        </w:rPr>
      </w:pPr>
      <w:r w:rsidRPr="008913ED">
        <w:rPr>
          <w:b/>
          <w:i/>
          <w:szCs w:val="24"/>
          <w:lang w:eastAsia="en-US"/>
        </w:rPr>
        <w:t>ENRRB offentliggør sine udtalelser og henstillinger på et særligt websted.</w:t>
      </w:r>
      <w:r w:rsidRPr="008913ED">
        <w:rPr>
          <w:b/>
          <w:szCs w:val="24"/>
          <w:lang w:eastAsia="en-US"/>
        </w:rPr>
        <w:t xml:space="preserve"> [Ændring 235]</w:t>
      </w:r>
    </w:p>
    <w:p w14:paraId="092CD4D9"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67</w:t>
      </w:r>
      <w:r w:rsidRPr="008913ED">
        <w:rPr>
          <w:szCs w:val="24"/>
          <w:lang w:eastAsia="en-US"/>
        </w:rPr>
        <w:br/>
        <w:t>Sammensætningen af udvalget af tilsynsorganer</w:t>
      </w:r>
    </w:p>
    <w:p w14:paraId="17EE3B30"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Udvalget af tilsynsorganer består af ét stemmeberettiget medlem fra hver medlemsstat med et operationelt jernbanenet og ét medlem udpeget af Kommissionen.</w:t>
      </w:r>
      <w:r w:rsidRPr="008913ED">
        <w:rPr>
          <w:b/>
          <w:i/>
          <w:szCs w:val="24"/>
          <w:lang w:eastAsia="en-US"/>
        </w:rPr>
        <w:t xml:space="preserve"> ERA er observatør uden stemmeret.</w:t>
      </w:r>
      <w:r w:rsidRPr="008913ED">
        <w:rPr>
          <w:b/>
          <w:szCs w:val="24"/>
          <w:lang w:eastAsia="en-US"/>
        </w:rPr>
        <w:t xml:space="preserve"> [Ændring 236]</w:t>
      </w:r>
    </w:p>
    <w:p w14:paraId="76E83E12" w14:textId="77777777" w:rsidR="00216C2C" w:rsidRDefault="00216C2C">
      <w:pPr>
        <w:widowControl/>
        <w:rPr>
          <w:szCs w:val="24"/>
          <w:lang w:eastAsia="en-US"/>
        </w:rPr>
      </w:pPr>
      <w:r>
        <w:rPr>
          <w:szCs w:val="24"/>
          <w:lang w:eastAsia="en-US"/>
        </w:rPr>
        <w:br w:type="page"/>
      </w:r>
    </w:p>
    <w:p w14:paraId="29615650" w14:textId="701BD5DC"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De stemmeberettigede medlemmer er lederen eller en stedfortrædende leder af det tilsynsorgan, der er omhandlet i artikel 55 i direktiv 2012/34/EU. Hvert medlem har en suppleant, der repræsenterer medlemmet i vedkommendes fravær. Suppleanten udpeges af tilsynsorganet blandt tilsynsorganets ledelse eller, hvis dette ikke er muligt, blandt dets personale.</w:t>
      </w:r>
    </w:p>
    <w:p w14:paraId="1639058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Medlemmerne af udvalget og deres suppleanter handler uafhængigt og objektivt i Unionens interesse, uanset eventuelle særlige nationale eller personlige interesser. De må hverken søge eller modtage instrukser fra nogen regering, institution, person eller noget organ.</w:t>
      </w:r>
    </w:p>
    <w:p w14:paraId="24966E1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ENRRB's sekretariat offentliggør en ajourført liste over udvalgsmedlemmer og deres suppleanter sammen med deres interesseerklæringer.</w:t>
      </w:r>
    </w:p>
    <w:p w14:paraId="3A0AB5A9"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68</w:t>
      </w:r>
      <w:r w:rsidRPr="008913ED">
        <w:rPr>
          <w:szCs w:val="24"/>
          <w:lang w:eastAsia="en-US"/>
        </w:rPr>
        <w:br/>
        <w:t>Udvalgets rolle og opgaver</w:t>
      </w:r>
    </w:p>
    <w:p w14:paraId="47E7E28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Udvalget varetager alle ENRRB's opgaver fastsat ved denne forordning.</w:t>
      </w:r>
    </w:p>
    <w:p w14:paraId="59A99449" w14:textId="77777777" w:rsidR="00216C2C" w:rsidRDefault="00216C2C">
      <w:pPr>
        <w:widowControl/>
        <w:rPr>
          <w:szCs w:val="24"/>
          <w:lang w:eastAsia="en-US"/>
        </w:rPr>
      </w:pPr>
      <w:r>
        <w:rPr>
          <w:szCs w:val="24"/>
          <w:lang w:eastAsia="en-US"/>
        </w:rPr>
        <w:br w:type="page"/>
      </w:r>
    </w:p>
    <w:p w14:paraId="25EAD9A5" w14:textId="46A24122"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Udvalget skal navnlig:</w:t>
      </w:r>
    </w:p>
    <w:p w14:paraId="3DAC5F0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vedtage udtalelser eller henstillinger vedrørende klager eller undersøgelser, der forelægges udvalget af formanden eller af et eller flere tilsynsorganer i overensstemmelse med reglerne i artikel 69</w:t>
      </w:r>
    </w:p>
    <w:p w14:paraId="18C6E325"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aa)</w:t>
      </w:r>
      <w:r w:rsidRPr="008913ED">
        <w:rPr>
          <w:szCs w:val="24"/>
          <w:lang w:eastAsia="en-US"/>
        </w:rPr>
        <w:tab/>
      </w:r>
      <w:r w:rsidRPr="008913ED">
        <w:rPr>
          <w:b/>
          <w:i/>
          <w:szCs w:val="24"/>
          <w:lang w:eastAsia="en-US"/>
        </w:rPr>
        <w:t>vedtage udtalelser og henstillinger i samarbejde med netværkskoordinatoren inden for rammerne af denne forordning vedrørende afgørelser truffet af ENIM</w:t>
      </w:r>
      <w:r w:rsidRPr="008913ED">
        <w:rPr>
          <w:b/>
          <w:szCs w:val="24"/>
          <w:lang w:eastAsia="en-US"/>
        </w:rPr>
        <w:t xml:space="preserve"> [Ændring 237]</w:t>
      </w:r>
    </w:p>
    <w:p w14:paraId="2104B41F"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ab)</w:t>
      </w:r>
      <w:r w:rsidRPr="008913ED">
        <w:rPr>
          <w:szCs w:val="24"/>
          <w:lang w:eastAsia="en-US"/>
        </w:rPr>
        <w:tab/>
      </w:r>
      <w:r w:rsidRPr="008913ED">
        <w:rPr>
          <w:b/>
          <w:i/>
          <w:szCs w:val="24"/>
          <w:lang w:eastAsia="en-US"/>
        </w:rPr>
        <w:t>efter klager fra jernbanevirksomheder, operatører af servicefaciliteter og andre berørte parter vedtage ENRRB's henstillinger og udtalelser i samarbejde med netværkskoordinatoren i forbindelse med høringer som omhandlet i artikel 55a samt afgørelser truffet af ENIM</w:t>
      </w:r>
      <w:r w:rsidRPr="008913ED">
        <w:rPr>
          <w:b/>
          <w:szCs w:val="24"/>
          <w:lang w:eastAsia="en-US"/>
        </w:rPr>
        <w:t xml:space="preserve"> [Ændring 238]</w:t>
      </w:r>
    </w:p>
    <w:p w14:paraId="4C7ECD25"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udarbejde og vedtage en årsberetning om ENRRB's virksomhed</w:t>
      </w:r>
    </w:p>
    <w:p w14:paraId="3790F403"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nedsætte arbejdsgrupper og udnævne deres formænd.</w:t>
      </w:r>
    </w:p>
    <w:p w14:paraId="4EEDDC53"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ca)</w:t>
      </w:r>
      <w:r w:rsidRPr="008913ED">
        <w:rPr>
          <w:szCs w:val="24"/>
          <w:lang w:eastAsia="en-US"/>
        </w:rPr>
        <w:tab/>
      </w:r>
      <w:r w:rsidRPr="008913ED">
        <w:rPr>
          <w:b/>
          <w:i/>
          <w:szCs w:val="24"/>
          <w:lang w:eastAsia="en-US"/>
        </w:rPr>
        <w:t>udarbejde et udkast til og vedtage en henstilling til ENIM om oprettelse og revision af den europæiske ramme for præstationsvurdering.</w:t>
      </w:r>
      <w:r w:rsidRPr="008913ED">
        <w:rPr>
          <w:b/>
          <w:szCs w:val="24"/>
          <w:lang w:eastAsia="en-US"/>
        </w:rPr>
        <w:t xml:space="preserve"> [Ændring 239]</w:t>
      </w:r>
    </w:p>
    <w:p w14:paraId="7FF047E8" w14:textId="77777777" w:rsidR="00216C2C" w:rsidRDefault="00216C2C">
      <w:pPr>
        <w:widowControl/>
        <w:rPr>
          <w:szCs w:val="24"/>
          <w:lang w:eastAsia="en-US"/>
        </w:rPr>
      </w:pPr>
      <w:r>
        <w:rPr>
          <w:szCs w:val="24"/>
          <w:lang w:eastAsia="en-US"/>
        </w:rPr>
        <w:br w:type="page"/>
      </w:r>
    </w:p>
    <w:p w14:paraId="162A2FB3" w14:textId="59AA93AD"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69</w:t>
      </w:r>
      <w:r w:rsidRPr="008913ED">
        <w:rPr>
          <w:szCs w:val="24"/>
          <w:lang w:eastAsia="en-US"/>
        </w:rPr>
        <w:br/>
        <w:t>Tilrettelæggelse af udvalgets arbejde</w:t>
      </w:r>
    </w:p>
    <w:p w14:paraId="6B74ADC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Udvalget vedtager sin forretningsorden med Kommissionens samtykke.</w:t>
      </w:r>
    </w:p>
    <w:p w14:paraId="763CB87C" w14:textId="77777777" w:rsidR="008913ED" w:rsidRPr="008913ED" w:rsidRDefault="008913ED" w:rsidP="008913ED">
      <w:pPr>
        <w:spacing w:before="120" w:after="120" w:line="360" w:lineRule="auto"/>
        <w:ind w:left="850" w:hanging="850"/>
        <w:rPr>
          <w:b/>
          <w:szCs w:val="24"/>
          <w:lang w:eastAsia="en-US"/>
        </w:rPr>
      </w:pPr>
      <w:r w:rsidRPr="008913ED">
        <w:rPr>
          <w:b/>
          <w:i/>
          <w:szCs w:val="24"/>
          <w:lang w:eastAsia="en-US"/>
        </w:rPr>
        <w:t>1a.</w:t>
      </w:r>
      <w:r w:rsidRPr="008913ED">
        <w:rPr>
          <w:szCs w:val="24"/>
          <w:lang w:eastAsia="en-US"/>
        </w:rPr>
        <w:tab/>
      </w:r>
      <w:r w:rsidRPr="008913ED">
        <w:rPr>
          <w:b/>
          <w:i/>
          <w:szCs w:val="24"/>
          <w:lang w:eastAsia="en-US"/>
        </w:rPr>
        <w:t>Bestyrelsen træder sammen med regelmæssige mellemrum. Den vælger en formand blandt sine medlemmer med et flertal på to tredjedele af sine medlemmer og sidder i en periode på et år.</w:t>
      </w:r>
      <w:r w:rsidRPr="008913ED">
        <w:rPr>
          <w:b/>
          <w:szCs w:val="24"/>
          <w:lang w:eastAsia="en-US"/>
        </w:rPr>
        <w:t xml:space="preserve"> [Ændring 240]</w:t>
      </w:r>
    </w:p>
    <w:p w14:paraId="127E689B"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2.</w:t>
      </w:r>
      <w:r w:rsidRPr="008913ED">
        <w:rPr>
          <w:szCs w:val="24"/>
          <w:lang w:eastAsia="en-US"/>
        </w:rPr>
        <w:tab/>
        <w:t xml:space="preserve">Kommissionen </w:t>
      </w:r>
      <w:r w:rsidRPr="008913ED">
        <w:rPr>
          <w:strike/>
          <w:szCs w:val="24"/>
          <w:lang w:eastAsia="en-US"/>
        </w:rPr>
        <w:t>leder</w:t>
      </w:r>
      <w:r w:rsidRPr="008913ED">
        <w:rPr>
          <w:b/>
          <w:i/>
          <w:szCs w:val="24"/>
          <w:lang w:eastAsia="en-US"/>
        </w:rPr>
        <w:t>deltager i, støtter og letter koordineringen af</w:t>
      </w:r>
      <w:r w:rsidRPr="008913ED">
        <w:rPr>
          <w:szCs w:val="24"/>
          <w:lang w:eastAsia="en-US"/>
        </w:rPr>
        <w:t xml:space="preserve"> udvalgets møder. Den har ingen stemmeret.</w:t>
      </w:r>
      <w:r w:rsidRPr="008913ED">
        <w:rPr>
          <w:b/>
          <w:szCs w:val="24"/>
          <w:lang w:eastAsia="en-US"/>
        </w:rPr>
        <w:t xml:space="preserve"> [Ændring 241]</w:t>
      </w:r>
    </w:p>
    <w:p w14:paraId="167FCA0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Sekretariatet yder de tjenester, der er nødvendige for tilrettelæggelsen af udvalgets møder og arbejde.</w:t>
      </w:r>
    </w:p>
    <w:p w14:paraId="3F75CEC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Udvalget træffer afgørelse med simpelt flertal blandt sine medlemmer, medmindre andet er fastsat i forretningsordenen.</w:t>
      </w:r>
    </w:p>
    <w:p w14:paraId="258A5B2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5.</w:t>
      </w:r>
      <w:r w:rsidRPr="008913ED">
        <w:rPr>
          <w:szCs w:val="24"/>
          <w:lang w:eastAsia="en-US"/>
        </w:rPr>
        <w:tab/>
        <w:t>Hvert medlem har én stemme. Hvis et medlem ikke er til stede, er suppleanten berettiget til at udøve stemmeretten.</w:t>
      </w:r>
    </w:p>
    <w:p w14:paraId="65B821CB" w14:textId="77777777" w:rsidR="00216C2C" w:rsidRDefault="00216C2C">
      <w:pPr>
        <w:widowControl/>
        <w:rPr>
          <w:szCs w:val="24"/>
          <w:lang w:eastAsia="en-US"/>
        </w:rPr>
      </w:pPr>
      <w:r>
        <w:rPr>
          <w:szCs w:val="24"/>
          <w:lang w:eastAsia="en-US"/>
        </w:rPr>
        <w:br w:type="page"/>
      </w:r>
    </w:p>
    <w:p w14:paraId="47D86746" w14:textId="40039D58"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6.</w:t>
      </w:r>
      <w:r w:rsidRPr="008913ED">
        <w:rPr>
          <w:szCs w:val="24"/>
          <w:lang w:eastAsia="en-US"/>
        </w:rPr>
        <w:tab/>
        <w:t>Forretningsordenen kan fastsætte mere detaljerede afstemningsregler, især proceduren for afstemning om hastende sager og i tilfælde af henstillinger om afgørelser truffet af jernbanetilsynsorganer.</w:t>
      </w:r>
    </w:p>
    <w:p w14:paraId="53FEBC6C"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70</w:t>
      </w:r>
      <w:r w:rsidRPr="008913ED">
        <w:rPr>
          <w:szCs w:val="24"/>
          <w:lang w:eastAsia="en-US"/>
        </w:rPr>
        <w:br/>
        <w:t>ENRRB's arbejdsgrupper</w:t>
      </w:r>
    </w:p>
    <w:p w14:paraId="6E8F6CD3"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Udvalget kan på eget initiativ eller efter forslag fra Kommissionen og i overensstemmelse med udvalgets forretningsorden med simpelt flertal beslutte at nedsætte arbejdsgrupper, der skal tilrettelægge ENRRB's arbejde med specifikke emner i forbindelse med gennemførelsen af denne forordning.</w:t>
      </w:r>
    </w:p>
    <w:p w14:paraId="0F4EC29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Udvalget fastlægger arbejdsgruppens mandat og udpeger formændene for arbejdsgrupperne, der så vidt muligt repræsenterer forskellige jernbanetilsynsorganer.</w:t>
      </w:r>
    </w:p>
    <w:p w14:paraId="5B8B7F35"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3.</w:t>
      </w:r>
      <w:r w:rsidRPr="008913ED">
        <w:rPr>
          <w:szCs w:val="24"/>
          <w:lang w:eastAsia="en-US"/>
        </w:rPr>
        <w:tab/>
        <w:t>Arbejdsgrupperne er</w:t>
      </w:r>
      <w:r w:rsidRPr="008913ED">
        <w:rPr>
          <w:b/>
          <w:i/>
          <w:szCs w:val="24"/>
          <w:lang w:eastAsia="en-US"/>
        </w:rPr>
        <w:t xml:space="preserve"> efter indbydelse</w:t>
      </w:r>
      <w:r w:rsidRPr="008913ED">
        <w:rPr>
          <w:szCs w:val="24"/>
          <w:lang w:eastAsia="en-US"/>
        </w:rPr>
        <w:t xml:space="preserve"> åbne for deltagelse af eksperter fra jernbanetilsynsorganer, Kommissionen, </w:t>
      </w:r>
      <w:r w:rsidRPr="008913ED">
        <w:rPr>
          <w:b/>
          <w:i/>
          <w:szCs w:val="24"/>
          <w:lang w:eastAsia="en-US"/>
        </w:rPr>
        <w:t xml:space="preserve">ERA og, hvor det er relevant, fra </w:t>
      </w:r>
      <w:r w:rsidRPr="008913ED">
        <w:rPr>
          <w:szCs w:val="24"/>
          <w:lang w:eastAsia="en-US"/>
        </w:rPr>
        <w:t>operationelle interessenter og</w:t>
      </w:r>
      <w:r w:rsidRPr="008913ED">
        <w:rPr>
          <w:strike/>
          <w:szCs w:val="24"/>
          <w:lang w:eastAsia="en-US"/>
        </w:rPr>
        <w:t>, hvor det er relevant,</w:t>
      </w:r>
      <w:r w:rsidRPr="008913ED">
        <w:rPr>
          <w:szCs w:val="24"/>
          <w:lang w:eastAsia="en-US"/>
        </w:rPr>
        <w:t xml:space="preserve"> andre offentlige eller private organer</w:t>
      </w:r>
      <w:r w:rsidRPr="008913ED">
        <w:rPr>
          <w:strike/>
          <w:szCs w:val="24"/>
          <w:lang w:eastAsia="en-US"/>
        </w:rPr>
        <w:t>.</w:t>
      </w:r>
      <w:r w:rsidRPr="008913ED">
        <w:rPr>
          <w:b/>
          <w:szCs w:val="24"/>
          <w:lang w:eastAsia="en-US"/>
        </w:rPr>
        <w:t xml:space="preserve"> [Ændring 242]</w:t>
      </w:r>
    </w:p>
    <w:p w14:paraId="53B1DE88" w14:textId="77777777" w:rsidR="00216C2C" w:rsidRDefault="00216C2C">
      <w:pPr>
        <w:widowControl/>
        <w:rPr>
          <w:szCs w:val="24"/>
          <w:lang w:eastAsia="en-US"/>
        </w:rPr>
      </w:pPr>
      <w:r>
        <w:rPr>
          <w:szCs w:val="24"/>
          <w:lang w:eastAsia="en-US"/>
        </w:rPr>
        <w:br w:type="page"/>
      </w:r>
    </w:p>
    <w:p w14:paraId="119BED1F" w14:textId="63F54701"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Sekretariatet yder administrativ støtte til arbejdsgrupperne.</w:t>
      </w:r>
    </w:p>
    <w:p w14:paraId="25E48213"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5.</w:t>
      </w:r>
      <w:r w:rsidRPr="008913ED">
        <w:rPr>
          <w:szCs w:val="24"/>
          <w:lang w:eastAsia="en-US"/>
        </w:rPr>
        <w:tab/>
        <w:t>Udvalget eller formændene for arbejdsgrupperne kan om nødvendigt fra sag til sag invitere</w:t>
      </w:r>
      <w:r w:rsidRPr="008913ED">
        <w:rPr>
          <w:b/>
          <w:i/>
          <w:szCs w:val="24"/>
          <w:lang w:eastAsia="en-US"/>
        </w:rPr>
        <w:t xml:space="preserve"> eksperter fra jernbanetilsynsorganer, Kommissionen, ERA, operationelle interessenter og, hvor det er relevant, fra andre offentlige eller private organer samt</w:t>
      </w:r>
      <w:r w:rsidRPr="008913ED">
        <w:rPr>
          <w:szCs w:val="24"/>
          <w:lang w:eastAsia="en-US"/>
        </w:rPr>
        <w:t xml:space="preserve"> individuelle eksperter, der er anerkendt som kompetente på det pågældende område, til at deltage i arbejdsgruppernes møder.</w:t>
      </w:r>
      <w:r w:rsidRPr="008913ED">
        <w:rPr>
          <w:b/>
          <w:szCs w:val="24"/>
          <w:lang w:eastAsia="en-US"/>
        </w:rPr>
        <w:t xml:space="preserve"> [Ændring 243]</w:t>
      </w:r>
    </w:p>
    <w:p w14:paraId="4A5ED523" w14:textId="77777777" w:rsidR="008913ED" w:rsidRPr="008913ED" w:rsidRDefault="008913ED" w:rsidP="008913ED">
      <w:pPr>
        <w:spacing w:before="120" w:after="120" w:line="360" w:lineRule="auto"/>
        <w:jc w:val="center"/>
        <w:rPr>
          <w:szCs w:val="24"/>
          <w:lang w:eastAsia="en-US"/>
        </w:rPr>
      </w:pPr>
      <w:r w:rsidRPr="008913ED">
        <w:rPr>
          <w:szCs w:val="24"/>
          <w:lang w:eastAsia="en-US"/>
        </w:rPr>
        <w:t xml:space="preserve">KAPITEL VII </w:t>
      </w:r>
      <w:r w:rsidRPr="008913ED">
        <w:rPr>
          <w:szCs w:val="24"/>
          <w:lang w:eastAsia="en-US"/>
        </w:rPr>
        <w:br/>
        <w:t>AFSLUTTENDE BESTEMMELSER</w:t>
      </w:r>
    </w:p>
    <w:p w14:paraId="33238F6F"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71</w:t>
      </w:r>
      <w:r w:rsidRPr="008913ED">
        <w:rPr>
          <w:szCs w:val="24"/>
          <w:lang w:eastAsia="en-US"/>
        </w:rPr>
        <w:br/>
        <w:t>Udøvelse af delegerede beføjelser</w:t>
      </w:r>
    </w:p>
    <w:p w14:paraId="7642687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Beføjelsen til at vedtage delegerede retsakter tillægges Kommissionen på de i denne artikel fastlagte betingelser.</w:t>
      </w:r>
    </w:p>
    <w:p w14:paraId="1235347F" w14:textId="77777777" w:rsidR="00216C2C" w:rsidRDefault="00216C2C">
      <w:pPr>
        <w:widowControl/>
        <w:rPr>
          <w:szCs w:val="24"/>
          <w:lang w:eastAsia="en-US"/>
        </w:rPr>
      </w:pPr>
      <w:r>
        <w:rPr>
          <w:szCs w:val="24"/>
          <w:lang w:eastAsia="en-US"/>
        </w:rPr>
        <w:br w:type="page"/>
      </w:r>
    </w:p>
    <w:p w14:paraId="6CAF9B70" w14:textId="69B2FA32" w:rsidR="008913ED" w:rsidRPr="008913ED" w:rsidRDefault="008913ED" w:rsidP="008913ED">
      <w:pPr>
        <w:spacing w:before="120" w:after="120" w:line="360" w:lineRule="auto"/>
        <w:ind w:left="850" w:hanging="850"/>
        <w:rPr>
          <w:b/>
          <w:szCs w:val="24"/>
          <w:lang w:eastAsia="en-US"/>
        </w:rPr>
      </w:pPr>
      <w:r w:rsidRPr="008913ED">
        <w:rPr>
          <w:szCs w:val="24"/>
          <w:lang w:eastAsia="en-US"/>
        </w:rPr>
        <w:lastRenderedPageBreak/>
        <w:t>2.</w:t>
      </w:r>
      <w:r w:rsidRPr="008913ED">
        <w:rPr>
          <w:szCs w:val="24"/>
          <w:lang w:eastAsia="en-US"/>
        </w:rPr>
        <w:tab/>
        <w:t xml:space="preserve">Beføjelsen til at vedtage delegerede retsakter, jf. artikel </w:t>
      </w:r>
      <w:r w:rsidRPr="008913ED">
        <w:rPr>
          <w:b/>
          <w:i/>
          <w:szCs w:val="24"/>
          <w:lang w:eastAsia="en-US"/>
        </w:rPr>
        <w:t xml:space="preserve">6, stk. 4a, artikel 8, stk. 7, artikel </w:t>
      </w:r>
      <w:r w:rsidRPr="008913ED">
        <w:rPr>
          <w:szCs w:val="24"/>
          <w:lang w:eastAsia="en-US"/>
        </w:rPr>
        <w:t>10, stk. 8, artikel 11, stk. 2</w:t>
      </w:r>
      <w:r w:rsidRPr="008913ED">
        <w:rPr>
          <w:b/>
          <w:i/>
          <w:szCs w:val="24"/>
          <w:lang w:eastAsia="en-US"/>
        </w:rPr>
        <w:t xml:space="preserve"> og 4a, artikel 12, stk. 9a ,artikel 18, stk. 10a, artikel 19, stk. 5, artikel 20, stk. 4a</w:t>
      </w:r>
      <w:r w:rsidRPr="008913ED">
        <w:rPr>
          <w:szCs w:val="24"/>
          <w:lang w:eastAsia="en-US"/>
        </w:rPr>
        <w:t xml:space="preserve">, artikel 21, stk. 9, artikel 38, stk. 3, artikel 39, stk. </w:t>
      </w:r>
      <w:r w:rsidRPr="008913ED">
        <w:rPr>
          <w:b/>
          <w:i/>
          <w:szCs w:val="24"/>
          <w:lang w:eastAsia="en-US"/>
        </w:rPr>
        <w:t>8a og 9, artikel 40, stk. 7, artikel 41, stk. 3, artikel 44, stk. 3a</w:t>
      </w:r>
      <w:r w:rsidRPr="008913ED">
        <w:rPr>
          <w:strike/>
          <w:szCs w:val="24"/>
          <w:lang w:eastAsia="en-US"/>
        </w:rPr>
        <w:t>9</w:t>
      </w:r>
      <w:r w:rsidRPr="008913ED">
        <w:rPr>
          <w:szCs w:val="24"/>
          <w:lang w:eastAsia="en-US"/>
        </w:rPr>
        <w:t xml:space="preserve">, artikel 46, stk. 6, artikel 48, stk. 3, </w:t>
      </w:r>
      <w:r w:rsidRPr="008913ED">
        <w:rPr>
          <w:strike/>
          <w:szCs w:val="24"/>
          <w:lang w:eastAsia="en-US"/>
        </w:rPr>
        <w:t>og</w:t>
      </w:r>
      <w:r w:rsidRPr="008913ED">
        <w:rPr>
          <w:b/>
          <w:i/>
          <w:szCs w:val="24"/>
          <w:lang w:eastAsia="en-US"/>
        </w:rPr>
        <w:t>artikel 52, stk. 1,</w:t>
      </w:r>
      <w:r w:rsidRPr="008913ED">
        <w:rPr>
          <w:szCs w:val="24"/>
          <w:lang w:eastAsia="en-US"/>
        </w:rPr>
        <w:t xml:space="preserve"> artikel 53, stk. 5</w:t>
      </w:r>
      <w:r w:rsidRPr="008913ED">
        <w:rPr>
          <w:b/>
          <w:i/>
          <w:szCs w:val="24"/>
          <w:lang w:eastAsia="en-US"/>
        </w:rPr>
        <w:t xml:space="preserve"> og artikel 62, stk. 5a</w:t>
      </w:r>
      <w:r w:rsidRPr="008913ED">
        <w:rPr>
          <w:szCs w:val="24"/>
          <w:lang w:eastAsia="en-US"/>
        </w:rPr>
        <w:t>, tillægges Kommissionen for en periode på fem år fra</w:t>
      </w:r>
      <w:r w:rsidRPr="008913ED">
        <w:rPr>
          <w:strike/>
          <w:szCs w:val="24"/>
          <w:lang w:eastAsia="en-US"/>
        </w:rPr>
        <w:t xml:space="preserve"> den</w:t>
      </w:r>
      <w:r w:rsidRPr="008913ED">
        <w:rPr>
          <w:szCs w:val="24"/>
          <w:lang w:eastAsia="en-US"/>
        </w:rPr>
        <w:t xml:space="preserve"> [1. januar 2026]. Kommissionen udarbejder senest ni måneder inden udløbet af femårsperioden en rapport om delegationen af beføjelser. Delegationen af beføjelser forlænges stiltiende for perioder af samme varighed, medmindre Europa-Parlament eller Rådet modsætter sig en sådan forlængelse senest tre måneder inden udløbet af hver periode.</w:t>
      </w:r>
      <w:r w:rsidRPr="008913ED">
        <w:rPr>
          <w:b/>
          <w:szCs w:val="24"/>
          <w:lang w:eastAsia="en-US"/>
        </w:rPr>
        <w:t xml:space="preserve"> [Ændring 244]</w:t>
      </w:r>
    </w:p>
    <w:p w14:paraId="27EB06A8"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72</w:t>
      </w:r>
      <w:r w:rsidRPr="008913ED">
        <w:rPr>
          <w:szCs w:val="24"/>
          <w:lang w:eastAsia="en-US"/>
        </w:rPr>
        <w:br/>
        <w:t>Udvalgsprocedure</w:t>
      </w:r>
    </w:p>
    <w:p w14:paraId="7E6B355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Kommissionen bistås af det udvalg, der er nævnt i artikel 62 i direktiv 2012/34/EU. Dette udvalg er et udvalg som omhandlet i forordning (EU) nr. 182/2011.</w:t>
      </w:r>
    </w:p>
    <w:p w14:paraId="0BD62D5B" w14:textId="77777777" w:rsidR="00216C2C" w:rsidRDefault="00216C2C">
      <w:pPr>
        <w:widowControl/>
        <w:rPr>
          <w:szCs w:val="24"/>
          <w:lang w:eastAsia="en-US"/>
        </w:rPr>
      </w:pPr>
      <w:r>
        <w:rPr>
          <w:szCs w:val="24"/>
          <w:lang w:eastAsia="en-US"/>
        </w:rPr>
        <w:br w:type="page"/>
      </w:r>
    </w:p>
    <w:p w14:paraId="71E95FE8" w14:textId="1E2BA7EF"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Når der henvises til dette stykke, anvendes artikel 4 i forordning (EU) nr. 182/2011.</w:t>
      </w:r>
    </w:p>
    <w:p w14:paraId="21112E4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Når der henvises til dette stykke, anvendes artikel 5 i forordning (EU) nr. 182/2011.</w:t>
      </w:r>
    </w:p>
    <w:p w14:paraId="2B2A5D40"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73</w:t>
      </w:r>
      <w:r w:rsidRPr="008913ED">
        <w:rPr>
          <w:szCs w:val="24"/>
          <w:lang w:eastAsia="en-US"/>
        </w:rPr>
        <w:br/>
        <w:t>Rapportering og revision</w:t>
      </w:r>
    </w:p>
    <w:p w14:paraId="13481DD8" w14:textId="031A3669" w:rsidR="008913ED" w:rsidRPr="008913ED" w:rsidRDefault="008913ED" w:rsidP="008913ED">
      <w:pPr>
        <w:spacing w:before="120" w:after="120" w:line="360" w:lineRule="auto"/>
        <w:rPr>
          <w:szCs w:val="24"/>
          <w:lang w:eastAsia="en-US"/>
        </w:rPr>
      </w:pPr>
      <w:r w:rsidRPr="008913ED">
        <w:rPr>
          <w:szCs w:val="24"/>
          <w:lang w:eastAsia="en-US"/>
        </w:rPr>
        <w:t xml:space="preserve">Senest den </w:t>
      </w:r>
      <w:r w:rsidR="005B201F">
        <w:rPr>
          <w:szCs w:val="24"/>
          <w:lang w:eastAsia="en-US"/>
        </w:rPr>
        <w:t xml:space="preserve">... </w:t>
      </w:r>
      <w:r w:rsidRPr="008913ED">
        <w:rPr>
          <w:szCs w:val="24"/>
          <w:lang w:eastAsia="en-US"/>
        </w:rPr>
        <w:t>[31. december 2030] skal Kommissionen evaluere indvirkningen af denne forordning på jernbanesektoren og forelægge Europa-Parlamentet, Rådet, Det Europæiske Økonomiske og Sociale Udvalg og Regionsudvalget en rapport om gennemførelsen.</w:t>
      </w:r>
    </w:p>
    <w:p w14:paraId="50ADA6C8" w14:textId="77777777" w:rsidR="008913ED" w:rsidRPr="008913ED" w:rsidRDefault="008913ED" w:rsidP="008913ED">
      <w:pPr>
        <w:spacing w:before="120" w:after="120" w:line="360" w:lineRule="auto"/>
        <w:rPr>
          <w:szCs w:val="24"/>
          <w:lang w:eastAsia="en-US"/>
        </w:rPr>
      </w:pPr>
      <w:r w:rsidRPr="008913ED">
        <w:rPr>
          <w:szCs w:val="24"/>
          <w:lang w:eastAsia="en-US"/>
        </w:rPr>
        <w:t>Rapporten skal navnlig evaluere:</w:t>
      </w:r>
    </w:p>
    <w:p w14:paraId="30E43327"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a)</w:t>
      </w:r>
      <w:r w:rsidRPr="008913ED">
        <w:rPr>
          <w:szCs w:val="24"/>
          <w:lang w:eastAsia="en-US"/>
        </w:rPr>
        <w:tab/>
        <w:t>indvirkningen af denne forordning på jernbaneinfrastrukturens resultater</w:t>
      </w:r>
    </w:p>
    <w:p w14:paraId="3D8B399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b)</w:t>
      </w:r>
      <w:r w:rsidRPr="008913ED">
        <w:rPr>
          <w:szCs w:val="24"/>
          <w:lang w:eastAsia="en-US"/>
        </w:rPr>
        <w:tab/>
        <w:t>indvirkningen af denne forordning på udviklingen af jernbanetjenester, navnlig internationale tjenester, langdistancetjenester og godstransport</w:t>
      </w:r>
    </w:p>
    <w:p w14:paraId="5A37C82C" w14:textId="77777777" w:rsidR="00216C2C" w:rsidRDefault="00216C2C">
      <w:pPr>
        <w:widowControl/>
        <w:rPr>
          <w:szCs w:val="24"/>
          <w:lang w:eastAsia="en-US"/>
        </w:rPr>
      </w:pPr>
      <w:r>
        <w:rPr>
          <w:szCs w:val="24"/>
          <w:lang w:eastAsia="en-US"/>
        </w:rPr>
        <w:br w:type="page"/>
      </w:r>
    </w:p>
    <w:p w14:paraId="212DD25E" w14:textId="3296B202"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c)</w:t>
      </w:r>
      <w:r w:rsidRPr="008913ED">
        <w:rPr>
          <w:szCs w:val="24"/>
          <w:lang w:eastAsia="en-US"/>
        </w:rPr>
        <w:tab/>
        <w:t>arbejdet i det europæiske netværk af infrastrukturforvaltere, netværkskoordinatorens arbejde og arbejdet i det europæiske netværk af tilsynsorganer på jernbaneområdet og præstationsvurderingsorganet generelt og i forbindelse med udvikling, vedtagelse og gennemførelse af fælles kriterier, metoder og procedurer</w:t>
      </w:r>
    </w:p>
    <w:p w14:paraId="75EC189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d)</w:t>
      </w:r>
      <w:r w:rsidRPr="008913ED">
        <w:rPr>
          <w:szCs w:val="24"/>
          <w:lang w:eastAsia="en-US"/>
        </w:rPr>
        <w:tab/>
        <w:t>behovet for at styrke samordningsmekanismerne ved at erstatte elementer i de europæiske rammer, der er omhandlet i artikel 6 og 44, med bindende regler</w:t>
      </w:r>
    </w:p>
    <w:p w14:paraId="7D776A4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e)</w:t>
      </w:r>
      <w:r w:rsidRPr="008913ED">
        <w:rPr>
          <w:szCs w:val="24"/>
          <w:lang w:eastAsia="en-US"/>
        </w:rPr>
        <w:tab/>
        <w:t>behovet for at styrke det lovpligtige tilsyn ved at oprette et EU-tilsynsorgan på jernbaneområdet.</w:t>
      </w:r>
    </w:p>
    <w:p w14:paraId="69346248"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74</w:t>
      </w:r>
      <w:r w:rsidRPr="008913ED">
        <w:rPr>
          <w:szCs w:val="24"/>
          <w:lang w:eastAsia="en-US"/>
        </w:rPr>
        <w:br/>
        <w:t>Ændringer af direktiv 2012/34/EU</w:t>
      </w:r>
    </w:p>
    <w:p w14:paraId="19AB4B2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Direktiv 2012/34/EU ændres således:</w:t>
      </w:r>
    </w:p>
    <w:p w14:paraId="5B701A8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Artikel 1, litra c), affattes således:</w:t>
      </w:r>
    </w:p>
    <w:p w14:paraId="76B749D8" w14:textId="77777777" w:rsidR="008913ED" w:rsidRPr="008913ED" w:rsidRDefault="008913ED" w:rsidP="008913ED">
      <w:pPr>
        <w:spacing w:before="120" w:after="120" w:line="360" w:lineRule="auto"/>
        <w:ind w:left="1982" w:hanging="566"/>
        <w:rPr>
          <w:szCs w:val="24"/>
          <w:lang w:eastAsia="en-US"/>
        </w:rPr>
      </w:pPr>
      <w:r w:rsidRPr="008913ED">
        <w:rPr>
          <w:szCs w:val="24"/>
          <w:lang w:eastAsia="en-US"/>
        </w:rPr>
        <w:t>"c)</w:t>
      </w:r>
      <w:r w:rsidRPr="008913ED">
        <w:rPr>
          <w:szCs w:val="24"/>
          <w:lang w:eastAsia="en-US"/>
        </w:rPr>
        <w:tab/>
        <w:t>de principper og procedurer, der gælder for fastsættelse og opkrævning af jernbaneinfrastrukturafgifter, som beskrevet i kapitel IV."</w:t>
      </w:r>
    </w:p>
    <w:p w14:paraId="130307F8" w14:textId="77777777" w:rsidR="00216C2C" w:rsidRDefault="00216C2C">
      <w:pPr>
        <w:widowControl/>
        <w:rPr>
          <w:szCs w:val="24"/>
          <w:lang w:eastAsia="en-US"/>
        </w:rPr>
      </w:pPr>
      <w:r>
        <w:rPr>
          <w:szCs w:val="24"/>
          <w:lang w:eastAsia="en-US"/>
        </w:rPr>
        <w:br w:type="page"/>
      </w:r>
    </w:p>
    <w:p w14:paraId="310795D3" w14:textId="29072AD5"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b)</w:t>
      </w:r>
      <w:r w:rsidRPr="008913ED">
        <w:rPr>
          <w:szCs w:val="24"/>
          <w:lang w:eastAsia="en-US"/>
        </w:rPr>
        <w:tab/>
        <w:t>Artikel 2, stk. 6, udgår.</w:t>
      </w:r>
    </w:p>
    <w:p w14:paraId="0B0B9DB1"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c)</w:t>
      </w:r>
      <w:r w:rsidRPr="008913ED">
        <w:rPr>
          <w:szCs w:val="24"/>
          <w:lang w:eastAsia="en-US"/>
        </w:rPr>
        <w:tab/>
      </w:r>
      <w:r w:rsidRPr="008913ED">
        <w:rPr>
          <w:b/>
          <w:i/>
          <w:szCs w:val="24"/>
          <w:lang w:eastAsia="en-US"/>
        </w:rPr>
        <w:t xml:space="preserve">I artikel 3 udgår </w:t>
      </w:r>
      <w:r w:rsidRPr="008913ED">
        <w:rPr>
          <w:szCs w:val="24"/>
          <w:lang w:eastAsia="en-US"/>
        </w:rPr>
        <w:t>nr. 20), 22), 23), 27) og 28)</w:t>
      </w:r>
      <w:r w:rsidRPr="008913ED">
        <w:rPr>
          <w:strike/>
          <w:szCs w:val="24"/>
          <w:lang w:eastAsia="en-US"/>
        </w:rPr>
        <w:t xml:space="preserve"> udgår</w:t>
      </w:r>
      <w:r w:rsidRPr="008913ED">
        <w:rPr>
          <w:szCs w:val="24"/>
          <w:lang w:eastAsia="en-US"/>
        </w:rPr>
        <w:t>.</w:t>
      </w:r>
      <w:r w:rsidRPr="008913ED">
        <w:rPr>
          <w:b/>
          <w:szCs w:val="24"/>
          <w:lang w:eastAsia="en-US"/>
        </w:rPr>
        <w:t xml:space="preserve"> [Ændring 245]</w:t>
      </w:r>
    </w:p>
    <w:p w14:paraId="57AD4134"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Artikel 7b udgår.</w:t>
      </w:r>
    </w:p>
    <w:p w14:paraId="2CAB40AF"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Artikel 36 udgår.</w:t>
      </w:r>
    </w:p>
    <w:p w14:paraId="40DD366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f)</w:t>
      </w:r>
      <w:r w:rsidRPr="008913ED">
        <w:rPr>
          <w:szCs w:val="24"/>
          <w:lang w:eastAsia="en-US"/>
        </w:rPr>
        <w:tab/>
        <w:t>Artikel 38-54 udgår.</w:t>
      </w:r>
    </w:p>
    <w:p w14:paraId="017D6D3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g)</w:t>
      </w:r>
      <w:r w:rsidRPr="008913ED">
        <w:rPr>
          <w:szCs w:val="24"/>
          <w:lang w:eastAsia="en-US"/>
        </w:rPr>
        <w:tab/>
        <w:t>Punkt 1 og 3 i bilag IV udgår.</w:t>
      </w:r>
    </w:p>
    <w:p w14:paraId="43D4396A"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h)</w:t>
      </w:r>
      <w:r w:rsidRPr="008913ED">
        <w:rPr>
          <w:szCs w:val="24"/>
          <w:lang w:eastAsia="en-US"/>
        </w:rPr>
        <w:tab/>
        <w:t>Bilag VII udgår.</w:t>
      </w:r>
    </w:p>
    <w:p w14:paraId="3FAB6E3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Henvisninger til de ophævede bestemmelser i direktiv 2012/34/EU gælder som henvisninger til nærværende forordning og læses efter sammenligningstabellen i afsnit 1 i bilag X.</w:t>
      </w:r>
    </w:p>
    <w:p w14:paraId="4911B2C0" w14:textId="77777777" w:rsidR="00216C2C" w:rsidRDefault="00216C2C">
      <w:pPr>
        <w:widowControl/>
        <w:rPr>
          <w:b/>
          <w:i/>
          <w:szCs w:val="24"/>
          <w:lang w:eastAsia="en-US"/>
        </w:rPr>
      </w:pPr>
      <w:r>
        <w:rPr>
          <w:b/>
          <w:i/>
          <w:szCs w:val="24"/>
          <w:lang w:eastAsia="en-US"/>
        </w:rPr>
        <w:br w:type="page"/>
      </w:r>
    </w:p>
    <w:p w14:paraId="2EAF85E7" w14:textId="76557FB8" w:rsidR="008913ED" w:rsidRPr="008913ED" w:rsidRDefault="008913ED" w:rsidP="008913ED">
      <w:pPr>
        <w:spacing w:before="120" w:after="120" w:line="360" w:lineRule="auto"/>
        <w:jc w:val="center"/>
        <w:rPr>
          <w:szCs w:val="24"/>
          <w:lang w:eastAsia="en-US"/>
        </w:rPr>
      </w:pPr>
      <w:r w:rsidRPr="008913ED">
        <w:rPr>
          <w:b/>
          <w:i/>
          <w:szCs w:val="24"/>
          <w:lang w:eastAsia="en-US"/>
        </w:rPr>
        <w:lastRenderedPageBreak/>
        <w:t>Artikel 74a</w:t>
      </w:r>
      <w:r w:rsidRPr="008913ED">
        <w:rPr>
          <w:szCs w:val="24"/>
          <w:lang w:eastAsia="en-US"/>
        </w:rPr>
        <w:br/>
      </w:r>
      <w:r w:rsidRPr="008913ED">
        <w:rPr>
          <w:b/>
          <w:i/>
          <w:szCs w:val="24"/>
          <w:lang w:eastAsia="en-US"/>
        </w:rPr>
        <w:t>Ændring af forordning (EU) 2016/796</w:t>
      </w:r>
    </w:p>
    <w:p w14:paraId="1EB0AD8F" w14:textId="0C41EFBC" w:rsidR="008913ED" w:rsidRPr="008913ED" w:rsidRDefault="00E82D41" w:rsidP="00E82D41">
      <w:pPr>
        <w:spacing w:before="120" w:after="120" w:line="360" w:lineRule="auto"/>
        <w:ind w:left="851" w:hanging="851"/>
        <w:rPr>
          <w:szCs w:val="24"/>
          <w:lang w:eastAsia="en-US"/>
        </w:rPr>
      </w:pPr>
      <w:r>
        <w:rPr>
          <w:b/>
          <w:i/>
          <w:szCs w:val="24"/>
          <w:lang w:eastAsia="en-US"/>
        </w:rPr>
        <w:t>1.</w:t>
      </w:r>
      <w:r>
        <w:rPr>
          <w:b/>
          <w:i/>
          <w:szCs w:val="24"/>
          <w:lang w:eastAsia="en-US"/>
        </w:rPr>
        <w:tab/>
      </w:r>
      <w:r w:rsidR="008913ED" w:rsidRPr="008913ED">
        <w:rPr>
          <w:b/>
          <w:i/>
          <w:szCs w:val="24"/>
          <w:lang w:eastAsia="en-US"/>
        </w:rPr>
        <w:t>I forordning (EU) 2016/796 foretages følgende ændringer:</w:t>
      </w:r>
    </w:p>
    <w:p w14:paraId="7AFF1B17" w14:textId="0F6FCFEF" w:rsidR="008913ED" w:rsidRPr="008913ED" w:rsidRDefault="00E82D41" w:rsidP="00E82D41">
      <w:pPr>
        <w:spacing w:before="120" w:after="120" w:line="360" w:lineRule="auto"/>
        <w:ind w:left="1419" w:hanging="568"/>
        <w:rPr>
          <w:szCs w:val="24"/>
          <w:lang w:eastAsia="en-US"/>
        </w:rPr>
      </w:pPr>
      <w:r>
        <w:rPr>
          <w:b/>
          <w:i/>
          <w:szCs w:val="24"/>
          <w:lang w:eastAsia="en-US"/>
        </w:rPr>
        <w:t>a</w:t>
      </w:r>
      <w:r w:rsidR="008913ED" w:rsidRPr="008913ED">
        <w:rPr>
          <w:b/>
          <w:i/>
          <w:szCs w:val="24"/>
          <w:lang w:eastAsia="en-US"/>
        </w:rPr>
        <w:t>)</w:t>
      </w:r>
      <w:r w:rsidR="008913ED" w:rsidRPr="008913ED">
        <w:rPr>
          <w:szCs w:val="24"/>
          <w:lang w:eastAsia="en-US"/>
        </w:rPr>
        <w:tab/>
      </w:r>
      <w:r w:rsidR="008913ED" w:rsidRPr="008913ED">
        <w:rPr>
          <w:b/>
          <w:i/>
          <w:szCs w:val="24"/>
          <w:lang w:eastAsia="en-US"/>
        </w:rPr>
        <w:t>I artikel 19, stk. 1, tilføjes følgende litra:</w:t>
      </w:r>
    </w:p>
    <w:p w14:paraId="27BF40E3" w14:textId="019D5BE1" w:rsidR="008913ED" w:rsidRPr="008913ED" w:rsidRDefault="007F1167" w:rsidP="00E82D41">
      <w:pPr>
        <w:spacing w:before="120" w:after="120" w:line="360" w:lineRule="auto"/>
        <w:ind w:left="1985" w:hanging="566"/>
        <w:rPr>
          <w:b/>
          <w:szCs w:val="24"/>
          <w:lang w:eastAsia="en-US"/>
        </w:rPr>
      </w:pPr>
      <w:r w:rsidRPr="007F1167">
        <w:rPr>
          <w:b/>
          <w:i/>
          <w:szCs w:val="24"/>
          <w:lang w:eastAsia="en-US"/>
        </w:rPr>
        <w:t>"</w:t>
      </w:r>
      <w:r w:rsidR="00E82D41">
        <w:rPr>
          <w:b/>
          <w:i/>
          <w:szCs w:val="24"/>
          <w:lang w:eastAsia="en-US"/>
        </w:rPr>
        <w:t>m)</w:t>
      </w:r>
      <w:r w:rsidR="008913ED" w:rsidRPr="008913ED">
        <w:rPr>
          <w:szCs w:val="24"/>
          <w:lang w:eastAsia="en-US"/>
        </w:rPr>
        <w:tab/>
      </w:r>
      <w:r w:rsidR="008913ED" w:rsidRPr="008913ED">
        <w:rPr>
          <w:b/>
          <w:i/>
          <w:szCs w:val="24"/>
          <w:lang w:eastAsia="en-US"/>
        </w:rPr>
        <w:t>efter anmodning udstede henstillinger til Kommissionen vedrørende udarbejdelse og ajourføring af gennemførelsesretsakter og delegerede retsakter i henhold til Europa-Parlamentets og Rådets forordning (EU) .../... [forordning om anvendelse af jernbaneinfrastrukturkapacitet i det fælles europæiske jernbaneområde, om ændring af direktiv 2012/34/EU og om ophævelse af forordning (EU) nr. 913/2010]</w:t>
      </w:r>
      <w:r w:rsidRPr="007F1167">
        <w:rPr>
          <w:b/>
          <w:i/>
          <w:szCs w:val="24"/>
          <w:lang w:eastAsia="en-US"/>
        </w:rPr>
        <w:t>"</w:t>
      </w:r>
      <w:r w:rsidR="008913ED" w:rsidRPr="008913ED">
        <w:rPr>
          <w:b/>
          <w:szCs w:val="24"/>
          <w:lang w:eastAsia="en-US"/>
        </w:rPr>
        <w:t xml:space="preserve"> [Ændring 246]</w:t>
      </w:r>
    </w:p>
    <w:p w14:paraId="630004FA" w14:textId="77777777" w:rsidR="00216C2C" w:rsidRDefault="00216C2C">
      <w:pPr>
        <w:widowControl/>
        <w:rPr>
          <w:b/>
          <w:i/>
          <w:szCs w:val="24"/>
          <w:lang w:eastAsia="en-US"/>
        </w:rPr>
      </w:pPr>
      <w:r>
        <w:rPr>
          <w:b/>
          <w:i/>
          <w:szCs w:val="24"/>
          <w:lang w:eastAsia="en-US"/>
        </w:rPr>
        <w:br w:type="page"/>
      </w:r>
    </w:p>
    <w:p w14:paraId="12A29FE1" w14:textId="470341CC" w:rsidR="008913ED" w:rsidRPr="008913ED" w:rsidRDefault="008913ED" w:rsidP="008913ED">
      <w:pPr>
        <w:spacing w:before="120" w:after="120" w:line="360" w:lineRule="auto"/>
        <w:jc w:val="center"/>
        <w:rPr>
          <w:szCs w:val="24"/>
          <w:lang w:eastAsia="en-US"/>
        </w:rPr>
      </w:pPr>
      <w:r w:rsidRPr="008913ED">
        <w:rPr>
          <w:b/>
          <w:i/>
          <w:szCs w:val="24"/>
          <w:lang w:eastAsia="en-US"/>
        </w:rPr>
        <w:lastRenderedPageBreak/>
        <w:t>Artikel 74b</w:t>
      </w:r>
      <w:r w:rsidRPr="008913ED">
        <w:rPr>
          <w:szCs w:val="24"/>
          <w:lang w:eastAsia="en-US"/>
        </w:rPr>
        <w:br/>
      </w:r>
      <w:r w:rsidRPr="008913ED">
        <w:rPr>
          <w:b/>
          <w:i/>
          <w:szCs w:val="24"/>
          <w:lang w:eastAsia="en-US"/>
        </w:rPr>
        <w:t>Ændringer af direktiv (EU) 2016/797</w:t>
      </w:r>
    </w:p>
    <w:p w14:paraId="03DC3D81" w14:textId="0F046886" w:rsidR="008913ED" w:rsidRPr="008913ED" w:rsidRDefault="007F1167" w:rsidP="007F1167">
      <w:pPr>
        <w:spacing w:before="120" w:after="120" w:line="360" w:lineRule="auto"/>
        <w:ind w:left="851" w:hanging="851"/>
        <w:rPr>
          <w:szCs w:val="24"/>
          <w:lang w:eastAsia="en-US"/>
        </w:rPr>
      </w:pPr>
      <w:r>
        <w:rPr>
          <w:b/>
          <w:i/>
          <w:szCs w:val="24"/>
          <w:lang w:eastAsia="en-US"/>
        </w:rPr>
        <w:t>1.</w:t>
      </w:r>
      <w:r>
        <w:rPr>
          <w:b/>
          <w:i/>
          <w:szCs w:val="24"/>
          <w:lang w:eastAsia="en-US"/>
        </w:rPr>
        <w:tab/>
      </w:r>
      <w:r w:rsidR="008913ED" w:rsidRPr="008913ED">
        <w:rPr>
          <w:b/>
          <w:i/>
          <w:szCs w:val="24"/>
          <w:lang w:eastAsia="en-US"/>
        </w:rPr>
        <w:t>Direktiv (EU) 2016/797 ændres således:</w:t>
      </w:r>
    </w:p>
    <w:p w14:paraId="33302B45" w14:textId="05341381" w:rsidR="008913ED" w:rsidRPr="008913ED" w:rsidRDefault="007F1167" w:rsidP="007F1167">
      <w:pPr>
        <w:spacing w:before="120" w:after="120" w:line="360" w:lineRule="auto"/>
        <w:ind w:left="1418" w:hanging="568"/>
        <w:rPr>
          <w:szCs w:val="24"/>
          <w:lang w:eastAsia="en-US"/>
        </w:rPr>
      </w:pPr>
      <w:r>
        <w:rPr>
          <w:b/>
          <w:i/>
          <w:szCs w:val="24"/>
          <w:lang w:eastAsia="en-US"/>
        </w:rPr>
        <w:t>a</w:t>
      </w:r>
      <w:r w:rsidR="008913ED" w:rsidRPr="008913ED">
        <w:rPr>
          <w:b/>
          <w:i/>
          <w:szCs w:val="24"/>
          <w:lang w:eastAsia="en-US"/>
        </w:rPr>
        <w:t>)</w:t>
      </w:r>
      <w:r w:rsidR="008913ED" w:rsidRPr="008913ED">
        <w:rPr>
          <w:szCs w:val="24"/>
          <w:lang w:eastAsia="en-US"/>
        </w:rPr>
        <w:tab/>
      </w:r>
      <w:r w:rsidR="008913ED" w:rsidRPr="008913ED">
        <w:rPr>
          <w:b/>
          <w:i/>
          <w:szCs w:val="24"/>
          <w:lang w:eastAsia="en-US"/>
        </w:rPr>
        <w:t>I punkt 2 i bilag II indsættes:</w:t>
      </w:r>
    </w:p>
    <w:p w14:paraId="59F8D2C0" w14:textId="647290F4" w:rsidR="008913ED" w:rsidRPr="008913ED" w:rsidRDefault="007F1167" w:rsidP="007F1167">
      <w:pPr>
        <w:spacing w:before="120" w:after="120" w:line="360" w:lineRule="auto"/>
        <w:ind w:left="1984" w:hanging="566"/>
        <w:rPr>
          <w:b/>
          <w:szCs w:val="24"/>
          <w:lang w:eastAsia="en-US"/>
        </w:rPr>
      </w:pPr>
      <w:r w:rsidRPr="007F1167">
        <w:rPr>
          <w:b/>
          <w:i/>
          <w:szCs w:val="24"/>
          <w:lang w:eastAsia="en-US"/>
        </w:rPr>
        <w:t>"</w:t>
      </w:r>
      <w:r w:rsidR="008913ED" w:rsidRPr="008913ED">
        <w:rPr>
          <w:b/>
          <w:i/>
          <w:szCs w:val="24"/>
          <w:lang w:eastAsia="en-US"/>
        </w:rPr>
        <w:t xml:space="preserve">2.9 </w:t>
      </w:r>
      <w:r>
        <w:rPr>
          <w:b/>
          <w:i/>
          <w:szCs w:val="24"/>
          <w:lang w:eastAsia="en-US"/>
        </w:rPr>
        <w:tab/>
      </w:r>
      <w:r w:rsidR="008913ED" w:rsidRPr="008913ED">
        <w:rPr>
          <w:b/>
          <w:i/>
          <w:szCs w:val="24"/>
          <w:lang w:eastAsia="en-US"/>
        </w:rPr>
        <w:t>Anvendelse af jernbaneinfrastrukturkapacitet: de strukturer, organer og procedurer, der er omhandlet i Europa-Parlamentets og Rådets forordning (EU) .../... [denne forordning]</w:t>
      </w:r>
      <w:r w:rsidRPr="007F1167">
        <w:rPr>
          <w:b/>
          <w:i/>
          <w:szCs w:val="24"/>
          <w:lang w:eastAsia="en-US"/>
        </w:rPr>
        <w:t>"</w:t>
      </w:r>
      <w:r w:rsidR="008913ED" w:rsidRPr="008913ED">
        <w:rPr>
          <w:b/>
          <w:szCs w:val="24"/>
          <w:lang w:eastAsia="en-US"/>
        </w:rPr>
        <w:t xml:space="preserve"> [Ændring 247]</w:t>
      </w:r>
    </w:p>
    <w:p w14:paraId="3039C9E0"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75</w:t>
      </w:r>
      <w:r w:rsidRPr="008913ED">
        <w:rPr>
          <w:szCs w:val="24"/>
          <w:lang w:eastAsia="en-US"/>
        </w:rPr>
        <w:br/>
        <w:t>Overgangsbestemmelser</w:t>
      </w:r>
    </w:p>
    <w:p w14:paraId="340272D6"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Rammeaftaler, der er indgået</w:t>
      </w:r>
      <w:r w:rsidRPr="008913ED">
        <w:rPr>
          <w:b/>
          <w:i/>
          <w:szCs w:val="24"/>
          <w:lang w:eastAsia="en-US"/>
        </w:rPr>
        <w:t xml:space="preserve"> før den 1. januar 2026</w:t>
      </w:r>
      <w:r w:rsidRPr="008913ED">
        <w:rPr>
          <w:szCs w:val="24"/>
          <w:lang w:eastAsia="en-US"/>
        </w:rPr>
        <w:t xml:space="preserve"> i henhold til artikel 42 i direktiv 2012/34/EU, finder fortsat anvendelse indtil deres udløbsdato.</w:t>
      </w:r>
      <w:r w:rsidRPr="008913ED">
        <w:rPr>
          <w:b/>
          <w:szCs w:val="24"/>
          <w:lang w:eastAsia="en-US"/>
        </w:rPr>
        <w:t xml:space="preserve"> [Ændring 248]</w:t>
      </w:r>
    </w:p>
    <w:p w14:paraId="5CFC5B2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Artikel 3, nr. 20), 22), 23), 27) og 28), artikel 7b, 36 og 38-54 i og bilag IV, punkt 3, og bilag VII til direktiv 2012/34/EU finder ikke anvendelse på aktiviteter og opgaver, der udføres i forbindelse med køreplaner, der træder i kraft efter den [8. december 2029].</w:t>
      </w:r>
    </w:p>
    <w:p w14:paraId="2F300E77" w14:textId="77777777" w:rsidR="00216C2C" w:rsidRDefault="00216C2C">
      <w:pPr>
        <w:widowControl/>
        <w:rPr>
          <w:szCs w:val="24"/>
          <w:lang w:eastAsia="en-US"/>
        </w:rPr>
      </w:pPr>
      <w:r>
        <w:rPr>
          <w:szCs w:val="24"/>
          <w:lang w:eastAsia="en-US"/>
        </w:rPr>
        <w:br w:type="page"/>
      </w:r>
    </w:p>
    <w:p w14:paraId="5840BD3B" w14:textId="12CBCACE" w:rsidR="008913ED" w:rsidRPr="008913ED" w:rsidRDefault="008913ED" w:rsidP="008913ED">
      <w:pPr>
        <w:spacing w:before="120" w:after="120" w:line="360" w:lineRule="auto"/>
        <w:jc w:val="center"/>
        <w:rPr>
          <w:szCs w:val="24"/>
          <w:lang w:eastAsia="en-US"/>
        </w:rPr>
      </w:pPr>
      <w:r w:rsidRPr="008913ED">
        <w:rPr>
          <w:szCs w:val="24"/>
          <w:lang w:eastAsia="en-US"/>
        </w:rPr>
        <w:lastRenderedPageBreak/>
        <w:t>Artikel 76</w:t>
      </w:r>
      <w:r w:rsidRPr="008913ED">
        <w:rPr>
          <w:szCs w:val="24"/>
          <w:lang w:eastAsia="en-US"/>
        </w:rPr>
        <w:br/>
        <w:t>Ophævelse</w:t>
      </w:r>
    </w:p>
    <w:p w14:paraId="46A85BC5"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Forordning (EU) nr. 913/2010 ophæves med virkning fra den [9. december 2029].</w:t>
      </w:r>
    </w:p>
    <w:p w14:paraId="43D57E8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Henvisninger til den ophævede forordning gælder som henvisninger til nærværende forordning og læses efter sammenligningstabellen i afsnit 2 i bilag X.</w:t>
      </w:r>
    </w:p>
    <w:p w14:paraId="706361A5" w14:textId="77777777" w:rsidR="008913ED" w:rsidRPr="008913ED" w:rsidRDefault="008913ED" w:rsidP="008913ED">
      <w:pPr>
        <w:spacing w:before="120" w:after="120" w:line="360" w:lineRule="auto"/>
        <w:jc w:val="center"/>
        <w:rPr>
          <w:szCs w:val="24"/>
          <w:lang w:eastAsia="en-US"/>
        </w:rPr>
      </w:pPr>
      <w:r w:rsidRPr="008913ED">
        <w:rPr>
          <w:szCs w:val="24"/>
          <w:lang w:eastAsia="en-US"/>
        </w:rPr>
        <w:t>Artikel 77</w:t>
      </w:r>
      <w:r w:rsidRPr="008913ED">
        <w:rPr>
          <w:szCs w:val="24"/>
          <w:lang w:eastAsia="en-US"/>
        </w:rPr>
        <w:br/>
        <w:t>Ikrafttræden og anvendelse</w:t>
      </w:r>
    </w:p>
    <w:p w14:paraId="2FA5F306"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 xml:space="preserve">Denne forordning træder i kraft dagen efter offentliggørelsen i </w:t>
      </w:r>
      <w:r w:rsidRPr="008913ED">
        <w:rPr>
          <w:i/>
          <w:szCs w:val="24"/>
          <w:lang w:eastAsia="en-US"/>
        </w:rPr>
        <w:t>Den Europæiske Unions Tidende</w:t>
      </w:r>
      <w:r w:rsidRPr="008913ED">
        <w:rPr>
          <w:szCs w:val="24"/>
          <w:lang w:eastAsia="en-US"/>
        </w:rPr>
        <w:t>.</w:t>
      </w:r>
    </w:p>
    <w:p w14:paraId="0C68FF3B"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Den anvendes fra den [1. januar 2026]. Følgende bemærkes dog, at:</w:t>
      </w:r>
    </w:p>
    <w:p w14:paraId="331429F0"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a)</w:t>
      </w:r>
      <w:r w:rsidRPr="008913ED">
        <w:rPr>
          <w:szCs w:val="24"/>
          <w:lang w:eastAsia="en-US"/>
        </w:rPr>
        <w:tab/>
        <w:t xml:space="preserve">artikel 1, 2 og 3, kapitel II, med undtagelse af artikel 9, stk. 1 og 2, og artikel </w:t>
      </w:r>
      <w:r w:rsidRPr="008913ED">
        <w:rPr>
          <w:b/>
          <w:i/>
          <w:szCs w:val="24"/>
          <w:lang w:eastAsia="en-US"/>
        </w:rPr>
        <w:t>26, 27, 28, 31, 39 og 50</w:t>
      </w:r>
      <w:r w:rsidRPr="008913ED">
        <w:rPr>
          <w:strike/>
          <w:szCs w:val="24"/>
          <w:lang w:eastAsia="en-US"/>
        </w:rPr>
        <w:t>27, stk. 4</w:t>
      </w:r>
      <w:r w:rsidRPr="008913ED">
        <w:rPr>
          <w:szCs w:val="24"/>
          <w:lang w:eastAsia="en-US"/>
        </w:rPr>
        <w:t xml:space="preserve">, og kapitel III, med undtagelse af artikel 48, i denne forordning kun finder anvendelse på aktiviteter og opgaver, der udføres i forbindelse med køreplaner, der træder i kraft efter den </w:t>
      </w:r>
      <w:r w:rsidRPr="008913ED">
        <w:rPr>
          <w:strike/>
          <w:szCs w:val="24"/>
          <w:lang w:eastAsia="en-US"/>
        </w:rPr>
        <w:t>[</w:t>
      </w:r>
      <w:r w:rsidRPr="008913ED">
        <w:rPr>
          <w:szCs w:val="24"/>
          <w:lang w:eastAsia="en-US"/>
        </w:rPr>
        <w:t xml:space="preserve">8. december </w:t>
      </w:r>
      <w:r w:rsidRPr="008913ED">
        <w:rPr>
          <w:strike/>
          <w:szCs w:val="24"/>
          <w:lang w:eastAsia="en-US"/>
        </w:rPr>
        <w:t>2029]</w:t>
      </w:r>
      <w:r w:rsidRPr="008913ED">
        <w:rPr>
          <w:b/>
          <w:i/>
          <w:szCs w:val="24"/>
          <w:lang w:eastAsia="en-US"/>
        </w:rPr>
        <w:t>2027</w:t>
      </w:r>
      <w:r w:rsidRPr="008913ED">
        <w:rPr>
          <w:b/>
          <w:szCs w:val="24"/>
          <w:lang w:eastAsia="en-US"/>
        </w:rPr>
        <w:t xml:space="preserve"> [Ændring 249]</w:t>
      </w:r>
    </w:p>
    <w:p w14:paraId="7788CB86" w14:textId="77777777" w:rsidR="00216C2C" w:rsidRDefault="00216C2C">
      <w:pPr>
        <w:widowControl/>
        <w:rPr>
          <w:szCs w:val="24"/>
          <w:lang w:eastAsia="en-US"/>
        </w:rPr>
      </w:pPr>
      <w:r>
        <w:rPr>
          <w:szCs w:val="24"/>
          <w:lang w:eastAsia="en-US"/>
        </w:rPr>
        <w:br w:type="page"/>
      </w:r>
    </w:p>
    <w:p w14:paraId="2799BC2C" w14:textId="61A7A599" w:rsidR="008913ED" w:rsidRPr="008913ED" w:rsidRDefault="008913ED" w:rsidP="008913ED">
      <w:pPr>
        <w:spacing w:before="120" w:after="120" w:line="360" w:lineRule="auto"/>
        <w:ind w:left="1416" w:hanging="566"/>
        <w:rPr>
          <w:b/>
          <w:szCs w:val="24"/>
          <w:lang w:eastAsia="en-US"/>
        </w:rPr>
      </w:pPr>
      <w:r w:rsidRPr="008913ED">
        <w:rPr>
          <w:szCs w:val="24"/>
          <w:lang w:eastAsia="en-US"/>
        </w:rPr>
        <w:lastRenderedPageBreak/>
        <w:t>b)</w:t>
      </w:r>
      <w:r w:rsidRPr="008913ED">
        <w:rPr>
          <w:szCs w:val="24"/>
          <w:lang w:eastAsia="en-US"/>
        </w:rPr>
        <w:tab/>
        <w:t xml:space="preserve">artikel 9, stk. 1 og 2, finder anvendelse fra den </w:t>
      </w:r>
      <w:r w:rsidRPr="008913ED">
        <w:rPr>
          <w:strike/>
          <w:szCs w:val="24"/>
          <w:lang w:eastAsia="en-US"/>
        </w:rPr>
        <w:t>[</w:t>
      </w:r>
      <w:r w:rsidRPr="008913ED">
        <w:rPr>
          <w:szCs w:val="24"/>
          <w:lang w:eastAsia="en-US"/>
        </w:rPr>
        <w:t xml:space="preserve">1. januar </w:t>
      </w:r>
      <w:r w:rsidRPr="008913ED">
        <w:rPr>
          <w:strike/>
          <w:szCs w:val="24"/>
          <w:lang w:eastAsia="en-US"/>
        </w:rPr>
        <w:t>2028]</w:t>
      </w:r>
      <w:r w:rsidRPr="008913ED">
        <w:rPr>
          <w:b/>
          <w:i/>
          <w:szCs w:val="24"/>
          <w:lang w:eastAsia="en-US"/>
        </w:rPr>
        <w:t>2027</w:t>
      </w:r>
      <w:r w:rsidRPr="008913ED">
        <w:rPr>
          <w:b/>
          <w:szCs w:val="24"/>
          <w:lang w:eastAsia="en-US"/>
        </w:rPr>
        <w:t xml:space="preserve"> [Ændring 250]</w:t>
      </w:r>
    </w:p>
    <w:p w14:paraId="4FD4B19C"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artikel 27, stk. 4, finder anvendelse fra den [1. marts 2026]</w:t>
      </w:r>
    </w:p>
    <w:p w14:paraId="2DAE8E68"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ca)</w:t>
      </w:r>
      <w:r w:rsidRPr="008913ED">
        <w:rPr>
          <w:szCs w:val="24"/>
          <w:lang w:eastAsia="en-US"/>
        </w:rPr>
        <w:tab/>
      </w:r>
      <w:r w:rsidRPr="008913ED">
        <w:rPr>
          <w:b/>
          <w:i/>
          <w:szCs w:val="24"/>
          <w:lang w:eastAsia="en-US"/>
        </w:rPr>
        <w:t>Artikel 35 finder anvendelse fra den 1. december 2028.</w:t>
      </w:r>
      <w:r w:rsidRPr="008913ED">
        <w:rPr>
          <w:b/>
          <w:szCs w:val="24"/>
          <w:lang w:eastAsia="en-US"/>
        </w:rPr>
        <w:t xml:space="preserve"> [Ændring 251]</w:t>
      </w:r>
    </w:p>
    <w:p w14:paraId="1C99F25E" w14:textId="77777777" w:rsidR="008913ED" w:rsidRPr="008913ED" w:rsidRDefault="008913ED" w:rsidP="008913ED">
      <w:pPr>
        <w:spacing w:before="120" w:after="120" w:line="360" w:lineRule="auto"/>
        <w:ind w:left="1416" w:hanging="566"/>
        <w:rPr>
          <w:b/>
          <w:szCs w:val="24"/>
          <w:lang w:eastAsia="en-US"/>
        </w:rPr>
      </w:pPr>
      <w:r w:rsidRPr="008913ED">
        <w:rPr>
          <w:b/>
          <w:i/>
          <w:szCs w:val="24"/>
          <w:lang w:eastAsia="en-US"/>
        </w:rPr>
        <w:t>cb)</w:t>
      </w:r>
      <w:r w:rsidRPr="008913ED">
        <w:rPr>
          <w:szCs w:val="24"/>
          <w:lang w:eastAsia="en-US"/>
        </w:rPr>
        <w:tab/>
      </w:r>
      <w:r w:rsidRPr="008913ED">
        <w:rPr>
          <w:b/>
          <w:i/>
          <w:szCs w:val="24"/>
          <w:lang w:eastAsia="en-US"/>
        </w:rPr>
        <w:t>Artikel 40 finder anvendelse fra den 1. december 2027.</w:t>
      </w:r>
      <w:r w:rsidRPr="008913ED">
        <w:rPr>
          <w:b/>
          <w:szCs w:val="24"/>
          <w:lang w:eastAsia="en-US"/>
        </w:rPr>
        <w:t xml:space="preserve"> [Ændring 252]</w:t>
      </w:r>
    </w:p>
    <w:p w14:paraId="58F3B7AB" w14:textId="77777777"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artikel 48 og 62 anvendes fra den [13. december 2026]</w:t>
      </w:r>
    </w:p>
    <w:p w14:paraId="18DA0BD1" w14:textId="77777777" w:rsidR="008913ED" w:rsidRPr="008913ED" w:rsidRDefault="008913ED" w:rsidP="008913ED">
      <w:pPr>
        <w:spacing w:before="120" w:after="120" w:line="360" w:lineRule="auto"/>
        <w:ind w:left="1416" w:hanging="566"/>
        <w:rPr>
          <w:b/>
          <w:szCs w:val="24"/>
          <w:lang w:eastAsia="en-US"/>
        </w:rPr>
      </w:pPr>
      <w:r w:rsidRPr="008913ED">
        <w:rPr>
          <w:szCs w:val="24"/>
          <w:lang w:eastAsia="en-US"/>
        </w:rPr>
        <w:t>e)</w:t>
      </w:r>
      <w:r w:rsidRPr="008913ED">
        <w:rPr>
          <w:szCs w:val="24"/>
          <w:lang w:eastAsia="en-US"/>
        </w:rPr>
        <w:tab/>
        <w:t xml:space="preserve">artikel 74 finder anvendelse fra den [9. december </w:t>
      </w:r>
      <w:r w:rsidRPr="008913ED">
        <w:rPr>
          <w:strike/>
          <w:szCs w:val="24"/>
          <w:lang w:eastAsia="en-US"/>
        </w:rPr>
        <w:t>2029</w:t>
      </w:r>
      <w:r w:rsidRPr="008913ED">
        <w:rPr>
          <w:b/>
          <w:i/>
          <w:szCs w:val="24"/>
          <w:lang w:eastAsia="en-US"/>
        </w:rPr>
        <w:t>2027</w:t>
      </w:r>
      <w:r w:rsidRPr="008913ED">
        <w:rPr>
          <w:szCs w:val="24"/>
          <w:lang w:eastAsia="en-US"/>
        </w:rPr>
        <w:t>].</w:t>
      </w:r>
      <w:r w:rsidRPr="008913ED">
        <w:rPr>
          <w:b/>
          <w:szCs w:val="24"/>
          <w:lang w:eastAsia="en-US"/>
        </w:rPr>
        <w:t xml:space="preserve"> [Ændring 253]</w:t>
      </w:r>
    </w:p>
    <w:p w14:paraId="00040B99" w14:textId="77777777" w:rsidR="008913ED" w:rsidRPr="008913ED" w:rsidRDefault="008913ED" w:rsidP="008913ED">
      <w:pPr>
        <w:spacing w:before="120" w:after="120" w:line="360" w:lineRule="auto"/>
        <w:ind w:left="850"/>
        <w:rPr>
          <w:szCs w:val="24"/>
          <w:lang w:eastAsia="en-US"/>
        </w:rPr>
      </w:pPr>
      <w:r w:rsidRPr="008913ED">
        <w:rPr>
          <w:szCs w:val="24"/>
          <w:lang w:eastAsia="en-US"/>
        </w:rPr>
        <w:t>Denne forordning er bindende i alle enkeltheder og gælder umiddelbart i enhver medlemsstat.</w:t>
      </w:r>
    </w:p>
    <w:p w14:paraId="363DA8AD" w14:textId="25AD785F" w:rsidR="008913ED" w:rsidRPr="008913ED" w:rsidRDefault="008913ED" w:rsidP="008913ED">
      <w:pPr>
        <w:keepNext/>
        <w:widowControl/>
        <w:spacing w:before="120" w:line="360" w:lineRule="auto"/>
        <w:rPr>
          <w:szCs w:val="24"/>
          <w:lang w:eastAsia="en-US"/>
        </w:rPr>
      </w:pPr>
      <w:r w:rsidRPr="008913ED">
        <w:rPr>
          <w:szCs w:val="24"/>
          <w:lang w:eastAsia="en-US"/>
        </w:rPr>
        <w:t xml:space="preserve">Udfærdiget i </w:t>
      </w:r>
      <w:r w:rsidR="00D07E32">
        <w:rPr>
          <w:szCs w:val="24"/>
          <w:lang w:eastAsia="en-US"/>
        </w:rPr>
        <w:t>...</w:t>
      </w:r>
      <w:r w:rsidRPr="008913ED">
        <w:rPr>
          <w:szCs w:val="24"/>
          <w:lang w:eastAsia="en-US"/>
        </w:rPr>
        <w:t>, den […].</w:t>
      </w:r>
    </w:p>
    <w:p w14:paraId="767CC23F" w14:textId="77777777" w:rsidR="008913ED" w:rsidRPr="008913ED" w:rsidRDefault="008913ED" w:rsidP="008913ED">
      <w:pPr>
        <w:keepNext/>
        <w:widowControl/>
        <w:tabs>
          <w:tab w:val="left" w:pos="4252"/>
        </w:tabs>
        <w:spacing w:before="720" w:after="100" w:line="360" w:lineRule="auto"/>
        <w:jc w:val="both"/>
        <w:rPr>
          <w:i/>
          <w:szCs w:val="24"/>
          <w:lang w:eastAsia="en-US"/>
        </w:rPr>
      </w:pPr>
      <w:r w:rsidRPr="008913ED">
        <w:rPr>
          <w:i/>
          <w:szCs w:val="24"/>
          <w:lang w:eastAsia="en-US"/>
        </w:rPr>
        <w:t>På Europa-Parlamentets vegne</w:t>
      </w:r>
      <w:r w:rsidRPr="008913ED">
        <w:rPr>
          <w:i/>
          <w:szCs w:val="24"/>
          <w:lang w:eastAsia="en-US"/>
        </w:rPr>
        <w:tab/>
        <w:t>På Rådets vegne</w:t>
      </w:r>
    </w:p>
    <w:p w14:paraId="04F46FF5" w14:textId="77777777" w:rsidR="00D11598" w:rsidRDefault="008913ED" w:rsidP="008913ED">
      <w:pPr>
        <w:widowControl/>
        <w:tabs>
          <w:tab w:val="left" w:pos="4252"/>
        </w:tabs>
        <w:spacing w:line="360" w:lineRule="auto"/>
        <w:rPr>
          <w:i/>
          <w:szCs w:val="24"/>
          <w:lang w:eastAsia="en-US"/>
        </w:rPr>
        <w:sectPr w:rsidR="00D11598" w:rsidSect="0008317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pPr>
      <w:r w:rsidRPr="008913ED">
        <w:rPr>
          <w:i/>
          <w:szCs w:val="24"/>
          <w:lang w:eastAsia="en-US"/>
        </w:rPr>
        <w:t>Formand</w:t>
      </w:r>
      <w:r w:rsidRPr="008913ED">
        <w:rPr>
          <w:i/>
          <w:szCs w:val="24"/>
          <w:lang w:eastAsia="en-US"/>
        </w:rPr>
        <w:tab/>
        <w:t>Formandn</w:t>
      </w:r>
    </w:p>
    <w:p w14:paraId="45829489" w14:textId="77777777" w:rsidR="008913ED" w:rsidRPr="008913ED" w:rsidRDefault="008913ED" w:rsidP="008913ED">
      <w:pPr>
        <w:spacing w:before="120" w:after="120" w:line="360" w:lineRule="auto"/>
        <w:jc w:val="center"/>
        <w:rPr>
          <w:lang w:eastAsia="en-US"/>
        </w:rPr>
      </w:pPr>
      <w:r w:rsidRPr="008913ED">
        <w:rPr>
          <w:lang w:eastAsia="en-US"/>
        </w:rPr>
        <w:lastRenderedPageBreak/>
        <w:t>BILAG I</w:t>
      </w:r>
    </w:p>
    <w:p w14:paraId="5074CEDA" w14:textId="4926CF79" w:rsidR="008913ED" w:rsidRPr="008913ED" w:rsidRDefault="00E25982" w:rsidP="00140ADA">
      <w:pPr>
        <w:spacing w:before="120" w:after="120" w:line="360" w:lineRule="auto"/>
        <w:jc w:val="center"/>
        <w:rPr>
          <w:szCs w:val="24"/>
          <w:lang w:eastAsia="en-US"/>
        </w:rPr>
      </w:pPr>
      <w:r w:rsidRPr="008913ED">
        <w:rPr>
          <w:szCs w:val="24"/>
          <w:lang w:eastAsia="en-US"/>
        </w:rPr>
        <w:t>RESULTATER OG PLAN FOR KAPACITETSFORVALTNING,</w:t>
      </w:r>
      <w:r>
        <w:rPr>
          <w:szCs w:val="24"/>
          <w:lang w:eastAsia="en-US"/>
        </w:rPr>
        <w:t xml:space="preserve"> </w:t>
      </w:r>
      <w:r w:rsidRPr="008913ED">
        <w:rPr>
          <w:szCs w:val="24"/>
          <w:lang w:eastAsia="en-US"/>
        </w:rPr>
        <w:t>JF. ARTIKEL 11, 16, 18 OG 38</w:t>
      </w:r>
    </w:p>
    <w:p w14:paraId="2C307017" w14:textId="77777777" w:rsidR="008913ED" w:rsidRPr="00140ADA" w:rsidRDefault="008913ED" w:rsidP="008913ED">
      <w:pPr>
        <w:spacing w:before="120" w:after="120" w:line="360" w:lineRule="auto"/>
        <w:ind w:left="850" w:hanging="850"/>
        <w:rPr>
          <w:smallCaps/>
          <w:szCs w:val="24"/>
          <w:lang w:eastAsia="en-US"/>
        </w:rPr>
      </w:pPr>
      <w:r w:rsidRPr="008913ED">
        <w:rPr>
          <w:szCs w:val="24"/>
          <w:lang w:eastAsia="en-US"/>
        </w:rPr>
        <w:t>1.</w:t>
      </w:r>
      <w:r w:rsidRPr="008913ED">
        <w:rPr>
          <w:szCs w:val="24"/>
          <w:lang w:eastAsia="en-US"/>
        </w:rPr>
        <w:tab/>
      </w:r>
      <w:r w:rsidRPr="00140ADA">
        <w:rPr>
          <w:smallCaps/>
          <w:szCs w:val="24"/>
          <w:lang w:eastAsia="en-US"/>
        </w:rPr>
        <w:t>Resultater, som infrastrukturforvalterne skal tilvejebringe i forbindelse med den strategiske kapacitetsplanlægning, der er omhandlet artikel 11, 16, 17 og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65"/>
        <w:gridCol w:w="5795"/>
      </w:tblGrid>
      <w:tr w:rsidR="008913ED" w:rsidRPr="008913ED" w14:paraId="0D6D13C2" w14:textId="77777777" w:rsidTr="00002801">
        <w:trPr>
          <w:tblHeader/>
        </w:trPr>
        <w:tc>
          <w:tcPr>
            <w:tcW w:w="0" w:type="auto"/>
          </w:tcPr>
          <w:p w14:paraId="5948F599" w14:textId="77777777" w:rsidR="008913ED" w:rsidRPr="008913ED" w:rsidRDefault="008913ED" w:rsidP="008913ED">
            <w:pPr>
              <w:spacing w:before="120" w:after="120" w:line="360" w:lineRule="auto"/>
              <w:rPr>
                <w:szCs w:val="24"/>
                <w:lang w:val="en-GB" w:eastAsia="en-US"/>
              </w:rPr>
            </w:pPr>
            <w:r w:rsidRPr="008913ED">
              <w:rPr>
                <w:szCs w:val="24"/>
                <w:lang w:val="en-GB" w:eastAsia="en-US"/>
              </w:rPr>
              <w:t>Resultat</w:t>
            </w:r>
          </w:p>
        </w:tc>
        <w:tc>
          <w:tcPr>
            <w:tcW w:w="0" w:type="auto"/>
          </w:tcPr>
          <w:p w14:paraId="5F02E737" w14:textId="77777777" w:rsidR="008913ED" w:rsidRPr="008913ED" w:rsidRDefault="008913ED" w:rsidP="008913ED">
            <w:pPr>
              <w:spacing w:before="120" w:after="120" w:line="360" w:lineRule="auto"/>
              <w:rPr>
                <w:szCs w:val="24"/>
                <w:lang w:val="en-GB" w:eastAsia="en-US"/>
              </w:rPr>
            </w:pPr>
            <w:r w:rsidRPr="008913ED">
              <w:rPr>
                <w:szCs w:val="24"/>
                <w:lang w:val="en-GB" w:eastAsia="en-US"/>
              </w:rPr>
              <w:t>Indhold</w:t>
            </w:r>
          </w:p>
        </w:tc>
      </w:tr>
      <w:tr w:rsidR="008913ED" w:rsidRPr="008913ED" w14:paraId="57F72787" w14:textId="77777777" w:rsidTr="00002801">
        <w:tc>
          <w:tcPr>
            <w:tcW w:w="0" w:type="auto"/>
          </w:tcPr>
          <w:p w14:paraId="2C9BA6BC" w14:textId="77777777" w:rsidR="008913ED" w:rsidRPr="008913ED" w:rsidRDefault="008913ED" w:rsidP="008913ED">
            <w:pPr>
              <w:spacing w:before="120" w:after="120" w:line="360" w:lineRule="auto"/>
              <w:rPr>
                <w:szCs w:val="24"/>
                <w:lang w:val="en-GB" w:eastAsia="en-US"/>
              </w:rPr>
            </w:pPr>
            <w:r w:rsidRPr="008913ED">
              <w:rPr>
                <w:szCs w:val="24"/>
                <w:lang w:val="en-GB" w:eastAsia="en-US"/>
              </w:rPr>
              <w:t>Kapacitetsstrategi (artikel 16)</w:t>
            </w:r>
          </w:p>
        </w:tc>
        <w:tc>
          <w:tcPr>
            <w:tcW w:w="0" w:type="auto"/>
          </w:tcPr>
          <w:p w14:paraId="523E4747" w14:textId="77777777" w:rsidR="00852770" w:rsidRDefault="008913ED" w:rsidP="00852770">
            <w:pPr>
              <w:spacing w:before="120" w:after="120" w:line="360" w:lineRule="auto"/>
              <w:rPr>
                <w:szCs w:val="24"/>
                <w:lang w:eastAsia="en-US"/>
              </w:rPr>
            </w:pPr>
            <w:r w:rsidRPr="008913ED">
              <w:rPr>
                <w:szCs w:val="24"/>
                <w:lang w:eastAsia="en-US"/>
              </w:rPr>
              <w:t>– Planlagt udvikling af fysisk infrastruktur, herunder nybyggeri, opgraderinger, fornyelser og lukninger/nedlæggelse</w:t>
            </w:r>
          </w:p>
          <w:p w14:paraId="42D8023E" w14:textId="77777777" w:rsidR="005B201F" w:rsidRDefault="008913ED" w:rsidP="00852770">
            <w:pPr>
              <w:spacing w:before="120" w:after="120" w:line="360" w:lineRule="auto"/>
              <w:rPr>
                <w:szCs w:val="24"/>
                <w:lang w:eastAsia="en-US"/>
              </w:rPr>
            </w:pPr>
            <w:r w:rsidRPr="008913ED">
              <w:rPr>
                <w:szCs w:val="24"/>
                <w:lang w:eastAsia="en-US"/>
              </w:rPr>
              <w:t xml:space="preserve">– Forventet udvikling i efterspørgslen efter jernbanetransporttjenester </w:t>
            </w:r>
          </w:p>
          <w:p w14:paraId="795AB4AE" w14:textId="1FA61DF5" w:rsidR="00852770" w:rsidRDefault="008913ED" w:rsidP="00852770">
            <w:pPr>
              <w:spacing w:before="120" w:after="120" w:line="360" w:lineRule="auto"/>
              <w:rPr>
                <w:szCs w:val="24"/>
                <w:lang w:eastAsia="en-US"/>
              </w:rPr>
            </w:pPr>
            <w:r w:rsidRPr="008913ED">
              <w:rPr>
                <w:szCs w:val="24"/>
                <w:lang w:eastAsia="en-US"/>
              </w:rPr>
              <w:t xml:space="preserve">– Medlemsstaternes strategiske retningslinjer for kapacitetsudnyttelse, herunder en prognose for udviklingen af forpligtelserne til offentlig tjeneste </w:t>
            </w:r>
          </w:p>
          <w:p w14:paraId="4DC66B80" w14:textId="77777777" w:rsidR="00852770" w:rsidRDefault="008913ED" w:rsidP="00852770">
            <w:pPr>
              <w:spacing w:before="120" w:after="120" w:line="360" w:lineRule="auto"/>
              <w:rPr>
                <w:szCs w:val="24"/>
                <w:lang w:eastAsia="en-US"/>
              </w:rPr>
            </w:pPr>
            <w:r w:rsidRPr="008913ED">
              <w:rPr>
                <w:szCs w:val="24"/>
                <w:lang w:eastAsia="en-US"/>
              </w:rPr>
              <w:t xml:space="preserve">– Kapacitet, der er tildelt i henhold til rammeaftaler, og kapacitet, der er nødvendig for at levere transporttjenester i henhold til kontrakter om offentlig tjeneste </w:t>
            </w:r>
          </w:p>
          <w:p w14:paraId="1CA9C444" w14:textId="77777777" w:rsidR="00852770" w:rsidRDefault="008913ED" w:rsidP="00852770">
            <w:pPr>
              <w:spacing w:before="120" w:after="120" w:line="360" w:lineRule="auto"/>
              <w:rPr>
                <w:szCs w:val="24"/>
                <w:lang w:eastAsia="en-US"/>
              </w:rPr>
            </w:pPr>
            <w:r w:rsidRPr="008913ED">
              <w:rPr>
                <w:szCs w:val="24"/>
                <w:lang w:eastAsia="en-US"/>
              </w:rPr>
              <w:t xml:space="preserve">– Infrastruktur, der er erklæret for stærkt udnyttet eller overbelastet </w:t>
            </w:r>
          </w:p>
          <w:p w14:paraId="6A58490B" w14:textId="5016FB0B" w:rsidR="008913ED" w:rsidRPr="008913ED" w:rsidRDefault="008913ED" w:rsidP="00852770">
            <w:pPr>
              <w:spacing w:before="120" w:after="120" w:line="360" w:lineRule="auto"/>
              <w:rPr>
                <w:szCs w:val="24"/>
                <w:lang w:eastAsia="en-US"/>
              </w:rPr>
            </w:pPr>
            <w:r w:rsidRPr="008913ED">
              <w:rPr>
                <w:szCs w:val="24"/>
                <w:lang w:eastAsia="en-US"/>
              </w:rPr>
              <w:t>– Større kapacitetsrestriktioner som følge af infrastrukturarbejder.</w:t>
            </w:r>
          </w:p>
        </w:tc>
      </w:tr>
      <w:tr w:rsidR="008913ED" w:rsidRPr="008913ED" w14:paraId="052E91AA" w14:textId="77777777" w:rsidTr="00002801">
        <w:tc>
          <w:tcPr>
            <w:tcW w:w="0" w:type="auto"/>
          </w:tcPr>
          <w:p w14:paraId="3FB43B89" w14:textId="77777777" w:rsidR="008913ED" w:rsidRPr="008913ED" w:rsidRDefault="008913ED" w:rsidP="008913ED">
            <w:pPr>
              <w:spacing w:before="120" w:after="120" w:line="360" w:lineRule="auto"/>
              <w:rPr>
                <w:szCs w:val="24"/>
                <w:lang w:val="en-GB" w:eastAsia="en-US"/>
              </w:rPr>
            </w:pPr>
            <w:r w:rsidRPr="008913ED">
              <w:rPr>
                <w:szCs w:val="24"/>
                <w:lang w:val="en-GB" w:eastAsia="en-US"/>
              </w:rPr>
              <w:t>Kapacitetsmodel (artikel 17)</w:t>
            </w:r>
          </w:p>
        </w:tc>
        <w:tc>
          <w:tcPr>
            <w:tcW w:w="0" w:type="auto"/>
          </w:tcPr>
          <w:p w14:paraId="6F771DA0" w14:textId="77777777" w:rsidR="00852770" w:rsidRDefault="008913ED" w:rsidP="008913ED">
            <w:pPr>
              <w:spacing w:before="120" w:after="120" w:line="360" w:lineRule="auto"/>
              <w:rPr>
                <w:szCs w:val="24"/>
                <w:lang w:eastAsia="en-US"/>
              </w:rPr>
            </w:pPr>
            <w:r w:rsidRPr="008913ED">
              <w:rPr>
                <w:szCs w:val="24"/>
                <w:lang w:eastAsia="en-US"/>
              </w:rPr>
              <w:t xml:space="preserve">– Alle oplysninger i kapacitetsstrategien, eventuelt ajourførte og nærmere præciserede </w:t>
            </w:r>
          </w:p>
          <w:p w14:paraId="09A4C118" w14:textId="77777777" w:rsidR="00852770" w:rsidRDefault="008913ED" w:rsidP="008913ED">
            <w:pPr>
              <w:spacing w:before="120" w:after="120" w:line="360" w:lineRule="auto"/>
              <w:rPr>
                <w:b/>
                <w:i/>
                <w:szCs w:val="24"/>
                <w:lang w:eastAsia="en-US"/>
              </w:rPr>
            </w:pPr>
            <w:r w:rsidRPr="008913ED">
              <w:rPr>
                <w:szCs w:val="24"/>
                <w:lang w:eastAsia="en-US"/>
              </w:rPr>
              <w:t>– Kapacitetsmængde, der er til rådighed for ansøgere pr. markedssegment for jernbanetransport og/eller pr. tildelingsproces</w:t>
            </w:r>
            <w:r w:rsidRPr="008913ED">
              <w:rPr>
                <w:b/>
                <w:i/>
                <w:szCs w:val="24"/>
                <w:lang w:eastAsia="en-US"/>
              </w:rPr>
              <w:t xml:space="preserve">, herunder reserveret kapacitet med henblik på senere ansøgninger og kapacitet </w:t>
            </w:r>
            <w:r w:rsidRPr="008913ED">
              <w:rPr>
                <w:b/>
                <w:i/>
                <w:szCs w:val="24"/>
                <w:lang w:eastAsia="en-US"/>
              </w:rPr>
              <w:lastRenderedPageBreak/>
              <w:t>tildelt i henhold til rammeaftaler</w:t>
            </w:r>
          </w:p>
          <w:p w14:paraId="115C7B1A" w14:textId="77777777" w:rsidR="00852770" w:rsidRDefault="008913ED" w:rsidP="008913ED">
            <w:pPr>
              <w:spacing w:before="120" w:after="120" w:line="360" w:lineRule="auto"/>
              <w:rPr>
                <w:szCs w:val="24"/>
                <w:lang w:eastAsia="en-US"/>
              </w:rPr>
            </w:pPr>
            <w:r w:rsidRPr="008913ED">
              <w:rPr>
                <w:szCs w:val="24"/>
                <w:lang w:eastAsia="en-US"/>
              </w:rPr>
              <w:t xml:space="preserve">– Kapacitetsmængde, der kræves til infrastrukturarbejder, efter indvirkning på trafikken (kategorier) </w:t>
            </w:r>
          </w:p>
          <w:p w14:paraId="17B6B1EE" w14:textId="77777777" w:rsidR="00852770" w:rsidRDefault="008913ED" w:rsidP="008913ED">
            <w:pPr>
              <w:spacing w:before="120" w:after="120" w:line="360" w:lineRule="auto"/>
              <w:rPr>
                <w:szCs w:val="24"/>
                <w:lang w:eastAsia="en-US"/>
              </w:rPr>
            </w:pPr>
            <w:r w:rsidRPr="008913ED">
              <w:rPr>
                <w:szCs w:val="24"/>
                <w:lang w:eastAsia="en-US"/>
              </w:rPr>
              <w:t xml:space="preserve">– Geografisk anvendelsesområde: som minimum de strækninger, der indgår i TEN-T-hovednettet og det udvidede hovednet </w:t>
            </w:r>
          </w:p>
          <w:p w14:paraId="39C812AD" w14:textId="77777777" w:rsidR="00852770" w:rsidRDefault="008913ED" w:rsidP="008913ED">
            <w:pPr>
              <w:spacing w:before="120" w:after="120" w:line="360" w:lineRule="auto"/>
              <w:rPr>
                <w:szCs w:val="24"/>
                <w:lang w:eastAsia="en-US"/>
              </w:rPr>
            </w:pPr>
            <w:r w:rsidRPr="008913ED">
              <w:rPr>
                <w:szCs w:val="24"/>
                <w:lang w:eastAsia="en-US"/>
              </w:rPr>
              <w:t xml:space="preserve">– Geografiske detaljer: opdeling i relevante planlægningsafsnit, der afspejler infrastrukturens og efterspørgslens karakter </w:t>
            </w:r>
          </w:p>
          <w:p w14:paraId="3A6EA835" w14:textId="77777777" w:rsidR="00852770" w:rsidRDefault="008913ED" w:rsidP="008913ED">
            <w:pPr>
              <w:spacing w:before="120" w:after="120" w:line="360" w:lineRule="auto"/>
              <w:rPr>
                <w:szCs w:val="24"/>
                <w:lang w:eastAsia="en-US"/>
              </w:rPr>
            </w:pPr>
            <w:r w:rsidRPr="008913ED">
              <w:rPr>
                <w:szCs w:val="24"/>
                <w:lang w:eastAsia="en-US"/>
              </w:rPr>
              <w:t xml:space="preserve">– Tidsmæssigt anvendelsesområde: én køreplansperiode </w:t>
            </w:r>
          </w:p>
          <w:p w14:paraId="005CDA47" w14:textId="2759999C" w:rsidR="008913ED" w:rsidRPr="008913ED" w:rsidRDefault="008913ED" w:rsidP="00852770">
            <w:pPr>
              <w:spacing w:before="120" w:after="120" w:line="360" w:lineRule="auto"/>
              <w:rPr>
                <w:b/>
                <w:szCs w:val="24"/>
                <w:lang w:eastAsia="en-US"/>
              </w:rPr>
            </w:pPr>
            <w:r w:rsidRPr="008913ED">
              <w:rPr>
                <w:szCs w:val="24"/>
                <w:lang w:eastAsia="en-US"/>
              </w:rPr>
              <w:t>– Tidsmæssige detaljer: som minimum en årlig oversigt (kapacitetsrestriktioner) og en eller flere repræsentative dage (kapacitet til rådighed for ansøgninger)</w:t>
            </w:r>
          </w:p>
        </w:tc>
      </w:tr>
      <w:tr w:rsidR="008913ED" w:rsidRPr="008913ED" w14:paraId="1EBD45E3" w14:textId="77777777" w:rsidTr="00002801">
        <w:tc>
          <w:tcPr>
            <w:tcW w:w="0" w:type="auto"/>
          </w:tcPr>
          <w:p w14:paraId="6696DF41" w14:textId="77777777" w:rsidR="008913ED" w:rsidRPr="008913ED" w:rsidRDefault="008913ED" w:rsidP="008913ED">
            <w:pPr>
              <w:spacing w:before="120" w:after="120" w:line="360" w:lineRule="auto"/>
              <w:rPr>
                <w:szCs w:val="24"/>
                <w:lang w:val="en-GB" w:eastAsia="en-US"/>
              </w:rPr>
            </w:pPr>
            <w:r w:rsidRPr="008913ED">
              <w:rPr>
                <w:szCs w:val="24"/>
                <w:lang w:val="en-GB" w:eastAsia="en-US"/>
              </w:rPr>
              <w:lastRenderedPageBreak/>
              <w:t>Kapacitetsforsyningsplan (artikel 18)</w:t>
            </w:r>
          </w:p>
        </w:tc>
        <w:tc>
          <w:tcPr>
            <w:tcW w:w="0" w:type="auto"/>
          </w:tcPr>
          <w:p w14:paraId="6F9954B2" w14:textId="77777777" w:rsidR="00852770" w:rsidRDefault="008913ED" w:rsidP="008913ED">
            <w:pPr>
              <w:spacing w:before="120" w:after="120" w:line="360" w:lineRule="auto"/>
              <w:rPr>
                <w:szCs w:val="24"/>
                <w:lang w:eastAsia="en-US"/>
              </w:rPr>
            </w:pPr>
            <w:r w:rsidRPr="008913ED">
              <w:rPr>
                <w:szCs w:val="24"/>
                <w:lang w:eastAsia="en-US"/>
              </w:rPr>
              <w:t xml:space="preserve">– Alle oplysninger i kapacitetsmodellen, eventuelt ajourførte og nærmere præciserede </w:t>
            </w:r>
          </w:p>
          <w:p w14:paraId="569593B6" w14:textId="77777777" w:rsidR="00852770" w:rsidRDefault="008913ED" w:rsidP="008913ED">
            <w:pPr>
              <w:spacing w:before="120" w:after="120" w:line="360" w:lineRule="auto"/>
              <w:rPr>
                <w:szCs w:val="24"/>
                <w:lang w:eastAsia="en-US"/>
              </w:rPr>
            </w:pPr>
            <w:r w:rsidRPr="008913ED">
              <w:rPr>
                <w:szCs w:val="24"/>
                <w:lang w:eastAsia="en-US"/>
              </w:rPr>
              <w:t xml:space="preserve">– På forhånd planlagt kapacitet, der er til rådighed for ansøgninger, defineret som kapacitetsobjekter </w:t>
            </w:r>
          </w:p>
          <w:p w14:paraId="0752A8C5" w14:textId="77777777" w:rsidR="00852770" w:rsidRDefault="008913ED" w:rsidP="008913ED">
            <w:pPr>
              <w:spacing w:before="120" w:after="120" w:line="360" w:lineRule="auto"/>
              <w:rPr>
                <w:szCs w:val="24"/>
                <w:lang w:eastAsia="en-US"/>
              </w:rPr>
            </w:pPr>
            <w:r w:rsidRPr="008913ED">
              <w:rPr>
                <w:szCs w:val="24"/>
                <w:lang w:eastAsia="en-US"/>
              </w:rPr>
              <w:t xml:space="preserve">– Kapacitetsrestriktioner defineret som kapacitetsobjekter </w:t>
            </w:r>
          </w:p>
          <w:p w14:paraId="5AF17E5E" w14:textId="77777777" w:rsidR="00852770" w:rsidRDefault="008913ED" w:rsidP="008913ED">
            <w:pPr>
              <w:spacing w:before="120" w:after="120" w:line="360" w:lineRule="auto"/>
              <w:rPr>
                <w:szCs w:val="24"/>
                <w:lang w:eastAsia="en-US"/>
              </w:rPr>
            </w:pPr>
            <w:r w:rsidRPr="008913ED">
              <w:rPr>
                <w:szCs w:val="24"/>
                <w:lang w:eastAsia="en-US"/>
              </w:rPr>
              <w:t xml:space="preserve">– Alternativ kapacitet, der er til rådighed under kapacitetsrestriktioner </w:t>
            </w:r>
          </w:p>
          <w:p w14:paraId="44FFA72D" w14:textId="09213B6D" w:rsidR="008913ED" w:rsidRPr="008913ED" w:rsidRDefault="008913ED" w:rsidP="008913ED">
            <w:pPr>
              <w:spacing w:before="120" w:after="120" w:line="360" w:lineRule="auto"/>
              <w:rPr>
                <w:szCs w:val="24"/>
                <w:lang w:eastAsia="en-US"/>
              </w:rPr>
            </w:pPr>
            <w:r w:rsidRPr="008913ED">
              <w:rPr>
                <w:szCs w:val="24"/>
                <w:lang w:eastAsia="en-US"/>
              </w:rPr>
              <w:t>– Alternativ kapacitet, der er til rådighed i tilfælde af netforstyrrelser</w:t>
            </w:r>
          </w:p>
        </w:tc>
      </w:tr>
    </w:tbl>
    <w:p w14:paraId="2D0C8FDE" w14:textId="07708614" w:rsidR="00216C2C" w:rsidRDefault="00852770" w:rsidP="008913ED">
      <w:pPr>
        <w:spacing w:before="120" w:after="120" w:line="360" w:lineRule="auto"/>
        <w:ind w:left="850" w:hanging="850"/>
        <w:rPr>
          <w:szCs w:val="24"/>
          <w:lang w:eastAsia="en-US"/>
        </w:rPr>
      </w:pPr>
      <w:r w:rsidRPr="008913ED">
        <w:rPr>
          <w:b/>
          <w:szCs w:val="24"/>
          <w:lang w:eastAsia="en-US"/>
        </w:rPr>
        <w:t>[Ændring 254]</w:t>
      </w:r>
    </w:p>
    <w:p w14:paraId="252343DB" w14:textId="77777777" w:rsidR="00216C2C" w:rsidRDefault="00216C2C">
      <w:pPr>
        <w:widowControl/>
        <w:rPr>
          <w:szCs w:val="24"/>
          <w:lang w:eastAsia="en-US"/>
        </w:rPr>
      </w:pPr>
      <w:r>
        <w:rPr>
          <w:szCs w:val="24"/>
          <w:lang w:eastAsia="en-US"/>
        </w:rPr>
        <w:br w:type="page"/>
      </w:r>
    </w:p>
    <w:p w14:paraId="5E2ED574" w14:textId="55F7F949" w:rsidR="008913ED" w:rsidRPr="00140ADA" w:rsidRDefault="008913ED" w:rsidP="008913ED">
      <w:pPr>
        <w:spacing w:before="120" w:after="120" w:line="360" w:lineRule="auto"/>
        <w:ind w:left="850" w:hanging="850"/>
        <w:rPr>
          <w:smallCaps/>
          <w:szCs w:val="24"/>
          <w:lang w:eastAsia="en-US"/>
        </w:rPr>
      </w:pPr>
      <w:r w:rsidRPr="008913ED">
        <w:rPr>
          <w:szCs w:val="24"/>
          <w:lang w:eastAsia="en-US"/>
        </w:rPr>
        <w:lastRenderedPageBreak/>
        <w:t>2.</w:t>
      </w:r>
      <w:r w:rsidRPr="008913ED">
        <w:rPr>
          <w:szCs w:val="24"/>
          <w:lang w:eastAsia="en-US"/>
        </w:rPr>
        <w:tab/>
      </w:r>
      <w:r w:rsidRPr="00140ADA">
        <w:rPr>
          <w:smallCaps/>
          <w:szCs w:val="24"/>
          <w:lang w:eastAsia="en-US"/>
        </w:rPr>
        <w:t>Plan for strategisk kapacitetsforvaltning, jf. artikel 11, 16, 17 og 18</w:t>
      </w:r>
    </w:p>
    <w:p w14:paraId="45BFA1A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 forbindelse med tilvejebringelsen af resultaterne af den strategiske kapacitetsplanlægning for en bestemt køreplansperiode skal infrastrukturforvalterne overholde tidsplanen i dette afsnit.</w:t>
      </w:r>
    </w:p>
    <w:p w14:paraId="63A852D6" w14:textId="77777777" w:rsidR="008913ED" w:rsidRPr="008913ED" w:rsidRDefault="008913ED" w:rsidP="008913ED">
      <w:pPr>
        <w:spacing w:before="120" w:after="120" w:line="360" w:lineRule="auto"/>
        <w:rPr>
          <w:szCs w:val="24"/>
          <w:lang w:eastAsia="en-US"/>
        </w:rPr>
      </w:pPr>
      <w:r w:rsidRPr="008913ED">
        <w:rPr>
          <w:szCs w:val="24"/>
          <w:lang w:eastAsia="en-US"/>
        </w:rPr>
        <w:t>Infrastrukturforvalterne kan fastsætte tidligere frister. Disse frister harmoniseres på EU-plan og medtages i den europæiske ramme for kapacitetsforvaltning, jf. artikel 6.</w:t>
      </w:r>
    </w:p>
    <w:p w14:paraId="4B7EC22B" w14:textId="54EEF655" w:rsidR="008913ED" w:rsidRDefault="008913ED" w:rsidP="008913ED">
      <w:pPr>
        <w:spacing w:before="120" w:after="120" w:line="360" w:lineRule="auto"/>
        <w:rPr>
          <w:szCs w:val="24"/>
          <w:lang w:eastAsia="en-US"/>
        </w:rPr>
      </w:pPr>
      <w:r w:rsidRPr="008913ED">
        <w:rPr>
          <w:szCs w:val="24"/>
          <w:lang w:eastAsia="en-US"/>
        </w:rPr>
        <w:t>Høringen af interessenter gennemføres i overensstemmelse med artikel 54 og skal som minimum inddrage jernbanevirksomheder og andre ansøgere, operationelle interessenter og offentlige myndigheder. Infrastrukturforvalterne koordinerer løbende resultaterne som led i samordningen i overensstemmelse med artikel 53.</w:t>
      </w:r>
    </w:p>
    <w:p w14:paraId="6E6D098C" w14:textId="68142490" w:rsidR="00216C2C" w:rsidRDefault="00216C2C">
      <w:pPr>
        <w:widowControl/>
        <w:rPr>
          <w:szCs w:val="24"/>
          <w:lang w:eastAsia="en-US"/>
        </w:rPr>
      </w:pPr>
      <w:r>
        <w:rPr>
          <w:szCs w:val="24"/>
          <w:lang w:eastAsia="en-US"/>
        </w:rPr>
        <w:br w:type="page"/>
      </w:r>
    </w:p>
    <w:p w14:paraId="1A2C2EA6" w14:textId="43F8BB21" w:rsidR="005A6AB5" w:rsidRDefault="005A6AB5">
      <w:pPr>
        <w:widowControl/>
        <w:rPr>
          <w:szCs w:val="24"/>
          <w:lang w:eastAsia="en-US"/>
        </w:rPr>
      </w:pPr>
    </w:p>
    <w:tbl>
      <w:tblPr>
        <w:tblW w:w="9369" w:type="dxa"/>
        <w:tblLayout w:type="fixed"/>
        <w:tblCellMar>
          <w:left w:w="0" w:type="dxa"/>
          <w:right w:w="0" w:type="dxa"/>
        </w:tblCellMar>
        <w:tblLook w:val="04A0" w:firstRow="1" w:lastRow="0" w:firstColumn="1" w:lastColumn="0" w:noHBand="0" w:noVBand="1"/>
      </w:tblPr>
      <w:tblGrid>
        <w:gridCol w:w="2368"/>
        <w:gridCol w:w="5724"/>
        <w:gridCol w:w="1277"/>
      </w:tblGrid>
      <w:tr w:rsidR="005A6AB5" w:rsidRPr="00083173" w14:paraId="4F8107D8"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C13ECE" w14:textId="77777777" w:rsidR="005A6AB5" w:rsidRPr="00083173" w:rsidRDefault="005A6AB5" w:rsidP="007F7758">
            <w:r w:rsidRPr="00083173">
              <w:t>Resultat</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9346C4" w14:textId="77777777" w:rsidR="005A6AB5" w:rsidRPr="00083173" w:rsidRDefault="005A6AB5" w:rsidP="007F7758">
            <w:r w:rsidRPr="00083173">
              <w:t>Milepæl</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0EB6A2" w14:textId="77777777" w:rsidR="005A6AB5" w:rsidRPr="00083173" w:rsidRDefault="005A6AB5" w:rsidP="007F7758">
            <w:r w:rsidRPr="00083173">
              <w:t>Frist</w:t>
            </w:r>
            <w:r w:rsidRPr="00083173">
              <w:br/>
              <w:t>(senest)</w:t>
            </w:r>
          </w:p>
        </w:tc>
      </w:tr>
      <w:tr w:rsidR="005A6AB5" w:rsidRPr="00083173" w14:paraId="41D92A33"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16BCA4" w14:textId="77777777" w:rsidR="005A6AB5" w:rsidRPr="00083173" w:rsidRDefault="005A6AB5" w:rsidP="007F7758">
            <w:r w:rsidRPr="00083173">
              <w:t>Kapacitetsstrategi (artikel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4FB885" w14:textId="7395F6F4" w:rsidR="005A6AB5" w:rsidRPr="00083173" w:rsidRDefault="005B201F" w:rsidP="007F7758">
            <w:r w:rsidRPr="00780DEE">
              <w:rPr>
                <w:strike/>
              </w:rPr>
              <w:t>Offentliggørelse af de første elementer i kapacitetsstrategien</w:t>
            </w:r>
            <w:r w:rsidR="005A6AB5" w:rsidRPr="00083173">
              <w:rPr>
                <w:b/>
                <w:i/>
              </w:rPr>
              <w:t xml:space="preserve">Fasen for udarbejdelse af kapacitetsstrategi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669118" w14:textId="77777777" w:rsidR="005A6AB5" w:rsidRPr="00083173" w:rsidRDefault="005A6AB5" w:rsidP="007F7758">
            <w:r w:rsidRPr="00083173">
              <w:t>X–60</w:t>
            </w:r>
          </w:p>
        </w:tc>
      </w:tr>
      <w:tr w:rsidR="005A6AB5" w:rsidRPr="00083173" w14:paraId="0CE111D8"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34B042"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5AA3A0" w14:textId="77777777" w:rsidR="005A6AB5" w:rsidRPr="00083173" w:rsidRDefault="005A6AB5" w:rsidP="007F7758">
            <w:pPr>
              <w:rPr>
                <w:szCs w:val="24"/>
              </w:rPr>
            </w:pPr>
            <w:r w:rsidRPr="00083173">
              <w:t>Første høring af interessenter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440E30" w14:textId="77777777" w:rsidR="005A6AB5" w:rsidRPr="00083173" w:rsidRDefault="005A6AB5" w:rsidP="007F7758">
            <w:r w:rsidRPr="00083173">
              <w:t>X–58</w:t>
            </w:r>
          </w:p>
        </w:tc>
      </w:tr>
      <w:tr w:rsidR="005A6AB5" w:rsidRPr="00083173" w14:paraId="5776BCA6"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764D1B"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78E325" w14:textId="77777777" w:rsidR="005A6AB5" w:rsidRPr="00083173" w:rsidRDefault="005A6AB5" w:rsidP="007F7758">
            <w:pPr>
              <w:rPr>
                <w:szCs w:val="24"/>
              </w:rPr>
            </w:pPr>
            <w:r w:rsidRPr="00083173">
              <w:t>Offentliggørelse af udkastet til strategi og anden høring af interessenter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AED038" w14:textId="67168EC2" w:rsidR="005A6AB5" w:rsidRPr="00083173" w:rsidRDefault="005A6AB5" w:rsidP="00C46C66">
            <w:pPr>
              <w:rPr>
                <w:b/>
                <w:i/>
              </w:rPr>
            </w:pPr>
            <w:r w:rsidRPr="00083173">
              <w:rPr>
                <w:b/>
                <w:i/>
              </w:rPr>
              <w:t>X–</w:t>
            </w:r>
            <w:r w:rsidR="00C46C66" w:rsidRPr="009E51A9">
              <w:rPr>
                <w:strike/>
              </w:rPr>
              <w:t>38</w:t>
            </w:r>
            <w:r w:rsidRPr="00083173">
              <w:rPr>
                <w:b/>
                <w:i/>
              </w:rPr>
              <w:t>48</w:t>
            </w:r>
          </w:p>
        </w:tc>
      </w:tr>
      <w:tr w:rsidR="005A6AB5" w:rsidRPr="00083173" w14:paraId="0BA2BB3B"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301103" w14:textId="77777777" w:rsidR="005A6AB5" w:rsidRPr="00083173" w:rsidRDefault="005A6AB5" w:rsidP="007F7758">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09585D" w14:textId="77777777" w:rsidR="005A6AB5" w:rsidRPr="00083173" w:rsidRDefault="005A6AB5" w:rsidP="007F7758">
            <w:pPr>
              <w:rPr>
                <w:szCs w:val="24"/>
              </w:rPr>
            </w:pPr>
            <w:r w:rsidRPr="00083173">
              <w:t>Offentliggørelse af endelig kapacitetsstrategi efter endelig samordning mellem infrastrukturforvalterne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8FAB12" w14:textId="77777777" w:rsidR="005A6AB5" w:rsidRPr="00083173" w:rsidRDefault="005A6AB5" w:rsidP="007F7758">
            <w:r w:rsidRPr="00083173">
              <w:t>X–36</w:t>
            </w:r>
          </w:p>
        </w:tc>
      </w:tr>
      <w:tr w:rsidR="005A6AB5" w:rsidRPr="00083173" w14:paraId="068AA6D1"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CF56EAB"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A384B6" w14:textId="77777777" w:rsidR="005A6AB5" w:rsidRPr="00083173" w:rsidRDefault="005A6AB5" w:rsidP="007F7758">
            <w:pPr>
              <w:rPr>
                <w:b/>
                <w:i/>
              </w:rPr>
            </w:pPr>
            <w:r w:rsidRPr="00083173">
              <w:rPr>
                <w:b/>
                <w:i/>
              </w:rPr>
              <w:t>Offentliggørelse af kapacitetsmodel</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273E38" w14:textId="77777777" w:rsidR="005A6AB5" w:rsidRPr="00083173" w:rsidRDefault="005A6AB5" w:rsidP="007F7758">
            <w:pPr>
              <w:rPr>
                <w:b/>
                <w:i/>
              </w:rPr>
            </w:pPr>
            <w:r w:rsidRPr="00083173">
              <w:rPr>
                <w:b/>
                <w:i/>
              </w:rPr>
              <w:t>X-18</w:t>
            </w:r>
          </w:p>
        </w:tc>
      </w:tr>
      <w:tr w:rsidR="005A6AB5" w:rsidRPr="00083173" w14:paraId="2BA3996D"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2E4372"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DE23A3" w14:textId="77777777" w:rsidR="005A6AB5" w:rsidRPr="00083173" w:rsidRDefault="005A6AB5" w:rsidP="007F7758">
            <w:pPr>
              <w:rPr>
                <w:b/>
                <w:i/>
              </w:rPr>
            </w:pPr>
            <w:r w:rsidRPr="00083173">
              <w:rPr>
                <w:b/>
                <w:i/>
              </w:rPr>
              <w:t>Offentliggørelse af endelig kapacitetsforsyningsplan efter høring af infrastrukturforvaltere og 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09F909" w14:textId="739723EA" w:rsidR="005A6AB5" w:rsidRPr="00083173" w:rsidRDefault="005A6AB5" w:rsidP="00C46C66">
            <w:pPr>
              <w:rPr>
                <w:b/>
                <w:i/>
              </w:rPr>
            </w:pPr>
            <w:r w:rsidRPr="00083173">
              <w:rPr>
                <w:b/>
                <w:i/>
              </w:rPr>
              <w:t>X-11</w:t>
            </w:r>
          </w:p>
        </w:tc>
      </w:tr>
      <w:tr w:rsidR="005A6AB5" w:rsidRPr="00083173" w14:paraId="640FED43"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41A531" w14:textId="77777777" w:rsidR="005A6AB5" w:rsidRPr="00083173" w:rsidRDefault="005A6AB5" w:rsidP="007F7758">
            <w:r w:rsidRPr="00083173">
              <w:t>Kapacitetsmodel</w:t>
            </w:r>
          </w:p>
          <w:p w14:paraId="776B2449" w14:textId="77777777" w:rsidR="005A6AB5" w:rsidRPr="00083173" w:rsidRDefault="005A6AB5" w:rsidP="007F7758">
            <w:r w:rsidRPr="00083173">
              <w:t>(artikel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5BFC67" w14:textId="77777777" w:rsidR="005A6AB5" w:rsidRPr="00083173" w:rsidRDefault="005A6AB5" w:rsidP="007F7758">
            <w:r w:rsidRPr="00083173">
              <w:t>Påbegyndelse af forberedelse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EEED3C" w14:textId="77777777" w:rsidR="005A6AB5" w:rsidRPr="00083173" w:rsidRDefault="005A6AB5" w:rsidP="007F7758">
            <w:r w:rsidRPr="00083173">
              <w:t>X–36</w:t>
            </w:r>
          </w:p>
        </w:tc>
      </w:tr>
      <w:tr w:rsidR="005A6AB5" w:rsidRPr="00083173" w14:paraId="3EC37D2B"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0E14B5"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3D36C7" w14:textId="77777777" w:rsidR="005A6AB5" w:rsidRPr="00083173" w:rsidRDefault="005A6AB5" w:rsidP="007F7758">
            <w:pPr>
              <w:rPr>
                <w:szCs w:val="24"/>
              </w:rPr>
            </w:pPr>
            <w:r w:rsidRPr="00083173">
              <w:t>Høring af ansøgere og operationelle interessenter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6B2DA9" w14:textId="77777777" w:rsidR="005A6AB5" w:rsidRPr="00083173" w:rsidRDefault="005A6AB5" w:rsidP="007F7758">
            <w:r w:rsidRPr="00083173">
              <w:t>X–24</w:t>
            </w:r>
          </w:p>
        </w:tc>
      </w:tr>
      <w:tr w:rsidR="005A6AB5" w:rsidRPr="00083173" w14:paraId="5DD68A1A"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A5B89E"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A86D67" w14:textId="77777777" w:rsidR="005A6AB5" w:rsidRPr="00083173" w:rsidRDefault="005A6AB5" w:rsidP="007F7758">
            <w:pPr>
              <w:rPr>
                <w:b/>
                <w:i/>
              </w:rPr>
            </w:pPr>
            <w:r w:rsidRPr="00083173">
              <w:rPr>
                <w:b/>
                <w:i/>
              </w:rPr>
              <w:t>Koordinering mellem infrastrukturforvaltere og operationelle deltagere og gennemførlighedsvurderinger af fremsatte kapacitetsbehov, som der muligvis ikke vil blive taget fuldt hensyn til i udkastet til kapacitetsmodel</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79C063" w14:textId="77777777" w:rsidR="005A6AB5" w:rsidRPr="00083173" w:rsidRDefault="005A6AB5" w:rsidP="007F7758">
            <w:pPr>
              <w:rPr>
                <w:b/>
                <w:i/>
              </w:rPr>
            </w:pPr>
            <w:r w:rsidRPr="00083173">
              <w:rPr>
                <w:b/>
                <w:i/>
              </w:rPr>
              <w:t>X-22</w:t>
            </w:r>
          </w:p>
        </w:tc>
      </w:tr>
      <w:tr w:rsidR="005A6AB5" w:rsidRPr="00083173" w14:paraId="4AA8C278"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7CF61E" w14:textId="77777777" w:rsidR="005A6AB5" w:rsidRPr="00083173" w:rsidRDefault="005A6AB5" w:rsidP="007F7758">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FA9B3C" w14:textId="77777777" w:rsidR="005A6AB5" w:rsidRPr="00083173" w:rsidRDefault="005A6AB5" w:rsidP="007F7758">
            <w:pPr>
              <w:rPr>
                <w:b/>
                <w:i/>
                <w:szCs w:val="24"/>
              </w:rPr>
            </w:pPr>
            <w:r w:rsidRPr="00083173">
              <w:t xml:space="preserve">Offentliggørelse af udkast til kapacitetsmodel </w:t>
            </w:r>
            <w:r w:rsidRPr="00083173">
              <w:rPr>
                <w:b/>
                <w:bCs/>
                <w:i/>
                <w:iCs/>
              </w:rPr>
              <w:t>og påbegyndelse af anden høring af ansøgere og operationelle deltagere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2251CC" w14:textId="77777777" w:rsidR="005A6AB5" w:rsidRPr="00083173" w:rsidRDefault="005A6AB5" w:rsidP="007F7758">
            <w:r w:rsidRPr="00083173">
              <w:t>X–21</w:t>
            </w:r>
          </w:p>
        </w:tc>
      </w:tr>
      <w:tr w:rsidR="005A6AB5" w:rsidRPr="00083173" w14:paraId="1EDACF63"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395ABF"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5B3377" w14:textId="77777777" w:rsidR="005A6AB5" w:rsidRPr="00083173" w:rsidRDefault="005A6AB5" w:rsidP="007F7758">
            <w:pPr>
              <w:rPr>
                <w:szCs w:val="24"/>
              </w:rPr>
            </w:pPr>
            <w:r w:rsidRPr="00083173">
              <w:t>Samordning med ansøgere og operationelle interessenter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D25385" w14:textId="77777777" w:rsidR="005A6AB5" w:rsidRPr="00083173" w:rsidRDefault="005A6AB5" w:rsidP="007F7758">
            <w:r w:rsidRPr="00083173">
              <w:t>X–19</w:t>
            </w:r>
          </w:p>
        </w:tc>
      </w:tr>
      <w:tr w:rsidR="005A6AB5" w:rsidRPr="00083173" w14:paraId="25E5F1E7"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52DA09" w14:textId="77777777" w:rsidR="005A6AB5" w:rsidRPr="00083173" w:rsidRDefault="005A6AB5" w:rsidP="007F7758"/>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8379A4" w14:textId="77777777" w:rsidR="005A6AB5" w:rsidRPr="00083173" w:rsidRDefault="005A6AB5" w:rsidP="007F7758">
            <w:pPr>
              <w:rPr>
                <w:szCs w:val="24"/>
              </w:rPr>
            </w:pPr>
            <w:r w:rsidRPr="00083173">
              <w:t>Offentliggørelse af endelig kapacitetsmodel efter endelig samordning mellem infrastrukturforvalterne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DE516A" w14:textId="77777777" w:rsidR="005A6AB5" w:rsidRPr="00083173" w:rsidRDefault="005A6AB5" w:rsidP="007F7758">
            <w:r w:rsidRPr="00083173">
              <w:t>X–18</w:t>
            </w:r>
          </w:p>
        </w:tc>
      </w:tr>
      <w:tr w:rsidR="005A6AB5" w:rsidRPr="00083173" w14:paraId="5BEE2C18"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7DECB6" w14:textId="77777777" w:rsidR="005A6AB5" w:rsidRPr="00083173" w:rsidRDefault="005A6AB5" w:rsidP="007F7758">
            <w:r w:rsidRPr="00083173">
              <w:t>Kapacitetsforsyningsplan</w:t>
            </w:r>
          </w:p>
          <w:p w14:paraId="56EEB8AA" w14:textId="77777777" w:rsidR="005A6AB5" w:rsidRPr="00083173" w:rsidRDefault="005A6AB5" w:rsidP="007F7758">
            <w:r w:rsidRPr="00083173">
              <w:t>(artikel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2F3497" w14:textId="77777777" w:rsidR="005A6AB5" w:rsidRPr="00083173" w:rsidRDefault="005A6AB5" w:rsidP="007F7758">
            <w:r w:rsidRPr="00083173">
              <w:t>Påbegyndelse af forberedelse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015A32" w14:textId="77777777" w:rsidR="005A6AB5" w:rsidRPr="00083173" w:rsidRDefault="005A6AB5" w:rsidP="007F7758">
            <w:r w:rsidRPr="00083173">
              <w:t>X–18</w:t>
            </w:r>
          </w:p>
        </w:tc>
      </w:tr>
      <w:tr w:rsidR="005A6AB5" w:rsidRPr="00083173" w14:paraId="1AC849D1"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1E7F57" w14:textId="77777777" w:rsidR="005A6AB5" w:rsidRPr="00083173" w:rsidRDefault="005A6AB5" w:rsidP="007F7758">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0818A7" w14:textId="77777777" w:rsidR="005A6AB5" w:rsidRPr="00083173" w:rsidRDefault="005A6AB5" w:rsidP="007F7758">
            <w:pPr>
              <w:rPr>
                <w:szCs w:val="24"/>
              </w:rPr>
            </w:pPr>
            <w:r w:rsidRPr="00083173">
              <w:t>Høring af ansøgere og operationelle interessenter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A695AA" w14:textId="77777777" w:rsidR="005A6AB5" w:rsidRPr="00083173" w:rsidRDefault="005A6AB5" w:rsidP="007F7758">
            <w:r w:rsidRPr="00083173">
              <w:t>X–14</w:t>
            </w:r>
          </w:p>
        </w:tc>
      </w:tr>
      <w:tr w:rsidR="005A6AB5" w:rsidRPr="00083173" w14:paraId="13C4AEEA"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0C48D1A" w14:textId="77777777" w:rsidR="005A6AB5" w:rsidRPr="00083173" w:rsidRDefault="005A6AB5" w:rsidP="007F7758">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65DE6F" w14:textId="77777777" w:rsidR="005A6AB5" w:rsidRPr="00083173" w:rsidRDefault="005A6AB5" w:rsidP="007F7758">
            <w:pPr>
              <w:rPr>
                <w:b/>
                <w:i/>
              </w:rPr>
            </w:pPr>
            <w:r w:rsidRPr="00083173">
              <w:rPr>
                <w:b/>
                <w:i/>
              </w:rPr>
              <w:t>Tilsynsorganet analyserer udkastet til kapacitetsforsyningsplan og kan træffe en afgørelse, der pålægger infrastrukturforvalteren at ændre kapacitetsforsyningsplanen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1326CF" w14:textId="77777777" w:rsidR="005A6AB5" w:rsidRPr="00083173" w:rsidRDefault="005A6AB5" w:rsidP="007F7758">
            <w:pPr>
              <w:rPr>
                <w:b/>
                <w:i/>
              </w:rPr>
            </w:pPr>
            <w:r w:rsidRPr="00083173">
              <w:rPr>
                <w:b/>
                <w:i/>
              </w:rPr>
              <w:t>X-14 til X-13</w:t>
            </w:r>
          </w:p>
        </w:tc>
      </w:tr>
      <w:tr w:rsidR="005A6AB5" w:rsidRPr="00083173" w14:paraId="217F61D5"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770711" w14:textId="77777777" w:rsidR="005A6AB5" w:rsidRPr="00083173" w:rsidRDefault="005A6AB5" w:rsidP="007F7758">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5722FF" w14:textId="77777777" w:rsidR="005A6AB5" w:rsidRPr="00083173" w:rsidRDefault="005A6AB5" w:rsidP="007F7758">
            <w:pPr>
              <w:rPr>
                <w:szCs w:val="24"/>
              </w:rPr>
            </w:pPr>
            <w:r w:rsidRPr="00083173">
              <w:t>Offentliggørelse af kapacitetsrestriktionerne i punkt 1 i afsnit 3 i dette bilag</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E64204" w14:textId="77777777" w:rsidR="005A6AB5" w:rsidRPr="00083173" w:rsidRDefault="005A6AB5" w:rsidP="007F7758">
            <w:r w:rsidRPr="00083173">
              <w:t>X–12</w:t>
            </w:r>
          </w:p>
        </w:tc>
      </w:tr>
      <w:tr w:rsidR="005A6AB5" w:rsidRPr="00083173" w14:paraId="1F14FE79"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D8DBB5" w14:textId="77777777" w:rsidR="005A6AB5" w:rsidRPr="00083173" w:rsidRDefault="005A6AB5" w:rsidP="007F7758">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71727D" w14:textId="77777777" w:rsidR="005A6AB5" w:rsidRPr="00083173" w:rsidRDefault="005A6AB5" w:rsidP="007F7758">
            <w:pPr>
              <w:rPr>
                <w:szCs w:val="24"/>
              </w:rPr>
            </w:pPr>
            <w:r w:rsidRPr="00083173">
              <w:t>Offentliggørelse af endelig kapacitetsforsyningsplan efter endelig samordning mellem infrastrukturforvalterne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42070B" w14:textId="77777777" w:rsidR="005A6AB5" w:rsidRPr="00083173" w:rsidRDefault="005A6AB5" w:rsidP="007F7758">
            <w:r w:rsidRPr="00083173">
              <w:t>X–11</w:t>
            </w:r>
          </w:p>
        </w:tc>
      </w:tr>
      <w:tr w:rsidR="005A6AB5" w:rsidRPr="00083173" w14:paraId="07F3719A"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3733AC2" w14:textId="77777777" w:rsidR="005A6AB5" w:rsidRPr="00083173" w:rsidRDefault="005A6AB5" w:rsidP="007F7758">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A1CCEF" w14:textId="77777777" w:rsidR="005A6AB5" w:rsidRPr="00083173" w:rsidRDefault="005A6AB5" w:rsidP="007F7758">
            <w:pPr>
              <w:rPr>
                <w:b/>
                <w:i/>
              </w:rPr>
            </w:pPr>
            <w:r w:rsidRPr="00083173">
              <w:rPr>
                <w:b/>
                <w:i/>
              </w:rPr>
              <w:t>Ajourføring af kapacitetsforsyningsplanen med henblik på senere ansøgninger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3FF053" w14:textId="77777777" w:rsidR="005A6AB5" w:rsidRPr="00083173" w:rsidRDefault="005A6AB5" w:rsidP="007F7758">
            <w:pPr>
              <w:rPr>
                <w:b/>
                <w:i/>
              </w:rPr>
            </w:pPr>
            <w:r w:rsidRPr="00083173">
              <w:rPr>
                <w:b/>
                <w:i/>
              </w:rPr>
              <w:t>X-6,5</w:t>
            </w:r>
          </w:p>
        </w:tc>
      </w:tr>
      <w:tr w:rsidR="005A6AB5" w:rsidRPr="00083173" w14:paraId="3C91DFBD"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59E56F" w14:textId="77777777" w:rsidR="005A6AB5" w:rsidRPr="00083173" w:rsidRDefault="005A6AB5" w:rsidP="007F7758">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C3878D" w14:textId="77777777" w:rsidR="005A6AB5" w:rsidRPr="00083173" w:rsidRDefault="005A6AB5" w:rsidP="007F7758">
            <w:pPr>
              <w:rPr>
                <w:szCs w:val="24"/>
              </w:rPr>
            </w:pPr>
            <w:r w:rsidRPr="00083173">
              <w:t>Offentliggørelse af kapacitetsrestriktionerne i punkt 5 i afsnit 3 i dette bilag</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33F6DA" w14:textId="77777777" w:rsidR="005A6AB5" w:rsidRPr="00083173" w:rsidRDefault="005A6AB5" w:rsidP="007F7758">
            <w:r w:rsidRPr="00083173">
              <w:t>X–4</w:t>
            </w:r>
          </w:p>
        </w:tc>
      </w:tr>
      <w:tr w:rsidR="005A6AB5" w:rsidRPr="00083173" w14:paraId="5FC243CF"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4127A2" w14:textId="77777777" w:rsidR="005A6AB5" w:rsidRPr="00083173" w:rsidRDefault="005A6AB5" w:rsidP="007F7758">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9A40C1" w14:textId="77777777" w:rsidR="005A6AB5" w:rsidRPr="00083173" w:rsidRDefault="005A6AB5" w:rsidP="007F7758">
            <w:pPr>
              <w:rPr>
                <w:szCs w:val="24"/>
              </w:rPr>
            </w:pPr>
            <w:r w:rsidRPr="00083173">
              <w:t>Omlægning af den kapacitet, der er reserveret til tildeling gennem køreplanen for andre tildelingsprocesser</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B2E9DA" w14:textId="77777777" w:rsidR="005A6AB5" w:rsidRPr="00083173" w:rsidRDefault="005A6AB5" w:rsidP="007F7758">
            <w:r w:rsidRPr="00083173">
              <w:t>X–2</w:t>
            </w:r>
          </w:p>
        </w:tc>
      </w:tr>
      <w:tr w:rsidR="005A6AB5" w:rsidRPr="00083173" w14:paraId="75CFF62E" w14:textId="77777777" w:rsidTr="007F7758">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B04087" w14:textId="77777777" w:rsidR="005A6AB5" w:rsidRPr="00083173" w:rsidRDefault="005A6AB5" w:rsidP="007F7758">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A85D34" w14:textId="77777777" w:rsidR="005A6AB5" w:rsidRPr="00083173" w:rsidRDefault="005A6AB5" w:rsidP="007F7758">
            <w:pPr>
              <w:rPr>
                <w:szCs w:val="24"/>
              </w:rPr>
            </w:pPr>
            <w:r w:rsidRPr="00083173">
              <w:t xml:space="preserve">Ajourføring af kapacitetsforsyningsplanen for at afspejle enhver ændring af på forhånd planlagt eller tildelt </w:t>
            </w:r>
            <w:r w:rsidRPr="00083173">
              <w:lastRenderedPageBreak/>
              <w:t>kapacitet</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0C456B" w14:textId="77777777" w:rsidR="005A6AB5" w:rsidRPr="00083173" w:rsidRDefault="005A6AB5" w:rsidP="007F7758">
            <w:r w:rsidRPr="00083173">
              <w:lastRenderedPageBreak/>
              <w:t xml:space="preserve">Indtil X+12 </w:t>
            </w:r>
            <w:r w:rsidRPr="00083173">
              <w:lastRenderedPageBreak/>
              <w:t>straks</w:t>
            </w:r>
          </w:p>
        </w:tc>
      </w:tr>
      <w:tr w:rsidR="005A6AB5" w:rsidRPr="00083173" w14:paraId="6D7E64B7" w14:textId="77777777" w:rsidTr="007F7758">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243A85" w14:textId="77777777" w:rsidR="005A6AB5" w:rsidRPr="00083173" w:rsidRDefault="005A6AB5" w:rsidP="007F7758">
            <w:pPr>
              <w:rPr>
                <w:szCs w:val="24"/>
              </w:rPr>
            </w:pPr>
            <w:r w:rsidRPr="00083173">
              <w:lastRenderedPageBreak/>
              <w:t>Bemærk:</w:t>
            </w:r>
          </w:p>
          <w:p w14:paraId="76E5EB3C" w14:textId="77777777" w:rsidR="005A6AB5" w:rsidRPr="00083173" w:rsidRDefault="005A6AB5" w:rsidP="007F7758">
            <w:r w:rsidRPr="00083173">
              <w:t>1) "X-m": "m" måneder, før køreplanen ("X") træder i kraft, i overensstemmelse med afsnit 4.</w:t>
            </w:r>
          </w:p>
        </w:tc>
      </w:tr>
    </w:tbl>
    <w:p w14:paraId="755E523B" w14:textId="77777777" w:rsidR="00C46C66" w:rsidRDefault="00C46C66">
      <w:pPr>
        <w:widowControl/>
        <w:rPr>
          <w:b/>
          <w:szCs w:val="24"/>
          <w:lang w:eastAsia="en-US"/>
        </w:rPr>
      </w:pPr>
    </w:p>
    <w:p w14:paraId="382FAB3E" w14:textId="7C160F85" w:rsidR="005A6AB5" w:rsidRPr="00C46C66" w:rsidRDefault="00C46C66">
      <w:pPr>
        <w:widowControl/>
        <w:rPr>
          <w:b/>
          <w:szCs w:val="24"/>
          <w:lang w:eastAsia="en-US"/>
        </w:rPr>
      </w:pPr>
      <w:r>
        <w:rPr>
          <w:b/>
          <w:szCs w:val="24"/>
          <w:lang w:eastAsia="en-US"/>
        </w:rPr>
        <w:t>[Ændring 255]</w:t>
      </w:r>
    </w:p>
    <w:p w14:paraId="0BFDE4A7" w14:textId="77777777" w:rsidR="005A6AB5" w:rsidRDefault="005A6AB5">
      <w:pPr>
        <w:widowControl/>
        <w:rPr>
          <w:szCs w:val="24"/>
          <w:lang w:eastAsia="en-US"/>
        </w:rPr>
      </w:pPr>
    </w:p>
    <w:p w14:paraId="676D1927" w14:textId="260FCD8D" w:rsidR="00C46C66" w:rsidRDefault="00C46C66">
      <w:pPr>
        <w:widowControl/>
        <w:rPr>
          <w:szCs w:val="24"/>
          <w:lang w:eastAsia="en-US"/>
        </w:rPr>
      </w:pPr>
      <w:r>
        <w:rPr>
          <w:szCs w:val="24"/>
          <w:lang w:eastAsia="en-US"/>
        </w:rPr>
        <w:br w:type="page"/>
      </w:r>
    </w:p>
    <w:p w14:paraId="474D6B98" w14:textId="77777777" w:rsidR="00216C2C" w:rsidRDefault="00216C2C">
      <w:pPr>
        <w:widowControl/>
        <w:rPr>
          <w:szCs w:val="24"/>
          <w:lang w:eastAsia="en-US"/>
        </w:rPr>
      </w:pPr>
    </w:p>
    <w:p w14:paraId="6D0E78E9" w14:textId="480E4B57"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Uanset punkt 1 gælder følgende forenklede og forkortede plan for resultatet "Kapacitetsstrategi" for de køreplansperioder, der begynder i december 2029 og december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47"/>
        <w:gridCol w:w="5265"/>
        <w:gridCol w:w="1048"/>
      </w:tblGrid>
      <w:tr w:rsidR="008913ED" w:rsidRPr="008913ED" w14:paraId="6F997B42" w14:textId="77777777" w:rsidTr="00002801">
        <w:trPr>
          <w:tblHeader/>
        </w:trPr>
        <w:tc>
          <w:tcPr>
            <w:tcW w:w="0" w:type="auto"/>
            <w:vMerge w:val="restart"/>
          </w:tcPr>
          <w:p w14:paraId="5F417489" w14:textId="77777777" w:rsidR="008913ED" w:rsidRPr="008913ED" w:rsidRDefault="008913ED" w:rsidP="008913ED">
            <w:pPr>
              <w:spacing w:before="120" w:after="120" w:line="360" w:lineRule="auto"/>
              <w:rPr>
                <w:szCs w:val="24"/>
                <w:lang w:val="en-GB" w:eastAsia="en-US"/>
              </w:rPr>
            </w:pPr>
            <w:r w:rsidRPr="008913ED">
              <w:rPr>
                <w:szCs w:val="24"/>
                <w:lang w:val="en-GB" w:eastAsia="en-US"/>
              </w:rPr>
              <w:t>Kapacitetsstrategi (artikel 16)</w:t>
            </w:r>
          </w:p>
        </w:tc>
        <w:tc>
          <w:tcPr>
            <w:tcW w:w="0" w:type="auto"/>
          </w:tcPr>
          <w:p w14:paraId="6D208934" w14:textId="77777777" w:rsidR="008913ED" w:rsidRPr="008913ED" w:rsidRDefault="008913ED" w:rsidP="008913ED">
            <w:pPr>
              <w:spacing w:before="120" w:after="120" w:line="360" w:lineRule="auto"/>
              <w:rPr>
                <w:szCs w:val="24"/>
                <w:lang w:eastAsia="en-US"/>
              </w:rPr>
            </w:pPr>
            <w:r w:rsidRPr="008913ED">
              <w:rPr>
                <w:szCs w:val="24"/>
                <w:lang w:eastAsia="en-US"/>
              </w:rPr>
              <w:t>Offentliggørelse af udkastet til strategi og høring af interessenter</w:t>
            </w:r>
          </w:p>
        </w:tc>
        <w:tc>
          <w:tcPr>
            <w:tcW w:w="0" w:type="auto"/>
          </w:tcPr>
          <w:p w14:paraId="143C7D24" w14:textId="77777777" w:rsidR="008913ED" w:rsidRPr="008913ED" w:rsidRDefault="008913ED" w:rsidP="008913ED">
            <w:pPr>
              <w:spacing w:before="120" w:after="120" w:line="360" w:lineRule="auto"/>
              <w:rPr>
                <w:szCs w:val="24"/>
                <w:lang w:val="en-GB" w:eastAsia="en-US"/>
              </w:rPr>
            </w:pPr>
            <w:r w:rsidRPr="008913ED">
              <w:rPr>
                <w:szCs w:val="24"/>
                <w:lang w:val="en-GB" w:eastAsia="en-US"/>
              </w:rPr>
              <w:t>X–38</w:t>
            </w:r>
          </w:p>
        </w:tc>
      </w:tr>
      <w:tr w:rsidR="008913ED" w:rsidRPr="008913ED" w14:paraId="78503E48" w14:textId="77777777" w:rsidTr="00002801">
        <w:trPr>
          <w:tblHeader/>
        </w:trPr>
        <w:tc>
          <w:tcPr>
            <w:tcW w:w="0" w:type="auto"/>
            <w:vMerge/>
          </w:tcPr>
          <w:p w14:paraId="6E1A811E" w14:textId="77777777" w:rsidR="008913ED" w:rsidRPr="008913ED" w:rsidRDefault="008913ED" w:rsidP="008913ED">
            <w:pPr>
              <w:spacing w:before="120" w:after="120" w:line="360" w:lineRule="auto"/>
              <w:rPr>
                <w:szCs w:val="24"/>
                <w:lang w:val="en-GB" w:eastAsia="en-US"/>
              </w:rPr>
            </w:pPr>
          </w:p>
        </w:tc>
        <w:tc>
          <w:tcPr>
            <w:tcW w:w="0" w:type="auto"/>
          </w:tcPr>
          <w:p w14:paraId="09D85CB4" w14:textId="77777777" w:rsidR="008913ED" w:rsidRPr="008913ED" w:rsidRDefault="008913ED" w:rsidP="008913ED">
            <w:pPr>
              <w:spacing w:before="120" w:after="120" w:line="360" w:lineRule="auto"/>
              <w:rPr>
                <w:szCs w:val="24"/>
                <w:lang w:eastAsia="en-US"/>
              </w:rPr>
            </w:pPr>
            <w:r w:rsidRPr="008913ED">
              <w:rPr>
                <w:szCs w:val="24"/>
                <w:lang w:eastAsia="en-US"/>
              </w:rPr>
              <w:t>Offentliggørelse af endelig kapacitetsstrategi efter endelig samordning mellem infrastrukturforvalterne</w:t>
            </w:r>
          </w:p>
        </w:tc>
        <w:tc>
          <w:tcPr>
            <w:tcW w:w="0" w:type="auto"/>
          </w:tcPr>
          <w:p w14:paraId="4C692228" w14:textId="77777777" w:rsidR="008913ED" w:rsidRPr="008913ED" w:rsidRDefault="008913ED" w:rsidP="008913ED">
            <w:pPr>
              <w:spacing w:before="120" w:after="120" w:line="360" w:lineRule="auto"/>
              <w:rPr>
                <w:szCs w:val="24"/>
                <w:lang w:val="en-GB" w:eastAsia="en-US"/>
              </w:rPr>
            </w:pPr>
            <w:r w:rsidRPr="008913ED">
              <w:rPr>
                <w:szCs w:val="24"/>
                <w:lang w:val="en-GB" w:eastAsia="en-US"/>
              </w:rPr>
              <w:t>X–36</w:t>
            </w:r>
          </w:p>
        </w:tc>
      </w:tr>
    </w:tbl>
    <w:p w14:paraId="1FE577F1" w14:textId="77777777" w:rsidR="00216C2C" w:rsidRDefault="00216C2C" w:rsidP="008913ED">
      <w:pPr>
        <w:spacing w:before="120" w:after="120" w:line="360" w:lineRule="auto"/>
        <w:ind w:left="850" w:hanging="850"/>
        <w:rPr>
          <w:szCs w:val="24"/>
          <w:lang w:eastAsia="en-US"/>
        </w:rPr>
      </w:pPr>
    </w:p>
    <w:p w14:paraId="7AA0FA02" w14:textId="77777777" w:rsidR="00216C2C" w:rsidRDefault="00216C2C">
      <w:pPr>
        <w:widowControl/>
        <w:rPr>
          <w:szCs w:val="24"/>
          <w:lang w:eastAsia="en-US"/>
        </w:rPr>
      </w:pPr>
      <w:r>
        <w:rPr>
          <w:szCs w:val="24"/>
          <w:lang w:eastAsia="en-US"/>
        </w:rPr>
        <w:br w:type="page"/>
      </w:r>
    </w:p>
    <w:p w14:paraId="3972439F" w14:textId="41371EAF" w:rsidR="008913ED" w:rsidRPr="00E25982" w:rsidRDefault="008913ED" w:rsidP="008913ED">
      <w:pPr>
        <w:spacing w:before="120" w:after="120" w:line="360" w:lineRule="auto"/>
        <w:ind w:left="850" w:hanging="850"/>
        <w:rPr>
          <w:smallCaps/>
          <w:szCs w:val="24"/>
          <w:lang w:eastAsia="en-US"/>
        </w:rPr>
      </w:pPr>
      <w:r w:rsidRPr="008913ED">
        <w:rPr>
          <w:szCs w:val="24"/>
          <w:lang w:eastAsia="en-US"/>
        </w:rPr>
        <w:lastRenderedPageBreak/>
        <w:t>3.</w:t>
      </w:r>
      <w:r w:rsidRPr="008913ED">
        <w:rPr>
          <w:szCs w:val="24"/>
          <w:lang w:eastAsia="en-US"/>
        </w:rPr>
        <w:tab/>
      </w:r>
      <w:r w:rsidRPr="00E25982">
        <w:rPr>
          <w:smallCaps/>
          <w:szCs w:val="24"/>
          <w:lang w:eastAsia="en-US"/>
        </w:rPr>
        <w:t>Plan for koordinering, høring og offentliggørelse af kapacitetsrestriktioner som følge af infrastrukturarbejder, jf. artikel 10 og 35</w:t>
      </w:r>
    </w:p>
    <w:p w14:paraId="6F990127"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1.</w:t>
      </w:r>
      <w:r w:rsidRPr="008913ED">
        <w:rPr>
          <w:szCs w:val="24"/>
          <w:lang w:eastAsia="en-US"/>
        </w:rPr>
        <w:tab/>
        <w:t>For så vidt angår midlertidige restriktioner af kapaciteten for jernbanelinjer, f.eks. på grund af infrastrukturarbejder, herunder tilhørende hastighedsbegrænsninger, akseltryk, toglængde, trækkraft eller fritrumsprofil ("kapacitetsrestriktioner"), af en varighed på mere end syv på hinanden følgende dage og i forbindelse med hvilke mere end 30 % af den anslåede trafikmængde på en jernbanelinje pr. dag annulleres, omdirigeres eller erstattes af andre transportformer, skal de berørte infrastrukturforvaltere offentliggøre alle kapacitetsrestriktioner</w:t>
      </w:r>
      <w:r w:rsidRPr="008913ED">
        <w:rPr>
          <w:b/>
          <w:i/>
          <w:szCs w:val="24"/>
          <w:lang w:eastAsia="en-US"/>
        </w:rPr>
        <w:t>, i det omfang de pågældende oplysninger foreligger,</w:t>
      </w:r>
      <w:r w:rsidRPr="008913ED">
        <w:rPr>
          <w:szCs w:val="24"/>
          <w:lang w:eastAsia="en-US"/>
        </w:rPr>
        <w:t xml:space="preserve"> og de foreløbige resultater af høringen af ansøgerne første gang mindst 24 måneder og anden gang, i en ajourført form, mindst 12 måneder før ændringen af den pågældende køreplan. Disse infrastrukturrestriktioner medtages i den kapacitetsforsyningsplan, der er omhandlet i artikel 18.</w:t>
      </w:r>
      <w:r w:rsidRPr="008913ED">
        <w:rPr>
          <w:b/>
          <w:szCs w:val="24"/>
          <w:lang w:eastAsia="en-US"/>
        </w:rPr>
        <w:t xml:space="preserve"> [Ændring 256]</w:t>
      </w:r>
    </w:p>
    <w:p w14:paraId="10A4F261" w14:textId="77777777" w:rsidR="00216C2C" w:rsidRDefault="00216C2C">
      <w:pPr>
        <w:widowControl/>
        <w:rPr>
          <w:szCs w:val="24"/>
          <w:lang w:eastAsia="en-US"/>
        </w:rPr>
      </w:pPr>
      <w:r>
        <w:rPr>
          <w:szCs w:val="24"/>
          <w:lang w:eastAsia="en-US"/>
        </w:rPr>
        <w:br w:type="page"/>
      </w:r>
    </w:p>
    <w:p w14:paraId="5BCE1F91" w14:textId="0CA42826"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Som led i samordningen mellem infrastrukturforvalterne i overensstemmelse med artikel 53 drøfter de enheder, der er udpeget i nævnte artikels stk. 5, også sammen de pågældende kapacitetsrestriktioner, hvis kapacitetsrestriktionerne ikke kun påvirker ét netværk, med interesserede ansøgere og de vigtigste berørte operatører af servicefaciliteter, når de er offentliggjort for første gang.</w:t>
      </w:r>
    </w:p>
    <w:p w14:paraId="0D9DD4D2"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Infrastrukturforvalteren skal, når infrastrukturforvalteren første gang offentliggør kapacitetsrestriktioner i overensstemmelse med punkt 1, iværksætte en høring af ansøgerne og de vigtigste berørte operatører af servicefaciliteter om kapacitetsrestriktionerne. Hvis det mellem den første og den anden offentliggørelse af kapacitetsrestriktioner er nødvendigt med en samordning i overensstemmelse med punkt 4, skal de enheder, som er udpeget i overensstemmelse med artikel 53, stk. 5, høre ansøgerne og de vigtigste berørte operatører af servicefaciliteter endnu en gang i perioden mellem afslutningen af denne samordning og den anden offentliggørelse af kapacitetsrestriktionen.</w:t>
      </w:r>
    </w:p>
    <w:p w14:paraId="65ED22F8" w14:textId="77777777" w:rsidR="00216C2C" w:rsidRDefault="00216C2C">
      <w:pPr>
        <w:widowControl/>
        <w:rPr>
          <w:szCs w:val="24"/>
          <w:lang w:eastAsia="en-US"/>
        </w:rPr>
      </w:pPr>
      <w:r>
        <w:rPr>
          <w:szCs w:val="24"/>
          <w:lang w:eastAsia="en-US"/>
        </w:rPr>
        <w:br w:type="page"/>
      </w:r>
    </w:p>
    <w:p w14:paraId="7AFA3947" w14:textId="22F32C09"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4.</w:t>
      </w:r>
      <w:r w:rsidRPr="008913ED">
        <w:rPr>
          <w:szCs w:val="24"/>
          <w:lang w:eastAsia="en-US"/>
        </w:rPr>
        <w:tab/>
        <w:t>Inden kapacitetsrestriktioner offentliggøres i overensstemmelse med punkt 1, og hvis kapacitetsrestriktionerne ikke kun påvirker et enkelt net, skal de enheder, som er udpeget i overensstemmelse med artikel 53, stk. 5, herunder infrastrukturforvaltere, der vil kunne blive berørt af omdirigering af tog, indbyrdes samordne kapacitetsrestriktioner, som vil kunne indebære en annullering, en omlægning af en kanal eller erstatning med andre transportformer.</w:t>
      </w:r>
    </w:p>
    <w:p w14:paraId="6C745373" w14:textId="77777777" w:rsidR="008913ED" w:rsidRPr="008913ED" w:rsidRDefault="008913ED" w:rsidP="00216C2C">
      <w:pPr>
        <w:spacing w:before="120" w:after="120" w:line="360" w:lineRule="auto"/>
        <w:ind w:left="850"/>
        <w:rPr>
          <w:szCs w:val="24"/>
          <w:lang w:eastAsia="en-US"/>
        </w:rPr>
      </w:pPr>
      <w:r w:rsidRPr="008913ED">
        <w:rPr>
          <w:szCs w:val="24"/>
          <w:lang w:eastAsia="en-US"/>
        </w:rPr>
        <w:t>Samordningen inden anden offentliggørelse skal afsluttes:</w:t>
      </w:r>
    </w:p>
    <w:p w14:paraId="45B249F4" w14:textId="0BF3442D" w:rsidR="008913ED" w:rsidRPr="008913ED" w:rsidRDefault="008913ED" w:rsidP="00216C2C">
      <w:pPr>
        <w:spacing w:before="120" w:after="120" w:line="360" w:lineRule="auto"/>
        <w:ind w:left="1700" w:hanging="850"/>
        <w:rPr>
          <w:szCs w:val="24"/>
          <w:lang w:eastAsia="en-US"/>
        </w:rPr>
      </w:pPr>
      <w:r w:rsidRPr="008913ED">
        <w:rPr>
          <w:szCs w:val="24"/>
          <w:lang w:eastAsia="en-US"/>
        </w:rPr>
        <w:t>a)</w:t>
      </w:r>
      <w:r w:rsidRPr="008913ED">
        <w:rPr>
          <w:szCs w:val="24"/>
          <w:lang w:eastAsia="en-US"/>
        </w:rPr>
        <w:tab/>
        <w:t>senest 18 måneder før ændringen af køreplanen, hvis mere end 50 % af den anslåede trafikmængde på en jernbanelinje pr. dag annulleres, omdirigeres eller erstattes af andre transportformer i en periode på mere end 30 på hinanden følgende dage</w:t>
      </w:r>
    </w:p>
    <w:p w14:paraId="63CBF420" w14:textId="0E8B1963" w:rsidR="008913ED" w:rsidRPr="008913ED" w:rsidRDefault="008913ED" w:rsidP="00216C2C">
      <w:pPr>
        <w:spacing w:before="120" w:after="120" w:line="360" w:lineRule="auto"/>
        <w:ind w:left="1700" w:hanging="850"/>
        <w:rPr>
          <w:szCs w:val="24"/>
          <w:lang w:eastAsia="en-US"/>
        </w:rPr>
      </w:pPr>
      <w:r w:rsidRPr="008913ED">
        <w:rPr>
          <w:szCs w:val="24"/>
          <w:lang w:eastAsia="en-US"/>
        </w:rPr>
        <w:t>b)</w:t>
      </w:r>
      <w:r w:rsidRPr="008913ED">
        <w:rPr>
          <w:szCs w:val="24"/>
          <w:lang w:eastAsia="en-US"/>
        </w:rPr>
        <w:tab/>
        <w:t>senest 13 måneder og 15 dage før ændringen af køreplansperioden, hvis mere end 30 % af den anslåede trafikmængde på en jernbanelinje pr. dag annulleres, omdirigeres eller erstattes af andre transportformer i en periode på mere end syv på hinanden følgende dage</w:t>
      </w:r>
    </w:p>
    <w:p w14:paraId="622B3392" w14:textId="77777777" w:rsidR="00216C2C" w:rsidRDefault="00216C2C">
      <w:pPr>
        <w:widowControl/>
        <w:rPr>
          <w:szCs w:val="24"/>
          <w:lang w:eastAsia="en-US"/>
        </w:rPr>
      </w:pPr>
      <w:r>
        <w:rPr>
          <w:szCs w:val="24"/>
          <w:lang w:eastAsia="en-US"/>
        </w:rPr>
        <w:br w:type="page"/>
      </w:r>
    </w:p>
    <w:p w14:paraId="22614B57" w14:textId="0959B6CC" w:rsidR="008913ED" w:rsidRPr="008913ED" w:rsidRDefault="008913ED" w:rsidP="00216C2C">
      <w:pPr>
        <w:spacing w:before="120" w:after="120" w:line="360" w:lineRule="auto"/>
        <w:ind w:left="1700" w:hanging="850"/>
        <w:rPr>
          <w:szCs w:val="24"/>
          <w:lang w:eastAsia="en-US"/>
        </w:rPr>
      </w:pPr>
      <w:r w:rsidRPr="008913ED">
        <w:rPr>
          <w:szCs w:val="24"/>
          <w:lang w:eastAsia="en-US"/>
        </w:rPr>
        <w:lastRenderedPageBreak/>
        <w:t>c)</w:t>
      </w:r>
      <w:r w:rsidRPr="008913ED">
        <w:rPr>
          <w:szCs w:val="24"/>
          <w:lang w:eastAsia="en-US"/>
        </w:rPr>
        <w:tab/>
        <w:t>senest 13 måneder og 15 dage før ændringen af køreplansperioden, hvis mere end 50 % af den anslåede trafikmængde på en jernbanelinje pr. dag annulleres, omdirigeres eller erstattes af andre transportformer i en periode på syv på hinanden følgende dage eller mindre.</w:t>
      </w:r>
    </w:p>
    <w:p w14:paraId="099408AC" w14:textId="77777777" w:rsidR="008913ED" w:rsidRPr="008913ED" w:rsidRDefault="008913ED" w:rsidP="00216C2C">
      <w:pPr>
        <w:spacing w:before="120" w:after="120" w:line="360" w:lineRule="auto"/>
        <w:ind w:left="850"/>
        <w:rPr>
          <w:szCs w:val="24"/>
          <w:lang w:eastAsia="en-US"/>
        </w:rPr>
      </w:pPr>
      <w:r w:rsidRPr="008913ED">
        <w:rPr>
          <w:szCs w:val="24"/>
          <w:lang w:eastAsia="en-US"/>
        </w:rPr>
        <w:t>De enheder, der varetager samordningen mellem infrastrukturforvalterne i overensstemmelse med artikel 53, stk. 5 skal, hvis det er nødvendigt, opfordre de ansøgere, der er aktive på de pågældende strækninger, og de vigtigste berørte operatører af servicefaciliteter til at deltage i denne samordning.</w:t>
      </w:r>
    </w:p>
    <w:p w14:paraId="24A3BEC8" w14:textId="77777777" w:rsidR="00216C2C" w:rsidRDefault="00216C2C">
      <w:pPr>
        <w:widowControl/>
        <w:rPr>
          <w:szCs w:val="24"/>
          <w:lang w:eastAsia="en-US"/>
        </w:rPr>
      </w:pPr>
      <w:r>
        <w:rPr>
          <w:szCs w:val="24"/>
          <w:lang w:eastAsia="en-US"/>
        </w:rPr>
        <w:br w:type="page"/>
      </w:r>
    </w:p>
    <w:p w14:paraId="0F1D6D94" w14:textId="2E66464D"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5.</w:t>
      </w:r>
      <w:r w:rsidRPr="008913ED">
        <w:rPr>
          <w:szCs w:val="24"/>
          <w:lang w:eastAsia="en-US"/>
        </w:rPr>
        <w:tab/>
        <w:t>For så vidt angår kapacitetsrestriktioner af en varighed på syv på hinanden følgende dage eller mindre, der ikke behøver at blive offentliggjort i overensstemmelse med punkt 1 og i forbindelse med hvilke mere end 10 % af den anslåede trafikmængde på en jernbanelinje pr. dag annulleres, omdirigeres eller erstattes af andre transportformer, og som opstår under den efterfølgende køreplansperiode, og som infrastrukturforvalteren får kendskab til senest 6 måneder og 15 dage før ændringen af køreplanen, skal infrastrukturforvalteren høre de berørte ansøgere om de påtænkte kapacitetsrestriktioner og oplyse om de ajourførte kapacitetsrestriktioner mindst fire måneder før ændringen af køreplanen. Infrastrukturforvalteren skal forelægge nærmere oplysninger om de tilbudte kanaler for passagertog senest fire måneder og for godstog senest en måned før begyndelsen af kapacitetsrestriktionen, medmindre infrastrukturforvalteren og de berørte ansøgere er indforstået med en kortere periode.</w:t>
      </w:r>
    </w:p>
    <w:p w14:paraId="3CADC8F5" w14:textId="77777777" w:rsidR="00216C2C" w:rsidRDefault="00216C2C">
      <w:pPr>
        <w:widowControl/>
        <w:rPr>
          <w:szCs w:val="24"/>
          <w:lang w:eastAsia="en-US"/>
        </w:rPr>
      </w:pPr>
      <w:r>
        <w:rPr>
          <w:szCs w:val="24"/>
          <w:lang w:eastAsia="en-US"/>
        </w:rPr>
        <w:br w:type="page"/>
      </w:r>
    </w:p>
    <w:p w14:paraId="770177FE" w14:textId="38DACB15"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6.</w:t>
      </w:r>
      <w:r w:rsidRPr="008913ED">
        <w:rPr>
          <w:szCs w:val="24"/>
          <w:lang w:eastAsia="en-US"/>
        </w:rPr>
        <w:tab/>
        <w:t>Infrastrukturforvalterne kan beslutte at anvende strengere tærskler for kapacitetsrestriktioner baseret på lavere procentdele af de anslåede trafikmængder eller kortere varigheder end anført i afsnit 3 i dette bilag eller at anvende andre kriterier foruden dem, der er anført i dette bilag, på grundlag af en høring af ansøgere og operatører af faciliteter. De offentliggør tærsklerne og kriterier for gruppering af kapacitetsrestriktioner i deres netvejledninger i henhold til punkt 3 i bilag IV til direktiv 2012/34/EU.</w:t>
      </w:r>
    </w:p>
    <w:p w14:paraId="0E653214" w14:textId="77777777" w:rsidR="008913ED" w:rsidRPr="008913ED" w:rsidRDefault="008913ED" w:rsidP="008913ED">
      <w:pPr>
        <w:spacing w:before="120" w:after="120" w:line="360" w:lineRule="auto"/>
        <w:ind w:left="850" w:hanging="850"/>
        <w:rPr>
          <w:b/>
          <w:szCs w:val="24"/>
          <w:lang w:eastAsia="en-US"/>
        </w:rPr>
      </w:pPr>
      <w:r w:rsidRPr="008913ED">
        <w:rPr>
          <w:szCs w:val="24"/>
          <w:lang w:eastAsia="en-US"/>
        </w:rPr>
        <w:t>7.</w:t>
      </w:r>
      <w:r w:rsidRPr="008913ED">
        <w:rPr>
          <w:szCs w:val="24"/>
          <w:lang w:eastAsia="en-US"/>
        </w:rPr>
        <w:tab/>
        <w:t xml:space="preserve">Med forbehold af artikel 40 kan infrastrukturforvalteren beslutte ikke at anvende de perioder, der er fastsat i punkt 1-5, hvis kapacitetsrestriktionen er nødvendig for at genetablere sikker togdrift, timingen af restriktionerne ligger uden for infrastrukturforvalterens kontrol, </w:t>
      </w:r>
      <w:r w:rsidRPr="008913ED">
        <w:rPr>
          <w:b/>
          <w:i/>
          <w:szCs w:val="24"/>
          <w:lang w:eastAsia="en-US"/>
        </w:rPr>
        <w:t xml:space="preserve">eller </w:t>
      </w:r>
      <w:r w:rsidRPr="008913ED">
        <w:rPr>
          <w:szCs w:val="24"/>
          <w:lang w:eastAsia="en-US"/>
        </w:rPr>
        <w:t>det vil være</w:t>
      </w:r>
      <w:r w:rsidRPr="008913ED">
        <w:rPr>
          <w:strike/>
          <w:szCs w:val="24"/>
          <w:lang w:eastAsia="en-US"/>
        </w:rPr>
        <w:t xml:space="preserve"> omkostningsineffektivt eller</w:t>
      </w:r>
      <w:r w:rsidRPr="008913ED">
        <w:rPr>
          <w:szCs w:val="24"/>
          <w:lang w:eastAsia="en-US"/>
        </w:rPr>
        <w:t xml:space="preserve"> til unødig skade, for så vidt angår aktivets levetid eller tilstand</w:t>
      </w:r>
      <w:r w:rsidRPr="008913ED">
        <w:rPr>
          <w:strike/>
          <w:szCs w:val="24"/>
          <w:lang w:eastAsia="en-US"/>
        </w:rPr>
        <w:t>, at anvende de pågældende perioder</w:t>
      </w:r>
      <w:r w:rsidRPr="008913ED">
        <w:rPr>
          <w:szCs w:val="24"/>
          <w:lang w:eastAsia="en-US"/>
        </w:rPr>
        <w:t>, eller hvis alle de berørte ansøgere er indforståede hermed. I disse tilfælde og i alle andre tilfælde af kapacitetsrestriktioner, der ikke er genstand for høring i overensstemmelse med andre bestemmelser i dette bilag, skal infrastrukturforvalteren straks høre ansøgerne og de vigtigste berørte operatører af servicefaciliteter.</w:t>
      </w:r>
      <w:r w:rsidRPr="008913ED">
        <w:rPr>
          <w:b/>
          <w:szCs w:val="24"/>
          <w:lang w:eastAsia="en-US"/>
        </w:rPr>
        <w:t xml:space="preserve"> [Ændring 257]</w:t>
      </w:r>
    </w:p>
    <w:p w14:paraId="01E799CA" w14:textId="77777777" w:rsidR="00216C2C" w:rsidRDefault="00216C2C">
      <w:pPr>
        <w:widowControl/>
        <w:rPr>
          <w:szCs w:val="24"/>
          <w:lang w:eastAsia="en-US"/>
        </w:rPr>
      </w:pPr>
      <w:r>
        <w:rPr>
          <w:szCs w:val="24"/>
          <w:lang w:eastAsia="en-US"/>
        </w:rPr>
        <w:br w:type="page"/>
      </w:r>
    </w:p>
    <w:p w14:paraId="5B3EE4D5" w14:textId="72034128"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8.</w:t>
      </w:r>
      <w:r w:rsidRPr="008913ED">
        <w:rPr>
          <w:szCs w:val="24"/>
          <w:lang w:eastAsia="en-US"/>
        </w:rPr>
        <w:tab/>
        <w:t>De oplysninger, der skal gives af infrastrukturforvalteren, når denne handler i overensstemmelse med punkt 1, 5 eller 7, skal omfatte:</w:t>
      </w:r>
    </w:p>
    <w:p w14:paraId="16DDA8BB" w14:textId="51C65CB1"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den planlagte dato</w:t>
      </w:r>
    </w:p>
    <w:p w14:paraId="509ED03F" w14:textId="41DECF10"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tidspunktet på dagen og, så snart det kan fastsættes, tidspunktet for begyndelsen og slutningen af kapacitetsrestriktionen</w:t>
      </w:r>
    </w:p>
    <w:p w14:paraId="77A7D135" w14:textId="1BBA6DB5"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det strækningsafsnit, der påvirkes af restriktionen</w:t>
      </w:r>
    </w:p>
    <w:p w14:paraId="7C11D3AA" w14:textId="5A0F8AE0"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hvis det er relevant, kapaciteten på alternative strækninger.</w:t>
      </w:r>
    </w:p>
    <w:p w14:paraId="52F212DF" w14:textId="77777777" w:rsidR="008913ED" w:rsidRPr="008913ED" w:rsidRDefault="008913ED" w:rsidP="0057742A">
      <w:pPr>
        <w:spacing w:before="120" w:after="120" w:line="360" w:lineRule="auto"/>
        <w:ind w:left="850"/>
        <w:rPr>
          <w:szCs w:val="24"/>
          <w:lang w:eastAsia="en-US"/>
        </w:rPr>
      </w:pPr>
      <w:r w:rsidRPr="008913ED">
        <w:rPr>
          <w:szCs w:val="24"/>
          <w:lang w:eastAsia="en-US"/>
        </w:rPr>
        <w:t>Infrastrukturforvalteren offentliggør disse oplysninger eller et link, hvor de kan findes, i sin netvejledning som omhandlet i punkt 3 i bilag IV til direktiv 2012/34/EU. Infrastrukturforvalteren skal holde disse oplysninger ajourført. Infrastrukturforvalterne skal desuden offentliggøre disse oplysninger i digitalt format i overensstemmelse med artikel 9 og 62.</w:t>
      </w:r>
    </w:p>
    <w:p w14:paraId="7CC7BE32" w14:textId="77777777" w:rsidR="00216C2C" w:rsidRDefault="00216C2C">
      <w:pPr>
        <w:widowControl/>
        <w:rPr>
          <w:szCs w:val="24"/>
          <w:lang w:eastAsia="en-US"/>
        </w:rPr>
      </w:pPr>
      <w:r>
        <w:rPr>
          <w:szCs w:val="24"/>
          <w:lang w:eastAsia="en-US"/>
        </w:rPr>
        <w:br w:type="page"/>
      </w:r>
    </w:p>
    <w:p w14:paraId="2BCAE76E" w14:textId="2D039068"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9.</w:t>
      </w:r>
      <w:r w:rsidRPr="008913ED">
        <w:rPr>
          <w:szCs w:val="24"/>
          <w:lang w:eastAsia="en-US"/>
        </w:rPr>
        <w:tab/>
        <w:t>For så vidt angår kapacitetsrestriktioner, der varer mindst 30 på hinanden følgende dage og påvirker mere end 50 % af den anslåede trafikmængde på en jernbanelinje, skal infrastrukturforvalteren efter anmodning fra ansøgerne under den første høringsrunde forsyne disse med en sammenligning af de forhold, der kan forventes i forbindelse med mindst to alternativer for kapacitetsrestriktioner. Infrastrukturforvalteren skal udarbejde disse alternativer på grundlag af input fra ansøgerne på tidspunktet for deres anmodninger og sammen med dem.</w:t>
      </w:r>
    </w:p>
    <w:p w14:paraId="221D2873" w14:textId="77777777" w:rsidR="008913ED" w:rsidRPr="008913ED" w:rsidRDefault="008913ED" w:rsidP="00E25982">
      <w:pPr>
        <w:spacing w:before="120" w:after="120" w:line="360" w:lineRule="auto"/>
        <w:ind w:left="850"/>
        <w:rPr>
          <w:szCs w:val="24"/>
          <w:lang w:eastAsia="en-US"/>
        </w:rPr>
      </w:pPr>
      <w:r w:rsidRPr="008913ED">
        <w:rPr>
          <w:szCs w:val="24"/>
          <w:lang w:eastAsia="en-US"/>
        </w:rPr>
        <w:t>Sammenligningen skal for hvert alternativ mindst omfatte:</w:t>
      </w:r>
    </w:p>
    <w:p w14:paraId="53A5942D" w14:textId="214F9037" w:rsidR="008913ED" w:rsidRPr="008913ED" w:rsidRDefault="008913ED" w:rsidP="00E25982">
      <w:pPr>
        <w:spacing w:before="120" w:after="120" w:line="360" w:lineRule="auto"/>
        <w:ind w:left="1700" w:hanging="850"/>
        <w:rPr>
          <w:szCs w:val="24"/>
          <w:lang w:eastAsia="en-US"/>
        </w:rPr>
      </w:pPr>
      <w:r w:rsidRPr="008913ED">
        <w:rPr>
          <w:szCs w:val="24"/>
          <w:lang w:eastAsia="en-US"/>
        </w:rPr>
        <w:t>a)</w:t>
      </w:r>
      <w:r w:rsidRPr="008913ED">
        <w:rPr>
          <w:szCs w:val="24"/>
          <w:lang w:eastAsia="en-US"/>
        </w:rPr>
        <w:tab/>
        <w:t>varigheden af kapacitetsrestriktionen</w:t>
      </w:r>
    </w:p>
    <w:p w14:paraId="1232585E" w14:textId="045C437C" w:rsidR="008913ED" w:rsidRPr="008913ED" w:rsidRDefault="008913ED" w:rsidP="00E25982">
      <w:pPr>
        <w:spacing w:before="120" w:after="120" w:line="360" w:lineRule="auto"/>
        <w:ind w:left="1700" w:hanging="850"/>
        <w:rPr>
          <w:szCs w:val="24"/>
          <w:lang w:eastAsia="en-US"/>
        </w:rPr>
      </w:pPr>
      <w:r w:rsidRPr="008913ED">
        <w:rPr>
          <w:szCs w:val="24"/>
          <w:lang w:eastAsia="en-US"/>
        </w:rPr>
        <w:t>b)</w:t>
      </w:r>
      <w:r w:rsidRPr="008913ED">
        <w:rPr>
          <w:szCs w:val="24"/>
          <w:lang w:eastAsia="en-US"/>
        </w:rPr>
        <w:tab/>
        <w:t>de anslåede vejledende infrastrukturafgifter</w:t>
      </w:r>
    </w:p>
    <w:p w14:paraId="3074D5B5" w14:textId="629593AF" w:rsidR="008913ED" w:rsidRPr="008913ED" w:rsidRDefault="008913ED" w:rsidP="00E25982">
      <w:pPr>
        <w:spacing w:before="120" w:after="120" w:line="360" w:lineRule="auto"/>
        <w:ind w:left="1700" w:hanging="850"/>
        <w:rPr>
          <w:szCs w:val="24"/>
          <w:lang w:eastAsia="en-US"/>
        </w:rPr>
      </w:pPr>
      <w:r w:rsidRPr="008913ED">
        <w:rPr>
          <w:szCs w:val="24"/>
          <w:lang w:eastAsia="en-US"/>
        </w:rPr>
        <w:t>c)</w:t>
      </w:r>
      <w:r w:rsidRPr="008913ED">
        <w:rPr>
          <w:szCs w:val="24"/>
          <w:lang w:eastAsia="en-US"/>
        </w:rPr>
        <w:tab/>
        <w:t>kapaciteten på alternative strækninger</w:t>
      </w:r>
    </w:p>
    <w:p w14:paraId="0D374624" w14:textId="1F4F7DCA" w:rsidR="008913ED" w:rsidRPr="008913ED" w:rsidRDefault="008913ED" w:rsidP="00E25982">
      <w:pPr>
        <w:spacing w:before="120" w:after="120" w:line="360" w:lineRule="auto"/>
        <w:ind w:left="1700" w:hanging="850"/>
        <w:rPr>
          <w:szCs w:val="24"/>
          <w:lang w:eastAsia="en-US"/>
        </w:rPr>
      </w:pPr>
      <w:r w:rsidRPr="008913ED">
        <w:rPr>
          <w:szCs w:val="24"/>
          <w:lang w:eastAsia="en-US"/>
        </w:rPr>
        <w:t>d)</w:t>
      </w:r>
      <w:r w:rsidRPr="008913ED">
        <w:rPr>
          <w:szCs w:val="24"/>
          <w:lang w:eastAsia="en-US"/>
        </w:rPr>
        <w:tab/>
        <w:t>disponible alternative ruter</w:t>
      </w:r>
    </w:p>
    <w:p w14:paraId="1C8A8E33" w14:textId="4799605C" w:rsidR="008913ED" w:rsidRPr="008913ED" w:rsidRDefault="008913ED" w:rsidP="00E25982">
      <w:pPr>
        <w:spacing w:before="120" w:after="120" w:line="360" w:lineRule="auto"/>
        <w:ind w:left="1700" w:hanging="850"/>
        <w:rPr>
          <w:szCs w:val="24"/>
          <w:lang w:eastAsia="en-US"/>
        </w:rPr>
      </w:pPr>
      <w:r w:rsidRPr="008913ED">
        <w:rPr>
          <w:szCs w:val="24"/>
          <w:lang w:eastAsia="en-US"/>
        </w:rPr>
        <w:t>e)</w:t>
      </w:r>
      <w:r w:rsidRPr="008913ED">
        <w:rPr>
          <w:szCs w:val="24"/>
          <w:lang w:eastAsia="en-US"/>
        </w:rPr>
        <w:tab/>
        <w:t>vejledende rejsetider.</w:t>
      </w:r>
    </w:p>
    <w:p w14:paraId="2DFC003D" w14:textId="77777777" w:rsidR="00216C2C" w:rsidRDefault="00216C2C">
      <w:pPr>
        <w:widowControl/>
        <w:rPr>
          <w:szCs w:val="24"/>
          <w:lang w:eastAsia="en-US"/>
        </w:rPr>
      </w:pPr>
      <w:r>
        <w:rPr>
          <w:szCs w:val="24"/>
          <w:lang w:eastAsia="en-US"/>
        </w:rPr>
        <w:br w:type="page"/>
      </w:r>
    </w:p>
    <w:p w14:paraId="0A7DFA12" w14:textId="15D881E6" w:rsidR="008913ED" w:rsidRPr="008913ED" w:rsidRDefault="008913ED" w:rsidP="00E25982">
      <w:pPr>
        <w:spacing w:before="120" w:after="120" w:line="360" w:lineRule="auto"/>
        <w:ind w:left="850"/>
        <w:rPr>
          <w:szCs w:val="24"/>
          <w:lang w:eastAsia="en-US"/>
        </w:rPr>
      </w:pPr>
      <w:r w:rsidRPr="008913ED">
        <w:rPr>
          <w:szCs w:val="24"/>
          <w:lang w:eastAsia="en-US"/>
        </w:rPr>
        <w:lastRenderedPageBreak/>
        <w:t>Før der vælges mellem alternativer for kapacitetsrestriktioner, skal infrastrukturforvalteren høre de berørte ansøgere og tage hensyn til de forskellige alternativers følger for de pågældende ansøgere og for brugerne af tjenesterne.</w:t>
      </w:r>
    </w:p>
    <w:p w14:paraId="1DEF3937" w14:textId="77777777" w:rsidR="008913ED" w:rsidRPr="008913ED" w:rsidRDefault="008913ED" w:rsidP="00E25982">
      <w:pPr>
        <w:spacing w:before="120" w:after="120" w:line="360" w:lineRule="auto"/>
        <w:ind w:left="850"/>
        <w:rPr>
          <w:szCs w:val="24"/>
          <w:lang w:eastAsia="en-US"/>
        </w:rPr>
      </w:pPr>
      <w:r w:rsidRPr="008913ED">
        <w:rPr>
          <w:szCs w:val="24"/>
          <w:lang w:eastAsia="en-US"/>
        </w:rPr>
        <w:t>Analysen af alternativ kapacitet i tilfælde af restriktioner skal omfatte situationer, der involverer mere end én infrastrukturforvalter. I så fald samordner infrastrukturforvalterne planlægningen af den alternative kapacitet, der er til rådighed under kapacitetsrestriktionen, i overensstemmelse med artikel 53.</w:t>
      </w:r>
    </w:p>
    <w:p w14:paraId="7D72C10D"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10.</w:t>
      </w:r>
      <w:r w:rsidRPr="008913ED">
        <w:rPr>
          <w:szCs w:val="24"/>
          <w:lang w:eastAsia="en-US"/>
        </w:rPr>
        <w:tab/>
        <w:t>For så vidt angår kapacitetsrestriktioner af en varighed på mere end 30 på hinanden følgende dage og med indvirkning på mere end 50 % af den anslåede trafikmængde på en jernbanelinje, skal infrastrukturforvalteren fastlægge kriterier for, hvilke tog inden for hver type togtjenester der bør omdirigeres, under hensyntagen til ansøgerens kommercielle og driftsmæssige begrænsninger, medmindre de pågældende driftsmæssige begrænsninger skyldes ansøgerens ledelsesmæssige eller organisatoriske beslutninger, og uden at det berører målsætningen om infrastrukturforvalterens nedbringelse af omkostningerne i overensstemmelse med artikel 30, stk. 1, i direktiv 2012/34/EU. Infrastrukturforvalteren offentliggør disse kriterier i netvejledningen.</w:t>
      </w:r>
    </w:p>
    <w:p w14:paraId="5C01BE86" w14:textId="77777777" w:rsidR="00216C2C" w:rsidRDefault="00216C2C">
      <w:pPr>
        <w:widowControl/>
        <w:rPr>
          <w:szCs w:val="24"/>
          <w:lang w:eastAsia="en-US"/>
        </w:rPr>
      </w:pPr>
      <w:r>
        <w:rPr>
          <w:szCs w:val="24"/>
          <w:lang w:eastAsia="en-US"/>
        </w:rPr>
        <w:br w:type="page"/>
      </w:r>
    </w:p>
    <w:p w14:paraId="36651A44" w14:textId="37A1FA07"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11.</w:t>
      </w:r>
      <w:r w:rsidRPr="008913ED">
        <w:rPr>
          <w:szCs w:val="24"/>
          <w:lang w:eastAsia="en-US"/>
        </w:rPr>
        <w:tab/>
        <w:t>ENIM offentliggør de oplysninger, der kræves i henhold til punkt 8, på sit websted.</w:t>
      </w:r>
    </w:p>
    <w:p w14:paraId="5FAD76F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12.</w:t>
      </w:r>
      <w:r w:rsidRPr="008913ED">
        <w:rPr>
          <w:szCs w:val="24"/>
          <w:lang w:eastAsia="en-US"/>
        </w:rPr>
        <w:tab/>
        <w:t>Kommissionen reviderer gennemførelsen af afsnit 3 i dette bilag indtil den 31. december 2024 og fremsætter om nødvendigt et lovgivningsforslag.</w:t>
      </w:r>
    </w:p>
    <w:p w14:paraId="1CBAFBB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r>
      <w:r w:rsidRPr="00E25982">
        <w:rPr>
          <w:smallCaps/>
          <w:szCs w:val="24"/>
          <w:lang w:eastAsia="en-US"/>
        </w:rPr>
        <w:t>Plan for kapacitetstildeling gennem den årlige tildelingsproces, jf. artikel 32 og 38</w:t>
      </w:r>
    </w:p>
    <w:p w14:paraId="4C58591A"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og ansøgerne skal overholde følgende plan:</w:t>
      </w:r>
    </w:p>
    <w:p w14:paraId="25FA96DB" w14:textId="77777777" w:rsidR="00216C2C" w:rsidRDefault="00216C2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978"/>
        <w:gridCol w:w="3082"/>
      </w:tblGrid>
      <w:tr w:rsidR="008913ED" w:rsidRPr="008913ED" w14:paraId="5C58FEAF" w14:textId="77777777" w:rsidTr="00002801">
        <w:trPr>
          <w:tblHeader/>
        </w:trPr>
        <w:tc>
          <w:tcPr>
            <w:tcW w:w="0" w:type="auto"/>
          </w:tcPr>
          <w:p w14:paraId="745F134F" w14:textId="49F70EAB" w:rsidR="008913ED" w:rsidRPr="008913ED" w:rsidRDefault="008913ED" w:rsidP="008913ED">
            <w:pPr>
              <w:spacing w:before="120" w:after="120" w:line="360" w:lineRule="auto"/>
              <w:rPr>
                <w:szCs w:val="24"/>
                <w:lang w:val="en-GB" w:eastAsia="en-US"/>
              </w:rPr>
            </w:pPr>
            <w:r w:rsidRPr="008913ED">
              <w:rPr>
                <w:szCs w:val="24"/>
                <w:lang w:val="en-GB" w:eastAsia="en-US"/>
              </w:rPr>
              <w:lastRenderedPageBreak/>
              <w:t>Milepæl eller tidsperiode</w:t>
            </w:r>
          </w:p>
        </w:tc>
        <w:tc>
          <w:tcPr>
            <w:tcW w:w="0" w:type="auto"/>
          </w:tcPr>
          <w:p w14:paraId="7E74A7DE" w14:textId="77777777" w:rsidR="008913ED" w:rsidRPr="008913ED" w:rsidRDefault="008913ED" w:rsidP="008913ED">
            <w:pPr>
              <w:spacing w:before="120" w:after="120" w:line="360" w:lineRule="auto"/>
              <w:rPr>
                <w:szCs w:val="24"/>
                <w:lang w:val="en-GB" w:eastAsia="en-US"/>
              </w:rPr>
            </w:pPr>
            <w:r w:rsidRPr="008913ED">
              <w:rPr>
                <w:szCs w:val="24"/>
                <w:lang w:val="en-GB" w:eastAsia="en-US"/>
              </w:rPr>
              <w:t>Frist eller varighed1)</w:t>
            </w:r>
          </w:p>
        </w:tc>
      </w:tr>
      <w:tr w:rsidR="008913ED" w:rsidRPr="008913ED" w14:paraId="0346ACE7" w14:textId="77777777" w:rsidTr="00002801">
        <w:tc>
          <w:tcPr>
            <w:tcW w:w="0" w:type="auto"/>
          </w:tcPr>
          <w:p w14:paraId="5D2F7656" w14:textId="77777777" w:rsidR="008913ED" w:rsidRPr="008913ED" w:rsidRDefault="008913ED" w:rsidP="008913ED">
            <w:pPr>
              <w:spacing w:before="120" w:after="120" w:line="360" w:lineRule="auto"/>
              <w:rPr>
                <w:szCs w:val="24"/>
                <w:lang w:val="en-GB" w:eastAsia="en-US"/>
              </w:rPr>
            </w:pPr>
            <w:r w:rsidRPr="008913ED">
              <w:rPr>
                <w:szCs w:val="24"/>
                <w:lang w:val="en-GB" w:eastAsia="en-US"/>
              </w:rPr>
              <w:t>Køreplanens gyldighedsperiode ("køreplansperiode")</w:t>
            </w:r>
          </w:p>
        </w:tc>
        <w:tc>
          <w:tcPr>
            <w:tcW w:w="0" w:type="auto"/>
          </w:tcPr>
          <w:p w14:paraId="00DB9744" w14:textId="77777777" w:rsidR="008913ED" w:rsidRPr="008913ED" w:rsidRDefault="008913ED" w:rsidP="008913ED">
            <w:pPr>
              <w:spacing w:before="120" w:after="120" w:line="360" w:lineRule="auto"/>
              <w:rPr>
                <w:szCs w:val="24"/>
                <w:lang w:val="en-GB" w:eastAsia="en-US"/>
              </w:rPr>
            </w:pPr>
            <w:r w:rsidRPr="008913ED">
              <w:rPr>
                <w:szCs w:val="24"/>
                <w:lang w:val="en-GB" w:eastAsia="en-US"/>
              </w:rPr>
              <w:t>Et år</w:t>
            </w:r>
          </w:p>
        </w:tc>
      </w:tr>
      <w:tr w:rsidR="008913ED" w:rsidRPr="008913ED" w14:paraId="43D19B35" w14:textId="77777777" w:rsidTr="00002801">
        <w:tc>
          <w:tcPr>
            <w:tcW w:w="0" w:type="auto"/>
          </w:tcPr>
          <w:p w14:paraId="4963B8F0" w14:textId="77777777" w:rsidR="008913ED" w:rsidRPr="008913ED" w:rsidRDefault="008913ED" w:rsidP="008913ED">
            <w:pPr>
              <w:spacing w:before="120" w:after="120" w:line="360" w:lineRule="auto"/>
              <w:rPr>
                <w:szCs w:val="24"/>
                <w:lang w:val="en-GB" w:eastAsia="en-US"/>
              </w:rPr>
            </w:pPr>
            <w:r w:rsidRPr="008913ED">
              <w:rPr>
                <w:szCs w:val="24"/>
                <w:lang w:val="en-GB" w:eastAsia="en-US"/>
              </w:rPr>
              <w:t>Køreplanens ikrafttræden</w:t>
            </w:r>
          </w:p>
        </w:tc>
        <w:tc>
          <w:tcPr>
            <w:tcW w:w="0" w:type="auto"/>
          </w:tcPr>
          <w:p w14:paraId="11BABC2C" w14:textId="77777777" w:rsidR="008913ED" w:rsidRPr="008913ED" w:rsidRDefault="008913ED" w:rsidP="008913ED">
            <w:pPr>
              <w:spacing w:before="120" w:after="120" w:line="360" w:lineRule="auto"/>
              <w:rPr>
                <w:szCs w:val="24"/>
                <w:lang w:eastAsia="en-US"/>
              </w:rPr>
            </w:pPr>
            <w:r w:rsidRPr="008913ED">
              <w:rPr>
                <w:szCs w:val="24"/>
                <w:lang w:eastAsia="en-US"/>
              </w:rPr>
              <w:t>Midnat den anden lørdag i december</w:t>
            </w:r>
          </w:p>
        </w:tc>
      </w:tr>
      <w:tr w:rsidR="008913ED" w:rsidRPr="008913ED" w14:paraId="6AC30B0A" w14:textId="77777777" w:rsidTr="00002801">
        <w:tc>
          <w:tcPr>
            <w:tcW w:w="0" w:type="auto"/>
          </w:tcPr>
          <w:p w14:paraId="5B3C1512" w14:textId="77777777" w:rsidR="008913ED" w:rsidRPr="008913ED" w:rsidRDefault="008913ED" w:rsidP="008913ED">
            <w:pPr>
              <w:spacing w:before="120" w:after="120" w:line="360" w:lineRule="auto"/>
              <w:rPr>
                <w:szCs w:val="24"/>
                <w:lang w:val="en-GB" w:eastAsia="en-US"/>
              </w:rPr>
            </w:pPr>
            <w:r w:rsidRPr="008913ED">
              <w:rPr>
                <w:szCs w:val="24"/>
                <w:lang w:val="en-GB" w:eastAsia="en-US"/>
              </w:rPr>
              <w:t>Offentliggørelse af kapacitetsforsyningsplan</w:t>
            </w:r>
          </w:p>
        </w:tc>
        <w:tc>
          <w:tcPr>
            <w:tcW w:w="0" w:type="auto"/>
          </w:tcPr>
          <w:p w14:paraId="2B01450F" w14:textId="77777777" w:rsidR="008913ED" w:rsidRPr="008913ED" w:rsidRDefault="008913ED" w:rsidP="008913ED">
            <w:pPr>
              <w:spacing w:before="120" w:after="120" w:line="360" w:lineRule="auto"/>
              <w:rPr>
                <w:szCs w:val="24"/>
                <w:lang w:eastAsia="en-US"/>
              </w:rPr>
            </w:pPr>
            <w:r w:rsidRPr="008913ED">
              <w:rPr>
                <w:szCs w:val="24"/>
                <w:lang w:eastAsia="en-US"/>
              </w:rPr>
              <w:t>I overensstemmelse med afsnit 2 i dette bilag</w:t>
            </w:r>
          </w:p>
        </w:tc>
      </w:tr>
      <w:tr w:rsidR="008913ED" w:rsidRPr="008913ED" w14:paraId="58B63A7E" w14:textId="77777777" w:rsidTr="00002801">
        <w:tc>
          <w:tcPr>
            <w:tcW w:w="0" w:type="auto"/>
          </w:tcPr>
          <w:p w14:paraId="578B807C" w14:textId="77777777" w:rsidR="008913ED" w:rsidRPr="008913ED" w:rsidRDefault="008913ED" w:rsidP="008913ED">
            <w:pPr>
              <w:spacing w:before="120" w:after="120" w:line="360" w:lineRule="auto"/>
              <w:rPr>
                <w:szCs w:val="24"/>
                <w:lang w:eastAsia="en-US"/>
              </w:rPr>
            </w:pPr>
            <w:r w:rsidRPr="008913ED">
              <w:rPr>
                <w:szCs w:val="24"/>
                <w:lang w:eastAsia="en-US"/>
              </w:rPr>
              <w:t>Offentliggørelse af kapacitetsrestriktioner som følge af infrastrukturarbejder</w:t>
            </w:r>
          </w:p>
        </w:tc>
        <w:tc>
          <w:tcPr>
            <w:tcW w:w="0" w:type="auto"/>
          </w:tcPr>
          <w:p w14:paraId="1DCCE692" w14:textId="77777777" w:rsidR="008913ED" w:rsidRPr="008913ED" w:rsidRDefault="008913ED" w:rsidP="008913ED">
            <w:pPr>
              <w:spacing w:before="120" w:after="120" w:line="360" w:lineRule="auto"/>
              <w:rPr>
                <w:szCs w:val="24"/>
                <w:lang w:eastAsia="en-US"/>
              </w:rPr>
            </w:pPr>
            <w:r w:rsidRPr="008913ED">
              <w:rPr>
                <w:szCs w:val="24"/>
                <w:lang w:eastAsia="en-US"/>
              </w:rPr>
              <w:t>I overensstemmelse med afsnit 2 og 3 i dette bilag.</w:t>
            </w:r>
          </w:p>
        </w:tc>
      </w:tr>
      <w:tr w:rsidR="008913ED" w:rsidRPr="008913ED" w14:paraId="1EE34911" w14:textId="77777777" w:rsidTr="00002801">
        <w:tc>
          <w:tcPr>
            <w:tcW w:w="0" w:type="auto"/>
          </w:tcPr>
          <w:p w14:paraId="61EECA3D" w14:textId="77777777" w:rsidR="008913ED" w:rsidRPr="008913ED" w:rsidRDefault="008913ED" w:rsidP="008913ED">
            <w:pPr>
              <w:spacing w:before="120" w:after="120" w:line="360" w:lineRule="auto"/>
              <w:rPr>
                <w:szCs w:val="24"/>
                <w:lang w:eastAsia="en-US"/>
              </w:rPr>
            </w:pPr>
            <w:r w:rsidRPr="008913ED">
              <w:rPr>
                <w:szCs w:val="24"/>
                <w:lang w:eastAsia="en-US"/>
              </w:rPr>
              <w:t>Frist for indgivelse af ansøgninger om kapacitetsrettigheder</w:t>
            </w:r>
          </w:p>
        </w:tc>
        <w:tc>
          <w:tcPr>
            <w:tcW w:w="0" w:type="auto"/>
          </w:tcPr>
          <w:p w14:paraId="20D17787" w14:textId="77777777" w:rsidR="008913ED" w:rsidRPr="008913ED" w:rsidRDefault="008913ED" w:rsidP="008913ED">
            <w:pPr>
              <w:spacing w:before="120" w:after="120" w:line="360" w:lineRule="auto"/>
              <w:rPr>
                <w:szCs w:val="24"/>
                <w:lang w:val="en-GB" w:eastAsia="en-US"/>
              </w:rPr>
            </w:pPr>
            <w:r w:rsidRPr="008913ED">
              <w:rPr>
                <w:szCs w:val="24"/>
                <w:lang w:val="en-GB" w:eastAsia="en-US"/>
              </w:rPr>
              <w:t>X–8.5</w:t>
            </w:r>
          </w:p>
        </w:tc>
      </w:tr>
      <w:tr w:rsidR="008913ED" w:rsidRPr="008913ED" w14:paraId="4A2BD890" w14:textId="77777777" w:rsidTr="00002801">
        <w:tc>
          <w:tcPr>
            <w:tcW w:w="0" w:type="auto"/>
          </w:tcPr>
          <w:p w14:paraId="1076CE8C" w14:textId="77777777" w:rsidR="008913ED" w:rsidRPr="008913ED" w:rsidRDefault="008913ED" w:rsidP="008913ED">
            <w:pPr>
              <w:spacing w:before="120" w:after="120" w:line="360" w:lineRule="auto"/>
              <w:rPr>
                <w:szCs w:val="24"/>
                <w:lang w:eastAsia="en-US"/>
              </w:rPr>
            </w:pPr>
            <w:r w:rsidRPr="008913ED">
              <w:rPr>
                <w:szCs w:val="24"/>
                <w:lang w:eastAsia="en-US"/>
              </w:rPr>
              <w:t>Udarbejdelse af udkast til køreplan Frist for infrastrukturforvalterens/infrastrukturforvalternes indsendelse af udkast til kapacitetstilbud til ansøgere</w:t>
            </w:r>
          </w:p>
        </w:tc>
        <w:tc>
          <w:tcPr>
            <w:tcW w:w="0" w:type="auto"/>
          </w:tcPr>
          <w:p w14:paraId="38DE7B45" w14:textId="77777777" w:rsidR="008913ED" w:rsidRPr="008913ED" w:rsidRDefault="008913ED" w:rsidP="008913ED">
            <w:pPr>
              <w:spacing w:before="120" w:after="120" w:line="360" w:lineRule="auto"/>
              <w:rPr>
                <w:szCs w:val="24"/>
                <w:lang w:val="en-GB" w:eastAsia="en-US"/>
              </w:rPr>
            </w:pPr>
            <w:r w:rsidRPr="008913ED">
              <w:rPr>
                <w:szCs w:val="24"/>
                <w:lang w:val="en-GB" w:eastAsia="en-US"/>
              </w:rPr>
              <w:t>X–6.5</w:t>
            </w:r>
          </w:p>
        </w:tc>
      </w:tr>
      <w:tr w:rsidR="008913ED" w:rsidRPr="008913ED" w14:paraId="38F72743" w14:textId="77777777" w:rsidTr="00002801">
        <w:tc>
          <w:tcPr>
            <w:tcW w:w="0" w:type="auto"/>
          </w:tcPr>
          <w:p w14:paraId="0F1FE5A1" w14:textId="1DD09E1F" w:rsidR="008913ED" w:rsidRPr="008913ED" w:rsidRDefault="008913ED" w:rsidP="00E25982">
            <w:pPr>
              <w:spacing w:before="120" w:after="120" w:line="360" w:lineRule="auto"/>
              <w:rPr>
                <w:b/>
                <w:szCs w:val="24"/>
                <w:lang w:eastAsia="en-US"/>
              </w:rPr>
            </w:pPr>
            <w:r w:rsidRPr="008913ED">
              <w:rPr>
                <w:szCs w:val="24"/>
                <w:lang w:eastAsia="en-US"/>
              </w:rPr>
              <w:t>Endelig samordning med ansøgere</w:t>
            </w:r>
            <w:r w:rsidRPr="008913ED">
              <w:rPr>
                <w:b/>
                <w:i/>
                <w:szCs w:val="24"/>
                <w:lang w:eastAsia="en-US"/>
              </w:rPr>
              <w:t>, idet det sikres, at alle forudsætninger er opfyldt inden denne afslutning af "høringsfasen" af to ugers varighed</w:t>
            </w:r>
          </w:p>
        </w:tc>
        <w:tc>
          <w:tcPr>
            <w:tcW w:w="0" w:type="auto"/>
          </w:tcPr>
          <w:p w14:paraId="55B918BE" w14:textId="77777777" w:rsidR="008913ED" w:rsidRPr="008913ED" w:rsidRDefault="008913ED" w:rsidP="008913ED">
            <w:pPr>
              <w:spacing w:before="120" w:after="120" w:line="360" w:lineRule="auto"/>
              <w:rPr>
                <w:szCs w:val="24"/>
                <w:lang w:val="en-GB" w:eastAsia="en-US"/>
              </w:rPr>
            </w:pPr>
            <w:r w:rsidRPr="008913ED">
              <w:rPr>
                <w:szCs w:val="24"/>
                <w:lang w:val="en-GB" w:eastAsia="en-US"/>
              </w:rPr>
              <w:t>X–6</w:t>
            </w:r>
          </w:p>
        </w:tc>
      </w:tr>
      <w:tr w:rsidR="008913ED" w:rsidRPr="008913ED" w14:paraId="259ED6C4" w14:textId="77777777" w:rsidTr="00002801">
        <w:tc>
          <w:tcPr>
            <w:tcW w:w="0" w:type="auto"/>
          </w:tcPr>
          <w:p w14:paraId="7CAA00F0" w14:textId="77777777" w:rsidR="008913ED" w:rsidRPr="008913ED" w:rsidRDefault="008913ED" w:rsidP="008913ED">
            <w:pPr>
              <w:spacing w:before="120" w:after="120" w:line="360" w:lineRule="auto"/>
              <w:rPr>
                <w:szCs w:val="24"/>
                <w:lang w:eastAsia="en-US"/>
              </w:rPr>
            </w:pPr>
            <w:r w:rsidRPr="008913ED">
              <w:rPr>
                <w:szCs w:val="24"/>
                <w:lang w:eastAsia="en-US"/>
              </w:rPr>
              <w:t>Frist for infrastrukturforvalterens/infrastrukturforvalternes indsendelse af det endelige kapacitetstilbud til ansøgere</w:t>
            </w:r>
          </w:p>
        </w:tc>
        <w:tc>
          <w:tcPr>
            <w:tcW w:w="0" w:type="auto"/>
          </w:tcPr>
          <w:p w14:paraId="20F301F5" w14:textId="77777777" w:rsidR="008913ED" w:rsidRPr="008913ED" w:rsidRDefault="008913ED" w:rsidP="008913ED">
            <w:pPr>
              <w:spacing w:before="120" w:after="120" w:line="360" w:lineRule="auto"/>
              <w:rPr>
                <w:szCs w:val="24"/>
                <w:lang w:val="en-GB" w:eastAsia="en-US"/>
              </w:rPr>
            </w:pPr>
            <w:r w:rsidRPr="008913ED">
              <w:rPr>
                <w:szCs w:val="24"/>
                <w:lang w:val="en-GB" w:eastAsia="en-US"/>
              </w:rPr>
              <w:t>X–5.5</w:t>
            </w:r>
          </w:p>
        </w:tc>
      </w:tr>
      <w:tr w:rsidR="008913ED" w:rsidRPr="008913ED" w14:paraId="6D50225D" w14:textId="77777777" w:rsidTr="00002801">
        <w:tc>
          <w:tcPr>
            <w:tcW w:w="0" w:type="auto"/>
          </w:tcPr>
          <w:p w14:paraId="59A1F0F9" w14:textId="77777777" w:rsidR="008913ED" w:rsidRPr="008913ED" w:rsidRDefault="008913ED" w:rsidP="008913ED">
            <w:pPr>
              <w:spacing w:before="120" w:after="120" w:line="360" w:lineRule="auto"/>
              <w:rPr>
                <w:szCs w:val="24"/>
                <w:lang w:eastAsia="en-US"/>
              </w:rPr>
            </w:pPr>
            <w:r w:rsidRPr="008913ED">
              <w:rPr>
                <w:szCs w:val="24"/>
                <w:lang w:eastAsia="en-US"/>
              </w:rPr>
              <w:t>Offentliggørelse af endelig køreplan Frist for infrastrukturforvalterens tildeling af kapacitetsrettigheder til ansøgere</w:t>
            </w:r>
          </w:p>
        </w:tc>
        <w:tc>
          <w:tcPr>
            <w:tcW w:w="0" w:type="auto"/>
          </w:tcPr>
          <w:p w14:paraId="34A65D25" w14:textId="77777777" w:rsidR="008913ED" w:rsidRPr="008913ED" w:rsidRDefault="008913ED" w:rsidP="008913ED">
            <w:pPr>
              <w:spacing w:before="120" w:after="120" w:line="360" w:lineRule="auto"/>
              <w:rPr>
                <w:szCs w:val="24"/>
                <w:lang w:val="en-GB" w:eastAsia="en-US"/>
              </w:rPr>
            </w:pPr>
            <w:r w:rsidRPr="008913ED">
              <w:rPr>
                <w:szCs w:val="24"/>
                <w:lang w:val="en-GB" w:eastAsia="en-US"/>
              </w:rPr>
              <w:t>X–5.25</w:t>
            </w:r>
          </w:p>
        </w:tc>
      </w:tr>
      <w:tr w:rsidR="008913ED" w:rsidRPr="008913ED" w14:paraId="15DB72A4" w14:textId="77777777" w:rsidTr="00002801">
        <w:tc>
          <w:tcPr>
            <w:tcW w:w="0" w:type="auto"/>
          </w:tcPr>
          <w:p w14:paraId="36434664" w14:textId="77777777" w:rsidR="008913ED" w:rsidRPr="008913ED" w:rsidRDefault="008913ED" w:rsidP="008913ED">
            <w:pPr>
              <w:spacing w:before="120" w:after="120" w:line="360" w:lineRule="auto"/>
              <w:rPr>
                <w:szCs w:val="24"/>
                <w:lang w:eastAsia="en-US"/>
              </w:rPr>
            </w:pPr>
            <w:r w:rsidRPr="008913ED">
              <w:rPr>
                <w:szCs w:val="24"/>
                <w:lang w:eastAsia="en-US"/>
              </w:rPr>
              <w:t>Konvertering af kapacitetsspecifikationer til kanaler</w:t>
            </w:r>
          </w:p>
        </w:tc>
        <w:tc>
          <w:tcPr>
            <w:tcW w:w="0" w:type="auto"/>
          </w:tcPr>
          <w:p w14:paraId="4DF046DD" w14:textId="77777777" w:rsidR="008913ED" w:rsidRPr="008913ED" w:rsidRDefault="008913ED" w:rsidP="008913ED">
            <w:pPr>
              <w:spacing w:before="120" w:after="120" w:line="360" w:lineRule="auto"/>
              <w:rPr>
                <w:szCs w:val="24"/>
                <w:lang w:eastAsia="en-US"/>
              </w:rPr>
            </w:pPr>
            <w:r w:rsidRPr="008913ED">
              <w:rPr>
                <w:szCs w:val="24"/>
                <w:lang w:eastAsia="en-US"/>
              </w:rPr>
              <w:t xml:space="preserve">Angives nærmere i den europæiske ramme for kapacitetsforvaltning, jf. </w:t>
            </w:r>
            <w:r w:rsidRPr="008913ED">
              <w:rPr>
                <w:szCs w:val="24"/>
                <w:lang w:eastAsia="en-US"/>
              </w:rPr>
              <w:lastRenderedPageBreak/>
              <w:t>artikel 6</w:t>
            </w:r>
          </w:p>
        </w:tc>
      </w:tr>
      <w:tr w:rsidR="008913ED" w:rsidRPr="008913ED" w14:paraId="3B4C6FBD" w14:textId="77777777" w:rsidTr="00002801">
        <w:tc>
          <w:tcPr>
            <w:tcW w:w="0" w:type="auto"/>
            <w:gridSpan w:val="2"/>
          </w:tcPr>
          <w:p w14:paraId="1EC9B5B4" w14:textId="77777777" w:rsidR="008913ED" w:rsidRPr="008913ED" w:rsidRDefault="008913ED" w:rsidP="008913ED">
            <w:pPr>
              <w:spacing w:before="120" w:after="120" w:line="360" w:lineRule="auto"/>
              <w:rPr>
                <w:szCs w:val="24"/>
                <w:lang w:eastAsia="en-US"/>
              </w:rPr>
            </w:pPr>
            <w:r w:rsidRPr="008913ED">
              <w:rPr>
                <w:szCs w:val="24"/>
                <w:lang w:eastAsia="en-US"/>
              </w:rPr>
              <w:lastRenderedPageBreak/>
              <w:t>Bemærk: (1) "X-m": "m" måneder, før køreplanen ("X") træder i kraft</w:t>
            </w:r>
          </w:p>
        </w:tc>
      </w:tr>
    </w:tbl>
    <w:p w14:paraId="7BB040F6" w14:textId="674EDA9C" w:rsidR="00216C2C" w:rsidRDefault="00E25982" w:rsidP="008913ED">
      <w:pPr>
        <w:spacing w:before="120" w:after="120" w:line="360" w:lineRule="auto"/>
        <w:ind w:left="850" w:hanging="850"/>
        <w:rPr>
          <w:szCs w:val="24"/>
          <w:lang w:eastAsia="en-US"/>
        </w:rPr>
      </w:pPr>
      <w:r w:rsidRPr="008913ED">
        <w:rPr>
          <w:b/>
          <w:szCs w:val="24"/>
          <w:lang w:eastAsia="en-US"/>
        </w:rPr>
        <w:t>[Ændring 258]</w:t>
      </w:r>
    </w:p>
    <w:p w14:paraId="5D5D367B" w14:textId="77777777" w:rsidR="00216C2C" w:rsidRDefault="00216C2C">
      <w:pPr>
        <w:widowControl/>
        <w:rPr>
          <w:szCs w:val="24"/>
          <w:lang w:eastAsia="en-US"/>
        </w:rPr>
      </w:pPr>
      <w:r>
        <w:rPr>
          <w:szCs w:val="24"/>
          <w:lang w:eastAsia="en-US"/>
        </w:rPr>
        <w:br w:type="page"/>
      </w:r>
    </w:p>
    <w:p w14:paraId="7E678C15" w14:textId="33B90E0F"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Infrastrukturforvalterne imødekommer kapacitetsansøgninger, der modtages i overensstemmelse med artikel 32, stk. 8, efter først til mølle-princippet.</w:t>
      </w:r>
    </w:p>
    <w:p w14:paraId="65760D7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Fristen for indgivelse af ansøgninger om kapacitetsrettigheder fastsat i tabellen i punkt 1 er den frist for ansøgninger om infrastrukturkapacitet, der er omhandlet i artikel 27, stk. 4, i direktiv 2012/34/EU.</w:t>
      </w:r>
    </w:p>
    <w:p w14:paraId="7CEEA627" w14:textId="77777777" w:rsidR="008913ED" w:rsidRPr="00E25982" w:rsidRDefault="008913ED" w:rsidP="008913ED">
      <w:pPr>
        <w:spacing w:before="120" w:after="120" w:line="360" w:lineRule="auto"/>
        <w:ind w:left="850" w:hanging="850"/>
        <w:rPr>
          <w:smallCaps/>
          <w:szCs w:val="24"/>
          <w:lang w:eastAsia="en-US"/>
        </w:rPr>
      </w:pPr>
      <w:r w:rsidRPr="008913ED">
        <w:rPr>
          <w:szCs w:val="24"/>
          <w:lang w:eastAsia="en-US"/>
        </w:rPr>
        <w:t>5.</w:t>
      </w:r>
      <w:r w:rsidRPr="008913ED">
        <w:rPr>
          <w:szCs w:val="24"/>
          <w:lang w:eastAsia="en-US"/>
        </w:rPr>
        <w:tab/>
      </w:r>
      <w:r w:rsidRPr="00E25982">
        <w:rPr>
          <w:smallCaps/>
          <w:szCs w:val="24"/>
          <w:lang w:eastAsia="en-US"/>
        </w:rPr>
        <w:t xml:space="preserve">Plan for kapacitetstildeling gennem rammeaftaler, jf. artikel 31 og 38 </w:t>
      </w:r>
    </w:p>
    <w:p w14:paraId="6A691AE7"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skal overholde følgende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29"/>
        <w:gridCol w:w="5031"/>
      </w:tblGrid>
      <w:tr w:rsidR="008913ED" w:rsidRPr="008913ED" w14:paraId="08731838" w14:textId="77777777" w:rsidTr="00002801">
        <w:trPr>
          <w:tblHeader/>
        </w:trPr>
        <w:tc>
          <w:tcPr>
            <w:tcW w:w="0" w:type="auto"/>
          </w:tcPr>
          <w:p w14:paraId="5D3A101E" w14:textId="77777777" w:rsidR="008913ED" w:rsidRPr="008913ED" w:rsidRDefault="008913ED" w:rsidP="008913ED">
            <w:pPr>
              <w:spacing w:before="120" w:after="120" w:line="360" w:lineRule="auto"/>
              <w:rPr>
                <w:szCs w:val="24"/>
                <w:lang w:val="en-GB" w:eastAsia="en-US"/>
              </w:rPr>
            </w:pPr>
            <w:r w:rsidRPr="008913ED">
              <w:rPr>
                <w:szCs w:val="24"/>
                <w:lang w:val="en-GB" w:eastAsia="en-US"/>
              </w:rPr>
              <w:t>Tidsperiode</w:t>
            </w:r>
          </w:p>
        </w:tc>
        <w:tc>
          <w:tcPr>
            <w:tcW w:w="0" w:type="auto"/>
          </w:tcPr>
          <w:p w14:paraId="178946F0" w14:textId="77777777" w:rsidR="008913ED" w:rsidRPr="008913ED" w:rsidRDefault="008913ED" w:rsidP="008913ED">
            <w:pPr>
              <w:spacing w:before="120" w:after="120" w:line="360" w:lineRule="auto"/>
              <w:rPr>
                <w:szCs w:val="24"/>
                <w:lang w:val="en-GB" w:eastAsia="en-US"/>
              </w:rPr>
            </w:pPr>
            <w:r w:rsidRPr="008913ED">
              <w:rPr>
                <w:szCs w:val="24"/>
                <w:lang w:val="en-GB" w:eastAsia="en-US"/>
              </w:rPr>
              <w:t>Varighed1)</w:t>
            </w:r>
          </w:p>
        </w:tc>
      </w:tr>
      <w:tr w:rsidR="008913ED" w:rsidRPr="008913ED" w14:paraId="2405A5B5" w14:textId="77777777" w:rsidTr="00002801">
        <w:tc>
          <w:tcPr>
            <w:tcW w:w="0" w:type="auto"/>
          </w:tcPr>
          <w:p w14:paraId="4274C435" w14:textId="77777777" w:rsidR="008913ED" w:rsidRPr="008913ED" w:rsidRDefault="008913ED" w:rsidP="008913ED">
            <w:pPr>
              <w:spacing w:before="120" w:after="120" w:line="360" w:lineRule="auto"/>
              <w:rPr>
                <w:szCs w:val="24"/>
                <w:lang w:val="en-GB" w:eastAsia="en-US"/>
              </w:rPr>
            </w:pPr>
            <w:r w:rsidRPr="008913ED">
              <w:rPr>
                <w:szCs w:val="24"/>
                <w:lang w:val="en-GB" w:eastAsia="en-US"/>
              </w:rPr>
              <w:t>Standardgyldighedsperiode for rammeaftaler</w:t>
            </w:r>
          </w:p>
        </w:tc>
        <w:tc>
          <w:tcPr>
            <w:tcW w:w="0" w:type="auto"/>
          </w:tcPr>
          <w:p w14:paraId="1497F102" w14:textId="77777777" w:rsidR="008913ED" w:rsidRPr="008913ED" w:rsidRDefault="008913ED" w:rsidP="008913ED">
            <w:pPr>
              <w:spacing w:before="120" w:after="120" w:line="360" w:lineRule="auto"/>
              <w:rPr>
                <w:szCs w:val="24"/>
                <w:lang w:val="en-GB" w:eastAsia="en-US"/>
              </w:rPr>
            </w:pPr>
            <w:r w:rsidRPr="008913ED">
              <w:rPr>
                <w:szCs w:val="24"/>
                <w:lang w:val="en-GB" w:eastAsia="en-US"/>
              </w:rPr>
              <w:t>5 år</w:t>
            </w:r>
          </w:p>
        </w:tc>
      </w:tr>
      <w:tr w:rsidR="008913ED" w:rsidRPr="008913ED" w14:paraId="68F00FEB" w14:textId="77777777" w:rsidTr="00002801">
        <w:tc>
          <w:tcPr>
            <w:tcW w:w="0" w:type="auto"/>
          </w:tcPr>
          <w:p w14:paraId="07B2CB47" w14:textId="77777777" w:rsidR="008913ED" w:rsidRPr="008913ED" w:rsidRDefault="008913ED" w:rsidP="008913ED">
            <w:pPr>
              <w:spacing w:before="120" w:after="120" w:line="360" w:lineRule="auto"/>
              <w:rPr>
                <w:szCs w:val="24"/>
                <w:lang w:eastAsia="en-US"/>
              </w:rPr>
            </w:pPr>
            <w:r w:rsidRPr="008913ED">
              <w:rPr>
                <w:szCs w:val="24"/>
                <w:lang w:eastAsia="en-US"/>
              </w:rPr>
              <w:t>Konvertering af kapacitetsspecifikationer til kanaler</w:t>
            </w:r>
          </w:p>
        </w:tc>
        <w:tc>
          <w:tcPr>
            <w:tcW w:w="0" w:type="auto"/>
          </w:tcPr>
          <w:p w14:paraId="712D10F2" w14:textId="77777777" w:rsidR="008913ED" w:rsidRPr="008913ED" w:rsidRDefault="008913ED" w:rsidP="008913ED">
            <w:pPr>
              <w:spacing w:before="120" w:after="120" w:line="360" w:lineRule="auto"/>
              <w:rPr>
                <w:szCs w:val="24"/>
                <w:lang w:eastAsia="en-US"/>
              </w:rPr>
            </w:pPr>
            <w:r w:rsidRPr="008913ED">
              <w:rPr>
                <w:szCs w:val="24"/>
                <w:lang w:eastAsia="en-US"/>
              </w:rPr>
              <w:t>Mellem X-8.5 og X-6.5 (sideløbende med samordning som led i den årlige tildelingsproces omhandlet i afsnit 4)</w:t>
            </w:r>
          </w:p>
        </w:tc>
      </w:tr>
      <w:tr w:rsidR="008913ED" w:rsidRPr="008913ED" w14:paraId="722C346B" w14:textId="77777777" w:rsidTr="00002801">
        <w:tc>
          <w:tcPr>
            <w:tcW w:w="0" w:type="auto"/>
            <w:gridSpan w:val="2"/>
          </w:tcPr>
          <w:p w14:paraId="5C9F9BE3" w14:textId="77777777" w:rsidR="008913ED" w:rsidRPr="008913ED" w:rsidRDefault="008913ED" w:rsidP="008913ED">
            <w:pPr>
              <w:spacing w:before="120" w:after="120" w:line="360" w:lineRule="auto"/>
              <w:rPr>
                <w:szCs w:val="24"/>
                <w:lang w:eastAsia="en-US"/>
              </w:rPr>
            </w:pPr>
            <w:r w:rsidRPr="008913ED">
              <w:rPr>
                <w:szCs w:val="24"/>
                <w:lang w:eastAsia="en-US"/>
              </w:rPr>
              <w:t>Bemærk: 1) "X-m": "m" måneder, før køreplanen ("X") træder i kraft, i overensstemmelse med afsnit 4.</w:t>
            </w:r>
          </w:p>
        </w:tc>
      </w:tr>
    </w:tbl>
    <w:p w14:paraId="0486057C" w14:textId="77777777" w:rsidR="00216C2C" w:rsidRDefault="00216C2C" w:rsidP="008913ED">
      <w:pPr>
        <w:spacing w:before="120" w:after="120" w:line="360" w:lineRule="auto"/>
        <w:ind w:left="850" w:hanging="850"/>
        <w:rPr>
          <w:szCs w:val="24"/>
          <w:lang w:eastAsia="en-US"/>
        </w:rPr>
      </w:pPr>
    </w:p>
    <w:p w14:paraId="51FF7389" w14:textId="77777777" w:rsidR="00216C2C" w:rsidRDefault="00216C2C">
      <w:pPr>
        <w:widowControl/>
        <w:rPr>
          <w:szCs w:val="24"/>
          <w:lang w:eastAsia="en-US"/>
        </w:rPr>
      </w:pPr>
      <w:r>
        <w:rPr>
          <w:szCs w:val="24"/>
          <w:lang w:eastAsia="en-US"/>
        </w:rPr>
        <w:br w:type="page"/>
      </w:r>
    </w:p>
    <w:p w14:paraId="24E3EEB9" w14:textId="248D0B83" w:rsidR="008913ED" w:rsidRPr="00E25982" w:rsidRDefault="008913ED" w:rsidP="008913ED">
      <w:pPr>
        <w:spacing w:before="120" w:after="120" w:line="360" w:lineRule="auto"/>
        <w:ind w:left="850" w:hanging="850"/>
        <w:rPr>
          <w:smallCaps/>
          <w:szCs w:val="24"/>
          <w:lang w:eastAsia="en-US"/>
        </w:rPr>
      </w:pPr>
      <w:r w:rsidRPr="008913ED">
        <w:rPr>
          <w:szCs w:val="24"/>
          <w:lang w:eastAsia="en-US"/>
        </w:rPr>
        <w:lastRenderedPageBreak/>
        <w:t>6.</w:t>
      </w:r>
      <w:r w:rsidRPr="008913ED">
        <w:rPr>
          <w:szCs w:val="24"/>
          <w:lang w:eastAsia="en-US"/>
        </w:rPr>
        <w:tab/>
      </w:r>
      <w:r w:rsidRPr="00E25982">
        <w:rPr>
          <w:smallCaps/>
          <w:szCs w:val="24"/>
          <w:lang w:eastAsia="en-US"/>
        </w:rPr>
        <w:t>Plan for kapacitetstildeling gennem den rullende planlægningsproces, jf. artikel 33 og 38</w:t>
      </w:r>
    </w:p>
    <w:p w14:paraId="574A00CE"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Infrastrukturforvalteren og ansøgerne skal overholde følgende plan under den rullende planlægningsproces: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706"/>
        <w:gridCol w:w="4354"/>
      </w:tblGrid>
      <w:tr w:rsidR="008913ED" w:rsidRPr="008913ED" w14:paraId="7BCA5287" w14:textId="77777777" w:rsidTr="00002801">
        <w:trPr>
          <w:tblHeader/>
        </w:trPr>
        <w:tc>
          <w:tcPr>
            <w:tcW w:w="0" w:type="auto"/>
          </w:tcPr>
          <w:p w14:paraId="4D0DB142" w14:textId="77777777" w:rsidR="008913ED" w:rsidRPr="008913ED" w:rsidRDefault="008913ED" w:rsidP="008913ED">
            <w:pPr>
              <w:spacing w:before="120" w:after="120" w:line="360" w:lineRule="auto"/>
              <w:rPr>
                <w:szCs w:val="24"/>
                <w:lang w:val="en-GB" w:eastAsia="en-US"/>
              </w:rPr>
            </w:pPr>
            <w:r w:rsidRPr="008913ED">
              <w:rPr>
                <w:szCs w:val="24"/>
                <w:lang w:val="en-GB" w:eastAsia="en-US"/>
              </w:rPr>
              <w:t>Milepæl eller tidsperiode</w:t>
            </w:r>
          </w:p>
        </w:tc>
        <w:tc>
          <w:tcPr>
            <w:tcW w:w="0" w:type="auto"/>
          </w:tcPr>
          <w:p w14:paraId="21560353" w14:textId="77777777" w:rsidR="008913ED" w:rsidRPr="008913ED" w:rsidRDefault="008913ED" w:rsidP="008913ED">
            <w:pPr>
              <w:spacing w:before="120" w:after="120" w:line="360" w:lineRule="auto"/>
              <w:rPr>
                <w:szCs w:val="24"/>
                <w:lang w:val="en-GB" w:eastAsia="en-US"/>
              </w:rPr>
            </w:pPr>
            <w:r w:rsidRPr="008913ED">
              <w:rPr>
                <w:szCs w:val="24"/>
                <w:lang w:val="en-GB" w:eastAsia="en-US"/>
              </w:rPr>
              <w:t>Frist eller varighed1)</w:t>
            </w:r>
          </w:p>
        </w:tc>
      </w:tr>
      <w:tr w:rsidR="008913ED" w:rsidRPr="008913ED" w14:paraId="39BBF94C" w14:textId="77777777" w:rsidTr="00002801">
        <w:tc>
          <w:tcPr>
            <w:tcW w:w="0" w:type="auto"/>
          </w:tcPr>
          <w:p w14:paraId="1BCCFAE8" w14:textId="77777777" w:rsidR="008913ED" w:rsidRPr="008913ED" w:rsidRDefault="008913ED" w:rsidP="008913ED">
            <w:pPr>
              <w:spacing w:before="120" w:after="120" w:line="360" w:lineRule="auto"/>
              <w:rPr>
                <w:szCs w:val="24"/>
                <w:lang w:eastAsia="en-US"/>
              </w:rPr>
            </w:pPr>
            <w:r w:rsidRPr="008913ED">
              <w:rPr>
                <w:szCs w:val="24"/>
                <w:lang w:eastAsia="en-US"/>
              </w:rPr>
              <w:t>Tidligste tidspunkt for ansøgernes indgivelse af ansøgninger om kapacitet i forbindelse med tildelingen gennem den rullende planlægningsproces</w:t>
            </w:r>
          </w:p>
        </w:tc>
        <w:tc>
          <w:tcPr>
            <w:tcW w:w="0" w:type="auto"/>
          </w:tcPr>
          <w:p w14:paraId="21C2657C" w14:textId="77777777" w:rsidR="008913ED" w:rsidRPr="008913ED" w:rsidRDefault="008913ED" w:rsidP="008913ED">
            <w:pPr>
              <w:spacing w:before="120" w:after="120" w:line="360" w:lineRule="auto"/>
              <w:rPr>
                <w:szCs w:val="24"/>
                <w:lang w:eastAsia="en-US"/>
              </w:rPr>
            </w:pPr>
            <w:r w:rsidRPr="008913ED">
              <w:rPr>
                <w:szCs w:val="24"/>
                <w:lang w:eastAsia="en-US"/>
              </w:rPr>
              <w:t>4 måneder før den første togkørsel</w:t>
            </w:r>
          </w:p>
        </w:tc>
      </w:tr>
      <w:tr w:rsidR="008913ED" w:rsidRPr="008913ED" w14:paraId="3956DAC2" w14:textId="77777777" w:rsidTr="00002801">
        <w:tc>
          <w:tcPr>
            <w:tcW w:w="0" w:type="auto"/>
          </w:tcPr>
          <w:p w14:paraId="7B57BBBC" w14:textId="77777777" w:rsidR="008913ED" w:rsidRPr="008913ED" w:rsidRDefault="008913ED" w:rsidP="008913ED">
            <w:pPr>
              <w:spacing w:before="120" w:after="120" w:line="360" w:lineRule="auto"/>
              <w:rPr>
                <w:szCs w:val="24"/>
                <w:lang w:eastAsia="en-US"/>
              </w:rPr>
            </w:pPr>
            <w:r w:rsidRPr="008913ED">
              <w:rPr>
                <w:szCs w:val="24"/>
                <w:lang w:eastAsia="en-US"/>
              </w:rPr>
              <w:t>Seneste tidspunkt for ansøgernes indgivelse af ansøgninger om kapacitet i forbindelse med tildelingen gennem den rullende planlægningsproces</w:t>
            </w:r>
          </w:p>
        </w:tc>
        <w:tc>
          <w:tcPr>
            <w:tcW w:w="0" w:type="auto"/>
          </w:tcPr>
          <w:p w14:paraId="6FCA2769" w14:textId="77777777" w:rsidR="008913ED" w:rsidRPr="008913ED" w:rsidRDefault="008913ED" w:rsidP="008913ED">
            <w:pPr>
              <w:spacing w:before="120" w:after="120" w:line="360" w:lineRule="auto"/>
              <w:rPr>
                <w:szCs w:val="24"/>
                <w:lang w:eastAsia="en-US"/>
              </w:rPr>
            </w:pPr>
            <w:r w:rsidRPr="008913ED">
              <w:rPr>
                <w:szCs w:val="24"/>
                <w:lang w:eastAsia="en-US"/>
              </w:rPr>
              <w:t>1 måned før den første togkørsel</w:t>
            </w:r>
          </w:p>
        </w:tc>
      </w:tr>
      <w:tr w:rsidR="008913ED" w:rsidRPr="008913ED" w14:paraId="782A1029" w14:textId="77777777" w:rsidTr="00002801">
        <w:tc>
          <w:tcPr>
            <w:tcW w:w="0" w:type="auto"/>
          </w:tcPr>
          <w:p w14:paraId="541328CE" w14:textId="77777777" w:rsidR="008913ED" w:rsidRPr="008913ED" w:rsidRDefault="008913ED" w:rsidP="008913ED">
            <w:pPr>
              <w:spacing w:before="120" w:after="120" w:line="360" w:lineRule="auto"/>
              <w:rPr>
                <w:szCs w:val="24"/>
                <w:lang w:eastAsia="en-US"/>
              </w:rPr>
            </w:pPr>
            <w:r w:rsidRPr="008913ED">
              <w:rPr>
                <w:szCs w:val="24"/>
                <w:lang w:eastAsia="en-US"/>
              </w:rPr>
              <w:t>Maksimal varighed af kapacitetsrettigheder, der tildeles gennem den rullende planlægningsproces</w:t>
            </w:r>
          </w:p>
        </w:tc>
        <w:tc>
          <w:tcPr>
            <w:tcW w:w="0" w:type="auto"/>
          </w:tcPr>
          <w:p w14:paraId="7E1148FD" w14:textId="77777777" w:rsidR="008913ED" w:rsidRPr="008913ED" w:rsidRDefault="008913ED" w:rsidP="008913ED">
            <w:pPr>
              <w:spacing w:before="120" w:after="120" w:line="360" w:lineRule="auto"/>
              <w:rPr>
                <w:szCs w:val="24"/>
                <w:lang w:eastAsia="en-US"/>
              </w:rPr>
            </w:pPr>
            <w:r w:rsidRPr="008913ED">
              <w:rPr>
                <w:szCs w:val="24"/>
                <w:lang w:eastAsia="en-US"/>
              </w:rPr>
              <w:t>36 måneder fra den første togkørsel</w:t>
            </w:r>
          </w:p>
        </w:tc>
      </w:tr>
      <w:tr w:rsidR="008913ED" w:rsidRPr="008913ED" w14:paraId="6F9662A8" w14:textId="77777777" w:rsidTr="00002801">
        <w:tc>
          <w:tcPr>
            <w:tcW w:w="0" w:type="auto"/>
          </w:tcPr>
          <w:p w14:paraId="00BAF7A6" w14:textId="77777777" w:rsidR="008913ED" w:rsidRPr="008913ED" w:rsidRDefault="008913ED" w:rsidP="008913ED">
            <w:pPr>
              <w:spacing w:before="120" w:after="120" w:line="360" w:lineRule="auto"/>
              <w:rPr>
                <w:szCs w:val="24"/>
                <w:lang w:eastAsia="en-US"/>
              </w:rPr>
            </w:pPr>
            <w:r w:rsidRPr="008913ED">
              <w:rPr>
                <w:szCs w:val="24"/>
                <w:lang w:eastAsia="en-US"/>
              </w:rPr>
              <w:t>Konvertering af kapacitetsspecifikationer til kanaler for kapacitetsrettigheder tildelt i henhold til artikel 33, stk. 2, litra a)</w:t>
            </w:r>
          </w:p>
        </w:tc>
        <w:tc>
          <w:tcPr>
            <w:tcW w:w="0" w:type="auto"/>
          </w:tcPr>
          <w:p w14:paraId="1FBB4D6F" w14:textId="77777777" w:rsidR="008913ED" w:rsidRPr="008913ED" w:rsidRDefault="008913ED" w:rsidP="008913ED">
            <w:pPr>
              <w:spacing w:before="120" w:after="120" w:line="360" w:lineRule="auto"/>
              <w:rPr>
                <w:szCs w:val="24"/>
                <w:lang w:eastAsia="en-US"/>
              </w:rPr>
            </w:pPr>
            <w:r w:rsidRPr="008913ED">
              <w:rPr>
                <w:szCs w:val="24"/>
                <w:lang w:eastAsia="en-US"/>
              </w:rPr>
              <w:t>Mellem X-8.5 og X-6.5 (sideløbende med samordning som led i den årlige tildelingsproces omhandlet i afsnit 4)</w:t>
            </w:r>
          </w:p>
        </w:tc>
      </w:tr>
      <w:tr w:rsidR="008913ED" w:rsidRPr="008913ED" w14:paraId="09DFC170" w14:textId="77777777" w:rsidTr="00002801">
        <w:tc>
          <w:tcPr>
            <w:tcW w:w="0" w:type="auto"/>
          </w:tcPr>
          <w:p w14:paraId="7753A95F" w14:textId="77777777" w:rsidR="008913ED" w:rsidRPr="008913ED" w:rsidRDefault="008913ED" w:rsidP="008913ED">
            <w:pPr>
              <w:spacing w:before="120" w:after="120" w:line="360" w:lineRule="auto"/>
              <w:rPr>
                <w:szCs w:val="24"/>
                <w:lang w:eastAsia="en-US"/>
              </w:rPr>
            </w:pPr>
            <w:r w:rsidRPr="008913ED">
              <w:rPr>
                <w:szCs w:val="24"/>
                <w:lang w:eastAsia="en-US"/>
              </w:rPr>
              <w:t>Konvertering af kapacitetsspecifikationer til kanaler for kapacitetsrettigheder tildelt i henhold til artikel 33, stk. 2, litra b)</w:t>
            </w:r>
          </w:p>
        </w:tc>
        <w:tc>
          <w:tcPr>
            <w:tcW w:w="0" w:type="auto"/>
          </w:tcPr>
          <w:p w14:paraId="5F959E1E" w14:textId="77777777" w:rsidR="008913ED" w:rsidRPr="008913ED" w:rsidRDefault="008913ED" w:rsidP="008913ED">
            <w:pPr>
              <w:spacing w:before="120" w:after="120" w:line="360" w:lineRule="auto"/>
              <w:rPr>
                <w:szCs w:val="24"/>
                <w:lang w:eastAsia="en-US"/>
              </w:rPr>
            </w:pPr>
            <w:r w:rsidRPr="008913ED">
              <w:rPr>
                <w:szCs w:val="24"/>
                <w:lang w:eastAsia="en-US"/>
              </w:rPr>
              <w:t>Angives nærmere af infrastrukturforvalterne under hensyntagen til den europæiske ramme for kapacitetsforvaltning, jf. artikel 6</w:t>
            </w:r>
          </w:p>
        </w:tc>
      </w:tr>
      <w:tr w:rsidR="008913ED" w:rsidRPr="008913ED" w14:paraId="483CBC55" w14:textId="77777777" w:rsidTr="00002801">
        <w:tc>
          <w:tcPr>
            <w:tcW w:w="0" w:type="auto"/>
            <w:gridSpan w:val="2"/>
          </w:tcPr>
          <w:p w14:paraId="680CA5AD" w14:textId="77777777" w:rsidR="008913ED" w:rsidRPr="008913ED" w:rsidRDefault="008913ED" w:rsidP="008913ED">
            <w:pPr>
              <w:spacing w:before="120" w:after="120" w:line="360" w:lineRule="auto"/>
              <w:rPr>
                <w:szCs w:val="24"/>
                <w:lang w:eastAsia="en-US"/>
              </w:rPr>
            </w:pPr>
            <w:r w:rsidRPr="008913ED">
              <w:rPr>
                <w:szCs w:val="24"/>
                <w:lang w:eastAsia="en-US"/>
              </w:rPr>
              <w:t>Bemærk: 1) "X-m": "m" måneder, før køreplanen ("X") træder i kraft, i overensstemmelse med afsnit 4.</w:t>
            </w:r>
          </w:p>
        </w:tc>
      </w:tr>
    </w:tbl>
    <w:p w14:paraId="3192D54D" w14:textId="77777777" w:rsidR="00216C2C" w:rsidRDefault="00216C2C" w:rsidP="008913ED">
      <w:pPr>
        <w:spacing w:before="120" w:after="120" w:line="360" w:lineRule="auto"/>
        <w:ind w:left="850" w:hanging="850"/>
        <w:rPr>
          <w:szCs w:val="24"/>
          <w:lang w:eastAsia="en-US"/>
        </w:rPr>
      </w:pPr>
    </w:p>
    <w:p w14:paraId="4F1C1E8E" w14:textId="77777777" w:rsidR="00216C2C" w:rsidRDefault="00216C2C">
      <w:pPr>
        <w:widowControl/>
        <w:rPr>
          <w:szCs w:val="24"/>
          <w:lang w:eastAsia="en-US"/>
        </w:rPr>
      </w:pPr>
      <w:r>
        <w:rPr>
          <w:szCs w:val="24"/>
          <w:lang w:eastAsia="en-US"/>
        </w:rPr>
        <w:br w:type="page"/>
      </w:r>
    </w:p>
    <w:p w14:paraId="5D11E497" w14:textId="690DBD18" w:rsidR="008913ED" w:rsidRPr="008913ED" w:rsidRDefault="008913ED" w:rsidP="008913ED">
      <w:pPr>
        <w:spacing w:before="120" w:after="120" w:line="360" w:lineRule="auto"/>
        <w:ind w:left="850" w:hanging="850"/>
        <w:rPr>
          <w:szCs w:val="24"/>
          <w:lang w:eastAsia="en-US"/>
        </w:rPr>
      </w:pPr>
      <w:r w:rsidRPr="008913ED">
        <w:rPr>
          <w:szCs w:val="24"/>
          <w:lang w:eastAsia="en-US"/>
        </w:rPr>
        <w:lastRenderedPageBreak/>
        <w:t>2.</w:t>
      </w:r>
      <w:r w:rsidRPr="008913ED">
        <w:rPr>
          <w:szCs w:val="24"/>
          <w:lang w:eastAsia="en-US"/>
        </w:rPr>
        <w:tab/>
        <w:t>Infrastrukturforvalterne tildeler kapacitet gennem den rullende planlægningsproces efter først til mølle-princippet.</w:t>
      </w:r>
    </w:p>
    <w:p w14:paraId="2169BE9D" w14:textId="3C6628B9" w:rsidR="008913ED" w:rsidRPr="00E25982" w:rsidRDefault="008913ED" w:rsidP="00E25982">
      <w:pPr>
        <w:spacing w:before="120" w:after="120" w:line="360" w:lineRule="auto"/>
        <w:ind w:left="850" w:hanging="850"/>
        <w:rPr>
          <w:smallCaps/>
          <w:szCs w:val="24"/>
          <w:lang w:eastAsia="en-US"/>
        </w:rPr>
      </w:pPr>
      <w:r w:rsidRPr="008913ED">
        <w:rPr>
          <w:szCs w:val="24"/>
          <w:lang w:eastAsia="en-US"/>
        </w:rPr>
        <w:t>7.</w:t>
      </w:r>
      <w:r w:rsidRPr="008913ED">
        <w:rPr>
          <w:szCs w:val="24"/>
          <w:lang w:eastAsia="en-US"/>
        </w:rPr>
        <w:tab/>
      </w:r>
      <w:r w:rsidRPr="00E25982">
        <w:rPr>
          <w:smallCaps/>
          <w:szCs w:val="24"/>
          <w:lang w:eastAsia="en-US"/>
        </w:rPr>
        <w:t>Plan for kapacitetstildeling gennem ad hoc-processen, jf. artikel 34 og 38</w:t>
      </w:r>
    </w:p>
    <w:p w14:paraId="70C23E43" w14:textId="77777777" w:rsidR="008913ED" w:rsidRPr="008913ED" w:rsidRDefault="008913ED" w:rsidP="00E25982">
      <w:pPr>
        <w:spacing w:before="120" w:after="120" w:line="360" w:lineRule="auto"/>
        <w:rPr>
          <w:szCs w:val="24"/>
          <w:lang w:eastAsia="en-US"/>
        </w:rPr>
      </w:pPr>
      <w:r w:rsidRPr="008913ED">
        <w:rPr>
          <w:szCs w:val="24"/>
          <w:lang w:eastAsia="en-US"/>
        </w:rPr>
        <w:t>Ved tildeling af infrastrukturkapacitet gennem ad hoc-processen skal infrastrukturforvalteren overholde følgende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373"/>
        <w:gridCol w:w="1687"/>
      </w:tblGrid>
      <w:tr w:rsidR="008913ED" w:rsidRPr="008913ED" w14:paraId="39667014" w14:textId="77777777" w:rsidTr="00002801">
        <w:trPr>
          <w:tblHeader/>
        </w:trPr>
        <w:tc>
          <w:tcPr>
            <w:tcW w:w="0" w:type="auto"/>
          </w:tcPr>
          <w:p w14:paraId="66DB7724" w14:textId="77777777" w:rsidR="008913ED" w:rsidRPr="008913ED" w:rsidRDefault="008913ED" w:rsidP="008913ED">
            <w:pPr>
              <w:spacing w:before="120" w:after="120" w:line="360" w:lineRule="auto"/>
              <w:rPr>
                <w:szCs w:val="24"/>
                <w:lang w:val="en-GB" w:eastAsia="en-US"/>
              </w:rPr>
            </w:pPr>
            <w:r w:rsidRPr="008913ED">
              <w:rPr>
                <w:szCs w:val="24"/>
                <w:lang w:val="en-GB" w:eastAsia="en-US"/>
              </w:rPr>
              <w:t>Tidsperiode</w:t>
            </w:r>
          </w:p>
        </w:tc>
        <w:tc>
          <w:tcPr>
            <w:tcW w:w="0" w:type="auto"/>
          </w:tcPr>
          <w:p w14:paraId="0C768203" w14:textId="77777777" w:rsidR="008913ED" w:rsidRPr="008913ED" w:rsidRDefault="008913ED" w:rsidP="008913ED">
            <w:pPr>
              <w:spacing w:before="120" w:after="120" w:line="360" w:lineRule="auto"/>
              <w:rPr>
                <w:szCs w:val="24"/>
                <w:lang w:val="en-GB" w:eastAsia="en-US"/>
              </w:rPr>
            </w:pPr>
            <w:r w:rsidRPr="008913ED">
              <w:rPr>
                <w:szCs w:val="24"/>
                <w:lang w:val="en-GB" w:eastAsia="en-US"/>
              </w:rPr>
              <w:t>Varighed</w:t>
            </w:r>
          </w:p>
        </w:tc>
      </w:tr>
      <w:tr w:rsidR="008913ED" w:rsidRPr="008913ED" w14:paraId="7ED64067" w14:textId="77777777" w:rsidTr="00002801">
        <w:tc>
          <w:tcPr>
            <w:tcW w:w="0" w:type="auto"/>
          </w:tcPr>
          <w:p w14:paraId="29E67194" w14:textId="130D48CB" w:rsidR="008913ED" w:rsidRPr="008913ED" w:rsidRDefault="008913ED" w:rsidP="00E25982">
            <w:pPr>
              <w:spacing w:before="120" w:after="120" w:line="360" w:lineRule="auto"/>
              <w:rPr>
                <w:b/>
                <w:szCs w:val="24"/>
                <w:lang w:eastAsia="en-US"/>
              </w:rPr>
            </w:pPr>
            <w:r w:rsidRPr="008913ED">
              <w:rPr>
                <w:szCs w:val="24"/>
                <w:lang w:eastAsia="en-US"/>
              </w:rPr>
              <w:t>Maksimal frist for infrastrukturforvalternes udarbejdelse af et tilbud om kapacitetsrettigheder på et enkelt net</w:t>
            </w:r>
            <w:r w:rsidRPr="008913ED">
              <w:rPr>
                <w:rFonts w:eastAsia="Calibri"/>
                <w:b/>
                <w:bCs/>
                <w:i/>
                <w:iCs/>
                <w:szCs w:val="24"/>
                <w:lang w:eastAsia="en-US"/>
              </w:rPr>
              <w:t>, hvis ad hoc-ansøgningen indgives efter datoen for offentliggørelse af den endelige køreplan</w:t>
            </w:r>
          </w:p>
        </w:tc>
        <w:tc>
          <w:tcPr>
            <w:tcW w:w="0" w:type="auto"/>
          </w:tcPr>
          <w:p w14:paraId="08A00B18" w14:textId="77777777" w:rsidR="008913ED" w:rsidRPr="008913ED" w:rsidRDefault="008913ED" w:rsidP="008913ED">
            <w:pPr>
              <w:spacing w:before="120" w:after="120" w:line="360" w:lineRule="auto"/>
              <w:rPr>
                <w:szCs w:val="24"/>
                <w:lang w:val="en-GB" w:eastAsia="en-US"/>
              </w:rPr>
            </w:pPr>
            <w:r w:rsidRPr="008913ED">
              <w:rPr>
                <w:strike/>
                <w:szCs w:val="24"/>
                <w:lang w:val="en-GB" w:eastAsia="en-US"/>
              </w:rPr>
              <w:t>1 dag</w:t>
            </w:r>
            <w:r w:rsidRPr="008913ED">
              <w:rPr>
                <w:rFonts w:eastAsia="Calibri"/>
                <w:b/>
                <w:i/>
                <w:szCs w:val="24"/>
                <w:lang w:val="en-GB" w:eastAsia="en-US"/>
              </w:rPr>
              <w:t>24 timer</w:t>
            </w:r>
          </w:p>
        </w:tc>
      </w:tr>
      <w:tr w:rsidR="008913ED" w:rsidRPr="008913ED" w14:paraId="326A6632" w14:textId="77777777" w:rsidTr="00002801">
        <w:tc>
          <w:tcPr>
            <w:tcW w:w="0" w:type="auto"/>
          </w:tcPr>
          <w:p w14:paraId="7C71A175" w14:textId="77777777" w:rsidR="008913ED" w:rsidRPr="008913ED" w:rsidRDefault="008913ED" w:rsidP="008913ED">
            <w:pPr>
              <w:spacing w:before="120" w:after="120" w:line="360" w:lineRule="auto"/>
              <w:rPr>
                <w:szCs w:val="24"/>
                <w:lang w:eastAsia="en-US"/>
              </w:rPr>
            </w:pPr>
            <w:r w:rsidRPr="008913ED">
              <w:rPr>
                <w:szCs w:val="24"/>
                <w:lang w:eastAsia="en-US"/>
              </w:rPr>
              <w:t>Maksimal frist for infrastrukturforvalternes udarbejdelse af et tilbud om kapacitetsrettigheder på flere net</w:t>
            </w:r>
            <w:r w:rsidRPr="008913ED">
              <w:rPr>
                <w:b/>
                <w:i/>
                <w:szCs w:val="24"/>
                <w:lang w:eastAsia="en-US"/>
              </w:rPr>
              <w:t xml:space="preserve"> </w:t>
            </w:r>
          </w:p>
        </w:tc>
        <w:tc>
          <w:tcPr>
            <w:tcW w:w="0" w:type="auto"/>
          </w:tcPr>
          <w:p w14:paraId="2E4BF107" w14:textId="77777777" w:rsidR="008913ED" w:rsidRPr="008913ED" w:rsidRDefault="008913ED" w:rsidP="008913ED">
            <w:pPr>
              <w:spacing w:before="120" w:after="120" w:line="360" w:lineRule="auto"/>
              <w:rPr>
                <w:szCs w:val="24"/>
                <w:lang w:val="en-GB" w:eastAsia="en-US"/>
              </w:rPr>
            </w:pPr>
            <w:r w:rsidRPr="008913ED">
              <w:rPr>
                <w:szCs w:val="24"/>
                <w:lang w:val="en-GB" w:eastAsia="en-US"/>
              </w:rPr>
              <w:t>5 dage</w:t>
            </w:r>
          </w:p>
        </w:tc>
      </w:tr>
    </w:tbl>
    <w:p w14:paraId="48F04EC7" w14:textId="39D029CC" w:rsidR="00216C2C" w:rsidRDefault="00E25982" w:rsidP="008913ED">
      <w:pPr>
        <w:spacing w:before="120" w:after="120" w:line="360" w:lineRule="auto"/>
        <w:ind w:left="850" w:hanging="850"/>
        <w:rPr>
          <w:szCs w:val="24"/>
          <w:lang w:val="en-GB" w:eastAsia="en-US"/>
        </w:rPr>
      </w:pPr>
      <w:r w:rsidRPr="008913ED">
        <w:rPr>
          <w:rFonts w:eastAsia="Calibri"/>
          <w:b/>
          <w:bCs/>
          <w:iCs/>
          <w:szCs w:val="24"/>
          <w:lang w:eastAsia="en-US"/>
        </w:rPr>
        <w:t>[Ændring 259]</w:t>
      </w:r>
    </w:p>
    <w:p w14:paraId="2FDEFE34" w14:textId="77777777" w:rsidR="00216C2C" w:rsidRDefault="00216C2C">
      <w:pPr>
        <w:widowControl/>
        <w:rPr>
          <w:szCs w:val="24"/>
          <w:lang w:val="en-GB" w:eastAsia="en-US"/>
        </w:rPr>
      </w:pPr>
      <w:r>
        <w:rPr>
          <w:szCs w:val="24"/>
          <w:lang w:val="en-GB" w:eastAsia="en-US"/>
        </w:rPr>
        <w:br w:type="page"/>
      </w:r>
    </w:p>
    <w:p w14:paraId="324DB210" w14:textId="0B9BC49D" w:rsidR="008913ED" w:rsidRPr="003E3AFF" w:rsidRDefault="008913ED" w:rsidP="003E3AFF">
      <w:pPr>
        <w:spacing w:before="120" w:after="120" w:line="360" w:lineRule="auto"/>
        <w:ind w:left="850" w:hanging="850"/>
        <w:rPr>
          <w:smallCaps/>
          <w:szCs w:val="24"/>
          <w:lang w:eastAsia="en-US"/>
        </w:rPr>
      </w:pPr>
      <w:r w:rsidRPr="003E3AFF">
        <w:rPr>
          <w:szCs w:val="24"/>
          <w:lang w:eastAsia="en-US"/>
        </w:rPr>
        <w:lastRenderedPageBreak/>
        <w:t>8.</w:t>
      </w:r>
      <w:r w:rsidRPr="003E3AFF">
        <w:rPr>
          <w:szCs w:val="24"/>
          <w:lang w:eastAsia="en-US"/>
        </w:rPr>
        <w:tab/>
      </w:r>
      <w:r w:rsidRPr="003E3AFF">
        <w:rPr>
          <w:smallCaps/>
          <w:szCs w:val="24"/>
          <w:lang w:eastAsia="en-US"/>
        </w:rPr>
        <w:t>Plan for ændringer af tildelt kapacitet, jf. artikel 39</w:t>
      </w:r>
    </w:p>
    <w:p w14:paraId="69B4E8D3" w14:textId="77777777" w:rsidR="008913ED" w:rsidRPr="008913ED" w:rsidRDefault="008913ED" w:rsidP="003E3AFF">
      <w:pPr>
        <w:spacing w:before="120" w:after="120" w:line="360" w:lineRule="auto"/>
        <w:rPr>
          <w:szCs w:val="24"/>
          <w:lang w:eastAsia="en-US"/>
        </w:rPr>
      </w:pPr>
      <w:r w:rsidRPr="008913ED">
        <w:rPr>
          <w:szCs w:val="24"/>
          <w:lang w:eastAsia="en-US"/>
        </w:rPr>
        <w:t>Ved ændring af rettigheder til infrastrukturkapacitet skal infrastrukturforvalteren overholde følgende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00"/>
        <w:gridCol w:w="2560"/>
      </w:tblGrid>
      <w:tr w:rsidR="008913ED" w:rsidRPr="008913ED" w14:paraId="019DD1A3" w14:textId="77777777" w:rsidTr="00002801">
        <w:trPr>
          <w:tblHeader/>
        </w:trPr>
        <w:tc>
          <w:tcPr>
            <w:tcW w:w="0" w:type="auto"/>
          </w:tcPr>
          <w:p w14:paraId="5C54DEC3" w14:textId="77777777" w:rsidR="008913ED" w:rsidRPr="008913ED" w:rsidRDefault="008913ED" w:rsidP="008913ED">
            <w:pPr>
              <w:spacing w:before="120" w:after="120" w:line="360" w:lineRule="auto"/>
              <w:rPr>
                <w:szCs w:val="24"/>
                <w:lang w:val="en-GB" w:eastAsia="en-US"/>
              </w:rPr>
            </w:pPr>
            <w:r w:rsidRPr="008913ED">
              <w:rPr>
                <w:szCs w:val="24"/>
                <w:lang w:val="en-GB" w:eastAsia="en-US"/>
              </w:rPr>
              <w:t>Milepæl eller tidsperiode</w:t>
            </w:r>
          </w:p>
        </w:tc>
        <w:tc>
          <w:tcPr>
            <w:tcW w:w="0" w:type="auto"/>
          </w:tcPr>
          <w:p w14:paraId="3EF2BF33" w14:textId="77777777" w:rsidR="008913ED" w:rsidRPr="008913ED" w:rsidRDefault="008913ED" w:rsidP="008913ED">
            <w:pPr>
              <w:spacing w:before="120" w:after="120" w:line="360" w:lineRule="auto"/>
              <w:rPr>
                <w:szCs w:val="24"/>
                <w:lang w:val="en-GB" w:eastAsia="en-US"/>
              </w:rPr>
            </w:pPr>
            <w:r w:rsidRPr="008913ED">
              <w:rPr>
                <w:szCs w:val="24"/>
                <w:lang w:val="en-GB" w:eastAsia="en-US"/>
              </w:rPr>
              <w:t>Tidsfrist eller varighed</w:t>
            </w:r>
          </w:p>
        </w:tc>
      </w:tr>
      <w:tr w:rsidR="008913ED" w:rsidRPr="008913ED" w14:paraId="2A34535C" w14:textId="77777777" w:rsidTr="00002801">
        <w:tc>
          <w:tcPr>
            <w:tcW w:w="0" w:type="auto"/>
          </w:tcPr>
          <w:p w14:paraId="1E7FFFFB" w14:textId="77777777" w:rsidR="008913ED" w:rsidRPr="008913ED" w:rsidRDefault="008913ED" w:rsidP="008913ED">
            <w:pPr>
              <w:spacing w:before="120" w:after="120" w:line="360" w:lineRule="auto"/>
              <w:rPr>
                <w:szCs w:val="24"/>
                <w:lang w:eastAsia="en-US"/>
              </w:rPr>
            </w:pPr>
            <w:r w:rsidRPr="008913ED">
              <w:rPr>
                <w:szCs w:val="24"/>
                <w:lang w:eastAsia="en-US"/>
              </w:rPr>
              <w:t>Maksimal frist for infrastrukturforvalterens tilbud om en rettighed til alternativ kapacitet på et enkelt net</w:t>
            </w:r>
            <w:r w:rsidRPr="008913ED">
              <w:rPr>
                <w:rFonts w:eastAsia="Calibri"/>
                <w:b/>
                <w:bCs/>
                <w:i/>
                <w:iCs/>
                <w:szCs w:val="24"/>
                <w:lang w:eastAsia="en-US"/>
              </w:rPr>
              <w:t>, hvis det vedrører anvendelse inden for de næste to arbejdsdage</w:t>
            </w:r>
          </w:p>
        </w:tc>
        <w:tc>
          <w:tcPr>
            <w:tcW w:w="0" w:type="auto"/>
          </w:tcPr>
          <w:p w14:paraId="2F8C08A4" w14:textId="77777777" w:rsidR="008913ED" w:rsidRPr="008913ED" w:rsidRDefault="008913ED" w:rsidP="008913ED">
            <w:pPr>
              <w:spacing w:before="120" w:after="120" w:line="360" w:lineRule="auto"/>
              <w:rPr>
                <w:szCs w:val="24"/>
                <w:lang w:val="en-GB" w:eastAsia="en-US"/>
              </w:rPr>
            </w:pPr>
            <w:r w:rsidRPr="008913ED">
              <w:rPr>
                <w:szCs w:val="24"/>
                <w:lang w:val="en-GB" w:eastAsia="en-US"/>
              </w:rPr>
              <w:t>24 timer</w:t>
            </w:r>
          </w:p>
        </w:tc>
      </w:tr>
      <w:tr w:rsidR="008913ED" w:rsidRPr="008913ED" w14:paraId="5C6CE11D" w14:textId="77777777" w:rsidTr="00002801">
        <w:tc>
          <w:tcPr>
            <w:tcW w:w="0" w:type="auto"/>
          </w:tcPr>
          <w:p w14:paraId="346EAF1A" w14:textId="5FCFB360" w:rsidR="008913ED" w:rsidRPr="008913ED" w:rsidRDefault="008913ED" w:rsidP="003E3AFF">
            <w:pPr>
              <w:spacing w:before="120" w:after="120" w:line="360" w:lineRule="auto"/>
              <w:rPr>
                <w:b/>
                <w:szCs w:val="24"/>
                <w:lang w:eastAsia="en-US"/>
              </w:rPr>
            </w:pPr>
            <w:r w:rsidRPr="008913ED">
              <w:rPr>
                <w:szCs w:val="24"/>
                <w:lang w:eastAsia="en-US"/>
              </w:rPr>
              <w:t xml:space="preserve">Maksimal frist for de berørte infrastrukturforvaltere tilbud om en rettighed til alternativ kapacitet på flere net </w:t>
            </w:r>
            <w:r w:rsidRPr="008913ED">
              <w:rPr>
                <w:rFonts w:eastAsia="Calibri"/>
                <w:b/>
                <w:bCs/>
                <w:i/>
                <w:iCs/>
                <w:szCs w:val="24"/>
                <w:lang w:eastAsia="en-US"/>
              </w:rPr>
              <w:t>med særlige parametre (f.eks. ekstraordinære leverancer eller testkørsler)</w:t>
            </w:r>
          </w:p>
        </w:tc>
        <w:tc>
          <w:tcPr>
            <w:tcW w:w="0" w:type="auto"/>
          </w:tcPr>
          <w:p w14:paraId="15403CE5" w14:textId="77777777" w:rsidR="008913ED" w:rsidRPr="008913ED" w:rsidRDefault="008913ED" w:rsidP="008913ED">
            <w:pPr>
              <w:spacing w:before="120" w:after="120" w:line="360" w:lineRule="auto"/>
              <w:rPr>
                <w:szCs w:val="24"/>
                <w:lang w:val="en-GB" w:eastAsia="en-US"/>
              </w:rPr>
            </w:pPr>
            <w:r w:rsidRPr="008913ED">
              <w:rPr>
                <w:szCs w:val="24"/>
                <w:lang w:val="en-GB" w:eastAsia="en-US"/>
              </w:rPr>
              <w:t xml:space="preserve">5 </w:t>
            </w:r>
            <w:r w:rsidRPr="008913ED">
              <w:rPr>
                <w:strike/>
                <w:szCs w:val="24"/>
                <w:lang w:val="en-GB" w:eastAsia="en-US"/>
              </w:rPr>
              <w:t>dage</w:t>
            </w:r>
            <w:r w:rsidRPr="008913ED">
              <w:rPr>
                <w:rFonts w:eastAsia="Calibri"/>
                <w:b/>
                <w:bCs/>
                <w:i/>
                <w:iCs/>
                <w:szCs w:val="24"/>
                <w:lang w:val="en-GB" w:eastAsia="en-US"/>
              </w:rPr>
              <w:t>kalenderdage</w:t>
            </w:r>
          </w:p>
        </w:tc>
      </w:tr>
    </w:tbl>
    <w:p w14:paraId="044E8D70" w14:textId="77777777" w:rsidR="00800A17" w:rsidRDefault="00800A17">
      <w:pPr>
        <w:widowControl/>
        <w:rPr>
          <w:rFonts w:eastAsia="Calibri"/>
          <w:b/>
          <w:bCs/>
          <w:iCs/>
          <w:szCs w:val="24"/>
          <w:lang w:eastAsia="en-US"/>
        </w:rPr>
      </w:pPr>
    </w:p>
    <w:p w14:paraId="3DF77ADB" w14:textId="3BD56348" w:rsidR="003E3AFF" w:rsidRDefault="003E3AFF">
      <w:pPr>
        <w:widowControl/>
        <w:rPr>
          <w:rFonts w:eastAsia="Calibri"/>
          <w:b/>
          <w:bCs/>
          <w:iCs/>
          <w:szCs w:val="24"/>
          <w:lang w:eastAsia="en-US"/>
        </w:rPr>
      </w:pPr>
      <w:r w:rsidRPr="008913ED">
        <w:rPr>
          <w:rFonts w:eastAsia="Calibri"/>
          <w:b/>
          <w:bCs/>
          <w:iCs/>
          <w:szCs w:val="24"/>
          <w:lang w:eastAsia="en-US"/>
        </w:rPr>
        <w:t>[Ændring 260]</w:t>
      </w:r>
    </w:p>
    <w:p w14:paraId="03CDA195" w14:textId="35880368" w:rsidR="00AC5C90" w:rsidRDefault="00AC5C90">
      <w:pPr>
        <w:widowControl/>
        <w:rPr>
          <w:szCs w:val="24"/>
          <w:lang w:val="en-GB" w:eastAsia="en-US"/>
        </w:rPr>
      </w:pPr>
      <w:r>
        <w:rPr>
          <w:szCs w:val="24"/>
          <w:lang w:val="en-GB" w:eastAsia="en-US"/>
        </w:rPr>
        <w:br w:type="page"/>
      </w:r>
    </w:p>
    <w:p w14:paraId="51476D19" w14:textId="77777777" w:rsidR="008913ED" w:rsidRPr="008913ED" w:rsidRDefault="008913ED" w:rsidP="008913ED">
      <w:pPr>
        <w:spacing w:before="120" w:after="120" w:line="360" w:lineRule="auto"/>
        <w:rPr>
          <w:szCs w:val="24"/>
          <w:lang w:val="en-GB" w:eastAsia="en-US"/>
        </w:rPr>
      </w:pPr>
    </w:p>
    <w:p w14:paraId="3C313B83" w14:textId="77777777" w:rsidR="008913ED" w:rsidRPr="008913ED" w:rsidRDefault="008913ED" w:rsidP="008913ED">
      <w:pPr>
        <w:spacing w:before="120" w:after="120" w:line="360" w:lineRule="auto"/>
        <w:jc w:val="center"/>
        <w:rPr>
          <w:lang w:eastAsia="en-US"/>
        </w:rPr>
      </w:pPr>
      <w:r w:rsidRPr="008913ED">
        <w:rPr>
          <w:lang w:eastAsia="en-US"/>
        </w:rPr>
        <w:t>BILAG II</w:t>
      </w:r>
    </w:p>
    <w:p w14:paraId="47C4EBDA" w14:textId="77777777" w:rsidR="008913ED" w:rsidRPr="008913ED" w:rsidRDefault="008913ED" w:rsidP="008913ED">
      <w:pPr>
        <w:spacing w:before="120" w:after="120" w:line="360" w:lineRule="auto"/>
        <w:rPr>
          <w:szCs w:val="24"/>
          <w:lang w:eastAsia="en-US"/>
        </w:rPr>
      </w:pPr>
      <w:r w:rsidRPr="008913ED">
        <w:rPr>
          <w:szCs w:val="24"/>
          <w:lang w:eastAsia="en-US"/>
        </w:rPr>
        <w:t>Stærkt udnyttet og overbelastet infrastruktur, jf. artikel 20</w:t>
      </w:r>
    </w:p>
    <w:p w14:paraId="4DCFAF2A" w14:textId="506EE4DF" w:rsidR="008913ED" w:rsidRPr="008913ED" w:rsidRDefault="008913ED" w:rsidP="003E3AFF">
      <w:pPr>
        <w:spacing w:before="120" w:after="120" w:line="360" w:lineRule="auto"/>
        <w:ind w:left="850" w:hanging="850"/>
        <w:rPr>
          <w:szCs w:val="24"/>
          <w:lang w:eastAsia="en-US"/>
        </w:rPr>
      </w:pPr>
      <w:r w:rsidRPr="008913ED">
        <w:rPr>
          <w:szCs w:val="24"/>
          <w:lang w:eastAsia="en-US"/>
        </w:rPr>
        <w:t>1.</w:t>
      </w:r>
      <w:r w:rsidRPr="008913ED">
        <w:rPr>
          <w:szCs w:val="24"/>
          <w:lang w:eastAsia="en-US"/>
        </w:rPr>
        <w:tab/>
      </w:r>
      <w:r w:rsidRPr="003E3AFF">
        <w:rPr>
          <w:smallCaps/>
          <w:szCs w:val="24"/>
          <w:lang w:eastAsia="en-US"/>
        </w:rPr>
        <w:t>Tærskler for erklæringen om stærkt udnyttet og overbelastet infrastruktur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40"/>
        <w:gridCol w:w="2031"/>
        <w:gridCol w:w="2820"/>
        <w:gridCol w:w="2469"/>
      </w:tblGrid>
      <w:tr w:rsidR="008913ED" w:rsidRPr="008913ED" w14:paraId="68992FF7" w14:textId="77777777" w:rsidTr="00002801">
        <w:trPr>
          <w:tblHeader/>
        </w:trPr>
        <w:tc>
          <w:tcPr>
            <w:tcW w:w="0" w:type="auto"/>
          </w:tcPr>
          <w:p w14:paraId="337FB39A" w14:textId="77777777" w:rsidR="008913ED" w:rsidRPr="008913ED" w:rsidRDefault="008913ED" w:rsidP="008913ED">
            <w:pPr>
              <w:spacing w:before="120" w:after="120" w:line="360" w:lineRule="auto"/>
              <w:rPr>
                <w:szCs w:val="24"/>
                <w:lang w:val="en-GB" w:eastAsia="en-US"/>
              </w:rPr>
            </w:pPr>
            <w:r w:rsidRPr="008913ED">
              <w:rPr>
                <w:szCs w:val="24"/>
                <w:lang w:val="en-GB" w:eastAsia="en-US"/>
              </w:rPr>
              <w:t>Udnyttelse</w:t>
            </w:r>
          </w:p>
        </w:tc>
        <w:tc>
          <w:tcPr>
            <w:tcW w:w="0" w:type="auto"/>
          </w:tcPr>
          <w:p w14:paraId="4519F083" w14:textId="77777777" w:rsidR="008913ED" w:rsidRPr="008913ED" w:rsidRDefault="008913ED" w:rsidP="008913ED">
            <w:pPr>
              <w:spacing w:before="120" w:after="120" w:line="360" w:lineRule="auto"/>
              <w:rPr>
                <w:szCs w:val="24"/>
                <w:lang w:val="en-GB" w:eastAsia="en-US"/>
              </w:rPr>
            </w:pPr>
            <w:r w:rsidRPr="008913ED">
              <w:rPr>
                <w:szCs w:val="24"/>
                <w:lang w:val="en-GB" w:eastAsia="en-US"/>
              </w:rPr>
              <w:t>Klassifikation</w:t>
            </w:r>
          </w:p>
        </w:tc>
        <w:tc>
          <w:tcPr>
            <w:tcW w:w="0" w:type="auto"/>
          </w:tcPr>
          <w:p w14:paraId="0F2CBC11" w14:textId="77777777" w:rsidR="008913ED" w:rsidRPr="008913ED" w:rsidRDefault="008913ED" w:rsidP="008913ED">
            <w:pPr>
              <w:spacing w:before="120" w:after="120" w:line="360" w:lineRule="auto"/>
              <w:rPr>
                <w:szCs w:val="24"/>
                <w:lang w:val="en-GB" w:eastAsia="en-US"/>
              </w:rPr>
            </w:pPr>
            <w:r w:rsidRPr="008913ED">
              <w:rPr>
                <w:szCs w:val="24"/>
                <w:lang w:val="en-GB" w:eastAsia="en-US"/>
              </w:rPr>
              <w:t>Kapacitetsudnyttelse</w:t>
            </w:r>
          </w:p>
        </w:tc>
        <w:tc>
          <w:tcPr>
            <w:tcW w:w="0" w:type="auto"/>
          </w:tcPr>
          <w:p w14:paraId="42378FEC" w14:textId="77777777" w:rsidR="008913ED" w:rsidRPr="008913ED" w:rsidRDefault="008913ED" w:rsidP="008913ED">
            <w:pPr>
              <w:spacing w:before="120" w:after="120" w:line="360" w:lineRule="auto"/>
              <w:rPr>
                <w:szCs w:val="24"/>
                <w:lang w:val="en-GB" w:eastAsia="en-US"/>
              </w:rPr>
            </w:pPr>
            <w:r w:rsidRPr="008913ED">
              <w:rPr>
                <w:szCs w:val="24"/>
                <w:lang w:val="en-GB" w:eastAsia="en-US"/>
              </w:rPr>
              <w:t>Referenceperiode</w:t>
            </w:r>
          </w:p>
        </w:tc>
      </w:tr>
      <w:tr w:rsidR="008913ED" w:rsidRPr="008913ED" w14:paraId="4E19246F" w14:textId="77777777" w:rsidTr="00002801">
        <w:tc>
          <w:tcPr>
            <w:tcW w:w="0" w:type="auto"/>
          </w:tcPr>
          <w:p w14:paraId="57D211C3" w14:textId="77777777" w:rsidR="008913ED" w:rsidRPr="008913ED" w:rsidRDefault="008913ED" w:rsidP="008913ED">
            <w:pPr>
              <w:spacing w:before="120" w:after="120" w:line="360" w:lineRule="auto"/>
              <w:rPr>
                <w:szCs w:val="24"/>
                <w:lang w:val="en-GB" w:eastAsia="en-US"/>
              </w:rPr>
            </w:pPr>
            <w:r w:rsidRPr="008913ED">
              <w:rPr>
                <w:szCs w:val="24"/>
                <w:lang w:val="en-GB" w:eastAsia="en-US"/>
              </w:rPr>
              <w:t>Heterogen trafik</w:t>
            </w:r>
          </w:p>
        </w:tc>
        <w:tc>
          <w:tcPr>
            <w:tcW w:w="0" w:type="auto"/>
          </w:tcPr>
          <w:p w14:paraId="3100496C" w14:textId="77777777" w:rsidR="008913ED" w:rsidRPr="008913ED" w:rsidRDefault="008913ED" w:rsidP="008913ED">
            <w:pPr>
              <w:spacing w:before="120" w:after="120" w:line="360" w:lineRule="auto"/>
              <w:rPr>
                <w:szCs w:val="24"/>
                <w:lang w:val="en-GB" w:eastAsia="en-US"/>
              </w:rPr>
            </w:pPr>
            <w:r w:rsidRPr="008913ED">
              <w:rPr>
                <w:szCs w:val="24"/>
                <w:lang w:val="en-GB" w:eastAsia="en-US"/>
              </w:rPr>
              <w:t>Stærkt udnyttet</w:t>
            </w:r>
          </w:p>
        </w:tc>
        <w:tc>
          <w:tcPr>
            <w:tcW w:w="0" w:type="auto"/>
          </w:tcPr>
          <w:p w14:paraId="730D7711" w14:textId="77777777" w:rsidR="008913ED" w:rsidRPr="008913ED" w:rsidRDefault="008913ED" w:rsidP="008913ED">
            <w:pPr>
              <w:spacing w:before="120" w:after="120" w:line="360" w:lineRule="auto"/>
              <w:rPr>
                <w:szCs w:val="24"/>
                <w:lang w:eastAsia="en-US"/>
              </w:rPr>
            </w:pPr>
            <w:r w:rsidRPr="008913ED">
              <w:rPr>
                <w:szCs w:val="24"/>
                <w:lang w:eastAsia="en-US"/>
              </w:rPr>
              <w:t>&gt;</w:t>
            </w:r>
            <w:r w:rsidRPr="008913ED">
              <w:rPr>
                <w:strike/>
                <w:szCs w:val="24"/>
                <w:lang w:eastAsia="en-US"/>
              </w:rPr>
              <w:t xml:space="preserve"> 65 %</w:t>
            </w:r>
            <w:r w:rsidRPr="008913ED">
              <w:rPr>
                <w:szCs w:val="24"/>
                <w:lang w:eastAsia="en-US"/>
              </w:rPr>
              <w:t xml:space="preserve"> af den teoretiske kapacitet</w:t>
            </w:r>
            <w:r w:rsidRPr="008913ED">
              <w:rPr>
                <w:b/>
                <w:i/>
                <w:szCs w:val="24"/>
                <w:lang w:eastAsia="en-US"/>
              </w:rPr>
              <w:t xml:space="preserve"> [værdi fastsættes af ENIM]</w:t>
            </w:r>
          </w:p>
        </w:tc>
        <w:tc>
          <w:tcPr>
            <w:tcW w:w="0" w:type="auto"/>
          </w:tcPr>
          <w:p w14:paraId="669DC846" w14:textId="77777777" w:rsidR="008913ED" w:rsidRPr="008913ED" w:rsidRDefault="008913ED" w:rsidP="008913ED">
            <w:pPr>
              <w:spacing w:before="120" w:after="120" w:line="360" w:lineRule="auto"/>
              <w:rPr>
                <w:szCs w:val="24"/>
                <w:lang w:eastAsia="en-US"/>
              </w:rPr>
            </w:pPr>
            <w:r w:rsidRPr="008913ED">
              <w:rPr>
                <w:szCs w:val="24"/>
                <w:lang w:eastAsia="en-US"/>
              </w:rPr>
              <w:t>Mere end 4 timer i mere end 200 dage om året</w:t>
            </w:r>
          </w:p>
        </w:tc>
      </w:tr>
      <w:tr w:rsidR="008913ED" w:rsidRPr="008913ED" w14:paraId="51FE957A" w14:textId="77777777" w:rsidTr="00002801">
        <w:tc>
          <w:tcPr>
            <w:tcW w:w="0" w:type="auto"/>
          </w:tcPr>
          <w:p w14:paraId="35978B98" w14:textId="77777777" w:rsidR="008913ED" w:rsidRPr="008913ED" w:rsidRDefault="008913ED" w:rsidP="008913ED">
            <w:pPr>
              <w:spacing w:before="120" w:after="120" w:line="360" w:lineRule="auto"/>
              <w:rPr>
                <w:szCs w:val="24"/>
                <w:lang w:val="en-GB" w:eastAsia="en-US"/>
              </w:rPr>
            </w:pPr>
            <w:r w:rsidRPr="008913ED">
              <w:rPr>
                <w:szCs w:val="24"/>
                <w:lang w:val="en-GB" w:eastAsia="en-US"/>
              </w:rPr>
              <w:t>Heterogen trafik</w:t>
            </w:r>
          </w:p>
        </w:tc>
        <w:tc>
          <w:tcPr>
            <w:tcW w:w="0" w:type="auto"/>
          </w:tcPr>
          <w:p w14:paraId="11D314D2" w14:textId="77777777" w:rsidR="008913ED" w:rsidRPr="008913ED" w:rsidRDefault="008913ED" w:rsidP="008913ED">
            <w:pPr>
              <w:spacing w:before="120" w:after="120" w:line="360" w:lineRule="auto"/>
              <w:rPr>
                <w:szCs w:val="24"/>
                <w:lang w:val="en-GB" w:eastAsia="en-US"/>
              </w:rPr>
            </w:pPr>
            <w:r w:rsidRPr="008913ED">
              <w:rPr>
                <w:szCs w:val="24"/>
                <w:lang w:val="en-GB" w:eastAsia="en-US"/>
              </w:rPr>
              <w:t>Overbelastet</w:t>
            </w:r>
          </w:p>
        </w:tc>
        <w:tc>
          <w:tcPr>
            <w:tcW w:w="0" w:type="auto"/>
          </w:tcPr>
          <w:p w14:paraId="69D28485" w14:textId="77777777" w:rsidR="008913ED" w:rsidRPr="008913ED" w:rsidRDefault="008913ED" w:rsidP="008913ED">
            <w:pPr>
              <w:spacing w:before="120" w:after="120" w:line="360" w:lineRule="auto"/>
              <w:rPr>
                <w:szCs w:val="24"/>
                <w:lang w:eastAsia="en-US"/>
              </w:rPr>
            </w:pPr>
            <w:r w:rsidRPr="008913ED">
              <w:rPr>
                <w:szCs w:val="24"/>
                <w:lang w:eastAsia="en-US"/>
              </w:rPr>
              <w:t>&gt;</w:t>
            </w:r>
            <w:r w:rsidRPr="008913ED">
              <w:rPr>
                <w:strike/>
                <w:szCs w:val="24"/>
                <w:lang w:eastAsia="en-US"/>
              </w:rPr>
              <w:t xml:space="preserve"> 95 %</w:t>
            </w:r>
            <w:r w:rsidRPr="008913ED">
              <w:rPr>
                <w:szCs w:val="24"/>
                <w:lang w:eastAsia="en-US"/>
              </w:rPr>
              <w:t xml:space="preserve"> af den teoretiske kapacitet</w:t>
            </w:r>
            <w:r w:rsidRPr="008913ED">
              <w:rPr>
                <w:b/>
                <w:i/>
                <w:szCs w:val="24"/>
                <w:lang w:eastAsia="en-US"/>
              </w:rPr>
              <w:t xml:space="preserve"> [værdi fastsættes af ENIM]</w:t>
            </w:r>
          </w:p>
        </w:tc>
        <w:tc>
          <w:tcPr>
            <w:tcW w:w="0" w:type="auto"/>
          </w:tcPr>
          <w:p w14:paraId="4C32C00D" w14:textId="77777777" w:rsidR="008913ED" w:rsidRPr="008913ED" w:rsidRDefault="008913ED" w:rsidP="008913ED">
            <w:pPr>
              <w:spacing w:before="120" w:after="120" w:line="360" w:lineRule="auto"/>
              <w:rPr>
                <w:szCs w:val="24"/>
                <w:lang w:eastAsia="en-US"/>
              </w:rPr>
            </w:pPr>
            <w:r w:rsidRPr="008913ED">
              <w:rPr>
                <w:szCs w:val="24"/>
                <w:lang w:eastAsia="en-US"/>
              </w:rPr>
              <w:t>Mere end 4 timer i mere end 250 dage om året</w:t>
            </w:r>
          </w:p>
        </w:tc>
      </w:tr>
      <w:tr w:rsidR="008913ED" w:rsidRPr="008913ED" w14:paraId="76A6F055" w14:textId="77777777" w:rsidTr="00002801">
        <w:tc>
          <w:tcPr>
            <w:tcW w:w="0" w:type="auto"/>
          </w:tcPr>
          <w:p w14:paraId="2EB95299" w14:textId="77777777" w:rsidR="008913ED" w:rsidRPr="008913ED" w:rsidRDefault="008913ED" w:rsidP="008913ED">
            <w:pPr>
              <w:spacing w:before="120" w:after="120" w:line="360" w:lineRule="auto"/>
              <w:rPr>
                <w:szCs w:val="24"/>
                <w:lang w:val="en-GB" w:eastAsia="en-US"/>
              </w:rPr>
            </w:pPr>
            <w:r w:rsidRPr="008913ED">
              <w:rPr>
                <w:szCs w:val="24"/>
                <w:lang w:val="en-GB" w:eastAsia="en-US"/>
              </w:rPr>
              <w:t>Homogen trafik</w:t>
            </w:r>
          </w:p>
        </w:tc>
        <w:tc>
          <w:tcPr>
            <w:tcW w:w="0" w:type="auto"/>
          </w:tcPr>
          <w:p w14:paraId="16A272EE" w14:textId="77777777" w:rsidR="008913ED" w:rsidRPr="008913ED" w:rsidRDefault="008913ED" w:rsidP="008913ED">
            <w:pPr>
              <w:spacing w:before="120" w:after="120" w:line="360" w:lineRule="auto"/>
              <w:rPr>
                <w:szCs w:val="24"/>
                <w:lang w:val="en-GB" w:eastAsia="en-US"/>
              </w:rPr>
            </w:pPr>
            <w:r w:rsidRPr="008913ED">
              <w:rPr>
                <w:szCs w:val="24"/>
                <w:lang w:val="en-GB" w:eastAsia="en-US"/>
              </w:rPr>
              <w:t>Stærkt udnyttet</w:t>
            </w:r>
          </w:p>
        </w:tc>
        <w:tc>
          <w:tcPr>
            <w:tcW w:w="0" w:type="auto"/>
          </w:tcPr>
          <w:p w14:paraId="711FC28A" w14:textId="77777777" w:rsidR="008913ED" w:rsidRPr="008913ED" w:rsidRDefault="008913ED" w:rsidP="008913ED">
            <w:pPr>
              <w:spacing w:before="120" w:after="120" w:line="360" w:lineRule="auto"/>
              <w:rPr>
                <w:szCs w:val="24"/>
                <w:lang w:eastAsia="en-US"/>
              </w:rPr>
            </w:pPr>
            <w:r w:rsidRPr="008913ED">
              <w:rPr>
                <w:szCs w:val="24"/>
                <w:lang w:eastAsia="en-US"/>
              </w:rPr>
              <w:t>&gt;</w:t>
            </w:r>
            <w:r w:rsidRPr="008913ED">
              <w:rPr>
                <w:strike/>
                <w:szCs w:val="24"/>
                <w:lang w:eastAsia="en-US"/>
              </w:rPr>
              <w:t xml:space="preserve"> 80 %</w:t>
            </w:r>
            <w:r w:rsidRPr="008913ED">
              <w:rPr>
                <w:szCs w:val="24"/>
                <w:lang w:eastAsia="en-US"/>
              </w:rPr>
              <w:t xml:space="preserve"> af den teoretiske kapacitet</w:t>
            </w:r>
            <w:r w:rsidRPr="008913ED">
              <w:rPr>
                <w:b/>
                <w:i/>
                <w:szCs w:val="24"/>
                <w:lang w:eastAsia="en-US"/>
              </w:rPr>
              <w:t xml:space="preserve"> [værdi fastsættes af ENIM]</w:t>
            </w:r>
          </w:p>
        </w:tc>
        <w:tc>
          <w:tcPr>
            <w:tcW w:w="0" w:type="auto"/>
          </w:tcPr>
          <w:p w14:paraId="6A771D2B" w14:textId="77777777" w:rsidR="008913ED" w:rsidRPr="008913ED" w:rsidRDefault="008913ED" w:rsidP="008913ED">
            <w:pPr>
              <w:spacing w:before="120" w:after="120" w:line="360" w:lineRule="auto"/>
              <w:rPr>
                <w:szCs w:val="24"/>
                <w:lang w:eastAsia="en-US"/>
              </w:rPr>
            </w:pPr>
            <w:r w:rsidRPr="008913ED">
              <w:rPr>
                <w:szCs w:val="24"/>
                <w:lang w:eastAsia="en-US"/>
              </w:rPr>
              <w:t>Mere end 4 timer i mere end 200 dage om året</w:t>
            </w:r>
          </w:p>
        </w:tc>
      </w:tr>
      <w:tr w:rsidR="008913ED" w:rsidRPr="008913ED" w14:paraId="418191E4" w14:textId="77777777" w:rsidTr="00002801">
        <w:tc>
          <w:tcPr>
            <w:tcW w:w="0" w:type="auto"/>
          </w:tcPr>
          <w:p w14:paraId="7D5ED46D" w14:textId="77777777" w:rsidR="008913ED" w:rsidRPr="008913ED" w:rsidRDefault="008913ED" w:rsidP="008913ED">
            <w:pPr>
              <w:spacing w:before="120" w:after="120" w:line="360" w:lineRule="auto"/>
              <w:rPr>
                <w:szCs w:val="24"/>
                <w:lang w:val="en-GB" w:eastAsia="en-US"/>
              </w:rPr>
            </w:pPr>
            <w:r w:rsidRPr="008913ED">
              <w:rPr>
                <w:szCs w:val="24"/>
                <w:lang w:val="en-GB" w:eastAsia="en-US"/>
              </w:rPr>
              <w:t>Homogen trafik</w:t>
            </w:r>
          </w:p>
        </w:tc>
        <w:tc>
          <w:tcPr>
            <w:tcW w:w="0" w:type="auto"/>
          </w:tcPr>
          <w:p w14:paraId="3A085B00" w14:textId="77777777" w:rsidR="008913ED" w:rsidRPr="008913ED" w:rsidRDefault="008913ED" w:rsidP="008913ED">
            <w:pPr>
              <w:spacing w:before="120" w:after="120" w:line="360" w:lineRule="auto"/>
              <w:rPr>
                <w:szCs w:val="24"/>
                <w:lang w:val="en-GB" w:eastAsia="en-US"/>
              </w:rPr>
            </w:pPr>
            <w:r w:rsidRPr="008913ED">
              <w:rPr>
                <w:szCs w:val="24"/>
                <w:lang w:val="en-GB" w:eastAsia="en-US"/>
              </w:rPr>
              <w:t>Overbelastet</w:t>
            </w:r>
          </w:p>
        </w:tc>
        <w:tc>
          <w:tcPr>
            <w:tcW w:w="0" w:type="auto"/>
          </w:tcPr>
          <w:p w14:paraId="6D97DD26" w14:textId="77777777" w:rsidR="008913ED" w:rsidRPr="008913ED" w:rsidRDefault="008913ED" w:rsidP="008913ED">
            <w:pPr>
              <w:spacing w:before="120" w:after="120" w:line="360" w:lineRule="auto"/>
              <w:rPr>
                <w:szCs w:val="24"/>
                <w:lang w:eastAsia="en-US"/>
              </w:rPr>
            </w:pPr>
            <w:r w:rsidRPr="008913ED">
              <w:rPr>
                <w:szCs w:val="24"/>
                <w:lang w:eastAsia="en-US"/>
              </w:rPr>
              <w:t>&gt;</w:t>
            </w:r>
            <w:r w:rsidRPr="008913ED">
              <w:rPr>
                <w:strike/>
                <w:szCs w:val="24"/>
                <w:lang w:eastAsia="en-US"/>
              </w:rPr>
              <w:t xml:space="preserve"> 95 %</w:t>
            </w:r>
            <w:r w:rsidRPr="008913ED">
              <w:rPr>
                <w:szCs w:val="24"/>
                <w:lang w:eastAsia="en-US"/>
              </w:rPr>
              <w:t xml:space="preserve"> af den teoretiske kapacitet</w:t>
            </w:r>
            <w:r w:rsidRPr="008913ED">
              <w:rPr>
                <w:b/>
                <w:i/>
                <w:szCs w:val="24"/>
                <w:lang w:eastAsia="en-US"/>
              </w:rPr>
              <w:t xml:space="preserve"> [værdi fastsættes af ENIM]</w:t>
            </w:r>
          </w:p>
        </w:tc>
        <w:tc>
          <w:tcPr>
            <w:tcW w:w="0" w:type="auto"/>
          </w:tcPr>
          <w:p w14:paraId="760BE5F3" w14:textId="77777777" w:rsidR="008913ED" w:rsidRPr="008913ED" w:rsidRDefault="008913ED" w:rsidP="008913ED">
            <w:pPr>
              <w:spacing w:before="120" w:after="120" w:line="360" w:lineRule="auto"/>
              <w:rPr>
                <w:szCs w:val="24"/>
                <w:lang w:eastAsia="en-US"/>
              </w:rPr>
            </w:pPr>
            <w:r w:rsidRPr="008913ED">
              <w:rPr>
                <w:szCs w:val="24"/>
                <w:lang w:eastAsia="en-US"/>
              </w:rPr>
              <w:t>Mere end 4 timer i mere end 250 dage om året</w:t>
            </w:r>
          </w:p>
        </w:tc>
      </w:tr>
    </w:tbl>
    <w:p w14:paraId="3C7EEF64" w14:textId="6B1D3058" w:rsidR="00216C2C" w:rsidRPr="003E3AFF" w:rsidRDefault="003E3AFF" w:rsidP="003E3AFF">
      <w:pPr>
        <w:spacing w:before="120" w:after="120" w:line="360" w:lineRule="auto"/>
        <w:rPr>
          <w:b/>
          <w:szCs w:val="24"/>
          <w:lang w:eastAsia="en-US"/>
        </w:rPr>
      </w:pPr>
      <w:r>
        <w:rPr>
          <w:b/>
          <w:szCs w:val="24"/>
          <w:lang w:eastAsia="en-US"/>
        </w:rPr>
        <w:t>[Ændring 261]</w:t>
      </w:r>
    </w:p>
    <w:p w14:paraId="1A33A946" w14:textId="77777777" w:rsidR="00216C2C" w:rsidRDefault="00216C2C">
      <w:pPr>
        <w:widowControl/>
        <w:rPr>
          <w:szCs w:val="24"/>
          <w:lang w:eastAsia="en-US"/>
        </w:rPr>
      </w:pPr>
      <w:r>
        <w:rPr>
          <w:szCs w:val="24"/>
          <w:lang w:eastAsia="en-US"/>
        </w:rPr>
        <w:br w:type="page"/>
      </w:r>
    </w:p>
    <w:p w14:paraId="22C69FFC" w14:textId="6CB2960F" w:rsidR="008913ED" w:rsidRPr="008913ED" w:rsidRDefault="008913ED" w:rsidP="008913ED">
      <w:pPr>
        <w:spacing w:before="120" w:after="120" w:line="360" w:lineRule="auto"/>
        <w:ind w:left="1416"/>
        <w:rPr>
          <w:szCs w:val="24"/>
          <w:lang w:eastAsia="en-US"/>
        </w:rPr>
      </w:pPr>
      <w:r w:rsidRPr="008913ED">
        <w:rPr>
          <w:szCs w:val="24"/>
          <w:lang w:eastAsia="en-US"/>
        </w:rPr>
        <w:lastRenderedPageBreak/>
        <w:t>Ved kapacitetsudnyttelse forstås forholdet mellem tildelt kapacitet, eller for tidligere køreplansperioder, det faktiske antal togkørsler, og den teoretiske kapacitet, der er til rådighed på en del af infrastruktur, beregnet på grundlag af metoden i afsnit 2.</w:t>
      </w:r>
    </w:p>
    <w:p w14:paraId="38F45D51" w14:textId="77777777" w:rsidR="008913ED" w:rsidRPr="008913ED" w:rsidRDefault="008913ED" w:rsidP="008913ED">
      <w:pPr>
        <w:spacing w:before="120" w:after="120" w:line="360" w:lineRule="auto"/>
        <w:ind w:left="1416"/>
        <w:rPr>
          <w:szCs w:val="24"/>
          <w:lang w:eastAsia="en-US"/>
        </w:rPr>
      </w:pPr>
      <w:r w:rsidRPr="008913ED">
        <w:rPr>
          <w:szCs w:val="24"/>
          <w:lang w:eastAsia="en-US"/>
        </w:rPr>
        <w:t>"Homogen trafik": tog på den pågældende strækning har generelt lignende karakteristika, der er relevante for kapacitetsudnyttelsen, navnlig hastighed, stopmønster og acceleration.</w:t>
      </w:r>
    </w:p>
    <w:p w14:paraId="11ACACF1" w14:textId="77777777" w:rsidR="008913ED" w:rsidRPr="008913ED" w:rsidRDefault="008913ED" w:rsidP="008913ED">
      <w:pPr>
        <w:spacing w:before="120" w:after="120" w:line="360" w:lineRule="auto"/>
        <w:ind w:left="1416"/>
        <w:rPr>
          <w:szCs w:val="24"/>
          <w:lang w:eastAsia="en-US"/>
        </w:rPr>
      </w:pPr>
      <w:r w:rsidRPr="008913ED">
        <w:rPr>
          <w:szCs w:val="24"/>
          <w:lang w:eastAsia="en-US"/>
        </w:rPr>
        <w:t>"Heterogen trafik": tog på den pågældende strækning har forskellige karakteristika, der er relevante for kapacitetsudnyttelsen, navnlig hastighed, stopmønster og acceleration.</w:t>
      </w:r>
    </w:p>
    <w:p w14:paraId="33441D9B" w14:textId="77777777" w:rsidR="00216C2C" w:rsidRDefault="00216C2C">
      <w:pPr>
        <w:widowControl/>
        <w:rPr>
          <w:szCs w:val="24"/>
          <w:lang w:eastAsia="en-US"/>
        </w:rPr>
      </w:pPr>
      <w:r>
        <w:rPr>
          <w:szCs w:val="24"/>
          <w:lang w:eastAsia="en-US"/>
        </w:rPr>
        <w:br w:type="page"/>
      </w:r>
    </w:p>
    <w:p w14:paraId="6CA09D38" w14:textId="783475D0" w:rsidR="008913ED" w:rsidRPr="003E3AFF" w:rsidRDefault="008913ED" w:rsidP="003E3AFF">
      <w:pPr>
        <w:spacing w:before="120" w:after="120" w:line="360" w:lineRule="auto"/>
        <w:ind w:left="850" w:hanging="850"/>
        <w:rPr>
          <w:smallCaps/>
          <w:szCs w:val="24"/>
          <w:lang w:eastAsia="en-US"/>
        </w:rPr>
      </w:pPr>
      <w:r w:rsidRPr="008913ED">
        <w:rPr>
          <w:szCs w:val="24"/>
          <w:lang w:eastAsia="en-US"/>
        </w:rPr>
        <w:lastRenderedPageBreak/>
        <w:t>2.</w:t>
      </w:r>
      <w:r w:rsidRPr="008913ED">
        <w:rPr>
          <w:szCs w:val="24"/>
          <w:lang w:eastAsia="en-US"/>
        </w:rPr>
        <w:tab/>
      </w:r>
      <w:r w:rsidRPr="003E3AFF">
        <w:rPr>
          <w:smallCaps/>
          <w:szCs w:val="24"/>
          <w:lang w:eastAsia="en-US"/>
        </w:rPr>
        <w:t>Procedurer og metoder til beregning af kapacitetsudnyttelsesgraden</w:t>
      </w:r>
    </w:p>
    <w:p w14:paraId="68BC5664" w14:textId="77777777" w:rsidR="008913ED" w:rsidRPr="008913ED" w:rsidRDefault="008913ED" w:rsidP="003E3AFF">
      <w:pPr>
        <w:spacing w:before="120" w:after="120" w:line="360" w:lineRule="auto"/>
        <w:ind w:left="851"/>
        <w:rPr>
          <w:szCs w:val="24"/>
          <w:lang w:eastAsia="en-US"/>
        </w:rPr>
      </w:pPr>
      <w:r w:rsidRPr="008913ED">
        <w:rPr>
          <w:szCs w:val="24"/>
          <w:lang w:eastAsia="en-US"/>
        </w:rPr>
        <w:t>Infrastrukturforvalterne vurderer kapacitetsudnyttelsesgraden på grundlag af mål, gennemsigtige og hensigtsmæssige procedurer og metoder.</w:t>
      </w:r>
    </w:p>
    <w:p w14:paraId="1C4B2DA5" w14:textId="77777777" w:rsidR="008913ED" w:rsidRPr="008913ED" w:rsidRDefault="008913ED" w:rsidP="003E3AFF">
      <w:pPr>
        <w:spacing w:before="120" w:after="120" w:line="360" w:lineRule="auto"/>
        <w:ind w:left="851"/>
        <w:rPr>
          <w:szCs w:val="24"/>
          <w:lang w:eastAsia="en-US"/>
        </w:rPr>
      </w:pPr>
      <w:r w:rsidRPr="008913ED">
        <w:rPr>
          <w:szCs w:val="24"/>
          <w:lang w:eastAsia="en-US"/>
        </w:rPr>
        <w:t>Infrastrukturforvalterne kan fortsat anvende eksisterende procedurer og metoder, der opfylder disse kriterier. Senest tre år efter denne forordnings ikrafttræden udarbejder ENIM en henstilling om anvendelsen af en harmoniseret EU-procedure og -metode til vurdering af udnyttelsen af jernbaneinfrastrukturkapacitet.</w:t>
      </w:r>
    </w:p>
    <w:p w14:paraId="0B22DB53" w14:textId="77777777" w:rsidR="008913ED" w:rsidRPr="008913ED" w:rsidRDefault="008913ED" w:rsidP="003E3AFF">
      <w:pPr>
        <w:spacing w:before="120" w:after="120" w:line="360" w:lineRule="auto"/>
        <w:ind w:left="851"/>
        <w:rPr>
          <w:szCs w:val="24"/>
          <w:lang w:eastAsia="en-US"/>
        </w:rPr>
      </w:pPr>
      <w:r w:rsidRPr="008913ED">
        <w:rPr>
          <w:szCs w:val="24"/>
          <w:lang w:eastAsia="en-US"/>
        </w:rPr>
        <w:t>Alternativt kan kapacitetsudnyttelsen vurderes som forholdet mellem efterspørgslen efter kapacitet (observeret/tidligere eller anslået fremtidig efterspørgsel) og den kapacitet, der er til rådighed i planen for kapacitetsudnyttelse i overensstemmelse med artikel 18.</w:t>
      </w:r>
    </w:p>
    <w:p w14:paraId="5344C476" w14:textId="02BC8715" w:rsidR="00AC5C90" w:rsidRDefault="00AC5C90">
      <w:pPr>
        <w:widowControl/>
        <w:rPr>
          <w:szCs w:val="24"/>
          <w:lang w:eastAsia="en-US"/>
        </w:rPr>
      </w:pPr>
      <w:r>
        <w:rPr>
          <w:szCs w:val="24"/>
          <w:lang w:eastAsia="en-US"/>
        </w:rPr>
        <w:br w:type="page"/>
      </w:r>
    </w:p>
    <w:p w14:paraId="1031BD62" w14:textId="77777777" w:rsidR="008913ED" w:rsidRPr="008913ED" w:rsidRDefault="008913ED" w:rsidP="008913ED">
      <w:pPr>
        <w:spacing w:before="120" w:after="120" w:line="360" w:lineRule="auto"/>
        <w:rPr>
          <w:szCs w:val="24"/>
          <w:lang w:eastAsia="en-US"/>
        </w:rPr>
      </w:pPr>
    </w:p>
    <w:p w14:paraId="5F3B1C43" w14:textId="77777777" w:rsidR="008913ED" w:rsidRPr="008913ED" w:rsidRDefault="008913ED" w:rsidP="008913ED">
      <w:pPr>
        <w:spacing w:before="120" w:after="120" w:line="360" w:lineRule="auto"/>
        <w:jc w:val="center"/>
        <w:rPr>
          <w:lang w:eastAsia="en-US"/>
        </w:rPr>
      </w:pPr>
      <w:r w:rsidRPr="008913ED">
        <w:rPr>
          <w:lang w:eastAsia="en-US"/>
        </w:rPr>
        <w:t>BILAG III</w:t>
      </w:r>
    </w:p>
    <w:p w14:paraId="79B81100" w14:textId="77777777" w:rsidR="008913ED" w:rsidRPr="008913ED" w:rsidRDefault="008913ED" w:rsidP="003E3AFF">
      <w:pPr>
        <w:spacing w:before="120" w:after="120" w:line="360" w:lineRule="auto"/>
        <w:jc w:val="center"/>
        <w:rPr>
          <w:szCs w:val="24"/>
          <w:lang w:eastAsia="en-US"/>
        </w:rPr>
      </w:pPr>
      <w:r w:rsidRPr="008913ED">
        <w:rPr>
          <w:szCs w:val="24"/>
          <w:lang w:eastAsia="en-US"/>
        </w:rPr>
        <w:t>INDHOLDET AF DEN EUROPÆISKE RAMME FOR KAPACITETSFORVALTNING, JF. ARTIKEL 6</w:t>
      </w:r>
    </w:p>
    <w:p w14:paraId="257124F6" w14:textId="77777777" w:rsidR="008913ED" w:rsidRPr="008913ED" w:rsidRDefault="008913ED" w:rsidP="008913ED">
      <w:pPr>
        <w:spacing w:before="120" w:after="120" w:line="360" w:lineRule="auto"/>
        <w:rPr>
          <w:szCs w:val="24"/>
          <w:lang w:eastAsia="en-US"/>
        </w:rPr>
      </w:pPr>
      <w:r w:rsidRPr="008913ED">
        <w:rPr>
          <w:szCs w:val="24"/>
          <w:lang w:eastAsia="en-US"/>
        </w:rPr>
        <w:t>Den europæiske ramme for kapacitetsforvaltning, der er omhandlet i artikel 6, skal mindst indeholde følgende elementer: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64"/>
        <w:gridCol w:w="2496"/>
      </w:tblGrid>
      <w:tr w:rsidR="008913ED" w:rsidRPr="008913ED" w14:paraId="320BB134" w14:textId="77777777" w:rsidTr="00002801">
        <w:trPr>
          <w:tblHeader/>
        </w:trPr>
        <w:tc>
          <w:tcPr>
            <w:tcW w:w="0" w:type="auto"/>
          </w:tcPr>
          <w:p w14:paraId="00A3C3DE" w14:textId="77777777" w:rsidR="008913ED" w:rsidRPr="008913ED" w:rsidRDefault="008913ED" w:rsidP="008913ED">
            <w:pPr>
              <w:spacing w:before="120" w:after="120" w:line="360" w:lineRule="auto"/>
              <w:rPr>
                <w:szCs w:val="24"/>
                <w:lang w:val="en-GB" w:eastAsia="en-US"/>
              </w:rPr>
            </w:pPr>
            <w:r w:rsidRPr="008913ED">
              <w:rPr>
                <w:szCs w:val="24"/>
                <w:lang w:val="en-GB" w:eastAsia="en-US"/>
              </w:rPr>
              <w:t>Element</w:t>
            </w:r>
          </w:p>
        </w:tc>
        <w:tc>
          <w:tcPr>
            <w:tcW w:w="0" w:type="auto"/>
          </w:tcPr>
          <w:p w14:paraId="259DCE9A" w14:textId="77777777" w:rsidR="008913ED" w:rsidRPr="008913ED" w:rsidRDefault="008913ED" w:rsidP="008913ED">
            <w:pPr>
              <w:spacing w:before="120" w:after="120" w:line="360" w:lineRule="auto"/>
              <w:rPr>
                <w:szCs w:val="24"/>
                <w:lang w:val="en-GB" w:eastAsia="en-US"/>
              </w:rPr>
            </w:pPr>
            <w:r w:rsidRPr="008913ED">
              <w:rPr>
                <w:szCs w:val="24"/>
                <w:lang w:val="en-GB" w:eastAsia="en-US"/>
              </w:rPr>
              <w:t>Henvisning(er)</w:t>
            </w:r>
          </w:p>
        </w:tc>
      </w:tr>
      <w:tr w:rsidR="008913ED" w:rsidRPr="008913ED" w14:paraId="3952E275" w14:textId="77777777" w:rsidTr="00002801">
        <w:tc>
          <w:tcPr>
            <w:tcW w:w="0" w:type="auto"/>
          </w:tcPr>
          <w:p w14:paraId="0599F345" w14:textId="77777777" w:rsidR="008913ED" w:rsidRPr="008913ED" w:rsidRDefault="008913ED" w:rsidP="008913ED">
            <w:pPr>
              <w:spacing w:before="120" w:after="120" w:line="360" w:lineRule="auto"/>
              <w:rPr>
                <w:szCs w:val="24"/>
                <w:lang w:eastAsia="en-US"/>
              </w:rPr>
            </w:pPr>
            <w:r w:rsidRPr="008913ED">
              <w:rPr>
                <w:szCs w:val="24"/>
                <w:lang w:eastAsia="en-US"/>
              </w:rPr>
              <w:t>Procedurer og metoder til forvaltning og tildeling af knap infrastrukturkapacitet på grundlag af socioøkonomiske og miljømæssige kriterier</w:t>
            </w:r>
          </w:p>
        </w:tc>
        <w:tc>
          <w:tcPr>
            <w:tcW w:w="0" w:type="auto"/>
          </w:tcPr>
          <w:p w14:paraId="7E1651F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8, stk. 5, artikel 8, stk. 6</w:t>
            </w:r>
          </w:p>
        </w:tc>
      </w:tr>
      <w:tr w:rsidR="008913ED" w:rsidRPr="008913ED" w14:paraId="65D3A3A7" w14:textId="77777777" w:rsidTr="00002801">
        <w:tc>
          <w:tcPr>
            <w:tcW w:w="0" w:type="auto"/>
          </w:tcPr>
          <w:p w14:paraId="3BC67872" w14:textId="77777777" w:rsidR="008913ED" w:rsidRPr="008913ED" w:rsidRDefault="008913ED" w:rsidP="008913ED">
            <w:pPr>
              <w:spacing w:before="120" w:after="120" w:line="360" w:lineRule="auto"/>
              <w:rPr>
                <w:szCs w:val="24"/>
                <w:lang w:eastAsia="en-US"/>
              </w:rPr>
            </w:pPr>
            <w:r w:rsidRPr="008913ED">
              <w:rPr>
                <w:szCs w:val="24"/>
                <w:lang w:eastAsia="en-US"/>
              </w:rPr>
              <w:t>Former for og beskrivelse af jernbanetransport til brug for strategisk planlægning af jernbaneinfrastrukturkapacitet</w:t>
            </w:r>
          </w:p>
        </w:tc>
        <w:tc>
          <w:tcPr>
            <w:tcW w:w="0" w:type="auto"/>
          </w:tcPr>
          <w:p w14:paraId="4807945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12, stk. 2</w:t>
            </w:r>
          </w:p>
        </w:tc>
      </w:tr>
      <w:tr w:rsidR="008913ED" w:rsidRPr="008913ED" w14:paraId="1E781B58" w14:textId="77777777" w:rsidTr="00002801">
        <w:tc>
          <w:tcPr>
            <w:tcW w:w="0" w:type="auto"/>
          </w:tcPr>
          <w:p w14:paraId="033A1EC7" w14:textId="77777777" w:rsidR="008913ED" w:rsidRPr="008913ED" w:rsidRDefault="008913ED" w:rsidP="008913ED">
            <w:pPr>
              <w:spacing w:before="120" w:after="120" w:line="360" w:lineRule="auto"/>
              <w:rPr>
                <w:szCs w:val="24"/>
                <w:lang w:eastAsia="en-US"/>
              </w:rPr>
            </w:pPr>
            <w:r w:rsidRPr="008913ED">
              <w:rPr>
                <w:szCs w:val="24"/>
                <w:lang w:eastAsia="en-US"/>
              </w:rPr>
              <w:t>Fælles principper, procedurer og metoder for strategisk kapacitetsplanlægning, herunder for samordning mellem infrastrukturforvaltere og høring af interessenter</w:t>
            </w:r>
          </w:p>
        </w:tc>
        <w:tc>
          <w:tcPr>
            <w:tcW w:w="0" w:type="auto"/>
          </w:tcPr>
          <w:p w14:paraId="67BB7B5A" w14:textId="77777777" w:rsidR="008913ED" w:rsidRPr="008913ED" w:rsidRDefault="008913ED" w:rsidP="008913ED">
            <w:pPr>
              <w:spacing w:before="120" w:after="120" w:line="360" w:lineRule="auto"/>
              <w:rPr>
                <w:szCs w:val="24"/>
                <w:lang w:eastAsia="en-US"/>
              </w:rPr>
            </w:pPr>
            <w:r w:rsidRPr="008913ED">
              <w:rPr>
                <w:szCs w:val="24"/>
                <w:lang w:eastAsia="en-US"/>
              </w:rPr>
              <w:t>Artikel 12, stk. 9, artikel 13 og artikel 14</w:t>
            </w:r>
          </w:p>
        </w:tc>
      </w:tr>
      <w:tr w:rsidR="008913ED" w:rsidRPr="008913ED" w14:paraId="2CF386B8" w14:textId="77777777" w:rsidTr="00002801">
        <w:tc>
          <w:tcPr>
            <w:tcW w:w="0" w:type="auto"/>
          </w:tcPr>
          <w:p w14:paraId="00BDBBD1" w14:textId="77777777" w:rsidR="008913ED" w:rsidRPr="008913ED" w:rsidRDefault="008913ED" w:rsidP="008913ED">
            <w:pPr>
              <w:spacing w:before="120" w:after="120" w:line="360" w:lineRule="auto"/>
              <w:rPr>
                <w:szCs w:val="24"/>
                <w:lang w:eastAsia="en-US"/>
              </w:rPr>
            </w:pPr>
            <w:r w:rsidRPr="008913ED">
              <w:rPr>
                <w:szCs w:val="24"/>
                <w:lang w:eastAsia="en-US"/>
              </w:rPr>
              <w:t>Metoder til offentliggørelse af kapacitetsforsyningsplanen og procedure for høring af ansøgere</w:t>
            </w:r>
          </w:p>
        </w:tc>
        <w:tc>
          <w:tcPr>
            <w:tcW w:w="0" w:type="auto"/>
          </w:tcPr>
          <w:p w14:paraId="09DAE0E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18, stk. 10</w:t>
            </w:r>
          </w:p>
        </w:tc>
      </w:tr>
      <w:tr w:rsidR="008913ED" w:rsidRPr="008913ED" w14:paraId="10A90A12" w14:textId="77777777" w:rsidTr="00002801">
        <w:tc>
          <w:tcPr>
            <w:tcW w:w="0" w:type="auto"/>
          </w:tcPr>
          <w:p w14:paraId="1583FCAD" w14:textId="77777777" w:rsidR="008913ED" w:rsidRPr="008913ED" w:rsidRDefault="008913ED" w:rsidP="008913ED">
            <w:pPr>
              <w:spacing w:before="120" w:after="120" w:line="360" w:lineRule="auto"/>
              <w:rPr>
                <w:szCs w:val="24"/>
                <w:lang w:eastAsia="en-US"/>
              </w:rPr>
            </w:pPr>
            <w:r w:rsidRPr="008913ED">
              <w:rPr>
                <w:szCs w:val="24"/>
                <w:lang w:eastAsia="en-US"/>
              </w:rPr>
              <w:t>Regler og procedurer for tildeling af på forhånd planlagt kapacitet, der indgår i kapacitetsforsyningsplanen</w:t>
            </w:r>
          </w:p>
        </w:tc>
        <w:tc>
          <w:tcPr>
            <w:tcW w:w="0" w:type="auto"/>
          </w:tcPr>
          <w:p w14:paraId="0381410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20, stk. 3</w:t>
            </w:r>
          </w:p>
        </w:tc>
      </w:tr>
      <w:tr w:rsidR="008913ED" w:rsidRPr="008913ED" w14:paraId="1A378107" w14:textId="77777777" w:rsidTr="00002801">
        <w:tc>
          <w:tcPr>
            <w:tcW w:w="0" w:type="auto"/>
          </w:tcPr>
          <w:p w14:paraId="3FF3FFCF" w14:textId="77777777" w:rsidR="008913ED" w:rsidRPr="008913ED" w:rsidRDefault="008913ED" w:rsidP="008913ED">
            <w:pPr>
              <w:spacing w:before="120" w:after="120" w:line="360" w:lineRule="auto"/>
              <w:rPr>
                <w:szCs w:val="24"/>
                <w:lang w:val="en-GB" w:eastAsia="en-US"/>
              </w:rPr>
            </w:pPr>
            <w:r w:rsidRPr="008913ED">
              <w:rPr>
                <w:szCs w:val="24"/>
                <w:lang w:val="en-GB" w:eastAsia="en-US"/>
              </w:rPr>
              <w:t>Karakteren af kapacitetsspecifikationer</w:t>
            </w:r>
          </w:p>
        </w:tc>
        <w:tc>
          <w:tcPr>
            <w:tcW w:w="0" w:type="auto"/>
          </w:tcPr>
          <w:p w14:paraId="0EA9914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26, stk. 1</w:t>
            </w:r>
          </w:p>
        </w:tc>
      </w:tr>
      <w:tr w:rsidR="008913ED" w:rsidRPr="008913ED" w14:paraId="08CADA8F" w14:textId="77777777" w:rsidTr="00002801">
        <w:tc>
          <w:tcPr>
            <w:tcW w:w="0" w:type="auto"/>
          </w:tcPr>
          <w:p w14:paraId="5E5DA569" w14:textId="77777777" w:rsidR="008913ED" w:rsidRPr="008913ED" w:rsidRDefault="008913ED" w:rsidP="008913ED">
            <w:pPr>
              <w:spacing w:before="120" w:after="120" w:line="360" w:lineRule="auto"/>
              <w:rPr>
                <w:szCs w:val="24"/>
                <w:lang w:eastAsia="en-US"/>
              </w:rPr>
            </w:pPr>
            <w:r w:rsidRPr="008913ED">
              <w:rPr>
                <w:szCs w:val="24"/>
                <w:lang w:eastAsia="en-US"/>
              </w:rPr>
              <w:t>Intervaller for tærskelkvoter for annullering af uudnyttede kapacitetsrettigheder</w:t>
            </w:r>
          </w:p>
        </w:tc>
        <w:tc>
          <w:tcPr>
            <w:tcW w:w="0" w:type="auto"/>
          </w:tcPr>
          <w:p w14:paraId="499F8C01"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27, stk. 6</w:t>
            </w:r>
          </w:p>
        </w:tc>
      </w:tr>
      <w:tr w:rsidR="008913ED" w:rsidRPr="008913ED" w14:paraId="24794428" w14:textId="77777777" w:rsidTr="00002801">
        <w:tc>
          <w:tcPr>
            <w:tcW w:w="0" w:type="auto"/>
          </w:tcPr>
          <w:p w14:paraId="692F4B68" w14:textId="77777777" w:rsidR="008913ED" w:rsidRPr="008913ED" w:rsidRDefault="008913ED" w:rsidP="008913ED">
            <w:pPr>
              <w:spacing w:before="120" w:after="120" w:line="360" w:lineRule="auto"/>
              <w:rPr>
                <w:szCs w:val="24"/>
                <w:lang w:eastAsia="en-US"/>
              </w:rPr>
            </w:pPr>
            <w:r w:rsidRPr="008913ED">
              <w:rPr>
                <w:szCs w:val="24"/>
                <w:lang w:eastAsia="en-US"/>
              </w:rPr>
              <w:t>Procedurer og metoder til koordinering af tildelingen af kapacitetsrettigheder på flere net, herunder minimumskvalitetskrav</w:t>
            </w:r>
          </w:p>
        </w:tc>
        <w:tc>
          <w:tcPr>
            <w:tcW w:w="0" w:type="auto"/>
          </w:tcPr>
          <w:p w14:paraId="566CBC1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28, stk. 5</w:t>
            </w:r>
          </w:p>
        </w:tc>
      </w:tr>
      <w:tr w:rsidR="008913ED" w:rsidRPr="008913ED" w14:paraId="1DC845EE" w14:textId="77777777" w:rsidTr="00002801">
        <w:tc>
          <w:tcPr>
            <w:tcW w:w="0" w:type="auto"/>
          </w:tcPr>
          <w:p w14:paraId="5B387F08" w14:textId="77777777" w:rsidR="008913ED" w:rsidRPr="008913ED" w:rsidRDefault="008913ED" w:rsidP="008913ED">
            <w:pPr>
              <w:spacing w:before="120" w:after="120" w:line="360" w:lineRule="auto"/>
              <w:rPr>
                <w:szCs w:val="24"/>
                <w:lang w:eastAsia="en-US"/>
              </w:rPr>
            </w:pPr>
            <w:r w:rsidRPr="008913ED">
              <w:rPr>
                <w:szCs w:val="24"/>
                <w:lang w:eastAsia="en-US"/>
              </w:rPr>
              <w:t xml:space="preserve">Retningslinjer for grænserne med hensyn til forskellene </w:t>
            </w:r>
            <w:r w:rsidRPr="008913ED">
              <w:rPr>
                <w:szCs w:val="24"/>
                <w:lang w:eastAsia="en-US"/>
              </w:rPr>
              <w:lastRenderedPageBreak/>
              <w:t>mellem ansøgernes ansøgninger om kapacitet og den infrastrukturkapacitet, som infrastrukturforvalterne har tilbudt inden for rammerne af den konsensusbaserede konfliktløsningsproces</w:t>
            </w:r>
          </w:p>
        </w:tc>
        <w:tc>
          <w:tcPr>
            <w:tcW w:w="0" w:type="auto"/>
          </w:tcPr>
          <w:p w14:paraId="216E4135" w14:textId="77777777" w:rsidR="008913ED" w:rsidRPr="008913ED" w:rsidRDefault="008913ED" w:rsidP="008913ED">
            <w:pPr>
              <w:spacing w:before="120" w:after="120" w:line="360" w:lineRule="auto"/>
              <w:rPr>
                <w:szCs w:val="24"/>
                <w:lang w:val="en-GB" w:eastAsia="en-US"/>
              </w:rPr>
            </w:pPr>
            <w:r w:rsidRPr="008913ED">
              <w:rPr>
                <w:szCs w:val="24"/>
                <w:lang w:val="en-GB" w:eastAsia="en-US"/>
              </w:rPr>
              <w:lastRenderedPageBreak/>
              <w:t>Artikel 36, stk. 2</w:t>
            </w:r>
          </w:p>
        </w:tc>
      </w:tr>
      <w:tr w:rsidR="008913ED" w:rsidRPr="008913ED" w14:paraId="0843279C" w14:textId="77777777" w:rsidTr="00002801">
        <w:tc>
          <w:tcPr>
            <w:tcW w:w="0" w:type="auto"/>
          </w:tcPr>
          <w:p w14:paraId="272F6D5D" w14:textId="77777777" w:rsidR="008913ED" w:rsidRPr="008913ED" w:rsidRDefault="008913ED" w:rsidP="008913ED">
            <w:pPr>
              <w:spacing w:before="120" w:after="120" w:line="360" w:lineRule="auto"/>
              <w:rPr>
                <w:szCs w:val="24"/>
                <w:lang w:eastAsia="en-US"/>
              </w:rPr>
            </w:pPr>
            <w:r w:rsidRPr="008913ED">
              <w:rPr>
                <w:szCs w:val="24"/>
                <w:lang w:eastAsia="en-US"/>
              </w:rPr>
              <w:t>Procedurer for håndtering af ændringer af kapacitetsrettigheder efter tildeling</w:t>
            </w:r>
          </w:p>
        </w:tc>
        <w:tc>
          <w:tcPr>
            <w:tcW w:w="0" w:type="auto"/>
          </w:tcPr>
          <w:p w14:paraId="6183619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39, stk. 8</w:t>
            </w:r>
          </w:p>
        </w:tc>
      </w:tr>
      <w:tr w:rsidR="008913ED" w:rsidRPr="008913ED" w14:paraId="607A6C28" w14:textId="77777777" w:rsidTr="00002801">
        <w:tc>
          <w:tcPr>
            <w:tcW w:w="0" w:type="auto"/>
          </w:tcPr>
          <w:p w14:paraId="13535208" w14:textId="77777777" w:rsidR="008913ED" w:rsidRPr="008913ED" w:rsidRDefault="008913ED" w:rsidP="008913ED">
            <w:pPr>
              <w:spacing w:before="120" w:after="120" w:line="360" w:lineRule="auto"/>
              <w:rPr>
                <w:szCs w:val="24"/>
                <w:lang w:eastAsia="en-US"/>
              </w:rPr>
            </w:pPr>
            <w:r w:rsidRPr="008913ED">
              <w:rPr>
                <w:szCs w:val="24"/>
                <w:lang w:eastAsia="en-US"/>
              </w:rPr>
              <w:t>Betingelser, der giver anledning til kompensation for ændringer af kapacitetsrettigheder</w:t>
            </w:r>
          </w:p>
        </w:tc>
        <w:tc>
          <w:tcPr>
            <w:tcW w:w="0" w:type="auto"/>
          </w:tcPr>
          <w:p w14:paraId="7E7EC5E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40, stk. 3</w:t>
            </w:r>
          </w:p>
        </w:tc>
      </w:tr>
      <w:tr w:rsidR="008913ED" w:rsidRPr="008913ED" w14:paraId="28919980" w14:textId="77777777" w:rsidTr="00002801">
        <w:tc>
          <w:tcPr>
            <w:tcW w:w="0" w:type="auto"/>
          </w:tcPr>
          <w:p w14:paraId="53941A83" w14:textId="77777777" w:rsidR="008913ED" w:rsidRPr="008913ED" w:rsidRDefault="008913ED" w:rsidP="008913ED">
            <w:pPr>
              <w:spacing w:before="120" w:after="120" w:line="360" w:lineRule="auto"/>
              <w:rPr>
                <w:szCs w:val="24"/>
                <w:lang w:eastAsia="en-US"/>
              </w:rPr>
            </w:pPr>
            <w:r w:rsidRPr="008913ED">
              <w:rPr>
                <w:szCs w:val="24"/>
                <w:lang w:eastAsia="en-US"/>
              </w:rPr>
              <w:t>Principper, regler og procedurer for forvaltning og tildeling af infrastrukturkapacitet i tilfælde af netforstyrrelser</w:t>
            </w:r>
          </w:p>
        </w:tc>
        <w:tc>
          <w:tcPr>
            <w:tcW w:w="0" w:type="auto"/>
          </w:tcPr>
          <w:p w14:paraId="73CA079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41, stk. 2</w:t>
            </w:r>
          </w:p>
        </w:tc>
      </w:tr>
    </w:tbl>
    <w:p w14:paraId="6B843EF0" w14:textId="77777777" w:rsidR="00AC5C90" w:rsidRDefault="00AC5C90">
      <w:pPr>
        <w:widowControl/>
        <w:rPr>
          <w:szCs w:val="24"/>
          <w:lang w:val="en-GB" w:eastAsia="en-US"/>
        </w:rPr>
      </w:pPr>
      <w:r>
        <w:rPr>
          <w:szCs w:val="24"/>
          <w:lang w:val="en-GB" w:eastAsia="en-US"/>
        </w:rPr>
        <w:br w:type="page"/>
      </w:r>
    </w:p>
    <w:p w14:paraId="33530563" w14:textId="77777777" w:rsidR="008913ED" w:rsidRPr="008913ED" w:rsidRDefault="008913ED" w:rsidP="008913ED">
      <w:pPr>
        <w:spacing w:before="120" w:after="120" w:line="360" w:lineRule="auto"/>
        <w:rPr>
          <w:szCs w:val="24"/>
          <w:lang w:val="en-GB" w:eastAsia="en-US"/>
        </w:rPr>
      </w:pPr>
    </w:p>
    <w:p w14:paraId="13026D53" w14:textId="77777777" w:rsidR="008913ED" w:rsidRPr="008913ED" w:rsidRDefault="008913ED" w:rsidP="008913ED">
      <w:pPr>
        <w:spacing w:before="120" w:after="120" w:line="360" w:lineRule="auto"/>
        <w:jc w:val="center"/>
        <w:rPr>
          <w:lang w:eastAsia="en-US"/>
        </w:rPr>
      </w:pPr>
      <w:r w:rsidRPr="008913ED">
        <w:rPr>
          <w:lang w:eastAsia="en-US"/>
        </w:rPr>
        <w:t>BILAG IV</w:t>
      </w:r>
    </w:p>
    <w:p w14:paraId="5F28D222" w14:textId="735E4E9B" w:rsidR="008913ED" w:rsidRPr="008913ED" w:rsidRDefault="008913ED" w:rsidP="003E3AFF">
      <w:pPr>
        <w:spacing w:before="120" w:after="120" w:line="360" w:lineRule="auto"/>
        <w:jc w:val="center"/>
        <w:rPr>
          <w:szCs w:val="24"/>
          <w:lang w:eastAsia="en-US"/>
        </w:rPr>
      </w:pPr>
      <w:r w:rsidRPr="008913ED">
        <w:rPr>
          <w:szCs w:val="24"/>
          <w:lang w:eastAsia="en-US"/>
        </w:rPr>
        <w:t>Indholdet af den netvejledning, der er omhandlet i artikel 27 i direktiv 2012/34/EU — afsnit om kapacitetsforvaltning og trafikstyring</w:t>
      </w:r>
    </w:p>
    <w:p w14:paraId="3C12390B" w14:textId="77777777" w:rsidR="008913ED" w:rsidRPr="008913ED" w:rsidRDefault="008913ED" w:rsidP="008913ED">
      <w:pPr>
        <w:spacing w:before="120" w:after="120" w:line="360" w:lineRule="auto"/>
        <w:rPr>
          <w:szCs w:val="24"/>
          <w:lang w:eastAsia="en-US"/>
        </w:rPr>
      </w:pPr>
      <w:r w:rsidRPr="008913ED">
        <w:rPr>
          <w:szCs w:val="24"/>
          <w:lang w:eastAsia="en-US"/>
        </w:rPr>
        <w:t>Den netvejledning, der er omhandlet i artikel 27 i direktiv 2012/34/EU, skal indeholde:</w:t>
      </w:r>
    </w:p>
    <w:p w14:paraId="22233AE8" w14:textId="6212892E" w:rsidR="008913ED" w:rsidRPr="008913ED" w:rsidRDefault="008913ED" w:rsidP="008913ED">
      <w:pPr>
        <w:spacing w:before="120" w:after="120" w:line="360" w:lineRule="auto"/>
        <w:ind w:left="850" w:hanging="850"/>
        <w:rPr>
          <w:szCs w:val="24"/>
          <w:lang w:eastAsia="en-US"/>
        </w:rPr>
      </w:pPr>
      <w:r w:rsidRPr="008913ED">
        <w:rPr>
          <w:szCs w:val="24"/>
          <w:lang w:eastAsia="en-US"/>
        </w:rPr>
        <w:t>1)</w:t>
      </w:r>
      <w:r w:rsidRPr="008913ED">
        <w:rPr>
          <w:szCs w:val="24"/>
          <w:lang w:eastAsia="en-US"/>
        </w:rPr>
        <w:tab/>
        <w:t>Et afsnit om den infrastruktur, der er til jernbanevirksomhedernes rådighed, og om betingelserne for adgang til denne. I dette afsnit henvises til de tilgængelige oplysninger i det infrastrukturregister, der er omhandlet i artikel 49 i direktiv (EU) 2016/797.</w:t>
      </w:r>
    </w:p>
    <w:p w14:paraId="3C979CF0" w14:textId="7C2588CB" w:rsidR="008913ED" w:rsidRPr="008913ED" w:rsidRDefault="008913ED" w:rsidP="008913ED">
      <w:pPr>
        <w:spacing w:before="120" w:after="120" w:line="360" w:lineRule="auto"/>
        <w:ind w:left="850" w:hanging="850"/>
        <w:rPr>
          <w:szCs w:val="24"/>
          <w:lang w:eastAsia="en-US"/>
        </w:rPr>
      </w:pPr>
      <w:r w:rsidRPr="008913ED">
        <w:rPr>
          <w:szCs w:val="24"/>
          <w:lang w:eastAsia="en-US"/>
        </w:rPr>
        <w:t>2)</w:t>
      </w:r>
      <w:r w:rsidRPr="008913ED">
        <w:rPr>
          <w:szCs w:val="24"/>
          <w:lang w:eastAsia="en-US"/>
        </w:rPr>
        <w:tab/>
        <w:t>Et afsnit om principperne og kriterierne for kapacitetsforvaltning. I afsnittet skal der redegøres for de generelle kapacitetskarakteristika ved den infrastruktur, der er til rådighed for jernbanevirksomheder, og for alle restriktioner for dens brug, herunder forventelige behov for kapacitet til vedligeholdelse. Det skal desuden indeholde nærmere oplysninger om procedurer og tidsfrister vedrørende kapacitetsforvaltningen og de specifikke kriterier, der skal anvendes, herunder særlig:</w:t>
      </w:r>
    </w:p>
    <w:p w14:paraId="7EA7D0DF" w14:textId="77777777" w:rsidR="00216C2C" w:rsidRDefault="00216C2C">
      <w:pPr>
        <w:widowControl/>
        <w:rPr>
          <w:szCs w:val="24"/>
          <w:lang w:eastAsia="en-US"/>
        </w:rPr>
      </w:pPr>
      <w:r>
        <w:rPr>
          <w:szCs w:val="24"/>
          <w:lang w:eastAsia="en-US"/>
        </w:rPr>
        <w:br w:type="page"/>
      </w:r>
    </w:p>
    <w:p w14:paraId="1F6C880B" w14:textId="46FDC0D7" w:rsidR="008913ED" w:rsidRPr="008913ED" w:rsidRDefault="008913ED" w:rsidP="008913ED">
      <w:pPr>
        <w:spacing w:before="120" w:after="120" w:line="360" w:lineRule="auto"/>
        <w:ind w:left="1416" w:hanging="566"/>
        <w:rPr>
          <w:b/>
          <w:szCs w:val="24"/>
          <w:lang w:eastAsia="en-US"/>
        </w:rPr>
      </w:pPr>
      <w:r w:rsidRPr="008913ED">
        <w:rPr>
          <w:szCs w:val="24"/>
          <w:lang w:eastAsia="en-US"/>
        </w:rPr>
        <w:lastRenderedPageBreak/>
        <w:t>a)</w:t>
      </w:r>
      <w:r w:rsidRPr="008913ED">
        <w:rPr>
          <w:szCs w:val="24"/>
          <w:lang w:eastAsia="en-US"/>
        </w:rPr>
        <w:tab/>
        <w:t>procedurerne for høring af ansøgerne</w:t>
      </w:r>
      <w:r w:rsidRPr="008913ED">
        <w:rPr>
          <w:b/>
          <w:i/>
          <w:szCs w:val="24"/>
          <w:lang w:eastAsia="en-US"/>
        </w:rPr>
        <w:t>, jf. artikel 55a,</w:t>
      </w:r>
      <w:r w:rsidRPr="008913ED">
        <w:rPr>
          <w:szCs w:val="24"/>
          <w:lang w:eastAsia="en-US"/>
        </w:rPr>
        <w:t xml:space="preserve"> om strategisk kapacitetsplanlægning</w:t>
      </w:r>
      <w:r w:rsidRPr="008913ED">
        <w:rPr>
          <w:b/>
          <w:szCs w:val="24"/>
          <w:lang w:eastAsia="en-US"/>
        </w:rPr>
        <w:t xml:space="preserve"> [Ændring 262]</w:t>
      </w:r>
    </w:p>
    <w:p w14:paraId="21ABD435" w14:textId="0FDBE3EE"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de nærmere vilkår, på hvilke ansøgere kan ansøge om kapacitet fra infrastrukturforvalteren</w:t>
      </w:r>
    </w:p>
    <w:p w14:paraId="57F8B04C" w14:textId="01C3E38D"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de krav, der stilles til ansøgere</w:t>
      </w:r>
    </w:p>
    <w:p w14:paraId="7A90328A" w14:textId="52FD53A4"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tidsplanen for strategisk kapacitetsplanlægning, for ansøgnings-, tildelings-, tilpasnings- og omlægningsprocessen og de procedurer, der skal følges ved anmodning om oplysninger om tidsplan, og de procedurer, der skal følges ved planlægning af planlagt og uforudset vedligeholdelsesarbejde</w:t>
      </w:r>
    </w:p>
    <w:p w14:paraId="08EFDDA9" w14:textId="5B7E95FE" w:rsidR="008913ED" w:rsidRPr="008913ED" w:rsidRDefault="008913ED" w:rsidP="008913ED">
      <w:pPr>
        <w:spacing w:before="120" w:after="120" w:line="360" w:lineRule="auto"/>
        <w:ind w:left="1416" w:hanging="566"/>
        <w:rPr>
          <w:szCs w:val="24"/>
          <w:lang w:eastAsia="en-US"/>
        </w:rPr>
      </w:pPr>
      <w:r w:rsidRPr="008913ED">
        <w:rPr>
          <w:szCs w:val="24"/>
          <w:lang w:eastAsia="en-US"/>
        </w:rPr>
        <w:t>e)</w:t>
      </w:r>
      <w:r w:rsidRPr="008913ED">
        <w:rPr>
          <w:szCs w:val="24"/>
          <w:lang w:eastAsia="en-US"/>
        </w:rPr>
        <w:tab/>
        <w:t>principperne for den konsensusbaserede konfliktløsningsmekanisme, der er omhandlet i artikel 36, herunder det tvistbilæggelsessystem, der stilles til rådighed som led i denne proces, og den formelle konfliktløsningsmekanisme, der er omhandlet i artikel 37</w:t>
      </w:r>
    </w:p>
    <w:p w14:paraId="751743E1" w14:textId="224D12D5" w:rsidR="008913ED" w:rsidRPr="008913ED" w:rsidRDefault="008913ED" w:rsidP="008913ED">
      <w:pPr>
        <w:spacing w:before="120" w:after="120" w:line="360" w:lineRule="auto"/>
        <w:ind w:left="1416" w:hanging="566"/>
        <w:rPr>
          <w:szCs w:val="24"/>
          <w:lang w:eastAsia="en-US"/>
        </w:rPr>
      </w:pPr>
      <w:r w:rsidRPr="008913ED">
        <w:rPr>
          <w:szCs w:val="24"/>
          <w:lang w:eastAsia="en-US"/>
        </w:rPr>
        <w:t>f)</w:t>
      </w:r>
      <w:r w:rsidRPr="008913ED">
        <w:rPr>
          <w:szCs w:val="24"/>
          <w:lang w:eastAsia="en-US"/>
        </w:rPr>
        <w:tab/>
        <w:t>strukturen og niveauet af kompensationer for ændringer af kapacitetsrettigheder</w:t>
      </w:r>
    </w:p>
    <w:p w14:paraId="63155685" w14:textId="77777777" w:rsidR="00216C2C" w:rsidRDefault="00216C2C">
      <w:pPr>
        <w:widowControl/>
        <w:rPr>
          <w:szCs w:val="24"/>
          <w:lang w:eastAsia="en-US"/>
        </w:rPr>
      </w:pPr>
      <w:r>
        <w:rPr>
          <w:szCs w:val="24"/>
          <w:lang w:eastAsia="en-US"/>
        </w:rPr>
        <w:br w:type="page"/>
      </w:r>
    </w:p>
    <w:p w14:paraId="18940461" w14:textId="01D83BE4"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g)</w:t>
      </w:r>
      <w:r w:rsidRPr="008913ED">
        <w:rPr>
          <w:szCs w:val="24"/>
          <w:lang w:eastAsia="en-US"/>
        </w:rPr>
        <w:tab/>
        <w:t>de procedurer og kriterier, der anvendes, hvis infrastrukturkapaciteten er stærkt udnyttet eller overbelastet</w:t>
      </w:r>
    </w:p>
    <w:p w14:paraId="0178B79D" w14:textId="5F7E4A61" w:rsidR="008913ED" w:rsidRPr="008913ED" w:rsidRDefault="008913ED" w:rsidP="008913ED">
      <w:pPr>
        <w:spacing w:before="120" w:after="120" w:line="360" w:lineRule="auto"/>
        <w:ind w:left="1416" w:hanging="566"/>
        <w:rPr>
          <w:szCs w:val="24"/>
          <w:lang w:eastAsia="en-US"/>
        </w:rPr>
      </w:pPr>
      <w:r w:rsidRPr="008913ED">
        <w:rPr>
          <w:szCs w:val="24"/>
          <w:lang w:eastAsia="en-US"/>
        </w:rPr>
        <w:t>h)</w:t>
      </w:r>
      <w:r w:rsidRPr="008913ED">
        <w:rPr>
          <w:szCs w:val="24"/>
          <w:lang w:eastAsia="en-US"/>
        </w:rPr>
        <w:tab/>
        <w:t>nærmere oplysninger om restriktioner for brugen af infrastruktur</w:t>
      </w:r>
    </w:p>
    <w:p w14:paraId="0F28A242" w14:textId="0AF8600F" w:rsidR="008913ED" w:rsidRPr="008913ED" w:rsidRDefault="008913ED" w:rsidP="008913ED">
      <w:pPr>
        <w:spacing w:before="120" w:after="120" w:line="360" w:lineRule="auto"/>
        <w:ind w:left="1416" w:hanging="566"/>
        <w:rPr>
          <w:szCs w:val="24"/>
          <w:lang w:eastAsia="en-US"/>
        </w:rPr>
      </w:pPr>
      <w:r w:rsidRPr="008913ED">
        <w:rPr>
          <w:szCs w:val="24"/>
          <w:lang w:eastAsia="en-US"/>
        </w:rPr>
        <w:t>i)</w:t>
      </w:r>
      <w:r w:rsidRPr="008913ED">
        <w:rPr>
          <w:szCs w:val="24"/>
          <w:lang w:eastAsia="en-US"/>
        </w:rPr>
        <w:tab/>
        <w:t>en redegørelse for eventuelle afvigelser fra den europæiske ramme omhandlet i artikel 6.</w:t>
      </w:r>
    </w:p>
    <w:p w14:paraId="24E57580" w14:textId="7589CA61" w:rsidR="008913ED" w:rsidRPr="008913ED" w:rsidRDefault="008913ED" w:rsidP="008913ED">
      <w:pPr>
        <w:spacing w:before="120" w:after="120" w:line="360" w:lineRule="auto"/>
        <w:ind w:left="850" w:hanging="850"/>
        <w:rPr>
          <w:szCs w:val="24"/>
          <w:lang w:eastAsia="en-US"/>
        </w:rPr>
      </w:pPr>
      <w:r w:rsidRPr="008913ED">
        <w:rPr>
          <w:szCs w:val="24"/>
          <w:lang w:eastAsia="en-US"/>
        </w:rPr>
        <w:t>3)</w:t>
      </w:r>
      <w:r w:rsidRPr="008913ED">
        <w:rPr>
          <w:szCs w:val="24"/>
          <w:lang w:eastAsia="en-US"/>
        </w:rPr>
        <w:tab/>
        <w:t>Et afsnit om drift, herunder om trafikstyring, håndtering af forstyrrelser og krisestyring. Heri redegøres for gennemførelsen af de krav, der er fastsat i denne forordning og i direktiv (EU) 2016/797, direktiv (EU) 2016/798 og direktiv 2007/59/EF, herunder:</w:t>
      </w:r>
    </w:p>
    <w:p w14:paraId="11D98555" w14:textId="4225EE83"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driftsregler, herunder prioritetsregler eller prioritetsprincipper for trafikstyring, en liste over eller henvisninger til tekniske, driftsmæssige og sikkerhedsmæssige regler og til regler vedrørende operationelt personale</w:t>
      </w:r>
    </w:p>
    <w:p w14:paraId="60DCD732" w14:textId="443BFA6C"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operationelle foranstaltninger, herunder regler og procedurer for håndtering af forstyrrelser og krisestyring, operationel kommunikation og dataudveksling med jernbanevirksomheder og andre operationelle interessenter</w:t>
      </w:r>
    </w:p>
    <w:p w14:paraId="0F4AE042" w14:textId="77777777" w:rsidR="00216C2C" w:rsidRDefault="00216C2C">
      <w:pPr>
        <w:widowControl/>
        <w:rPr>
          <w:szCs w:val="24"/>
          <w:lang w:eastAsia="en-US"/>
        </w:rPr>
      </w:pPr>
      <w:r>
        <w:rPr>
          <w:szCs w:val="24"/>
          <w:lang w:eastAsia="en-US"/>
        </w:rPr>
        <w:br w:type="page"/>
      </w:r>
    </w:p>
    <w:p w14:paraId="13387C09" w14:textId="4C02CB1D" w:rsidR="008913ED" w:rsidRPr="008913ED" w:rsidRDefault="008913ED" w:rsidP="008913ED">
      <w:pPr>
        <w:spacing w:before="120" w:after="120" w:line="360" w:lineRule="auto"/>
        <w:ind w:left="1416" w:hanging="566"/>
        <w:rPr>
          <w:szCs w:val="24"/>
          <w:lang w:eastAsia="en-US"/>
        </w:rPr>
      </w:pPr>
      <w:r w:rsidRPr="008913ED">
        <w:rPr>
          <w:szCs w:val="24"/>
          <w:lang w:eastAsia="en-US"/>
        </w:rPr>
        <w:lastRenderedPageBreak/>
        <w:t>c)</w:t>
      </w:r>
      <w:r w:rsidRPr="008913ED">
        <w:rPr>
          <w:szCs w:val="24"/>
          <w:lang w:eastAsia="en-US"/>
        </w:rPr>
        <w:tab/>
        <w:t>en liste over og henvisninger til de informationssystemer, der anvendes i driften</w:t>
      </w:r>
    </w:p>
    <w:p w14:paraId="78FB1F69" w14:textId="2236F51F" w:rsidR="008913ED" w:rsidRPr="008913ED" w:rsidRDefault="008913ED" w:rsidP="008913ED">
      <w:pPr>
        <w:spacing w:before="120" w:after="120" w:line="360" w:lineRule="auto"/>
        <w:ind w:left="1416" w:hanging="566"/>
        <w:rPr>
          <w:szCs w:val="24"/>
          <w:lang w:eastAsia="en-US"/>
        </w:rPr>
      </w:pPr>
      <w:r w:rsidRPr="008913ED">
        <w:rPr>
          <w:szCs w:val="24"/>
          <w:lang w:eastAsia="en-US"/>
        </w:rPr>
        <w:t>d)</w:t>
      </w:r>
      <w:r w:rsidRPr="008913ED">
        <w:rPr>
          <w:szCs w:val="24"/>
          <w:lang w:eastAsia="en-US"/>
        </w:rPr>
        <w:tab/>
        <w:t>en redegørelse for eventuelle afvigelser fra den europæiske ramme omhandlet i artikel 44.</w:t>
      </w:r>
    </w:p>
    <w:p w14:paraId="54F0FD8C" w14:textId="31667B15" w:rsidR="008913ED" w:rsidRPr="008913ED" w:rsidRDefault="008913ED" w:rsidP="008913ED">
      <w:pPr>
        <w:spacing w:before="120" w:after="120" w:line="360" w:lineRule="auto"/>
        <w:ind w:left="850" w:hanging="850"/>
        <w:rPr>
          <w:szCs w:val="24"/>
          <w:lang w:eastAsia="en-US"/>
        </w:rPr>
      </w:pPr>
      <w:r w:rsidRPr="008913ED">
        <w:rPr>
          <w:szCs w:val="24"/>
          <w:lang w:eastAsia="en-US"/>
        </w:rPr>
        <w:t>4)</w:t>
      </w:r>
      <w:r w:rsidRPr="008913ED">
        <w:rPr>
          <w:szCs w:val="24"/>
          <w:lang w:eastAsia="en-US"/>
        </w:rPr>
        <w:tab/>
        <w:t>Et afsnit om nøgleelementerne i præstationsstyring, herunder navnlig:</w:t>
      </w:r>
    </w:p>
    <w:p w14:paraId="3C3BCE2F" w14:textId="438C9FC8" w:rsidR="008913ED" w:rsidRPr="008913ED" w:rsidRDefault="008913ED" w:rsidP="008913ED">
      <w:pPr>
        <w:spacing w:before="120" w:after="120" w:line="360" w:lineRule="auto"/>
        <w:ind w:left="1416" w:hanging="566"/>
        <w:rPr>
          <w:szCs w:val="24"/>
          <w:lang w:eastAsia="en-US"/>
        </w:rPr>
      </w:pPr>
      <w:r w:rsidRPr="008913ED">
        <w:rPr>
          <w:szCs w:val="24"/>
          <w:lang w:eastAsia="en-US"/>
        </w:rPr>
        <w:t>a)</w:t>
      </w:r>
      <w:r w:rsidRPr="008913ED">
        <w:rPr>
          <w:szCs w:val="24"/>
          <w:lang w:eastAsia="en-US"/>
        </w:rPr>
        <w:tab/>
        <w:t>henvisninger til præstationsmål fastsat i den virksomhedsplan, der er omhandlet i artikel 8, stk. 2, i direktiv 2012/34/EU, og i den kontraktmæssige aftale, der er omhandlet i artikel 30 i nævnte direktiv</w:t>
      </w:r>
    </w:p>
    <w:p w14:paraId="5D61B13F" w14:textId="04DA9C9E" w:rsidR="008913ED" w:rsidRPr="008913ED" w:rsidRDefault="008913ED" w:rsidP="008913ED">
      <w:pPr>
        <w:spacing w:before="120" w:after="120" w:line="360" w:lineRule="auto"/>
        <w:ind w:left="1416" w:hanging="566"/>
        <w:rPr>
          <w:szCs w:val="24"/>
          <w:lang w:eastAsia="en-US"/>
        </w:rPr>
      </w:pPr>
      <w:r w:rsidRPr="008913ED">
        <w:rPr>
          <w:szCs w:val="24"/>
          <w:lang w:eastAsia="en-US"/>
        </w:rPr>
        <w:t>b)</w:t>
      </w:r>
      <w:r w:rsidRPr="008913ED">
        <w:rPr>
          <w:szCs w:val="24"/>
          <w:lang w:eastAsia="en-US"/>
        </w:rPr>
        <w:tab/>
        <w:t>procedurer til at overvåge og rapportere om fremskridt hen imod opfyldelsen af målene, til at identificere årsagerne til præstationsmangler sammen med operationelle interessenter og til at udforme og gennemføre afhjælpende foranstaltninger for at forbedre resultaterne</w:t>
      </w:r>
    </w:p>
    <w:p w14:paraId="07D9A55E" w14:textId="51B70E86" w:rsidR="008913ED" w:rsidRPr="008913ED" w:rsidRDefault="008913ED" w:rsidP="008913ED">
      <w:pPr>
        <w:spacing w:before="120" w:after="120" w:line="360" w:lineRule="auto"/>
        <w:ind w:left="1416" w:hanging="566"/>
        <w:rPr>
          <w:szCs w:val="24"/>
          <w:lang w:eastAsia="en-US"/>
        </w:rPr>
      </w:pPr>
      <w:r w:rsidRPr="008913ED">
        <w:rPr>
          <w:szCs w:val="24"/>
          <w:lang w:eastAsia="en-US"/>
        </w:rPr>
        <w:t>c)</w:t>
      </w:r>
      <w:r w:rsidRPr="008913ED">
        <w:rPr>
          <w:szCs w:val="24"/>
          <w:lang w:eastAsia="en-US"/>
        </w:rPr>
        <w:tab/>
        <w:t>en redegørelse for eventuelle afvigelser fra den europæiske ramme omhandlet i artikel 50.</w:t>
      </w:r>
    </w:p>
    <w:p w14:paraId="43A9B4B4" w14:textId="4B6F6317" w:rsidR="00AC5C90" w:rsidRDefault="00AC5C90">
      <w:pPr>
        <w:widowControl/>
        <w:rPr>
          <w:szCs w:val="24"/>
          <w:lang w:eastAsia="en-US"/>
        </w:rPr>
      </w:pPr>
      <w:r>
        <w:rPr>
          <w:szCs w:val="24"/>
          <w:lang w:eastAsia="en-US"/>
        </w:rPr>
        <w:br w:type="page"/>
      </w:r>
    </w:p>
    <w:p w14:paraId="60864803" w14:textId="77777777" w:rsidR="008913ED" w:rsidRPr="008913ED" w:rsidRDefault="008913ED" w:rsidP="008913ED">
      <w:pPr>
        <w:spacing w:before="120" w:after="120" w:line="360" w:lineRule="auto"/>
        <w:rPr>
          <w:szCs w:val="24"/>
          <w:lang w:eastAsia="en-US"/>
        </w:rPr>
      </w:pPr>
    </w:p>
    <w:p w14:paraId="1A858724" w14:textId="77777777" w:rsidR="008913ED" w:rsidRPr="008913ED" w:rsidRDefault="008913ED" w:rsidP="008913ED">
      <w:pPr>
        <w:spacing w:before="120" w:after="120" w:line="360" w:lineRule="auto"/>
        <w:jc w:val="center"/>
        <w:rPr>
          <w:lang w:eastAsia="en-US"/>
        </w:rPr>
      </w:pPr>
      <w:r w:rsidRPr="008913ED">
        <w:rPr>
          <w:lang w:eastAsia="en-US"/>
        </w:rPr>
        <w:t>BILAG V</w:t>
      </w:r>
    </w:p>
    <w:p w14:paraId="0F9E20B6" w14:textId="77777777" w:rsidR="008913ED" w:rsidRPr="008913ED" w:rsidRDefault="008913ED" w:rsidP="003E3AFF">
      <w:pPr>
        <w:spacing w:before="120" w:after="120" w:line="360" w:lineRule="auto"/>
        <w:jc w:val="center"/>
        <w:rPr>
          <w:szCs w:val="24"/>
          <w:lang w:eastAsia="en-US"/>
        </w:rPr>
      </w:pPr>
      <w:r w:rsidRPr="008913ED">
        <w:rPr>
          <w:szCs w:val="24"/>
          <w:lang w:eastAsia="en-US"/>
        </w:rPr>
        <w:t>INDHOLDET AF DEN EUROPÆISKE RAMME FOR GRÆNSEOVERSKRIDENDE KOORDINERING AF TRAFIKSTYRING, HÅNDTERING AF FORSTYRRELSER OG KRISESTYRING, JF. ARTIKEL 44</w:t>
      </w:r>
    </w:p>
    <w:p w14:paraId="4059952C" w14:textId="77777777" w:rsidR="008913ED" w:rsidRPr="008913ED" w:rsidRDefault="008913ED" w:rsidP="008913ED">
      <w:pPr>
        <w:spacing w:before="120" w:after="120" w:line="360" w:lineRule="auto"/>
        <w:rPr>
          <w:szCs w:val="24"/>
          <w:lang w:eastAsia="en-US"/>
        </w:rPr>
      </w:pPr>
      <w:r w:rsidRPr="008913ED">
        <w:rPr>
          <w:szCs w:val="24"/>
          <w:lang w:eastAsia="en-US"/>
        </w:rPr>
        <w:t>Den europæiske ramme for koordinering af grænseoverskridende trafikstyring, håndtering af forstyrrelser og krisestyring skal mindst indeholde følgende elementer: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256"/>
        <w:gridCol w:w="2804"/>
      </w:tblGrid>
      <w:tr w:rsidR="008913ED" w:rsidRPr="008913ED" w14:paraId="0D9D7F9C" w14:textId="77777777" w:rsidTr="00002801">
        <w:trPr>
          <w:tblHeader/>
        </w:trPr>
        <w:tc>
          <w:tcPr>
            <w:tcW w:w="0" w:type="auto"/>
          </w:tcPr>
          <w:p w14:paraId="47BC9585" w14:textId="77777777" w:rsidR="008913ED" w:rsidRPr="008913ED" w:rsidRDefault="008913ED" w:rsidP="008913ED">
            <w:pPr>
              <w:spacing w:before="120" w:after="120" w:line="360" w:lineRule="auto"/>
              <w:rPr>
                <w:szCs w:val="24"/>
                <w:lang w:val="en-GB" w:eastAsia="en-US"/>
              </w:rPr>
            </w:pPr>
            <w:r w:rsidRPr="008913ED">
              <w:rPr>
                <w:szCs w:val="24"/>
                <w:lang w:val="en-GB" w:eastAsia="en-US"/>
              </w:rPr>
              <w:t>Element</w:t>
            </w:r>
          </w:p>
        </w:tc>
        <w:tc>
          <w:tcPr>
            <w:tcW w:w="0" w:type="auto"/>
          </w:tcPr>
          <w:p w14:paraId="28C0F5AC" w14:textId="77777777" w:rsidR="008913ED" w:rsidRPr="008913ED" w:rsidRDefault="008913ED" w:rsidP="008913ED">
            <w:pPr>
              <w:spacing w:before="120" w:after="120" w:line="360" w:lineRule="auto"/>
              <w:rPr>
                <w:szCs w:val="24"/>
                <w:lang w:val="en-GB" w:eastAsia="en-US"/>
              </w:rPr>
            </w:pPr>
            <w:r w:rsidRPr="008913ED">
              <w:rPr>
                <w:szCs w:val="24"/>
                <w:lang w:val="en-GB" w:eastAsia="en-US"/>
              </w:rPr>
              <w:t>Henvisning(er)</w:t>
            </w:r>
          </w:p>
        </w:tc>
      </w:tr>
      <w:tr w:rsidR="008913ED" w:rsidRPr="008913ED" w14:paraId="4F8E3F0D" w14:textId="77777777" w:rsidTr="00002801">
        <w:tc>
          <w:tcPr>
            <w:tcW w:w="0" w:type="auto"/>
          </w:tcPr>
          <w:p w14:paraId="6E353905" w14:textId="77777777" w:rsidR="008913ED" w:rsidRPr="008913ED" w:rsidRDefault="008913ED" w:rsidP="008913ED">
            <w:pPr>
              <w:spacing w:before="120" w:after="120" w:line="360" w:lineRule="auto"/>
              <w:rPr>
                <w:szCs w:val="24"/>
                <w:lang w:eastAsia="en-US"/>
              </w:rPr>
            </w:pPr>
            <w:r w:rsidRPr="008913ED">
              <w:rPr>
                <w:szCs w:val="24"/>
                <w:lang w:eastAsia="en-US"/>
              </w:rPr>
              <w:t>Fælles principper for trafikstyring, håndtering af forstyrrelser og krisestyring, som infrastrukturforvalterne skal tage hensyn til ved fastlæggelsen af regler og procedurer for trafikstyring</w:t>
            </w:r>
          </w:p>
        </w:tc>
        <w:tc>
          <w:tcPr>
            <w:tcW w:w="0" w:type="auto"/>
          </w:tcPr>
          <w:p w14:paraId="0AD95B3F"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43</w:t>
            </w:r>
          </w:p>
        </w:tc>
      </w:tr>
      <w:tr w:rsidR="008913ED" w:rsidRPr="008913ED" w14:paraId="303CC40D" w14:textId="77777777" w:rsidTr="00002801">
        <w:tc>
          <w:tcPr>
            <w:tcW w:w="0" w:type="auto"/>
          </w:tcPr>
          <w:p w14:paraId="1F15B449" w14:textId="77777777" w:rsidR="008913ED" w:rsidRPr="008913ED" w:rsidRDefault="008913ED" w:rsidP="008913ED">
            <w:pPr>
              <w:spacing w:before="120" w:after="120" w:line="360" w:lineRule="auto"/>
              <w:rPr>
                <w:szCs w:val="24"/>
                <w:lang w:eastAsia="en-US"/>
              </w:rPr>
            </w:pPr>
            <w:r w:rsidRPr="008913ED">
              <w:rPr>
                <w:szCs w:val="24"/>
                <w:lang w:eastAsia="en-US"/>
              </w:rPr>
              <w:t>Fælles regler og procedurer for koordinering af trafikstyring, håndtering af forstyrrelser og krisestyring mellem infrastrukturforvaltere og med operationelle interessenter</w:t>
            </w:r>
          </w:p>
        </w:tc>
        <w:tc>
          <w:tcPr>
            <w:tcW w:w="0" w:type="auto"/>
          </w:tcPr>
          <w:p w14:paraId="1EB210D7" w14:textId="77777777" w:rsidR="008913ED" w:rsidRPr="008913ED" w:rsidRDefault="008913ED" w:rsidP="008913ED">
            <w:pPr>
              <w:spacing w:before="120" w:after="120" w:line="360" w:lineRule="auto"/>
              <w:rPr>
                <w:szCs w:val="24"/>
                <w:lang w:eastAsia="en-US"/>
              </w:rPr>
            </w:pPr>
            <w:r w:rsidRPr="008913ED">
              <w:rPr>
                <w:szCs w:val="24"/>
                <w:lang w:eastAsia="en-US"/>
              </w:rPr>
              <w:t>Artikel 42, artikel 43, artikel 45, artikel 46, artikel 47 og artikel 48</w:t>
            </w:r>
          </w:p>
        </w:tc>
      </w:tr>
      <w:tr w:rsidR="008913ED" w:rsidRPr="008913ED" w14:paraId="4667B46C" w14:textId="77777777" w:rsidTr="00002801">
        <w:tc>
          <w:tcPr>
            <w:tcW w:w="0" w:type="auto"/>
          </w:tcPr>
          <w:p w14:paraId="2639E630" w14:textId="77777777" w:rsidR="008913ED" w:rsidRPr="008913ED" w:rsidRDefault="008913ED" w:rsidP="008913ED">
            <w:pPr>
              <w:spacing w:before="120" w:after="120" w:line="360" w:lineRule="auto"/>
              <w:rPr>
                <w:szCs w:val="24"/>
                <w:lang w:eastAsia="en-US"/>
              </w:rPr>
            </w:pPr>
            <w:r w:rsidRPr="008913ED">
              <w:rPr>
                <w:szCs w:val="24"/>
                <w:lang w:eastAsia="en-US"/>
              </w:rPr>
              <w:t>Fælles regler og procedurer for forvaltning og tildeling af kapacitet i tilfælde af netforstyrrelser og krisesituationer</w:t>
            </w:r>
          </w:p>
        </w:tc>
        <w:tc>
          <w:tcPr>
            <w:tcW w:w="0" w:type="auto"/>
          </w:tcPr>
          <w:p w14:paraId="1640938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41, stk. 1</w:t>
            </w:r>
          </w:p>
        </w:tc>
      </w:tr>
      <w:tr w:rsidR="008913ED" w:rsidRPr="008913ED" w14:paraId="3EBC3B40" w14:textId="77777777" w:rsidTr="00002801">
        <w:tc>
          <w:tcPr>
            <w:tcW w:w="0" w:type="auto"/>
          </w:tcPr>
          <w:p w14:paraId="1381770B" w14:textId="77777777" w:rsidR="008913ED" w:rsidRPr="008913ED" w:rsidRDefault="008913ED" w:rsidP="008913ED">
            <w:pPr>
              <w:spacing w:before="120" w:after="120" w:line="360" w:lineRule="auto"/>
              <w:rPr>
                <w:szCs w:val="24"/>
                <w:lang w:eastAsia="en-US"/>
              </w:rPr>
            </w:pPr>
            <w:r w:rsidRPr="008913ED">
              <w:rPr>
                <w:szCs w:val="24"/>
                <w:lang w:eastAsia="en-US"/>
              </w:rPr>
              <w:t>Fastlæggelse af ansvarsområder for operationelle interessenter, der er involveret i grænseoverskridende trafikstyring, baseret på et sæt aftalte operationelle procedurer, milepæle og grænseflader</w:t>
            </w:r>
          </w:p>
        </w:tc>
        <w:tc>
          <w:tcPr>
            <w:tcW w:w="0" w:type="auto"/>
          </w:tcPr>
          <w:p w14:paraId="68C0925F"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45</w:t>
            </w:r>
          </w:p>
        </w:tc>
      </w:tr>
      <w:tr w:rsidR="008913ED" w:rsidRPr="008913ED" w14:paraId="0B52A628" w14:textId="77777777" w:rsidTr="00002801">
        <w:tc>
          <w:tcPr>
            <w:tcW w:w="0" w:type="auto"/>
          </w:tcPr>
          <w:p w14:paraId="5639DFF0" w14:textId="77777777" w:rsidR="008913ED" w:rsidRPr="008913ED" w:rsidRDefault="008913ED" w:rsidP="008913ED">
            <w:pPr>
              <w:spacing w:before="120" w:after="120" w:line="360" w:lineRule="auto"/>
              <w:rPr>
                <w:szCs w:val="24"/>
                <w:lang w:eastAsia="en-US"/>
              </w:rPr>
            </w:pPr>
            <w:r w:rsidRPr="008913ED">
              <w:rPr>
                <w:szCs w:val="24"/>
                <w:lang w:eastAsia="en-US"/>
              </w:rPr>
              <w:t>Procedurer, regler, værktøjer og grænseflader for kommunikation og udveksling af oplysninger, herunder harmoniserede digitale værktøjer og grænseflader, mellem infrastrukturforvaltere, operationelle interessenter og andre berørte interessenter, navnlig offentlige myndigheder</w:t>
            </w:r>
          </w:p>
        </w:tc>
        <w:tc>
          <w:tcPr>
            <w:tcW w:w="0" w:type="auto"/>
          </w:tcPr>
          <w:p w14:paraId="0550E44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45, 48 og 62</w:t>
            </w:r>
          </w:p>
        </w:tc>
      </w:tr>
      <w:tr w:rsidR="008913ED" w:rsidRPr="008913ED" w14:paraId="4756C88F" w14:textId="77777777" w:rsidTr="00002801">
        <w:tc>
          <w:tcPr>
            <w:tcW w:w="0" w:type="auto"/>
          </w:tcPr>
          <w:p w14:paraId="7CBCF3A4" w14:textId="77777777" w:rsidR="008913ED" w:rsidRPr="008913ED" w:rsidRDefault="008913ED" w:rsidP="008913ED">
            <w:pPr>
              <w:spacing w:before="120" w:after="120" w:line="360" w:lineRule="auto"/>
              <w:rPr>
                <w:szCs w:val="24"/>
                <w:lang w:eastAsia="en-US"/>
              </w:rPr>
            </w:pPr>
            <w:r w:rsidRPr="008913ED">
              <w:rPr>
                <w:szCs w:val="24"/>
                <w:lang w:eastAsia="en-US"/>
              </w:rPr>
              <w:lastRenderedPageBreak/>
              <w:t>Principper for oprettelse af særlige koordinationsgrupper i forbindelse med trafikstyring, håndtering af forstyrrelser og krisestyring</w:t>
            </w:r>
          </w:p>
        </w:tc>
        <w:tc>
          <w:tcPr>
            <w:tcW w:w="0" w:type="auto"/>
          </w:tcPr>
          <w:p w14:paraId="77DBD3B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53, stk. 2</w:t>
            </w:r>
          </w:p>
        </w:tc>
      </w:tr>
      <w:tr w:rsidR="008913ED" w:rsidRPr="008913ED" w14:paraId="6F5C0962" w14:textId="77777777" w:rsidTr="00002801">
        <w:tc>
          <w:tcPr>
            <w:tcW w:w="0" w:type="auto"/>
          </w:tcPr>
          <w:p w14:paraId="6758FA20" w14:textId="77777777" w:rsidR="008913ED" w:rsidRPr="008913ED" w:rsidRDefault="008913ED" w:rsidP="008913ED">
            <w:pPr>
              <w:spacing w:before="120" w:after="120" w:line="360" w:lineRule="auto"/>
              <w:rPr>
                <w:szCs w:val="24"/>
                <w:lang w:eastAsia="en-US"/>
              </w:rPr>
            </w:pPr>
            <w:r w:rsidRPr="008913ED">
              <w:rPr>
                <w:szCs w:val="24"/>
                <w:lang w:eastAsia="en-US"/>
              </w:rPr>
              <w:t>Ordninger for simulering og uddannelse, navnlig i forbindelse med netforstyrrelser og krisesituationer</w:t>
            </w:r>
          </w:p>
        </w:tc>
        <w:tc>
          <w:tcPr>
            <w:tcW w:w="0" w:type="auto"/>
          </w:tcPr>
          <w:p w14:paraId="5B80983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46 og 47</w:t>
            </w:r>
          </w:p>
        </w:tc>
      </w:tr>
      <w:tr w:rsidR="008913ED" w:rsidRPr="008913ED" w14:paraId="273C1BD8" w14:textId="77777777" w:rsidTr="00002801">
        <w:tc>
          <w:tcPr>
            <w:tcW w:w="0" w:type="auto"/>
          </w:tcPr>
          <w:p w14:paraId="38E0F687" w14:textId="77777777" w:rsidR="008913ED" w:rsidRPr="008913ED" w:rsidRDefault="008913ED" w:rsidP="008913ED">
            <w:pPr>
              <w:spacing w:before="120" w:after="120" w:line="360" w:lineRule="auto"/>
              <w:rPr>
                <w:szCs w:val="24"/>
                <w:lang w:eastAsia="en-US"/>
              </w:rPr>
            </w:pPr>
            <w:r w:rsidRPr="008913ED">
              <w:rPr>
                <w:szCs w:val="24"/>
                <w:lang w:eastAsia="en-US"/>
              </w:rPr>
              <w:t>Ordninger for vurdering af resultaterne af trafikstyring, håndtering af forstyrrelser og krisestyring, herunder samordningen mellem operationelle interessenter</w:t>
            </w:r>
          </w:p>
        </w:tc>
        <w:tc>
          <w:tcPr>
            <w:tcW w:w="0" w:type="auto"/>
          </w:tcPr>
          <w:p w14:paraId="295E71AF"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50, artikel 51</w:t>
            </w:r>
          </w:p>
        </w:tc>
      </w:tr>
    </w:tbl>
    <w:p w14:paraId="4804FC12" w14:textId="39C59ED2" w:rsidR="00AC5C90" w:rsidRDefault="00AC5C90" w:rsidP="008913ED">
      <w:pPr>
        <w:spacing w:before="120" w:after="120" w:line="360" w:lineRule="auto"/>
        <w:rPr>
          <w:szCs w:val="24"/>
          <w:lang w:val="en-GB" w:eastAsia="en-US"/>
        </w:rPr>
      </w:pPr>
    </w:p>
    <w:p w14:paraId="6D6ABE6B" w14:textId="77777777" w:rsidR="00AC5C90" w:rsidRDefault="00AC5C90">
      <w:pPr>
        <w:widowControl/>
        <w:rPr>
          <w:szCs w:val="24"/>
          <w:lang w:val="en-GB" w:eastAsia="en-US"/>
        </w:rPr>
      </w:pPr>
      <w:r>
        <w:rPr>
          <w:szCs w:val="24"/>
          <w:lang w:val="en-GB" w:eastAsia="en-US"/>
        </w:rPr>
        <w:br w:type="page"/>
      </w:r>
    </w:p>
    <w:p w14:paraId="79DB914C" w14:textId="77777777" w:rsidR="008913ED" w:rsidRPr="008913ED" w:rsidRDefault="008913ED" w:rsidP="008913ED">
      <w:pPr>
        <w:spacing w:before="120" w:after="120" w:line="360" w:lineRule="auto"/>
        <w:jc w:val="center"/>
        <w:rPr>
          <w:lang w:eastAsia="en-US"/>
        </w:rPr>
      </w:pPr>
      <w:r w:rsidRPr="008913ED">
        <w:rPr>
          <w:lang w:eastAsia="en-US"/>
        </w:rPr>
        <w:lastRenderedPageBreak/>
        <w:t>BILAG VI</w:t>
      </w:r>
    </w:p>
    <w:p w14:paraId="776219BA" w14:textId="77777777" w:rsidR="008913ED" w:rsidRPr="008913ED" w:rsidRDefault="008913ED" w:rsidP="003E3AFF">
      <w:pPr>
        <w:spacing w:before="120" w:after="120" w:line="360" w:lineRule="auto"/>
        <w:jc w:val="center"/>
        <w:rPr>
          <w:szCs w:val="24"/>
          <w:lang w:eastAsia="en-US"/>
        </w:rPr>
      </w:pPr>
      <w:r w:rsidRPr="008913ED">
        <w:rPr>
          <w:szCs w:val="24"/>
          <w:lang w:eastAsia="en-US"/>
        </w:rPr>
        <w:t>Netforstyrrelser, jf. artikel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04"/>
        <w:gridCol w:w="3165"/>
        <w:gridCol w:w="3591"/>
      </w:tblGrid>
      <w:tr w:rsidR="008913ED" w:rsidRPr="008913ED" w14:paraId="0902BDC4" w14:textId="77777777" w:rsidTr="00002801">
        <w:trPr>
          <w:tblHeader/>
        </w:trPr>
        <w:tc>
          <w:tcPr>
            <w:tcW w:w="0" w:type="auto"/>
          </w:tcPr>
          <w:p w14:paraId="0981F4ED" w14:textId="77777777" w:rsidR="008913ED" w:rsidRPr="008913ED" w:rsidRDefault="008913ED" w:rsidP="008913ED">
            <w:pPr>
              <w:spacing w:before="120" w:after="120" w:line="360" w:lineRule="auto"/>
              <w:rPr>
                <w:szCs w:val="24"/>
                <w:lang w:val="en-GB" w:eastAsia="en-US"/>
              </w:rPr>
            </w:pPr>
            <w:r w:rsidRPr="008913ED">
              <w:rPr>
                <w:szCs w:val="24"/>
                <w:lang w:val="en-GB" w:eastAsia="en-US"/>
              </w:rPr>
              <w:t>Type hændelse</w:t>
            </w:r>
          </w:p>
        </w:tc>
        <w:tc>
          <w:tcPr>
            <w:tcW w:w="0" w:type="auto"/>
          </w:tcPr>
          <w:p w14:paraId="599DE16B" w14:textId="77777777" w:rsidR="008913ED" w:rsidRPr="008913ED" w:rsidRDefault="008913ED" w:rsidP="008913ED">
            <w:pPr>
              <w:spacing w:before="120" w:after="120" w:line="360" w:lineRule="auto"/>
              <w:rPr>
                <w:szCs w:val="24"/>
                <w:lang w:val="en-GB" w:eastAsia="en-US"/>
              </w:rPr>
            </w:pPr>
            <w:r w:rsidRPr="008913ED">
              <w:rPr>
                <w:szCs w:val="24"/>
                <w:lang w:val="en-GB" w:eastAsia="en-US"/>
              </w:rPr>
              <w:t>Anslået sandsynlig varighed</w:t>
            </w:r>
          </w:p>
        </w:tc>
        <w:tc>
          <w:tcPr>
            <w:tcW w:w="0" w:type="auto"/>
          </w:tcPr>
          <w:p w14:paraId="18DD9DFD" w14:textId="77777777" w:rsidR="008913ED" w:rsidRPr="008913ED" w:rsidRDefault="008913ED" w:rsidP="008913ED">
            <w:pPr>
              <w:spacing w:before="120" w:after="120" w:line="360" w:lineRule="auto"/>
              <w:rPr>
                <w:szCs w:val="24"/>
                <w:lang w:val="en-GB" w:eastAsia="en-US"/>
              </w:rPr>
            </w:pPr>
            <w:r w:rsidRPr="008913ED">
              <w:rPr>
                <w:szCs w:val="24"/>
                <w:lang w:val="en-GB" w:eastAsia="en-US"/>
              </w:rPr>
              <w:t>Anslået sandsynlig indvirkning</w:t>
            </w:r>
          </w:p>
        </w:tc>
      </w:tr>
      <w:tr w:rsidR="008913ED" w:rsidRPr="008913ED" w14:paraId="665675A6" w14:textId="77777777" w:rsidTr="00002801">
        <w:tc>
          <w:tcPr>
            <w:tcW w:w="0" w:type="auto"/>
          </w:tcPr>
          <w:p w14:paraId="4936CD49" w14:textId="77777777" w:rsidR="008913ED" w:rsidRPr="008913ED" w:rsidRDefault="008913ED" w:rsidP="008913ED">
            <w:pPr>
              <w:spacing w:before="120" w:after="120" w:line="360" w:lineRule="auto"/>
              <w:rPr>
                <w:szCs w:val="24"/>
                <w:lang w:val="en-GB" w:eastAsia="en-US"/>
              </w:rPr>
            </w:pPr>
            <w:r w:rsidRPr="008913ED">
              <w:rPr>
                <w:szCs w:val="24"/>
                <w:lang w:val="en-GB" w:eastAsia="en-US"/>
              </w:rPr>
              <w:t>Netforstyrrelser</w:t>
            </w:r>
          </w:p>
        </w:tc>
        <w:tc>
          <w:tcPr>
            <w:tcW w:w="0" w:type="auto"/>
          </w:tcPr>
          <w:p w14:paraId="566E557D" w14:textId="77777777" w:rsidR="008913ED" w:rsidRPr="008913ED" w:rsidRDefault="008913ED" w:rsidP="008913ED">
            <w:pPr>
              <w:spacing w:before="120" w:after="120" w:line="360" w:lineRule="auto"/>
              <w:rPr>
                <w:szCs w:val="24"/>
                <w:lang w:eastAsia="en-US"/>
              </w:rPr>
            </w:pPr>
            <w:r w:rsidRPr="008913ED">
              <w:rPr>
                <w:szCs w:val="24"/>
                <w:lang w:eastAsia="en-US"/>
              </w:rPr>
              <w:t>Det tager mindst tre dage at vende tilbage til de niveauer for tilgængelig togkapacitet, der var gældende før hændelsen.</w:t>
            </w:r>
          </w:p>
        </w:tc>
        <w:tc>
          <w:tcPr>
            <w:tcW w:w="0" w:type="auto"/>
          </w:tcPr>
          <w:p w14:paraId="22D3D97E" w14:textId="77777777" w:rsidR="00336D00" w:rsidRDefault="008913ED" w:rsidP="008913ED">
            <w:pPr>
              <w:spacing w:before="120" w:after="120" w:line="360" w:lineRule="auto"/>
              <w:rPr>
                <w:szCs w:val="24"/>
                <w:lang w:eastAsia="en-US"/>
              </w:rPr>
            </w:pPr>
            <w:r w:rsidRPr="008913ED">
              <w:rPr>
                <w:szCs w:val="24"/>
                <w:lang w:eastAsia="en-US"/>
              </w:rPr>
              <w:t xml:space="preserve">– Mindst 50 % af togene på den berørte strækning, der kører på et enkelt banenet, kræver driftsmæssig behandling </w:t>
            </w:r>
          </w:p>
          <w:p w14:paraId="61D292CC" w14:textId="37E68D9F" w:rsidR="008913ED" w:rsidRPr="008913ED" w:rsidRDefault="008913ED" w:rsidP="008913ED">
            <w:pPr>
              <w:spacing w:before="120" w:after="120" w:line="360" w:lineRule="auto"/>
              <w:rPr>
                <w:szCs w:val="24"/>
                <w:lang w:eastAsia="en-US"/>
              </w:rPr>
            </w:pPr>
            <w:r w:rsidRPr="008913ED">
              <w:rPr>
                <w:szCs w:val="24"/>
                <w:lang w:eastAsia="en-US"/>
              </w:rPr>
              <w:t>– Mindre end 50 % af togene på den berørte strækning, der kører på mere end ét banenet, eller som forventes at have behov for en driftsmæssig behandling</w:t>
            </w:r>
          </w:p>
        </w:tc>
      </w:tr>
      <w:tr w:rsidR="008913ED" w:rsidRPr="008913ED" w14:paraId="5BBC019B" w14:textId="77777777" w:rsidTr="00002801">
        <w:tc>
          <w:tcPr>
            <w:tcW w:w="0" w:type="auto"/>
          </w:tcPr>
          <w:p w14:paraId="1DEC3D78" w14:textId="77777777" w:rsidR="008913ED" w:rsidRPr="008913ED" w:rsidRDefault="008913ED" w:rsidP="008913ED">
            <w:pPr>
              <w:spacing w:before="120" w:after="120" w:line="360" w:lineRule="auto"/>
              <w:rPr>
                <w:szCs w:val="24"/>
                <w:lang w:val="en-GB" w:eastAsia="en-US"/>
              </w:rPr>
            </w:pPr>
            <w:r w:rsidRPr="008913ED">
              <w:rPr>
                <w:szCs w:val="24"/>
                <w:lang w:val="en-GB" w:eastAsia="en-US"/>
              </w:rPr>
              <w:t>Forstyrrelser på flere net</w:t>
            </w:r>
          </w:p>
        </w:tc>
        <w:tc>
          <w:tcPr>
            <w:tcW w:w="0" w:type="auto"/>
          </w:tcPr>
          <w:p w14:paraId="0AFEE81C" w14:textId="77777777" w:rsidR="008913ED" w:rsidRPr="008913ED" w:rsidRDefault="008913ED" w:rsidP="008913ED">
            <w:pPr>
              <w:spacing w:before="120" w:after="120" w:line="360" w:lineRule="auto"/>
              <w:rPr>
                <w:szCs w:val="24"/>
                <w:lang w:eastAsia="en-US"/>
              </w:rPr>
            </w:pPr>
            <w:r w:rsidRPr="008913ED">
              <w:rPr>
                <w:szCs w:val="24"/>
                <w:lang w:eastAsia="en-US"/>
              </w:rPr>
              <w:t>Det tager mindst tre dage at vende tilbage til de niveauer for tilgængelig togkapacitet, der var gældende før hændelsen.</w:t>
            </w:r>
          </w:p>
        </w:tc>
        <w:tc>
          <w:tcPr>
            <w:tcW w:w="0" w:type="auto"/>
          </w:tcPr>
          <w:p w14:paraId="701B2088" w14:textId="77777777" w:rsidR="008913ED" w:rsidRPr="008913ED" w:rsidRDefault="008913ED" w:rsidP="008913ED">
            <w:pPr>
              <w:spacing w:before="120" w:after="120" w:line="360" w:lineRule="auto"/>
              <w:rPr>
                <w:szCs w:val="24"/>
                <w:lang w:eastAsia="en-US"/>
              </w:rPr>
            </w:pPr>
            <w:r w:rsidRPr="008913ED">
              <w:rPr>
                <w:szCs w:val="24"/>
                <w:lang w:eastAsia="en-US"/>
              </w:rPr>
              <w:t>– Mindst 50 % af togene på den berørte strækning, der kører på mere end ét banenet, eller som forventes at have behov for en driftsmæssig behandling</w:t>
            </w:r>
          </w:p>
        </w:tc>
      </w:tr>
    </w:tbl>
    <w:p w14:paraId="56968F6B" w14:textId="77777777" w:rsidR="008913ED" w:rsidRPr="008913ED" w:rsidRDefault="008913ED" w:rsidP="008913ED">
      <w:pPr>
        <w:spacing w:before="120" w:after="120" w:line="360" w:lineRule="auto"/>
        <w:rPr>
          <w:szCs w:val="24"/>
          <w:lang w:eastAsia="en-US"/>
        </w:rPr>
      </w:pPr>
      <w:r w:rsidRPr="008913ED">
        <w:rPr>
          <w:szCs w:val="24"/>
          <w:lang w:eastAsia="en-US"/>
        </w:rPr>
        <w:t>Betingelserne for varighed og den sandsynlige indvirkning på trafikken er kumulative.</w:t>
      </w:r>
    </w:p>
    <w:p w14:paraId="6908DC3A" w14:textId="3D608FE0" w:rsidR="00AC5C90" w:rsidRDefault="00AC5C90">
      <w:pPr>
        <w:widowControl/>
        <w:rPr>
          <w:szCs w:val="24"/>
          <w:lang w:eastAsia="en-US"/>
        </w:rPr>
      </w:pPr>
      <w:r>
        <w:rPr>
          <w:szCs w:val="24"/>
          <w:lang w:eastAsia="en-US"/>
        </w:rPr>
        <w:br w:type="page"/>
      </w:r>
    </w:p>
    <w:p w14:paraId="13F58D8A" w14:textId="77777777" w:rsidR="008913ED" w:rsidRPr="008913ED" w:rsidRDefault="008913ED" w:rsidP="008913ED">
      <w:pPr>
        <w:spacing w:before="120" w:after="120" w:line="360" w:lineRule="auto"/>
        <w:rPr>
          <w:szCs w:val="24"/>
          <w:lang w:eastAsia="en-US"/>
        </w:rPr>
      </w:pPr>
    </w:p>
    <w:p w14:paraId="4E43B342" w14:textId="77777777" w:rsidR="008913ED" w:rsidRPr="008913ED" w:rsidRDefault="008913ED" w:rsidP="008913ED">
      <w:pPr>
        <w:spacing w:before="120" w:after="120" w:line="360" w:lineRule="auto"/>
        <w:jc w:val="center"/>
        <w:rPr>
          <w:lang w:eastAsia="en-US"/>
        </w:rPr>
      </w:pPr>
      <w:r w:rsidRPr="008913ED">
        <w:rPr>
          <w:lang w:eastAsia="en-US"/>
        </w:rPr>
        <w:t>BILAG VII</w:t>
      </w:r>
    </w:p>
    <w:p w14:paraId="1640D9CC" w14:textId="77777777" w:rsidR="008913ED" w:rsidRPr="008913ED" w:rsidRDefault="008913ED" w:rsidP="003E3AFF">
      <w:pPr>
        <w:spacing w:before="120" w:after="120" w:line="360" w:lineRule="auto"/>
        <w:jc w:val="center"/>
        <w:rPr>
          <w:szCs w:val="24"/>
          <w:lang w:eastAsia="en-US"/>
        </w:rPr>
      </w:pPr>
      <w:r w:rsidRPr="008913ED">
        <w:rPr>
          <w:szCs w:val="24"/>
          <w:lang w:eastAsia="en-US"/>
        </w:rPr>
        <w:t>Præstationsområder, der er omfattet af præstationsvurdering, jf. artikel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57"/>
        <w:gridCol w:w="5503"/>
      </w:tblGrid>
      <w:tr w:rsidR="008913ED" w:rsidRPr="008913ED" w14:paraId="7EEF1474" w14:textId="77777777" w:rsidTr="00002801">
        <w:trPr>
          <w:tblHeader/>
        </w:trPr>
        <w:tc>
          <w:tcPr>
            <w:tcW w:w="0" w:type="auto"/>
          </w:tcPr>
          <w:p w14:paraId="50F03363" w14:textId="77777777" w:rsidR="008913ED" w:rsidRPr="008913ED" w:rsidRDefault="008913ED" w:rsidP="008913ED">
            <w:pPr>
              <w:spacing w:before="120" w:after="120" w:line="360" w:lineRule="auto"/>
              <w:rPr>
                <w:szCs w:val="24"/>
                <w:lang w:val="en-GB" w:eastAsia="en-US"/>
              </w:rPr>
            </w:pPr>
            <w:r w:rsidRPr="008913ED">
              <w:rPr>
                <w:szCs w:val="24"/>
                <w:lang w:val="en-GB" w:eastAsia="en-US"/>
              </w:rPr>
              <w:t>Præstationsområde</w:t>
            </w:r>
          </w:p>
        </w:tc>
        <w:tc>
          <w:tcPr>
            <w:tcW w:w="0" w:type="auto"/>
          </w:tcPr>
          <w:p w14:paraId="29F0335C" w14:textId="77777777" w:rsidR="008913ED" w:rsidRPr="008913ED" w:rsidRDefault="008913ED" w:rsidP="008913ED">
            <w:pPr>
              <w:spacing w:before="120" w:after="120" w:line="360" w:lineRule="auto"/>
              <w:rPr>
                <w:szCs w:val="24"/>
                <w:lang w:val="en-GB" w:eastAsia="en-US"/>
              </w:rPr>
            </w:pPr>
            <w:r w:rsidRPr="008913ED">
              <w:rPr>
                <w:szCs w:val="24"/>
                <w:lang w:val="en-GB" w:eastAsia="en-US"/>
              </w:rPr>
              <w:t>Relevante spørgsmål (vejledende)</w:t>
            </w:r>
          </w:p>
        </w:tc>
      </w:tr>
      <w:tr w:rsidR="008913ED" w:rsidRPr="008913ED" w14:paraId="635A1BC6" w14:textId="77777777" w:rsidTr="00002801">
        <w:tc>
          <w:tcPr>
            <w:tcW w:w="0" w:type="auto"/>
          </w:tcPr>
          <w:p w14:paraId="34F0A3A6" w14:textId="77777777" w:rsidR="008913ED" w:rsidRPr="008913ED" w:rsidRDefault="008913ED" w:rsidP="008913ED">
            <w:pPr>
              <w:spacing w:before="120" w:after="120" w:line="360" w:lineRule="auto"/>
              <w:rPr>
                <w:szCs w:val="24"/>
                <w:lang w:val="en-GB" w:eastAsia="en-US"/>
              </w:rPr>
            </w:pPr>
            <w:r w:rsidRPr="008913ED">
              <w:rPr>
                <w:szCs w:val="24"/>
                <w:lang w:val="en-GB" w:eastAsia="en-US"/>
              </w:rPr>
              <w:t>Infrastruktur og udstyr</w:t>
            </w:r>
          </w:p>
        </w:tc>
        <w:tc>
          <w:tcPr>
            <w:tcW w:w="0" w:type="auto"/>
          </w:tcPr>
          <w:p w14:paraId="3B8CA9AC" w14:textId="77777777" w:rsidR="003E3AFF" w:rsidRDefault="008913ED" w:rsidP="008913ED">
            <w:pPr>
              <w:spacing w:before="120" w:after="120" w:line="360" w:lineRule="auto"/>
              <w:rPr>
                <w:szCs w:val="24"/>
                <w:lang w:eastAsia="en-US"/>
              </w:rPr>
            </w:pPr>
            <w:r w:rsidRPr="008913ED">
              <w:rPr>
                <w:szCs w:val="24"/>
                <w:lang w:eastAsia="en-US"/>
              </w:rPr>
              <w:t xml:space="preserve">– Den fysiske infrastrukturs, herunder udstyrets, kapacitet og ydeevne, herunder anvendelse af TEN-T-standarder </w:t>
            </w:r>
          </w:p>
          <w:p w14:paraId="0EC2D460" w14:textId="03FA7CA6" w:rsidR="008913ED" w:rsidRPr="008913ED" w:rsidRDefault="008913ED" w:rsidP="008913ED">
            <w:pPr>
              <w:spacing w:before="120" w:after="120" w:line="360" w:lineRule="auto"/>
              <w:rPr>
                <w:szCs w:val="24"/>
                <w:lang w:eastAsia="en-US"/>
              </w:rPr>
            </w:pPr>
            <w:r w:rsidRPr="008913ED">
              <w:rPr>
                <w:szCs w:val="24"/>
                <w:lang w:eastAsia="en-US"/>
              </w:rPr>
              <w:t>– Reduktioner i infrastrukturens kapacitet eller ydeevne som følge af udskudt fornyelse, vedligeholdelse eller reparation af infrastruktur</w:t>
            </w:r>
          </w:p>
        </w:tc>
      </w:tr>
      <w:tr w:rsidR="008913ED" w:rsidRPr="008913ED" w14:paraId="5A5E0336" w14:textId="77777777" w:rsidTr="00002801">
        <w:tc>
          <w:tcPr>
            <w:tcW w:w="0" w:type="auto"/>
          </w:tcPr>
          <w:p w14:paraId="12E85DEA" w14:textId="77777777" w:rsidR="008913ED" w:rsidRPr="008913ED" w:rsidRDefault="008913ED" w:rsidP="008913ED">
            <w:pPr>
              <w:spacing w:before="120" w:after="120" w:line="360" w:lineRule="auto"/>
              <w:rPr>
                <w:szCs w:val="24"/>
                <w:lang w:val="en-GB" w:eastAsia="en-US"/>
              </w:rPr>
            </w:pPr>
            <w:r w:rsidRPr="008913ED">
              <w:rPr>
                <w:szCs w:val="24"/>
                <w:lang w:val="en-GB" w:eastAsia="en-US"/>
              </w:rPr>
              <w:t>Infrastrukturkapacitet</w:t>
            </w:r>
          </w:p>
        </w:tc>
        <w:tc>
          <w:tcPr>
            <w:tcW w:w="0" w:type="auto"/>
          </w:tcPr>
          <w:p w14:paraId="63BB4279" w14:textId="77777777" w:rsidR="003E3AFF" w:rsidRDefault="008913ED" w:rsidP="008913ED">
            <w:pPr>
              <w:spacing w:before="120" w:after="120" w:line="360" w:lineRule="auto"/>
              <w:rPr>
                <w:b/>
                <w:i/>
                <w:szCs w:val="24"/>
                <w:lang w:eastAsia="en-US"/>
              </w:rPr>
            </w:pPr>
            <w:r w:rsidRPr="008913ED">
              <w:rPr>
                <w:szCs w:val="24"/>
                <w:lang w:eastAsia="en-US"/>
              </w:rPr>
              <w:t>– Tilbud om kapacitet med hensyn til kvantitet og kvalitet</w:t>
            </w:r>
            <w:r w:rsidRPr="008913ED">
              <w:rPr>
                <w:b/>
                <w:i/>
                <w:szCs w:val="24"/>
                <w:lang w:eastAsia="en-US"/>
              </w:rPr>
              <w:t>, herunder sammenhæng på tværs af netgrænser</w:t>
            </w:r>
          </w:p>
          <w:p w14:paraId="5A5B45AF" w14:textId="77777777" w:rsidR="003E3AFF" w:rsidRDefault="008913ED" w:rsidP="008913ED">
            <w:pPr>
              <w:spacing w:before="120" w:after="120" w:line="360" w:lineRule="auto"/>
              <w:rPr>
                <w:szCs w:val="24"/>
                <w:lang w:eastAsia="en-US"/>
              </w:rPr>
            </w:pPr>
            <w:r w:rsidRPr="008913ED">
              <w:rPr>
                <w:szCs w:val="24"/>
                <w:lang w:eastAsia="en-US"/>
              </w:rPr>
              <w:t xml:space="preserve">– Kapacitetsudnyttelse, overskydende kapacitet, der kan imødekomme trafikvækst </w:t>
            </w:r>
          </w:p>
          <w:p w14:paraId="17FC372B" w14:textId="77777777" w:rsidR="003E3AFF" w:rsidRDefault="008913ED" w:rsidP="008913ED">
            <w:pPr>
              <w:spacing w:before="120" w:after="120" w:line="360" w:lineRule="auto"/>
              <w:rPr>
                <w:szCs w:val="24"/>
                <w:lang w:eastAsia="en-US"/>
              </w:rPr>
            </w:pPr>
            <w:r w:rsidRPr="008913ED">
              <w:rPr>
                <w:szCs w:val="24"/>
                <w:lang w:eastAsia="en-US"/>
              </w:rPr>
              <w:t xml:space="preserve">– Sammenhæng mellem tilgængelig kapacitet (planlagt eller ikkeplanlagt) og markedsbehov </w:t>
            </w:r>
          </w:p>
          <w:p w14:paraId="5CBD5E63" w14:textId="77777777" w:rsidR="003E3AFF" w:rsidRDefault="008913ED" w:rsidP="008913ED">
            <w:pPr>
              <w:spacing w:before="120" w:after="120" w:line="360" w:lineRule="auto"/>
              <w:rPr>
                <w:szCs w:val="24"/>
                <w:lang w:eastAsia="en-US"/>
              </w:rPr>
            </w:pPr>
            <w:r w:rsidRPr="008913ED">
              <w:rPr>
                <w:szCs w:val="24"/>
                <w:lang w:eastAsia="en-US"/>
              </w:rPr>
              <w:t xml:space="preserve">– Kapacitetstilbuddets stabilitet, navnlig i forbindelse med infrastrukturarbejder </w:t>
            </w:r>
          </w:p>
          <w:p w14:paraId="5581E0E1" w14:textId="77777777" w:rsidR="003E3AFF" w:rsidRDefault="008913ED" w:rsidP="008913ED">
            <w:pPr>
              <w:spacing w:before="120" w:after="120" w:line="360" w:lineRule="auto"/>
              <w:rPr>
                <w:szCs w:val="24"/>
                <w:lang w:eastAsia="en-US"/>
              </w:rPr>
            </w:pPr>
            <w:r w:rsidRPr="008913ED">
              <w:rPr>
                <w:szCs w:val="24"/>
                <w:lang w:eastAsia="en-US"/>
              </w:rPr>
              <w:t xml:space="preserve">– Overbelastet infrastruktur </w:t>
            </w:r>
          </w:p>
          <w:p w14:paraId="77678B75" w14:textId="67DAF1FA" w:rsidR="008913ED" w:rsidRPr="008913ED" w:rsidRDefault="008913ED" w:rsidP="008913ED">
            <w:pPr>
              <w:spacing w:before="120" w:after="120" w:line="360" w:lineRule="auto"/>
              <w:rPr>
                <w:szCs w:val="24"/>
                <w:lang w:eastAsia="en-US"/>
              </w:rPr>
            </w:pPr>
            <w:r w:rsidRPr="008913ED">
              <w:rPr>
                <w:szCs w:val="24"/>
                <w:lang w:eastAsia="en-US"/>
              </w:rPr>
              <w:t>– Planlagte holdetider for tog ved grænsestationer</w:t>
            </w:r>
          </w:p>
        </w:tc>
      </w:tr>
      <w:tr w:rsidR="008913ED" w:rsidRPr="008913ED" w14:paraId="0E9B67DD" w14:textId="77777777" w:rsidTr="00002801">
        <w:tc>
          <w:tcPr>
            <w:tcW w:w="0" w:type="auto"/>
          </w:tcPr>
          <w:p w14:paraId="63AE0442" w14:textId="77777777" w:rsidR="008913ED" w:rsidRPr="008913ED" w:rsidRDefault="008913ED" w:rsidP="008913ED">
            <w:pPr>
              <w:spacing w:before="120" w:after="120" w:line="360" w:lineRule="auto"/>
              <w:rPr>
                <w:szCs w:val="24"/>
                <w:lang w:val="en-GB" w:eastAsia="en-US"/>
              </w:rPr>
            </w:pPr>
            <w:r w:rsidRPr="008913ED">
              <w:rPr>
                <w:szCs w:val="24"/>
                <w:lang w:val="en-GB" w:eastAsia="en-US"/>
              </w:rPr>
              <w:t>Trafikstyring</w:t>
            </w:r>
          </w:p>
        </w:tc>
        <w:tc>
          <w:tcPr>
            <w:tcW w:w="0" w:type="auto"/>
          </w:tcPr>
          <w:p w14:paraId="0D5C24DE" w14:textId="77777777" w:rsidR="003E3AFF" w:rsidRDefault="008913ED" w:rsidP="008913ED">
            <w:pPr>
              <w:spacing w:before="120" w:after="120" w:line="360" w:lineRule="auto"/>
              <w:rPr>
                <w:szCs w:val="24"/>
                <w:lang w:eastAsia="en-US"/>
              </w:rPr>
            </w:pPr>
            <w:r w:rsidRPr="008913ED">
              <w:rPr>
                <w:szCs w:val="24"/>
                <w:lang w:eastAsia="en-US"/>
              </w:rPr>
              <w:t xml:space="preserve">– Punktlighed/forsinkelser af forskellige former for jernbanetransport, ved afgangssted, stop undervejs og endestation og på operationelt vigtige steder </w:t>
            </w:r>
          </w:p>
          <w:p w14:paraId="2E2D718A" w14:textId="77777777" w:rsidR="003E3AFF" w:rsidRDefault="008913ED" w:rsidP="008913ED">
            <w:pPr>
              <w:spacing w:before="120" w:after="120" w:line="360" w:lineRule="auto"/>
              <w:rPr>
                <w:szCs w:val="24"/>
                <w:lang w:eastAsia="en-US"/>
              </w:rPr>
            </w:pPr>
            <w:r w:rsidRPr="008913ED">
              <w:rPr>
                <w:szCs w:val="24"/>
                <w:lang w:eastAsia="en-US"/>
              </w:rPr>
              <w:t xml:space="preserve">– Togaflysninger </w:t>
            </w:r>
          </w:p>
          <w:p w14:paraId="25E6496B" w14:textId="22FF109F" w:rsidR="008913ED" w:rsidRPr="008913ED" w:rsidRDefault="008913ED" w:rsidP="008913ED">
            <w:pPr>
              <w:spacing w:before="120" w:after="120" w:line="360" w:lineRule="auto"/>
              <w:rPr>
                <w:szCs w:val="24"/>
                <w:lang w:eastAsia="en-US"/>
              </w:rPr>
            </w:pPr>
            <w:r w:rsidRPr="008913ED">
              <w:rPr>
                <w:szCs w:val="24"/>
                <w:lang w:eastAsia="en-US"/>
              </w:rPr>
              <w:t>– Faktiske holdetider for tog ved grænsestationer</w:t>
            </w:r>
          </w:p>
        </w:tc>
      </w:tr>
      <w:tr w:rsidR="008913ED" w:rsidRPr="008913ED" w14:paraId="11D712A3" w14:textId="77777777" w:rsidTr="00002801">
        <w:tc>
          <w:tcPr>
            <w:tcW w:w="0" w:type="auto"/>
          </w:tcPr>
          <w:p w14:paraId="7AEC4287" w14:textId="77777777" w:rsidR="008913ED" w:rsidRPr="008913ED" w:rsidRDefault="008913ED" w:rsidP="008913ED">
            <w:pPr>
              <w:spacing w:before="120" w:after="120" w:line="360" w:lineRule="auto"/>
              <w:rPr>
                <w:szCs w:val="24"/>
                <w:lang w:eastAsia="en-US"/>
              </w:rPr>
            </w:pPr>
            <w:r w:rsidRPr="008913ED">
              <w:rPr>
                <w:szCs w:val="24"/>
                <w:lang w:eastAsia="en-US"/>
              </w:rPr>
              <w:lastRenderedPageBreak/>
              <w:t>Håndtering af forstyrrelser og krisestyring</w:t>
            </w:r>
          </w:p>
        </w:tc>
        <w:tc>
          <w:tcPr>
            <w:tcW w:w="0" w:type="auto"/>
          </w:tcPr>
          <w:p w14:paraId="0AE44465" w14:textId="77777777" w:rsidR="003E3AFF" w:rsidRDefault="008913ED" w:rsidP="008913ED">
            <w:pPr>
              <w:spacing w:before="120" w:after="120" w:line="360" w:lineRule="auto"/>
              <w:rPr>
                <w:szCs w:val="24"/>
                <w:lang w:eastAsia="en-US"/>
              </w:rPr>
            </w:pPr>
            <w:r w:rsidRPr="008913ED">
              <w:rPr>
                <w:szCs w:val="24"/>
                <w:lang w:eastAsia="en-US"/>
              </w:rPr>
              <w:t xml:space="preserve">– Andel af trafikken, der kan omdirigeres eller omlægges under forstyrrelser eller kriser </w:t>
            </w:r>
          </w:p>
          <w:p w14:paraId="66195D04" w14:textId="77777777" w:rsidR="003E3AFF" w:rsidRDefault="008913ED" w:rsidP="008913ED">
            <w:pPr>
              <w:spacing w:before="120" w:after="120" w:line="360" w:lineRule="auto"/>
              <w:rPr>
                <w:szCs w:val="24"/>
                <w:lang w:eastAsia="en-US"/>
              </w:rPr>
            </w:pPr>
            <w:r w:rsidRPr="008913ED">
              <w:rPr>
                <w:szCs w:val="24"/>
                <w:lang w:eastAsia="en-US"/>
              </w:rPr>
              <w:t xml:space="preserve">– Konsekvenser af forstyrrelser af jernbanetrafikken i form af forsinkelser og aflysninger </w:t>
            </w:r>
          </w:p>
          <w:p w14:paraId="354C5329" w14:textId="77777777" w:rsidR="003E3AFF" w:rsidRDefault="008913ED" w:rsidP="008913ED">
            <w:pPr>
              <w:spacing w:before="120" w:after="120" w:line="360" w:lineRule="auto"/>
              <w:rPr>
                <w:szCs w:val="24"/>
                <w:lang w:eastAsia="en-US"/>
              </w:rPr>
            </w:pPr>
            <w:r w:rsidRPr="008913ED">
              <w:rPr>
                <w:szCs w:val="24"/>
                <w:lang w:eastAsia="en-US"/>
              </w:rPr>
              <w:t xml:space="preserve">– Konsekvenser af forstyrrelser for operatører af jernbanetjenester og deres kunder </w:t>
            </w:r>
          </w:p>
          <w:p w14:paraId="54C12C8D" w14:textId="761240C9" w:rsidR="008913ED" w:rsidRPr="008913ED" w:rsidRDefault="008913ED" w:rsidP="008913ED">
            <w:pPr>
              <w:spacing w:before="120" w:after="120" w:line="360" w:lineRule="auto"/>
              <w:rPr>
                <w:szCs w:val="24"/>
                <w:lang w:eastAsia="en-US"/>
              </w:rPr>
            </w:pPr>
            <w:r w:rsidRPr="008913ED">
              <w:rPr>
                <w:szCs w:val="24"/>
                <w:lang w:eastAsia="en-US"/>
              </w:rPr>
              <w:t>– Specifikke problemer (kvalitative)</w:t>
            </w:r>
          </w:p>
        </w:tc>
      </w:tr>
      <w:tr w:rsidR="008913ED" w:rsidRPr="008913ED" w14:paraId="4047D989" w14:textId="77777777" w:rsidTr="00002801">
        <w:tc>
          <w:tcPr>
            <w:tcW w:w="0" w:type="auto"/>
          </w:tcPr>
          <w:p w14:paraId="02F2C2E5" w14:textId="77777777" w:rsidR="008913ED" w:rsidRPr="008913ED" w:rsidRDefault="008913ED" w:rsidP="008913ED">
            <w:pPr>
              <w:spacing w:before="120" w:after="120" w:line="360" w:lineRule="auto"/>
              <w:rPr>
                <w:szCs w:val="24"/>
                <w:lang w:eastAsia="en-US"/>
              </w:rPr>
            </w:pPr>
            <w:r w:rsidRPr="008913ED">
              <w:rPr>
                <w:szCs w:val="24"/>
                <w:lang w:eastAsia="en-US"/>
              </w:rPr>
              <w:t>Indførelse af digitale tjenester, værktøjer og grænseflader og deres resultater</w:t>
            </w:r>
          </w:p>
        </w:tc>
        <w:tc>
          <w:tcPr>
            <w:tcW w:w="0" w:type="auto"/>
          </w:tcPr>
          <w:p w14:paraId="5F5C8CF9" w14:textId="77777777" w:rsidR="003E3AFF" w:rsidRDefault="008913ED" w:rsidP="008913ED">
            <w:pPr>
              <w:spacing w:before="120" w:after="120" w:line="360" w:lineRule="auto"/>
              <w:rPr>
                <w:szCs w:val="24"/>
                <w:lang w:eastAsia="en-US"/>
              </w:rPr>
            </w:pPr>
            <w:r w:rsidRPr="008913ED">
              <w:rPr>
                <w:szCs w:val="24"/>
                <w:lang w:eastAsia="en-US"/>
              </w:rPr>
              <w:t xml:space="preserve">– Støtte til processer vedrørende kapacitetsforvaltning, trafikstyring og håndtering af forstyrrelser </w:t>
            </w:r>
          </w:p>
          <w:p w14:paraId="150F293C" w14:textId="77777777" w:rsidR="003E3AFF" w:rsidRDefault="008913ED" w:rsidP="008913ED">
            <w:pPr>
              <w:spacing w:before="120" w:after="120" w:line="360" w:lineRule="auto"/>
              <w:rPr>
                <w:b/>
                <w:i/>
                <w:szCs w:val="24"/>
                <w:lang w:eastAsia="en-US"/>
              </w:rPr>
            </w:pPr>
            <w:r w:rsidRPr="008913ED">
              <w:rPr>
                <w:szCs w:val="24"/>
                <w:lang w:eastAsia="en-US"/>
              </w:rPr>
              <w:t>– De fremlagte oplysningers og datas fuldstændighed og kvalitet</w:t>
            </w:r>
            <w:r w:rsidRPr="008913ED">
              <w:rPr>
                <w:b/>
                <w:i/>
                <w:szCs w:val="24"/>
                <w:lang w:eastAsia="en-US"/>
              </w:rPr>
              <w:t xml:space="preserve"> og lettilgængelighed for operationelle interessenter</w:t>
            </w:r>
          </w:p>
          <w:p w14:paraId="362B9034" w14:textId="496453C6" w:rsidR="008913ED" w:rsidRPr="008913ED" w:rsidRDefault="008913ED" w:rsidP="003E3AFF">
            <w:pPr>
              <w:spacing w:before="120" w:after="120" w:line="360" w:lineRule="auto"/>
              <w:rPr>
                <w:b/>
                <w:szCs w:val="24"/>
                <w:lang w:eastAsia="en-US"/>
              </w:rPr>
            </w:pPr>
            <w:r w:rsidRPr="008913ED">
              <w:rPr>
                <w:szCs w:val="24"/>
                <w:lang w:eastAsia="en-US"/>
              </w:rPr>
              <w:t>– Tilpasning til den europæiske arkitektur, der er udviklet i fællesforetagendet for Europas jernbaner, og til de relevante tekniske specifikationer i overensstemmelse med direktiv (EU) 2016/797</w:t>
            </w:r>
            <w:r w:rsidRPr="008913ED">
              <w:rPr>
                <w:b/>
                <w:szCs w:val="24"/>
                <w:lang w:eastAsia="en-US"/>
              </w:rPr>
              <w:t xml:space="preserve"> </w:t>
            </w:r>
          </w:p>
        </w:tc>
      </w:tr>
      <w:tr w:rsidR="008913ED" w:rsidRPr="008913ED" w14:paraId="5A235E15" w14:textId="77777777" w:rsidTr="00002801">
        <w:tc>
          <w:tcPr>
            <w:tcW w:w="0" w:type="auto"/>
          </w:tcPr>
          <w:p w14:paraId="1F71218E" w14:textId="77777777" w:rsidR="008913ED" w:rsidRPr="008913ED" w:rsidRDefault="008913ED" w:rsidP="008913ED">
            <w:pPr>
              <w:spacing w:before="120" w:after="120" w:line="360" w:lineRule="auto"/>
              <w:rPr>
                <w:szCs w:val="24"/>
                <w:lang w:val="en-GB" w:eastAsia="en-US"/>
              </w:rPr>
            </w:pPr>
            <w:r w:rsidRPr="008913ED">
              <w:rPr>
                <w:szCs w:val="24"/>
                <w:lang w:val="en-GB" w:eastAsia="en-US"/>
              </w:rPr>
              <w:t>Overholdelse af lovgivning, myndighedstilsyn</w:t>
            </w:r>
          </w:p>
        </w:tc>
        <w:tc>
          <w:tcPr>
            <w:tcW w:w="0" w:type="auto"/>
          </w:tcPr>
          <w:p w14:paraId="5F0F0F9C" w14:textId="77777777" w:rsidR="003E3AFF" w:rsidRDefault="008913ED" w:rsidP="008913ED">
            <w:pPr>
              <w:spacing w:before="120" w:after="120" w:line="360" w:lineRule="auto"/>
              <w:rPr>
                <w:szCs w:val="24"/>
                <w:lang w:eastAsia="en-US"/>
              </w:rPr>
            </w:pPr>
            <w:r w:rsidRPr="008913ED">
              <w:rPr>
                <w:szCs w:val="24"/>
                <w:lang w:eastAsia="en-US"/>
              </w:rPr>
              <w:t xml:space="preserve">– Procesindikatorer til overvågning af overholdelsen af regler og procedurer </w:t>
            </w:r>
          </w:p>
          <w:p w14:paraId="4C37EAEC" w14:textId="77777777" w:rsidR="008913ED" w:rsidRDefault="008913ED" w:rsidP="008913ED">
            <w:pPr>
              <w:spacing w:before="120" w:after="120" w:line="360" w:lineRule="auto"/>
              <w:rPr>
                <w:szCs w:val="24"/>
                <w:lang w:eastAsia="en-US"/>
              </w:rPr>
            </w:pPr>
            <w:r w:rsidRPr="008913ED">
              <w:rPr>
                <w:szCs w:val="24"/>
                <w:lang w:eastAsia="en-US"/>
              </w:rPr>
              <w:t>– Klager indgivet til tilsynsorganer og ENRRB</w:t>
            </w:r>
          </w:p>
          <w:p w14:paraId="522114AF" w14:textId="1026E096" w:rsidR="00336D00" w:rsidRPr="008913ED" w:rsidRDefault="00336D00" w:rsidP="00336D00">
            <w:pPr>
              <w:spacing w:before="120" w:after="120" w:line="360" w:lineRule="auto"/>
              <w:jc w:val="right"/>
              <w:rPr>
                <w:szCs w:val="24"/>
                <w:lang w:eastAsia="en-US"/>
              </w:rPr>
            </w:pPr>
            <w:bookmarkStart w:id="7" w:name="_GoBack"/>
            <w:r w:rsidRPr="008913ED">
              <w:rPr>
                <w:b/>
                <w:szCs w:val="24"/>
                <w:lang w:eastAsia="en-US"/>
              </w:rPr>
              <w:t>[Ændring 263]</w:t>
            </w:r>
            <w:bookmarkEnd w:id="7"/>
          </w:p>
        </w:tc>
      </w:tr>
    </w:tbl>
    <w:p w14:paraId="1A7D676B" w14:textId="51143AF6" w:rsidR="00AC5C90" w:rsidRDefault="00AC5C90">
      <w:pPr>
        <w:widowControl/>
        <w:rPr>
          <w:szCs w:val="24"/>
          <w:lang w:eastAsia="en-US"/>
        </w:rPr>
      </w:pPr>
      <w:r>
        <w:rPr>
          <w:szCs w:val="24"/>
          <w:lang w:eastAsia="en-US"/>
        </w:rPr>
        <w:br w:type="page"/>
      </w:r>
    </w:p>
    <w:p w14:paraId="53AE415E" w14:textId="77777777" w:rsidR="008913ED" w:rsidRPr="008913ED" w:rsidRDefault="008913ED" w:rsidP="008913ED">
      <w:pPr>
        <w:spacing w:before="120" w:after="120" w:line="360" w:lineRule="auto"/>
        <w:rPr>
          <w:szCs w:val="24"/>
          <w:lang w:eastAsia="en-US"/>
        </w:rPr>
      </w:pPr>
    </w:p>
    <w:p w14:paraId="5F0EA2B7" w14:textId="77777777" w:rsidR="008913ED" w:rsidRPr="008913ED" w:rsidRDefault="008913ED" w:rsidP="008913ED">
      <w:pPr>
        <w:spacing w:before="120" w:after="120" w:line="360" w:lineRule="auto"/>
        <w:jc w:val="center"/>
        <w:rPr>
          <w:lang w:eastAsia="en-US"/>
        </w:rPr>
      </w:pPr>
      <w:r w:rsidRPr="008913ED">
        <w:rPr>
          <w:lang w:eastAsia="en-US"/>
        </w:rPr>
        <w:t>BILAG VIII</w:t>
      </w:r>
    </w:p>
    <w:p w14:paraId="4F853214" w14:textId="77777777" w:rsidR="008913ED" w:rsidRPr="008913ED" w:rsidRDefault="008913ED" w:rsidP="003E3AFF">
      <w:pPr>
        <w:spacing w:before="120" w:after="120" w:line="360" w:lineRule="auto"/>
        <w:jc w:val="center"/>
        <w:rPr>
          <w:szCs w:val="24"/>
          <w:lang w:eastAsia="en-US"/>
        </w:rPr>
      </w:pPr>
      <w:r w:rsidRPr="008913ED">
        <w:rPr>
          <w:szCs w:val="24"/>
          <w:lang w:eastAsia="en-US"/>
        </w:rPr>
        <w:t>Oplysninger, der skal gives til operationelle interessenter, jf. artikel 48</w:t>
      </w:r>
    </w:p>
    <w:p w14:paraId="43DEFCD0" w14:textId="77777777" w:rsidR="008913ED" w:rsidRPr="008913ED" w:rsidRDefault="008913ED" w:rsidP="008913ED">
      <w:pPr>
        <w:spacing w:before="120" w:after="120" w:line="360" w:lineRule="auto"/>
        <w:rPr>
          <w:szCs w:val="24"/>
          <w:lang w:eastAsia="en-US"/>
        </w:rPr>
      </w:pPr>
      <w:r w:rsidRPr="008913ED">
        <w:rPr>
          <w:szCs w:val="24"/>
          <w:lang w:eastAsia="en-US"/>
        </w:rPr>
        <w:t>Følgende oplysninger, der gives i overensstemmelse med direktiv (EU) 2016/797 og relevante gennemførelsesretsakter i henhold til nævnte forordning, er omfattet af anvendelsesområdet for artikel 48:</w:t>
      </w:r>
    </w:p>
    <w:p w14:paraId="5C957F58"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Tognummer</w:t>
      </w:r>
    </w:p>
    <w:p w14:paraId="6E432D41"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Rapportering af togets position</w:t>
      </w:r>
    </w:p>
    <w:p w14:paraId="222C1219"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Data på fragtbreve</w:t>
      </w:r>
    </w:p>
    <w:p w14:paraId="0FBF09C0"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Kanalansøgning og tildeling af kanaler</w:t>
      </w:r>
    </w:p>
    <w:p w14:paraId="2EE5B4DC"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Klargøring af tog</w:t>
      </w:r>
    </w:p>
    <w:p w14:paraId="3D5838E9"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Togkørselsoplysninger og togkørselsprognose</w:t>
      </w:r>
    </w:p>
    <w:p w14:paraId="7C8C061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Oplysninger om driftsforstyrrelser</w:t>
      </w:r>
    </w:p>
    <w:p w14:paraId="22D2196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Forventet afgangstidspunkt (ETD), forventet overgangstidspunkt (ETI), forventet ankomsttidspunkt (ETA)</w:t>
      </w:r>
    </w:p>
    <w:p w14:paraId="7124C8FF"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Vognbevægelse</w:t>
      </w:r>
    </w:p>
    <w:p w14:paraId="2B3FDD44" w14:textId="77777777" w:rsidR="008913ED" w:rsidRPr="008913ED" w:rsidRDefault="008913ED" w:rsidP="008913ED">
      <w:pPr>
        <w:spacing w:before="120" w:after="120" w:line="360" w:lineRule="auto"/>
        <w:ind w:left="850" w:hanging="850"/>
        <w:rPr>
          <w:szCs w:val="24"/>
          <w:lang w:eastAsia="en-US"/>
        </w:rPr>
      </w:pPr>
      <w:r w:rsidRPr="008913ED">
        <w:rPr>
          <w:szCs w:val="24"/>
          <w:lang w:eastAsia="en-US"/>
        </w:rPr>
        <w:t>-</w:t>
      </w:r>
      <w:r w:rsidRPr="008913ED">
        <w:rPr>
          <w:szCs w:val="24"/>
          <w:lang w:eastAsia="en-US"/>
        </w:rPr>
        <w:tab/>
        <w:t>Dataudveksling med henblik på kvalitetsforbedring</w:t>
      </w:r>
    </w:p>
    <w:p w14:paraId="4C1852A5" w14:textId="57F53C1A" w:rsidR="00AC5C90" w:rsidRDefault="00AC5C90">
      <w:pPr>
        <w:widowControl/>
        <w:rPr>
          <w:szCs w:val="24"/>
          <w:lang w:eastAsia="en-US"/>
        </w:rPr>
      </w:pPr>
      <w:r>
        <w:rPr>
          <w:szCs w:val="24"/>
          <w:lang w:eastAsia="en-US"/>
        </w:rPr>
        <w:br w:type="page"/>
      </w:r>
    </w:p>
    <w:p w14:paraId="5C274EB8" w14:textId="77777777" w:rsidR="008913ED" w:rsidRPr="008913ED" w:rsidRDefault="008913ED" w:rsidP="008913ED">
      <w:pPr>
        <w:spacing w:before="120" w:after="120" w:line="360" w:lineRule="auto"/>
        <w:rPr>
          <w:szCs w:val="24"/>
          <w:lang w:eastAsia="en-US"/>
        </w:rPr>
      </w:pPr>
    </w:p>
    <w:p w14:paraId="6B03CD52" w14:textId="77777777" w:rsidR="008913ED" w:rsidRPr="008913ED" w:rsidRDefault="008913ED" w:rsidP="008913ED">
      <w:pPr>
        <w:spacing w:before="120" w:after="120" w:line="360" w:lineRule="auto"/>
        <w:jc w:val="center"/>
        <w:rPr>
          <w:lang w:eastAsia="en-US"/>
        </w:rPr>
      </w:pPr>
      <w:r w:rsidRPr="008913ED">
        <w:rPr>
          <w:lang w:eastAsia="en-US"/>
        </w:rPr>
        <w:t>BILAG IX</w:t>
      </w:r>
    </w:p>
    <w:p w14:paraId="0BE8B2E3" w14:textId="77777777" w:rsidR="008913ED" w:rsidRPr="008913ED" w:rsidRDefault="008913ED" w:rsidP="003E3AFF">
      <w:pPr>
        <w:spacing w:before="120" w:after="120" w:line="360" w:lineRule="auto"/>
        <w:jc w:val="center"/>
        <w:rPr>
          <w:szCs w:val="24"/>
          <w:lang w:eastAsia="en-US"/>
        </w:rPr>
      </w:pPr>
      <w:r w:rsidRPr="008913ED">
        <w:rPr>
          <w:szCs w:val="24"/>
          <w:lang w:eastAsia="en-US"/>
        </w:rPr>
        <w:t>Liste over spørgsmål, der skal samordnes mellem infrastrukturforvaltere, jf. artikel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184"/>
        <w:gridCol w:w="3876"/>
      </w:tblGrid>
      <w:tr w:rsidR="008913ED" w:rsidRPr="008913ED" w14:paraId="44521F1E" w14:textId="77777777" w:rsidTr="00002801">
        <w:trPr>
          <w:tblHeader/>
        </w:trPr>
        <w:tc>
          <w:tcPr>
            <w:tcW w:w="0" w:type="auto"/>
          </w:tcPr>
          <w:p w14:paraId="792357BF" w14:textId="77777777" w:rsidR="008913ED" w:rsidRPr="008913ED" w:rsidRDefault="008913ED" w:rsidP="008913ED">
            <w:pPr>
              <w:spacing w:before="120" w:after="120" w:line="360" w:lineRule="auto"/>
              <w:rPr>
                <w:szCs w:val="24"/>
                <w:lang w:val="en-GB" w:eastAsia="en-US"/>
              </w:rPr>
            </w:pPr>
            <w:r w:rsidRPr="008913ED">
              <w:rPr>
                <w:szCs w:val="24"/>
                <w:lang w:val="en-GB" w:eastAsia="en-US"/>
              </w:rPr>
              <w:t>Spørgsmål, der skal samordnes</w:t>
            </w:r>
          </w:p>
        </w:tc>
        <w:tc>
          <w:tcPr>
            <w:tcW w:w="0" w:type="auto"/>
          </w:tcPr>
          <w:p w14:paraId="5BEA3DCF" w14:textId="77777777" w:rsidR="008913ED" w:rsidRPr="008913ED" w:rsidRDefault="008913ED" w:rsidP="008913ED">
            <w:pPr>
              <w:spacing w:before="120" w:after="120" w:line="360" w:lineRule="auto"/>
              <w:rPr>
                <w:szCs w:val="24"/>
                <w:lang w:eastAsia="en-US"/>
              </w:rPr>
            </w:pPr>
            <w:r w:rsidRPr="008913ED">
              <w:rPr>
                <w:szCs w:val="24"/>
                <w:lang w:eastAsia="en-US"/>
              </w:rPr>
              <w:t>Bestemmelser, der skal omfattes af samordning</w:t>
            </w:r>
          </w:p>
        </w:tc>
      </w:tr>
      <w:tr w:rsidR="008913ED" w:rsidRPr="008913ED" w14:paraId="521DB23F" w14:textId="77777777" w:rsidTr="00002801">
        <w:tc>
          <w:tcPr>
            <w:tcW w:w="0" w:type="auto"/>
          </w:tcPr>
          <w:p w14:paraId="1D80917A" w14:textId="77777777" w:rsidR="008913ED" w:rsidRPr="008913ED" w:rsidRDefault="008913ED" w:rsidP="008913ED">
            <w:pPr>
              <w:spacing w:before="120" w:after="120" w:line="360" w:lineRule="auto"/>
              <w:rPr>
                <w:szCs w:val="24"/>
                <w:lang w:val="en-GB" w:eastAsia="en-US"/>
              </w:rPr>
            </w:pPr>
            <w:r w:rsidRPr="008913ED">
              <w:rPr>
                <w:szCs w:val="24"/>
                <w:lang w:val="en-GB" w:eastAsia="en-US"/>
              </w:rPr>
              <w:t>Strategisk kapacitetsplanlægning</w:t>
            </w:r>
          </w:p>
        </w:tc>
        <w:tc>
          <w:tcPr>
            <w:tcW w:w="0" w:type="auto"/>
          </w:tcPr>
          <w:p w14:paraId="5CF9B269" w14:textId="77777777" w:rsidR="009E4F3E" w:rsidRPr="009E4F3E" w:rsidRDefault="009E4F3E" w:rsidP="009E4F3E">
            <w:pPr>
              <w:widowControl/>
              <w:spacing w:before="120" w:after="120"/>
              <w:jc w:val="both"/>
              <w:rPr>
                <w:rFonts w:eastAsia="Calibri"/>
                <w:noProof/>
                <w:szCs w:val="22"/>
                <w:lang w:eastAsia="en-US"/>
              </w:rPr>
            </w:pPr>
            <w:r w:rsidRPr="009E4F3E">
              <w:rPr>
                <w:rFonts w:eastAsia="Calibri"/>
                <w:noProof/>
                <w:szCs w:val="22"/>
                <w:lang w:eastAsia="en-US"/>
              </w:rPr>
              <w:t>Kapitel II, afdeling 1, navnlig:</w:t>
            </w:r>
          </w:p>
          <w:p w14:paraId="723E5602" w14:textId="3674DFDC"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10</w:t>
            </w:r>
          </w:p>
          <w:p w14:paraId="5C769232" w14:textId="77777777" w:rsidR="009E4F3E" w:rsidRPr="009E4F3E" w:rsidRDefault="009E4F3E" w:rsidP="009E4F3E">
            <w:pPr>
              <w:widowControl/>
              <w:spacing w:before="120" w:after="120"/>
              <w:jc w:val="both"/>
              <w:rPr>
                <w:rFonts w:eastAsia="Calibri"/>
                <w:noProof/>
                <w:szCs w:val="22"/>
                <w:lang w:eastAsia="en-US"/>
              </w:rPr>
            </w:pPr>
            <w:r w:rsidRPr="009E4F3E">
              <w:rPr>
                <w:rFonts w:eastAsia="Calibri"/>
                <w:noProof/>
                <w:szCs w:val="22"/>
                <w:lang w:eastAsia="en-US"/>
              </w:rPr>
              <w:t>Kapitel II, afdeling 2, navnlig:</w:t>
            </w:r>
          </w:p>
          <w:p w14:paraId="4BD37196" w14:textId="7F8F45C7"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11</w:t>
            </w:r>
          </w:p>
          <w:p w14:paraId="09B97724" w14:textId="0394D3D5"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13</w:t>
            </w:r>
          </w:p>
          <w:p w14:paraId="2B1C45EB" w14:textId="01004CF4"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14</w:t>
            </w:r>
          </w:p>
          <w:p w14:paraId="76B317CB" w14:textId="6DF59274"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15</w:t>
            </w:r>
          </w:p>
          <w:p w14:paraId="4FA4B544" w14:textId="282D53D3"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16</w:t>
            </w:r>
          </w:p>
          <w:p w14:paraId="7CCAC88B" w14:textId="16391D7F"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17</w:t>
            </w:r>
          </w:p>
          <w:p w14:paraId="0A7C6A58" w14:textId="0DA88D15"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18</w:t>
            </w:r>
          </w:p>
          <w:p w14:paraId="62087088" w14:textId="7BC9F428"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19</w:t>
            </w:r>
          </w:p>
          <w:p w14:paraId="78D204F1" w14:textId="53479272" w:rsidR="009E4F3E" w:rsidRP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sidRPr="009E4F3E">
              <w:rPr>
                <w:rFonts w:eastAsia="Calibri"/>
                <w:noProof/>
                <w:szCs w:val="22"/>
                <w:lang w:eastAsia="en-US"/>
              </w:rPr>
              <w:t>–</w:t>
            </w:r>
            <w:r w:rsidRPr="009E4F3E">
              <w:rPr>
                <w:rFonts w:eastAsia="Calibri"/>
                <w:noProof/>
                <w:szCs w:val="22"/>
                <w:lang w:eastAsia="en-US"/>
              </w:rPr>
              <w:tab/>
              <w:t>Artikel 21</w:t>
            </w:r>
          </w:p>
          <w:p w14:paraId="2C149534" w14:textId="7D4821DA" w:rsidR="009E4F3E" w:rsidRDefault="009E4F3E" w:rsidP="009E4F3E">
            <w:pPr>
              <w:widowControl/>
              <w:tabs>
                <w:tab w:val="left" w:pos="850"/>
              </w:tabs>
              <w:autoSpaceDE w:val="0"/>
              <w:autoSpaceDN w:val="0"/>
              <w:spacing w:before="120" w:after="120"/>
              <w:ind w:left="850" w:hanging="850"/>
              <w:jc w:val="both"/>
              <w:rPr>
                <w:rFonts w:eastAsia="Calibri"/>
                <w:noProof/>
                <w:szCs w:val="22"/>
                <w:lang w:eastAsia="en-US"/>
              </w:rPr>
            </w:pPr>
            <w:r>
              <w:rPr>
                <w:rFonts w:eastAsia="Calibri"/>
                <w:noProof/>
                <w:szCs w:val="22"/>
                <w:lang w:eastAsia="en-US"/>
              </w:rPr>
              <w:t>–</w:t>
            </w:r>
            <w:r>
              <w:rPr>
                <w:rFonts w:eastAsia="Calibri"/>
                <w:noProof/>
                <w:szCs w:val="22"/>
                <w:lang w:eastAsia="en-US"/>
              </w:rPr>
              <w:tab/>
            </w:r>
            <w:r w:rsidRPr="009E4F3E">
              <w:rPr>
                <w:rFonts w:eastAsia="Calibri"/>
                <w:noProof/>
                <w:szCs w:val="22"/>
                <w:lang w:eastAsia="en-US"/>
              </w:rPr>
              <w:t>Artikel 22</w:t>
            </w:r>
          </w:p>
          <w:p w14:paraId="6859A50C" w14:textId="10267C6A" w:rsidR="008913ED" w:rsidRPr="008913ED" w:rsidRDefault="009E4F3E" w:rsidP="009E4F3E">
            <w:pPr>
              <w:widowControl/>
              <w:tabs>
                <w:tab w:val="left" w:pos="850"/>
              </w:tabs>
              <w:autoSpaceDE w:val="0"/>
              <w:autoSpaceDN w:val="0"/>
              <w:spacing w:before="120" w:after="120"/>
              <w:ind w:left="850" w:hanging="850"/>
              <w:jc w:val="both"/>
              <w:rPr>
                <w:szCs w:val="24"/>
                <w:lang w:eastAsia="en-US"/>
              </w:rPr>
            </w:pPr>
            <w:r w:rsidRPr="009E4F3E">
              <w:rPr>
                <w:rFonts w:eastAsia="Calibri"/>
                <w:noProof/>
                <w:szCs w:val="22"/>
                <w:lang w:eastAsia="en-US"/>
              </w:rPr>
              <w:t>–</w:t>
            </w:r>
            <w:r w:rsidRPr="009E4F3E">
              <w:rPr>
                <w:rFonts w:eastAsia="Calibri"/>
                <w:noProof/>
                <w:szCs w:val="22"/>
                <w:lang w:eastAsia="en-US"/>
              </w:rPr>
              <w:tab/>
              <w:t>Artikel 25</w:t>
            </w:r>
          </w:p>
        </w:tc>
      </w:tr>
      <w:tr w:rsidR="008913ED" w:rsidRPr="008913ED" w14:paraId="388720CC" w14:textId="77777777" w:rsidTr="00002801">
        <w:tc>
          <w:tcPr>
            <w:tcW w:w="0" w:type="auto"/>
          </w:tcPr>
          <w:p w14:paraId="584C0283" w14:textId="77777777" w:rsidR="008913ED" w:rsidRPr="008913ED" w:rsidRDefault="008913ED" w:rsidP="008913ED">
            <w:pPr>
              <w:spacing w:before="120" w:after="120" w:line="360" w:lineRule="auto"/>
              <w:rPr>
                <w:szCs w:val="24"/>
                <w:lang w:val="en-GB" w:eastAsia="en-US"/>
              </w:rPr>
            </w:pPr>
            <w:r w:rsidRPr="008913ED">
              <w:rPr>
                <w:szCs w:val="24"/>
                <w:lang w:val="en-GB" w:eastAsia="en-US"/>
              </w:rPr>
              <w:t>Planlægning, kapacitetstildeling og omlægning</w:t>
            </w:r>
          </w:p>
        </w:tc>
        <w:tc>
          <w:tcPr>
            <w:tcW w:w="0" w:type="auto"/>
          </w:tcPr>
          <w:p w14:paraId="0C6FC5B9" w14:textId="77777777" w:rsidR="009E4F3E" w:rsidRPr="00070986" w:rsidRDefault="009E4F3E" w:rsidP="009E4F3E">
            <w:pPr>
              <w:rPr>
                <w:noProof/>
              </w:rPr>
            </w:pPr>
            <w:r w:rsidRPr="00070986">
              <w:rPr>
                <w:noProof/>
              </w:rPr>
              <w:t>Kapitel II, afdeling 3, navnlig:</w:t>
            </w:r>
          </w:p>
          <w:p w14:paraId="37010759"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27</w:t>
            </w:r>
          </w:p>
          <w:p w14:paraId="3D83C390"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28</w:t>
            </w:r>
          </w:p>
          <w:p w14:paraId="02F24A2D"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31</w:t>
            </w:r>
          </w:p>
          <w:p w14:paraId="2414522D"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32</w:t>
            </w:r>
          </w:p>
          <w:p w14:paraId="3AA15A2C"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33</w:t>
            </w:r>
          </w:p>
          <w:p w14:paraId="5B0D21F3"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34</w:t>
            </w:r>
          </w:p>
          <w:p w14:paraId="21DC4A8F"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35</w:t>
            </w:r>
          </w:p>
          <w:p w14:paraId="1B251D47"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36</w:t>
            </w:r>
          </w:p>
          <w:p w14:paraId="79E0F1A6"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37</w:t>
            </w:r>
          </w:p>
          <w:p w14:paraId="45A36ABC" w14:textId="77777777" w:rsidR="009E4F3E" w:rsidRPr="00070986" w:rsidRDefault="009E4F3E" w:rsidP="009E4F3E">
            <w:pPr>
              <w:rPr>
                <w:noProof/>
              </w:rPr>
            </w:pPr>
            <w:r w:rsidRPr="00070986">
              <w:rPr>
                <w:noProof/>
              </w:rPr>
              <w:t>Kapitel II, afdeling 4</w:t>
            </w:r>
          </w:p>
          <w:p w14:paraId="29428AD6"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39</w:t>
            </w:r>
          </w:p>
          <w:p w14:paraId="78D4F3BA"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40</w:t>
            </w:r>
          </w:p>
          <w:p w14:paraId="77093D71" w14:textId="1C972B6C" w:rsidR="008913ED" w:rsidRPr="008913ED" w:rsidRDefault="009E4F3E" w:rsidP="009E4F3E">
            <w:pPr>
              <w:spacing w:before="120" w:after="120" w:line="360" w:lineRule="auto"/>
              <w:rPr>
                <w:szCs w:val="24"/>
                <w:lang w:eastAsia="en-US"/>
              </w:rPr>
            </w:pPr>
            <w:r w:rsidRPr="00070986">
              <w:rPr>
                <w:noProof/>
              </w:rPr>
              <w:lastRenderedPageBreak/>
              <w:t>–</w:t>
            </w:r>
            <w:r w:rsidRPr="00070986">
              <w:rPr>
                <w:noProof/>
              </w:rPr>
              <w:tab/>
              <w:t>Artikel 41</w:t>
            </w:r>
          </w:p>
        </w:tc>
      </w:tr>
      <w:tr w:rsidR="008913ED" w:rsidRPr="008913ED" w14:paraId="6B989DE0" w14:textId="77777777" w:rsidTr="00002801">
        <w:tc>
          <w:tcPr>
            <w:tcW w:w="0" w:type="auto"/>
          </w:tcPr>
          <w:p w14:paraId="3301F89E" w14:textId="77777777" w:rsidR="008913ED" w:rsidRPr="008913ED" w:rsidRDefault="008913ED" w:rsidP="008913ED">
            <w:pPr>
              <w:spacing w:before="120" w:after="120" w:line="360" w:lineRule="auto"/>
              <w:rPr>
                <w:szCs w:val="24"/>
                <w:lang w:eastAsia="en-US"/>
              </w:rPr>
            </w:pPr>
            <w:r w:rsidRPr="008913ED">
              <w:rPr>
                <w:szCs w:val="24"/>
                <w:lang w:eastAsia="en-US"/>
              </w:rPr>
              <w:lastRenderedPageBreak/>
              <w:t>Trafikstyring, håndtering af forstyrrelser og krisestyring</w:t>
            </w:r>
          </w:p>
        </w:tc>
        <w:tc>
          <w:tcPr>
            <w:tcW w:w="0" w:type="auto"/>
          </w:tcPr>
          <w:p w14:paraId="3035A218" w14:textId="77777777" w:rsidR="009E4F3E" w:rsidRPr="00070986" w:rsidRDefault="009E4F3E" w:rsidP="009E4F3E">
            <w:pPr>
              <w:rPr>
                <w:noProof/>
              </w:rPr>
            </w:pPr>
            <w:r w:rsidRPr="00070986">
              <w:rPr>
                <w:noProof/>
              </w:rPr>
              <w:t>Kapitel III, navnlig:</w:t>
            </w:r>
          </w:p>
          <w:p w14:paraId="149831BD"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45</w:t>
            </w:r>
          </w:p>
          <w:p w14:paraId="2DB8C9EC"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46</w:t>
            </w:r>
          </w:p>
          <w:p w14:paraId="6DAB9C50" w14:textId="2527274C" w:rsidR="008913ED" w:rsidRPr="008913ED" w:rsidRDefault="009E4F3E" w:rsidP="0062726D">
            <w:pPr>
              <w:pStyle w:val="Tiret0"/>
              <w:numPr>
                <w:ilvl w:val="0"/>
                <w:numId w:val="0"/>
              </w:numPr>
              <w:tabs>
                <w:tab w:val="left" w:pos="850"/>
              </w:tabs>
              <w:ind w:left="850" w:hanging="850"/>
              <w:rPr>
                <w:szCs w:val="24"/>
                <w:lang w:val="en-GB"/>
              </w:rPr>
            </w:pPr>
            <w:r w:rsidRPr="00070986">
              <w:rPr>
                <w:noProof/>
              </w:rPr>
              <w:t>–</w:t>
            </w:r>
            <w:r w:rsidRPr="00070986">
              <w:rPr>
                <w:noProof/>
              </w:rPr>
              <w:tab/>
              <w:t>Artikel 47</w:t>
            </w:r>
          </w:p>
        </w:tc>
      </w:tr>
      <w:tr w:rsidR="008913ED" w:rsidRPr="008913ED" w14:paraId="606B54DE" w14:textId="77777777" w:rsidTr="00002801">
        <w:tc>
          <w:tcPr>
            <w:tcW w:w="0" w:type="auto"/>
          </w:tcPr>
          <w:p w14:paraId="58ED7B1B" w14:textId="77777777" w:rsidR="008913ED" w:rsidRPr="008913ED" w:rsidRDefault="008913ED" w:rsidP="008913ED">
            <w:pPr>
              <w:spacing w:before="120" w:after="120" w:line="360" w:lineRule="auto"/>
              <w:rPr>
                <w:szCs w:val="24"/>
                <w:lang w:val="en-GB" w:eastAsia="en-US"/>
              </w:rPr>
            </w:pPr>
            <w:r w:rsidRPr="008913ED">
              <w:rPr>
                <w:szCs w:val="24"/>
                <w:lang w:val="en-GB" w:eastAsia="en-US"/>
              </w:rPr>
              <w:t>Præstationsvurdering</w:t>
            </w:r>
          </w:p>
        </w:tc>
        <w:tc>
          <w:tcPr>
            <w:tcW w:w="0" w:type="auto"/>
          </w:tcPr>
          <w:p w14:paraId="40A2C3AA" w14:textId="77777777" w:rsidR="009E4F3E" w:rsidRPr="00070986" w:rsidRDefault="009E4F3E" w:rsidP="009E4F3E">
            <w:pPr>
              <w:rPr>
                <w:noProof/>
              </w:rPr>
            </w:pPr>
            <w:r w:rsidRPr="00070986">
              <w:rPr>
                <w:noProof/>
              </w:rPr>
              <w:t>Kapitel IV, navnlig:</w:t>
            </w:r>
          </w:p>
          <w:p w14:paraId="2998A7D5" w14:textId="3F3936BC" w:rsidR="008913ED" w:rsidRPr="008913ED" w:rsidRDefault="009E4F3E" w:rsidP="009E4F3E">
            <w:pPr>
              <w:spacing w:before="120" w:after="120" w:line="360" w:lineRule="auto"/>
              <w:rPr>
                <w:szCs w:val="24"/>
                <w:lang w:val="en-GB" w:eastAsia="en-US"/>
              </w:rPr>
            </w:pPr>
            <w:r w:rsidRPr="00070986">
              <w:rPr>
                <w:noProof/>
              </w:rPr>
              <w:t>–</w:t>
            </w:r>
            <w:r w:rsidRPr="00070986">
              <w:rPr>
                <w:noProof/>
              </w:rPr>
              <w:tab/>
              <w:t>Artikel 51</w:t>
            </w:r>
          </w:p>
        </w:tc>
      </w:tr>
      <w:tr w:rsidR="008913ED" w:rsidRPr="008913ED" w14:paraId="124BD2B0" w14:textId="77777777" w:rsidTr="00002801">
        <w:tc>
          <w:tcPr>
            <w:tcW w:w="0" w:type="auto"/>
          </w:tcPr>
          <w:p w14:paraId="10A3B539" w14:textId="77777777" w:rsidR="008913ED" w:rsidRPr="008913ED" w:rsidRDefault="008913ED" w:rsidP="008913ED">
            <w:pPr>
              <w:spacing w:before="120" w:after="120" w:line="360" w:lineRule="auto"/>
              <w:rPr>
                <w:szCs w:val="24"/>
                <w:lang w:eastAsia="en-US"/>
              </w:rPr>
            </w:pPr>
            <w:r w:rsidRPr="008913ED">
              <w:rPr>
                <w:szCs w:val="24"/>
                <w:lang w:eastAsia="en-US"/>
              </w:rPr>
              <w:t>Indførelse af digitale tjenester, værktøjer og grænseflader, bidrag til udvikling af tekniske specifikationer</w:t>
            </w:r>
          </w:p>
        </w:tc>
        <w:tc>
          <w:tcPr>
            <w:tcW w:w="0" w:type="auto"/>
          </w:tcPr>
          <w:p w14:paraId="0A03672A"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9, stk. 2</w:t>
            </w:r>
          </w:p>
          <w:p w14:paraId="3F99780C"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20, stk. 4</w:t>
            </w:r>
          </w:p>
          <w:p w14:paraId="7D9F2A44"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27, stk. 4</w:t>
            </w:r>
          </w:p>
          <w:p w14:paraId="5E255E99"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29, stk. 5, artikel 29, stk. 6</w:t>
            </w:r>
          </w:p>
          <w:p w14:paraId="5AAB0300"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42, stk. 3, litra c)</w:t>
            </w:r>
          </w:p>
          <w:p w14:paraId="6D9EF4A8"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45, litra c)</w:t>
            </w:r>
          </w:p>
          <w:p w14:paraId="061CD330" w14:textId="77777777" w:rsidR="009E4F3E" w:rsidRPr="00070986" w:rsidRDefault="009E4F3E" w:rsidP="009E4F3E">
            <w:pPr>
              <w:pStyle w:val="Tiret0"/>
              <w:numPr>
                <w:ilvl w:val="0"/>
                <w:numId w:val="0"/>
              </w:numPr>
              <w:tabs>
                <w:tab w:val="left" w:pos="850"/>
              </w:tabs>
              <w:ind w:left="850" w:hanging="850"/>
              <w:rPr>
                <w:noProof/>
              </w:rPr>
            </w:pPr>
            <w:r w:rsidRPr="00070986">
              <w:rPr>
                <w:noProof/>
              </w:rPr>
              <w:t>–</w:t>
            </w:r>
            <w:r w:rsidRPr="00070986">
              <w:rPr>
                <w:noProof/>
              </w:rPr>
              <w:tab/>
              <w:t>Artikel 48, stk. 2, artikel 48, stk. 3</w:t>
            </w:r>
          </w:p>
          <w:p w14:paraId="736C06BF" w14:textId="1ADE792F" w:rsidR="008913ED" w:rsidRPr="008913ED" w:rsidRDefault="009E4F3E" w:rsidP="0062726D">
            <w:pPr>
              <w:pStyle w:val="Tiret0"/>
              <w:numPr>
                <w:ilvl w:val="0"/>
                <w:numId w:val="0"/>
              </w:numPr>
              <w:tabs>
                <w:tab w:val="left" w:pos="850"/>
              </w:tabs>
              <w:ind w:left="850" w:hanging="850"/>
              <w:rPr>
                <w:szCs w:val="24"/>
              </w:rPr>
            </w:pPr>
            <w:r w:rsidRPr="00070986">
              <w:rPr>
                <w:noProof/>
              </w:rPr>
              <w:t>–</w:t>
            </w:r>
            <w:r w:rsidRPr="00070986">
              <w:rPr>
                <w:noProof/>
              </w:rPr>
              <w:tab/>
              <w:t>Artikel 62</w:t>
            </w:r>
          </w:p>
        </w:tc>
      </w:tr>
    </w:tbl>
    <w:p w14:paraId="01DE62D0" w14:textId="2DFD0650" w:rsidR="00AC5C90" w:rsidRDefault="00AC5C90" w:rsidP="008913ED">
      <w:pPr>
        <w:spacing w:before="120" w:after="120" w:line="360" w:lineRule="auto"/>
        <w:rPr>
          <w:szCs w:val="24"/>
          <w:lang w:eastAsia="en-US"/>
        </w:rPr>
      </w:pPr>
    </w:p>
    <w:p w14:paraId="5EE7F743" w14:textId="77777777" w:rsidR="00AC5C90" w:rsidRDefault="00AC5C90">
      <w:pPr>
        <w:widowControl/>
        <w:rPr>
          <w:szCs w:val="24"/>
          <w:lang w:eastAsia="en-US"/>
        </w:rPr>
      </w:pPr>
      <w:r>
        <w:rPr>
          <w:szCs w:val="24"/>
          <w:lang w:eastAsia="en-US"/>
        </w:rPr>
        <w:br w:type="page"/>
      </w:r>
    </w:p>
    <w:p w14:paraId="4B8173DE" w14:textId="77777777" w:rsidR="008913ED" w:rsidRPr="008913ED" w:rsidRDefault="008913ED" w:rsidP="008913ED">
      <w:pPr>
        <w:spacing w:before="120" w:after="120" w:line="360" w:lineRule="auto"/>
        <w:rPr>
          <w:szCs w:val="24"/>
          <w:lang w:eastAsia="en-US"/>
        </w:rPr>
      </w:pPr>
    </w:p>
    <w:p w14:paraId="4046EF3B" w14:textId="77777777" w:rsidR="008913ED" w:rsidRPr="008913ED" w:rsidRDefault="008913ED" w:rsidP="008913ED">
      <w:pPr>
        <w:spacing w:before="120" w:after="120" w:line="360" w:lineRule="auto"/>
        <w:jc w:val="center"/>
        <w:rPr>
          <w:lang w:eastAsia="en-US"/>
        </w:rPr>
      </w:pPr>
      <w:r w:rsidRPr="008913ED">
        <w:rPr>
          <w:lang w:eastAsia="en-US"/>
        </w:rPr>
        <w:t>BILAG X</w:t>
      </w:r>
    </w:p>
    <w:p w14:paraId="7C548445" w14:textId="0D9B5174" w:rsidR="008913ED" w:rsidRPr="008913ED" w:rsidRDefault="00986544" w:rsidP="0062726D">
      <w:pPr>
        <w:spacing w:before="120" w:after="120" w:line="360" w:lineRule="auto"/>
        <w:jc w:val="center"/>
        <w:rPr>
          <w:szCs w:val="24"/>
          <w:lang w:eastAsia="en-US"/>
        </w:rPr>
      </w:pPr>
      <w:r w:rsidRPr="008913ED">
        <w:rPr>
          <w:szCs w:val="24"/>
          <w:lang w:eastAsia="en-US"/>
        </w:rPr>
        <w:t>Sammenligningstabel</w:t>
      </w:r>
    </w:p>
    <w:p w14:paraId="5163431A" w14:textId="27DEE4A4" w:rsidR="008913ED" w:rsidRPr="0062726D" w:rsidRDefault="00E45091" w:rsidP="008913ED">
      <w:pPr>
        <w:spacing w:before="120" w:after="120" w:line="360" w:lineRule="auto"/>
        <w:rPr>
          <w:smallCaps/>
          <w:szCs w:val="24"/>
          <w:lang w:eastAsia="en-US"/>
        </w:rPr>
      </w:pPr>
      <w:r>
        <w:rPr>
          <w:szCs w:val="24"/>
          <w:lang w:eastAsia="en-US"/>
        </w:rPr>
        <w:t>1.</w:t>
      </w:r>
      <w:r>
        <w:rPr>
          <w:szCs w:val="24"/>
          <w:lang w:eastAsia="en-US"/>
        </w:rPr>
        <w:tab/>
      </w:r>
      <w:r w:rsidR="008913ED" w:rsidRPr="0062726D">
        <w:rPr>
          <w:smallCaps/>
          <w:szCs w:val="24"/>
          <w:lang w:eastAsia="en-US"/>
        </w:rPr>
        <w:t>Sammenligningstabel for de bestemmelser, der udgår i direktiv 2012/34/EU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07"/>
        <w:gridCol w:w="6653"/>
      </w:tblGrid>
      <w:tr w:rsidR="008913ED" w:rsidRPr="008913ED" w14:paraId="3AD949A1" w14:textId="77777777" w:rsidTr="00002801">
        <w:trPr>
          <w:tblHeader/>
        </w:trPr>
        <w:tc>
          <w:tcPr>
            <w:tcW w:w="0" w:type="auto"/>
          </w:tcPr>
          <w:p w14:paraId="681215FC" w14:textId="77777777" w:rsidR="008913ED" w:rsidRPr="0062726D" w:rsidRDefault="008913ED" w:rsidP="008913ED">
            <w:pPr>
              <w:spacing w:before="120" w:after="120" w:line="360" w:lineRule="auto"/>
              <w:rPr>
                <w:szCs w:val="24"/>
                <w:lang w:eastAsia="en-US"/>
              </w:rPr>
            </w:pPr>
            <w:r w:rsidRPr="0062726D">
              <w:rPr>
                <w:szCs w:val="24"/>
                <w:lang w:eastAsia="en-US"/>
              </w:rPr>
              <w:t>Direktiv 2012/34/EU</w:t>
            </w:r>
          </w:p>
        </w:tc>
        <w:tc>
          <w:tcPr>
            <w:tcW w:w="0" w:type="auto"/>
          </w:tcPr>
          <w:p w14:paraId="18E240B6" w14:textId="77777777" w:rsidR="008913ED" w:rsidRPr="0062726D" w:rsidRDefault="008913ED" w:rsidP="008913ED">
            <w:pPr>
              <w:spacing w:before="120" w:after="120" w:line="360" w:lineRule="auto"/>
              <w:rPr>
                <w:szCs w:val="24"/>
                <w:lang w:eastAsia="en-US"/>
              </w:rPr>
            </w:pPr>
            <w:r w:rsidRPr="0062726D">
              <w:rPr>
                <w:szCs w:val="24"/>
                <w:lang w:eastAsia="en-US"/>
              </w:rPr>
              <w:t>Nærværende forordning</w:t>
            </w:r>
          </w:p>
        </w:tc>
      </w:tr>
      <w:tr w:rsidR="008913ED" w:rsidRPr="008913ED" w14:paraId="0B7D26F7" w14:textId="77777777" w:rsidTr="00002801">
        <w:tc>
          <w:tcPr>
            <w:tcW w:w="0" w:type="auto"/>
          </w:tcPr>
          <w:p w14:paraId="3CEA7237" w14:textId="77777777" w:rsidR="008913ED" w:rsidRPr="0062726D" w:rsidRDefault="008913ED" w:rsidP="008913ED">
            <w:pPr>
              <w:spacing w:before="120" w:after="120" w:line="360" w:lineRule="auto"/>
              <w:rPr>
                <w:szCs w:val="24"/>
                <w:lang w:eastAsia="en-US"/>
              </w:rPr>
            </w:pPr>
            <w:r w:rsidRPr="0062726D">
              <w:rPr>
                <w:szCs w:val="24"/>
                <w:lang w:eastAsia="en-US"/>
              </w:rPr>
              <w:t>Artikel 2, stk. 6</w:t>
            </w:r>
          </w:p>
        </w:tc>
        <w:tc>
          <w:tcPr>
            <w:tcW w:w="0" w:type="auto"/>
          </w:tcPr>
          <w:p w14:paraId="092C81D3" w14:textId="77777777" w:rsidR="008913ED" w:rsidRPr="0062726D" w:rsidRDefault="008913ED" w:rsidP="008913ED">
            <w:pPr>
              <w:spacing w:before="120" w:after="120" w:line="360" w:lineRule="auto"/>
              <w:rPr>
                <w:szCs w:val="24"/>
                <w:lang w:eastAsia="en-US"/>
              </w:rPr>
            </w:pPr>
            <w:r w:rsidRPr="0062726D">
              <w:rPr>
                <w:szCs w:val="24"/>
                <w:lang w:eastAsia="en-US"/>
              </w:rPr>
              <w:t>Artikel 36, stk. 2</w:t>
            </w:r>
          </w:p>
        </w:tc>
      </w:tr>
      <w:tr w:rsidR="008913ED" w:rsidRPr="008913ED" w14:paraId="5925C924" w14:textId="77777777" w:rsidTr="00002801">
        <w:tc>
          <w:tcPr>
            <w:tcW w:w="0" w:type="auto"/>
          </w:tcPr>
          <w:p w14:paraId="5B4C84C1" w14:textId="77777777" w:rsidR="008913ED" w:rsidRPr="0062726D" w:rsidRDefault="008913ED" w:rsidP="008913ED">
            <w:pPr>
              <w:spacing w:before="120" w:after="120" w:line="360" w:lineRule="auto"/>
              <w:rPr>
                <w:szCs w:val="24"/>
                <w:lang w:eastAsia="en-US"/>
              </w:rPr>
            </w:pPr>
            <w:r w:rsidRPr="0062726D">
              <w:rPr>
                <w:szCs w:val="24"/>
                <w:lang w:eastAsia="en-US"/>
              </w:rPr>
              <w:t>Artikel 3, nr. 20)</w:t>
            </w:r>
          </w:p>
        </w:tc>
        <w:tc>
          <w:tcPr>
            <w:tcW w:w="0" w:type="auto"/>
          </w:tcPr>
          <w:p w14:paraId="218DD4B4" w14:textId="77777777" w:rsidR="008913ED" w:rsidRPr="0062726D" w:rsidRDefault="008913ED" w:rsidP="008913ED">
            <w:pPr>
              <w:spacing w:before="120" w:after="120" w:line="360" w:lineRule="auto"/>
              <w:rPr>
                <w:szCs w:val="24"/>
                <w:lang w:eastAsia="en-US"/>
              </w:rPr>
            </w:pPr>
            <w:r w:rsidRPr="0062726D">
              <w:rPr>
                <w:szCs w:val="24"/>
                <w:lang w:eastAsia="en-US"/>
              </w:rPr>
              <w:t>Artikel 21</w:t>
            </w:r>
          </w:p>
        </w:tc>
      </w:tr>
      <w:tr w:rsidR="008913ED" w:rsidRPr="008913ED" w14:paraId="61A6A1A1" w14:textId="77777777" w:rsidTr="00002801">
        <w:tc>
          <w:tcPr>
            <w:tcW w:w="0" w:type="auto"/>
          </w:tcPr>
          <w:p w14:paraId="19A25C6C" w14:textId="77777777" w:rsidR="008913ED" w:rsidRPr="008913ED" w:rsidRDefault="008913ED" w:rsidP="008913ED">
            <w:pPr>
              <w:spacing w:before="120" w:after="120" w:line="360" w:lineRule="auto"/>
              <w:rPr>
                <w:szCs w:val="24"/>
                <w:lang w:val="en-GB" w:eastAsia="en-US"/>
              </w:rPr>
            </w:pPr>
            <w:r w:rsidRPr="0062726D">
              <w:rPr>
                <w:szCs w:val="24"/>
                <w:lang w:eastAsia="en-US"/>
              </w:rPr>
              <w:t>Artikel 3, nr</w:t>
            </w:r>
            <w:r w:rsidRPr="008913ED">
              <w:rPr>
                <w:szCs w:val="24"/>
                <w:lang w:val="en-GB" w:eastAsia="en-US"/>
              </w:rPr>
              <w:t>. 22)</w:t>
            </w:r>
          </w:p>
        </w:tc>
        <w:tc>
          <w:tcPr>
            <w:tcW w:w="0" w:type="auto"/>
          </w:tcPr>
          <w:p w14:paraId="04C055C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36</w:t>
            </w:r>
          </w:p>
        </w:tc>
      </w:tr>
      <w:tr w:rsidR="008913ED" w:rsidRPr="008913ED" w14:paraId="11CEDFF9" w14:textId="77777777" w:rsidTr="00002801">
        <w:tc>
          <w:tcPr>
            <w:tcW w:w="0" w:type="auto"/>
          </w:tcPr>
          <w:p w14:paraId="5093997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 nr. 23)</w:t>
            </w:r>
          </w:p>
        </w:tc>
        <w:tc>
          <w:tcPr>
            <w:tcW w:w="0" w:type="auto"/>
          </w:tcPr>
          <w:p w14:paraId="49746837"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w:t>
            </w:r>
          </w:p>
        </w:tc>
      </w:tr>
      <w:tr w:rsidR="008913ED" w:rsidRPr="008913ED" w14:paraId="26C24B1C" w14:textId="77777777" w:rsidTr="00002801">
        <w:tc>
          <w:tcPr>
            <w:tcW w:w="0" w:type="auto"/>
          </w:tcPr>
          <w:p w14:paraId="48730CB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 nr. 27)</w:t>
            </w:r>
          </w:p>
        </w:tc>
        <w:tc>
          <w:tcPr>
            <w:tcW w:w="0" w:type="auto"/>
          </w:tcPr>
          <w:p w14:paraId="00BB268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 nr. 8)</w:t>
            </w:r>
          </w:p>
        </w:tc>
      </w:tr>
      <w:tr w:rsidR="008913ED" w:rsidRPr="008913ED" w14:paraId="16DE4037" w14:textId="77777777" w:rsidTr="00002801">
        <w:tc>
          <w:tcPr>
            <w:tcW w:w="0" w:type="auto"/>
          </w:tcPr>
          <w:p w14:paraId="06C835E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 nr. 28)</w:t>
            </w:r>
          </w:p>
        </w:tc>
        <w:tc>
          <w:tcPr>
            <w:tcW w:w="0" w:type="auto"/>
          </w:tcPr>
          <w:p w14:paraId="49C7F3B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 nr. 13)</w:t>
            </w:r>
          </w:p>
        </w:tc>
      </w:tr>
      <w:tr w:rsidR="008913ED" w:rsidRPr="008913ED" w14:paraId="6AD83F40" w14:textId="77777777" w:rsidTr="00002801">
        <w:tc>
          <w:tcPr>
            <w:tcW w:w="0" w:type="auto"/>
          </w:tcPr>
          <w:p w14:paraId="67522FB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7b, stk. 1</w:t>
            </w:r>
          </w:p>
        </w:tc>
        <w:tc>
          <w:tcPr>
            <w:tcW w:w="0" w:type="auto"/>
          </w:tcPr>
          <w:p w14:paraId="56FE0A26"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 stk. 1</w:t>
            </w:r>
          </w:p>
        </w:tc>
      </w:tr>
      <w:tr w:rsidR="008913ED" w:rsidRPr="008913ED" w14:paraId="321E8758" w14:textId="77777777" w:rsidTr="00002801">
        <w:tc>
          <w:tcPr>
            <w:tcW w:w="0" w:type="auto"/>
          </w:tcPr>
          <w:p w14:paraId="04FF663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7b, stk. 2</w:t>
            </w:r>
          </w:p>
        </w:tc>
        <w:tc>
          <w:tcPr>
            <w:tcW w:w="0" w:type="auto"/>
          </w:tcPr>
          <w:p w14:paraId="550168C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 stk. 2</w:t>
            </w:r>
          </w:p>
        </w:tc>
      </w:tr>
      <w:tr w:rsidR="008913ED" w:rsidRPr="008913ED" w14:paraId="756BC906" w14:textId="77777777" w:rsidTr="00002801">
        <w:tc>
          <w:tcPr>
            <w:tcW w:w="0" w:type="auto"/>
          </w:tcPr>
          <w:p w14:paraId="583B130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7b, stk. 3</w:t>
            </w:r>
          </w:p>
        </w:tc>
        <w:tc>
          <w:tcPr>
            <w:tcW w:w="0" w:type="auto"/>
          </w:tcPr>
          <w:p w14:paraId="6D551DF9" w14:textId="77777777" w:rsidR="008913ED" w:rsidRPr="008913ED" w:rsidRDefault="008913ED" w:rsidP="008913ED">
            <w:pPr>
              <w:spacing w:before="120" w:after="120" w:line="360" w:lineRule="auto"/>
              <w:rPr>
                <w:szCs w:val="24"/>
                <w:lang w:eastAsia="en-US"/>
              </w:rPr>
            </w:pPr>
            <w:r w:rsidRPr="008913ED">
              <w:rPr>
                <w:szCs w:val="24"/>
                <w:lang w:eastAsia="en-US"/>
              </w:rPr>
              <w:t>Artikel 3, stk. 3, og artikel 2, stk. 3, litra b)</w:t>
            </w:r>
          </w:p>
        </w:tc>
      </w:tr>
      <w:tr w:rsidR="008913ED" w:rsidRPr="008913ED" w14:paraId="47BB40A6" w14:textId="77777777" w:rsidTr="00002801">
        <w:tc>
          <w:tcPr>
            <w:tcW w:w="0" w:type="auto"/>
          </w:tcPr>
          <w:p w14:paraId="430BD6D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36</w:t>
            </w:r>
          </w:p>
        </w:tc>
        <w:tc>
          <w:tcPr>
            <w:tcW w:w="0" w:type="auto"/>
          </w:tcPr>
          <w:p w14:paraId="383E43C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40</w:t>
            </w:r>
          </w:p>
        </w:tc>
      </w:tr>
      <w:tr w:rsidR="008913ED" w:rsidRPr="008913ED" w14:paraId="180A11E3" w14:textId="77777777" w:rsidTr="00002801">
        <w:tc>
          <w:tcPr>
            <w:tcW w:w="0" w:type="auto"/>
          </w:tcPr>
          <w:p w14:paraId="75ABF6D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38, stk. 1</w:t>
            </w:r>
          </w:p>
        </w:tc>
        <w:tc>
          <w:tcPr>
            <w:tcW w:w="0" w:type="auto"/>
          </w:tcPr>
          <w:p w14:paraId="6129B4CD" w14:textId="77777777" w:rsidR="008913ED" w:rsidRPr="008913ED" w:rsidRDefault="008913ED" w:rsidP="008913ED">
            <w:pPr>
              <w:spacing w:before="120" w:after="120" w:line="360" w:lineRule="auto"/>
              <w:rPr>
                <w:szCs w:val="24"/>
                <w:lang w:eastAsia="en-US"/>
              </w:rPr>
            </w:pPr>
            <w:r w:rsidRPr="008913ED">
              <w:rPr>
                <w:szCs w:val="24"/>
                <w:lang w:eastAsia="en-US"/>
              </w:rPr>
              <w:t>Artikel 26, stk. 1, andet afsnit, og artikel 26, stk. 6</w:t>
            </w:r>
          </w:p>
        </w:tc>
      </w:tr>
      <w:tr w:rsidR="008913ED" w:rsidRPr="008913ED" w14:paraId="1870D5C9" w14:textId="77777777" w:rsidTr="00002801">
        <w:tc>
          <w:tcPr>
            <w:tcW w:w="0" w:type="auto"/>
          </w:tcPr>
          <w:p w14:paraId="555CFD2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38, stk. 2</w:t>
            </w:r>
          </w:p>
        </w:tc>
        <w:tc>
          <w:tcPr>
            <w:tcW w:w="0" w:type="auto"/>
          </w:tcPr>
          <w:p w14:paraId="6B68397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26, stk. 3</w:t>
            </w:r>
          </w:p>
        </w:tc>
      </w:tr>
      <w:tr w:rsidR="008913ED" w:rsidRPr="008913ED" w14:paraId="42514EE6" w14:textId="77777777" w:rsidTr="00002801">
        <w:tc>
          <w:tcPr>
            <w:tcW w:w="0" w:type="auto"/>
          </w:tcPr>
          <w:p w14:paraId="3BC62DC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38, stk. 3</w:t>
            </w:r>
          </w:p>
        </w:tc>
        <w:tc>
          <w:tcPr>
            <w:tcW w:w="0" w:type="auto"/>
          </w:tcPr>
          <w:p w14:paraId="3CD7EAA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26, stk. 4</w:t>
            </w:r>
          </w:p>
        </w:tc>
      </w:tr>
      <w:tr w:rsidR="008913ED" w:rsidRPr="008913ED" w14:paraId="02A108B2" w14:textId="77777777" w:rsidTr="00002801">
        <w:tc>
          <w:tcPr>
            <w:tcW w:w="0" w:type="auto"/>
          </w:tcPr>
          <w:p w14:paraId="444CA5A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38, stk. 4</w:t>
            </w:r>
          </w:p>
        </w:tc>
        <w:tc>
          <w:tcPr>
            <w:tcW w:w="0" w:type="auto"/>
          </w:tcPr>
          <w:p w14:paraId="4B7C8256"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26, stk. 5</w:t>
            </w:r>
          </w:p>
        </w:tc>
      </w:tr>
      <w:tr w:rsidR="008913ED" w:rsidRPr="008913ED" w14:paraId="4DB72DBD" w14:textId="77777777" w:rsidTr="00002801">
        <w:tc>
          <w:tcPr>
            <w:tcW w:w="0" w:type="auto"/>
          </w:tcPr>
          <w:p w14:paraId="76D733E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39, stk. 1</w:t>
            </w:r>
          </w:p>
        </w:tc>
        <w:tc>
          <w:tcPr>
            <w:tcW w:w="0" w:type="auto"/>
          </w:tcPr>
          <w:p w14:paraId="38EF41A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11, stk. 3</w:t>
            </w:r>
          </w:p>
        </w:tc>
      </w:tr>
      <w:tr w:rsidR="008913ED" w:rsidRPr="008913ED" w14:paraId="44121C0C" w14:textId="77777777" w:rsidTr="00002801">
        <w:tc>
          <w:tcPr>
            <w:tcW w:w="0" w:type="auto"/>
          </w:tcPr>
          <w:p w14:paraId="076285B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39, stk. 2</w:t>
            </w:r>
          </w:p>
        </w:tc>
        <w:tc>
          <w:tcPr>
            <w:tcW w:w="0" w:type="auto"/>
          </w:tcPr>
          <w:p w14:paraId="69B0F0C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27, stk. 3</w:t>
            </w:r>
          </w:p>
        </w:tc>
      </w:tr>
      <w:tr w:rsidR="008913ED" w:rsidRPr="008913ED" w14:paraId="23CE553A" w14:textId="77777777" w:rsidTr="00002801">
        <w:tc>
          <w:tcPr>
            <w:tcW w:w="0" w:type="auto"/>
          </w:tcPr>
          <w:p w14:paraId="05CAC7B6" w14:textId="77777777" w:rsidR="008913ED" w:rsidRPr="008913ED" w:rsidRDefault="008913ED" w:rsidP="008913ED">
            <w:pPr>
              <w:spacing w:before="120" w:after="120" w:line="360" w:lineRule="auto"/>
              <w:rPr>
                <w:szCs w:val="24"/>
                <w:lang w:val="en-GB" w:eastAsia="en-US"/>
              </w:rPr>
            </w:pPr>
            <w:r w:rsidRPr="008913ED">
              <w:rPr>
                <w:szCs w:val="24"/>
                <w:lang w:val="en-GB" w:eastAsia="en-US"/>
              </w:rPr>
              <w:lastRenderedPageBreak/>
              <w:t>Artikel 40, stk. 1</w:t>
            </w:r>
          </w:p>
        </w:tc>
        <w:tc>
          <w:tcPr>
            <w:tcW w:w="0" w:type="auto"/>
          </w:tcPr>
          <w:p w14:paraId="4F5C524E" w14:textId="77777777" w:rsidR="008913ED" w:rsidRPr="008913ED" w:rsidRDefault="008913ED" w:rsidP="008913ED">
            <w:pPr>
              <w:spacing w:before="120" w:after="120" w:line="360" w:lineRule="auto"/>
              <w:rPr>
                <w:szCs w:val="24"/>
                <w:lang w:eastAsia="en-US"/>
              </w:rPr>
            </w:pPr>
            <w:r w:rsidRPr="008913ED">
              <w:rPr>
                <w:szCs w:val="24"/>
                <w:lang w:eastAsia="en-US"/>
              </w:rPr>
              <w:t>Artikel 14, stk. 2 og 3, og artikel 28</w:t>
            </w:r>
          </w:p>
        </w:tc>
      </w:tr>
      <w:tr w:rsidR="008913ED" w:rsidRPr="008913ED" w14:paraId="663B6B51" w14:textId="77777777" w:rsidTr="00002801">
        <w:tc>
          <w:tcPr>
            <w:tcW w:w="0" w:type="auto"/>
          </w:tcPr>
          <w:p w14:paraId="3DA85236"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40, stk. 2</w:t>
            </w:r>
          </w:p>
        </w:tc>
        <w:tc>
          <w:tcPr>
            <w:tcW w:w="0" w:type="auto"/>
          </w:tcPr>
          <w:p w14:paraId="7D66A7AC" w14:textId="77777777" w:rsidR="008913ED" w:rsidRPr="008913ED" w:rsidRDefault="008913ED" w:rsidP="008913ED">
            <w:pPr>
              <w:spacing w:before="120" w:after="120" w:line="360" w:lineRule="auto"/>
              <w:rPr>
                <w:szCs w:val="24"/>
                <w:lang w:eastAsia="en-US"/>
              </w:rPr>
            </w:pPr>
            <w:r w:rsidRPr="008913ED">
              <w:rPr>
                <w:szCs w:val="24"/>
                <w:lang w:eastAsia="en-US"/>
              </w:rPr>
              <w:t>Artikel 55, stk. 7, artikel 57, stk. 2, artikel 63, stk. 1 og 4, artikel 64, stk. 1 og 7</w:t>
            </w:r>
          </w:p>
        </w:tc>
      </w:tr>
      <w:tr w:rsidR="008913ED" w:rsidRPr="008913ED" w14:paraId="7E6E2695" w14:textId="77777777" w:rsidTr="00002801">
        <w:tc>
          <w:tcPr>
            <w:tcW w:w="0" w:type="auto"/>
          </w:tcPr>
          <w:p w14:paraId="1090E9C1"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40, stk. 3</w:t>
            </w:r>
          </w:p>
        </w:tc>
        <w:tc>
          <w:tcPr>
            <w:tcW w:w="0" w:type="auto"/>
          </w:tcPr>
          <w:p w14:paraId="2264571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55, stk. 2, 5 og 7</w:t>
            </w:r>
          </w:p>
        </w:tc>
      </w:tr>
      <w:tr w:rsidR="008913ED" w:rsidRPr="008913ED" w14:paraId="7758DB1D" w14:textId="77777777" w:rsidTr="00002801">
        <w:tc>
          <w:tcPr>
            <w:tcW w:w="0" w:type="auto"/>
          </w:tcPr>
          <w:p w14:paraId="62CB0D6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40, stk. 4</w:t>
            </w:r>
          </w:p>
        </w:tc>
        <w:tc>
          <w:tcPr>
            <w:tcW w:w="0" w:type="auto"/>
          </w:tcPr>
          <w:p w14:paraId="22CEECA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57, stk. 1</w:t>
            </w:r>
          </w:p>
        </w:tc>
      </w:tr>
      <w:tr w:rsidR="008913ED" w:rsidRPr="008913ED" w14:paraId="03F71EAC" w14:textId="77777777" w:rsidTr="00002801">
        <w:tc>
          <w:tcPr>
            <w:tcW w:w="0" w:type="auto"/>
          </w:tcPr>
          <w:p w14:paraId="26DAE6B1"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40, stk. 5</w:t>
            </w:r>
          </w:p>
        </w:tc>
        <w:tc>
          <w:tcPr>
            <w:tcW w:w="0" w:type="auto"/>
          </w:tcPr>
          <w:p w14:paraId="36D0D138" w14:textId="77777777" w:rsidR="008913ED" w:rsidRPr="008913ED" w:rsidRDefault="008913ED" w:rsidP="008913ED">
            <w:pPr>
              <w:spacing w:before="120" w:after="120" w:line="360" w:lineRule="auto"/>
              <w:rPr>
                <w:szCs w:val="24"/>
                <w:lang w:val="en-GB" w:eastAsia="en-US"/>
              </w:rPr>
            </w:pPr>
          </w:p>
        </w:tc>
      </w:tr>
      <w:tr w:rsidR="008913ED" w:rsidRPr="008913ED" w14:paraId="28B279A8" w14:textId="77777777" w:rsidTr="00002801">
        <w:tc>
          <w:tcPr>
            <w:tcW w:w="0" w:type="auto"/>
          </w:tcPr>
          <w:p w14:paraId="3A60715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41, stk. 1</w:t>
            </w:r>
          </w:p>
        </w:tc>
        <w:tc>
          <w:tcPr>
            <w:tcW w:w="0" w:type="auto"/>
          </w:tcPr>
          <w:p w14:paraId="20E9140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7, stk. 1</w:t>
            </w:r>
          </w:p>
        </w:tc>
      </w:tr>
      <w:tr w:rsidR="008913ED" w:rsidRPr="008913ED" w14:paraId="7AEE160A" w14:textId="77777777" w:rsidTr="00002801">
        <w:tc>
          <w:tcPr>
            <w:tcW w:w="0" w:type="auto"/>
          </w:tcPr>
          <w:p w14:paraId="61F1FA7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41, stk. 2</w:t>
            </w:r>
          </w:p>
        </w:tc>
        <w:tc>
          <w:tcPr>
            <w:tcW w:w="0" w:type="auto"/>
          </w:tcPr>
          <w:p w14:paraId="1B21CE2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7, stk. 2</w:t>
            </w:r>
          </w:p>
        </w:tc>
      </w:tr>
      <w:tr w:rsidR="008913ED" w:rsidRPr="008913ED" w14:paraId="3057CF1A" w14:textId="77777777" w:rsidTr="00002801">
        <w:tc>
          <w:tcPr>
            <w:tcW w:w="0" w:type="auto"/>
          </w:tcPr>
          <w:p w14:paraId="1AD06B1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41, stk. 3</w:t>
            </w:r>
          </w:p>
        </w:tc>
        <w:tc>
          <w:tcPr>
            <w:tcW w:w="0" w:type="auto"/>
          </w:tcPr>
          <w:p w14:paraId="48A9ACD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7, stk. 3</w:t>
            </w:r>
          </w:p>
        </w:tc>
      </w:tr>
      <w:tr w:rsidR="008913ED" w:rsidRPr="008913ED" w14:paraId="7D011CE1" w14:textId="77777777" w:rsidTr="00002801">
        <w:tc>
          <w:tcPr>
            <w:tcW w:w="0" w:type="auto"/>
          </w:tcPr>
          <w:p w14:paraId="33B0F7F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1</w:t>
            </w:r>
          </w:p>
        </w:tc>
        <w:tc>
          <w:tcPr>
            <w:tcW w:w="0" w:type="auto"/>
          </w:tcPr>
          <w:p w14:paraId="2726225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1</w:t>
            </w:r>
          </w:p>
        </w:tc>
      </w:tr>
      <w:tr w:rsidR="008913ED" w:rsidRPr="008913ED" w14:paraId="5F13BB79" w14:textId="77777777" w:rsidTr="00002801">
        <w:tc>
          <w:tcPr>
            <w:tcW w:w="0" w:type="auto"/>
          </w:tcPr>
          <w:p w14:paraId="2EBDCE70"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2</w:t>
            </w:r>
          </w:p>
        </w:tc>
        <w:tc>
          <w:tcPr>
            <w:tcW w:w="0" w:type="auto"/>
          </w:tcPr>
          <w:p w14:paraId="42A56B57"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4</w:t>
            </w:r>
          </w:p>
        </w:tc>
      </w:tr>
      <w:tr w:rsidR="008913ED" w:rsidRPr="008913ED" w14:paraId="0AB5F4F9" w14:textId="77777777" w:rsidTr="00002801">
        <w:tc>
          <w:tcPr>
            <w:tcW w:w="0" w:type="auto"/>
          </w:tcPr>
          <w:p w14:paraId="130C0D1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3</w:t>
            </w:r>
          </w:p>
        </w:tc>
        <w:tc>
          <w:tcPr>
            <w:tcW w:w="0" w:type="auto"/>
          </w:tcPr>
          <w:p w14:paraId="505FEA8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5</w:t>
            </w:r>
          </w:p>
        </w:tc>
      </w:tr>
      <w:tr w:rsidR="008913ED" w:rsidRPr="008913ED" w14:paraId="296DD704" w14:textId="77777777" w:rsidTr="00002801">
        <w:tc>
          <w:tcPr>
            <w:tcW w:w="0" w:type="auto"/>
          </w:tcPr>
          <w:p w14:paraId="0183AE7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4</w:t>
            </w:r>
          </w:p>
        </w:tc>
        <w:tc>
          <w:tcPr>
            <w:tcW w:w="0" w:type="auto"/>
          </w:tcPr>
          <w:p w14:paraId="33C8623F"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5 og 6</w:t>
            </w:r>
          </w:p>
        </w:tc>
      </w:tr>
      <w:tr w:rsidR="008913ED" w:rsidRPr="008913ED" w14:paraId="00FD2C63" w14:textId="77777777" w:rsidTr="00002801">
        <w:tc>
          <w:tcPr>
            <w:tcW w:w="0" w:type="auto"/>
          </w:tcPr>
          <w:p w14:paraId="75DE886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5</w:t>
            </w:r>
          </w:p>
        </w:tc>
        <w:tc>
          <w:tcPr>
            <w:tcW w:w="0" w:type="auto"/>
          </w:tcPr>
          <w:p w14:paraId="7523FF11" w14:textId="77777777" w:rsidR="008913ED" w:rsidRPr="008913ED" w:rsidRDefault="008913ED" w:rsidP="008913ED">
            <w:pPr>
              <w:spacing w:before="120" w:after="120" w:line="360" w:lineRule="auto"/>
              <w:rPr>
                <w:szCs w:val="24"/>
                <w:lang w:eastAsia="en-US"/>
              </w:rPr>
            </w:pPr>
            <w:r w:rsidRPr="008913ED">
              <w:rPr>
                <w:szCs w:val="24"/>
                <w:lang w:eastAsia="en-US"/>
              </w:rPr>
              <w:t>Artikel 31, stk. 7, og bilag I, afsnit 5</w:t>
            </w:r>
          </w:p>
        </w:tc>
      </w:tr>
      <w:tr w:rsidR="008913ED" w:rsidRPr="008913ED" w14:paraId="2B6FDDC7" w14:textId="77777777" w:rsidTr="00002801">
        <w:tc>
          <w:tcPr>
            <w:tcW w:w="0" w:type="auto"/>
          </w:tcPr>
          <w:p w14:paraId="0B9C732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6</w:t>
            </w:r>
          </w:p>
        </w:tc>
        <w:tc>
          <w:tcPr>
            <w:tcW w:w="0" w:type="auto"/>
          </w:tcPr>
          <w:p w14:paraId="0BFAB14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8</w:t>
            </w:r>
          </w:p>
        </w:tc>
      </w:tr>
      <w:tr w:rsidR="008913ED" w:rsidRPr="008913ED" w14:paraId="2BDACCAF" w14:textId="77777777" w:rsidTr="00002801">
        <w:tc>
          <w:tcPr>
            <w:tcW w:w="0" w:type="auto"/>
          </w:tcPr>
          <w:p w14:paraId="7D9BE97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7</w:t>
            </w:r>
          </w:p>
        </w:tc>
        <w:tc>
          <w:tcPr>
            <w:tcW w:w="0" w:type="auto"/>
          </w:tcPr>
          <w:p w14:paraId="6158EF2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10</w:t>
            </w:r>
          </w:p>
        </w:tc>
      </w:tr>
      <w:tr w:rsidR="008913ED" w:rsidRPr="008913ED" w14:paraId="38B3B1D6" w14:textId="77777777" w:rsidTr="00002801">
        <w:tc>
          <w:tcPr>
            <w:tcW w:w="0" w:type="auto"/>
          </w:tcPr>
          <w:p w14:paraId="03EB2D8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42, stk. 8</w:t>
            </w:r>
          </w:p>
        </w:tc>
        <w:tc>
          <w:tcPr>
            <w:tcW w:w="0" w:type="auto"/>
          </w:tcPr>
          <w:p w14:paraId="703EEA6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11</w:t>
            </w:r>
          </w:p>
        </w:tc>
      </w:tr>
      <w:tr w:rsidR="008913ED" w:rsidRPr="008913ED" w14:paraId="46F8297A" w14:textId="77777777" w:rsidTr="00002801">
        <w:tc>
          <w:tcPr>
            <w:tcW w:w="0" w:type="auto"/>
          </w:tcPr>
          <w:p w14:paraId="60BA239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43, stk. 1</w:t>
            </w:r>
          </w:p>
        </w:tc>
        <w:tc>
          <w:tcPr>
            <w:tcW w:w="0" w:type="auto"/>
          </w:tcPr>
          <w:p w14:paraId="5FF4A203" w14:textId="77777777" w:rsidR="008913ED" w:rsidRPr="008913ED" w:rsidRDefault="008913ED" w:rsidP="008913ED">
            <w:pPr>
              <w:spacing w:before="120" w:after="120" w:line="360" w:lineRule="auto"/>
              <w:rPr>
                <w:szCs w:val="24"/>
                <w:lang w:eastAsia="en-US"/>
              </w:rPr>
            </w:pPr>
            <w:r w:rsidRPr="008913ED">
              <w:rPr>
                <w:szCs w:val="24"/>
                <w:lang w:eastAsia="en-US"/>
              </w:rPr>
              <w:t>Artikel 38, stk. 1, artikel 32, stk. 6, 7 og 8, og artikel 33, stk. 1 og 2</w:t>
            </w:r>
          </w:p>
        </w:tc>
      </w:tr>
      <w:tr w:rsidR="008913ED" w:rsidRPr="008913ED" w14:paraId="45BC9525" w14:textId="77777777" w:rsidTr="00002801">
        <w:tc>
          <w:tcPr>
            <w:tcW w:w="0" w:type="auto"/>
          </w:tcPr>
          <w:p w14:paraId="395C05B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43, stk. 2</w:t>
            </w:r>
          </w:p>
        </w:tc>
        <w:tc>
          <w:tcPr>
            <w:tcW w:w="0" w:type="auto"/>
          </w:tcPr>
          <w:p w14:paraId="1A54E407" w14:textId="77777777" w:rsidR="008913ED" w:rsidRPr="008913ED" w:rsidRDefault="008913ED" w:rsidP="008913ED">
            <w:pPr>
              <w:spacing w:before="120" w:after="120" w:line="360" w:lineRule="auto"/>
              <w:rPr>
                <w:szCs w:val="24"/>
                <w:lang w:eastAsia="en-US"/>
              </w:rPr>
            </w:pPr>
            <w:r w:rsidRPr="008913ED">
              <w:rPr>
                <w:szCs w:val="24"/>
                <w:lang w:eastAsia="en-US"/>
              </w:rPr>
              <w:t xml:space="preserve">Artikel 10, stk. 8, artikel 11, stk. 2, artikel 21, stk. 9, artikel </w:t>
            </w:r>
            <w:r w:rsidRPr="008913ED">
              <w:rPr>
                <w:szCs w:val="24"/>
                <w:lang w:eastAsia="en-US"/>
              </w:rPr>
              <w:lastRenderedPageBreak/>
              <w:t>38, stk. 3, og artikel 39, stk. 9</w:t>
            </w:r>
          </w:p>
        </w:tc>
      </w:tr>
      <w:tr w:rsidR="008913ED" w:rsidRPr="008913ED" w14:paraId="7417BABD" w14:textId="77777777" w:rsidTr="00002801">
        <w:tc>
          <w:tcPr>
            <w:tcW w:w="0" w:type="auto"/>
          </w:tcPr>
          <w:p w14:paraId="6EB2738C" w14:textId="77777777" w:rsidR="008913ED" w:rsidRPr="008913ED" w:rsidRDefault="008913ED" w:rsidP="008913ED">
            <w:pPr>
              <w:spacing w:before="120" w:after="120" w:line="360" w:lineRule="auto"/>
              <w:rPr>
                <w:szCs w:val="24"/>
                <w:lang w:val="en-GB" w:eastAsia="en-US"/>
              </w:rPr>
            </w:pPr>
            <w:r w:rsidRPr="008913ED">
              <w:rPr>
                <w:szCs w:val="24"/>
                <w:lang w:val="en-GB" w:eastAsia="en-US"/>
              </w:rPr>
              <w:lastRenderedPageBreak/>
              <w:t>Artikel 43, stk. 3</w:t>
            </w:r>
          </w:p>
        </w:tc>
        <w:tc>
          <w:tcPr>
            <w:tcW w:w="0" w:type="auto"/>
          </w:tcPr>
          <w:p w14:paraId="4F07AA29" w14:textId="77777777" w:rsidR="008913ED" w:rsidRPr="008913ED" w:rsidRDefault="008913ED" w:rsidP="008913ED">
            <w:pPr>
              <w:spacing w:before="120" w:after="120" w:line="360" w:lineRule="auto"/>
              <w:rPr>
                <w:szCs w:val="24"/>
                <w:lang w:val="en-GB" w:eastAsia="en-US"/>
              </w:rPr>
            </w:pPr>
            <w:r w:rsidRPr="008913ED">
              <w:rPr>
                <w:szCs w:val="24"/>
                <w:lang w:val="en-GB" w:eastAsia="en-US"/>
              </w:rPr>
              <w:t>Ikke relevant</w:t>
            </w:r>
          </w:p>
        </w:tc>
      </w:tr>
      <w:tr w:rsidR="008913ED" w:rsidRPr="008913ED" w14:paraId="4C578ECB" w14:textId="77777777" w:rsidTr="00002801">
        <w:tc>
          <w:tcPr>
            <w:tcW w:w="0" w:type="auto"/>
          </w:tcPr>
          <w:p w14:paraId="4D63C850"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44, stk. 1</w:t>
            </w:r>
          </w:p>
        </w:tc>
        <w:tc>
          <w:tcPr>
            <w:tcW w:w="0" w:type="auto"/>
          </w:tcPr>
          <w:p w14:paraId="0808956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26, stk. 1</w:t>
            </w:r>
          </w:p>
        </w:tc>
      </w:tr>
      <w:tr w:rsidR="008913ED" w:rsidRPr="008913ED" w14:paraId="572F3CFC" w14:textId="77777777" w:rsidTr="00002801">
        <w:tc>
          <w:tcPr>
            <w:tcW w:w="0" w:type="auto"/>
          </w:tcPr>
          <w:p w14:paraId="560DD271"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44, stk. 2</w:t>
            </w:r>
          </w:p>
        </w:tc>
        <w:tc>
          <w:tcPr>
            <w:tcW w:w="0" w:type="auto"/>
          </w:tcPr>
          <w:p w14:paraId="6B4F2AF1" w14:textId="77777777" w:rsidR="008913ED" w:rsidRPr="008913ED" w:rsidRDefault="008913ED" w:rsidP="008913ED">
            <w:pPr>
              <w:spacing w:before="120" w:after="120" w:line="360" w:lineRule="auto"/>
              <w:rPr>
                <w:szCs w:val="24"/>
                <w:lang w:eastAsia="en-US"/>
              </w:rPr>
            </w:pPr>
            <w:r w:rsidRPr="008913ED">
              <w:rPr>
                <w:szCs w:val="24"/>
                <w:lang w:eastAsia="en-US"/>
              </w:rPr>
              <w:t>Artikel 32, stk. 7, og artikel 32, stk. 8</w:t>
            </w:r>
          </w:p>
        </w:tc>
      </w:tr>
      <w:tr w:rsidR="008913ED" w:rsidRPr="008913ED" w14:paraId="78F0EE2C" w14:textId="77777777" w:rsidTr="00002801">
        <w:tc>
          <w:tcPr>
            <w:tcW w:w="0" w:type="auto"/>
          </w:tcPr>
          <w:p w14:paraId="4A437CD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44, stk. 3</w:t>
            </w:r>
          </w:p>
        </w:tc>
        <w:tc>
          <w:tcPr>
            <w:tcW w:w="0" w:type="auto"/>
          </w:tcPr>
          <w:p w14:paraId="1A1A2B0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31, stk. 2</w:t>
            </w:r>
          </w:p>
        </w:tc>
      </w:tr>
      <w:tr w:rsidR="008913ED" w:rsidRPr="008913ED" w14:paraId="6B4F2D54" w14:textId="77777777" w:rsidTr="00002801">
        <w:tc>
          <w:tcPr>
            <w:tcW w:w="0" w:type="auto"/>
          </w:tcPr>
          <w:p w14:paraId="4DEE1741"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44, stk. 4</w:t>
            </w:r>
          </w:p>
        </w:tc>
        <w:tc>
          <w:tcPr>
            <w:tcW w:w="0" w:type="auto"/>
          </w:tcPr>
          <w:p w14:paraId="41FEE976"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28</w:t>
            </w:r>
          </w:p>
        </w:tc>
      </w:tr>
      <w:tr w:rsidR="008913ED" w:rsidRPr="008913ED" w14:paraId="6222D6FE" w14:textId="77777777" w:rsidTr="00002801">
        <w:tc>
          <w:tcPr>
            <w:tcW w:w="0" w:type="auto"/>
          </w:tcPr>
          <w:p w14:paraId="578AEB1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45, stk. 1</w:t>
            </w:r>
          </w:p>
        </w:tc>
        <w:tc>
          <w:tcPr>
            <w:tcW w:w="0" w:type="auto"/>
          </w:tcPr>
          <w:p w14:paraId="0768FF9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32, stk. 2</w:t>
            </w:r>
          </w:p>
        </w:tc>
      </w:tr>
      <w:tr w:rsidR="008913ED" w:rsidRPr="008913ED" w14:paraId="15F3A5AC" w14:textId="77777777" w:rsidTr="00002801">
        <w:tc>
          <w:tcPr>
            <w:tcW w:w="0" w:type="auto"/>
          </w:tcPr>
          <w:p w14:paraId="6D9EA78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45, stk. 2</w:t>
            </w:r>
          </w:p>
        </w:tc>
        <w:tc>
          <w:tcPr>
            <w:tcW w:w="0" w:type="auto"/>
          </w:tcPr>
          <w:p w14:paraId="7A8D333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32, stk. 4</w:t>
            </w:r>
          </w:p>
        </w:tc>
      </w:tr>
      <w:tr w:rsidR="008913ED" w:rsidRPr="008913ED" w14:paraId="2F15D6E6" w14:textId="77777777" w:rsidTr="00002801">
        <w:tc>
          <w:tcPr>
            <w:tcW w:w="0" w:type="auto"/>
          </w:tcPr>
          <w:p w14:paraId="3F276A5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45, stk. 3</w:t>
            </w:r>
          </w:p>
        </w:tc>
        <w:tc>
          <w:tcPr>
            <w:tcW w:w="0" w:type="auto"/>
          </w:tcPr>
          <w:p w14:paraId="6628321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32, stk. 10</w:t>
            </w:r>
          </w:p>
        </w:tc>
      </w:tr>
      <w:tr w:rsidR="008913ED" w:rsidRPr="008913ED" w14:paraId="2D688B92" w14:textId="77777777" w:rsidTr="00002801">
        <w:tc>
          <w:tcPr>
            <w:tcW w:w="0" w:type="auto"/>
          </w:tcPr>
          <w:p w14:paraId="73E200C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45, stk. 4</w:t>
            </w:r>
          </w:p>
        </w:tc>
        <w:tc>
          <w:tcPr>
            <w:tcW w:w="0" w:type="auto"/>
          </w:tcPr>
          <w:p w14:paraId="4044E09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32, stk. 11</w:t>
            </w:r>
          </w:p>
        </w:tc>
      </w:tr>
      <w:tr w:rsidR="008913ED" w:rsidRPr="008913ED" w14:paraId="21FFBAF5" w14:textId="77777777" w:rsidTr="00002801">
        <w:tc>
          <w:tcPr>
            <w:tcW w:w="0" w:type="auto"/>
          </w:tcPr>
          <w:p w14:paraId="1EBF38E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46, stk. 1</w:t>
            </w:r>
          </w:p>
        </w:tc>
        <w:tc>
          <w:tcPr>
            <w:tcW w:w="0" w:type="auto"/>
          </w:tcPr>
          <w:p w14:paraId="28F6E01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8, stk. 3 Artikel 20, stk. 3 Artikel 32, stk. 3</w:t>
            </w:r>
          </w:p>
        </w:tc>
      </w:tr>
      <w:tr w:rsidR="008913ED" w:rsidRPr="008913ED" w14:paraId="0DA26086" w14:textId="77777777" w:rsidTr="00002801">
        <w:tc>
          <w:tcPr>
            <w:tcW w:w="0" w:type="auto"/>
          </w:tcPr>
          <w:p w14:paraId="6AB4125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46, stk. 2</w:t>
            </w:r>
          </w:p>
        </w:tc>
        <w:tc>
          <w:tcPr>
            <w:tcW w:w="0" w:type="auto"/>
          </w:tcPr>
          <w:p w14:paraId="1931269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36, stk. 2</w:t>
            </w:r>
          </w:p>
        </w:tc>
      </w:tr>
      <w:tr w:rsidR="008913ED" w:rsidRPr="008913ED" w14:paraId="3EA5578F" w14:textId="77777777" w:rsidTr="00002801">
        <w:tc>
          <w:tcPr>
            <w:tcW w:w="0" w:type="auto"/>
          </w:tcPr>
          <w:p w14:paraId="295DBD36"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46, stk. 3</w:t>
            </w:r>
          </w:p>
        </w:tc>
        <w:tc>
          <w:tcPr>
            <w:tcW w:w="0" w:type="auto"/>
          </w:tcPr>
          <w:p w14:paraId="0C3093D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36, stk. 3</w:t>
            </w:r>
          </w:p>
        </w:tc>
      </w:tr>
      <w:tr w:rsidR="008913ED" w:rsidRPr="008913ED" w14:paraId="5BFD72BF" w14:textId="77777777" w:rsidTr="00002801">
        <w:tc>
          <w:tcPr>
            <w:tcW w:w="0" w:type="auto"/>
          </w:tcPr>
          <w:p w14:paraId="681CCD5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46, stk. 4</w:t>
            </w:r>
          </w:p>
        </w:tc>
        <w:tc>
          <w:tcPr>
            <w:tcW w:w="0" w:type="auto"/>
          </w:tcPr>
          <w:p w14:paraId="33FF160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36, stk. 4</w:t>
            </w:r>
          </w:p>
        </w:tc>
      </w:tr>
      <w:tr w:rsidR="008913ED" w:rsidRPr="008913ED" w14:paraId="03B382C6" w14:textId="77777777" w:rsidTr="00002801">
        <w:tc>
          <w:tcPr>
            <w:tcW w:w="0" w:type="auto"/>
          </w:tcPr>
          <w:p w14:paraId="2527DF8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46, stk. 5</w:t>
            </w:r>
          </w:p>
        </w:tc>
        <w:tc>
          <w:tcPr>
            <w:tcW w:w="0" w:type="auto"/>
          </w:tcPr>
          <w:p w14:paraId="05B8201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36, stk. 5</w:t>
            </w:r>
          </w:p>
        </w:tc>
      </w:tr>
      <w:tr w:rsidR="008913ED" w:rsidRPr="008913ED" w14:paraId="5E011B48" w14:textId="77777777" w:rsidTr="00002801">
        <w:tc>
          <w:tcPr>
            <w:tcW w:w="0" w:type="auto"/>
          </w:tcPr>
          <w:p w14:paraId="18ACA1C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46, stk. 6</w:t>
            </w:r>
          </w:p>
        </w:tc>
        <w:tc>
          <w:tcPr>
            <w:tcW w:w="0" w:type="auto"/>
          </w:tcPr>
          <w:p w14:paraId="31C7EDF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36, stk. 6</w:t>
            </w:r>
          </w:p>
        </w:tc>
      </w:tr>
      <w:tr w:rsidR="008913ED" w:rsidRPr="008913ED" w14:paraId="4F3B9FE2" w14:textId="77777777" w:rsidTr="00002801">
        <w:tc>
          <w:tcPr>
            <w:tcW w:w="0" w:type="auto"/>
          </w:tcPr>
          <w:p w14:paraId="6B809157"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47, stk. 1</w:t>
            </w:r>
          </w:p>
        </w:tc>
        <w:tc>
          <w:tcPr>
            <w:tcW w:w="0" w:type="auto"/>
          </w:tcPr>
          <w:p w14:paraId="3E549DEF"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21, stk. 1</w:t>
            </w:r>
          </w:p>
        </w:tc>
      </w:tr>
      <w:tr w:rsidR="008913ED" w:rsidRPr="008913ED" w14:paraId="2D1FD864" w14:textId="77777777" w:rsidTr="00002801">
        <w:tc>
          <w:tcPr>
            <w:tcW w:w="0" w:type="auto"/>
          </w:tcPr>
          <w:p w14:paraId="3D717492"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47, stk. 2</w:t>
            </w:r>
          </w:p>
        </w:tc>
        <w:tc>
          <w:tcPr>
            <w:tcW w:w="0" w:type="auto"/>
          </w:tcPr>
          <w:p w14:paraId="4491EC37"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21, stk. 4</w:t>
            </w:r>
          </w:p>
        </w:tc>
      </w:tr>
      <w:tr w:rsidR="008913ED" w:rsidRPr="008913ED" w14:paraId="4C8D8B12" w14:textId="77777777" w:rsidTr="00002801">
        <w:tc>
          <w:tcPr>
            <w:tcW w:w="0" w:type="auto"/>
          </w:tcPr>
          <w:p w14:paraId="39BD491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47, stk. 3</w:t>
            </w:r>
          </w:p>
        </w:tc>
        <w:tc>
          <w:tcPr>
            <w:tcW w:w="0" w:type="auto"/>
          </w:tcPr>
          <w:p w14:paraId="2DA92217"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21, stk. 5, artikel 25, stk. 1</w:t>
            </w:r>
          </w:p>
        </w:tc>
      </w:tr>
      <w:tr w:rsidR="008913ED" w:rsidRPr="008913ED" w14:paraId="28152141" w14:textId="77777777" w:rsidTr="00002801">
        <w:tc>
          <w:tcPr>
            <w:tcW w:w="0" w:type="auto"/>
          </w:tcPr>
          <w:p w14:paraId="6D1D0CA6" w14:textId="77777777" w:rsidR="008913ED" w:rsidRPr="008913ED" w:rsidRDefault="008913ED" w:rsidP="008913ED">
            <w:pPr>
              <w:spacing w:before="120" w:after="120" w:line="360" w:lineRule="auto"/>
              <w:rPr>
                <w:szCs w:val="24"/>
                <w:lang w:val="en-GB" w:eastAsia="en-US"/>
              </w:rPr>
            </w:pPr>
            <w:r w:rsidRPr="008913ED">
              <w:rPr>
                <w:szCs w:val="24"/>
                <w:lang w:val="en-GB" w:eastAsia="en-US"/>
              </w:rPr>
              <w:lastRenderedPageBreak/>
              <w:t>Artikel 47, stk. 4</w:t>
            </w:r>
          </w:p>
        </w:tc>
        <w:tc>
          <w:tcPr>
            <w:tcW w:w="0" w:type="auto"/>
          </w:tcPr>
          <w:p w14:paraId="0E7B37B7" w14:textId="77777777" w:rsidR="008913ED" w:rsidRPr="008913ED" w:rsidRDefault="008913ED" w:rsidP="008913ED">
            <w:pPr>
              <w:spacing w:before="120" w:after="120" w:line="360" w:lineRule="auto"/>
              <w:rPr>
                <w:szCs w:val="24"/>
                <w:lang w:eastAsia="en-US"/>
              </w:rPr>
            </w:pPr>
            <w:r w:rsidRPr="008913ED">
              <w:rPr>
                <w:szCs w:val="24"/>
                <w:lang w:eastAsia="en-US"/>
              </w:rPr>
              <w:t>Artikel 8, stk. 1, 2 og 4, og artikel 11, stk. 3</w:t>
            </w:r>
          </w:p>
        </w:tc>
      </w:tr>
      <w:tr w:rsidR="008913ED" w:rsidRPr="008913ED" w14:paraId="649F7B6A" w14:textId="77777777" w:rsidTr="00002801">
        <w:tc>
          <w:tcPr>
            <w:tcW w:w="0" w:type="auto"/>
          </w:tcPr>
          <w:p w14:paraId="4DA96FD0"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47, stk. 5</w:t>
            </w:r>
          </w:p>
        </w:tc>
        <w:tc>
          <w:tcPr>
            <w:tcW w:w="0" w:type="auto"/>
          </w:tcPr>
          <w:p w14:paraId="7833570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8, stk. 1 og 4</w:t>
            </w:r>
          </w:p>
        </w:tc>
      </w:tr>
      <w:tr w:rsidR="008913ED" w:rsidRPr="008913ED" w14:paraId="5BE1C725" w14:textId="77777777" w:rsidTr="00002801">
        <w:tc>
          <w:tcPr>
            <w:tcW w:w="0" w:type="auto"/>
          </w:tcPr>
          <w:p w14:paraId="554E8EB6"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47, stk. 6</w:t>
            </w:r>
          </w:p>
        </w:tc>
        <w:tc>
          <w:tcPr>
            <w:tcW w:w="0" w:type="auto"/>
          </w:tcPr>
          <w:p w14:paraId="41C5C9F6"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21, stk. 6</w:t>
            </w:r>
          </w:p>
        </w:tc>
      </w:tr>
      <w:tr w:rsidR="008913ED" w:rsidRPr="008913ED" w14:paraId="79D40E50" w14:textId="77777777" w:rsidTr="00002801">
        <w:tc>
          <w:tcPr>
            <w:tcW w:w="0" w:type="auto"/>
          </w:tcPr>
          <w:p w14:paraId="7FA1BC0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48, stk. 1</w:t>
            </w:r>
          </w:p>
        </w:tc>
        <w:tc>
          <w:tcPr>
            <w:tcW w:w="0" w:type="auto"/>
          </w:tcPr>
          <w:p w14:paraId="7AB7D78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34, stk. 1</w:t>
            </w:r>
          </w:p>
        </w:tc>
      </w:tr>
      <w:tr w:rsidR="008913ED" w:rsidRPr="008913ED" w14:paraId="34BDA9F0" w14:textId="77777777" w:rsidTr="00002801">
        <w:tc>
          <w:tcPr>
            <w:tcW w:w="0" w:type="auto"/>
          </w:tcPr>
          <w:p w14:paraId="5735FCC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48, stk. 2</w:t>
            </w:r>
          </w:p>
        </w:tc>
        <w:tc>
          <w:tcPr>
            <w:tcW w:w="0" w:type="auto"/>
          </w:tcPr>
          <w:p w14:paraId="4D2F903F"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18, stk. 4</w:t>
            </w:r>
          </w:p>
        </w:tc>
      </w:tr>
      <w:tr w:rsidR="008913ED" w:rsidRPr="008913ED" w14:paraId="5B942A65" w14:textId="77777777" w:rsidTr="00002801">
        <w:tc>
          <w:tcPr>
            <w:tcW w:w="0" w:type="auto"/>
          </w:tcPr>
          <w:p w14:paraId="6B2D28F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49, stk. 1</w:t>
            </w:r>
          </w:p>
        </w:tc>
        <w:tc>
          <w:tcPr>
            <w:tcW w:w="0" w:type="auto"/>
          </w:tcPr>
          <w:p w14:paraId="3E8A52B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24, stk. 1</w:t>
            </w:r>
          </w:p>
        </w:tc>
      </w:tr>
      <w:tr w:rsidR="008913ED" w:rsidRPr="008913ED" w14:paraId="1424A3C4" w14:textId="77777777" w:rsidTr="00002801">
        <w:tc>
          <w:tcPr>
            <w:tcW w:w="0" w:type="auto"/>
          </w:tcPr>
          <w:p w14:paraId="5E2B3E7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49, stk. 2</w:t>
            </w:r>
          </w:p>
        </w:tc>
        <w:tc>
          <w:tcPr>
            <w:tcW w:w="0" w:type="auto"/>
          </w:tcPr>
          <w:p w14:paraId="3C07D93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24, stk. 2</w:t>
            </w:r>
          </w:p>
        </w:tc>
      </w:tr>
      <w:tr w:rsidR="008913ED" w:rsidRPr="008913ED" w14:paraId="0D5A7602" w14:textId="77777777" w:rsidTr="00002801">
        <w:tc>
          <w:tcPr>
            <w:tcW w:w="0" w:type="auto"/>
          </w:tcPr>
          <w:p w14:paraId="5CAB640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49, stk. 3</w:t>
            </w:r>
          </w:p>
        </w:tc>
        <w:tc>
          <w:tcPr>
            <w:tcW w:w="0" w:type="auto"/>
          </w:tcPr>
          <w:p w14:paraId="362A3C5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24, stk. 3</w:t>
            </w:r>
          </w:p>
        </w:tc>
      </w:tr>
      <w:tr w:rsidR="008913ED" w:rsidRPr="008913ED" w14:paraId="40EAF228" w14:textId="77777777" w:rsidTr="00002801">
        <w:tc>
          <w:tcPr>
            <w:tcW w:w="0" w:type="auto"/>
          </w:tcPr>
          <w:p w14:paraId="626DE35F"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50, stk. 1</w:t>
            </w:r>
          </w:p>
        </w:tc>
        <w:tc>
          <w:tcPr>
            <w:tcW w:w="0" w:type="auto"/>
          </w:tcPr>
          <w:p w14:paraId="2CB899A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22, stk. 1</w:t>
            </w:r>
          </w:p>
        </w:tc>
      </w:tr>
      <w:tr w:rsidR="008913ED" w:rsidRPr="008913ED" w14:paraId="6B28E3B0" w14:textId="77777777" w:rsidTr="00002801">
        <w:tc>
          <w:tcPr>
            <w:tcW w:w="0" w:type="auto"/>
          </w:tcPr>
          <w:p w14:paraId="1058D09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50, stk. 2</w:t>
            </w:r>
          </w:p>
        </w:tc>
        <w:tc>
          <w:tcPr>
            <w:tcW w:w="0" w:type="auto"/>
          </w:tcPr>
          <w:p w14:paraId="3A47AF9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22, stk. 2</w:t>
            </w:r>
          </w:p>
        </w:tc>
      </w:tr>
      <w:tr w:rsidR="008913ED" w:rsidRPr="008913ED" w14:paraId="25C312EC" w14:textId="77777777" w:rsidTr="00002801">
        <w:tc>
          <w:tcPr>
            <w:tcW w:w="0" w:type="auto"/>
          </w:tcPr>
          <w:p w14:paraId="1AB3C5F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50, stk. 3</w:t>
            </w:r>
          </w:p>
        </w:tc>
        <w:tc>
          <w:tcPr>
            <w:tcW w:w="0" w:type="auto"/>
          </w:tcPr>
          <w:p w14:paraId="7DBF0F8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22, stk. 1</w:t>
            </w:r>
          </w:p>
        </w:tc>
      </w:tr>
      <w:tr w:rsidR="008913ED" w:rsidRPr="008913ED" w14:paraId="2CA53A47" w14:textId="77777777" w:rsidTr="00002801">
        <w:tc>
          <w:tcPr>
            <w:tcW w:w="0" w:type="auto"/>
          </w:tcPr>
          <w:p w14:paraId="47B9A4CD"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51, stk. 1</w:t>
            </w:r>
          </w:p>
        </w:tc>
        <w:tc>
          <w:tcPr>
            <w:tcW w:w="0" w:type="auto"/>
          </w:tcPr>
          <w:p w14:paraId="37F427B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23, stk. 1</w:t>
            </w:r>
          </w:p>
        </w:tc>
      </w:tr>
      <w:tr w:rsidR="008913ED" w:rsidRPr="008913ED" w14:paraId="7A01C205" w14:textId="77777777" w:rsidTr="00002801">
        <w:tc>
          <w:tcPr>
            <w:tcW w:w="0" w:type="auto"/>
          </w:tcPr>
          <w:p w14:paraId="59B98D9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51, stk. 2</w:t>
            </w:r>
          </w:p>
        </w:tc>
        <w:tc>
          <w:tcPr>
            <w:tcW w:w="0" w:type="auto"/>
          </w:tcPr>
          <w:p w14:paraId="3E7A6F0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23, stk. 1 og 2</w:t>
            </w:r>
          </w:p>
        </w:tc>
      </w:tr>
      <w:tr w:rsidR="008913ED" w:rsidRPr="008913ED" w14:paraId="52F6B761" w14:textId="77777777" w:rsidTr="00002801">
        <w:tc>
          <w:tcPr>
            <w:tcW w:w="0" w:type="auto"/>
          </w:tcPr>
          <w:p w14:paraId="307D244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51, stk. 3</w:t>
            </w:r>
          </w:p>
        </w:tc>
        <w:tc>
          <w:tcPr>
            <w:tcW w:w="0" w:type="auto"/>
          </w:tcPr>
          <w:p w14:paraId="4BE60911"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23, stk. 4</w:t>
            </w:r>
          </w:p>
        </w:tc>
      </w:tr>
      <w:tr w:rsidR="008913ED" w:rsidRPr="008913ED" w14:paraId="6F156422" w14:textId="77777777" w:rsidTr="00002801">
        <w:tc>
          <w:tcPr>
            <w:tcW w:w="0" w:type="auto"/>
          </w:tcPr>
          <w:p w14:paraId="5DE5D4C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51, stk. 4</w:t>
            </w:r>
          </w:p>
        </w:tc>
        <w:tc>
          <w:tcPr>
            <w:tcW w:w="0" w:type="auto"/>
          </w:tcPr>
          <w:p w14:paraId="552106F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23, stk. 5</w:t>
            </w:r>
          </w:p>
        </w:tc>
      </w:tr>
      <w:tr w:rsidR="008913ED" w:rsidRPr="008913ED" w14:paraId="0E50D520" w14:textId="77777777" w:rsidTr="00002801">
        <w:tc>
          <w:tcPr>
            <w:tcW w:w="0" w:type="auto"/>
          </w:tcPr>
          <w:p w14:paraId="22AF58D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52, stk. 1</w:t>
            </w:r>
          </w:p>
        </w:tc>
        <w:tc>
          <w:tcPr>
            <w:tcW w:w="0" w:type="auto"/>
          </w:tcPr>
          <w:p w14:paraId="3BF05745"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12, stk. 8</w:t>
            </w:r>
          </w:p>
        </w:tc>
      </w:tr>
      <w:tr w:rsidR="008913ED" w:rsidRPr="008913ED" w14:paraId="42F10012" w14:textId="77777777" w:rsidTr="00002801">
        <w:tc>
          <w:tcPr>
            <w:tcW w:w="0" w:type="auto"/>
          </w:tcPr>
          <w:p w14:paraId="4E0CE50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52, stk. 2</w:t>
            </w:r>
          </w:p>
        </w:tc>
        <w:tc>
          <w:tcPr>
            <w:tcW w:w="0" w:type="auto"/>
          </w:tcPr>
          <w:p w14:paraId="5FBBCE9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27, stk. 6</w:t>
            </w:r>
          </w:p>
        </w:tc>
      </w:tr>
      <w:tr w:rsidR="008913ED" w:rsidRPr="008913ED" w14:paraId="29E3C4E7" w14:textId="77777777" w:rsidTr="00002801">
        <w:tc>
          <w:tcPr>
            <w:tcW w:w="0" w:type="auto"/>
          </w:tcPr>
          <w:p w14:paraId="329C997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53, stk. 1</w:t>
            </w:r>
          </w:p>
        </w:tc>
        <w:tc>
          <w:tcPr>
            <w:tcW w:w="0" w:type="auto"/>
          </w:tcPr>
          <w:p w14:paraId="3CB94047"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35, stk. 1</w:t>
            </w:r>
          </w:p>
        </w:tc>
      </w:tr>
      <w:tr w:rsidR="008913ED" w:rsidRPr="008913ED" w14:paraId="3836E36F" w14:textId="77777777" w:rsidTr="00002801">
        <w:tc>
          <w:tcPr>
            <w:tcW w:w="0" w:type="auto"/>
          </w:tcPr>
          <w:p w14:paraId="220594F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53, stk. 2</w:t>
            </w:r>
          </w:p>
        </w:tc>
        <w:tc>
          <w:tcPr>
            <w:tcW w:w="0" w:type="auto"/>
          </w:tcPr>
          <w:p w14:paraId="4B312A77" w14:textId="77777777" w:rsidR="008913ED" w:rsidRPr="008913ED" w:rsidRDefault="008913ED" w:rsidP="008913ED">
            <w:pPr>
              <w:spacing w:before="120" w:after="120" w:line="360" w:lineRule="auto"/>
              <w:rPr>
                <w:szCs w:val="24"/>
                <w:lang w:eastAsia="en-US"/>
              </w:rPr>
            </w:pPr>
            <w:r w:rsidRPr="008913ED">
              <w:rPr>
                <w:szCs w:val="24"/>
                <w:lang w:eastAsia="en-US"/>
              </w:rPr>
              <w:t>Artikel 10, stk. 2 og 4, og artikel 35, stk. 4</w:t>
            </w:r>
          </w:p>
        </w:tc>
      </w:tr>
      <w:tr w:rsidR="008913ED" w:rsidRPr="008913ED" w14:paraId="0D2AFC0D" w14:textId="77777777" w:rsidTr="00002801">
        <w:tc>
          <w:tcPr>
            <w:tcW w:w="0" w:type="auto"/>
          </w:tcPr>
          <w:p w14:paraId="2CBFE8C0" w14:textId="77777777" w:rsidR="008913ED" w:rsidRPr="008913ED" w:rsidRDefault="008913ED" w:rsidP="008913ED">
            <w:pPr>
              <w:spacing w:before="120" w:after="120" w:line="360" w:lineRule="auto"/>
              <w:rPr>
                <w:szCs w:val="24"/>
                <w:lang w:val="en-GB" w:eastAsia="en-US"/>
              </w:rPr>
            </w:pPr>
            <w:r w:rsidRPr="008913ED">
              <w:rPr>
                <w:szCs w:val="24"/>
                <w:lang w:val="en-GB" w:eastAsia="en-US"/>
              </w:rPr>
              <w:lastRenderedPageBreak/>
              <w:t>Artikel 53, stk. 3</w:t>
            </w:r>
          </w:p>
        </w:tc>
        <w:tc>
          <w:tcPr>
            <w:tcW w:w="0" w:type="auto"/>
          </w:tcPr>
          <w:p w14:paraId="5950D5E8"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9, stk. 1</w:t>
            </w:r>
          </w:p>
        </w:tc>
      </w:tr>
      <w:tr w:rsidR="008913ED" w:rsidRPr="008913ED" w14:paraId="62A896E4" w14:textId="77777777" w:rsidTr="00002801">
        <w:tc>
          <w:tcPr>
            <w:tcW w:w="0" w:type="auto"/>
          </w:tcPr>
          <w:p w14:paraId="45143F3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54, stk. 1</w:t>
            </w:r>
          </w:p>
        </w:tc>
        <w:tc>
          <w:tcPr>
            <w:tcW w:w="0" w:type="auto"/>
          </w:tcPr>
          <w:p w14:paraId="34CAC9B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43, stk. 3</w:t>
            </w:r>
          </w:p>
        </w:tc>
      </w:tr>
      <w:tr w:rsidR="008913ED" w:rsidRPr="008913ED" w14:paraId="6D175C03" w14:textId="77777777" w:rsidTr="00002801">
        <w:tc>
          <w:tcPr>
            <w:tcW w:w="0" w:type="auto"/>
          </w:tcPr>
          <w:p w14:paraId="78B191E0"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54, stk. 2</w:t>
            </w:r>
          </w:p>
        </w:tc>
        <w:tc>
          <w:tcPr>
            <w:tcW w:w="0" w:type="auto"/>
          </w:tcPr>
          <w:p w14:paraId="4F36318A"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43, stk. 5</w:t>
            </w:r>
          </w:p>
        </w:tc>
      </w:tr>
      <w:tr w:rsidR="008913ED" w:rsidRPr="008913ED" w14:paraId="1D44DF87" w14:textId="77777777" w:rsidTr="00002801">
        <w:tc>
          <w:tcPr>
            <w:tcW w:w="0" w:type="auto"/>
          </w:tcPr>
          <w:p w14:paraId="3431D9F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54, stk. 3</w:t>
            </w:r>
          </w:p>
        </w:tc>
        <w:tc>
          <w:tcPr>
            <w:tcW w:w="0" w:type="auto"/>
          </w:tcPr>
          <w:p w14:paraId="7783FB1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43, stk. 6</w:t>
            </w:r>
          </w:p>
        </w:tc>
      </w:tr>
    </w:tbl>
    <w:p w14:paraId="7D470267" w14:textId="77777777" w:rsidR="00E45091" w:rsidRDefault="00E45091" w:rsidP="008913ED">
      <w:pPr>
        <w:spacing w:before="120" w:after="120" w:line="360" w:lineRule="auto"/>
        <w:rPr>
          <w:szCs w:val="24"/>
          <w:lang w:eastAsia="en-US"/>
        </w:rPr>
      </w:pPr>
    </w:p>
    <w:p w14:paraId="743EC9BB" w14:textId="77777777" w:rsidR="00E45091" w:rsidRDefault="00E45091">
      <w:pPr>
        <w:widowControl/>
        <w:rPr>
          <w:szCs w:val="24"/>
          <w:lang w:eastAsia="en-US"/>
        </w:rPr>
      </w:pPr>
      <w:r>
        <w:rPr>
          <w:szCs w:val="24"/>
          <w:lang w:eastAsia="en-US"/>
        </w:rPr>
        <w:br w:type="page"/>
      </w:r>
    </w:p>
    <w:p w14:paraId="763FF1D1" w14:textId="061A9EED" w:rsidR="008913ED" w:rsidRPr="0057742A" w:rsidRDefault="00E45091" w:rsidP="008913ED">
      <w:pPr>
        <w:spacing w:before="120" w:after="120" w:line="360" w:lineRule="auto"/>
        <w:rPr>
          <w:smallCaps/>
          <w:szCs w:val="24"/>
          <w:lang w:eastAsia="en-US"/>
        </w:rPr>
      </w:pPr>
      <w:r>
        <w:rPr>
          <w:szCs w:val="24"/>
          <w:lang w:eastAsia="en-US"/>
        </w:rPr>
        <w:lastRenderedPageBreak/>
        <w:t>2.</w:t>
      </w:r>
      <w:r>
        <w:rPr>
          <w:szCs w:val="24"/>
          <w:lang w:eastAsia="en-US"/>
        </w:rPr>
        <w:tab/>
      </w:r>
      <w:r w:rsidR="008913ED" w:rsidRPr="0057742A">
        <w:rPr>
          <w:smallCaps/>
          <w:szCs w:val="24"/>
          <w:lang w:eastAsia="en-US"/>
        </w:rPr>
        <w:t xml:space="preserve">Sammenligningstabel for forordning (EU) nr.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41"/>
        <w:gridCol w:w="5019"/>
      </w:tblGrid>
      <w:tr w:rsidR="008913ED" w:rsidRPr="008913ED" w14:paraId="73F2DBBF" w14:textId="77777777" w:rsidTr="00002801">
        <w:trPr>
          <w:tblHeader/>
        </w:trPr>
        <w:tc>
          <w:tcPr>
            <w:tcW w:w="0" w:type="auto"/>
          </w:tcPr>
          <w:p w14:paraId="0E2CCC79" w14:textId="77777777" w:rsidR="008913ED" w:rsidRPr="008913ED" w:rsidRDefault="008913ED" w:rsidP="008913ED">
            <w:pPr>
              <w:spacing w:before="120" w:after="120" w:line="360" w:lineRule="auto"/>
              <w:rPr>
                <w:szCs w:val="24"/>
                <w:lang w:val="en-GB" w:eastAsia="en-US"/>
              </w:rPr>
            </w:pPr>
            <w:r w:rsidRPr="008913ED">
              <w:rPr>
                <w:szCs w:val="24"/>
                <w:lang w:val="en-GB" w:eastAsia="en-US"/>
              </w:rPr>
              <w:t>Forordning (EU) nr. 913/2010</w:t>
            </w:r>
          </w:p>
        </w:tc>
        <w:tc>
          <w:tcPr>
            <w:tcW w:w="0" w:type="auto"/>
          </w:tcPr>
          <w:p w14:paraId="67AD0703" w14:textId="77777777" w:rsidR="008913ED" w:rsidRPr="008913ED" w:rsidRDefault="008913ED" w:rsidP="008913ED">
            <w:pPr>
              <w:spacing w:before="120" w:after="120" w:line="360" w:lineRule="auto"/>
              <w:rPr>
                <w:szCs w:val="24"/>
                <w:lang w:val="en-GB" w:eastAsia="en-US"/>
              </w:rPr>
            </w:pPr>
            <w:r w:rsidRPr="008913ED">
              <w:rPr>
                <w:szCs w:val="24"/>
                <w:lang w:val="en-GB" w:eastAsia="en-US"/>
              </w:rPr>
              <w:t>Nærværende forordning</w:t>
            </w:r>
          </w:p>
        </w:tc>
      </w:tr>
      <w:tr w:rsidR="008913ED" w:rsidRPr="008913ED" w14:paraId="1BFE3D76" w14:textId="77777777" w:rsidTr="00002801">
        <w:tc>
          <w:tcPr>
            <w:tcW w:w="0" w:type="auto"/>
          </w:tcPr>
          <w:p w14:paraId="46E53089"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1-7</w:t>
            </w:r>
          </w:p>
        </w:tc>
        <w:tc>
          <w:tcPr>
            <w:tcW w:w="0" w:type="auto"/>
          </w:tcPr>
          <w:p w14:paraId="6183E53D" w14:textId="77777777" w:rsidR="008913ED" w:rsidRPr="008913ED" w:rsidRDefault="008913ED" w:rsidP="008913ED">
            <w:pPr>
              <w:spacing w:before="120" w:after="120" w:line="360" w:lineRule="auto"/>
              <w:rPr>
                <w:szCs w:val="24"/>
                <w:lang w:val="en-GB" w:eastAsia="en-US"/>
              </w:rPr>
            </w:pPr>
          </w:p>
        </w:tc>
      </w:tr>
      <w:tr w:rsidR="008913ED" w:rsidRPr="008913ED" w14:paraId="30649DBC" w14:textId="77777777" w:rsidTr="00002801">
        <w:tc>
          <w:tcPr>
            <w:tcW w:w="0" w:type="auto"/>
          </w:tcPr>
          <w:p w14:paraId="0388ABB7"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8</w:t>
            </w:r>
          </w:p>
        </w:tc>
        <w:tc>
          <w:tcPr>
            <w:tcW w:w="0" w:type="auto"/>
          </w:tcPr>
          <w:p w14:paraId="2D3048C6" w14:textId="77777777" w:rsidR="008913ED" w:rsidRPr="008913ED" w:rsidRDefault="008913ED" w:rsidP="008913ED">
            <w:pPr>
              <w:spacing w:before="120" w:after="120" w:line="360" w:lineRule="auto"/>
              <w:rPr>
                <w:szCs w:val="24"/>
                <w:lang w:eastAsia="en-US"/>
              </w:rPr>
            </w:pPr>
            <w:r w:rsidRPr="008913ED">
              <w:rPr>
                <w:szCs w:val="24"/>
                <w:lang w:eastAsia="en-US"/>
              </w:rPr>
              <w:t>Artikel 55, stk. 1-4, 6, 7 og 8, og artikel 56, stk. 1, litra a)-c) og f), og artikel 56, stk. 2</w:t>
            </w:r>
          </w:p>
        </w:tc>
      </w:tr>
      <w:tr w:rsidR="008913ED" w:rsidRPr="008913ED" w14:paraId="237A7D0F" w14:textId="77777777" w:rsidTr="00002801">
        <w:tc>
          <w:tcPr>
            <w:tcW w:w="0" w:type="auto"/>
          </w:tcPr>
          <w:p w14:paraId="1F040BE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9, stk. 1</w:t>
            </w:r>
          </w:p>
        </w:tc>
        <w:tc>
          <w:tcPr>
            <w:tcW w:w="0" w:type="auto"/>
          </w:tcPr>
          <w:p w14:paraId="7949E8F2" w14:textId="77777777" w:rsidR="008913ED" w:rsidRPr="008913ED" w:rsidRDefault="008913ED" w:rsidP="008913ED">
            <w:pPr>
              <w:spacing w:before="120" w:after="120" w:line="360" w:lineRule="auto"/>
              <w:rPr>
                <w:szCs w:val="24"/>
                <w:lang w:eastAsia="en-US"/>
              </w:rPr>
            </w:pPr>
            <w:r w:rsidRPr="008913ED">
              <w:rPr>
                <w:szCs w:val="24"/>
                <w:lang w:eastAsia="en-US"/>
              </w:rPr>
              <w:t>Artikel 14, stk. 1, artikel 22, stk. 3 og 4, artikel 23, stk. 3, og artikel 57</w:t>
            </w:r>
          </w:p>
        </w:tc>
      </w:tr>
      <w:tr w:rsidR="008913ED" w:rsidRPr="008913ED" w14:paraId="6F654335" w14:textId="77777777" w:rsidTr="00002801">
        <w:tc>
          <w:tcPr>
            <w:tcW w:w="0" w:type="auto"/>
          </w:tcPr>
          <w:p w14:paraId="2D1C66B7" w14:textId="77777777" w:rsidR="008913ED" w:rsidRPr="008913ED" w:rsidRDefault="008913ED" w:rsidP="008913ED">
            <w:pPr>
              <w:spacing w:before="120" w:after="120" w:line="360" w:lineRule="auto"/>
              <w:rPr>
                <w:szCs w:val="24"/>
                <w:lang w:eastAsia="en-US"/>
              </w:rPr>
            </w:pPr>
            <w:r w:rsidRPr="008913ED">
              <w:rPr>
                <w:szCs w:val="24"/>
                <w:lang w:eastAsia="en-US"/>
              </w:rPr>
              <w:t>Artikel 9, stk. 1, litra a), c), d) og e), og artikel 9, stk. 2, 3, 4 og 5</w:t>
            </w:r>
          </w:p>
        </w:tc>
        <w:tc>
          <w:tcPr>
            <w:tcW w:w="0" w:type="auto"/>
          </w:tcPr>
          <w:p w14:paraId="359D5226" w14:textId="77777777" w:rsidR="008913ED" w:rsidRPr="008913ED" w:rsidRDefault="008913ED" w:rsidP="008913ED">
            <w:pPr>
              <w:spacing w:before="120" w:after="120" w:line="360" w:lineRule="auto"/>
              <w:rPr>
                <w:szCs w:val="24"/>
                <w:lang w:eastAsia="en-US"/>
              </w:rPr>
            </w:pPr>
          </w:p>
        </w:tc>
      </w:tr>
      <w:tr w:rsidR="008913ED" w:rsidRPr="008913ED" w14:paraId="55BABDF1" w14:textId="77777777" w:rsidTr="00002801">
        <w:tc>
          <w:tcPr>
            <w:tcW w:w="0" w:type="auto"/>
          </w:tcPr>
          <w:p w14:paraId="1AD04C6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9, stk. 1, litra b)</w:t>
            </w:r>
          </w:p>
        </w:tc>
        <w:tc>
          <w:tcPr>
            <w:tcW w:w="0" w:type="auto"/>
          </w:tcPr>
          <w:p w14:paraId="4410DB52" w14:textId="77777777" w:rsidR="008913ED" w:rsidRPr="008913ED" w:rsidRDefault="008913ED" w:rsidP="008913ED">
            <w:pPr>
              <w:spacing w:before="120" w:after="120" w:line="360" w:lineRule="auto"/>
              <w:rPr>
                <w:szCs w:val="24"/>
                <w:lang w:eastAsia="en-US"/>
              </w:rPr>
            </w:pPr>
            <w:r w:rsidRPr="008913ED">
              <w:rPr>
                <w:szCs w:val="24"/>
                <w:lang w:eastAsia="en-US"/>
              </w:rPr>
              <w:t>Artikel 15 og artikel 22, stk. 3 og 4</w:t>
            </w:r>
          </w:p>
        </w:tc>
      </w:tr>
      <w:tr w:rsidR="008913ED" w:rsidRPr="008913ED" w14:paraId="1716CF5D" w14:textId="77777777" w:rsidTr="00002801">
        <w:tc>
          <w:tcPr>
            <w:tcW w:w="0" w:type="auto"/>
          </w:tcPr>
          <w:p w14:paraId="7815A8A1"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10</w:t>
            </w:r>
          </w:p>
        </w:tc>
        <w:tc>
          <w:tcPr>
            <w:tcW w:w="0" w:type="auto"/>
          </w:tcPr>
          <w:p w14:paraId="71F31FC5" w14:textId="77777777" w:rsidR="008913ED" w:rsidRPr="008913ED" w:rsidRDefault="008913ED" w:rsidP="008913ED">
            <w:pPr>
              <w:spacing w:before="120" w:after="120" w:line="360" w:lineRule="auto"/>
              <w:rPr>
                <w:szCs w:val="24"/>
                <w:lang w:val="en-GB" w:eastAsia="en-US"/>
              </w:rPr>
            </w:pPr>
          </w:p>
        </w:tc>
      </w:tr>
      <w:tr w:rsidR="008913ED" w:rsidRPr="008913ED" w14:paraId="5D5A0B2E" w14:textId="77777777" w:rsidTr="00002801">
        <w:tc>
          <w:tcPr>
            <w:tcW w:w="0" w:type="auto"/>
          </w:tcPr>
          <w:p w14:paraId="611DF3EE"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11</w:t>
            </w:r>
          </w:p>
        </w:tc>
        <w:tc>
          <w:tcPr>
            <w:tcW w:w="0" w:type="auto"/>
          </w:tcPr>
          <w:p w14:paraId="5523E6CC"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55, stk. 1-4, 6, 7 og 8</w:t>
            </w:r>
          </w:p>
        </w:tc>
      </w:tr>
      <w:tr w:rsidR="008913ED" w:rsidRPr="008913ED" w14:paraId="520E03FB" w14:textId="77777777" w:rsidTr="00002801">
        <w:tc>
          <w:tcPr>
            <w:tcW w:w="0" w:type="auto"/>
          </w:tcPr>
          <w:p w14:paraId="626BD334"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12-18</w:t>
            </w:r>
          </w:p>
        </w:tc>
        <w:tc>
          <w:tcPr>
            <w:tcW w:w="0" w:type="auto"/>
          </w:tcPr>
          <w:p w14:paraId="5D925685" w14:textId="77777777" w:rsidR="008913ED" w:rsidRPr="008913ED" w:rsidRDefault="008913ED" w:rsidP="008913ED">
            <w:pPr>
              <w:spacing w:before="120" w:after="120" w:line="360" w:lineRule="auto"/>
              <w:rPr>
                <w:szCs w:val="24"/>
                <w:lang w:val="en-GB" w:eastAsia="en-US"/>
              </w:rPr>
            </w:pPr>
          </w:p>
        </w:tc>
      </w:tr>
      <w:tr w:rsidR="008913ED" w:rsidRPr="008913ED" w14:paraId="7895847F" w14:textId="77777777" w:rsidTr="00002801">
        <w:tc>
          <w:tcPr>
            <w:tcW w:w="0" w:type="auto"/>
          </w:tcPr>
          <w:p w14:paraId="7EBBA1F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19</w:t>
            </w:r>
          </w:p>
        </w:tc>
        <w:tc>
          <w:tcPr>
            <w:tcW w:w="0" w:type="auto"/>
          </w:tcPr>
          <w:p w14:paraId="7F40EB73"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49 og 52</w:t>
            </w:r>
          </w:p>
        </w:tc>
      </w:tr>
      <w:tr w:rsidR="008913ED" w:rsidRPr="008913ED" w14:paraId="23E9A770" w14:textId="77777777" w:rsidTr="00002801">
        <w:tc>
          <w:tcPr>
            <w:tcW w:w="0" w:type="auto"/>
          </w:tcPr>
          <w:p w14:paraId="1B0907BB" w14:textId="77777777" w:rsidR="008913ED" w:rsidRPr="008913ED" w:rsidRDefault="008913ED" w:rsidP="008913ED">
            <w:pPr>
              <w:spacing w:before="120" w:after="120" w:line="360" w:lineRule="auto"/>
              <w:rPr>
                <w:szCs w:val="24"/>
                <w:lang w:val="en-GB" w:eastAsia="en-US"/>
              </w:rPr>
            </w:pPr>
            <w:r w:rsidRPr="008913ED">
              <w:rPr>
                <w:szCs w:val="24"/>
                <w:lang w:val="en-GB" w:eastAsia="en-US"/>
              </w:rPr>
              <w:t>Artikel 20-25</w:t>
            </w:r>
          </w:p>
        </w:tc>
        <w:tc>
          <w:tcPr>
            <w:tcW w:w="0" w:type="auto"/>
          </w:tcPr>
          <w:p w14:paraId="447A53B2" w14:textId="77777777" w:rsidR="008913ED" w:rsidRPr="008913ED" w:rsidRDefault="008913ED" w:rsidP="008913ED">
            <w:pPr>
              <w:spacing w:before="120" w:after="120" w:line="360" w:lineRule="auto"/>
              <w:rPr>
                <w:szCs w:val="24"/>
                <w:lang w:val="en-GB" w:eastAsia="en-US"/>
              </w:rPr>
            </w:pPr>
          </w:p>
        </w:tc>
      </w:tr>
    </w:tbl>
    <w:p w14:paraId="138DBE42" w14:textId="5C95B2B5" w:rsidR="00016021" w:rsidRPr="00083173" w:rsidRDefault="00016021" w:rsidP="008913ED"/>
    <w:sectPr w:rsidR="00016021" w:rsidRPr="00083173" w:rsidSect="00083173">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D5C00" w14:textId="77777777" w:rsidR="00002801" w:rsidRPr="00083173" w:rsidRDefault="00002801">
      <w:r w:rsidRPr="00083173">
        <w:separator/>
      </w:r>
    </w:p>
  </w:endnote>
  <w:endnote w:type="continuationSeparator" w:id="0">
    <w:p w14:paraId="57459B3D" w14:textId="77777777" w:rsidR="00002801" w:rsidRPr="00083173" w:rsidRDefault="00002801">
      <w:r w:rsidRPr="000831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A3374" w14:textId="77777777" w:rsidR="00002801" w:rsidRDefault="00002801">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16F76" w14:textId="77777777" w:rsidR="00002801" w:rsidRDefault="00002801">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FB558" w14:textId="77777777" w:rsidR="00002801" w:rsidRPr="00083173" w:rsidRDefault="0000280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97B34" w14:textId="77777777" w:rsidR="00002801" w:rsidRPr="00083173" w:rsidRDefault="0000280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50654" w14:textId="77777777" w:rsidR="00002801" w:rsidRPr="00083173" w:rsidRDefault="0000280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67B46" w14:textId="77777777" w:rsidR="00002801" w:rsidRPr="00083173" w:rsidRDefault="00002801">
      <w:r w:rsidRPr="00083173">
        <w:separator/>
      </w:r>
    </w:p>
  </w:footnote>
  <w:footnote w:type="continuationSeparator" w:id="0">
    <w:p w14:paraId="1D5659CA" w14:textId="77777777" w:rsidR="00002801" w:rsidRPr="00083173" w:rsidRDefault="00002801">
      <w:r w:rsidRPr="00083173">
        <w:continuationSeparator/>
      </w:r>
    </w:p>
  </w:footnote>
  <w:footnote w:id="1">
    <w:p w14:paraId="4373D03F" w14:textId="68678B06" w:rsidR="00002801" w:rsidRPr="00353CA3" w:rsidRDefault="00002801" w:rsidP="00083173">
      <w:pPr>
        <w:pStyle w:val="FootnoteText"/>
        <w:ind w:left="567" w:hanging="567"/>
        <w:rPr>
          <w:sz w:val="24"/>
          <w:szCs w:val="24"/>
          <w:lang w:val="fi-FI"/>
        </w:rPr>
      </w:pPr>
      <w:r w:rsidRPr="00083173">
        <w:rPr>
          <w:rStyle w:val="FootnoteReference"/>
          <w:rFonts w:eastAsiaTheme="minorHAnsi"/>
          <w:sz w:val="24"/>
          <w:szCs w:val="24"/>
          <w:lang w:val="da-DK"/>
        </w:rPr>
        <w:footnoteRef/>
      </w:r>
      <w:r w:rsidRPr="00646210">
        <w:rPr>
          <w:sz w:val="24"/>
          <w:lang w:val="fi-FI"/>
        </w:rPr>
        <w:t xml:space="preserve"> </w:t>
      </w:r>
      <w:r w:rsidRPr="00646210">
        <w:rPr>
          <w:sz w:val="24"/>
          <w:lang w:val="fi-FI"/>
        </w:rPr>
        <w:tab/>
      </w:r>
      <w:r>
        <w:rPr>
          <w:sz w:val="24"/>
          <w:lang w:val="fi-FI"/>
        </w:rPr>
        <w:t>EUT C, C/2024/891, 6.</w:t>
      </w:r>
      <w:r w:rsidRPr="00353CA3">
        <w:rPr>
          <w:sz w:val="24"/>
          <w:lang w:val="fi-FI"/>
        </w:rPr>
        <w:t>2.2024, ELI: http://data.europa.eu/eli/C/2024/891/oj</w:t>
      </w:r>
      <w:r>
        <w:rPr>
          <w:sz w:val="24"/>
          <w:lang w:val="fi-FI"/>
        </w:rPr>
        <w:t>.</w:t>
      </w:r>
    </w:p>
  </w:footnote>
  <w:footnote w:id="2">
    <w:p w14:paraId="4D08E331" w14:textId="199D627A" w:rsidR="00002801" w:rsidRPr="00083173" w:rsidRDefault="00002801" w:rsidP="00083173">
      <w:pPr>
        <w:pStyle w:val="FootnoteText"/>
        <w:ind w:left="567" w:hanging="567"/>
        <w:rPr>
          <w:sz w:val="24"/>
          <w:szCs w:val="24"/>
          <w:lang w:val="da-DK"/>
        </w:rPr>
      </w:pPr>
      <w:r w:rsidRPr="00083173">
        <w:rPr>
          <w:rStyle w:val="FootnoteReference"/>
          <w:rFonts w:eastAsiaTheme="minorHAnsi"/>
          <w:sz w:val="24"/>
          <w:szCs w:val="24"/>
          <w:lang w:val="da-DK"/>
        </w:rPr>
        <w:footnoteRef/>
      </w:r>
      <w:r w:rsidRPr="00083173">
        <w:rPr>
          <w:sz w:val="24"/>
          <w:lang w:val="da-DK"/>
        </w:rPr>
        <w:t xml:space="preserve"> </w:t>
      </w:r>
      <w:r w:rsidRPr="00083173">
        <w:rPr>
          <w:sz w:val="24"/>
          <w:lang w:val="da-DK"/>
        </w:rPr>
        <w:tab/>
      </w:r>
      <w:r>
        <w:rPr>
          <w:sz w:val="24"/>
          <w:lang w:val="da-DK"/>
        </w:rPr>
        <w:t>E</w:t>
      </w:r>
      <w:r w:rsidRPr="00083173">
        <w:rPr>
          <w:sz w:val="24"/>
          <w:lang w:val="da-DK"/>
        </w:rPr>
        <w:t>ndnu ikke offentliggjort i EUT.</w:t>
      </w:r>
    </w:p>
  </w:footnote>
  <w:footnote w:id="3">
    <w:p w14:paraId="37630BA8" w14:textId="77777777" w:rsidR="00002801" w:rsidRPr="0077663C" w:rsidRDefault="00002801" w:rsidP="008913ED">
      <w:pPr>
        <w:pStyle w:val="FootnoteTextForceStyle"/>
        <w:rPr>
          <w:lang w:val="da-DK"/>
        </w:rPr>
      </w:pPr>
      <w:r>
        <w:rPr>
          <w:vertAlign w:val="superscript"/>
        </w:rPr>
        <w:footnoteRef/>
      </w:r>
      <w:r w:rsidRPr="0077663C">
        <w:rPr>
          <w:lang w:val="da-DK"/>
        </w:rPr>
        <w:tab/>
        <w:t>EUT C […] af […], s. […].</w:t>
      </w:r>
    </w:p>
  </w:footnote>
  <w:footnote w:id="4">
    <w:p w14:paraId="6DC2F0BD" w14:textId="77777777" w:rsidR="00002801" w:rsidRPr="0077663C" w:rsidRDefault="00002801" w:rsidP="008913ED">
      <w:pPr>
        <w:pStyle w:val="FootnoteTextForceStyle"/>
        <w:rPr>
          <w:lang w:val="da-DK"/>
        </w:rPr>
      </w:pPr>
      <w:r>
        <w:rPr>
          <w:vertAlign w:val="superscript"/>
        </w:rPr>
        <w:footnoteRef/>
      </w:r>
      <w:r w:rsidRPr="0077663C">
        <w:rPr>
          <w:lang w:val="da-DK"/>
        </w:rPr>
        <w:tab/>
        <w:t>EUT C […] af […], s. […].</w:t>
      </w:r>
    </w:p>
  </w:footnote>
  <w:footnote w:id="5">
    <w:p w14:paraId="6A9A7227" w14:textId="183C2259" w:rsidR="00002801" w:rsidRPr="0077663C" w:rsidRDefault="00002801" w:rsidP="008913ED">
      <w:pPr>
        <w:pStyle w:val="FootnoteTextForceStyle"/>
        <w:rPr>
          <w:lang w:val="da-DK"/>
        </w:rPr>
      </w:pPr>
      <w:r>
        <w:rPr>
          <w:vertAlign w:val="superscript"/>
        </w:rPr>
        <w:footnoteRef/>
      </w:r>
      <w:r w:rsidRPr="0077663C">
        <w:rPr>
          <w:lang w:val="da-DK"/>
        </w:rPr>
        <w:tab/>
        <w:t>Meddelelse fra Kommissionen til Europa-Parlamentet, Det Europæiske Råd, Rådet, Det Europæiske Økonomiske og Sociale Udvalg og Regionsudvalget, Den europæiske grønne pagt (COM(2019)</w:t>
      </w:r>
      <w:r>
        <w:rPr>
          <w:lang w:val="da-DK"/>
        </w:rPr>
        <w:t>0</w:t>
      </w:r>
      <w:r w:rsidRPr="0077663C">
        <w:rPr>
          <w:lang w:val="da-DK"/>
        </w:rPr>
        <w:t>640).</w:t>
      </w:r>
    </w:p>
  </w:footnote>
  <w:footnote w:id="6">
    <w:p w14:paraId="421A26CC" w14:textId="1AC95390" w:rsidR="00002801" w:rsidRPr="0077663C" w:rsidRDefault="00002801" w:rsidP="008913ED">
      <w:pPr>
        <w:pStyle w:val="FootnoteTextForceStyle"/>
        <w:rPr>
          <w:lang w:val="da-DK"/>
        </w:rPr>
      </w:pPr>
      <w:r>
        <w:rPr>
          <w:vertAlign w:val="superscript"/>
        </w:rPr>
        <w:footnoteRef/>
      </w:r>
      <w:r w:rsidRPr="0077663C">
        <w:rPr>
          <w:lang w:val="da-DK"/>
        </w:rPr>
        <w:tab/>
        <w:t>Kommissionens meddelelse "Vejen til en sund planet for alle — EU-handlingsplan: Mod nulforurening for vand, luft og jord" (COM(2021)</w:t>
      </w:r>
      <w:r>
        <w:rPr>
          <w:lang w:val="da-DK"/>
        </w:rPr>
        <w:t>0</w:t>
      </w:r>
      <w:r w:rsidRPr="0077663C">
        <w:rPr>
          <w:lang w:val="da-DK"/>
        </w:rPr>
        <w:t>400).</w:t>
      </w:r>
    </w:p>
  </w:footnote>
  <w:footnote w:id="7">
    <w:p w14:paraId="004F37C8" w14:textId="289E1DB9" w:rsidR="00002801" w:rsidRPr="0077663C" w:rsidRDefault="00002801" w:rsidP="008913ED">
      <w:pPr>
        <w:pStyle w:val="FootnoteTextForceStyle"/>
        <w:rPr>
          <w:lang w:val="da-DK"/>
        </w:rPr>
      </w:pPr>
      <w:r>
        <w:rPr>
          <w:vertAlign w:val="superscript"/>
        </w:rPr>
        <w:footnoteRef/>
      </w:r>
      <w:r w:rsidRPr="0077663C">
        <w:rPr>
          <w:lang w:val="da-DK"/>
        </w:rPr>
        <w:tab/>
        <w:t>Meddelelse fra Kommissionen til Europa-Parlamentet, Rådet, Det Europæiske Økonomiske og Sociale Udvalg og Regionsudvalget — Strategi for bæredygtig og intelligent mobilitet — en europæisk transportsektor, der er klar til fremtiden (COM(2020)</w:t>
      </w:r>
      <w:r>
        <w:rPr>
          <w:lang w:val="da-DK"/>
        </w:rPr>
        <w:t>0</w:t>
      </w:r>
      <w:r w:rsidRPr="0077663C">
        <w:rPr>
          <w:lang w:val="da-DK"/>
        </w:rPr>
        <w:t>789).</w:t>
      </w:r>
    </w:p>
  </w:footnote>
  <w:footnote w:id="8">
    <w:p w14:paraId="7A1B94B2" w14:textId="77777777" w:rsidR="00002801" w:rsidRPr="0077663C" w:rsidRDefault="00002801" w:rsidP="008913ED">
      <w:pPr>
        <w:pStyle w:val="FootnoteTextForceStyle"/>
        <w:rPr>
          <w:lang w:val="da-DK"/>
        </w:rPr>
      </w:pPr>
      <w:r>
        <w:rPr>
          <w:vertAlign w:val="superscript"/>
        </w:rPr>
        <w:footnoteRef/>
      </w:r>
      <w:r w:rsidRPr="0077663C">
        <w:rPr>
          <w:lang w:val="da-DK"/>
        </w:rPr>
        <w:tab/>
        <w:t>Europa-Parlamentets og Rådets direktiv 2012/34/EU af 21. november 2012 om oprettelse af et fælles europæisk jernbaneområde (omarbejdning) (EUT L 343 af 14.12.2012, s. 32).</w:t>
      </w:r>
    </w:p>
  </w:footnote>
  <w:footnote w:id="9">
    <w:p w14:paraId="0F2474D8" w14:textId="77777777" w:rsidR="00002801" w:rsidRPr="0077663C" w:rsidRDefault="00002801" w:rsidP="008913ED">
      <w:pPr>
        <w:pStyle w:val="FootnoteTextForceStyle"/>
        <w:rPr>
          <w:lang w:val="da-DK"/>
        </w:rPr>
      </w:pPr>
      <w:r>
        <w:rPr>
          <w:vertAlign w:val="superscript"/>
        </w:rPr>
        <w:footnoteRef/>
      </w:r>
      <w:r w:rsidRPr="0077663C">
        <w:rPr>
          <w:lang w:val="da-DK"/>
        </w:rPr>
        <w:tab/>
        <w:t>Europa-Parlamentets og Rådets forordning (EU) nr. 913/2010 af 22. september 2010 om et europæisk banenet med henblik på konkurrencebaseret godstransport (EUT L 276 af 20.10.2010, s. 22).</w:t>
      </w:r>
    </w:p>
  </w:footnote>
  <w:footnote w:id="10">
    <w:p w14:paraId="04A32DDB" w14:textId="77777777" w:rsidR="00002801" w:rsidRPr="0077663C" w:rsidRDefault="00002801" w:rsidP="008913ED">
      <w:pPr>
        <w:pStyle w:val="FootnoteTextForceStyle"/>
        <w:rPr>
          <w:lang w:val="da-DK"/>
        </w:rPr>
      </w:pPr>
      <w:r>
        <w:rPr>
          <w:vertAlign w:val="superscript"/>
        </w:rPr>
        <w:footnoteRef/>
      </w:r>
      <w:r w:rsidRPr="0077663C">
        <w:rPr>
          <w:lang w:val="da-DK"/>
        </w:rPr>
        <w:tab/>
      </w:r>
      <w:r w:rsidRPr="0077663C">
        <w:rPr>
          <w:b/>
          <w:i/>
          <w:lang w:val="da-DK"/>
        </w:rPr>
        <w:t>Europa-Parlamentets og Rådets forordning (EU) 2016/796 af 11. maj 2016 om Den Europæiske Unions Jernbaneagentur og om ophævelse af forordning (EF) nr. 881/2004 (EUT L 138 af 26.5.2016, s. 1).</w:t>
      </w:r>
    </w:p>
  </w:footnote>
  <w:footnote w:id="11">
    <w:p w14:paraId="6CA6E5B0" w14:textId="77777777" w:rsidR="00002801" w:rsidRPr="0077663C" w:rsidRDefault="00002801" w:rsidP="008913ED">
      <w:pPr>
        <w:pStyle w:val="FootnoteTextForceStyle"/>
        <w:rPr>
          <w:lang w:val="da-DK"/>
        </w:rPr>
      </w:pPr>
      <w:r>
        <w:rPr>
          <w:vertAlign w:val="superscript"/>
        </w:rPr>
        <w:footnoteRef/>
      </w:r>
      <w:r w:rsidRPr="0077663C">
        <w:rPr>
          <w:lang w:val="da-DK"/>
        </w:rPr>
        <w:tab/>
      </w:r>
      <w:r w:rsidRPr="0077663C">
        <w:rPr>
          <w:b/>
          <w:i/>
          <w:lang w:val="da-DK"/>
        </w:rPr>
        <w:t>Europa-Parlamentets og Rådets forordning (EU) 2021/1153 af 7. juli 2021 om oprettelse af Connecting Europe-faciliteten og om ophævelse af forordning (EU) nr. 1316/2013 og (EU) nr. 283/2014 (EUT L 249 af 14.7.2021, s. 38).</w:t>
      </w:r>
    </w:p>
  </w:footnote>
  <w:footnote w:id="12">
    <w:p w14:paraId="59C6836E" w14:textId="77777777" w:rsidR="00002801" w:rsidRPr="0077663C" w:rsidRDefault="00002801" w:rsidP="008913ED">
      <w:pPr>
        <w:pStyle w:val="FootnoteTextForceStyle"/>
        <w:rPr>
          <w:lang w:val="da-DK"/>
        </w:rPr>
      </w:pPr>
      <w:r>
        <w:rPr>
          <w:vertAlign w:val="superscript"/>
        </w:rPr>
        <w:footnoteRef/>
      </w:r>
      <w:r w:rsidRPr="0077663C">
        <w:rPr>
          <w:lang w:val="da-DK"/>
        </w:rPr>
        <w:tab/>
        <w:t>EUT L 123 af 12.5.2016, s. 1.</w:t>
      </w:r>
    </w:p>
  </w:footnote>
  <w:footnote w:id="13">
    <w:p w14:paraId="2FACF27F" w14:textId="77777777" w:rsidR="00002801" w:rsidRPr="0077663C" w:rsidRDefault="00002801" w:rsidP="008913ED">
      <w:pPr>
        <w:pStyle w:val="FootnoteTextForceStyle"/>
        <w:rPr>
          <w:lang w:val="da-DK"/>
        </w:rPr>
      </w:pPr>
      <w:r>
        <w:rPr>
          <w:vertAlign w:val="superscript"/>
        </w:rPr>
        <w:footnoteRef/>
      </w:r>
      <w:r w:rsidRPr="0077663C">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14">
    <w:p w14:paraId="18DFBC52" w14:textId="3F48DFC2" w:rsidR="00002801" w:rsidRPr="0077663C" w:rsidRDefault="00002801" w:rsidP="008913ED">
      <w:pPr>
        <w:pStyle w:val="FootnoteTextForceStyle"/>
        <w:rPr>
          <w:lang w:val="da-DK"/>
        </w:rPr>
      </w:pPr>
      <w:r>
        <w:rPr>
          <w:vertAlign w:val="superscript"/>
        </w:rPr>
        <w:footnoteRef/>
      </w:r>
      <w:r w:rsidRPr="0077663C">
        <w:rPr>
          <w:lang w:val="da-DK"/>
        </w:rPr>
        <w:tab/>
        <w:t>SWD(2021)</w:t>
      </w:r>
      <w:r>
        <w:rPr>
          <w:lang w:val="da-DK"/>
        </w:rPr>
        <w:t>0</w:t>
      </w:r>
      <w:r w:rsidRPr="0077663C">
        <w:rPr>
          <w:lang w:val="da-DK"/>
        </w:rPr>
        <w:t>134.</w:t>
      </w:r>
    </w:p>
  </w:footnote>
  <w:footnote w:id="15">
    <w:p w14:paraId="5A484285" w14:textId="77777777" w:rsidR="00002801" w:rsidRPr="0077663C" w:rsidRDefault="00002801" w:rsidP="008913ED">
      <w:pPr>
        <w:pStyle w:val="FootnoteTextForceStyle"/>
        <w:rPr>
          <w:lang w:val="da-DK"/>
        </w:rPr>
      </w:pPr>
      <w:r>
        <w:rPr>
          <w:vertAlign w:val="superscript"/>
        </w:rPr>
        <w:footnoteRef/>
      </w:r>
      <w:r w:rsidRPr="0077663C">
        <w:rPr>
          <w:lang w:val="da-DK"/>
        </w:rPr>
        <w:tab/>
        <w:t>Europa-Parlamentets og Rådets direktiv (EU) 2016/797 af 11. maj 2016 om interoperabilitet i jernbanesystemet i Den Europæiske Union (EUT L 138 af 26.5.2016, s. 44).</w:t>
      </w:r>
    </w:p>
  </w:footnote>
  <w:footnote w:id="16">
    <w:p w14:paraId="212CD304" w14:textId="77777777" w:rsidR="00002801" w:rsidRPr="0077663C" w:rsidRDefault="00002801" w:rsidP="008913ED">
      <w:pPr>
        <w:pStyle w:val="FootnoteTextForceStyle"/>
        <w:rPr>
          <w:lang w:val="da-DK"/>
        </w:rPr>
      </w:pPr>
      <w:r>
        <w:rPr>
          <w:vertAlign w:val="superscript"/>
        </w:rPr>
        <w:footnoteRef/>
      </w:r>
      <w:r w:rsidRPr="0077663C">
        <w:rPr>
          <w:lang w:val="da-DK"/>
        </w:rPr>
        <w:tab/>
      </w:r>
      <w:r w:rsidRPr="0077663C">
        <w:rPr>
          <w:b/>
          <w:i/>
          <w:lang w:val="da-DK"/>
        </w:rPr>
        <w:t>Europa-Parlamentets og Rådets forordning (E</w:t>
      </w:r>
      <w:r>
        <w:rPr>
          <w:b/>
          <w:i/>
          <w:lang w:val="da-DK"/>
        </w:rPr>
        <w:t>Ø</w:t>
      </w:r>
      <w:r w:rsidRPr="0077663C">
        <w:rPr>
          <w:b/>
          <w:i/>
          <w:lang w:val="da-DK"/>
        </w:rPr>
        <w:t>F) nr. 1370/2007 af 23. oktober 2007 om offentlig personbefordring med jernbane og ad vej og om ophævelse af Rådets forordning (EØF) nr. 1191/69 og (EØF) nr. 1107/70 (EUT L 315 af 3.12.2007, s. 1).</w:t>
      </w:r>
    </w:p>
  </w:footnote>
  <w:footnote w:id="17">
    <w:p w14:paraId="4FA80D1B" w14:textId="69BCF0A9" w:rsidR="00002801" w:rsidRPr="0077663C" w:rsidRDefault="00002801" w:rsidP="008913ED">
      <w:pPr>
        <w:pStyle w:val="FootnoteTextForceStyle"/>
        <w:rPr>
          <w:lang w:val="da-DK"/>
        </w:rPr>
      </w:pPr>
      <w:r>
        <w:rPr>
          <w:vertAlign w:val="superscript"/>
        </w:rPr>
        <w:footnoteRef/>
      </w:r>
      <w:r w:rsidRPr="0077663C">
        <w:rPr>
          <w:lang w:val="da-DK"/>
        </w:rPr>
        <w:tab/>
      </w:r>
      <w:r w:rsidRPr="0077663C">
        <w:rPr>
          <w:b/>
          <w:i/>
          <w:lang w:val="da-DK"/>
        </w:rPr>
        <w:t>Europa-Parlamentets og Rådets forordning (EU) 2024/... om Unionens retningslinjer for udvikling af det transeuropæiske transportnet, om ændring af forordning (EU) 2021/1153 og forordning (EU) nr. 913/2010 og om ophævelse af forordning (EU) nr. 1315/2013 (EUT ...).</w:t>
      </w:r>
    </w:p>
  </w:footnote>
  <w:footnote w:id="18">
    <w:p w14:paraId="7D0B97AD" w14:textId="77777777" w:rsidR="00002801" w:rsidRPr="0077663C" w:rsidRDefault="00002801" w:rsidP="008913ED">
      <w:pPr>
        <w:pStyle w:val="FootnoteTextForceStyle"/>
        <w:rPr>
          <w:lang w:val="da-DK"/>
        </w:rPr>
      </w:pPr>
      <w:r>
        <w:rPr>
          <w:vertAlign w:val="superscript"/>
        </w:rPr>
        <w:footnoteRef/>
      </w:r>
      <w:r w:rsidRPr="0077663C">
        <w:rPr>
          <w:lang w:val="da-DK"/>
        </w:rPr>
        <w:tab/>
        <w:t>Kommissionens gennemførelsesforordning (EU) 2017/2177 af 22. november 2017 om adgang til servicefaciliteter og jernbanerelaterede tjenesteydelser (EUT L 307 af 23.11.2017, s. 1).</w:t>
      </w:r>
    </w:p>
  </w:footnote>
  <w:footnote w:id="19">
    <w:p w14:paraId="40C6C401" w14:textId="77777777" w:rsidR="00002801" w:rsidRPr="0077663C" w:rsidRDefault="00002801" w:rsidP="008913ED">
      <w:pPr>
        <w:pStyle w:val="FootnoteTextForceStyle"/>
        <w:rPr>
          <w:lang w:val="da-DK"/>
        </w:rPr>
      </w:pPr>
      <w:r>
        <w:rPr>
          <w:vertAlign w:val="superscript"/>
        </w:rPr>
        <w:footnoteRef/>
      </w:r>
      <w:r w:rsidRPr="0077663C">
        <w:rPr>
          <w:lang w:val="da-DK"/>
        </w:rPr>
        <w:tab/>
        <w:t>Kommissionens gennemførelsesforordning (EU) 2015/1100 af 7. juli 2015 om medlemsstaternes rapporteringsforpligtelser inden for rammerne af overvågningen af jernbanemarkedet (EUT L 181 af 9.7.2015,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BEDE8" w14:textId="77777777" w:rsidR="00002801" w:rsidRPr="00083173" w:rsidRDefault="0000280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7E788" w14:textId="77777777" w:rsidR="00002801" w:rsidRPr="00083173" w:rsidRDefault="0000280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E45FE" w14:textId="77777777" w:rsidR="00002801" w:rsidRPr="00083173" w:rsidRDefault="000028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8C13640"/>
    <w:multiLevelType w:val="hybridMultilevel"/>
    <w:tmpl w:val="BA165658"/>
    <w:lvl w:ilvl="0" w:tplc="C6FC2716">
      <w:numFmt w:val="bullet"/>
      <w:lvlText w:val="-"/>
      <w:lvlJc w:val="left"/>
      <w:pPr>
        <w:ind w:left="720" w:hanging="360"/>
      </w:pPr>
      <w:rPr>
        <w:rFonts w:ascii="Calibri" w:eastAsia="PMingLiU"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 w:numId="47">
    <w:abstractNumId w:val="13"/>
    <w:lvlOverride w:ilvl="0">
      <w:startOverride w:val="1"/>
    </w:lvlOverride>
  </w:num>
  <w:num w:numId="48">
    <w:abstractNumId w:val="13"/>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DA"/>
    <w:docVar w:name="dvnumam" w:val="0"/>
    <w:docVar w:name="dvpe" w:val="752.954"/>
    <w:docVar w:name="dvrapporteur" w:val="Ordfører: "/>
    <w:docVar w:name="dvstar" w:val="***I"/>
    <w:docVar w:name="dvtitre" w:val="Europa-Parlamentets lovgivningsmæssige beslutning af xx.xx 2024 om forslag til Europa-Parlamentets og Rådets forordning om anvendelse af jernbaneinfrastrukturkapacitet i det fælles europæiske jernbaneområde, om ændring af direktiv 2012/34/EU og om ophævelse af forordning (EU) nr. 913/2010(COM(2023)0443 – C9-0304/2023 – 2023/0271(COD))"/>
  </w:docVars>
  <w:rsids>
    <w:rsidRoot w:val="006360A8"/>
    <w:rsid w:val="00002272"/>
    <w:rsid w:val="00002801"/>
    <w:rsid w:val="00016021"/>
    <w:rsid w:val="0005686F"/>
    <w:rsid w:val="00064002"/>
    <w:rsid w:val="000677B9"/>
    <w:rsid w:val="00083173"/>
    <w:rsid w:val="000831BA"/>
    <w:rsid w:val="000A42CC"/>
    <w:rsid w:val="000E14EA"/>
    <w:rsid w:val="000E7DD9"/>
    <w:rsid w:val="0010095E"/>
    <w:rsid w:val="00124908"/>
    <w:rsid w:val="00125B37"/>
    <w:rsid w:val="00140ADA"/>
    <w:rsid w:val="0016765C"/>
    <w:rsid w:val="00187494"/>
    <w:rsid w:val="001F32AE"/>
    <w:rsid w:val="00216C2C"/>
    <w:rsid w:val="002767FF"/>
    <w:rsid w:val="002A6C0E"/>
    <w:rsid w:val="002B18FE"/>
    <w:rsid w:val="002B5493"/>
    <w:rsid w:val="002E5A76"/>
    <w:rsid w:val="0031373B"/>
    <w:rsid w:val="003203BD"/>
    <w:rsid w:val="00325AB1"/>
    <w:rsid w:val="003300A0"/>
    <w:rsid w:val="00335806"/>
    <w:rsid w:val="00336D00"/>
    <w:rsid w:val="00343214"/>
    <w:rsid w:val="00353CA3"/>
    <w:rsid w:val="00356A60"/>
    <w:rsid w:val="00361C00"/>
    <w:rsid w:val="0036351E"/>
    <w:rsid w:val="00393501"/>
    <w:rsid w:val="00395FA1"/>
    <w:rsid w:val="00396A3E"/>
    <w:rsid w:val="003E15D4"/>
    <w:rsid w:val="003E3AFF"/>
    <w:rsid w:val="004050C6"/>
    <w:rsid w:val="00411CCE"/>
    <w:rsid w:val="0041666E"/>
    <w:rsid w:val="00421060"/>
    <w:rsid w:val="00425FF2"/>
    <w:rsid w:val="00432E65"/>
    <w:rsid w:val="004358D1"/>
    <w:rsid w:val="00471C19"/>
    <w:rsid w:val="00484480"/>
    <w:rsid w:val="004867E3"/>
    <w:rsid w:val="00494A28"/>
    <w:rsid w:val="004A1561"/>
    <w:rsid w:val="004C0004"/>
    <w:rsid w:val="004C04B0"/>
    <w:rsid w:val="004C5D52"/>
    <w:rsid w:val="004D4BB6"/>
    <w:rsid w:val="0050519A"/>
    <w:rsid w:val="005072A1"/>
    <w:rsid w:val="00514517"/>
    <w:rsid w:val="00545827"/>
    <w:rsid w:val="00560270"/>
    <w:rsid w:val="0057742A"/>
    <w:rsid w:val="005917CC"/>
    <w:rsid w:val="005A6AB5"/>
    <w:rsid w:val="005B201F"/>
    <w:rsid w:val="005C2568"/>
    <w:rsid w:val="005E5743"/>
    <w:rsid w:val="006037C0"/>
    <w:rsid w:val="00622F35"/>
    <w:rsid w:val="0062726D"/>
    <w:rsid w:val="006360A8"/>
    <w:rsid w:val="00646210"/>
    <w:rsid w:val="006631B6"/>
    <w:rsid w:val="00680577"/>
    <w:rsid w:val="00695A3F"/>
    <w:rsid w:val="006C772E"/>
    <w:rsid w:val="006D327E"/>
    <w:rsid w:val="006F74FA"/>
    <w:rsid w:val="00731ADD"/>
    <w:rsid w:val="00734777"/>
    <w:rsid w:val="00747932"/>
    <w:rsid w:val="00751A4A"/>
    <w:rsid w:val="00756632"/>
    <w:rsid w:val="00762C74"/>
    <w:rsid w:val="00786EC0"/>
    <w:rsid w:val="007A62FC"/>
    <w:rsid w:val="007D1690"/>
    <w:rsid w:val="007E22AD"/>
    <w:rsid w:val="007F1167"/>
    <w:rsid w:val="00800A17"/>
    <w:rsid w:val="00817416"/>
    <w:rsid w:val="00842779"/>
    <w:rsid w:val="00852770"/>
    <w:rsid w:val="00865F67"/>
    <w:rsid w:val="00881A7B"/>
    <w:rsid w:val="008840E5"/>
    <w:rsid w:val="00887B3E"/>
    <w:rsid w:val="008913ED"/>
    <w:rsid w:val="0089156E"/>
    <w:rsid w:val="008C2AC6"/>
    <w:rsid w:val="00900543"/>
    <w:rsid w:val="0091612F"/>
    <w:rsid w:val="00930C23"/>
    <w:rsid w:val="0093193B"/>
    <w:rsid w:val="00934D7D"/>
    <w:rsid w:val="009509D8"/>
    <w:rsid w:val="00950B64"/>
    <w:rsid w:val="00981893"/>
    <w:rsid w:val="00986544"/>
    <w:rsid w:val="009B311C"/>
    <w:rsid w:val="009E4F3E"/>
    <w:rsid w:val="009E7DC1"/>
    <w:rsid w:val="00A1687D"/>
    <w:rsid w:val="00A43E52"/>
    <w:rsid w:val="00A4678D"/>
    <w:rsid w:val="00A55130"/>
    <w:rsid w:val="00A778C7"/>
    <w:rsid w:val="00A9335A"/>
    <w:rsid w:val="00AB441E"/>
    <w:rsid w:val="00AB6293"/>
    <w:rsid w:val="00AC5C90"/>
    <w:rsid w:val="00AE0928"/>
    <w:rsid w:val="00AF3B82"/>
    <w:rsid w:val="00B12E95"/>
    <w:rsid w:val="00B22876"/>
    <w:rsid w:val="00B36585"/>
    <w:rsid w:val="00B558F0"/>
    <w:rsid w:val="00B8479C"/>
    <w:rsid w:val="00BD48FE"/>
    <w:rsid w:val="00BD7BD8"/>
    <w:rsid w:val="00BE6ADC"/>
    <w:rsid w:val="00C047B5"/>
    <w:rsid w:val="00C05BFE"/>
    <w:rsid w:val="00C23CD4"/>
    <w:rsid w:val="00C46C66"/>
    <w:rsid w:val="00C60F09"/>
    <w:rsid w:val="00C61C0C"/>
    <w:rsid w:val="00C85626"/>
    <w:rsid w:val="00C941CB"/>
    <w:rsid w:val="00CC2357"/>
    <w:rsid w:val="00CC5E8B"/>
    <w:rsid w:val="00CC7848"/>
    <w:rsid w:val="00CD5FD6"/>
    <w:rsid w:val="00CF071A"/>
    <w:rsid w:val="00D058B8"/>
    <w:rsid w:val="00D05D0C"/>
    <w:rsid w:val="00D07E32"/>
    <w:rsid w:val="00D11598"/>
    <w:rsid w:val="00D56C11"/>
    <w:rsid w:val="00D61B37"/>
    <w:rsid w:val="00D834A0"/>
    <w:rsid w:val="00D872DF"/>
    <w:rsid w:val="00D91E21"/>
    <w:rsid w:val="00DA7FCD"/>
    <w:rsid w:val="00E24502"/>
    <w:rsid w:val="00E25982"/>
    <w:rsid w:val="00E365E1"/>
    <w:rsid w:val="00E45091"/>
    <w:rsid w:val="00E820A4"/>
    <w:rsid w:val="00E82D41"/>
    <w:rsid w:val="00E8777C"/>
    <w:rsid w:val="00E95F95"/>
    <w:rsid w:val="00EA2D58"/>
    <w:rsid w:val="00EB006A"/>
    <w:rsid w:val="00EB4772"/>
    <w:rsid w:val="00EB56C1"/>
    <w:rsid w:val="00ED169E"/>
    <w:rsid w:val="00ED4235"/>
    <w:rsid w:val="00F04346"/>
    <w:rsid w:val="00F075DC"/>
    <w:rsid w:val="00F149E9"/>
    <w:rsid w:val="00F24D4E"/>
    <w:rsid w:val="00F5134D"/>
    <w:rsid w:val="00F5681B"/>
    <w:rsid w:val="00F74202"/>
    <w:rsid w:val="00F87713"/>
    <w:rsid w:val="00FB4360"/>
    <w:rsid w:val="00FD0C70"/>
    <w:rsid w:val="00FF6F0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725C0"/>
  <w15:chartTrackingRefBased/>
  <w15:docId w15:val="{C4E8E53C-A2E2-40E6-A74E-21B20640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6021"/>
    <w:rPr>
      <w:b/>
      <w:kern w:val="28"/>
      <w:sz w:val="28"/>
      <w:lang w:val="fr-FR" w:eastAsia="fr-FR"/>
    </w:rPr>
  </w:style>
  <w:style w:type="character" w:customStyle="1" w:styleId="Heading2Char">
    <w:name w:val="Heading 2 Char"/>
    <w:basedOn w:val="DefaultParagraphFont"/>
    <w:link w:val="Heading2"/>
    <w:rsid w:val="00016021"/>
    <w:rPr>
      <w:sz w:val="24"/>
      <w:lang w:val="fr-FR" w:eastAsia="fr-FR"/>
    </w:rPr>
  </w:style>
  <w:style w:type="character" w:customStyle="1" w:styleId="Heading3Char">
    <w:name w:val="Heading 3 Char"/>
    <w:basedOn w:val="DefaultParagraphFont"/>
    <w:link w:val="Heading3"/>
    <w:rsid w:val="00016021"/>
    <w:rPr>
      <w:rFonts w:ascii="Arial" w:hAnsi="Arial"/>
      <w:sz w:val="24"/>
      <w:lang w:val="fr-FR" w:eastAsia="fr-FR"/>
    </w:rPr>
  </w:style>
  <w:style w:type="character" w:customStyle="1" w:styleId="Heading4Char">
    <w:name w:val="Heading 4 Char"/>
    <w:basedOn w:val="DefaultParagraphFont"/>
    <w:link w:val="Heading4"/>
    <w:rsid w:val="00016021"/>
    <w:rPr>
      <w:sz w:val="24"/>
      <w:lang w:val="en-US" w:eastAsia="fr-FR"/>
    </w:rPr>
  </w:style>
  <w:style w:type="character" w:customStyle="1" w:styleId="Heading5Char">
    <w:name w:val="Heading 5 Char"/>
    <w:basedOn w:val="DefaultParagraphFont"/>
    <w:link w:val="Heading5"/>
    <w:uiPriority w:val="9"/>
    <w:semiHidden/>
    <w:rsid w:val="00016021"/>
    <w:rPr>
      <w:sz w:val="24"/>
      <w:lang w:val="en-US" w:eastAsia="fr-FR"/>
    </w:rPr>
  </w:style>
  <w:style w:type="character" w:customStyle="1" w:styleId="Heading6Char">
    <w:name w:val="Heading 6 Char"/>
    <w:basedOn w:val="DefaultParagraphFont"/>
    <w:link w:val="Heading6"/>
    <w:uiPriority w:val="9"/>
    <w:semiHidden/>
    <w:rsid w:val="00016021"/>
    <w:rPr>
      <w:i/>
      <w:sz w:val="22"/>
      <w:lang w:val="da-DK"/>
    </w:rPr>
  </w:style>
  <w:style w:type="character" w:customStyle="1" w:styleId="Heading7Char">
    <w:name w:val="Heading 7 Char"/>
    <w:basedOn w:val="DefaultParagraphFont"/>
    <w:link w:val="Heading7"/>
    <w:uiPriority w:val="9"/>
    <w:semiHidden/>
    <w:rsid w:val="00016021"/>
    <w:rPr>
      <w:rFonts w:ascii="Arial" w:hAnsi="Arial"/>
      <w:sz w:val="24"/>
      <w:lang w:val="da-DK"/>
    </w:rPr>
  </w:style>
  <w:style w:type="character" w:customStyle="1" w:styleId="Heading8Char">
    <w:name w:val="Heading 8 Char"/>
    <w:basedOn w:val="DefaultParagraphFont"/>
    <w:link w:val="Heading8"/>
    <w:uiPriority w:val="9"/>
    <w:semiHidden/>
    <w:rsid w:val="00016021"/>
    <w:rPr>
      <w:rFonts w:ascii="Arial" w:hAnsi="Arial"/>
      <w:i/>
      <w:sz w:val="24"/>
      <w:lang w:val="da-DK"/>
    </w:rPr>
  </w:style>
  <w:style w:type="character" w:customStyle="1" w:styleId="Heading9Char">
    <w:name w:val="Heading 9 Char"/>
    <w:basedOn w:val="DefaultParagraphFont"/>
    <w:link w:val="Heading9"/>
    <w:uiPriority w:val="9"/>
    <w:semiHidden/>
    <w:rsid w:val="00016021"/>
    <w:rPr>
      <w:rFonts w:ascii="Arial" w:hAnsi="Arial"/>
      <w:b/>
      <w:i/>
      <w:sz w:val="18"/>
      <w:lang w:val="da-DK"/>
    </w:rPr>
  </w:style>
  <w:style w:type="paragraph" w:styleId="TOCHeading">
    <w:name w:val="TOC Heading"/>
    <w:basedOn w:val="Normal"/>
    <w:next w:val="Normal"/>
    <w:uiPriority w:val="39"/>
    <w:unhideWhenUsed/>
    <w:qFormat/>
    <w:rsid w:val="00016021"/>
    <w:pPr>
      <w:widowControl/>
      <w:spacing w:after="240"/>
    </w:pPr>
    <w:rPr>
      <w:lang w:val="en-GB"/>
    </w:rPr>
  </w:style>
  <w:style w:type="paragraph" w:customStyle="1" w:styleId="EPFooter2">
    <w:name w:val="EPFooter2"/>
    <w:basedOn w:val="Normal"/>
    <w:next w:val="Normal"/>
    <w:rsid w:val="000160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16021"/>
    <w:pPr>
      <w:keepNext/>
      <w:spacing w:after="240"/>
      <w:jc w:val="right"/>
    </w:pPr>
    <w:rPr>
      <w:rFonts w:ascii="Arial" w:hAnsi="Arial"/>
      <w:b/>
    </w:rPr>
  </w:style>
  <w:style w:type="paragraph" w:customStyle="1" w:styleId="Normal6a">
    <w:name w:val="Normal6a"/>
    <w:basedOn w:val="Normal"/>
    <w:rsid w:val="00016021"/>
    <w:pPr>
      <w:spacing w:after="120"/>
    </w:pPr>
  </w:style>
  <w:style w:type="paragraph" w:customStyle="1" w:styleId="PageHeading">
    <w:name w:val="PageHeading"/>
    <w:basedOn w:val="Normal"/>
    <w:rsid w:val="00016021"/>
    <w:pPr>
      <w:keepNext/>
      <w:spacing w:after="480"/>
      <w:jc w:val="center"/>
    </w:pPr>
    <w:rPr>
      <w:rFonts w:ascii="Arial" w:hAnsi="Arial" w:cs="Arial"/>
      <w:b/>
    </w:rPr>
  </w:style>
  <w:style w:type="paragraph" w:customStyle="1" w:styleId="NormalBold">
    <w:name w:val="NormalBold"/>
    <w:basedOn w:val="Normal"/>
    <w:link w:val="NormalBoldChar"/>
    <w:rsid w:val="00016021"/>
    <w:rPr>
      <w:b/>
    </w:rPr>
  </w:style>
  <w:style w:type="character" w:customStyle="1" w:styleId="NormalBoldChar">
    <w:name w:val="NormalBold Char"/>
    <w:link w:val="NormalBold"/>
    <w:locked/>
    <w:rsid w:val="00016021"/>
    <w:rPr>
      <w:b/>
      <w:sz w:val="24"/>
      <w:lang w:val="da-DK"/>
    </w:rPr>
  </w:style>
  <w:style w:type="paragraph" w:customStyle="1" w:styleId="NormalBold12a">
    <w:name w:val="NormalBold12a"/>
    <w:basedOn w:val="Normal"/>
    <w:rsid w:val="00016021"/>
    <w:pPr>
      <w:spacing w:after="240"/>
    </w:pPr>
    <w:rPr>
      <w:b/>
    </w:rPr>
  </w:style>
  <w:style w:type="paragraph" w:customStyle="1" w:styleId="AmJustText">
    <w:name w:val="AmJustText"/>
    <w:basedOn w:val="Normal"/>
    <w:rsid w:val="00016021"/>
    <w:pPr>
      <w:spacing w:after="240"/>
    </w:pPr>
    <w:rPr>
      <w:i/>
    </w:rPr>
  </w:style>
  <w:style w:type="paragraph" w:customStyle="1" w:styleId="NormalHanging12a">
    <w:name w:val="NormalHanging12a"/>
    <w:basedOn w:val="Normal"/>
    <w:rsid w:val="00016021"/>
    <w:pPr>
      <w:spacing w:after="240"/>
      <w:ind w:left="567" w:hanging="567"/>
    </w:pPr>
  </w:style>
  <w:style w:type="paragraph" w:customStyle="1" w:styleId="CoverNormal24a">
    <w:name w:val="CoverNormal24a"/>
    <w:basedOn w:val="Normal"/>
    <w:rsid w:val="00016021"/>
    <w:pPr>
      <w:spacing w:after="480"/>
      <w:ind w:left="1417"/>
    </w:pPr>
  </w:style>
  <w:style w:type="paragraph" w:customStyle="1" w:styleId="CoverNormal">
    <w:name w:val="CoverNormal"/>
    <w:basedOn w:val="Normal"/>
    <w:rsid w:val="00016021"/>
    <w:pPr>
      <w:ind w:left="1418"/>
    </w:pPr>
  </w:style>
  <w:style w:type="paragraph" w:customStyle="1" w:styleId="AmCrossRef">
    <w:name w:val="AmCrossRef"/>
    <w:basedOn w:val="Normal"/>
    <w:rsid w:val="00016021"/>
    <w:pPr>
      <w:spacing w:before="240" w:after="240"/>
      <w:jc w:val="center"/>
    </w:pPr>
    <w:rPr>
      <w:i/>
    </w:rPr>
  </w:style>
  <w:style w:type="paragraph" w:customStyle="1" w:styleId="AmJustTitle">
    <w:name w:val="AmJustTitle"/>
    <w:basedOn w:val="Normal"/>
    <w:next w:val="AmJustText"/>
    <w:rsid w:val="00016021"/>
    <w:pPr>
      <w:keepNext/>
      <w:spacing w:before="240" w:after="240"/>
      <w:jc w:val="center"/>
    </w:pPr>
    <w:rPr>
      <w:i/>
    </w:rPr>
  </w:style>
  <w:style w:type="paragraph" w:customStyle="1" w:styleId="CoverReference">
    <w:name w:val="CoverReference"/>
    <w:basedOn w:val="Normal"/>
    <w:rsid w:val="00016021"/>
    <w:pPr>
      <w:spacing w:before="1080"/>
      <w:jc w:val="right"/>
    </w:pPr>
    <w:rPr>
      <w:rFonts w:ascii="Arial" w:hAnsi="Arial" w:cs="Arial"/>
      <w:b/>
    </w:rPr>
  </w:style>
  <w:style w:type="paragraph" w:customStyle="1" w:styleId="CoverDocType">
    <w:name w:val="CoverDocType"/>
    <w:basedOn w:val="Normal"/>
    <w:rsid w:val="00016021"/>
    <w:pPr>
      <w:ind w:left="1418"/>
    </w:pPr>
    <w:rPr>
      <w:rFonts w:ascii="Arial" w:hAnsi="Arial"/>
      <w:b/>
      <w:sz w:val="48"/>
    </w:rPr>
  </w:style>
  <w:style w:type="paragraph" w:customStyle="1" w:styleId="CoverDocType24a">
    <w:name w:val="CoverDocType24a"/>
    <w:basedOn w:val="Normal"/>
    <w:rsid w:val="00016021"/>
    <w:pPr>
      <w:spacing w:after="480"/>
      <w:ind w:left="1418"/>
    </w:pPr>
    <w:rPr>
      <w:rFonts w:ascii="Arial" w:hAnsi="Arial"/>
      <w:b/>
      <w:sz w:val="48"/>
    </w:rPr>
  </w:style>
  <w:style w:type="paragraph" w:customStyle="1" w:styleId="CoverDate">
    <w:name w:val="CoverDate"/>
    <w:basedOn w:val="Normal"/>
    <w:rsid w:val="00016021"/>
    <w:pPr>
      <w:spacing w:before="240" w:after="1200"/>
    </w:pPr>
  </w:style>
  <w:style w:type="paragraph" w:styleId="Header">
    <w:name w:val="header"/>
    <w:basedOn w:val="Normal"/>
    <w:link w:val="HeaderChar"/>
    <w:rsid w:val="00016021"/>
    <w:pPr>
      <w:tabs>
        <w:tab w:val="center" w:pos="4513"/>
        <w:tab w:val="right" w:pos="9026"/>
      </w:tabs>
    </w:pPr>
  </w:style>
  <w:style w:type="character" w:customStyle="1" w:styleId="HeaderChar">
    <w:name w:val="Header Char"/>
    <w:basedOn w:val="DefaultParagraphFont"/>
    <w:link w:val="Header"/>
    <w:rsid w:val="00016021"/>
    <w:rPr>
      <w:sz w:val="24"/>
      <w:lang w:val="da-DK"/>
    </w:rPr>
  </w:style>
  <w:style w:type="paragraph" w:customStyle="1" w:styleId="AmOrLang">
    <w:name w:val="AmOrLang"/>
    <w:basedOn w:val="Normal"/>
    <w:rsid w:val="00016021"/>
    <w:pPr>
      <w:spacing w:before="240" w:after="240"/>
      <w:jc w:val="right"/>
    </w:pPr>
  </w:style>
  <w:style w:type="paragraph" w:customStyle="1" w:styleId="AmColumnHeading">
    <w:name w:val="AmColumnHeading"/>
    <w:basedOn w:val="Normal"/>
    <w:rsid w:val="00016021"/>
    <w:pPr>
      <w:spacing w:after="240"/>
      <w:jc w:val="center"/>
    </w:pPr>
    <w:rPr>
      <w:i/>
    </w:rPr>
  </w:style>
  <w:style w:type="paragraph" w:customStyle="1" w:styleId="AmNumberTabs">
    <w:name w:val="AmNumberTabs"/>
    <w:basedOn w:val="Normal"/>
    <w:rsid w:val="000160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16021"/>
    <w:pPr>
      <w:spacing w:before="240"/>
    </w:pPr>
    <w:rPr>
      <w:b/>
    </w:rPr>
  </w:style>
  <w:style w:type="paragraph" w:customStyle="1" w:styleId="EPBody">
    <w:name w:val="EPBody"/>
    <w:basedOn w:val="Normal"/>
    <w:rsid w:val="00016021"/>
    <w:pPr>
      <w:jc w:val="center"/>
    </w:pPr>
    <w:rPr>
      <w:rFonts w:ascii="Arial" w:hAnsi="Arial" w:cs="Arial"/>
      <w:i/>
      <w:sz w:val="22"/>
      <w:szCs w:val="22"/>
    </w:rPr>
  </w:style>
  <w:style w:type="paragraph" w:customStyle="1" w:styleId="EPFooter">
    <w:name w:val="EPFooter"/>
    <w:basedOn w:val="Normal"/>
    <w:rsid w:val="00016021"/>
    <w:pPr>
      <w:tabs>
        <w:tab w:val="center" w:pos="4535"/>
        <w:tab w:val="right" w:pos="9071"/>
      </w:tabs>
      <w:spacing w:before="240" w:after="240"/>
    </w:pPr>
    <w:rPr>
      <w:color w:val="010000"/>
      <w:sz w:val="22"/>
    </w:rPr>
  </w:style>
  <w:style w:type="paragraph" w:customStyle="1" w:styleId="EPComma">
    <w:name w:val="EPComma"/>
    <w:basedOn w:val="Normal"/>
    <w:rsid w:val="00016021"/>
    <w:pPr>
      <w:spacing w:before="480" w:after="240"/>
    </w:pPr>
  </w:style>
  <w:style w:type="paragraph" w:customStyle="1" w:styleId="Lgendesigne">
    <w:name w:val="Légende signe"/>
    <w:basedOn w:val="Normal"/>
    <w:rsid w:val="00016021"/>
    <w:pPr>
      <w:tabs>
        <w:tab w:val="right" w:pos="454"/>
        <w:tab w:val="left" w:pos="737"/>
      </w:tabs>
      <w:ind w:left="737" w:hanging="737"/>
    </w:pPr>
    <w:rPr>
      <w:snapToGrid w:val="0"/>
      <w:sz w:val="18"/>
      <w:lang w:eastAsia="en-US"/>
    </w:rPr>
  </w:style>
  <w:style w:type="paragraph" w:customStyle="1" w:styleId="Lgendetitre">
    <w:name w:val="Légende titre"/>
    <w:basedOn w:val="Normal"/>
    <w:rsid w:val="00016021"/>
    <w:pPr>
      <w:spacing w:before="240" w:after="240"/>
    </w:pPr>
    <w:rPr>
      <w:b/>
      <w:i/>
      <w:snapToGrid w:val="0"/>
      <w:lang w:eastAsia="en-US"/>
    </w:rPr>
  </w:style>
  <w:style w:type="paragraph" w:customStyle="1" w:styleId="Lgendestandard">
    <w:name w:val="Légende standard"/>
    <w:basedOn w:val="Normal"/>
    <w:rsid w:val="00016021"/>
    <w:rPr>
      <w:sz w:val="18"/>
    </w:rPr>
  </w:style>
  <w:style w:type="paragraph" w:styleId="Footer">
    <w:name w:val="footer"/>
    <w:basedOn w:val="Normal"/>
    <w:link w:val="FooterChar"/>
    <w:uiPriority w:val="99"/>
    <w:rsid w:val="00016021"/>
    <w:pPr>
      <w:tabs>
        <w:tab w:val="center" w:pos="4513"/>
        <w:tab w:val="right" w:pos="9026"/>
      </w:tabs>
    </w:pPr>
  </w:style>
  <w:style w:type="character" w:customStyle="1" w:styleId="FooterChar">
    <w:name w:val="Footer Char"/>
    <w:basedOn w:val="DefaultParagraphFont"/>
    <w:link w:val="Footer"/>
    <w:rsid w:val="00016021"/>
    <w:rPr>
      <w:sz w:val="24"/>
      <w:lang w:val="da-DK"/>
    </w:rPr>
  </w:style>
  <w:style w:type="character" w:customStyle="1" w:styleId="CommentTextChar">
    <w:name w:val="Comment Text Char"/>
    <w:basedOn w:val="DefaultParagraphFont"/>
    <w:link w:val="CommentText"/>
    <w:uiPriority w:val="99"/>
    <w:rsid w:val="00016021"/>
    <w:rPr>
      <w:rFonts w:eastAsiaTheme="minorHAnsi"/>
      <w:lang w:eastAsia="en-US"/>
    </w:rPr>
  </w:style>
  <w:style w:type="paragraph" w:styleId="CommentText">
    <w:name w:val="annotation text"/>
    <w:basedOn w:val="Normal"/>
    <w:link w:val="CommentTextChar"/>
    <w:uiPriority w:val="99"/>
    <w:unhideWhenUsed/>
    <w:rsid w:val="00016021"/>
    <w:pPr>
      <w:widowControl/>
      <w:jc w:val="both"/>
    </w:pPr>
    <w:rPr>
      <w:rFonts w:eastAsiaTheme="minorHAnsi"/>
      <w:sz w:val="20"/>
      <w:lang w:val="en-GB" w:eastAsia="en-US"/>
    </w:rPr>
  </w:style>
  <w:style w:type="character" w:customStyle="1" w:styleId="CommentTextChar1">
    <w:name w:val="Comment Text Char1"/>
    <w:basedOn w:val="DefaultParagraphFont"/>
    <w:rsid w:val="00016021"/>
    <w:rPr>
      <w:lang w:val="da-DK"/>
    </w:rPr>
  </w:style>
  <w:style w:type="character" w:customStyle="1" w:styleId="Normal12Char">
    <w:name w:val="Normal12 Char"/>
    <w:link w:val="Normal12"/>
    <w:locked/>
    <w:rsid w:val="00016021"/>
    <w:rPr>
      <w:noProof/>
      <w:sz w:val="24"/>
    </w:rPr>
  </w:style>
  <w:style w:type="paragraph" w:customStyle="1" w:styleId="Normal12">
    <w:name w:val="Normal12"/>
    <w:basedOn w:val="Normal"/>
    <w:link w:val="Normal12Char"/>
    <w:rsid w:val="00016021"/>
    <w:pPr>
      <w:spacing w:after="240"/>
    </w:pPr>
    <w:rPr>
      <w:noProof/>
      <w:lang w:val="en-GB"/>
    </w:rPr>
  </w:style>
  <w:style w:type="character" w:customStyle="1" w:styleId="Normal6Char">
    <w:name w:val="Normal6 Char"/>
    <w:link w:val="Normal6"/>
    <w:locked/>
    <w:rsid w:val="00016021"/>
    <w:rPr>
      <w:sz w:val="24"/>
      <w:lang w:val="da-DK"/>
    </w:rPr>
  </w:style>
  <w:style w:type="paragraph" w:customStyle="1" w:styleId="Normal6">
    <w:name w:val="Normal6"/>
    <w:basedOn w:val="Normal"/>
    <w:link w:val="Normal6Char"/>
    <w:rsid w:val="00016021"/>
    <w:pPr>
      <w:spacing w:after="120"/>
    </w:pPr>
  </w:style>
  <w:style w:type="paragraph" w:customStyle="1" w:styleId="Normal12Italic">
    <w:name w:val="Normal12Italic"/>
    <w:basedOn w:val="Normal12"/>
    <w:rsid w:val="00016021"/>
    <w:rPr>
      <w:i/>
    </w:rPr>
  </w:style>
  <w:style w:type="paragraph" w:customStyle="1" w:styleId="Footer2">
    <w:name w:val="Footer2"/>
    <w:basedOn w:val="Normal12"/>
    <w:rsid w:val="00016021"/>
    <w:pPr>
      <w:tabs>
        <w:tab w:val="center" w:pos="4535"/>
        <w:tab w:val="right" w:pos="9923"/>
      </w:tabs>
      <w:spacing w:line="480" w:lineRule="auto"/>
      <w:ind w:left="-851"/>
    </w:pPr>
    <w:rPr>
      <w:rFonts w:ascii="Arial" w:cs="Arial"/>
      <w:b/>
      <w:sz w:val="48"/>
    </w:rPr>
  </w:style>
  <w:style w:type="paragraph" w:customStyle="1" w:styleId="EntPE">
    <w:name w:val="EntPE"/>
    <w:basedOn w:val="Normal12"/>
    <w:rsid w:val="00016021"/>
    <w:pPr>
      <w:jc w:val="center"/>
    </w:pPr>
    <w:rPr>
      <w:noProof w:val="0"/>
      <w:sz w:val="56"/>
    </w:rPr>
  </w:style>
  <w:style w:type="character" w:customStyle="1" w:styleId="BalloonTextChar">
    <w:name w:val="Balloon Text Char"/>
    <w:basedOn w:val="DefaultParagraphFont"/>
    <w:link w:val="BalloonText"/>
    <w:uiPriority w:val="99"/>
    <w:rsid w:val="00016021"/>
    <w:rPr>
      <w:rFonts w:ascii="Segoe UI" w:hAnsi="Segoe UI" w:cs="Segoe UI"/>
      <w:sz w:val="18"/>
      <w:szCs w:val="18"/>
    </w:rPr>
  </w:style>
  <w:style w:type="paragraph" w:styleId="BalloonText">
    <w:name w:val="Balloon Text"/>
    <w:basedOn w:val="Normal"/>
    <w:link w:val="BalloonTextChar"/>
    <w:uiPriority w:val="99"/>
    <w:unhideWhenUsed/>
    <w:rsid w:val="00016021"/>
    <w:pPr>
      <w:widowControl/>
    </w:pPr>
    <w:rPr>
      <w:rFonts w:ascii="Segoe UI" w:hAnsi="Segoe UI" w:cs="Segoe UI"/>
      <w:sz w:val="18"/>
      <w:szCs w:val="18"/>
      <w:lang w:val="en-GB"/>
    </w:rPr>
  </w:style>
  <w:style w:type="character" w:customStyle="1" w:styleId="BalloonTextChar1">
    <w:name w:val="Balloon Text Char1"/>
    <w:basedOn w:val="DefaultParagraphFont"/>
    <w:rsid w:val="00016021"/>
    <w:rPr>
      <w:rFonts w:ascii="Segoe UI" w:hAnsi="Segoe UI" w:cs="Segoe UI"/>
      <w:sz w:val="18"/>
      <w:szCs w:val="18"/>
      <w:lang w:val="da-DK"/>
    </w:rPr>
  </w:style>
  <w:style w:type="paragraph" w:customStyle="1" w:styleId="Normal24a">
    <w:name w:val="Normal24a"/>
    <w:basedOn w:val="Normal"/>
    <w:rsid w:val="00016021"/>
    <w:pPr>
      <w:spacing w:after="480"/>
    </w:pPr>
  </w:style>
  <w:style w:type="paragraph" w:customStyle="1" w:styleId="NormalBoldCenter">
    <w:name w:val="NormalBoldCenter"/>
    <w:basedOn w:val="Normal"/>
    <w:rsid w:val="00016021"/>
    <w:pPr>
      <w:jc w:val="center"/>
    </w:pPr>
    <w:rPr>
      <w:b/>
    </w:rPr>
  </w:style>
  <w:style w:type="paragraph" w:customStyle="1" w:styleId="AMNumberTabs0">
    <w:name w:val="AMNumberTabs"/>
    <w:basedOn w:val="Normal"/>
    <w:rsid w:val="000160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16021"/>
    <w:pPr>
      <w:spacing w:after="240"/>
      <w:jc w:val="center"/>
    </w:pPr>
    <w:rPr>
      <w:i/>
    </w:rPr>
  </w:style>
  <w:style w:type="paragraph" w:customStyle="1" w:styleId="Olang">
    <w:name w:val="Olang"/>
    <w:basedOn w:val="Normal"/>
    <w:rsid w:val="00016021"/>
    <w:pPr>
      <w:spacing w:before="240" w:after="240"/>
      <w:jc w:val="right"/>
    </w:pPr>
    <w:rPr>
      <w:noProof/>
      <w:szCs w:val="24"/>
    </w:rPr>
  </w:style>
  <w:style w:type="paragraph" w:customStyle="1" w:styleId="JustificationTitle">
    <w:name w:val="JustificationTitle"/>
    <w:basedOn w:val="Normal"/>
    <w:next w:val="Normal12"/>
    <w:rsid w:val="00016021"/>
    <w:pPr>
      <w:keepNext/>
      <w:spacing w:before="240" w:after="240"/>
      <w:jc w:val="center"/>
    </w:pPr>
    <w:rPr>
      <w:i/>
      <w:noProof/>
    </w:rPr>
  </w:style>
  <w:style w:type="paragraph" w:customStyle="1" w:styleId="Default">
    <w:name w:val="Default"/>
    <w:rsid w:val="00016021"/>
    <w:pPr>
      <w:autoSpaceDE w:val="0"/>
      <w:autoSpaceDN w:val="0"/>
      <w:adjustRightInd w:val="0"/>
    </w:pPr>
    <w:rPr>
      <w:rFonts w:eastAsiaTheme="minorHAnsi"/>
      <w:color w:val="000000"/>
      <w:sz w:val="24"/>
      <w:szCs w:val="24"/>
      <w:lang w:val="da-DK" w:eastAsia="en-US"/>
    </w:rPr>
  </w:style>
  <w:style w:type="paragraph" w:customStyle="1" w:styleId="normal60">
    <w:name w:val="normal6"/>
    <w:basedOn w:val="Normal"/>
    <w:rsid w:val="00016021"/>
    <w:pPr>
      <w:widowControl/>
      <w:spacing w:after="120"/>
    </w:pPr>
    <w:rPr>
      <w:rFonts w:eastAsiaTheme="minorHAnsi"/>
      <w:szCs w:val="24"/>
    </w:rPr>
  </w:style>
  <w:style w:type="character" w:styleId="CommentReference">
    <w:name w:val="annotation reference"/>
    <w:basedOn w:val="DefaultParagraphFont"/>
    <w:uiPriority w:val="99"/>
    <w:rsid w:val="00016021"/>
    <w:rPr>
      <w:sz w:val="16"/>
      <w:szCs w:val="16"/>
    </w:rPr>
  </w:style>
  <w:style w:type="paragraph" w:styleId="CommentSubject">
    <w:name w:val="annotation subject"/>
    <w:basedOn w:val="CommentText"/>
    <w:next w:val="CommentText"/>
    <w:link w:val="CommentSubjectChar"/>
    <w:uiPriority w:val="99"/>
    <w:unhideWhenUsed/>
    <w:rsid w:val="00016021"/>
    <w:pPr>
      <w:widowControl w:val="0"/>
      <w:jc w:val="left"/>
    </w:pPr>
    <w:rPr>
      <w:rFonts w:eastAsia="Times New Roman"/>
      <w:b/>
      <w:bCs/>
      <w:lang w:eastAsia="en-GB"/>
    </w:rPr>
  </w:style>
  <w:style w:type="character" w:customStyle="1" w:styleId="CommentSubjectChar">
    <w:name w:val="Comment Subject Char"/>
    <w:basedOn w:val="CommentTextChar1"/>
    <w:link w:val="CommentSubject"/>
    <w:uiPriority w:val="99"/>
    <w:rsid w:val="00016021"/>
    <w:rPr>
      <w:b/>
      <w:bCs/>
      <w:lang w:val="da-DK"/>
    </w:rPr>
  </w:style>
  <w:style w:type="paragraph" w:styleId="Revision">
    <w:name w:val="Revision"/>
    <w:hidden/>
    <w:uiPriority w:val="99"/>
    <w:semiHidden/>
    <w:rsid w:val="00016021"/>
    <w:rPr>
      <w:sz w:val="24"/>
      <w:lang w:val="da-DK"/>
    </w:rPr>
  </w:style>
  <w:style w:type="character" w:customStyle="1" w:styleId="operationpanel">
    <w:name w:val="operationpanel"/>
    <w:basedOn w:val="DefaultParagraphFont"/>
    <w:rsid w:val="00016021"/>
  </w:style>
  <w:style w:type="paragraph" w:customStyle="1" w:styleId="Tiret0">
    <w:name w:val="Tiret 0"/>
    <w:basedOn w:val="Normal"/>
    <w:rsid w:val="00016021"/>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016021"/>
    <w:rPr>
      <w:color w:val="0000FF"/>
      <w:u w:val="single"/>
    </w:rPr>
  </w:style>
  <w:style w:type="paragraph" w:customStyle="1" w:styleId="Normal12a">
    <w:name w:val="Normal12a"/>
    <w:basedOn w:val="Normal"/>
    <w:rsid w:val="00016021"/>
    <w:pPr>
      <w:spacing w:after="240"/>
    </w:pPr>
  </w:style>
  <w:style w:type="paragraph" w:customStyle="1" w:styleId="RollCallVotes">
    <w:name w:val="RollCallVotes"/>
    <w:basedOn w:val="Normal"/>
    <w:rsid w:val="00016021"/>
    <w:pPr>
      <w:spacing w:before="120" w:after="120"/>
      <w:jc w:val="center"/>
    </w:pPr>
    <w:rPr>
      <w:b/>
      <w:bCs/>
      <w:snapToGrid w:val="0"/>
      <w:sz w:val="16"/>
      <w:lang w:eastAsia="en-US"/>
    </w:rPr>
  </w:style>
  <w:style w:type="paragraph" w:customStyle="1" w:styleId="RollCallTabs">
    <w:name w:val="RollCallTabs"/>
    <w:basedOn w:val="Normal"/>
    <w:qFormat/>
    <w:rsid w:val="00016021"/>
    <w:pPr>
      <w:tabs>
        <w:tab w:val="center" w:pos="284"/>
        <w:tab w:val="left" w:pos="426"/>
      </w:tabs>
    </w:pPr>
    <w:rPr>
      <w:snapToGrid w:val="0"/>
      <w:lang w:eastAsia="en-US"/>
    </w:rPr>
  </w:style>
  <w:style w:type="paragraph" w:customStyle="1" w:styleId="RollCallSymbols14pt">
    <w:name w:val="RollCallSymbols14pt"/>
    <w:basedOn w:val="Normal"/>
    <w:rsid w:val="00016021"/>
    <w:pPr>
      <w:spacing w:before="120" w:after="120"/>
      <w:jc w:val="center"/>
    </w:pPr>
    <w:rPr>
      <w:rFonts w:ascii="Arial" w:hAnsi="Arial"/>
      <w:b/>
      <w:bCs/>
      <w:snapToGrid w:val="0"/>
      <w:sz w:val="28"/>
      <w:lang w:eastAsia="en-US"/>
    </w:rPr>
  </w:style>
  <w:style w:type="paragraph" w:customStyle="1" w:styleId="RollCallTable">
    <w:name w:val="RollCallTable"/>
    <w:basedOn w:val="Normal"/>
    <w:rsid w:val="00016021"/>
    <w:pPr>
      <w:spacing w:before="120" w:after="120"/>
    </w:pPr>
    <w:rPr>
      <w:snapToGrid w:val="0"/>
      <w:sz w:val="16"/>
      <w:lang w:eastAsia="en-US"/>
    </w:rPr>
  </w:style>
  <w:style w:type="character" w:styleId="Emphasis">
    <w:name w:val="Emphasis"/>
    <w:basedOn w:val="DefaultParagraphFont"/>
    <w:uiPriority w:val="20"/>
    <w:qFormat/>
    <w:rsid w:val="002E5A76"/>
    <w:rPr>
      <w:i/>
      <w:iCs/>
    </w:rPr>
  </w:style>
  <w:style w:type="paragraph" w:customStyle="1" w:styleId="Typedudocument">
    <w:name w:val="Type du document"/>
    <w:basedOn w:val="Normal"/>
    <w:next w:val="Normal"/>
    <w:rsid w:val="008913ED"/>
    <w:pPr>
      <w:widowControl/>
      <w:spacing w:before="360"/>
      <w:jc w:val="center"/>
    </w:pPr>
    <w:rPr>
      <w:rFonts w:eastAsiaTheme="minorHAnsi"/>
      <w:b/>
      <w:szCs w:val="22"/>
      <w:lang w:eastAsia="en-US"/>
    </w:rPr>
  </w:style>
  <w:style w:type="numbering" w:customStyle="1" w:styleId="NoList1">
    <w:name w:val="No List1"/>
    <w:next w:val="NoList"/>
    <w:uiPriority w:val="99"/>
    <w:semiHidden/>
    <w:unhideWhenUsed/>
    <w:rsid w:val="008913ED"/>
  </w:style>
  <w:style w:type="paragraph" w:customStyle="1" w:styleId="Title1">
    <w:name w:val="Title1"/>
    <w:basedOn w:val="Normal"/>
    <w:next w:val="Normal"/>
    <w:uiPriority w:val="10"/>
    <w:qFormat/>
    <w:rsid w:val="008913ED"/>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8913ED"/>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8913ED"/>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8913ED"/>
    <w:rPr>
      <w:rFonts w:ascii="Arial" w:eastAsia="Times New Roman" w:hAnsi="Arial" w:cs="Arial"/>
      <w:sz w:val="24"/>
      <w:szCs w:val="24"/>
    </w:rPr>
  </w:style>
  <w:style w:type="character" w:styleId="Strong">
    <w:name w:val="Strong"/>
    <w:basedOn w:val="DefaultParagraphFont"/>
    <w:uiPriority w:val="22"/>
    <w:qFormat/>
    <w:rsid w:val="008913ED"/>
    <w:rPr>
      <w:b/>
      <w:bCs/>
    </w:rPr>
  </w:style>
  <w:style w:type="paragraph" w:styleId="NoSpacing">
    <w:name w:val="No Spacing"/>
    <w:basedOn w:val="Normal"/>
    <w:uiPriority w:val="1"/>
    <w:qFormat/>
    <w:rsid w:val="008913ED"/>
    <w:pPr>
      <w:widowControl/>
      <w:jc w:val="both"/>
    </w:pPr>
    <w:rPr>
      <w:rFonts w:eastAsia="Calibri"/>
      <w:szCs w:val="32"/>
      <w:lang w:val="en-GB" w:eastAsia="en-US"/>
    </w:rPr>
  </w:style>
  <w:style w:type="paragraph" w:styleId="ListParagraph">
    <w:name w:val="List Paragraph"/>
    <w:basedOn w:val="Normal"/>
    <w:uiPriority w:val="34"/>
    <w:qFormat/>
    <w:rsid w:val="008913ED"/>
    <w:pPr>
      <w:widowControl/>
      <w:ind w:left="720"/>
      <w:contextualSpacing/>
      <w:jc w:val="both"/>
    </w:pPr>
    <w:rPr>
      <w:rFonts w:eastAsia="Calibri"/>
      <w:szCs w:val="24"/>
      <w:lang w:val="en-GB" w:eastAsia="en-US"/>
    </w:rPr>
  </w:style>
  <w:style w:type="paragraph" w:styleId="Quote">
    <w:name w:val="Quote"/>
    <w:basedOn w:val="Normal"/>
    <w:next w:val="Normal"/>
    <w:link w:val="QuoteChar"/>
    <w:uiPriority w:val="29"/>
    <w:qFormat/>
    <w:rsid w:val="008913ED"/>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8913ED"/>
    <w:rPr>
      <w:rFonts w:eastAsia="Calibri"/>
      <w:i/>
      <w:sz w:val="24"/>
      <w:szCs w:val="24"/>
      <w:lang w:eastAsia="en-US"/>
    </w:rPr>
  </w:style>
  <w:style w:type="paragraph" w:styleId="IntenseQuote">
    <w:name w:val="Intense Quote"/>
    <w:basedOn w:val="Normal"/>
    <w:next w:val="Normal"/>
    <w:link w:val="IntenseQuoteChar"/>
    <w:uiPriority w:val="30"/>
    <w:qFormat/>
    <w:rsid w:val="008913ED"/>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8913ED"/>
    <w:rPr>
      <w:rFonts w:eastAsia="Calibri"/>
      <w:b/>
      <w:i/>
      <w:sz w:val="24"/>
      <w:szCs w:val="22"/>
      <w:lang w:eastAsia="en-US"/>
    </w:rPr>
  </w:style>
  <w:style w:type="character" w:customStyle="1" w:styleId="SubtleEmphasis1">
    <w:name w:val="Subtle Emphasis1"/>
    <w:uiPriority w:val="19"/>
    <w:qFormat/>
    <w:rsid w:val="008913ED"/>
    <w:rPr>
      <w:i/>
      <w:color w:val="5A5A5A"/>
    </w:rPr>
  </w:style>
  <w:style w:type="character" w:styleId="IntenseEmphasis">
    <w:name w:val="Intense Emphasis"/>
    <w:basedOn w:val="DefaultParagraphFont"/>
    <w:uiPriority w:val="21"/>
    <w:qFormat/>
    <w:rsid w:val="008913ED"/>
    <w:rPr>
      <w:b/>
      <w:i/>
      <w:sz w:val="24"/>
      <w:szCs w:val="24"/>
      <w:u w:val="single"/>
    </w:rPr>
  </w:style>
  <w:style w:type="character" w:styleId="SubtleReference">
    <w:name w:val="Subtle Reference"/>
    <w:basedOn w:val="DefaultParagraphFont"/>
    <w:uiPriority w:val="31"/>
    <w:qFormat/>
    <w:rsid w:val="008913ED"/>
    <w:rPr>
      <w:sz w:val="24"/>
      <w:szCs w:val="24"/>
      <w:u w:val="single"/>
    </w:rPr>
  </w:style>
  <w:style w:type="character" w:styleId="IntenseReference">
    <w:name w:val="Intense Reference"/>
    <w:basedOn w:val="DefaultParagraphFont"/>
    <w:uiPriority w:val="32"/>
    <w:qFormat/>
    <w:rsid w:val="008913ED"/>
    <w:rPr>
      <w:b/>
      <w:sz w:val="24"/>
      <w:u w:val="single"/>
    </w:rPr>
  </w:style>
  <w:style w:type="character" w:customStyle="1" w:styleId="BookTitle1">
    <w:name w:val="Book Title1"/>
    <w:basedOn w:val="DefaultParagraphFont"/>
    <w:uiPriority w:val="33"/>
    <w:qFormat/>
    <w:rsid w:val="008913ED"/>
    <w:rPr>
      <w:rFonts w:ascii="Calibri Light" w:eastAsia="Times New Roman" w:hAnsi="Calibri Light"/>
      <w:b/>
      <w:i/>
      <w:sz w:val="24"/>
      <w:szCs w:val="24"/>
    </w:rPr>
  </w:style>
  <w:style w:type="numbering" w:customStyle="1" w:styleId="NoList11">
    <w:name w:val="No List11"/>
    <w:next w:val="NoList"/>
    <w:uiPriority w:val="99"/>
    <w:semiHidden/>
    <w:unhideWhenUsed/>
    <w:rsid w:val="008913ED"/>
  </w:style>
  <w:style w:type="paragraph" w:customStyle="1" w:styleId="SignaturePersonne">
    <w:name w:val="Signature Personne"/>
    <w:basedOn w:val="Normal"/>
    <w:rsid w:val="008913ED"/>
    <w:pPr>
      <w:widowControl/>
      <w:tabs>
        <w:tab w:val="left" w:pos="4252"/>
      </w:tabs>
      <w:spacing w:line="360" w:lineRule="auto"/>
    </w:pPr>
    <w:rPr>
      <w:i/>
      <w:szCs w:val="24"/>
      <w:lang w:val="en-GB" w:eastAsia="en-US"/>
    </w:rPr>
  </w:style>
  <w:style w:type="paragraph" w:customStyle="1" w:styleId="Considrant">
    <w:name w:val="Considérant"/>
    <w:basedOn w:val="Normal"/>
    <w:rsid w:val="008913E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913ED"/>
    <w:pPr>
      <w:keepNext/>
      <w:spacing w:before="600" w:after="120" w:line="360" w:lineRule="auto"/>
    </w:pPr>
    <w:rPr>
      <w:szCs w:val="24"/>
      <w:lang w:val="en-GB" w:eastAsia="en-US"/>
    </w:rPr>
  </w:style>
  <w:style w:type="paragraph" w:customStyle="1" w:styleId="Institutionquisigne">
    <w:name w:val="Institution qui signe"/>
    <w:basedOn w:val="Normal"/>
    <w:next w:val="Normal"/>
    <w:rsid w:val="008913ED"/>
    <w:pPr>
      <w:keepNext/>
      <w:tabs>
        <w:tab w:val="left" w:pos="4252"/>
      </w:tabs>
      <w:spacing w:before="720" w:line="360" w:lineRule="auto"/>
    </w:pPr>
    <w:rPr>
      <w:i/>
      <w:szCs w:val="24"/>
      <w:lang w:val="en-GB" w:eastAsia="en-US"/>
    </w:rPr>
  </w:style>
  <w:style w:type="paragraph" w:customStyle="1" w:styleId="Fait">
    <w:name w:val="Fait à"/>
    <w:basedOn w:val="Normal"/>
    <w:rsid w:val="008913ED"/>
    <w:pPr>
      <w:keepNext/>
      <w:widowControl/>
      <w:spacing w:before="120" w:line="360" w:lineRule="auto"/>
    </w:pPr>
    <w:rPr>
      <w:szCs w:val="24"/>
      <w:lang w:val="en-GB" w:eastAsia="en-US"/>
    </w:rPr>
  </w:style>
  <w:style w:type="paragraph" w:customStyle="1" w:styleId="FootnoteTextForceStyle">
    <w:name w:val="Footnote Text ForceStyle"/>
    <w:rsid w:val="008913ED"/>
    <w:pPr>
      <w:keepLines/>
      <w:widowControl w:val="0"/>
      <w:ind w:left="850" w:hanging="850"/>
    </w:pPr>
    <w:rPr>
      <w:sz w:val="24"/>
      <w:lang w:eastAsia="en-US"/>
    </w:rPr>
  </w:style>
  <w:style w:type="paragraph" w:customStyle="1" w:styleId="Applicationdirecte">
    <w:name w:val="Application directe"/>
    <w:basedOn w:val="Normal"/>
    <w:next w:val="Normal"/>
    <w:rsid w:val="008913ED"/>
    <w:pPr>
      <w:spacing w:before="120" w:after="120" w:line="360" w:lineRule="auto"/>
    </w:pPr>
    <w:rPr>
      <w:szCs w:val="24"/>
      <w:lang w:val="en-GB" w:eastAsia="en-US"/>
    </w:rPr>
  </w:style>
  <w:style w:type="paragraph" w:customStyle="1" w:styleId="Normale">
    <w:name w:val="Normale"/>
    <w:rsid w:val="008913ED"/>
    <w:pPr>
      <w:widowControl w:val="0"/>
      <w:spacing w:before="120" w:after="120" w:line="360" w:lineRule="auto"/>
    </w:pPr>
    <w:rPr>
      <w:sz w:val="24"/>
      <w:lang w:eastAsia="en-US"/>
    </w:rPr>
  </w:style>
  <w:style w:type="paragraph" w:customStyle="1" w:styleId="Formuledadoption">
    <w:name w:val="Formule d'adoption"/>
    <w:basedOn w:val="Normal"/>
    <w:next w:val="Normal"/>
    <w:rsid w:val="008913E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913ED"/>
    <w:pPr>
      <w:widowControl/>
      <w:spacing w:after="240" w:line="360" w:lineRule="auto"/>
      <w:ind w:left="5102"/>
    </w:pPr>
    <w:rPr>
      <w:szCs w:val="24"/>
      <w:lang w:val="en-GB" w:eastAsia="en-US"/>
    </w:rPr>
  </w:style>
  <w:style w:type="paragraph" w:customStyle="1" w:styleId="Footer1">
    <w:name w:val="Footer1"/>
    <w:basedOn w:val="Normal"/>
    <w:rsid w:val="008913E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913E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913ED"/>
    <w:pPr>
      <w:widowControl/>
      <w:spacing w:before="840" w:line="360" w:lineRule="auto"/>
      <w:jc w:val="center"/>
    </w:pPr>
    <w:rPr>
      <w:szCs w:val="24"/>
      <w:lang w:val="en-GB" w:eastAsia="en-US"/>
    </w:rPr>
  </w:style>
  <w:style w:type="paragraph" w:customStyle="1" w:styleId="Titreobjet">
    <w:name w:val="Titre objet"/>
    <w:basedOn w:val="Normal"/>
    <w:next w:val="Normal"/>
    <w:rsid w:val="008913E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913ED"/>
    <w:pPr>
      <w:widowControl/>
      <w:spacing w:before="360" w:after="240" w:line="360" w:lineRule="auto"/>
      <w:jc w:val="center"/>
    </w:pPr>
    <w:rPr>
      <w:szCs w:val="24"/>
      <w:lang w:val="en-GB" w:eastAsia="en-US"/>
    </w:rPr>
  </w:style>
  <w:style w:type="character" w:customStyle="1" w:styleId="CMissingStyle">
    <w:name w:val="C_MissingStyle"/>
    <w:rsid w:val="008913ED"/>
    <w:rPr>
      <w:color w:val="FFFFFF"/>
      <w:sz w:val="22"/>
      <w:shd w:val="clear" w:color="000000" w:fill="000000"/>
    </w:rPr>
  </w:style>
  <w:style w:type="paragraph" w:customStyle="1" w:styleId="PMissingStyle">
    <w:name w:val="P_MissingStyle"/>
    <w:basedOn w:val="Normal"/>
    <w:rsid w:val="008913ED"/>
    <w:pPr>
      <w:spacing w:before="120" w:after="120" w:line="360" w:lineRule="auto"/>
    </w:pPr>
    <w:rPr>
      <w:color w:val="FFFFFF"/>
      <w:szCs w:val="24"/>
      <w:shd w:val="clear" w:color="000000" w:fill="000000"/>
      <w:lang w:val="en-GB" w:eastAsia="en-US"/>
    </w:rPr>
  </w:style>
  <w:style w:type="paragraph" w:styleId="Title">
    <w:name w:val="Title"/>
    <w:basedOn w:val="Normal"/>
    <w:next w:val="Normal"/>
    <w:link w:val="TitleChar"/>
    <w:uiPriority w:val="10"/>
    <w:qFormat/>
    <w:rsid w:val="008913ED"/>
    <w:pPr>
      <w:contextualSpacing/>
    </w:pPr>
    <w:rPr>
      <w:rFonts w:ascii="Arial" w:hAnsi="Arial" w:cs="Arial"/>
      <w:b/>
      <w:bCs/>
      <w:kern w:val="28"/>
      <w:sz w:val="32"/>
      <w:szCs w:val="32"/>
      <w:lang w:val="en-GB"/>
    </w:rPr>
  </w:style>
  <w:style w:type="character" w:customStyle="1" w:styleId="TitleChar1">
    <w:name w:val="Title Char1"/>
    <w:basedOn w:val="DefaultParagraphFont"/>
    <w:rsid w:val="008913ED"/>
    <w:rPr>
      <w:rFonts w:asciiTheme="majorHAnsi" w:eastAsiaTheme="majorEastAsia" w:hAnsiTheme="majorHAnsi" w:cstheme="majorBidi"/>
      <w:spacing w:val="-10"/>
      <w:kern w:val="28"/>
      <w:sz w:val="56"/>
      <w:szCs w:val="56"/>
      <w:lang w:val="da-DK"/>
    </w:rPr>
  </w:style>
  <w:style w:type="paragraph" w:styleId="Subtitle">
    <w:name w:val="Subtitle"/>
    <w:basedOn w:val="Normal"/>
    <w:next w:val="Normal"/>
    <w:link w:val="SubtitleChar"/>
    <w:uiPriority w:val="11"/>
    <w:qFormat/>
    <w:rsid w:val="008913ED"/>
    <w:pPr>
      <w:numPr>
        <w:ilvl w:val="1"/>
      </w:numPr>
      <w:spacing w:after="160"/>
    </w:pPr>
    <w:rPr>
      <w:rFonts w:ascii="Arial" w:hAnsi="Arial" w:cs="Arial"/>
      <w:szCs w:val="24"/>
      <w:lang w:val="en-GB"/>
    </w:rPr>
  </w:style>
  <w:style w:type="character" w:customStyle="1" w:styleId="SubtitleChar1">
    <w:name w:val="Subtitle Char1"/>
    <w:basedOn w:val="DefaultParagraphFont"/>
    <w:rsid w:val="008913ED"/>
    <w:rPr>
      <w:rFonts w:asciiTheme="minorHAnsi" w:eastAsiaTheme="minorEastAsia" w:hAnsiTheme="minorHAnsi" w:cstheme="minorBidi"/>
      <w:color w:val="5A5A5A" w:themeColor="text1" w:themeTint="A5"/>
      <w:spacing w:val="15"/>
      <w:sz w:val="22"/>
      <w:szCs w:val="22"/>
      <w:lang w:val="da-DK"/>
    </w:rPr>
  </w:style>
  <w:style w:type="character" w:styleId="SubtleEmphasis">
    <w:name w:val="Subtle Emphasis"/>
    <w:basedOn w:val="DefaultParagraphFont"/>
    <w:uiPriority w:val="19"/>
    <w:qFormat/>
    <w:rsid w:val="008913ED"/>
    <w:rPr>
      <w:i/>
      <w:iCs/>
      <w:color w:val="404040" w:themeColor="text1" w:themeTint="BF"/>
    </w:rPr>
  </w:style>
  <w:style w:type="character" w:styleId="BookTitle">
    <w:name w:val="Book Title"/>
    <w:basedOn w:val="DefaultParagraphFont"/>
    <w:uiPriority w:val="33"/>
    <w:qFormat/>
    <w:rsid w:val="008913ED"/>
    <w:rPr>
      <w:b/>
      <w:bCs/>
      <w:i/>
      <w:iCs/>
      <w:spacing w:val="5"/>
    </w:rPr>
  </w:style>
  <w:style w:type="table" w:customStyle="1" w:styleId="TableGrid1">
    <w:name w:val="Table Grid1"/>
    <w:basedOn w:val="TableNormal"/>
    <w:next w:val="TableGrid"/>
    <w:uiPriority w:val="39"/>
    <w:rsid w:val="005A6AB5"/>
    <w:pPr>
      <w:widowControl w:val="0"/>
      <w:autoSpaceDE w:val="0"/>
      <w:autoSpaceDN w:val="0"/>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38213-B88C-4344-9C36-40659E49F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39246</Words>
  <Characters>223706</Characters>
  <Application>Microsoft Office Word</Application>
  <DocSecurity>4</DocSecurity>
  <Lines>1864</Lines>
  <Paragraphs>524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GOROPECNIK Tina</cp:lastModifiedBy>
  <cp:revision>2</cp:revision>
  <cp:lastPrinted>2004-11-19T15:42:00Z</cp:lastPrinted>
  <dcterms:created xsi:type="dcterms:W3CDTF">2024-11-29T08:44:00Z</dcterms:created>
  <dcterms:modified xsi:type="dcterms:W3CDTF">2024-11-29T08:44:00Z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A9-0069/2024</vt:lpwstr>
  </property>
  <property fmtid="{D5CDD505-2E9C-101B-9397-08002B2CF9AE}" pid="4" name="&lt;Type&gt;">
    <vt:lpwstr>RR</vt:lpwstr>
  </property>
</Properties>
</file>