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49AE" w14:paraId="63ABE44F" w14:textId="77777777" w:rsidTr="0010095E">
        <w:trPr>
          <w:trHeight w:hRule="exact" w:val="1418"/>
        </w:trPr>
        <w:tc>
          <w:tcPr>
            <w:tcW w:w="6804" w:type="dxa"/>
            <w:shd w:val="clear" w:color="auto" w:fill="auto"/>
            <w:vAlign w:val="center"/>
          </w:tcPr>
          <w:p w14:paraId="252E8DA5" w14:textId="77777777" w:rsidR="00751A4A" w:rsidRPr="00E649AE" w:rsidRDefault="00EA60B7" w:rsidP="0010095E">
            <w:pPr>
              <w:pStyle w:val="EPName"/>
            </w:pPr>
            <w:r w:rsidRPr="00E649AE">
              <w:t>Europa-Parlamentet</w:t>
            </w:r>
          </w:p>
          <w:p w14:paraId="05FCCB23" w14:textId="77777777" w:rsidR="00751A4A" w:rsidRPr="00E649AE" w:rsidRDefault="00817416" w:rsidP="00756632">
            <w:pPr>
              <w:pStyle w:val="EPTerm"/>
              <w:rPr>
                <w:rStyle w:val="HideTWBExt"/>
                <w:noProof w:val="0"/>
                <w:vanish w:val="0"/>
                <w:color w:val="auto"/>
              </w:rPr>
            </w:pPr>
            <w:r w:rsidRPr="00E649AE">
              <w:t>2019-2024</w:t>
            </w:r>
          </w:p>
        </w:tc>
        <w:tc>
          <w:tcPr>
            <w:tcW w:w="2268" w:type="dxa"/>
            <w:shd w:val="clear" w:color="auto" w:fill="auto"/>
          </w:tcPr>
          <w:p w14:paraId="4E09A92C" w14:textId="77777777" w:rsidR="00751A4A" w:rsidRPr="00E649AE" w:rsidRDefault="00187494" w:rsidP="0010095E">
            <w:pPr>
              <w:pStyle w:val="EPLogo"/>
            </w:pPr>
            <w:r w:rsidRPr="00E649AE">
              <w:rPr>
                <w:noProof/>
                <w:lang w:val="en-GB"/>
              </w:rPr>
              <w:drawing>
                <wp:inline distT="0" distB="0" distL="0" distR="0" wp14:anchorId="39CF8A1F" wp14:editId="69F28A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62970B" w14:textId="77777777" w:rsidR="00D058B8" w:rsidRPr="00E649AE" w:rsidRDefault="00D058B8" w:rsidP="004C5D52">
      <w:pPr>
        <w:pStyle w:val="LineTop"/>
      </w:pPr>
    </w:p>
    <w:p w14:paraId="654973DC" w14:textId="77777777" w:rsidR="00680577" w:rsidRPr="00E649AE" w:rsidRDefault="00EA60B7" w:rsidP="00680577">
      <w:pPr>
        <w:pStyle w:val="EPBodyTA1"/>
      </w:pPr>
      <w:r w:rsidRPr="00E649AE">
        <w:t>VEDTAGNE TEKSTER</w:t>
      </w:r>
    </w:p>
    <w:p w14:paraId="4DEEAA38" w14:textId="77777777" w:rsidR="00D058B8" w:rsidRPr="00E649AE" w:rsidRDefault="00D058B8" w:rsidP="00D058B8">
      <w:pPr>
        <w:pStyle w:val="LineBottom"/>
      </w:pPr>
    </w:p>
    <w:p w14:paraId="58050461" w14:textId="671414E2" w:rsidR="00EA60B7" w:rsidRPr="00E649AE" w:rsidRDefault="00EA60B7" w:rsidP="00EA60B7">
      <w:pPr>
        <w:pStyle w:val="ATHeading1"/>
      </w:pPr>
      <w:bookmarkStart w:id="0" w:name="TANumber"/>
      <w:r w:rsidRPr="00E649AE">
        <w:t>P9_</w:t>
      </w:r>
      <w:proofErr w:type="gramStart"/>
      <w:r w:rsidRPr="00E649AE">
        <w:t>TA(</w:t>
      </w:r>
      <w:proofErr w:type="gramEnd"/>
      <w:r w:rsidRPr="00E649AE">
        <w:t>2024)0</w:t>
      </w:r>
      <w:bookmarkEnd w:id="0"/>
      <w:r w:rsidR="00902D9C">
        <w:t>128</w:t>
      </w:r>
    </w:p>
    <w:p w14:paraId="5385D581" w14:textId="77777777" w:rsidR="00EA60B7" w:rsidRPr="00E649AE" w:rsidRDefault="00A07C5D" w:rsidP="00EA60B7">
      <w:pPr>
        <w:pStyle w:val="ATHeading2"/>
      </w:pPr>
      <w:r>
        <w:t>Ændring af v</w:t>
      </w:r>
      <w:r w:rsidR="00CD5A6E" w:rsidRPr="00E649AE">
        <w:t>isse rapporteringskrav inden for finansielle tjenesteydelser og investeringsstøtte</w:t>
      </w:r>
    </w:p>
    <w:p w14:paraId="505C8EA7" w14:textId="77777777" w:rsidR="00EA60B7" w:rsidRPr="00E649AE" w:rsidRDefault="00EA60B7" w:rsidP="00EA60B7">
      <w:pPr>
        <w:rPr>
          <w:i/>
          <w:vanish/>
        </w:rPr>
      </w:pPr>
      <w:r w:rsidRPr="00E649AE">
        <w:rPr>
          <w:i/>
        </w:rPr>
        <w:fldChar w:fldCharType="begin"/>
      </w:r>
      <w:r w:rsidRPr="00E649AE">
        <w:rPr>
          <w:i/>
        </w:rPr>
        <w:instrText xml:space="preserve"> TC"(</w:instrText>
      </w:r>
      <w:bookmarkStart w:id="1" w:name="DocNumber"/>
      <w:r w:rsidRPr="00E649AE">
        <w:rPr>
          <w:i/>
        </w:rPr>
        <w:instrText>A9-0026/2024</w:instrText>
      </w:r>
      <w:bookmarkEnd w:id="1"/>
      <w:r w:rsidRPr="00E649AE">
        <w:rPr>
          <w:i/>
        </w:rPr>
        <w:instrText xml:space="preserve"> - Ordfører: Othmar Karas)"\l3 \n&gt; \* MERGEFORMAT </w:instrText>
      </w:r>
      <w:r w:rsidRPr="00E649AE">
        <w:rPr>
          <w:i/>
        </w:rPr>
        <w:fldChar w:fldCharType="end"/>
      </w:r>
    </w:p>
    <w:p w14:paraId="09D97FE0" w14:textId="77777777" w:rsidR="00EA60B7" w:rsidRPr="00E649AE" w:rsidRDefault="00EA60B7" w:rsidP="00EA60B7">
      <w:pPr>
        <w:rPr>
          <w:vanish/>
        </w:rPr>
      </w:pPr>
      <w:bookmarkStart w:id="2" w:name="Commission"/>
      <w:r w:rsidRPr="00E649AE">
        <w:rPr>
          <w:vanish/>
        </w:rPr>
        <w:t>Økonomi- og Valutaudvalget</w:t>
      </w:r>
      <w:bookmarkEnd w:id="2"/>
    </w:p>
    <w:p w14:paraId="780B7ABB" w14:textId="77777777" w:rsidR="00EA60B7" w:rsidRPr="00E649AE" w:rsidRDefault="00EA60B7" w:rsidP="00EA60B7">
      <w:pPr>
        <w:rPr>
          <w:vanish/>
        </w:rPr>
      </w:pPr>
      <w:bookmarkStart w:id="3" w:name="PE"/>
      <w:r w:rsidRPr="00E649AE">
        <w:rPr>
          <w:vanish/>
        </w:rPr>
        <w:t>PE757.366</w:t>
      </w:r>
      <w:bookmarkEnd w:id="3"/>
    </w:p>
    <w:p w14:paraId="6B704746" w14:textId="1A14449E" w:rsidR="00EA60B7" w:rsidRPr="00E649AE" w:rsidRDefault="00EA60B7" w:rsidP="00EA60B7">
      <w:pPr>
        <w:pStyle w:val="ATHeading3"/>
      </w:pPr>
      <w:bookmarkStart w:id="4" w:name="Sujet"/>
      <w:r w:rsidRPr="00E649AE">
        <w:t xml:space="preserve">Europa-Parlamentets lovgivningsmæssige beslutning af </w:t>
      </w:r>
      <w:r w:rsidR="00A07C5D">
        <w:t>12</w:t>
      </w:r>
      <w:r w:rsidRPr="00E649AE">
        <w:t>.</w:t>
      </w:r>
      <w:r w:rsidR="00CD5A6E">
        <w:t xml:space="preserve"> marts</w:t>
      </w:r>
      <w:r w:rsidRPr="00E649AE">
        <w:t xml:space="preserve"> 2024 om forslag til Europa-Parlamentets og Rådets forordning om ændring af forordning (EU) nr. 1092/2010, (EU) nr. 1093/2010, (EU) nr. 1094/2010, (EU) nr. 1095/2010 og (EU) 2021/523 for så vidt angår visse rapporteringskrav inden for finansielle tjenesteydelser og investeringsstøtte</w:t>
      </w:r>
      <w:bookmarkEnd w:id="4"/>
      <w:r w:rsidRPr="00E649AE">
        <w:t xml:space="preserve"> </w:t>
      </w:r>
      <w:bookmarkStart w:id="5" w:name="References"/>
      <w:r w:rsidRPr="00E649AE">
        <w:t>(</w:t>
      </w:r>
      <w:proofErr w:type="gramStart"/>
      <w:r w:rsidRPr="00E649AE">
        <w:t>COM(</w:t>
      </w:r>
      <w:proofErr w:type="gramEnd"/>
      <w:r w:rsidRPr="00E649AE">
        <w:t>2023)0593 – C9-0383/2023 – 2023/0363(COD))</w:t>
      </w:r>
      <w:bookmarkEnd w:id="5"/>
    </w:p>
    <w:p w14:paraId="275B45C6" w14:textId="77777777" w:rsidR="005C2C74" w:rsidRPr="00E649AE" w:rsidRDefault="005C2C74" w:rsidP="005C2C74">
      <w:pPr>
        <w:pStyle w:val="NormalBold"/>
      </w:pPr>
      <w:bookmarkStart w:id="6" w:name="TextBodyBegin"/>
      <w:bookmarkEnd w:id="6"/>
      <w:r w:rsidRPr="00E649AE">
        <w:t>(Almindelig lovgivningsprocedure: førstebehandling)</w:t>
      </w:r>
    </w:p>
    <w:p w14:paraId="7390824F" w14:textId="77777777" w:rsidR="005C2C74" w:rsidRPr="00E649AE" w:rsidRDefault="005C2C74" w:rsidP="005C2C74">
      <w:pPr>
        <w:pStyle w:val="EPComma"/>
      </w:pPr>
      <w:r w:rsidRPr="00E649AE">
        <w:rPr>
          <w:i/>
        </w:rPr>
        <w:t>Europa-Parlamentet</w:t>
      </w:r>
      <w:r w:rsidRPr="00E649AE">
        <w:t>,</w:t>
      </w:r>
    </w:p>
    <w:p w14:paraId="09E4188C" w14:textId="77777777" w:rsidR="005C2C74" w:rsidRPr="00E649AE" w:rsidRDefault="005C2C74" w:rsidP="005C2C74">
      <w:pPr>
        <w:pStyle w:val="NormalHanging12a"/>
      </w:pPr>
      <w:r w:rsidRPr="00E649AE">
        <w:t>–</w:t>
      </w:r>
      <w:r w:rsidRPr="00E649AE">
        <w:tab/>
        <w:t>der henviser til Kommissionens forslag til Europa-Parlamentet og Rådet (</w:t>
      </w:r>
      <w:proofErr w:type="gramStart"/>
      <w:r w:rsidRPr="00E649AE">
        <w:t>COM(</w:t>
      </w:r>
      <w:proofErr w:type="gramEnd"/>
      <w:r w:rsidRPr="00E649AE">
        <w:t>2023)0593),</w:t>
      </w:r>
    </w:p>
    <w:p w14:paraId="0E8E727A" w14:textId="77777777" w:rsidR="005C2C74" w:rsidRPr="00E649AE" w:rsidRDefault="005C2C74" w:rsidP="005C2C74">
      <w:pPr>
        <w:pStyle w:val="NormalHanging12a"/>
      </w:pPr>
      <w:r w:rsidRPr="00E649AE">
        <w:t>–</w:t>
      </w:r>
      <w:r w:rsidRPr="00E649AE">
        <w:tab/>
        <w:t>der henviser til artikel 294, stk. 2, artikel 114, artikel 173 og artikel 175, stk. 3, i traktaten om Den Europæiske Unions funktionsmåde, på grundlag af hvilket Kommissionen har forelagt forslaget (C9</w:t>
      </w:r>
      <w:r w:rsidRPr="00E649AE">
        <w:noBreakHyphen/>
        <w:t>0383/2023),</w:t>
      </w:r>
    </w:p>
    <w:p w14:paraId="09CA6DF8" w14:textId="77777777" w:rsidR="005C2C74" w:rsidRPr="00E649AE" w:rsidRDefault="005C2C74" w:rsidP="005C2C74">
      <w:pPr>
        <w:pStyle w:val="NormalHanging12a"/>
      </w:pPr>
      <w:r w:rsidRPr="00E649AE">
        <w:t>–</w:t>
      </w:r>
      <w:r w:rsidRPr="00E649AE">
        <w:tab/>
        <w:t>der henviser til artikel 294, stk. 3, i traktaten om Den Europæiske Unions funktionsmåde,</w:t>
      </w:r>
    </w:p>
    <w:p w14:paraId="56152C21" w14:textId="2A0CDF63" w:rsidR="005C2C74" w:rsidRPr="00E649AE" w:rsidRDefault="005C2C74" w:rsidP="005C2C74">
      <w:pPr>
        <w:pStyle w:val="NormalHanging12a"/>
        <w:rPr>
          <w:szCs w:val="24"/>
        </w:rPr>
      </w:pPr>
      <w:r w:rsidRPr="00E649AE">
        <w:t>–</w:t>
      </w:r>
      <w:r w:rsidRPr="00E649AE">
        <w:tab/>
        <w:t xml:space="preserve">der henviser til udtalelse af </w:t>
      </w:r>
      <w:r w:rsidR="009B029F">
        <w:t xml:space="preserve">14. februar 2024 </w:t>
      </w:r>
      <w:r w:rsidRPr="00E649AE">
        <w:t>fra Det Europæiske Økonomiske og Sociale Udvalg</w:t>
      </w:r>
      <w:r w:rsidR="00C876B8">
        <w:rPr>
          <w:rStyle w:val="FootnoteReference"/>
        </w:rPr>
        <w:footnoteReference w:id="1"/>
      </w:r>
      <w:r w:rsidRPr="00E649AE">
        <w:t>,</w:t>
      </w:r>
    </w:p>
    <w:p w14:paraId="054ABEB1" w14:textId="70FC0B96" w:rsidR="005C2C74" w:rsidRPr="00E649AE" w:rsidRDefault="005C2C74" w:rsidP="005C2C74">
      <w:pPr>
        <w:pStyle w:val="NormalHanging12a"/>
      </w:pPr>
      <w:r w:rsidRPr="00E649AE">
        <w:t>–</w:t>
      </w:r>
      <w:r w:rsidRPr="00E649AE">
        <w:tab/>
      </w:r>
      <w:r w:rsidR="00A07C5D">
        <w:t>efter høring</w:t>
      </w:r>
      <w:r w:rsidRPr="00E649AE">
        <w:t xml:space="preserve"> af Regionsudvalget,</w:t>
      </w:r>
    </w:p>
    <w:p w14:paraId="1F823178" w14:textId="77777777" w:rsidR="005C2C74" w:rsidRPr="00E649AE" w:rsidRDefault="005C2C74" w:rsidP="005C2C74">
      <w:pPr>
        <w:pStyle w:val="NormalHanging12a"/>
      </w:pPr>
      <w:r w:rsidRPr="00E649AE">
        <w:t>–</w:t>
      </w:r>
      <w:r w:rsidRPr="00E649AE">
        <w:tab/>
        <w:t>der henviser til forretningsordenens artikel 59,</w:t>
      </w:r>
    </w:p>
    <w:p w14:paraId="60B07FAA" w14:textId="77777777" w:rsidR="005C2C74" w:rsidRPr="00E649AE" w:rsidRDefault="005C2C74" w:rsidP="005C2C74">
      <w:pPr>
        <w:pStyle w:val="NormalHanging12a"/>
      </w:pPr>
      <w:r w:rsidRPr="00E649AE">
        <w:t>–</w:t>
      </w:r>
      <w:r w:rsidRPr="00E649AE">
        <w:tab/>
        <w:t>der henviser til betænkning fra Økonomi- og Valutaudvalget (A9-0026/2024),</w:t>
      </w:r>
    </w:p>
    <w:p w14:paraId="6E1E8A00" w14:textId="77777777" w:rsidR="005C2C74" w:rsidRPr="00E649AE" w:rsidRDefault="005C2C74" w:rsidP="005C2C74">
      <w:pPr>
        <w:pStyle w:val="NormalHanging12a"/>
      </w:pPr>
      <w:r w:rsidRPr="00E649AE">
        <w:t>1.</w:t>
      </w:r>
      <w:r w:rsidRPr="00E649AE">
        <w:tab/>
        <w:t>vedtager nedenstående holdning ved førstebehandling;</w:t>
      </w:r>
    </w:p>
    <w:p w14:paraId="24A11BC3" w14:textId="77777777" w:rsidR="005C2C74" w:rsidRPr="00E649AE" w:rsidRDefault="005C2C74" w:rsidP="005C2C74">
      <w:pPr>
        <w:pStyle w:val="NormalHanging12a"/>
      </w:pPr>
      <w:r w:rsidRPr="00E649AE">
        <w:t>2.</w:t>
      </w:r>
      <w:r w:rsidRPr="00E649AE">
        <w:tab/>
        <w:t xml:space="preserve">anmoder om fornyet forelæggelse, hvis Kommissionen erstatter, i væsentlig grad ændrer </w:t>
      </w:r>
      <w:r w:rsidRPr="00E649AE">
        <w:lastRenderedPageBreak/>
        <w:t>eller agter i væsentlig grad at ændre sit forslag;</w:t>
      </w:r>
    </w:p>
    <w:p w14:paraId="53B2C1C2" w14:textId="77777777" w:rsidR="005C2C74" w:rsidRPr="00E649AE" w:rsidRDefault="005C2C74" w:rsidP="005C2C74">
      <w:pPr>
        <w:pStyle w:val="NormalHanging12a"/>
      </w:pPr>
      <w:r w:rsidRPr="00E649AE">
        <w:t>3.</w:t>
      </w:r>
      <w:r w:rsidRPr="00E649AE">
        <w:tab/>
        <w:t>pålægger sin formand at sende Europa-Parlamentets holdning til Rådet og Kommissionen samt til de nationale parlamenter.</w:t>
      </w:r>
    </w:p>
    <w:p w14:paraId="4879051C" w14:textId="77777777" w:rsidR="00184C18" w:rsidRDefault="00184C18" w:rsidP="005C2C74">
      <w:pPr>
        <w:pStyle w:val="NormalHanging12a"/>
        <w:sectPr w:rsidR="00184C18" w:rsidSect="00E649A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D12764D" w14:textId="69C33444" w:rsidR="00184C18" w:rsidRPr="00EF7590" w:rsidRDefault="00184C18" w:rsidP="00690D38">
      <w:pPr>
        <w:pStyle w:val="ATHeading3"/>
      </w:pPr>
      <w:proofErr w:type="spellStart"/>
      <w:r w:rsidRPr="00EF7590">
        <w:lastRenderedPageBreak/>
        <w:t>P9_TC1</w:t>
      </w:r>
      <w:proofErr w:type="spellEnd"/>
      <w:r w:rsidRPr="00EF7590">
        <w:t>-</w:t>
      </w:r>
      <w:proofErr w:type="gramStart"/>
      <w:r w:rsidRPr="00EF7590">
        <w:t>COD(</w:t>
      </w:r>
      <w:proofErr w:type="gramEnd"/>
      <w:r w:rsidRPr="00EF7590">
        <w:t>202</w:t>
      </w:r>
      <w:r>
        <w:t>3)0363</w:t>
      </w:r>
    </w:p>
    <w:p w14:paraId="685134D9" w14:textId="407AD719" w:rsidR="00184C18" w:rsidRPr="00EF7590" w:rsidRDefault="00184C18" w:rsidP="00690D38">
      <w:pPr>
        <w:pStyle w:val="Typedudocument"/>
        <w:spacing w:before="240" w:after="240"/>
        <w:jc w:val="left"/>
        <w:rPr>
          <w:noProof/>
        </w:rPr>
      </w:pPr>
      <w:r w:rsidRPr="00EF7590">
        <w:t xml:space="preserve">Europa-Parlamentets holdning fastlagt ved førstebehandlingen den </w:t>
      </w:r>
      <w:r w:rsidR="008D533B">
        <w:t>12.</w:t>
      </w:r>
      <w:r w:rsidRPr="00EF7590">
        <w:t xml:space="preserve"> </w:t>
      </w:r>
      <w:r w:rsidR="008D533B">
        <w:t xml:space="preserve">marts 2024 </w:t>
      </w:r>
      <w:r w:rsidRPr="00EF7590">
        <w:t xml:space="preserve">med henblik på vedtagelse af Europa-Parlamentets og Rådets </w:t>
      </w:r>
      <w:r>
        <w:t xml:space="preserve">forordning </w:t>
      </w:r>
      <w:r w:rsidRPr="00EF7590">
        <w:t xml:space="preserve">(EU) </w:t>
      </w:r>
      <w:r w:rsidRPr="00EF7590">
        <w:rPr>
          <w:rFonts w:eastAsia="Calibri"/>
        </w:rPr>
        <w:t xml:space="preserve">2024/... om </w:t>
      </w:r>
      <w:r w:rsidR="008D533B" w:rsidRPr="00E649AE">
        <w:t>ændring af forordning (EU) nr. 1092/2010, (EU) nr. 1093/2010, (EU) nr. 1094/2010, (EU) nr. 1095/2010 og (EU) 2021/523 for så vidt angår visse rapporteringskrav inden for finansielle tjenesteydelser og investeringsstøtte</w:t>
      </w:r>
      <w:r w:rsidR="00520D7E">
        <w:rPr>
          <w:rStyle w:val="FootnoteReference"/>
        </w:rPr>
        <w:footnoteReference w:customMarkFollows="1" w:id="2"/>
        <w:t>*</w:t>
      </w:r>
    </w:p>
    <w:p w14:paraId="038DC25F" w14:textId="77777777" w:rsidR="005C2C74" w:rsidRPr="00E649AE" w:rsidRDefault="005C2C74" w:rsidP="005C2C74">
      <w:pPr>
        <w:widowControl/>
        <w:spacing w:before="360" w:after="240"/>
        <w:jc w:val="center"/>
        <w:rPr>
          <w:rFonts w:eastAsia="Calibri"/>
          <w:szCs w:val="22"/>
        </w:rPr>
      </w:pPr>
      <w:r w:rsidRPr="00E649AE">
        <w:t>(EØS-relevant tekst)</w:t>
      </w:r>
    </w:p>
    <w:p w14:paraId="7066662A" w14:textId="77777777" w:rsidR="005C2C74" w:rsidRPr="00E649AE" w:rsidRDefault="005C2C74" w:rsidP="00902D9C">
      <w:pPr>
        <w:keepNext/>
        <w:widowControl/>
        <w:spacing w:before="600" w:after="120"/>
        <w:rPr>
          <w:rFonts w:eastAsia="Calibri"/>
          <w:szCs w:val="22"/>
        </w:rPr>
      </w:pPr>
      <w:r w:rsidRPr="00E649AE">
        <w:t>EUROPA-PARLAMENTET OG RÅDET FOR DEN EUROPÆISKE UNION HAR —</w:t>
      </w:r>
    </w:p>
    <w:p w14:paraId="236A472E" w14:textId="77777777" w:rsidR="005C2C74" w:rsidRPr="00E649AE" w:rsidRDefault="005C2C74" w:rsidP="00902D9C">
      <w:pPr>
        <w:widowControl/>
        <w:spacing w:before="120" w:after="120"/>
        <w:rPr>
          <w:rFonts w:eastAsia="Calibri"/>
          <w:szCs w:val="22"/>
        </w:rPr>
      </w:pPr>
      <w:r w:rsidRPr="00E649AE">
        <w:t xml:space="preserve">under henvisning til traktaten om Den Europæiske Unions funktionsmåde, særlig artikel 114, artikel 173 og artikel 175, tredje afsnit, </w:t>
      </w:r>
    </w:p>
    <w:p w14:paraId="3F39752B" w14:textId="77777777" w:rsidR="005C2C74" w:rsidRPr="00E649AE" w:rsidRDefault="005C2C74" w:rsidP="00902D9C">
      <w:pPr>
        <w:widowControl/>
        <w:spacing w:before="120" w:after="120"/>
        <w:rPr>
          <w:rFonts w:eastAsia="Calibri"/>
          <w:szCs w:val="22"/>
        </w:rPr>
      </w:pPr>
      <w:r w:rsidRPr="00E649AE">
        <w:t xml:space="preserve">under henvisning til forslag fra Europa-Kommissionen, </w:t>
      </w:r>
    </w:p>
    <w:p w14:paraId="1A50DB13" w14:textId="77777777" w:rsidR="005C2C74" w:rsidRPr="00E649AE" w:rsidRDefault="005C2C74" w:rsidP="00902D9C">
      <w:pPr>
        <w:widowControl/>
        <w:spacing w:before="120" w:after="120"/>
        <w:rPr>
          <w:rFonts w:eastAsia="Calibri"/>
          <w:szCs w:val="22"/>
        </w:rPr>
      </w:pPr>
      <w:r w:rsidRPr="00E649AE">
        <w:t xml:space="preserve">efter fremsendelse af udkast til lovgivningsmæssig retsakt til de nationale parlamenter, </w:t>
      </w:r>
    </w:p>
    <w:p w14:paraId="2AF12352" w14:textId="77777777" w:rsidR="005C2C74" w:rsidRPr="00E649AE" w:rsidRDefault="005C2C74" w:rsidP="00902D9C">
      <w:pPr>
        <w:widowControl/>
        <w:spacing w:before="120" w:after="120"/>
        <w:rPr>
          <w:rFonts w:eastAsia="Calibri"/>
          <w:szCs w:val="22"/>
        </w:rPr>
      </w:pPr>
      <w:r w:rsidRPr="00E649AE">
        <w:t>under henvisning til udtalelse fra Det Europæiske Økonomiske og Sociale Udvalg</w:t>
      </w:r>
      <w:r w:rsidRPr="00E649AE">
        <w:rPr>
          <w:rFonts w:eastAsia="Calibri"/>
          <w:szCs w:val="22"/>
          <w:vertAlign w:val="superscript"/>
          <w:lang w:eastAsia="en-US"/>
        </w:rPr>
        <w:footnoteReference w:id="3"/>
      </w:r>
      <w:r w:rsidRPr="00E649AE">
        <w:t xml:space="preserve">, </w:t>
      </w:r>
    </w:p>
    <w:p w14:paraId="7FE4DC33" w14:textId="77777777" w:rsidR="005C2C74" w:rsidRPr="00E649AE" w:rsidRDefault="005C2C74" w:rsidP="00902D9C">
      <w:pPr>
        <w:widowControl/>
        <w:spacing w:before="120" w:after="120"/>
        <w:rPr>
          <w:rFonts w:eastAsia="Calibri"/>
          <w:szCs w:val="22"/>
        </w:rPr>
      </w:pPr>
      <w:r w:rsidRPr="00E649AE">
        <w:t>under henvisning til udtalelse fra Regionsudvalget</w:t>
      </w:r>
      <w:r w:rsidRPr="00E649AE">
        <w:rPr>
          <w:rFonts w:eastAsia="Calibri"/>
          <w:szCs w:val="22"/>
          <w:vertAlign w:val="superscript"/>
          <w:lang w:eastAsia="en-US"/>
        </w:rPr>
        <w:footnoteReference w:id="4"/>
      </w:r>
      <w:r w:rsidRPr="00E649AE">
        <w:t xml:space="preserve">, </w:t>
      </w:r>
    </w:p>
    <w:p w14:paraId="09E08173" w14:textId="77777777" w:rsidR="005C2C74" w:rsidRPr="00E649AE" w:rsidRDefault="005C2C74" w:rsidP="00902D9C">
      <w:pPr>
        <w:widowControl/>
        <w:spacing w:before="120" w:after="120"/>
        <w:rPr>
          <w:rFonts w:eastAsia="Calibri"/>
          <w:szCs w:val="22"/>
        </w:rPr>
      </w:pPr>
      <w:r w:rsidRPr="00E649AE">
        <w:t xml:space="preserve">efter den almindelige lovgivningsprocedure, og </w:t>
      </w:r>
    </w:p>
    <w:p w14:paraId="04D2C211" w14:textId="77777777" w:rsidR="005C2C74" w:rsidRPr="00E649AE" w:rsidRDefault="005C2C74" w:rsidP="00902D9C">
      <w:pPr>
        <w:widowControl/>
        <w:spacing w:before="120" w:after="120"/>
        <w:rPr>
          <w:rFonts w:eastAsia="Calibri"/>
          <w:szCs w:val="22"/>
        </w:rPr>
      </w:pPr>
      <w:r w:rsidRPr="00E649AE">
        <w:t>ud fra følgende betragtninger:</w:t>
      </w:r>
    </w:p>
    <w:p w14:paraId="246BBCE0" w14:textId="77777777" w:rsidR="005C2C74" w:rsidRPr="00E649AE" w:rsidRDefault="005C2C74" w:rsidP="00902D9C">
      <w:pPr>
        <w:pStyle w:val="ManualConsidrant"/>
        <w:jc w:val="left"/>
      </w:pPr>
      <w:r w:rsidRPr="00E649AE">
        <w:t>(1)</w:t>
      </w:r>
      <w:r w:rsidRPr="00E649AE">
        <w:tab/>
      </w:r>
      <w:r w:rsidRPr="00E649AE">
        <w:rPr>
          <w:b/>
          <w:i/>
        </w:rPr>
        <w:t>Rapporterings- og oplysningskrav</w:t>
      </w:r>
      <w:r w:rsidRPr="00E649AE">
        <w:t xml:space="preserve"> spiller en central rolle med hensyn til at sikre både en grundig overvågning og en korrekt håndhævelse af lovgivningen. Det er imidlertid vigtigt at strømline disse krav for at sikre, at de opfylder deres tilsigtede formål, ▌ for at begrænse den administrative byrde</w:t>
      </w:r>
      <w:r w:rsidRPr="00E649AE">
        <w:rPr>
          <w:b/>
          <w:i/>
        </w:rPr>
        <w:t xml:space="preserve"> og for at undgå unødig overlapning, ikke mindst for regulerings- og tilsynsmyndighederne i mindre finansielle jurisdiktioner</w:t>
      </w:r>
      <w:r w:rsidRPr="00E649AE">
        <w:t>.</w:t>
      </w:r>
      <w:r w:rsidRPr="00E649AE">
        <w:rPr>
          <w:b/>
        </w:rPr>
        <w:t xml:space="preserve"> </w:t>
      </w:r>
      <w:r w:rsidRPr="00E649AE">
        <w:rPr>
          <w:b/>
          <w:i/>
        </w:rPr>
        <w:t xml:space="preserve">Rapporterings- og oplysningskrav kan også pålægge enheder, navnlig små og mellemstore virksomheder og </w:t>
      </w:r>
      <w:proofErr w:type="spellStart"/>
      <w:r w:rsidRPr="00E649AE">
        <w:rPr>
          <w:b/>
          <w:i/>
        </w:rPr>
        <w:t>mikrovirksomheder</w:t>
      </w:r>
      <w:proofErr w:type="spellEnd"/>
      <w:r w:rsidRPr="00E649AE">
        <w:rPr>
          <w:b/>
          <w:i/>
        </w:rPr>
        <w:t>, uforholdsmæssigt store byrder.</w:t>
      </w:r>
    </w:p>
    <w:p w14:paraId="5439A7C7" w14:textId="77777777" w:rsidR="005C2C74" w:rsidRPr="00E649AE" w:rsidRDefault="005C2C74" w:rsidP="00902D9C">
      <w:pPr>
        <w:pStyle w:val="ManualConsidrant"/>
        <w:jc w:val="left"/>
      </w:pPr>
      <w:r w:rsidRPr="00E649AE">
        <w:t>(2)</w:t>
      </w:r>
      <w:r w:rsidRPr="00E649AE">
        <w:tab/>
        <w:t xml:space="preserve">Det er derfor en prioritet at strømline rapporteringsforpligtelserne og reducere den administrative byrde, </w:t>
      </w:r>
      <w:r w:rsidRPr="00E649AE">
        <w:rPr>
          <w:b/>
          <w:i/>
        </w:rPr>
        <w:t>uden at underminere de politiske målsætninger,</w:t>
      </w:r>
      <w:r w:rsidRPr="00E649AE">
        <w:t xml:space="preserve"> bl.a. med hensyn til rapporteringskravene i den finansielle sektor og med hensyn til rapporteringshyppigheden i forbindelse med </w:t>
      </w:r>
      <w:proofErr w:type="spellStart"/>
      <w:r w:rsidRPr="00E649AE">
        <w:t>InvestEU</w:t>
      </w:r>
      <w:proofErr w:type="spellEnd"/>
      <w:r w:rsidRPr="00E649AE">
        <w:t>-programmet, der er oprettet ved Europa-Parlamentets og Rådets forordning (EU) 2021/523</w:t>
      </w:r>
      <w:r w:rsidRPr="00E649AE">
        <w:rPr>
          <w:rStyle w:val="FootnoteReference"/>
        </w:rPr>
        <w:footnoteReference w:id="5"/>
      </w:r>
      <w:r w:rsidRPr="00E649AE">
        <w:t>.</w:t>
      </w:r>
    </w:p>
    <w:p w14:paraId="42E6654B" w14:textId="4B3AA6DB" w:rsidR="005C2C74" w:rsidRPr="00E649AE" w:rsidRDefault="005C2C74" w:rsidP="00902D9C">
      <w:pPr>
        <w:pStyle w:val="ManualConsidrant"/>
        <w:jc w:val="left"/>
      </w:pPr>
      <w:r w:rsidRPr="00E649AE">
        <w:lastRenderedPageBreak/>
        <w:t>(3)</w:t>
      </w:r>
      <w:r w:rsidRPr="00E649AE">
        <w:tab/>
        <w:t>Europa-Parlamentets og Rådets forordning (EU) nr. 1092/2010</w:t>
      </w:r>
      <w:r w:rsidRPr="00E649AE">
        <w:rPr>
          <w:rStyle w:val="FootnoteReference"/>
        </w:rPr>
        <w:footnoteReference w:id="6"/>
      </w:r>
      <w:r w:rsidRPr="00E649AE">
        <w:t>, (EU) nr. 1093/2010</w:t>
      </w:r>
      <w:r w:rsidRPr="00E649AE">
        <w:rPr>
          <w:rStyle w:val="FootnoteReference"/>
        </w:rPr>
        <w:footnoteReference w:id="7"/>
      </w:r>
      <w:r w:rsidRPr="00E649AE">
        <w:t>, (EU) nr. 1094/2010</w:t>
      </w:r>
      <w:r w:rsidRPr="00E649AE">
        <w:rPr>
          <w:rStyle w:val="FootnoteReference"/>
        </w:rPr>
        <w:footnoteReference w:id="8"/>
      </w:r>
      <w:r w:rsidRPr="00E649AE">
        <w:t>, (EU) nr. 1095/2010</w:t>
      </w:r>
      <w:r w:rsidRPr="00E649AE">
        <w:rPr>
          <w:rStyle w:val="FootnoteReference"/>
        </w:rPr>
        <w:footnoteReference w:id="9"/>
      </w:r>
      <w:r w:rsidRPr="00E649AE">
        <w:t xml:space="preserve">, </w:t>
      </w:r>
      <w:r w:rsidRPr="00E649AE">
        <w:rPr>
          <w:b/>
          <w:i/>
        </w:rPr>
        <w:t>(EU) nr. 806/2014</w:t>
      </w:r>
      <w:r w:rsidR="00C876B8">
        <w:rPr>
          <w:rStyle w:val="FootnoteReference"/>
          <w:b/>
          <w:i/>
        </w:rPr>
        <w:footnoteReference w:id="10"/>
      </w:r>
      <w:r w:rsidRPr="00E649AE">
        <w:rPr>
          <w:b/>
          <w:i/>
        </w:rPr>
        <w:t xml:space="preserve"> og forordning (EU) …/…</w:t>
      </w:r>
      <w:r w:rsidR="006567A0">
        <w:rPr>
          <w:rStyle w:val="FootnoteReference"/>
          <w:b/>
          <w:i/>
        </w:rPr>
        <w:footnoteReference w:customMarkFollows="1" w:id="11"/>
        <w:t>+</w:t>
      </w:r>
      <w:r w:rsidRPr="00E649AE">
        <w:rPr>
          <w:b/>
          <w:i/>
        </w:rPr>
        <w:t>, Rådets forordning (EU) nr. 1024/2013</w:t>
      </w:r>
      <w:r w:rsidR="00C876B8">
        <w:rPr>
          <w:rStyle w:val="FootnoteReference"/>
          <w:b/>
          <w:i/>
        </w:rPr>
        <w:footnoteReference w:id="12"/>
      </w:r>
      <w:r w:rsidRPr="00E649AE">
        <w:t xml:space="preserve">, og forordning (EU) 2021/523 indeholder en række </w:t>
      </w:r>
      <w:r w:rsidRPr="00E649AE">
        <w:rPr>
          <w:b/>
          <w:i/>
        </w:rPr>
        <w:t>rapporterings- og oplysningskrav</w:t>
      </w:r>
      <w:r w:rsidRPr="00E649AE">
        <w:t xml:space="preserve">, som bør forenkles </w:t>
      </w:r>
      <w:r w:rsidRPr="00E649AE">
        <w:rPr>
          <w:b/>
          <w:i/>
        </w:rPr>
        <w:t>som led i en kvalitativ snarere end kvantitativ manøvre</w:t>
      </w:r>
      <w:r w:rsidRPr="00E649AE">
        <w:t xml:space="preserve"> i overensstemmelse med Kommissionens meddelelse "EU's konkurrenceevne på lang sigt efter 2030"</w:t>
      </w:r>
      <w:r w:rsidRPr="00E649AE">
        <w:rPr>
          <w:rStyle w:val="FootnoteReference"/>
        </w:rPr>
        <w:footnoteReference w:id="13"/>
      </w:r>
    </w:p>
    <w:p w14:paraId="1BC8CC95" w14:textId="77777777" w:rsidR="005C2C74" w:rsidRPr="00E649AE" w:rsidRDefault="005C2C74" w:rsidP="00902D9C">
      <w:pPr>
        <w:pStyle w:val="ManualConsidrant"/>
        <w:jc w:val="left"/>
      </w:pPr>
      <w:r w:rsidRPr="00E649AE">
        <w:rPr>
          <w:b/>
          <w:i/>
        </w:rPr>
        <w:t>(3a)</w:t>
      </w:r>
      <w:r w:rsidRPr="00E649AE">
        <w:rPr>
          <w:b/>
          <w:i/>
        </w:rPr>
        <w:tab/>
        <w:t>Hensigten med denne manøvre er ikke at underminere nogen af EU's politiske resultater, og den anerkender navnlig den voksende efterspørgsel efter data, der er nødvendige for at opfylde målene i de lovgivningsmæssige retsakter, som vedrører dagsordenen for bæredygtig finansiering. Med tiden kan konsekvens og standardisering på tværs af retlige rammer og jurisdiktioner dog gøre kravene lettere at arbejde med uden at berøre det egentlige indhold i rapporteringsstandarderne.</w:t>
      </w:r>
    </w:p>
    <w:p w14:paraId="015D3DE9" w14:textId="77777777" w:rsidR="005C2C74" w:rsidRPr="00E649AE" w:rsidRDefault="005C2C74" w:rsidP="00902D9C">
      <w:pPr>
        <w:pStyle w:val="ManualConsidrant"/>
        <w:jc w:val="left"/>
        <w:rPr>
          <w:b/>
          <w:i/>
        </w:rPr>
      </w:pPr>
      <w:r w:rsidRPr="00E649AE">
        <w:rPr>
          <w:b/>
          <w:i/>
        </w:rPr>
        <w:t>(3b)</w:t>
      </w:r>
      <w:r w:rsidRPr="00E649AE">
        <w:rPr>
          <w:b/>
          <w:i/>
        </w:rPr>
        <w:tab/>
        <w:t xml:space="preserve">Dataforskelle mellem medlemsstaterne bør også analyseres på en kvalitativ måde. Navnlig har nogle af Unionens lovgivningsmæssige retsakter på grund af deres retsgrundlag til formål at sikre en delvis harmonisering eller en minimumsharmonisering. Desuden er visse rapporteringsstandarder frivillige eller følger en tilvalgsordning. Medlemsstaterne kan også udvikle bedste praksis eller </w:t>
      </w:r>
      <w:r w:rsidRPr="00E649AE">
        <w:rPr>
          <w:b/>
          <w:i/>
        </w:rPr>
        <w:lastRenderedPageBreak/>
        <w:t>være frontløbere med hensyn til rapporteringskrav, når blot de opfylder kravene i Unionens lovgivningsmæssige retsakter.</w:t>
      </w:r>
    </w:p>
    <w:p w14:paraId="711CB596" w14:textId="77777777" w:rsidR="005C2C74" w:rsidRPr="00E649AE" w:rsidRDefault="005C2C74" w:rsidP="00902D9C">
      <w:pPr>
        <w:pStyle w:val="ManualConsidrant"/>
        <w:jc w:val="left"/>
        <w:rPr>
          <w:b/>
          <w:i/>
        </w:rPr>
      </w:pPr>
      <w:r w:rsidRPr="00E649AE">
        <w:t>(4)</w:t>
      </w:r>
      <w:r w:rsidRPr="00E649AE">
        <w:tab/>
        <w:t>Finansielle institutioner og andre enheder, der er aktive på de finansielle markeder, skal rapportere en mængde forskellige oplysninger for at gøre det muligt for EU-myndigheder og nationale myndigheder, der fører tilsyn med det finansielle system, at overvåge risici, sikre finansiel stabilitet og markedsintegritet og beskytte investorer og forbrugere af finansielle tjenesteydelser i Unionen. De europæiske tilsynsmyndigheder</w:t>
      </w:r>
      <w:r w:rsidRPr="00E649AE">
        <w:rPr>
          <w:b/>
          <w:i/>
        </w:rPr>
        <w:t xml:space="preserve"> og den europæiske myndighed for bekæmpelse af hvidvask af penge</w:t>
      </w:r>
      <w:r w:rsidRPr="00E649AE">
        <w:t xml:space="preserve"> bør regelmæssigt gennemgå </w:t>
      </w:r>
      <w:r w:rsidRPr="00E649AE">
        <w:rPr>
          <w:b/>
          <w:i/>
        </w:rPr>
        <w:t>rapporterings- og oplysningskravene</w:t>
      </w:r>
      <w:r w:rsidRPr="00E649AE">
        <w:t xml:space="preserve"> og, hvor det er relevant, foreslå at strømline og fjerne overflødige</w:t>
      </w:r>
      <w:r w:rsidRPr="00E649AE">
        <w:rPr>
          <w:b/>
          <w:i/>
        </w:rPr>
        <w:t>,</w:t>
      </w:r>
      <w:r w:rsidRPr="00E649AE">
        <w:t xml:space="preserve"> ▌ forældede </w:t>
      </w:r>
      <w:r w:rsidRPr="00E649AE">
        <w:rPr>
          <w:b/>
          <w:i/>
        </w:rPr>
        <w:t>eller uforholdsmæssige</w:t>
      </w:r>
      <w:r w:rsidRPr="00E649AE">
        <w:t xml:space="preserve"> krav</w:t>
      </w:r>
      <w:r w:rsidRPr="00E649AE">
        <w:rPr>
          <w:b/>
          <w:i/>
        </w:rPr>
        <w:t xml:space="preserve"> i de relevante reguleringsmæssige og gennemførelsesmæssige tekniske standarder</w:t>
      </w:r>
      <w:r w:rsidRPr="00E649AE">
        <w:t xml:space="preserve">. </w:t>
      </w:r>
      <w:r w:rsidRPr="00E649AE">
        <w:rPr>
          <w:b/>
          <w:i/>
        </w:rPr>
        <w:t>De europæiske tilsynsmyndigheder</w:t>
      </w:r>
      <w:r w:rsidRPr="00E649AE">
        <w:t xml:space="preserve"> bør koordinere dette arbejde gennem Det Fælles Udvalg af Europæiske Tilsynsmyndigheder. </w:t>
      </w:r>
      <w:r w:rsidRPr="00E649AE">
        <w:rPr>
          <w:b/>
          <w:i/>
        </w:rPr>
        <w:t>Desuden bør der også gennemføres peerevalueringer af kompetente myndigheder for at forbedre effektiviteten og graden af konvergens mellem disse krav. Både opgaverne under den fælles tilsynskultur og peerevalueringerne bør udføres på et permanent grundlag, hvortil der bør afsættes flere menneskelige og materielle ressourcer efter behov.</w:t>
      </w:r>
    </w:p>
    <w:p w14:paraId="756F2032" w14:textId="77777777" w:rsidR="005C2C74" w:rsidRPr="00E649AE" w:rsidRDefault="005C2C74" w:rsidP="00902D9C">
      <w:pPr>
        <w:pStyle w:val="ManualConsidrant"/>
        <w:jc w:val="left"/>
        <w:rPr>
          <w:b/>
          <w:i/>
        </w:rPr>
      </w:pPr>
      <w:r w:rsidRPr="00E649AE">
        <w:rPr>
          <w:b/>
          <w:i/>
        </w:rPr>
        <w:t>(4a)</w:t>
      </w:r>
      <w:r w:rsidRPr="00E649AE">
        <w:rPr>
          <w:b/>
          <w:i/>
        </w:rPr>
        <w:tab/>
        <w:t xml:space="preserve">En stor del af de overflødige, forældede eller uforholdsmæssige rapporterings- og oplysningskrav skyldes vertikale uoverensstemmelser mellem medlemsstaternes krav og EU-kravene ("overregulering"), horisontale uoverensstemmelser på tværs af sektorspecifik og tværsektoriel lovgivning samt manglende proportionalitet i selve kravene. De europæiske tilsynsmyndigheder og den europæiske myndighed for bekæmpelse af hvidvask af penge bør derfor ikke kun gennemgå reguleringsmæssige og gennemførelsesmæssige tekniske standarder, men bør også afgive udtalelser om igangværende almindelige lovgivningsprocedurer og lovgivningsmæssige retsakter, der allerede er i kraft. </w:t>
      </w:r>
    </w:p>
    <w:p w14:paraId="43330856" w14:textId="77777777" w:rsidR="005C2C74" w:rsidRPr="00E649AE" w:rsidRDefault="005C2C74" w:rsidP="00902D9C">
      <w:pPr>
        <w:pStyle w:val="ManualConsidrant"/>
        <w:jc w:val="left"/>
        <w:rPr>
          <w:b/>
          <w:i/>
        </w:rPr>
      </w:pPr>
      <w:r w:rsidRPr="00E649AE">
        <w:rPr>
          <w:b/>
          <w:i/>
        </w:rPr>
        <w:t>(4b)</w:t>
      </w:r>
      <w:r w:rsidRPr="00E649AE">
        <w:rPr>
          <w:b/>
          <w:i/>
        </w:rPr>
        <w:tab/>
        <w:t xml:space="preserve">Ved at lette delingen og videreanvendelsen af de oplysninger, der indsamles af myndighederne med ansvar for tilsyn i den finansielle sektor, samtidig med at databeskyttelsen, tavshedspligten og den intellektuelle ejendomsret sikres, bør byrden for de rapporterende enheder og myndighederne mindskes ved at undgå overlappende anmodninger, på linje med Kommissionens strategi for tilsynsdata i EU's finansielle tjenesteydelser. Delingen af oplysninger bør også bidrage til bedre koordinering af tilsynsaktiviteter og tilsynsmæssig konvergens. </w:t>
      </w:r>
    </w:p>
    <w:p w14:paraId="17D3B3EB" w14:textId="77777777" w:rsidR="005C2C74" w:rsidRPr="00E649AE" w:rsidRDefault="005C2C74" w:rsidP="00902D9C">
      <w:pPr>
        <w:pStyle w:val="ManualConsidrant"/>
        <w:jc w:val="left"/>
        <w:rPr>
          <w:b/>
          <w:i/>
        </w:rPr>
      </w:pPr>
      <w:r w:rsidRPr="00E649AE">
        <w:rPr>
          <w:b/>
          <w:i/>
        </w:rPr>
        <w:t>(4c)</w:t>
      </w:r>
      <w:r w:rsidRPr="00E649AE">
        <w:rPr>
          <w:b/>
          <w:i/>
        </w:rPr>
        <w:tab/>
        <w:t xml:space="preserve">For at fremme udvekslingen af oplysninger på tværs af hele den finansielle sektor bør alle myndigheder med ansvar for tilsyn i den finansielle sektor, herunder </w:t>
      </w:r>
      <w:proofErr w:type="spellStart"/>
      <w:r w:rsidRPr="00E649AE">
        <w:rPr>
          <w:b/>
          <w:i/>
        </w:rPr>
        <w:t>ESRB</w:t>
      </w:r>
      <w:proofErr w:type="spellEnd"/>
      <w:r w:rsidRPr="00E649AE">
        <w:rPr>
          <w:b/>
          <w:i/>
        </w:rPr>
        <w:t xml:space="preserve">, </w:t>
      </w:r>
      <w:proofErr w:type="spellStart"/>
      <w:r w:rsidRPr="00E649AE">
        <w:rPr>
          <w:b/>
          <w:i/>
        </w:rPr>
        <w:t>ESA'erne</w:t>
      </w:r>
      <w:proofErr w:type="spellEnd"/>
      <w:r w:rsidRPr="00E649AE">
        <w:rPr>
          <w:b/>
          <w:i/>
        </w:rPr>
        <w:t xml:space="preserve">, </w:t>
      </w:r>
      <w:proofErr w:type="spellStart"/>
      <w:r w:rsidRPr="00E649AE">
        <w:rPr>
          <w:b/>
          <w:i/>
        </w:rPr>
        <w:t>AMLA</w:t>
      </w:r>
      <w:proofErr w:type="spellEnd"/>
      <w:r w:rsidRPr="00E649AE">
        <w:rPr>
          <w:b/>
          <w:i/>
        </w:rPr>
        <w:t xml:space="preserve">, </w:t>
      </w:r>
      <w:proofErr w:type="spellStart"/>
      <w:r w:rsidRPr="00E649AE">
        <w:rPr>
          <w:b/>
          <w:i/>
        </w:rPr>
        <w:t>FTM</w:t>
      </w:r>
      <w:proofErr w:type="spellEnd"/>
      <w:r w:rsidRPr="00E649AE">
        <w:rPr>
          <w:b/>
          <w:i/>
        </w:rPr>
        <w:t xml:space="preserve"> og SRB samt alle de respektive kompetente tilsyns- og afviklingsmyndigheder i medlemsstaterne, være omfattet af denne ændringsforordning. </w:t>
      </w:r>
    </w:p>
    <w:p w14:paraId="2FAA0EB2" w14:textId="77777777" w:rsidR="005C2C74" w:rsidRPr="00E649AE" w:rsidRDefault="005C2C74" w:rsidP="00902D9C">
      <w:pPr>
        <w:pStyle w:val="ManualConsidrant"/>
        <w:jc w:val="left"/>
      </w:pPr>
      <w:r w:rsidRPr="00E649AE">
        <w:t>(5)</w:t>
      </w:r>
      <w:r w:rsidRPr="00E649AE">
        <w:tab/>
        <w:t xml:space="preserve">Med henblik herpå bør </w:t>
      </w:r>
      <w:r w:rsidRPr="00E649AE">
        <w:rPr>
          <w:b/>
          <w:i/>
        </w:rPr>
        <w:t>princippet om "rapportér én gang" håndhæves mere konsekvent i Unionen. Alle</w:t>
      </w:r>
      <w:r w:rsidRPr="00E649AE">
        <w:t xml:space="preserve"> myndigheder</w:t>
      </w:r>
      <w:r w:rsidRPr="00E649AE">
        <w:rPr>
          <w:b/>
          <w:i/>
        </w:rPr>
        <w:t xml:space="preserve"> med ansvar for tilsyn i den finansielle sektor bør kun anmode om</w:t>
      </w:r>
      <w:r w:rsidRPr="00E649AE">
        <w:t xml:space="preserve"> oplysninger fra finansielle institutioner eller andre rapporterende enheder</w:t>
      </w:r>
      <w:r w:rsidRPr="00E649AE">
        <w:rPr>
          <w:b/>
          <w:i/>
        </w:rPr>
        <w:t>, hvis de ikke allerede har rapporteret disse oplysninger til andre myndigheder. Hvis der allerede er blevet rapporteret oplysninger til en myndighed, bør andre myndigheder</w:t>
      </w:r>
      <w:r w:rsidRPr="00E649AE">
        <w:t xml:space="preserve"> kunne </w:t>
      </w:r>
      <w:r w:rsidRPr="00E649AE">
        <w:rPr>
          <w:b/>
          <w:i/>
        </w:rPr>
        <w:t>anmode om disse oplysninger direkte fra denne myndighed</w:t>
      </w:r>
      <w:r w:rsidRPr="00E649AE">
        <w:t xml:space="preserve"> i modsætning til ▌at </w:t>
      </w:r>
      <w:r w:rsidRPr="00E649AE">
        <w:rPr>
          <w:b/>
          <w:i/>
        </w:rPr>
        <w:t>indsamle de samme oplysninger igen, hvorved der sættes en stopper for såkaldt dobbeltrapportering</w:t>
      </w:r>
      <w:r w:rsidRPr="00E649AE">
        <w:t xml:space="preserve">. Med samme målsætning om at forbedre effektiviteten i forbindelse med indsamlingen, behandlingen og anvendelsen af oplysninger bør de myndigheder, der forbedrer </w:t>
      </w:r>
      <w:r w:rsidRPr="00E649AE">
        <w:lastRenderedPageBreak/>
        <w:t xml:space="preserve">oplysninger ved at rense eller berige dem, også kunne dele sådanne forbedrede oplysninger. </w:t>
      </w:r>
    </w:p>
    <w:p w14:paraId="2A0291B7" w14:textId="77777777" w:rsidR="005C2C74" w:rsidRPr="00E649AE" w:rsidRDefault="005C2C74" w:rsidP="00902D9C">
      <w:pPr>
        <w:pStyle w:val="ManualConsidrant"/>
        <w:jc w:val="left"/>
        <w:rPr>
          <w:b/>
          <w:i/>
        </w:rPr>
      </w:pPr>
      <w:r w:rsidRPr="00E649AE">
        <w:rPr>
          <w:b/>
          <w:i/>
        </w:rPr>
        <w:t>(5a)</w:t>
      </w:r>
      <w:r w:rsidRPr="00E649AE">
        <w:rPr>
          <w:b/>
          <w:i/>
        </w:rPr>
        <w:tab/>
        <w:t xml:space="preserve">Visse datapunkter, som de finansielle institutioner har brug for fra virksomhederne for at opfylde deres rapporteringsforpligtelser, er stadig ikke afspejlet i Unionens rapporteringsramme og bør tilføjes. Ud over nødvendigheden af at gøre noget ved overflødige, overlappende eller forældede rapporteringskrav bør der således også ses på lovgivningsmæssige huller. Det gør det endnu vigtigere at sikre konsekvens mellem finansielle og ikkefinansielle rapporteringskrav. </w:t>
      </w:r>
    </w:p>
    <w:p w14:paraId="3F9CE529" w14:textId="77777777" w:rsidR="005C2C74" w:rsidRPr="00E649AE" w:rsidRDefault="005C2C74" w:rsidP="00902D9C">
      <w:pPr>
        <w:pStyle w:val="ManualConsidrant"/>
        <w:jc w:val="left"/>
        <w:rPr>
          <w:b/>
          <w:i/>
        </w:rPr>
      </w:pPr>
      <w:r w:rsidRPr="00E649AE">
        <w:rPr>
          <w:b/>
          <w:i/>
        </w:rPr>
        <w:t>(5b)</w:t>
      </w:r>
      <w:r w:rsidRPr="00E649AE">
        <w:rPr>
          <w:b/>
          <w:i/>
        </w:rPr>
        <w:tab/>
        <w:t>Hvor det er relevant, bør de finansielle institutioner kunne anvende en sekventiel tilgang, hvilket betyder, at de bør kunne henvise til oplysninger, der allerede er offentliggjort af virksomheder i deres værdikæde.</w:t>
      </w:r>
    </w:p>
    <w:p w14:paraId="01101AE8" w14:textId="77777777" w:rsidR="005C2C74" w:rsidRPr="00E649AE" w:rsidRDefault="005C2C74" w:rsidP="00902D9C">
      <w:pPr>
        <w:pStyle w:val="ManualConsidrant"/>
        <w:jc w:val="left"/>
      </w:pPr>
      <w:r w:rsidRPr="00E649AE">
        <w:rPr>
          <w:b/>
          <w:i/>
        </w:rPr>
        <w:t>(5c)</w:t>
      </w:r>
      <w:r w:rsidRPr="00E649AE">
        <w:rPr>
          <w:b/>
          <w:i/>
        </w:rPr>
        <w:tab/>
        <w:t xml:space="preserve">For at lette opdagelsen, overvågningen, forebyggelsen og afbødningen af systemiske risici for den finansielle stabilitet bør ESRB som standard have adgang til relevante oplysninger fra </w:t>
      </w:r>
      <w:proofErr w:type="spellStart"/>
      <w:r w:rsidRPr="00E649AE">
        <w:rPr>
          <w:b/>
          <w:i/>
        </w:rPr>
        <w:t>ESA'erne</w:t>
      </w:r>
      <w:proofErr w:type="spellEnd"/>
      <w:r w:rsidRPr="00E649AE">
        <w:rPr>
          <w:b/>
          <w:i/>
        </w:rPr>
        <w:t xml:space="preserve"> og </w:t>
      </w:r>
      <w:proofErr w:type="spellStart"/>
      <w:r w:rsidRPr="00E649AE">
        <w:rPr>
          <w:b/>
          <w:i/>
        </w:rPr>
        <w:t>ECB</w:t>
      </w:r>
      <w:proofErr w:type="spellEnd"/>
      <w:r w:rsidRPr="00E649AE">
        <w:rPr>
          <w:b/>
          <w:i/>
        </w:rPr>
        <w:t xml:space="preserve">. På den måde kan systematiske risici bedre opdages på forhånd, og ikke først efterfølgende, på grund af strengere procedurer for anmodning og deling. </w:t>
      </w:r>
    </w:p>
    <w:p w14:paraId="61E4F4EB" w14:textId="77777777" w:rsidR="005C2C74" w:rsidRPr="00E649AE" w:rsidRDefault="005C2C74" w:rsidP="00902D9C">
      <w:pPr>
        <w:pStyle w:val="ManualConsidrant"/>
        <w:jc w:val="left"/>
      </w:pPr>
      <w:r w:rsidRPr="00E649AE">
        <w:t>(6)</w:t>
      </w:r>
      <w:r w:rsidRPr="00E649AE">
        <w:tab/>
        <w:t>En sådan deling af oplysninger bør supplere de eksisterende muligheder for udveksling af oplysninger, der er fastsat i EU-retten, og bør under ingen omstændigheder begrænse disse eksisterende muligheder.</w:t>
      </w:r>
    </w:p>
    <w:p w14:paraId="2794D5E2" w14:textId="77777777" w:rsidR="005C2C74" w:rsidRPr="00E649AE" w:rsidRDefault="005C2C74" w:rsidP="00902D9C">
      <w:pPr>
        <w:pStyle w:val="ManualConsidrant"/>
        <w:jc w:val="left"/>
        <w:rPr>
          <w:b/>
          <w:i/>
        </w:rPr>
      </w:pPr>
      <w:r w:rsidRPr="00E649AE">
        <w:rPr>
          <w:b/>
          <w:i/>
        </w:rPr>
        <w:t>(6a)</w:t>
      </w:r>
      <w:r w:rsidRPr="00E649AE">
        <w:rPr>
          <w:b/>
          <w:i/>
        </w:rPr>
        <w:tab/>
        <w:t xml:space="preserve">De europæiske tilsynsmyndigheder bør vurdere de politiske muligheder for yderligere at integrere rapporteringsprocesserne ud fra et procedure- og indholdsmæssigt synspunkt. De europæiske tilsynsmyndigheder bør behørigt vurdere mulighederne ved en større brug af digital teknologi, når det gælder om at fremme effektive og virkningsfulde formater, der omfatter målinger, metoder og parametre, som vil fremme konkurrenceevnen inden for den finansielle sektor. </w:t>
      </w:r>
    </w:p>
    <w:p w14:paraId="13DDFD5F" w14:textId="77777777" w:rsidR="005C2C74" w:rsidRPr="00E649AE" w:rsidRDefault="005C2C74" w:rsidP="00902D9C">
      <w:pPr>
        <w:pStyle w:val="ManualConsidrant"/>
        <w:jc w:val="left"/>
        <w:rPr>
          <w:b/>
          <w:i/>
        </w:rPr>
      </w:pPr>
      <w:r w:rsidRPr="00E649AE">
        <w:rPr>
          <w:b/>
          <w:i/>
        </w:rPr>
        <w:t>(6b)</w:t>
      </w:r>
      <w:r w:rsidRPr="00E649AE">
        <w:rPr>
          <w:b/>
          <w:i/>
        </w:rPr>
        <w:tab/>
        <w:t xml:space="preserve">Med dette i mente har Kommissionen og </w:t>
      </w:r>
      <w:proofErr w:type="spellStart"/>
      <w:r w:rsidRPr="00E649AE">
        <w:rPr>
          <w:b/>
          <w:i/>
        </w:rPr>
        <w:t>ESA'erne</w:t>
      </w:r>
      <w:proofErr w:type="spellEnd"/>
      <w:r w:rsidRPr="00E649AE">
        <w:rPr>
          <w:b/>
          <w:i/>
        </w:rPr>
        <w:t xml:space="preserve"> i løbet af de seneste par år gjort betydelige fremskridt med hensyn til at undersøge mulighederne for at etablere integrerede rapporteringssystemer. Sådanne innovative rapporteringssystemer er nødvendige for at høste fordelene ved øget datadeling mellem de myndigheder, der er ansvarlige for tilsynet i den finansielle sektor. Derfor bør alle myndigheder med ansvar for tilsyn i den finansielle sektor i Unionen oprette et fælles integreret indberetningssystem. Dette system bør omfatte en fælles dataordbog, der sikrer ensartethed og klarhed i rapporteringskravene og datastandardisering, et fælles register over anmodede og indhentede data, et centralt dataområde for effektiv dateindsamling og -udveksling samt et permanent fælles kontaktpunkt, hvor enheder kan angive dobbelte, forældede eller overflødige rapporterings- og oplysningskrav. </w:t>
      </w:r>
    </w:p>
    <w:p w14:paraId="464DD6D1" w14:textId="77777777" w:rsidR="005C2C74" w:rsidRPr="00E649AE" w:rsidRDefault="005C2C74" w:rsidP="00902D9C">
      <w:pPr>
        <w:pStyle w:val="ManualConsidrant"/>
        <w:jc w:val="left"/>
      </w:pPr>
      <w:r w:rsidRPr="00E649AE">
        <w:rPr>
          <w:b/>
          <w:i/>
        </w:rPr>
        <w:t>(6c)</w:t>
      </w:r>
      <w:r w:rsidRPr="00E649AE">
        <w:rPr>
          <w:b/>
          <w:i/>
        </w:rPr>
        <w:tab/>
        <w:t xml:space="preserve">Juridiske hindringer i sektorspecifikke regler gør det til tider umuligt for myndighederne at udveksle relevante oplysninger. Derfor bør disse myndigheder rapportere disse juridiske hindringer til Kommissionen, og Kommissionen bør, hvor dette er hensigtsmæssigt, foreslå at fjerne disse hindringer, samtidig med at intellektuelle ejendomsrettigheder, tavshedspligten og databeskyttelsen respekteres. </w:t>
      </w:r>
    </w:p>
    <w:p w14:paraId="3336D755" w14:textId="77777777" w:rsidR="005C2C74" w:rsidRPr="00E649AE" w:rsidRDefault="005C2C74" w:rsidP="00902D9C">
      <w:pPr>
        <w:pStyle w:val="ManualConsidrant"/>
        <w:jc w:val="left"/>
      </w:pPr>
      <w:r w:rsidRPr="00E649AE">
        <w:t>(7)</w:t>
      </w:r>
      <w:r w:rsidRPr="00E649AE">
        <w:tab/>
        <w:t xml:space="preserve">Kommissionen har brug for nøjagtige og omfattende oplysninger for at kunne udvikle politikker, evaluere gældende lovgivning og vurdere virkningen af potentielle lovgivningsmæssige og ikkelovgivningsmæssige initiativer, bl.a. under forhandlinger om lovgivningsforslag. Myndighedernes deling med Kommissionen af oplysninger, som finansielle institutioner eller andre enheder har rapporteret til disse myndigheder i </w:t>
      </w:r>
      <w:r w:rsidRPr="00E649AE">
        <w:lastRenderedPageBreak/>
        <w:t>henhold til deres forpligtelser i overensstemmelse med EU-retten, bør bidrage til at skabe et evidensbaseret grundlag for udformningen og evalueringen af EU-politikker. Med henblik herpå bør sådanne oplysninger være i en form, der ikke gør det muligt at identificere individuelle enheder, og som ikke indeholder personoplysninger. Myndighederne kan også drage fordel af anonymiserede data og bør derfor også udveksle sådanne oplysninger indbyrdes, hvis det er nødvendigt for udførelsen af deres opgaver.</w:t>
      </w:r>
    </w:p>
    <w:p w14:paraId="59EFB5B0" w14:textId="77777777" w:rsidR="005C2C74" w:rsidRPr="00E649AE" w:rsidRDefault="005C2C74" w:rsidP="00902D9C">
      <w:pPr>
        <w:pStyle w:val="ManualConsidrant"/>
        <w:jc w:val="left"/>
        <w:rPr>
          <w:rFonts w:eastAsia="Calibri"/>
          <w:szCs w:val="24"/>
        </w:rPr>
      </w:pPr>
      <w:r w:rsidRPr="00E649AE">
        <w:t>(8)</w:t>
      </w:r>
      <w:r w:rsidRPr="00E649AE">
        <w:tab/>
        <w:t xml:space="preserve">Innovationscyklusserne i den finansielle sektor bliver hurtigere, mere åbne og i stigende grad samarbejdsbaserede. Med henblik herpå bør myndighederne kunne udveksle oplysninger med finansielle institutioner, forskere og andre enheder med henblik på forskning og innovation, der ligger ud over det oprindelige formål, som oplysningerne blev indsamlet til. Delingen af sådanne oplysninger, som er i myndighedernes besiddelse, bør øge nytteværdien ved at gøre flere oplysninger tilgængelige for forskning i den finansielle sektor og skabe flere muligheder for at afprøve produkter og forretningsmodeller samt øge samarbejdet mellem forskellige deltagere på det finansielle marked, herunder </w:t>
      </w:r>
      <w:proofErr w:type="spellStart"/>
      <w:r w:rsidRPr="00E649AE">
        <w:t>fintechvirksomheder</w:t>
      </w:r>
      <w:proofErr w:type="spellEnd"/>
      <w:r w:rsidRPr="00E649AE">
        <w:t xml:space="preserve">, </w:t>
      </w:r>
      <w:proofErr w:type="spellStart"/>
      <w:r w:rsidRPr="00E649AE">
        <w:t>startupvirksomheder</w:t>
      </w:r>
      <w:proofErr w:type="spellEnd"/>
      <w:r w:rsidRPr="00E649AE">
        <w:t xml:space="preserve"> og etablerede finansielle institutioner. Videreanvendelsen af data, der deles af den kompetente myndighed, er omfattet af den generelle ramme for videreanvendelse af data som fastsat i kapitel II i Europa-Parlamentets og Rådets forordning (EU) 2022/868</w:t>
      </w:r>
      <w:r w:rsidRPr="00E649AE">
        <w:rPr>
          <w:rStyle w:val="FootnoteReference"/>
        </w:rPr>
        <w:footnoteReference w:id="14"/>
      </w:r>
      <w:r w:rsidRPr="00E649AE">
        <w:t>. I betragtning af den følsomme karakter af de data, som myndighederne i den finansielle sektor modtager med henblik på tilsyn, bør der imidlertid indføres særlige obligatoriske betingelser for videreanvendelse af disse data, herunder anonymisering af personoplysninger og andre data end personoplysninger, således at det ikke er muligt at identificere individuelle finansielle institutioner, samt beskyttelse af fortrolige oplysninger.</w:t>
      </w:r>
      <w:r w:rsidRPr="00E649AE">
        <w:rPr>
          <w:b/>
          <w:i/>
        </w:rPr>
        <w:t xml:space="preserve"> Det følger heraf, at alle procedurer og trin i forbindelse med indsamling, standardisering, anonymisering, lagring og deling af data stadig på løbende basis vil være underlagt de seneste </w:t>
      </w:r>
      <w:proofErr w:type="spellStart"/>
      <w:r w:rsidRPr="00E649AE">
        <w:rPr>
          <w:b/>
          <w:i/>
        </w:rPr>
        <w:t>cybersikkerhedsforanstaltninger</w:t>
      </w:r>
      <w:proofErr w:type="spellEnd"/>
      <w:r w:rsidRPr="00E649AE">
        <w:rPr>
          <w:b/>
          <w:i/>
        </w:rPr>
        <w:t xml:space="preserve"> i EU-lovgivningen.</w:t>
      </w:r>
    </w:p>
    <w:p w14:paraId="5C1A0AA9" w14:textId="77777777" w:rsidR="005C2C74" w:rsidRPr="00E649AE" w:rsidRDefault="005C2C74" w:rsidP="00902D9C">
      <w:pPr>
        <w:pStyle w:val="ManualConsidrant"/>
        <w:jc w:val="left"/>
      </w:pPr>
      <w:r w:rsidRPr="00E649AE">
        <w:t>(9)</w:t>
      </w:r>
      <w:r w:rsidRPr="00E649AE">
        <w:tab/>
        <w:t xml:space="preserve">Ændring af hyppigheden af gennemførelsespartnernes rapportering om </w:t>
      </w:r>
      <w:proofErr w:type="spellStart"/>
      <w:r w:rsidRPr="00E649AE">
        <w:t>InvestEU</w:t>
      </w:r>
      <w:proofErr w:type="spellEnd"/>
      <w:r w:rsidRPr="00E649AE">
        <w:t xml:space="preserve">-programmet fra halvårlig til årlig forventes at mindske arbejdsbyrden for gennemførelsespartnerne, de finansielle formidlere, </w:t>
      </w:r>
      <w:proofErr w:type="spellStart"/>
      <w:r w:rsidRPr="00E649AE">
        <w:t>SMV'er</w:t>
      </w:r>
      <w:proofErr w:type="spellEnd"/>
      <w:r w:rsidRPr="00E649AE">
        <w:t xml:space="preserve"> og andre virksomheder uden at ændre nogen af de væsentlige elementer i forordning (EU) 2021/523. </w:t>
      </w:r>
    </w:p>
    <w:p w14:paraId="6E17DA8C" w14:textId="77777777" w:rsidR="005C2C74" w:rsidRPr="00E649AE" w:rsidRDefault="005C2C74" w:rsidP="00902D9C">
      <w:pPr>
        <w:pStyle w:val="ManualConsidrant"/>
        <w:jc w:val="left"/>
      </w:pPr>
      <w:r w:rsidRPr="00E649AE">
        <w:t>(10)</w:t>
      </w:r>
      <w:r w:rsidRPr="00E649AE">
        <w:tab/>
        <w:t>Forordning (EU) nr. 1092/2010, (EU) nr. 1093/2010, (EU) nr. 1094/2010, (EU) nr. 1095/2010 og (EU) 2021/523 bør derfor ændres —</w:t>
      </w:r>
    </w:p>
    <w:p w14:paraId="24280EF1" w14:textId="77777777" w:rsidR="005C2C74" w:rsidRPr="00E649AE" w:rsidRDefault="005C2C74" w:rsidP="005C2C74">
      <w:pPr>
        <w:widowControl/>
        <w:spacing w:before="120" w:after="120"/>
        <w:ind w:left="709" w:hanging="709"/>
        <w:jc w:val="both"/>
        <w:rPr>
          <w:rFonts w:eastAsia="Calibri"/>
          <w:szCs w:val="22"/>
          <w:lang w:eastAsia="en-US"/>
        </w:rPr>
      </w:pPr>
    </w:p>
    <w:p w14:paraId="2FD2048D" w14:textId="77777777" w:rsidR="005C2C74" w:rsidRPr="00E649AE" w:rsidRDefault="005C2C74" w:rsidP="005C2C74">
      <w:pPr>
        <w:keepNext/>
        <w:widowControl/>
        <w:spacing w:before="120" w:after="120"/>
        <w:jc w:val="both"/>
        <w:rPr>
          <w:rFonts w:eastAsia="Calibri"/>
          <w:szCs w:val="22"/>
        </w:rPr>
      </w:pPr>
      <w:r w:rsidRPr="00E649AE">
        <w:t>VEDTAGET DENNE FORORDNING:</w:t>
      </w:r>
    </w:p>
    <w:p w14:paraId="27055643" w14:textId="77777777" w:rsidR="005C2C74" w:rsidRPr="00E649AE" w:rsidRDefault="005C2C74" w:rsidP="005C2C74">
      <w:pPr>
        <w:keepNext/>
        <w:widowControl/>
        <w:spacing w:before="360" w:after="120"/>
        <w:jc w:val="center"/>
        <w:rPr>
          <w:rFonts w:eastAsia="Calibri"/>
          <w:i/>
          <w:szCs w:val="22"/>
        </w:rPr>
      </w:pPr>
      <w:r w:rsidRPr="00E649AE">
        <w:rPr>
          <w:i/>
        </w:rPr>
        <w:t>Artikel 1</w:t>
      </w:r>
    </w:p>
    <w:p w14:paraId="12CB154B" w14:textId="77777777" w:rsidR="005C2C74" w:rsidRPr="00E649AE" w:rsidRDefault="005C2C74" w:rsidP="005C2C74">
      <w:pPr>
        <w:widowControl/>
        <w:spacing w:before="120" w:after="120"/>
        <w:jc w:val="center"/>
        <w:rPr>
          <w:rFonts w:eastAsia="Calibri"/>
          <w:szCs w:val="22"/>
        </w:rPr>
      </w:pPr>
      <w:r w:rsidRPr="00E649AE">
        <w:rPr>
          <w:b/>
        </w:rPr>
        <w:t>Ændring af forordning (EU) nr. 1092/2010</w:t>
      </w:r>
    </w:p>
    <w:p w14:paraId="13FCA6A1" w14:textId="77777777" w:rsidR="005C2C74" w:rsidRPr="00E649AE" w:rsidRDefault="005C2C74" w:rsidP="00902D9C">
      <w:pPr>
        <w:widowControl/>
        <w:spacing w:before="120" w:after="120"/>
        <w:rPr>
          <w:rFonts w:eastAsia="Calibri"/>
          <w:szCs w:val="22"/>
        </w:rPr>
      </w:pPr>
      <w:r w:rsidRPr="00E649AE">
        <w:t>I forordning (EU) nr. 1092/2010 foretages følgende ændringer:</w:t>
      </w:r>
    </w:p>
    <w:p w14:paraId="5E9133CC" w14:textId="77777777" w:rsidR="005C2C74" w:rsidRPr="00E649AE" w:rsidRDefault="005C2C74" w:rsidP="00902D9C">
      <w:pPr>
        <w:widowControl/>
        <w:spacing w:before="120" w:after="120"/>
        <w:ind w:left="850" w:hanging="850"/>
        <w:rPr>
          <w:rFonts w:eastAsia="Calibri"/>
          <w:szCs w:val="22"/>
        </w:rPr>
      </w:pPr>
      <w:r w:rsidRPr="00E649AE">
        <w:t>1.</w:t>
      </w:r>
      <w:r w:rsidRPr="00E649AE">
        <w:tab/>
        <w:t>Artikel 8, stk. 3, affattes således: </w:t>
      </w:r>
    </w:p>
    <w:p w14:paraId="037CF3A0" w14:textId="77777777" w:rsidR="005C2C74" w:rsidRPr="00E649AE" w:rsidRDefault="005C2C74" w:rsidP="00902D9C">
      <w:pPr>
        <w:widowControl/>
        <w:spacing w:before="120" w:after="120"/>
        <w:ind w:left="1418" w:hanging="567"/>
        <w:rPr>
          <w:rFonts w:eastAsia="Calibri"/>
          <w:szCs w:val="22"/>
        </w:rPr>
      </w:pPr>
      <w:r w:rsidRPr="00E649AE">
        <w:lastRenderedPageBreak/>
        <w:t xml:space="preserve">"3. </w:t>
      </w:r>
      <w:r w:rsidRPr="00E649AE">
        <w:tab/>
        <w:t>Fortrolige oplysninger, som de i stk. 1 nævnte personer modtager i forbindelse med udøvelsen af deres hverv, videregives ikke til nogen anden person eller myndighed, undtagen i summarisk eller sammenfattet form, således at individuelle finansielle institutioner ikke kan identificeres, jf. dog artikel 15 og 16 og anvendelsen af straffelovgivningen."</w:t>
      </w:r>
    </w:p>
    <w:p w14:paraId="6B9B04C8" w14:textId="77777777" w:rsidR="005C2C74" w:rsidRPr="00E649AE" w:rsidRDefault="005C2C74" w:rsidP="00902D9C">
      <w:pPr>
        <w:widowControl/>
        <w:spacing w:before="120" w:after="120"/>
        <w:ind w:left="850" w:hanging="850"/>
        <w:rPr>
          <w:rFonts w:eastAsia="Calibri"/>
          <w:b/>
          <w:i/>
          <w:szCs w:val="22"/>
        </w:rPr>
      </w:pPr>
      <w:r w:rsidRPr="00E649AE">
        <w:rPr>
          <w:b/>
          <w:i/>
        </w:rPr>
        <w:t>1a.</w:t>
      </w:r>
      <w:r w:rsidRPr="00E649AE">
        <w:rPr>
          <w:b/>
          <w:i/>
        </w:rPr>
        <w:tab/>
        <w:t>Artikel 15, stk. 1-7, affattes således:</w:t>
      </w:r>
    </w:p>
    <w:p w14:paraId="03FCAAF5" w14:textId="77777777" w:rsidR="00403DB0" w:rsidRDefault="008876E6" w:rsidP="00902D9C">
      <w:pPr>
        <w:widowControl/>
        <w:spacing w:before="120" w:after="120"/>
        <w:ind w:left="1418" w:hanging="567"/>
        <w:rPr>
          <w:b/>
          <w:i/>
        </w:rPr>
      </w:pPr>
      <w:r w:rsidRPr="00E649AE">
        <w:rPr>
          <w:b/>
          <w:i/>
        </w:rPr>
        <w:t>"</w:t>
      </w:r>
      <w:r w:rsidR="005C2C74" w:rsidRPr="00E649AE">
        <w:rPr>
          <w:b/>
          <w:i/>
        </w:rPr>
        <w:t xml:space="preserve">1. </w:t>
      </w:r>
      <w:r w:rsidR="005C2C74" w:rsidRPr="00E649AE">
        <w:rPr>
          <w:b/>
          <w:i/>
        </w:rPr>
        <w:tab/>
      </w:r>
      <w:proofErr w:type="spellStart"/>
      <w:r w:rsidR="005C2C74" w:rsidRPr="00E649AE">
        <w:rPr>
          <w:b/>
          <w:i/>
        </w:rPr>
        <w:t>ESA'erne</w:t>
      </w:r>
      <w:proofErr w:type="spellEnd"/>
      <w:r w:rsidR="005C2C74" w:rsidRPr="00E649AE">
        <w:rPr>
          <w:b/>
          <w:i/>
        </w:rPr>
        <w:t>, Det Europæiske System af Centralbanker (ESCB), Kommissionen, de nationale tilsynsmyndigheder og nationale statistikmyndigheder arbejder tæt sammen med ESRB ved at udveksle de oplysninger og analyser, der er nødvendige for, at de kan udføre deres opgaver.</w:t>
      </w:r>
    </w:p>
    <w:p w14:paraId="35136DAF" w14:textId="0F37346D" w:rsidR="005C2C74" w:rsidRPr="00E649AE" w:rsidRDefault="005C2C74" w:rsidP="00902D9C">
      <w:pPr>
        <w:widowControl/>
        <w:spacing w:before="120" w:after="120"/>
        <w:ind w:left="1418" w:hanging="567"/>
        <w:rPr>
          <w:rFonts w:eastAsia="Calibri"/>
          <w:b/>
          <w:i/>
          <w:szCs w:val="22"/>
        </w:rPr>
      </w:pPr>
      <w:r w:rsidRPr="00E649AE">
        <w:rPr>
          <w:rFonts w:ascii="k" w:hAnsi="k"/>
          <w:b/>
          <w:i/>
        </w:rPr>
        <w:t xml:space="preserve">2. </w:t>
      </w:r>
      <w:r w:rsidR="00403DB0">
        <w:rPr>
          <w:rFonts w:ascii="k" w:hAnsi="k"/>
          <w:b/>
          <w:i/>
        </w:rPr>
        <w:tab/>
      </w:r>
      <w:proofErr w:type="spellStart"/>
      <w:r w:rsidRPr="00E649AE">
        <w:rPr>
          <w:b/>
          <w:i/>
        </w:rPr>
        <w:t>ESRB</w:t>
      </w:r>
      <w:proofErr w:type="spellEnd"/>
      <w:r w:rsidRPr="00E649AE">
        <w:rPr>
          <w:b/>
          <w:i/>
        </w:rPr>
        <w:t xml:space="preserve">, </w:t>
      </w:r>
      <w:proofErr w:type="spellStart"/>
      <w:r w:rsidRPr="00E649AE">
        <w:rPr>
          <w:b/>
          <w:i/>
        </w:rPr>
        <w:t>ESA'erne</w:t>
      </w:r>
      <w:proofErr w:type="spellEnd"/>
      <w:r w:rsidRPr="00E649AE">
        <w:rPr>
          <w:b/>
          <w:i/>
        </w:rPr>
        <w:t xml:space="preserve"> og </w:t>
      </w:r>
      <w:proofErr w:type="spellStart"/>
      <w:r w:rsidRPr="00E649AE">
        <w:rPr>
          <w:b/>
          <w:i/>
        </w:rPr>
        <w:t>ECB</w:t>
      </w:r>
      <w:proofErr w:type="spellEnd"/>
      <w:r w:rsidRPr="00E649AE">
        <w:rPr>
          <w:b/>
          <w:i/>
        </w:rPr>
        <w:t xml:space="preserve"> koordinerer deres indsats for at opdage, overvåge, forebygge og afbøde systemiske risici for den finansielle stabilitet. Uanset andre bestemmelser om udveksling af tilsynsmæssige og statistiske oplysninger i denne artikel og i andre EU-retsakter deler </w:t>
      </w:r>
      <w:proofErr w:type="spellStart"/>
      <w:r w:rsidRPr="00E649AE">
        <w:rPr>
          <w:b/>
          <w:i/>
        </w:rPr>
        <w:t>ESA'erne</w:t>
      </w:r>
      <w:proofErr w:type="spellEnd"/>
      <w:r w:rsidRPr="00E649AE">
        <w:rPr>
          <w:b/>
          <w:i/>
        </w:rPr>
        <w:t xml:space="preserve"> og </w:t>
      </w:r>
      <w:proofErr w:type="spellStart"/>
      <w:r w:rsidRPr="00E649AE">
        <w:rPr>
          <w:b/>
          <w:i/>
        </w:rPr>
        <w:t>ECB</w:t>
      </w:r>
      <w:proofErr w:type="spellEnd"/>
      <w:r w:rsidRPr="00E649AE">
        <w:rPr>
          <w:b/>
          <w:i/>
        </w:rPr>
        <w:t xml:space="preserve"> alle relevante oplysninger uden unødig forsinkelse, efter at de er blevet tilgængelige – herunder tilsynsmæssige og statistiske oplysninger samt resultaterne af deres analyse af sådanne oplysninger – med ESRB, i det omfang de er nødvendige for at opfylde dets mission, mål og opgaver. </w:t>
      </w:r>
    </w:p>
    <w:p w14:paraId="4563A452" w14:textId="77777777" w:rsidR="005C2C74" w:rsidRPr="00E649AE" w:rsidRDefault="005C2C74" w:rsidP="00902D9C">
      <w:pPr>
        <w:widowControl/>
        <w:spacing w:before="120" w:after="120"/>
        <w:ind w:left="1418"/>
        <w:rPr>
          <w:rFonts w:eastAsia="Calibri"/>
          <w:b/>
          <w:i/>
          <w:szCs w:val="22"/>
        </w:rPr>
      </w:pPr>
      <w:r w:rsidRPr="00E649AE">
        <w:rPr>
          <w:b/>
          <w:i/>
        </w:rPr>
        <w:t xml:space="preserve">Med henblik på udveksling af disse oplysninger anvender </w:t>
      </w:r>
      <w:proofErr w:type="spellStart"/>
      <w:r w:rsidRPr="00E649AE">
        <w:rPr>
          <w:b/>
          <w:i/>
        </w:rPr>
        <w:t>ESA'erne</w:t>
      </w:r>
      <w:proofErr w:type="spellEnd"/>
      <w:r w:rsidRPr="00E649AE">
        <w:rPr>
          <w:b/>
          <w:i/>
        </w:rPr>
        <w:t xml:space="preserve"> og </w:t>
      </w:r>
      <w:proofErr w:type="spellStart"/>
      <w:r w:rsidRPr="00E649AE">
        <w:rPr>
          <w:b/>
          <w:i/>
        </w:rPr>
        <w:t>ECB</w:t>
      </w:r>
      <w:proofErr w:type="spellEnd"/>
      <w:r w:rsidRPr="00E649AE">
        <w:rPr>
          <w:b/>
          <w:i/>
        </w:rPr>
        <w:t xml:space="preserve"> det i artikel 15a omhandlede fælles integrerede indberetningssystem, når det er oprettet. </w:t>
      </w:r>
    </w:p>
    <w:p w14:paraId="1AA3BE26" w14:textId="77777777" w:rsidR="005C2C74" w:rsidRPr="00E649AE" w:rsidRDefault="005C2C74" w:rsidP="00902D9C">
      <w:pPr>
        <w:widowControl/>
        <w:spacing w:before="120" w:after="120"/>
        <w:ind w:left="1418" w:hanging="567"/>
        <w:rPr>
          <w:rFonts w:eastAsia="Calibri"/>
          <w:b/>
          <w:i/>
          <w:szCs w:val="22"/>
        </w:rPr>
      </w:pPr>
      <w:r w:rsidRPr="00E649AE">
        <w:rPr>
          <w:b/>
          <w:i/>
        </w:rPr>
        <w:t xml:space="preserve">3. </w:t>
      </w:r>
      <w:r w:rsidRPr="00E649AE">
        <w:rPr>
          <w:b/>
          <w:i/>
        </w:rPr>
        <w:tab/>
        <w:t xml:space="preserve">Hvis de eksisterende oplysninger, der er tilgængelige for </w:t>
      </w:r>
      <w:proofErr w:type="spellStart"/>
      <w:r w:rsidRPr="00E649AE">
        <w:rPr>
          <w:b/>
          <w:i/>
        </w:rPr>
        <w:t>ESRB</w:t>
      </w:r>
      <w:proofErr w:type="spellEnd"/>
      <w:r w:rsidRPr="00E649AE">
        <w:rPr>
          <w:b/>
          <w:i/>
        </w:rPr>
        <w:t xml:space="preserve"> via </w:t>
      </w:r>
      <w:proofErr w:type="spellStart"/>
      <w:r w:rsidRPr="00E649AE">
        <w:rPr>
          <w:b/>
          <w:i/>
        </w:rPr>
        <w:t>ESA'erne</w:t>
      </w:r>
      <w:proofErr w:type="spellEnd"/>
      <w:r w:rsidRPr="00E649AE">
        <w:rPr>
          <w:b/>
          <w:i/>
        </w:rPr>
        <w:t xml:space="preserve">, </w:t>
      </w:r>
      <w:proofErr w:type="spellStart"/>
      <w:r w:rsidRPr="00E649AE">
        <w:rPr>
          <w:b/>
          <w:i/>
        </w:rPr>
        <w:t>ECB</w:t>
      </w:r>
      <w:proofErr w:type="spellEnd"/>
      <w:r w:rsidRPr="00E649AE">
        <w:rPr>
          <w:b/>
          <w:i/>
        </w:rPr>
        <w:t xml:space="preserve"> og det europæiske statistiske system, ikke er tilstrækkelige eller ikke er tilgængelige rettidigt, anmoder ESRB i overensstemmelse med denne artikel de nationale centralbanker, de nationale tilsynsmyndigheder og de nationale statistikmyndigheder om de oplysninger, der er nødvendige for at opfylde dets mandat. Hvis disse oplysninger vedbliver med ikke at være til rådighed, kan ESRB anmode om dem hos den berørte medlemsstat, uden at dette berører de beføjelser, der er tillagt henholdsvis Rådet, Kommissionen (Eurostat), ECB, Eurosystemet og ESCB med hensyn til statistik og indsamling af data.</w:t>
      </w:r>
    </w:p>
    <w:p w14:paraId="16C281E9" w14:textId="77777777" w:rsidR="005C2C74" w:rsidRPr="00E649AE" w:rsidRDefault="005C2C74" w:rsidP="00902D9C">
      <w:pPr>
        <w:widowControl/>
        <w:spacing w:before="120" w:after="120"/>
        <w:ind w:left="1418" w:hanging="567"/>
        <w:rPr>
          <w:rFonts w:eastAsia="Calibri"/>
          <w:b/>
          <w:i/>
          <w:szCs w:val="22"/>
        </w:rPr>
      </w:pPr>
      <w:r w:rsidRPr="00E649AE">
        <w:rPr>
          <w:b/>
          <w:i/>
        </w:rPr>
        <w:t xml:space="preserve">4. </w:t>
      </w:r>
      <w:r w:rsidRPr="00E649AE">
        <w:rPr>
          <w:b/>
          <w:i/>
        </w:rPr>
        <w:tab/>
        <w:t>Hvis ESRB i overensstemmelse med stk. 3 anmoder om oplysninger, som ikke er i summarisk eller sammenfattet form, skal der i den begrundede anmodning redegøres for, hvorfor data om den pågældende individuelle finansielle institution anses for at være systemisk relevante og nødvendige i betragtning af den foreliggende markedssituation.</w:t>
      </w:r>
    </w:p>
    <w:p w14:paraId="3EFE93C6" w14:textId="2639E548" w:rsidR="005C2C74" w:rsidRPr="00E649AE" w:rsidRDefault="005C2C74" w:rsidP="00902D9C">
      <w:pPr>
        <w:widowControl/>
        <w:spacing w:before="120" w:after="120"/>
        <w:ind w:left="1418" w:hanging="567"/>
        <w:rPr>
          <w:rFonts w:eastAsia="Calibri"/>
          <w:b/>
          <w:i/>
          <w:szCs w:val="22"/>
        </w:rPr>
      </w:pPr>
      <w:r w:rsidRPr="00E649AE">
        <w:rPr>
          <w:b/>
          <w:i/>
        </w:rPr>
        <w:t>5.</w:t>
      </w:r>
      <w:r w:rsidRPr="00E649AE">
        <w:rPr>
          <w:b/>
          <w:i/>
        </w:rPr>
        <w:tab/>
        <w:t xml:space="preserve"> Inden hver anmodning i overensstemmelse med stk. 3 om oplysninger af tilsynsmæssig karakter, som ikke er i summarisk eller sammenfattet form, rådfører ESRB sig behørigt med de relevante </w:t>
      </w:r>
      <w:proofErr w:type="spellStart"/>
      <w:r w:rsidRPr="00E649AE">
        <w:rPr>
          <w:b/>
          <w:i/>
        </w:rPr>
        <w:t>ESA'er</w:t>
      </w:r>
      <w:proofErr w:type="spellEnd"/>
      <w:r w:rsidRPr="00E649AE">
        <w:rPr>
          <w:b/>
          <w:i/>
        </w:rPr>
        <w:t xml:space="preserve"> for at sikre, at anmodningen er begrundet og proportionel. Hvis den relevante ESA ikke finder anmodningen begrundet og proportionel, sender den straks anmodningen tilbage til ESRB og beder om yderligere begrundelse. Når ESRB har forelagt den relevante ESA en sådan yderligere begrundelse, fremsender modtagerne af anmodningen de ønskede oplysninger til ESRB, forudsat at disse har lovlig adgang til de relevante oplysninger.</w:t>
      </w:r>
      <w:r w:rsidR="008876E6">
        <w:rPr>
          <w:b/>
          <w:i/>
        </w:rPr>
        <w:t>”</w:t>
      </w:r>
    </w:p>
    <w:p w14:paraId="4777DB63" w14:textId="77777777" w:rsidR="005C2C74" w:rsidRPr="00E649AE" w:rsidRDefault="005C2C74" w:rsidP="00902D9C">
      <w:pPr>
        <w:widowControl/>
        <w:spacing w:before="120" w:after="120"/>
        <w:ind w:left="850" w:hanging="850"/>
        <w:rPr>
          <w:rFonts w:eastAsia="Calibri"/>
          <w:szCs w:val="22"/>
        </w:rPr>
      </w:pPr>
      <w:r w:rsidRPr="00E649AE">
        <w:t>2.</w:t>
      </w:r>
      <w:r w:rsidRPr="00E649AE">
        <w:tab/>
        <w:t>I artikel 15 tilføjes følgende stykker: </w:t>
      </w:r>
    </w:p>
    <w:p w14:paraId="5C28313E" w14:textId="77777777" w:rsidR="005C2C74" w:rsidRPr="00E649AE" w:rsidRDefault="005C2C74" w:rsidP="00902D9C">
      <w:pPr>
        <w:ind w:left="1418" w:hanging="567"/>
        <w:rPr>
          <w:rFonts w:eastAsia="Calibri"/>
          <w:szCs w:val="22"/>
        </w:rPr>
      </w:pPr>
      <w:r w:rsidRPr="00E649AE">
        <w:lastRenderedPageBreak/>
        <w:t xml:space="preserve">"8. </w:t>
      </w:r>
      <w:r w:rsidRPr="00E649AE">
        <w:rPr>
          <w:b/>
          <w:i/>
        </w:rPr>
        <w:tab/>
      </w:r>
      <w:r w:rsidRPr="00E649AE">
        <w:t xml:space="preserve">ESRB udveksler, fra sag til sag eller regelmæssigt, </w:t>
      </w:r>
      <w:r w:rsidRPr="00E649AE">
        <w:rPr>
          <w:b/>
          <w:i/>
        </w:rPr>
        <w:t>med en anden af de myndigheder, der er omhandlet i stk. 1, en anden medlemsmyndighed under ESFS eller de andre myndigheder,</w:t>
      </w:r>
      <w:r w:rsidRPr="00E649AE">
        <w:t xml:space="preserve"> de oplysninger, som er indhentet fra </w:t>
      </w:r>
      <w:r w:rsidRPr="00E649AE">
        <w:rPr>
          <w:b/>
          <w:i/>
        </w:rPr>
        <w:t>en anden af disse myndigheder eller de</w:t>
      </w:r>
      <w:r w:rsidRPr="00E649AE">
        <w:t xml:space="preserve"> andre myndigheder</w:t>
      </w:r>
      <w:r w:rsidRPr="00E649AE">
        <w:rPr>
          <w:b/>
          <w:i/>
        </w:rPr>
        <w:t>, når</w:t>
      </w:r>
      <w:r w:rsidRPr="00E649AE">
        <w:t xml:space="preserve"> den anmodende myndighed </w:t>
      </w:r>
      <w:r w:rsidRPr="00E649AE">
        <w:rPr>
          <w:b/>
          <w:i/>
        </w:rPr>
        <w:t>har ret til</w:t>
      </w:r>
      <w:r w:rsidRPr="00E649AE">
        <w:t xml:space="preserve"> at indhente </w:t>
      </w:r>
      <w:r w:rsidRPr="00E649AE">
        <w:rPr>
          <w:b/>
          <w:i/>
        </w:rPr>
        <w:t>disse</w:t>
      </w:r>
      <w:r w:rsidRPr="00E649AE">
        <w:t xml:space="preserve"> oplysninger ▌i henhold til </w:t>
      </w:r>
      <w:r w:rsidRPr="00E649AE">
        <w:rPr>
          <w:b/>
          <w:i/>
        </w:rPr>
        <w:t>sin mission, sine målsætninger, opgaver og beføjelser eller i overensstemmelse med relevant EU-ret</w:t>
      </w:r>
      <w:r w:rsidRPr="00E649AE">
        <w:t>.</w:t>
      </w:r>
    </w:p>
    <w:p w14:paraId="0CF5EDEB" w14:textId="77777777" w:rsidR="005C2C74" w:rsidRPr="00E649AE" w:rsidRDefault="005C2C74" w:rsidP="00902D9C">
      <w:pPr>
        <w:widowControl/>
        <w:spacing w:before="120" w:after="120"/>
        <w:ind w:left="1418"/>
        <w:rPr>
          <w:rFonts w:eastAsia="Calibri"/>
          <w:b/>
          <w:i/>
          <w:szCs w:val="22"/>
        </w:rPr>
      </w:pPr>
      <w:r w:rsidRPr="00E649AE">
        <w:rPr>
          <w:b/>
          <w:i/>
        </w:rPr>
        <w:t xml:space="preserve">Med henblik på udveksling af de oplysninger, der er omhandlet i dette stykkes første afsnit, anvender ESRB det fælles integrerede indberetningssystem som er omhandlet i artikel 15a, når det er oprettet. </w:t>
      </w:r>
    </w:p>
    <w:p w14:paraId="51B51468" w14:textId="77777777" w:rsidR="005C2C74" w:rsidRPr="00E649AE" w:rsidRDefault="005C2C74" w:rsidP="00902D9C">
      <w:pPr>
        <w:widowControl/>
        <w:spacing w:before="120" w:after="120"/>
        <w:ind w:left="1418" w:hanging="567"/>
        <w:rPr>
          <w:rFonts w:eastAsia="Calibri"/>
          <w:b/>
          <w:i/>
          <w:szCs w:val="22"/>
        </w:rPr>
      </w:pPr>
      <w:r w:rsidRPr="00E649AE">
        <w:rPr>
          <w:b/>
          <w:i/>
        </w:rPr>
        <w:t>8a.</w:t>
      </w:r>
      <w:r w:rsidRPr="00E649AE">
        <w:rPr>
          <w:b/>
          <w:i/>
        </w:rPr>
        <w:tab/>
        <w:t>ESRB anmoder de andre myndigheder om oplysninger, som det ellers ville anmode om fra finansielle institutioner eller andre kompetente myndigheder, hvis begge følgende betingelser er opfyldt:</w:t>
      </w:r>
    </w:p>
    <w:p w14:paraId="2ADCB0ED" w14:textId="77777777" w:rsidR="005C2C74" w:rsidRPr="00E649AE" w:rsidRDefault="005C2C74" w:rsidP="00902D9C">
      <w:pPr>
        <w:widowControl/>
        <w:spacing w:before="120" w:after="120"/>
        <w:ind w:left="1418"/>
        <w:rPr>
          <w:rFonts w:eastAsia="Calibri"/>
          <w:b/>
          <w:i/>
          <w:szCs w:val="22"/>
        </w:rPr>
      </w:pPr>
      <w:r w:rsidRPr="00E649AE">
        <w:rPr>
          <w:b/>
          <w:i/>
        </w:rPr>
        <w:t>a)</w:t>
      </w:r>
      <w:r w:rsidRPr="00E649AE">
        <w:rPr>
          <w:b/>
          <w:i/>
        </w:rPr>
        <w:tab/>
        <w:t xml:space="preserve"> Det har ret til at indhente disse oplysninger i henhold til sin mission, sine målsætninger, opgaver og beføjelser eller i overensstemmelse med relevant EU-ret.</w:t>
      </w:r>
    </w:p>
    <w:p w14:paraId="6F7C3116" w14:textId="77777777" w:rsidR="005C2C74" w:rsidRPr="00E649AE" w:rsidRDefault="005C2C74" w:rsidP="00902D9C">
      <w:pPr>
        <w:widowControl/>
        <w:spacing w:before="120" w:after="120"/>
        <w:ind w:left="1418"/>
        <w:rPr>
          <w:rFonts w:eastAsia="Calibri"/>
          <w:b/>
          <w:i/>
          <w:szCs w:val="22"/>
        </w:rPr>
      </w:pPr>
      <w:r w:rsidRPr="00E649AE">
        <w:rPr>
          <w:b/>
          <w:i/>
        </w:rPr>
        <w:t xml:space="preserve">b) </w:t>
      </w:r>
      <w:r w:rsidRPr="00E649AE">
        <w:rPr>
          <w:b/>
          <w:i/>
        </w:rPr>
        <w:tab/>
        <w:t>Disse oplysningerne er indhentet af mindst en af de andre myndigheder.</w:t>
      </w:r>
    </w:p>
    <w:p w14:paraId="0A7413A7" w14:textId="77777777" w:rsidR="005C2C74" w:rsidRPr="00E649AE" w:rsidRDefault="005C2C74" w:rsidP="00902D9C">
      <w:pPr>
        <w:widowControl/>
        <w:spacing w:before="120" w:after="120"/>
        <w:ind w:left="1418"/>
        <w:rPr>
          <w:rFonts w:eastAsia="Calibri"/>
          <w:b/>
          <w:i/>
          <w:szCs w:val="22"/>
        </w:rPr>
      </w:pPr>
      <w:r w:rsidRPr="00E649AE">
        <w:rPr>
          <w:b/>
          <w:i/>
        </w:rPr>
        <w:t xml:space="preserve">Første afsnit berører ikke </w:t>
      </w:r>
      <w:proofErr w:type="spellStart"/>
      <w:r w:rsidRPr="00E649AE">
        <w:rPr>
          <w:b/>
          <w:i/>
        </w:rPr>
        <w:t>ESRB's</w:t>
      </w:r>
      <w:proofErr w:type="spellEnd"/>
      <w:r w:rsidRPr="00E649AE">
        <w:rPr>
          <w:b/>
          <w:i/>
        </w:rPr>
        <w:t xml:space="preserve"> mulighed for at indhente de ønskede oplysninger fra finansielle institutioner eller andre kompetente myndigheder, hvis den anden myndighed af operationelle årsager ikke er i stand til at dele dataene.</w:t>
      </w:r>
    </w:p>
    <w:p w14:paraId="2222AE7C" w14:textId="77777777" w:rsidR="005C2C74" w:rsidRPr="00E649AE" w:rsidRDefault="005C2C74" w:rsidP="00902D9C">
      <w:pPr>
        <w:widowControl/>
        <w:spacing w:before="120" w:after="120"/>
        <w:ind w:left="1418" w:hanging="567"/>
        <w:rPr>
          <w:rFonts w:eastAsia="Calibri"/>
          <w:b/>
          <w:i/>
          <w:szCs w:val="22"/>
        </w:rPr>
      </w:pPr>
      <w:r w:rsidRPr="00E649AE">
        <w:rPr>
          <w:b/>
          <w:i/>
        </w:rPr>
        <w:t>Med henblik på at afgøre, om betingelsen i første afsnit, litra b), er opfyldt, anvender ESRB det i artikel 15a omhandlede fælles integrerede indberetningssystem, når det er oprettet.</w:t>
      </w:r>
    </w:p>
    <w:p w14:paraId="278C8318" w14:textId="77777777" w:rsidR="005C2C74" w:rsidRPr="00E649AE" w:rsidRDefault="005C2C74" w:rsidP="00902D9C">
      <w:pPr>
        <w:widowControl/>
        <w:spacing w:before="120" w:after="120"/>
        <w:ind w:left="1418" w:hanging="567"/>
        <w:rPr>
          <w:rFonts w:eastAsia="Calibri"/>
          <w:b/>
          <w:i/>
          <w:szCs w:val="22"/>
        </w:rPr>
      </w:pPr>
      <w:r w:rsidRPr="00E649AE">
        <w:rPr>
          <w:b/>
          <w:i/>
        </w:rPr>
        <w:t>8b.</w:t>
      </w:r>
      <w:r w:rsidRPr="00E649AE">
        <w:rPr>
          <w:b/>
          <w:i/>
        </w:rPr>
        <w:tab/>
        <w:t>I denne artikel og artikel 15a forstås ved "andre myndigheder" en af følgende myndigheder:</w:t>
      </w:r>
    </w:p>
    <w:p w14:paraId="548E0476" w14:textId="77777777" w:rsidR="005C2C74" w:rsidRPr="00E649AE" w:rsidRDefault="005C2C74" w:rsidP="00902D9C">
      <w:pPr>
        <w:widowControl/>
        <w:spacing w:before="120" w:after="120"/>
        <w:ind w:left="1985" w:hanging="567"/>
        <w:rPr>
          <w:rFonts w:eastAsia="Calibri"/>
          <w:b/>
          <w:i/>
          <w:szCs w:val="22"/>
        </w:rPr>
      </w:pPr>
      <w:r w:rsidRPr="00E649AE">
        <w:rPr>
          <w:b/>
          <w:i/>
        </w:rPr>
        <w:t xml:space="preserve">a) </w:t>
      </w:r>
      <w:r w:rsidRPr="00E649AE">
        <w:rPr>
          <w:b/>
          <w:i/>
        </w:rPr>
        <w:tab/>
        <w:t>de europæiske tilsynsmyndigheder</w:t>
      </w:r>
    </w:p>
    <w:p w14:paraId="674E0D6A" w14:textId="77777777" w:rsidR="005C2C74" w:rsidRPr="00E649AE" w:rsidRDefault="005C2C74" w:rsidP="00902D9C">
      <w:pPr>
        <w:widowControl/>
        <w:spacing w:before="120" w:after="120"/>
        <w:ind w:left="1985" w:hanging="567"/>
        <w:rPr>
          <w:rFonts w:eastAsia="Calibri"/>
          <w:b/>
          <w:i/>
          <w:szCs w:val="22"/>
        </w:rPr>
      </w:pPr>
      <w:r w:rsidRPr="00E649AE">
        <w:rPr>
          <w:b/>
          <w:i/>
        </w:rPr>
        <w:t>b)</w:t>
      </w:r>
      <w:r w:rsidRPr="00E649AE">
        <w:rPr>
          <w:b/>
          <w:i/>
        </w:rPr>
        <w:tab/>
        <w:t>kompetente myndigheder som defineret i artikel 4, nr. 2), i forordning (EU) nr. 1093/2010</w:t>
      </w:r>
    </w:p>
    <w:p w14:paraId="38658096" w14:textId="77777777" w:rsidR="005C2C74" w:rsidRPr="00E649AE" w:rsidRDefault="005C2C74" w:rsidP="00902D9C">
      <w:pPr>
        <w:widowControl/>
        <w:spacing w:before="120" w:after="120"/>
        <w:ind w:left="1985" w:hanging="567"/>
        <w:rPr>
          <w:rFonts w:eastAsia="Calibri"/>
          <w:b/>
          <w:i/>
          <w:szCs w:val="22"/>
        </w:rPr>
      </w:pPr>
      <w:r w:rsidRPr="00E649AE">
        <w:rPr>
          <w:b/>
          <w:i/>
        </w:rPr>
        <w:t xml:space="preserve">c) </w:t>
      </w:r>
      <w:r w:rsidRPr="00E649AE">
        <w:rPr>
          <w:b/>
          <w:i/>
        </w:rPr>
        <w:tab/>
        <w:t>kompetente myndigheder som defineret i artikel 4, nr. 2), i forordning (EU) nr. 1094/2010</w:t>
      </w:r>
    </w:p>
    <w:p w14:paraId="2902D59B" w14:textId="77777777" w:rsidR="005C2C74" w:rsidRPr="00E649AE" w:rsidRDefault="005C2C74" w:rsidP="00902D9C">
      <w:pPr>
        <w:widowControl/>
        <w:spacing w:before="120" w:after="120"/>
        <w:ind w:left="1985" w:hanging="567"/>
        <w:rPr>
          <w:rFonts w:eastAsia="Calibri"/>
          <w:b/>
          <w:i/>
          <w:szCs w:val="22"/>
        </w:rPr>
      </w:pPr>
      <w:r w:rsidRPr="00E649AE">
        <w:rPr>
          <w:b/>
          <w:i/>
        </w:rPr>
        <w:t>d)</w:t>
      </w:r>
      <w:r w:rsidRPr="00E649AE">
        <w:rPr>
          <w:b/>
          <w:i/>
        </w:rPr>
        <w:tab/>
        <w:t xml:space="preserve"> kompetente myndigheder som defineret i artikel 4, nr. 3), i forordning (EU) nr. 1095/2010</w:t>
      </w:r>
    </w:p>
    <w:p w14:paraId="6CC9705A" w14:textId="5F878C61" w:rsidR="005C2C74" w:rsidRPr="00E649AE" w:rsidRDefault="005C2C74" w:rsidP="00902D9C">
      <w:pPr>
        <w:widowControl/>
        <w:spacing w:before="120" w:after="120"/>
        <w:ind w:left="1985" w:hanging="567"/>
        <w:rPr>
          <w:rFonts w:eastAsia="Calibri"/>
          <w:b/>
          <w:i/>
          <w:szCs w:val="22"/>
        </w:rPr>
      </w:pPr>
      <w:r w:rsidRPr="00E649AE">
        <w:rPr>
          <w:b/>
          <w:i/>
        </w:rPr>
        <w:t xml:space="preserve">e) </w:t>
      </w:r>
      <w:r w:rsidRPr="00E649AE">
        <w:rPr>
          <w:b/>
          <w:i/>
        </w:rPr>
        <w:tab/>
        <w:t>AMLA som oprettet ved Europa-Parlamentets og Rådets forordning (EU) …/…</w:t>
      </w:r>
      <w:r w:rsidR="006567A0">
        <w:rPr>
          <w:rStyle w:val="FootnoteReference"/>
          <w:b/>
          <w:i/>
        </w:rPr>
        <w:footnoteReference w:customMarkFollows="1" w:id="15"/>
        <w:t>+</w:t>
      </w:r>
    </w:p>
    <w:p w14:paraId="06E80CC2" w14:textId="1DB441F2" w:rsidR="005C2C74" w:rsidRPr="00E649AE" w:rsidRDefault="005C2C74" w:rsidP="00902D9C">
      <w:pPr>
        <w:widowControl/>
        <w:spacing w:before="120" w:after="120"/>
        <w:ind w:left="1985" w:hanging="567"/>
        <w:rPr>
          <w:rFonts w:eastAsia="Calibri"/>
          <w:b/>
          <w:i/>
          <w:szCs w:val="22"/>
        </w:rPr>
      </w:pPr>
      <w:r w:rsidRPr="00E649AE">
        <w:rPr>
          <w:b/>
          <w:i/>
        </w:rPr>
        <w:lastRenderedPageBreak/>
        <w:t xml:space="preserve">f) </w:t>
      </w:r>
      <w:r w:rsidRPr="00E649AE">
        <w:rPr>
          <w:b/>
          <w:i/>
        </w:rPr>
        <w:tab/>
        <w:t>myndigheder som defineret i artikel 2, nr. 1), i Europa-Parlamentets og Rådets direktiv (EU) …/…</w:t>
      </w:r>
      <w:r w:rsidR="006567A0">
        <w:rPr>
          <w:rStyle w:val="FootnoteReference"/>
          <w:b/>
          <w:i/>
        </w:rPr>
        <w:footnoteReference w:customMarkFollows="1" w:id="16"/>
        <w:t>++</w:t>
      </w:r>
    </w:p>
    <w:p w14:paraId="0F3E1CDC" w14:textId="77777777" w:rsidR="005C2C74" w:rsidRPr="00E649AE" w:rsidRDefault="005C2C74" w:rsidP="00902D9C">
      <w:pPr>
        <w:widowControl/>
        <w:spacing w:before="120" w:after="120"/>
        <w:ind w:left="1985" w:hanging="567"/>
        <w:rPr>
          <w:rFonts w:eastAsia="Calibri"/>
          <w:b/>
          <w:i/>
          <w:szCs w:val="22"/>
        </w:rPr>
      </w:pPr>
      <w:r w:rsidRPr="00E649AE">
        <w:rPr>
          <w:b/>
          <w:i/>
        </w:rPr>
        <w:t>g)</w:t>
      </w:r>
      <w:r w:rsidRPr="00E649AE">
        <w:rPr>
          <w:b/>
          <w:i/>
        </w:rPr>
        <w:tab/>
        <w:t xml:space="preserve"> SSM som defineret i artikel 2, nr. 9), i forordning (EU) nr. 1024/2013</w:t>
      </w:r>
    </w:p>
    <w:p w14:paraId="5CE5E81B" w14:textId="77777777" w:rsidR="005C2C74" w:rsidRPr="00E649AE" w:rsidRDefault="005C2C74" w:rsidP="00902D9C">
      <w:pPr>
        <w:widowControl/>
        <w:spacing w:before="120" w:after="120"/>
        <w:ind w:left="1985" w:hanging="567"/>
        <w:rPr>
          <w:rFonts w:eastAsia="Calibri"/>
          <w:b/>
          <w:i/>
          <w:szCs w:val="22"/>
        </w:rPr>
      </w:pPr>
      <w:r w:rsidRPr="00E649AE">
        <w:rPr>
          <w:b/>
          <w:i/>
        </w:rPr>
        <w:t xml:space="preserve">h) </w:t>
      </w:r>
      <w:r w:rsidRPr="00E649AE">
        <w:rPr>
          <w:b/>
          <w:i/>
        </w:rPr>
        <w:tab/>
        <w:t>SRB</w:t>
      </w:r>
    </w:p>
    <w:p w14:paraId="7B0638E2" w14:textId="77777777" w:rsidR="005C2C74" w:rsidRPr="00E649AE" w:rsidRDefault="005C2C74" w:rsidP="00902D9C">
      <w:pPr>
        <w:widowControl/>
        <w:spacing w:before="120" w:after="120"/>
        <w:ind w:left="1985" w:hanging="567"/>
        <w:rPr>
          <w:rFonts w:eastAsia="Calibri"/>
          <w:szCs w:val="22"/>
        </w:rPr>
      </w:pPr>
      <w:r w:rsidRPr="00E649AE">
        <w:rPr>
          <w:b/>
          <w:i/>
        </w:rPr>
        <w:t xml:space="preserve">i) </w:t>
      </w:r>
      <w:r w:rsidRPr="00E649AE">
        <w:rPr>
          <w:b/>
          <w:i/>
        </w:rPr>
        <w:tab/>
        <w:t xml:space="preserve">nationale afviklingsmyndigheder som defineret i artikel 3, nr. 3), i forordning (EU) nr. 806/2014. </w:t>
      </w:r>
    </w:p>
    <w:p w14:paraId="38C13794" w14:textId="77777777" w:rsidR="005C2C74" w:rsidRPr="00E649AE" w:rsidRDefault="005C2C74" w:rsidP="00902D9C">
      <w:pPr>
        <w:widowControl/>
        <w:spacing w:before="120" w:after="120"/>
        <w:ind w:left="1418" w:hanging="567"/>
        <w:rPr>
          <w:rFonts w:eastAsia="Calibri"/>
          <w:szCs w:val="22"/>
        </w:rPr>
      </w:pPr>
      <w:r w:rsidRPr="00E649AE">
        <w:t xml:space="preserve">9. </w:t>
      </w:r>
      <w:r w:rsidRPr="00E649AE">
        <w:rPr>
          <w:b/>
          <w:i/>
        </w:rPr>
        <w:tab/>
      </w:r>
      <w:r w:rsidRPr="00E649AE">
        <w:t>Anmodningen om udveksling af oplysninger i henhold til stk. 8 skal indeholde en behørig angivelse af, hvilket retsgrundlag i henhold til EU-retten der gør det muligt for den anmodende myndighed at indhente oplysningerne fra finansielle institutioner eller andre myndigheder som omhandlet i nævnte stykke. Den anmodende myndighed og ESRB er underlagt bestemmelserne om tavshedspligt og databeskyttelse i artikel 8 og i sektorspecifik lovgivning, som finder anvendelse på udvekslingen af data mellem finansielle institutioner eller andre myndigheder, jf. stk. 8, og den anmodende myndighed samt udvekslingen af data mellem andre myndigheder som omhandlet i nævnte stykke og ESRB. ESRB underretter uden unødigt ophold den enkelte relevante forpligtede enhed om en sådan udveksling af oplysninger</w:t>
      </w:r>
      <w:r w:rsidRPr="00E649AE">
        <w:rPr>
          <w:b/>
          <w:i/>
        </w:rPr>
        <w:t>, med mindre oplysningerne er blevet anonymiseret, ændret, samlet eller behandlet ved hjælp af en anden metode til kontrol med fortrolighed i forbindelse med videregivelse af oplysninger</w:t>
      </w:r>
      <w:r w:rsidRPr="00E649AE">
        <w:t>. </w:t>
      </w:r>
    </w:p>
    <w:p w14:paraId="677DFDCF" w14:textId="77777777" w:rsidR="005C2C74" w:rsidRPr="00E649AE" w:rsidRDefault="005C2C74" w:rsidP="00902D9C">
      <w:pPr>
        <w:ind w:left="1418" w:hanging="567"/>
      </w:pPr>
      <w:r w:rsidRPr="00E649AE">
        <w:t xml:space="preserve">10. </w:t>
      </w:r>
      <w:r w:rsidRPr="00E649AE">
        <w:rPr>
          <w:b/>
          <w:i/>
        </w:rPr>
        <w:tab/>
      </w:r>
      <w:r w:rsidRPr="00E649AE">
        <w:t xml:space="preserve">Stk. 8, </w:t>
      </w:r>
      <w:r w:rsidRPr="00E649AE">
        <w:rPr>
          <w:b/>
          <w:i/>
        </w:rPr>
        <w:t>8a</w:t>
      </w:r>
      <w:r w:rsidRPr="00E649AE">
        <w:t xml:space="preserve"> og 9 finder også anvendelse på oplysninger, som ESRB har modtaget fra </w:t>
      </w:r>
      <w:r w:rsidRPr="00E649AE">
        <w:rPr>
          <w:b/>
          <w:i/>
        </w:rPr>
        <w:t>de</w:t>
      </w:r>
      <w:r w:rsidRPr="00E649AE">
        <w:t xml:space="preserve"> andre myndigheder ▌, og som ESRB efterfølgende har kvalitetskontrolleret eller på anden måde har behandlet. </w:t>
      </w:r>
    </w:p>
    <w:p w14:paraId="677ECE41" w14:textId="77777777" w:rsidR="005C2C74" w:rsidRPr="00E649AE" w:rsidRDefault="005C2C74" w:rsidP="00902D9C">
      <w:pPr>
        <w:widowControl/>
        <w:spacing w:before="120" w:after="120"/>
        <w:ind w:left="1418" w:hanging="567"/>
        <w:rPr>
          <w:rFonts w:eastAsia="Calibri"/>
          <w:szCs w:val="22"/>
        </w:rPr>
      </w:pPr>
      <w:r w:rsidRPr="00E649AE">
        <w:t xml:space="preserve">11. </w:t>
      </w:r>
      <w:r w:rsidRPr="00E649AE">
        <w:rPr>
          <w:b/>
          <w:i/>
        </w:rPr>
        <w:tab/>
      </w:r>
      <w:r w:rsidRPr="00E649AE">
        <w:t xml:space="preserve">Med henblik på udveksling af oplysninger som omhandlet i stk. 8, </w:t>
      </w:r>
      <w:r w:rsidRPr="00E649AE">
        <w:rPr>
          <w:b/>
        </w:rPr>
        <w:t>8a,</w:t>
      </w:r>
      <w:r w:rsidRPr="00E649AE">
        <w:t xml:space="preserve"> 9 og 10 </w:t>
      </w:r>
      <w:r w:rsidRPr="00E649AE">
        <w:rPr>
          <w:b/>
          <w:i/>
        </w:rPr>
        <w:t>indgår ESRB og</w:t>
      </w:r>
      <w:r w:rsidRPr="00E649AE">
        <w:t xml:space="preserve"> de andre myndigheder aftalememoranda for at fastsætte de nærmere bestemmelser for udvekslingen af oplysninger. De </w:t>
      </w:r>
      <w:r w:rsidRPr="00E649AE">
        <w:rPr>
          <w:b/>
          <w:i/>
        </w:rPr>
        <w:t>fastlægger</w:t>
      </w:r>
      <w:r w:rsidRPr="00E649AE">
        <w:t xml:space="preserve"> også ordninger for deling af ressourcer til indsamling og behandling af sådanne delte data</w:t>
      </w:r>
      <w:r w:rsidRPr="00E649AE">
        <w:rPr>
          <w:b/>
          <w:i/>
        </w:rPr>
        <w:t>, forudsat at de overholder de gældende bestemmelser for databeskyttelse, intellektuelle ejendomsrettigheder og tavshedspligt</w:t>
      </w:r>
      <w:r w:rsidRPr="00E649AE">
        <w:t>.</w:t>
      </w:r>
      <w:r w:rsidRPr="00E649AE">
        <w:rPr>
          <w:b/>
          <w:i/>
        </w:rPr>
        <w:t xml:space="preserve"> Aftalememoranda skal efter aftale mellem alle de berørte myndigheder følge et enkelt og standardiseret format, der, hvor det er nødvendigt, er skræddersyet til eventuelle særlige driftsbetingelser, som gælder for specifikke myndigheder.</w:t>
      </w:r>
      <w:r w:rsidRPr="00E649AE">
        <w:t> </w:t>
      </w:r>
    </w:p>
    <w:p w14:paraId="06BB8E93" w14:textId="77777777" w:rsidR="005C2C74" w:rsidRPr="00E649AE" w:rsidRDefault="005C2C74" w:rsidP="00902D9C">
      <w:pPr>
        <w:widowControl/>
        <w:spacing w:before="120" w:after="120"/>
        <w:ind w:left="1418" w:hanging="567"/>
        <w:rPr>
          <w:rFonts w:eastAsia="Calibri"/>
          <w:szCs w:val="22"/>
        </w:rPr>
      </w:pPr>
      <w:r w:rsidRPr="00E649AE">
        <w:t xml:space="preserve">12. </w:t>
      </w:r>
      <w:r w:rsidRPr="00E649AE">
        <w:rPr>
          <w:b/>
          <w:i/>
        </w:rPr>
        <w:tab/>
      </w:r>
      <w:r w:rsidRPr="00E649AE">
        <w:t xml:space="preserve">Stk. 8, 9 og 10 berører ikke beskyttelsen af intellektuelle ejendomsrettigheder og forhindrer eller begrænser ikke udvekslingen af oplysninger mellem </w:t>
      </w:r>
      <w:r w:rsidRPr="00E649AE">
        <w:rPr>
          <w:b/>
          <w:i/>
        </w:rPr>
        <w:t>ESRB og</w:t>
      </w:r>
      <w:r w:rsidRPr="00E649AE">
        <w:t xml:space="preserve"> de </w:t>
      </w:r>
      <w:r w:rsidRPr="00E649AE">
        <w:rPr>
          <w:b/>
          <w:i/>
        </w:rPr>
        <w:t>andre</w:t>
      </w:r>
      <w:r w:rsidRPr="00E649AE">
        <w:t xml:space="preserve"> myndigheder ▌i overensstemmelse med bestemmelserne i anden EU-lovgivning. Hvis stk. 8, 9 eller 10 er i strid med bestemmelserne i anden EU-lovgivning, som regulerer udvekslingen af oplysninger mellem de </w:t>
      </w:r>
      <w:r w:rsidRPr="00E649AE">
        <w:rPr>
          <w:b/>
          <w:i/>
        </w:rPr>
        <w:t>andre</w:t>
      </w:r>
      <w:r w:rsidRPr="00E649AE">
        <w:t xml:space="preserve"> myndigheder ▌, har bestemmelserne i denne anden EU-lovgivning forrang. </w:t>
      </w:r>
    </w:p>
    <w:p w14:paraId="645953A6" w14:textId="77777777" w:rsidR="005C2C74" w:rsidRPr="00E649AE" w:rsidRDefault="005C2C74" w:rsidP="00902D9C">
      <w:pPr>
        <w:widowControl/>
        <w:spacing w:before="120" w:after="120"/>
        <w:ind w:left="1418" w:hanging="567"/>
        <w:rPr>
          <w:rFonts w:eastAsia="Calibri"/>
          <w:szCs w:val="22"/>
        </w:rPr>
      </w:pPr>
      <w:r w:rsidRPr="00E649AE">
        <w:t xml:space="preserve">13. </w:t>
      </w:r>
      <w:r w:rsidRPr="00E649AE">
        <w:rPr>
          <w:b/>
          <w:i/>
        </w:rPr>
        <w:tab/>
      </w:r>
      <w:r w:rsidRPr="00E649AE">
        <w:t xml:space="preserve">Uden at det berører andre forpligtelser, der er fastsat i EU-retten vedrørende udveksling af oplysninger, </w:t>
      </w:r>
      <w:r w:rsidRPr="00E649AE">
        <w:rPr>
          <w:b/>
          <w:i/>
        </w:rPr>
        <w:t>kan</w:t>
      </w:r>
      <w:r w:rsidRPr="00E649AE">
        <w:t xml:space="preserve"> ESRB, efter begrundet anmodning og fra sag til sag lade Kommissionen ▌få del i oplysninger, som andre myndigheder har indberettet til ESRB i medfør af deres forpligtelser i henhold til EU-retten, ▌i en form, der ikke gør det muligt at identificere individuelle enheder, og som </w:t>
      </w:r>
      <w:r w:rsidRPr="00E649AE">
        <w:lastRenderedPageBreak/>
        <w:t xml:space="preserve">ikke indeholder personoplysninger. </w:t>
      </w:r>
      <w:r w:rsidRPr="00E649AE">
        <w:rPr>
          <w:b/>
          <w:i/>
        </w:rPr>
        <w:t>De myndigheder, som har fremsendt sådanne oplysninger, underrettes behørigt om den udveksling, der har fundet sted.</w:t>
      </w:r>
    </w:p>
    <w:p w14:paraId="51EAF4A0" w14:textId="77777777" w:rsidR="005C2C74" w:rsidRPr="00E649AE" w:rsidRDefault="005C2C74" w:rsidP="00902D9C">
      <w:pPr>
        <w:widowControl/>
        <w:spacing w:before="120" w:after="120"/>
        <w:ind w:left="1418" w:hanging="567"/>
        <w:rPr>
          <w:rFonts w:eastAsia="Calibri"/>
          <w:szCs w:val="22"/>
        </w:rPr>
      </w:pPr>
      <w:r w:rsidRPr="00E649AE">
        <w:t xml:space="preserve">14. </w:t>
      </w:r>
      <w:r w:rsidRPr="00E649AE">
        <w:rPr>
          <w:b/>
          <w:i/>
        </w:rPr>
        <w:tab/>
      </w:r>
      <w:r w:rsidRPr="00E649AE">
        <w:t xml:space="preserve">ESRB kan give adgang til oplysninger, som er indhentet i forbindelse med udførelsen af dets opgaver, således at de kan videreanvendes af finansielle institutioner, forskere og andre enheder, der har en berettiget interesse i sådanne oplysninger, med henblik på forskning og innovation, forudsat at ESRB har sikret, at følgende betingelser er opfyldt: </w:t>
      </w:r>
    </w:p>
    <w:p w14:paraId="3DB7787D" w14:textId="77777777" w:rsidR="005C2C74" w:rsidRPr="00E649AE" w:rsidRDefault="005C2C74" w:rsidP="00902D9C">
      <w:pPr>
        <w:widowControl/>
        <w:spacing w:before="120" w:after="120"/>
        <w:ind w:left="1985" w:hanging="567"/>
        <w:rPr>
          <w:rFonts w:eastAsia="Calibri"/>
          <w:szCs w:val="22"/>
        </w:rPr>
      </w:pPr>
      <w:r w:rsidRPr="00E649AE">
        <w:t>a)</w:t>
      </w:r>
      <w:r w:rsidRPr="00E649AE">
        <w:rPr>
          <w:b/>
          <w:i/>
        </w:rPr>
        <w:tab/>
      </w:r>
      <w:r w:rsidRPr="00E649AE">
        <w:t xml:space="preserve"> Oplysningerne er blevet anonymiseret på en sådan måde, at den registrerede eller den finansielle institution ikke længere kan identificeres.</w:t>
      </w:r>
    </w:p>
    <w:p w14:paraId="42962F7F" w14:textId="77777777" w:rsidR="005C2C74" w:rsidRPr="00E649AE" w:rsidRDefault="005C2C74" w:rsidP="00902D9C">
      <w:pPr>
        <w:widowControl/>
        <w:spacing w:before="120" w:after="120"/>
        <w:ind w:left="1985" w:hanging="567"/>
        <w:rPr>
          <w:rFonts w:eastAsia="Calibri"/>
          <w:szCs w:val="22"/>
        </w:rPr>
      </w:pPr>
      <w:r w:rsidRPr="00E649AE">
        <w:t xml:space="preserve">b) </w:t>
      </w:r>
      <w:r w:rsidRPr="00E649AE">
        <w:rPr>
          <w:b/>
          <w:i/>
        </w:rPr>
        <w:tab/>
      </w:r>
      <w:r w:rsidRPr="00E649AE">
        <w:t>Oplysningerne er blevet ændret, sammenfattet eller behandlet efter en anden metode til kontrol med fortrolighed i forbindelse med videregivelse af oplysninger, herunder forretningshemmeligheder eller indhold, der er beskyttet af intellektuelle ejendomsrettigheder.</w:t>
      </w:r>
    </w:p>
    <w:p w14:paraId="16A8FE0B" w14:textId="77777777" w:rsidR="005C2C74" w:rsidRPr="00E649AE" w:rsidRDefault="005C2C74" w:rsidP="00902D9C">
      <w:pPr>
        <w:widowControl/>
        <w:spacing w:before="120" w:after="120"/>
        <w:ind w:left="1985" w:hanging="567"/>
        <w:rPr>
          <w:rFonts w:eastAsia="Calibri"/>
          <w:b/>
          <w:i/>
          <w:szCs w:val="22"/>
        </w:rPr>
      </w:pPr>
      <w:r w:rsidRPr="00E649AE">
        <w:rPr>
          <w:b/>
          <w:i/>
        </w:rPr>
        <w:t>c)</w:t>
      </w:r>
      <w:r w:rsidRPr="00E649AE">
        <w:rPr>
          <w:b/>
          <w:i/>
        </w:rPr>
        <w:tab/>
        <w:t>De parter, der har fået tildelt adgang, har vist, at de har de krævede tekniske midler til at beskytte fortrolige oplysninger, dvs. at de er i besiddelse af instrumenter, der kan sikre fuld beskyttelse af privatlivets fred og fortroligheden.</w:t>
      </w:r>
    </w:p>
    <w:p w14:paraId="6C26BCD7" w14:textId="77777777" w:rsidR="005C2C74" w:rsidRPr="00E649AE" w:rsidRDefault="005C2C74" w:rsidP="00902D9C">
      <w:pPr>
        <w:widowControl/>
        <w:spacing w:before="120" w:after="120"/>
        <w:ind w:left="1418"/>
        <w:rPr>
          <w:rFonts w:eastAsia="Calibri"/>
          <w:szCs w:val="22"/>
        </w:rPr>
      </w:pPr>
      <w:r w:rsidRPr="00E649AE">
        <w:t>Oplysninger, der modtages fra en anden myndighed, må kun videregives</w:t>
      </w:r>
      <w:r w:rsidRPr="00E649AE">
        <w:rPr>
          <w:b/>
          <w:i/>
        </w:rPr>
        <w:t xml:space="preserve"> på dette grundlag</w:t>
      </w:r>
      <w:r w:rsidRPr="00E649AE">
        <w:t xml:space="preserve"> med samtykke fra den myndighed, der oprindeligt indhentede oplysningerne.</w:t>
      </w:r>
    </w:p>
    <w:p w14:paraId="252783EF" w14:textId="77777777" w:rsidR="005C2C74" w:rsidRPr="00E649AE" w:rsidRDefault="005C2C74" w:rsidP="00902D9C">
      <w:pPr>
        <w:widowControl/>
        <w:spacing w:before="120" w:after="120"/>
        <w:ind w:left="1418" w:hanging="567"/>
        <w:rPr>
          <w:rFonts w:eastAsia="Calibri"/>
          <w:b/>
          <w:i/>
          <w:szCs w:val="22"/>
        </w:rPr>
      </w:pPr>
      <w:r w:rsidRPr="00E649AE">
        <w:rPr>
          <w:b/>
          <w:i/>
        </w:rPr>
        <w:t>14a.</w:t>
      </w:r>
      <w:r w:rsidRPr="00E649AE">
        <w:rPr>
          <w:b/>
          <w:i/>
        </w:rPr>
        <w:tab/>
        <w:t>ESRB rapporterer senest den … [et år fra datoen for denne ændringsforordnings ikrafttræden] til Kommissionen om alle juridiske hindringer i sektorspecifikke forordninger, der på nogen måde forhindrer ESRB i at udveksle oplysninger med andre myndigheder eller med andre enheder. Rapporten kan også se på ikkevæsentlige, forældede, overlappende eller på anden vis irrelevante indberetningskrav.</w:t>
      </w:r>
    </w:p>
    <w:p w14:paraId="77FD3D2A" w14:textId="1A553BBB" w:rsidR="005C2C74" w:rsidRPr="00E649AE" w:rsidRDefault="005C2C74" w:rsidP="00902D9C">
      <w:pPr>
        <w:widowControl/>
        <w:spacing w:before="120" w:after="120"/>
        <w:ind w:left="1418"/>
        <w:rPr>
          <w:rFonts w:eastAsia="Calibri"/>
          <w:b/>
          <w:i/>
          <w:szCs w:val="22"/>
        </w:rPr>
      </w:pPr>
      <w:r w:rsidRPr="00E649AE">
        <w:rPr>
          <w:b/>
          <w:i/>
        </w:rPr>
        <w:t>På grundlag af denne rapport og under behørig hensyntagen til beskyttelsen af intellektuelle ejendomsrettigheder, tavshedspligt og databeskyttelse forelægger Kommissionen, hvor det er relevant, et lovgivningsforslag for Europa-Parlamentet og for Rådet med henblik på at fjerne sådanne juridiske hindringer i sektorlovgivningen for at fremme udvekslingen af oplysninger mellem myndigheder og med andre enheder senest … [to år fra datoen for denne ændringsforordnings ikrafttræden].</w:t>
      </w:r>
      <w:r w:rsidR="008876E6" w:rsidRPr="00E649AE">
        <w:rPr>
          <w:b/>
          <w:i/>
        </w:rPr>
        <w:t>"</w:t>
      </w:r>
      <w:r w:rsidR="008876E6" w:rsidRPr="00E649AE">
        <w:t xml:space="preserve"> </w:t>
      </w:r>
      <w:r w:rsidRPr="00E649AE">
        <w:rPr>
          <w:b/>
          <w:i/>
        </w:rPr>
        <w:t xml:space="preserve"> </w:t>
      </w:r>
    </w:p>
    <w:p w14:paraId="49207030" w14:textId="77777777" w:rsidR="005C2C74" w:rsidRPr="00E649AE" w:rsidRDefault="005C2C74" w:rsidP="00A07C5D">
      <w:pPr>
        <w:widowControl/>
        <w:rPr>
          <w:rFonts w:eastAsia="Calibri"/>
          <w:szCs w:val="24"/>
        </w:rPr>
      </w:pPr>
      <w:r w:rsidRPr="00E649AE">
        <w:rPr>
          <w:b/>
          <w:i/>
        </w:rPr>
        <w:t>2a.</w:t>
      </w:r>
      <w:r w:rsidRPr="00E649AE">
        <w:rPr>
          <w:b/>
          <w:i/>
        </w:rPr>
        <w:tab/>
        <w:t>Følgende artikel indsættes:</w:t>
      </w:r>
      <w:r w:rsidRPr="00E649AE">
        <w:t xml:space="preserve"> </w:t>
      </w:r>
    </w:p>
    <w:p w14:paraId="7C7CCC0F" w14:textId="77777777" w:rsidR="005C2C74" w:rsidRPr="00E649AE" w:rsidRDefault="005C2C74" w:rsidP="001937F9">
      <w:pPr>
        <w:widowControl/>
        <w:spacing w:before="120" w:after="120"/>
        <w:rPr>
          <w:rFonts w:eastAsia="Calibri"/>
          <w:b/>
          <w:i/>
          <w:szCs w:val="22"/>
        </w:rPr>
      </w:pPr>
      <w:r w:rsidRPr="00E649AE">
        <w:rPr>
          <w:b/>
          <w:i/>
        </w:rPr>
        <w:t xml:space="preserve"> "Artikel 15a</w:t>
      </w:r>
    </w:p>
    <w:p w14:paraId="5AAD477F" w14:textId="77777777" w:rsidR="005C2C74" w:rsidRPr="00E649AE" w:rsidRDefault="005C2C74" w:rsidP="001937F9">
      <w:pPr>
        <w:widowControl/>
        <w:spacing w:before="120" w:after="120"/>
        <w:rPr>
          <w:rFonts w:eastAsia="Calibri"/>
          <w:b/>
          <w:i/>
          <w:szCs w:val="22"/>
        </w:rPr>
      </w:pPr>
      <w:r w:rsidRPr="00E649AE">
        <w:rPr>
          <w:b/>
          <w:i/>
        </w:rPr>
        <w:t>Oprettelse af et fælles integreret indberetningssystem</w:t>
      </w:r>
    </w:p>
    <w:p w14:paraId="449CAA47" w14:textId="77777777" w:rsidR="005C2C74" w:rsidRPr="00E649AE" w:rsidRDefault="005C2C74" w:rsidP="00902D9C">
      <w:pPr>
        <w:widowControl/>
        <w:spacing w:before="120" w:after="120"/>
        <w:ind w:left="851" w:hanging="851"/>
        <w:rPr>
          <w:rFonts w:eastAsia="Calibri"/>
          <w:b/>
          <w:i/>
          <w:szCs w:val="22"/>
        </w:rPr>
      </w:pPr>
      <w:r w:rsidRPr="00E649AE">
        <w:rPr>
          <w:b/>
          <w:i/>
        </w:rPr>
        <w:t xml:space="preserve">1. </w:t>
      </w:r>
      <w:r w:rsidRPr="00E649AE">
        <w:rPr>
          <w:b/>
          <w:i/>
        </w:rPr>
        <w:tab/>
        <w:t xml:space="preserve">Senest … [to år fra datoen for denne ændringsforordnings ikrafttræden] udarbejder ESRB i tæt samarbejde med de andre myndigheder en rapport om de tekniske detaljer i oprettelsen af et fælles integreret indberetningssystem samt en køreplan baseret på arbejdet med integration af </w:t>
      </w:r>
      <w:proofErr w:type="spellStart"/>
      <w:r w:rsidRPr="00E649AE">
        <w:rPr>
          <w:b/>
          <w:i/>
        </w:rPr>
        <w:t>ESA'ernes</w:t>
      </w:r>
      <w:proofErr w:type="spellEnd"/>
      <w:r w:rsidRPr="00E649AE">
        <w:rPr>
          <w:b/>
          <w:i/>
        </w:rPr>
        <w:t xml:space="preserve"> indberetning inden for deres sektorer og inkluderer </w:t>
      </w:r>
      <w:proofErr w:type="gramStart"/>
      <w:r w:rsidRPr="00E649AE">
        <w:rPr>
          <w:b/>
          <w:i/>
        </w:rPr>
        <w:t>heri</w:t>
      </w:r>
      <w:proofErr w:type="gramEnd"/>
      <w:r w:rsidRPr="00E649AE">
        <w:rPr>
          <w:b/>
          <w:i/>
        </w:rPr>
        <w:t xml:space="preserve"> en vurdering af omkostninger og fordele. Med henblik på denne rapport skal det fælles integrerede indberetningssystem omfatte:</w:t>
      </w:r>
    </w:p>
    <w:p w14:paraId="493D4926" w14:textId="77777777" w:rsidR="005C2C74" w:rsidRPr="00E649AE" w:rsidRDefault="005C2C74" w:rsidP="00902D9C">
      <w:pPr>
        <w:widowControl/>
        <w:spacing w:before="120" w:after="120"/>
        <w:ind w:left="1418" w:hanging="567"/>
        <w:rPr>
          <w:rFonts w:eastAsia="Calibri"/>
          <w:b/>
          <w:i/>
          <w:szCs w:val="22"/>
        </w:rPr>
      </w:pPr>
      <w:r w:rsidRPr="00E649AE">
        <w:rPr>
          <w:b/>
          <w:i/>
        </w:rPr>
        <w:lastRenderedPageBreak/>
        <w:t>a)</w:t>
      </w:r>
      <w:r w:rsidRPr="00E649AE">
        <w:rPr>
          <w:b/>
          <w:i/>
        </w:rPr>
        <w:tab/>
        <w:t xml:space="preserve"> en fælles dataordbog til at sikre konsekvens og klarhed af indberetningskravene og datastandardiseringen</w:t>
      </w:r>
    </w:p>
    <w:p w14:paraId="4F2C0B19" w14:textId="77777777" w:rsidR="005C2C74" w:rsidRPr="00E649AE" w:rsidRDefault="005C2C74" w:rsidP="00902D9C">
      <w:pPr>
        <w:widowControl/>
        <w:spacing w:before="120" w:after="120"/>
        <w:ind w:left="1418" w:hanging="567"/>
        <w:rPr>
          <w:rFonts w:eastAsia="Calibri"/>
          <w:b/>
          <w:i/>
          <w:szCs w:val="22"/>
        </w:rPr>
      </w:pPr>
      <w:r w:rsidRPr="00E649AE">
        <w:rPr>
          <w:b/>
          <w:i/>
        </w:rPr>
        <w:t>b)</w:t>
      </w:r>
      <w:r w:rsidRPr="00E649AE">
        <w:rPr>
          <w:b/>
          <w:i/>
        </w:rPr>
        <w:tab/>
        <w:t xml:space="preserve"> et fælles register over indberetnings- og oplysningskrav, beskrivelser af de indsamlede data og af de myndigheder, der opbevarer dem</w:t>
      </w:r>
    </w:p>
    <w:p w14:paraId="67B2A52E" w14:textId="77777777" w:rsidR="005C2C74" w:rsidRPr="00E649AE" w:rsidRDefault="005C2C74" w:rsidP="00902D9C">
      <w:pPr>
        <w:widowControl/>
        <w:spacing w:before="120" w:after="120"/>
        <w:ind w:left="1418" w:hanging="567"/>
        <w:rPr>
          <w:rFonts w:eastAsia="Calibri"/>
          <w:b/>
          <w:i/>
          <w:szCs w:val="22"/>
        </w:rPr>
      </w:pPr>
      <w:r w:rsidRPr="00E649AE">
        <w:rPr>
          <w:b/>
          <w:i/>
        </w:rPr>
        <w:t>c)</w:t>
      </w:r>
      <w:r w:rsidRPr="00E649AE">
        <w:rPr>
          <w:b/>
          <w:i/>
        </w:rPr>
        <w:tab/>
        <w:t xml:space="preserve"> et centralt dataområde, inklusive den tekniske udformning til indsamling og udveksling af oplysninger, og </w:t>
      </w:r>
    </w:p>
    <w:p w14:paraId="4B77D384" w14:textId="77777777" w:rsidR="005C2C74" w:rsidRPr="00E649AE" w:rsidRDefault="005C2C74" w:rsidP="00902D9C">
      <w:pPr>
        <w:widowControl/>
        <w:spacing w:before="120" w:after="120"/>
        <w:ind w:left="1418" w:hanging="567"/>
        <w:rPr>
          <w:rFonts w:eastAsia="Calibri"/>
          <w:b/>
          <w:i/>
          <w:szCs w:val="22"/>
        </w:rPr>
      </w:pPr>
      <w:r w:rsidRPr="00E649AE">
        <w:rPr>
          <w:b/>
          <w:i/>
        </w:rPr>
        <w:t xml:space="preserve">d) </w:t>
      </w:r>
      <w:r w:rsidRPr="00E649AE">
        <w:rPr>
          <w:b/>
          <w:i/>
        </w:rPr>
        <w:tab/>
        <w:t xml:space="preserve">et permanent fælles kontaktpunkt for enheder til at angive tilfælde af dobbeltindberetning og overflødige eller forældede indberetnings- eller oplysningskrav. </w:t>
      </w:r>
    </w:p>
    <w:p w14:paraId="4EFA47D1" w14:textId="77777777" w:rsidR="005C2C74" w:rsidRPr="00E649AE" w:rsidRDefault="005C2C74" w:rsidP="00902D9C">
      <w:pPr>
        <w:widowControl/>
        <w:spacing w:before="120" w:after="120"/>
        <w:ind w:left="851"/>
        <w:rPr>
          <w:rFonts w:eastAsia="Calibri"/>
          <w:b/>
          <w:i/>
          <w:szCs w:val="22"/>
        </w:rPr>
      </w:pPr>
      <w:r w:rsidRPr="00E649AE">
        <w:rPr>
          <w:b/>
          <w:i/>
        </w:rPr>
        <w:t xml:space="preserve">Rapporten ledsages i tæt samarbejde med Kommissionen af et overslag over de samlede finansielle følger. </w:t>
      </w:r>
    </w:p>
    <w:p w14:paraId="72A20719" w14:textId="77777777" w:rsidR="005C2C74" w:rsidRPr="00E649AE" w:rsidRDefault="005C2C74" w:rsidP="00902D9C">
      <w:pPr>
        <w:widowControl/>
        <w:spacing w:before="120" w:after="120"/>
        <w:ind w:left="851"/>
        <w:rPr>
          <w:rFonts w:eastAsia="Calibri"/>
          <w:b/>
          <w:i/>
          <w:szCs w:val="22"/>
        </w:rPr>
      </w:pPr>
      <w:r w:rsidRPr="00E649AE">
        <w:rPr>
          <w:b/>
          <w:i/>
        </w:rPr>
        <w:t xml:space="preserve">Kommissionen forelægger, hvis det er relevant, Europa-Parlamentet og Rådet et lovgivningsforslag for at sikre de nødvendige finansielle, menneskelige ressourcer og IT-ressourcer til etableringen af det fælles integrerede indberetningssystem senest … [tre år fra datoen for denne ændringsforordnings ikrafttræden]. </w:t>
      </w:r>
    </w:p>
    <w:p w14:paraId="4CF732AE" w14:textId="77777777" w:rsidR="005C2C74" w:rsidRPr="00E649AE" w:rsidRDefault="005C2C74" w:rsidP="00902D9C">
      <w:pPr>
        <w:widowControl/>
        <w:spacing w:before="120" w:after="120"/>
        <w:ind w:left="851"/>
        <w:rPr>
          <w:rFonts w:eastAsia="Calibri"/>
          <w:szCs w:val="22"/>
        </w:rPr>
      </w:pPr>
      <w:r w:rsidRPr="00E649AE">
        <w:rPr>
          <w:b/>
          <w:i/>
        </w:rPr>
        <w:t>ESRB opretter sammen med de øvrige myndigheder det fælles integrerede indberetningssystem senest … [tre år fra datoen for denne ændringsforordnings ikrafttræden]."</w:t>
      </w:r>
      <w:r w:rsidRPr="00E649AE">
        <w:t xml:space="preserve"> </w:t>
      </w:r>
    </w:p>
    <w:p w14:paraId="42602CEE" w14:textId="77777777" w:rsidR="005C2C74" w:rsidRPr="00E649AE" w:rsidRDefault="005C2C74" w:rsidP="005C2C74">
      <w:pPr>
        <w:keepNext/>
        <w:widowControl/>
        <w:spacing w:before="360" w:after="120"/>
        <w:jc w:val="center"/>
        <w:rPr>
          <w:rFonts w:eastAsia="Calibri"/>
          <w:i/>
          <w:szCs w:val="22"/>
        </w:rPr>
      </w:pPr>
      <w:r w:rsidRPr="00E649AE">
        <w:rPr>
          <w:i/>
        </w:rPr>
        <w:t>Artikel 2</w:t>
      </w:r>
    </w:p>
    <w:p w14:paraId="7EA879A1" w14:textId="77777777" w:rsidR="005C2C74" w:rsidRPr="00E649AE" w:rsidRDefault="005C2C74" w:rsidP="005C2C74">
      <w:pPr>
        <w:widowControl/>
        <w:spacing w:before="120" w:after="120"/>
        <w:jc w:val="center"/>
        <w:rPr>
          <w:rFonts w:eastAsia="Calibri"/>
          <w:szCs w:val="22"/>
        </w:rPr>
      </w:pPr>
      <w:r w:rsidRPr="00E649AE">
        <w:rPr>
          <w:b/>
        </w:rPr>
        <w:t>Ændring af forordning (EU) nr. 1093/2010</w:t>
      </w:r>
    </w:p>
    <w:p w14:paraId="204F0728" w14:textId="77777777" w:rsidR="005C2C74" w:rsidRPr="00E649AE" w:rsidRDefault="005C2C74" w:rsidP="00902D9C">
      <w:pPr>
        <w:widowControl/>
        <w:spacing w:before="120" w:after="120"/>
        <w:rPr>
          <w:rFonts w:eastAsia="Calibri"/>
          <w:szCs w:val="22"/>
        </w:rPr>
      </w:pPr>
      <w:r w:rsidRPr="00E649AE">
        <w:t>I forordning (EU) nr. 1093/2010 foretages følgende ændringer: </w:t>
      </w:r>
    </w:p>
    <w:p w14:paraId="12D25224" w14:textId="77777777" w:rsidR="005C2C74" w:rsidRPr="00E649AE" w:rsidRDefault="005C2C74" w:rsidP="00902D9C">
      <w:pPr>
        <w:widowControl/>
        <w:spacing w:before="120" w:after="120"/>
        <w:ind w:left="850" w:hanging="850"/>
        <w:rPr>
          <w:rFonts w:eastAsia="Calibri"/>
          <w:b/>
          <w:i/>
          <w:szCs w:val="22"/>
        </w:rPr>
      </w:pPr>
      <w:r w:rsidRPr="00E649AE">
        <w:rPr>
          <w:b/>
          <w:i/>
        </w:rPr>
        <w:t>-1.</w:t>
      </w:r>
      <w:r w:rsidRPr="00E649AE">
        <w:rPr>
          <w:b/>
          <w:i/>
        </w:rPr>
        <w:tab/>
        <w:t>I artikel 16a, stk. 1, indsættes følgende afsnit:</w:t>
      </w:r>
    </w:p>
    <w:p w14:paraId="29A5E2EE" w14:textId="77777777" w:rsidR="005C2C74" w:rsidRPr="00E649AE" w:rsidRDefault="005C2C74" w:rsidP="00902D9C">
      <w:pPr>
        <w:widowControl/>
        <w:spacing w:before="120" w:after="120"/>
        <w:ind w:left="851"/>
        <w:rPr>
          <w:rFonts w:eastAsia="Calibri"/>
          <w:b/>
          <w:i/>
          <w:szCs w:val="22"/>
        </w:rPr>
      </w:pPr>
      <w:r w:rsidRPr="00E649AE">
        <w:rPr>
          <w:b/>
          <w:i/>
        </w:rPr>
        <w:t>"Myndighedens udtalelser er ikke begrænset til igangværende lovgivningsprocedurer. Myndigheden kan også i sine udtalelser, hvis det er relevant, foreslå ændringer til gældende retsakter, herunder ændringer, der har til formål:</w:t>
      </w:r>
    </w:p>
    <w:p w14:paraId="5BFF929C" w14:textId="77777777" w:rsidR="005C2C74" w:rsidRPr="00E649AE" w:rsidRDefault="005C2C74" w:rsidP="00902D9C">
      <w:pPr>
        <w:widowControl/>
        <w:spacing w:before="120" w:after="120"/>
        <w:ind w:left="1418" w:hanging="567"/>
        <w:rPr>
          <w:rFonts w:eastAsia="Calibri"/>
          <w:b/>
          <w:i/>
          <w:szCs w:val="22"/>
        </w:rPr>
      </w:pPr>
      <w:r w:rsidRPr="00E649AE">
        <w:rPr>
          <w:b/>
          <w:i/>
        </w:rPr>
        <w:t>a)</w:t>
      </w:r>
      <w:r w:rsidRPr="00E649AE">
        <w:rPr>
          <w:b/>
          <w:i/>
        </w:rPr>
        <w:tab/>
        <w:t xml:space="preserve"> at fjerne overflødige eller forældede indberetnings- og oplysningskrav i EU-retten eller medlemsstaternes nationale gennemførelse af EU-retten</w:t>
      </w:r>
    </w:p>
    <w:p w14:paraId="76A855D1" w14:textId="77777777" w:rsidR="005C2C74" w:rsidRPr="00E649AE" w:rsidRDefault="005C2C74" w:rsidP="00902D9C">
      <w:pPr>
        <w:widowControl/>
        <w:spacing w:before="120" w:after="120"/>
        <w:ind w:left="1418" w:hanging="567"/>
        <w:rPr>
          <w:rFonts w:eastAsia="Calibri"/>
          <w:b/>
          <w:i/>
          <w:szCs w:val="22"/>
        </w:rPr>
      </w:pPr>
      <w:r w:rsidRPr="00E649AE">
        <w:rPr>
          <w:b/>
          <w:i/>
        </w:rPr>
        <w:t>b)</w:t>
      </w:r>
      <w:r w:rsidRPr="00E649AE">
        <w:rPr>
          <w:b/>
          <w:i/>
        </w:rPr>
        <w:tab/>
        <w:t xml:space="preserve"> at sikre ensartede indberetnings- og oplysningskrav på tværs af sektorspecifik og tværsektoriel lovgivning</w:t>
      </w:r>
    </w:p>
    <w:p w14:paraId="32F12963" w14:textId="77777777" w:rsidR="005C2C74" w:rsidRPr="00E649AE" w:rsidRDefault="005C2C74" w:rsidP="00902D9C">
      <w:pPr>
        <w:widowControl/>
        <w:spacing w:before="120" w:after="120"/>
        <w:ind w:left="1418" w:hanging="567"/>
        <w:rPr>
          <w:rFonts w:eastAsia="Calibri"/>
          <w:b/>
          <w:i/>
          <w:szCs w:val="22"/>
        </w:rPr>
      </w:pPr>
      <w:r w:rsidRPr="00E649AE">
        <w:rPr>
          <w:b/>
          <w:i/>
        </w:rPr>
        <w:t xml:space="preserve">c) </w:t>
      </w:r>
      <w:r w:rsidRPr="00E649AE">
        <w:rPr>
          <w:b/>
          <w:i/>
        </w:rPr>
        <w:tab/>
        <w:t xml:space="preserve">at sikre proportionalitet i indberetnings- og oplysningskrav med hensyn til den indberettende enheds karakter, størrelse og kompleksitet </w:t>
      </w:r>
    </w:p>
    <w:p w14:paraId="68CD9B8C" w14:textId="77777777" w:rsidR="005C2C74" w:rsidRPr="00E649AE" w:rsidRDefault="005C2C74" w:rsidP="00902D9C">
      <w:pPr>
        <w:widowControl/>
        <w:spacing w:before="120" w:after="120"/>
        <w:ind w:left="1418" w:hanging="567"/>
        <w:rPr>
          <w:rFonts w:eastAsia="Calibri"/>
          <w:b/>
          <w:bCs/>
          <w:i/>
          <w:iCs/>
          <w:szCs w:val="22"/>
        </w:rPr>
      </w:pPr>
      <w:r w:rsidRPr="00E649AE">
        <w:rPr>
          <w:b/>
          <w:i/>
        </w:rPr>
        <w:t xml:space="preserve">d) </w:t>
      </w:r>
      <w:r w:rsidRPr="00E649AE">
        <w:rPr>
          <w:b/>
          <w:i/>
        </w:rPr>
        <w:tab/>
        <w:t>at sikre, at overholdelsen af indberetnings- og oplysningskravene står i et rimeligt forhold til den merværdi, som myndighedens opfyldelse af opgaver og mål medfører.</w:t>
      </w:r>
    </w:p>
    <w:p w14:paraId="32D528DF" w14:textId="77777777" w:rsidR="005C2C74" w:rsidRPr="00E649AE" w:rsidRDefault="005C2C74" w:rsidP="00902D9C">
      <w:pPr>
        <w:widowControl/>
        <w:spacing w:before="120" w:after="120"/>
        <w:ind w:left="850" w:firstLine="1"/>
        <w:rPr>
          <w:rFonts w:eastAsia="Calibri"/>
          <w:b/>
          <w:bCs/>
          <w:i/>
          <w:iCs/>
          <w:szCs w:val="22"/>
        </w:rPr>
      </w:pPr>
      <w:r w:rsidRPr="00E649AE">
        <w:rPr>
          <w:b/>
          <w:i/>
        </w:rPr>
        <w:t xml:space="preserve">I forbindelse med udtalelser om gældende lovgivningsmæssige retsakter, jf. første afsnit, skal myndigheden tage behørigt hensyn til input fra alle relevante interessenter gennem en særlig høring. På grundlag af disse udtalelser forelægger Kommissionen om nødvendigt et lovgivningsmæssigt forslag for Europa-Parlamentet og Rådet." </w:t>
      </w:r>
    </w:p>
    <w:p w14:paraId="368DB2C7" w14:textId="77777777" w:rsidR="005C2C74" w:rsidRPr="00E649AE" w:rsidRDefault="005C2C74" w:rsidP="00902D9C">
      <w:pPr>
        <w:widowControl/>
        <w:spacing w:before="120" w:after="120"/>
        <w:ind w:left="850" w:hanging="850"/>
        <w:rPr>
          <w:rFonts w:eastAsia="Calibri"/>
          <w:szCs w:val="22"/>
        </w:rPr>
      </w:pPr>
      <w:r w:rsidRPr="00E649AE">
        <w:t>1.</w:t>
      </w:r>
      <w:r w:rsidRPr="00E649AE">
        <w:tab/>
        <w:t>Artikel 29, stk. 1, litra d), affattes således: </w:t>
      </w:r>
    </w:p>
    <w:p w14:paraId="751045DF" w14:textId="77777777" w:rsidR="005C2C74" w:rsidRPr="00E649AE" w:rsidRDefault="005C2C74" w:rsidP="00902D9C">
      <w:pPr>
        <w:ind w:left="1418" w:hanging="567"/>
        <w:rPr>
          <w:rFonts w:eastAsia="Calibri"/>
          <w:b/>
          <w:i/>
          <w:szCs w:val="22"/>
        </w:rPr>
      </w:pPr>
      <w:r w:rsidRPr="00E649AE">
        <w:t xml:space="preserve">"d) </w:t>
      </w:r>
      <w:r w:rsidRPr="00E649AE">
        <w:rPr>
          <w:b/>
          <w:i/>
        </w:rPr>
        <w:tab/>
      </w:r>
      <w:r w:rsidRPr="00E649AE">
        <w:t xml:space="preserve">at vurdere anvendelsen af de relevante reguleringsmæssige og </w:t>
      </w:r>
      <w:r w:rsidRPr="00E649AE">
        <w:lastRenderedPageBreak/>
        <w:t xml:space="preserve">gennemførelsesmæssige tekniske standarder, der vedtages af Kommissionen, og af retningslinjer og henstillinger udstedt af myndigheden og eventuelt foreslå ændringer hertil, </w:t>
      </w:r>
      <w:r w:rsidRPr="00E649AE">
        <w:rPr>
          <w:b/>
          <w:i/>
        </w:rPr>
        <w:t>samtidig med at anvendeligheden og kvaliteten af dataene bevares, med henblik på at:</w:t>
      </w:r>
    </w:p>
    <w:p w14:paraId="0C556417" w14:textId="77777777" w:rsidR="005C2C74" w:rsidRPr="00E649AE" w:rsidRDefault="005C2C74" w:rsidP="00902D9C">
      <w:pPr>
        <w:widowControl/>
        <w:spacing w:before="120" w:after="120"/>
        <w:ind w:left="1985" w:hanging="567"/>
        <w:rPr>
          <w:rFonts w:eastAsia="Calibri"/>
          <w:b/>
          <w:i/>
          <w:szCs w:val="22"/>
        </w:rPr>
      </w:pPr>
      <w:r w:rsidRPr="00E649AE">
        <w:rPr>
          <w:b/>
          <w:i/>
        </w:rPr>
        <w:t>-</w:t>
      </w:r>
      <w:r w:rsidRPr="00E649AE">
        <w:t xml:space="preserve"> fjerne overflødige eller forældede </w:t>
      </w:r>
      <w:r w:rsidRPr="00E649AE">
        <w:rPr>
          <w:b/>
          <w:i/>
        </w:rPr>
        <w:t>indberetnings- og oplysningskrav</w:t>
      </w:r>
    </w:p>
    <w:p w14:paraId="42ED855F" w14:textId="77777777" w:rsidR="005C2C74" w:rsidRPr="00E649AE" w:rsidRDefault="005C2C74" w:rsidP="00902D9C">
      <w:pPr>
        <w:widowControl/>
        <w:spacing w:before="120" w:after="120"/>
        <w:ind w:left="1985" w:hanging="567"/>
        <w:rPr>
          <w:rFonts w:eastAsia="Calibri"/>
          <w:b/>
          <w:i/>
          <w:szCs w:val="22"/>
        </w:rPr>
      </w:pPr>
      <w:r w:rsidRPr="00E649AE">
        <w:rPr>
          <w:b/>
          <w:i/>
        </w:rPr>
        <w:t>- sikre proportionale og standardiserede indberetnings- og oplysningskrav</w:t>
      </w:r>
    </w:p>
    <w:p w14:paraId="2D225E23" w14:textId="77777777" w:rsidR="005C2C74" w:rsidRPr="00E649AE" w:rsidRDefault="005C2C74" w:rsidP="00902D9C">
      <w:pPr>
        <w:widowControl/>
        <w:spacing w:before="120" w:after="120"/>
        <w:ind w:left="1985" w:hanging="567"/>
        <w:rPr>
          <w:rFonts w:eastAsia="Calibri"/>
          <w:b/>
          <w:i/>
          <w:szCs w:val="22"/>
        </w:rPr>
      </w:pPr>
      <w:r w:rsidRPr="00E649AE">
        <w:rPr>
          <w:b/>
          <w:i/>
        </w:rPr>
        <w:t>-</w:t>
      </w:r>
      <w:r w:rsidRPr="00E649AE">
        <w:t xml:space="preserve"> minimere omkostningerne</w:t>
      </w:r>
    </w:p>
    <w:p w14:paraId="1A822947" w14:textId="77777777" w:rsidR="005C2C74" w:rsidRPr="00E649AE" w:rsidRDefault="005C2C74" w:rsidP="00902D9C">
      <w:pPr>
        <w:widowControl/>
        <w:spacing w:before="120" w:after="120"/>
        <w:ind w:left="1985" w:hanging="567"/>
        <w:rPr>
          <w:rFonts w:eastAsia="Calibri"/>
          <w:b/>
          <w:i/>
          <w:szCs w:val="22"/>
        </w:rPr>
      </w:pPr>
      <w:r w:rsidRPr="00E649AE">
        <w:rPr>
          <w:b/>
          <w:i/>
        </w:rPr>
        <w:t xml:space="preserve">- afhjælpe lovgivningsmæssige huller" </w:t>
      </w:r>
    </w:p>
    <w:p w14:paraId="0E7643FD" w14:textId="77777777" w:rsidR="005C2C74" w:rsidRPr="00E649AE" w:rsidRDefault="005C2C74" w:rsidP="00902D9C">
      <w:pPr>
        <w:widowControl/>
        <w:spacing w:before="120" w:after="120"/>
        <w:ind w:left="851" w:hanging="851"/>
        <w:rPr>
          <w:rFonts w:eastAsia="Calibri"/>
          <w:szCs w:val="22"/>
        </w:rPr>
      </w:pPr>
      <w:r w:rsidRPr="00E649AE">
        <w:t>2.</w:t>
      </w:r>
      <w:r w:rsidRPr="00E649AE">
        <w:tab/>
        <w:t>I artikel 30, stk. 3, tilføjes følgende litra e): </w:t>
      </w:r>
    </w:p>
    <w:p w14:paraId="6A1B076A" w14:textId="77777777" w:rsidR="005C2C74" w:rsidRPr="00E649AE" w:rsidRDefault="005C2C74" w:rsidP="00902D9C">
      <w:pPr>
        <w:ind w:left="1418" w:hanging="567"/>
        <w:rPr>
          <w:rFonts w:eastAsia="Calibri"/>
          <w:szCs w:val="22"/>
        </w:rPr>
      </w:pPr>
      <w:r w:rsidRPr="00E649AE">
        <w:t xml:space="preserve">"e) effektiviteten af de nationale </w:t>
      </w:r>
      <w:r w:rsidRPr="00E649AE">
        <w:rPr>
          <w:b/>
          <w:i/>
        </w:rPr>
        <w:t>indberetnings- oplysningskrav</w:t>
      </w:r>
      <w:r w:rsidRPr="00E649AE">
        <w:t xml:space="preserve"> og graden af konvergens mellem sådanne krav og kravene i EU-retten</w:t>
      </w:r>
      <w:r w:rsidRPr="00E649AE">
        <w:rPr>
          <w:b/>
          <w:i/>
        </w:rPr>
        <w:t>, og deres egnethed for så vidt angår at leve op til de standarder, der er fastsat deri, samtidig med at der tages hensyn til de nationale finansielle jurisdiktioners særlige kendetegn</w:t>
      </w:r>
      <w:r w:rsidRPr="00E649AE">
        <w:t>." </w:t>
      </w:r>
    </w:p>
    <w:p w14:paraId="29F86ACA" w14:textId="77777777" w:rsidR="005C2C74" w:rsidRPr="00E649AE" w:rsidRDefault="005C2C74" w:rsidP="00902D9C">
      <w:pPr>
        <w:widowControl/>
        <w:spacing w:before="120" w:after="120"/>
        <w:ind w:left="851" w:hanging="851"/>
        <w:rPr>
          <w:rFonts w:eastAsia="Calibri"/>
          <w:szCs w:val="22"/>
        </w:rPr>
      </w:pPr>
      <w:r w:rsidRPr="00E649AE">
        <w:t>3.</w:t>
      </w:r>
      <w:r w:rsidRPr="00E649AE">
        <w:tab/>
        <w:t>Artikel 35, stk. 4, affattes således: </w:t>
      </w:r>
    </w:p>
    <w:p w14:paraId="3A2595D5" w14:textId="77777777" w:rsidR="005C2C74" w:rsidRPr="00E649AE" w:rsidRDefault="005C2C74" w:rsidP="00902D9C">
      <w:pPr>
        <w:ind w:left="1418" w:hanging="567"/>
        <w:rPr>
          <w:rFonts w:eastAsia="Calibri"/>
          <w:szCs w:val="22"/>
        </w:rPr>
      </w:pPr>
      <w:r w:rsidRPr="00E649AE">
        <w:t>"4.</w:t>
      </w:r>
      <w:r w:rsidRPr="00E649AE">
        <w:tab/>
        <w:t xml:space="preserve">Før myndigheden anmoder om oplysninger i henhold til denne artikel og for </w:t>
      </w:r>
      <w:r w:rsidRPr="00E649AE">
        <w:rPr>
          <w:b/>
          <w:i/>
        </w:rPr>
        <w:t>sikre, at der ikke er nogen</w:t>
      </w:r>
      <w:r w:rsidRPr="00E649AE">
        <w:t xml:space="preserve"> overlapning af </w:t>
      </w:r>
      <w:r w:rsidRPr="00E649AE">
        <w:rPr>
          <w:b/>
          <w:i/>
        </w:rPr>
        <w:t>indberetnings- og oplysningsforpligtelserne</w:t>
      </w:r>
      <w:r w:rsidRPr="00E649AE">
        <w:t xml:space="preserve">, skal den tage hensyn til oplysninger indsamlet af </w:t>
      </w:r>
      <w:r w:rsidRPr="00E649AE">
        <w:rPr>
          <w:b/>
          <w:i/>
        </w:rPr>
        <w:t>de</w:t>
      </w:r>
      <w:r w:rsidRPr="00E649AE">
        <w:t xml:space="preserve"> andre myndigheder som omhandlet i artikel 35a, stk. </w:t>
      </w:r>
      <w:r w:rsidRPr="00E649AE">
        <w:rPr>
          <w:b/>
          <w:i/>
        </w:rPr>
        <w:t>1b</w:t>
      </w:r>
      <w:r w:rsidRPr="00E649AE">
        <w:t>, og alle relevante eksisterende statistikker, der udarbejdes og formidles af Det Europæiske Statistiske System og Det Europæiske System af Centralbanker. </w:t>
      </w:r>
    </w:p>
    <w:p w14:paraId="4EF1ED09" w14:textId="77777777" w:rsidR="005C2C74" w:rsidRPr="00E649AE" w:rsidRDefault="005C2C74" w:rsidP="00902D9C">
      <w:pPr>
        <w:widowControl/>
        <w:tabs>
          <w:tab w:val="left" w:pos="851"/>
        </w:tabs>
        <w:spacing w:before="120" w:after="120"/>
        <w:rPr>
          <w:rFonts w:eastAsia="Calibri"/>
          <w:szCs w:val="22"/>
        </w:rPr>
      </w:pPr>
      <w:r w:rsidRPr="00E649AE">
        <w:t>4.</w:t>
      </w:r>
      <w:r w:rsidRPr="00E649AE">
        <w:tab/>
        <w:t>Følgende indsættes som artikel 35a: </w:t>
      </w:r>
    </w:p>
    <w:p w14:paraId="321F5840" w14:textId="77777777" w:rsidR="005C2C74" w:rsidRPr="00E649AE" w:rsidRDefault="005C2C74" w:rsidP="005C2C74">
      <w:pPr>
        <w:widowControl/>
        <w:spacing w:before="120" w:after="120"/>
        <w:jc w:val="both"/>
        <w:rPr>
          <w:rFonts w:eastAsia="Calibri"/>
          <w:szCs w:val="22"/>
          <w:lang w:eastAsia="en-US"/>
        </w:rPr>
      </w:pPr>
    </w:p>
    <w:p w14:paraId="77894AE4" w14:textId="77777777" w:rsidR="005C2C74" w:rsidRPr="00E649AE" w:rsidRDefault="005C2C74" w:rsidP="005C2C74">
      <w:pPr>
        <w:widowControl/>
        <w:spacing w:before="120" w:after="120"/>
        <w:jc w:val="center"/>
        <w:rPr>
          <w:rFonts w:eastAsia="Calibri"/>
          <w:szCs w:val="22"/>
        </w:rPr>
      </w:pPr>
      <w:r w:rsidRPr="00E649AE">
        <w:t>"Artikel 35a</w:t>
      </w:r>
    </w:p>
    <w:p w14:paraId="690AFD25" w14:textId="77777777" w:rsidR="005C2C74" w:rsidRPr="00E649AE" w:rsidRDefault="005C2C74" w:rsidP="005C2C74">
      <w:pPr>
        <w:widowControl/>
        <w:spacing w:before="120" w:after="120"/>
        <w:jc w:val="center"/>
        <w:rPr>
          <w:rFonts w:eastAsia="Calibri"/>
          <w:szCs w:val="22"/>
        </w:rPr>
      </w:pPr>
      <w:r w:rsidRPr="00E649AE">
        <w:rPr>
          <w:b/>
        </w:rPr>
        <w:t>Udveksling af oplysninger mellem myndigheder og med andre enheder</w:t>
      </w:r>
    </w:p>
    <w:p w14:paraId="659E5911" w14:textId="77777777" w:rsidR="005C2C74" w:rsidRPr="00E649AE" w:rsidRDefault="005C2C74" w:rsidP="00902D9C">
      <w:pPr>
        <w:widowControl/>
        <w:spacing w:before="120" w:after="120"/>
        <w:ind w:left="851" w:hanging="851"/>
        <w:rPr>
          <w:rFonts w:eastAsia="Calibri"/>
          <w:szCs w:val="22"/>
        </w:rPr>
      </w:pPr>
      <w:r w:rsidRPr="00E649AE">
        <w:t xml:space="preserve">1. </w:t>
      </w:r>
      <w:r w:rsidRPr="00E649AE">
        <w:rPr>
          <w:b/>
          <w:i/>
        </w:rPr>
        <w:tab/>
      </w:r>
      <w:r w:rsidRPr="00E649AE">
        <w:t xml:space="preserve">Myndigheden og de kompetente myndigheder udveksler, fra sag til sag eller regelmæssigt, med </w:t>
      </w:r>
      <w:r w:rsidRPr="00E649AE">
        <w:rPr>
          <w:b/>
          <w:i/>
        </w:rPr>
        <w:t>de</w:t>
      </w:r>
      <w:r w:rsidRPr="00E649AE">
        <w:t xml:space="preserve"> andre myndigheder de oplysninger, som er indhentet fra finansielle institutioner eller andre kompetente myndigheder</w:t>
      </w:r>
      <w:r w:rsidRPr="00E649AE">
        <w:rPr>
          <w:b/>
          <w:i/>
        </w:rPr>
        <w:t>, når den anmodende myndighed har ret til at indhente disse oplysninger i henhold til sin mission, sine målsætninger, opgaver og beføjelser eller i overensstemmelse med relevant EU-ret</w:t>
      </w:r>
      <w:r w:rsidRPr="00E649AE">
        <w:t>.</w:t>
      </w:r>
      <w:r w:rsidRPr="00E649AE">
        <w:rPr>
          <w:b/>
          <w:i/>
        </w:rPr>
        <w:t xml:space="preserve"> </w:t>
      </w:r>
    </w:p>
    <w:p w14:paraId="06CBDF35" w14:textId="77777777" w:rsidR="005C2C74" w:rsidRPr="00E649AE" w:rsidRDefault="005C2C74" w:rsidP="00902D9C">
      <w:pPr>
        <w:widowControl/>
        <w:spacing w:before="120" w:after="120"/>
        <w:ind w:left="851" w:hanging="851"/>
        <w:rPr>
          <w:rFonts w:eastAsia="Calibri"/>
          <w:szCs w:val="22"/>
        </w:rPr>
      </w:pPr>
      <w:r w:rsidRPr="00E649AE">
        <w:t xml:space="preserve">2. </w:t>
      </w:r>
      <w:r w:rsidRPr="00E649AE">
        <w:rPr>
          <w:b/>
          <w:i/>
        </w:rPr>
        <w:tab/>
      </w:r>
      <w:r w:rsidRPr="00E649AE">
        <w:t xml:space="preserve">Anmodningen om udveksling af oplysninger skal indeholde en behørig angivelse af, hvilket retsgrundlag i henhold til EU-retten der gør det muligt for den anmodende myndighed at indhente oplysningerne fra finansielle institutioner eller andre kompetente myndigheder. Den anmodende myndighed og den udvekslende myndighed er underlagt bestemmelserne om tavshedspligt og databeskyttelse som fastsat i artikel 70 og 71 og i sektorspecifik lovgivning, der finder anvendelse på udvekslingen af data mellem den finansielle institution og den anmodende myndighed samt på udvekslingen af data mellem den finansielle institution og den udvekslende myndighed. Den udvekslende myndighed underretter uden unødigt ophold den enkelte relevante finansielle institution ▌, </w:t>
      </w:r>
      <w:r w:rsidRPr="00E649AE">
        <w:rPr>
          <w:b/>
          <w:i/>
        </w:rPr>
        <w:t>med mindre oplysningerne er blevet anonymiseret, ændret, samlet eller behandlet ved hjælp af en anden metode til kontrol med fortrolighed i forbindelse med videregivelse af oplysninger.</w:t>
      </w:r>
      <w:r w:rsidRPr="00E649AE">
        <w:t xml:space="preserve"> </w:t>
      </w:r>
    </w:p>
    <w:p w14:paraId="563EBBA9" w14:textId="77777777" w:rsidR="005C2C74" w:rsidRPr="00E649AE" w:rsidRDefault="005C2C74" w:rsidP="00902D9C">
      <w:pPr>
        <w:widowControl/>
        <w:spacing w:before="120" w:after="120"/>
        <w:ind w:left="851" w:hanging="851"/>
        <w:rPr>
          <w:rFonts w:eastAsia="Calibri"/>
          <w:szCs w:val="22"/>
        </w:rPr>
      </w:pPr>
      <w:r w:rsidRPr="00E649AE">
        <w:t xml:space="preserve">3. </w:t>
      </w:r>
      <w:r w:rsidRPr="00E649AE">
        <w:rPr>
          <w:b/>
          <w:i/>
        </w:rPr>
        <w:tab/>
      </w:r>
      <w:r w:rsidRPr="00E649AE">
        <w:t xml:space="preserve">Stk. 1, </w:t>
      </w:r>
      <w:r w:rsidRPr="00E649AE">
        <w:rPr>
          <w:b/>
          <w:i/>
        </w:rPr>
        <w:t>1a</w:t>
      </w:r>
      <w:r w:rsidRPr="00E649AE">
        <w:t xml:space="preserve"> og 2 finder også anvendelse på oplysninger, som den udvekslende myndighed har modtaget fra en finansiel institution </w:t>
      </w:r>
      <w:r w:rsidRPr="00E649AE">
        <w:rPr>
          <w:b/>
          <w:i/>
        </w:rPr>
        <w:t>eller de andre myndigheder</w:t>
      </w:r>
      <w:r w:rsidRPr="00E649AE">
        <w:t xml:space="preserve">, og </w:t>
      </w:r>
      <w:r w:rsidRPr="00E649AE">
        <w:lastRenderedPageBreak/>
        <w:t xml:space="preserve">som den udvekslende myndighed efterfølgende har kvalitetskontrolleret eller på anden måde har behandlet. </w:t>
      </w:r>
    </w:p>
    <w:p w14:paraId="3FB22035" w14:textId="77777777" w:rsidR="005C2C74" w:rsidRPr="00E649AE" w:rsidRDefault="005C2C74" w:rsidP="00902D9C">
      <w:pPr>
        <w:widowControl/>
        <w:spacing w:before="120" w:after="120"/>
        <w:ind w:left="851" w:hanging="851"/>
        <w:rPr>
          <w:rFonts w:eastAsia="Calibri"/>
          <w:b/>
          <w:i/>
          <w:szCs w:val="22"/>
        </w:rPr>
      </w:pPr>
      <w:r w:rsidRPr="00E649AE">
        <w:t xml:space="preserve">4. </w:t>
      </w:r>
      <w:r w:rsidRPr="00E649AE">
        <w:rPr>
          <w:b/>
          <w:i/>
        </w:rPr>
        <w:tab/>
      </w:r>
      <w:r w:rsidRPr="00E649AE">
        <w:t xml:space="preserve">Med henblik på udveksling af oplysninger som omhandlet i stk. 1, </w:t>
      </w:r>
      <w:r w:rsidRPr="00E649AE">
        <w:rPr>
          <w:b/>
          <w:i/>
        </w:rPr>
        <w:t>1a,</w:t>
      </w:r>
      <w:r w:rsidRPr="00E649AE">
        <w:t xml:space="preserve"> 2 og 3 </w:t>
      </w:r>
      <w:r w:rsidRPr="00E649AE">
        <w:rPr>
          <w:b/>
          <w:i/>
        </w:rPr>
        <w:t>indgår myndigheden og</w:t>
      </w:r>
      <w:r w:rsidRPr="00E649AE">
        <w:t xml:space="preserve"> de </w:t>
      </w:r>
      <w:r w:rsidRPr="00E649AE">
        <w:rPr>
          <w:b/>
          <w:i/>
        </w:rPr>
        <w:t>andre</w:t>
      </w:r>
      <w:r w:rsidRPr="00E649AE">
        <w:t xml:space="preserve"> myndigheder ▌aftalememoranda for at fastsætte de nærmere bestemmelser for udvekslingen af oplysninger. De </w:t>
      </w:r>
      <w:r w:rsidRPr="00E649AE">
        <w:rPr>
          <w:b/>
          <w:i/>
        </w:rPr>
        <w:t>fastlægger</w:t>
      </w:r>
      <w:r w:rsidRPr="00E649AE">
        <w:t xml:space="preserve"> også ordninger for deling af ressourcer til indsamling og behandling af sådanne delte data</w:t>
      </w:r>
      <w:r w:rsidRPr="00E649AE">
        <w:rPr>
          <w:b/>
          <w:i/>
        </w:rPr>
        <w:t>, forudsat at de overholder de gældende bestemmelser for databeskyttelse, intellektuelle ejendomsrettigheder og tavshedspligt</w:t>
      </w:r>
      <w:r w:rsidRPr="00E649AE">
        <w:t>. </w:t>
      </w:r>
      <w:r w:rsidRPr="00E649AE">
        <w:rPr>
          <w:b/>
          <w:i/>
        </w:rPr>
        <w:t>Aftalememoranda skal efter aftale mellem alle de berørte myndigheder følge et enkelt og standardiseret format, der, hvor det er nødvendigt, er skræddersyet til de særlige driftsbetingelser, som måtte gælde for specifikke myndigheder.</w:t>
      </w:r>
    </w:p>
    <w:p w14:paraId="2F8A549E" w14:textId="77777777" w:rsidR="005C2C74" w:rsidRPr="00E649AE" w:rsidRDefault="005C2C74" w:rsidP="00902D9C">
      <w:pPr>
        <w:widowControl/>
        <w:spacing w:before="120" w:after="120"/>
        <w:ind w:left="851" w:hanging="851"/>
        <w:rPr>
          <w:rFonts w:eastAsia="Calibri"/>
          <w:b/>
          <w:i/>
          <w:szCs w:val="22"/>
        </w:rPr>
      </w:pPr>
      <w:r w:rsidRPr="00E649AE">
        <w:t xml:space="preserve">5. </w:t>
      </w:r>
      <w:r w:rsidRPr="00E649AE">
        <w:rPr>
          <w:b/>
          <w:i/>
        </w:rPr>
        <w:tab/>
      </w:r>
      <w:r w:rsidRPr="00E649AE">
        <w:t xml:space="preserve">Stk. 1-4 berører ikke beskyttelsen af intellektuelle ejendomsrettigheder og forhindrer eller begrænser ikke udvekslingen af oplysninger mellem </w:t>
      </w:r>
      <w:r w:rsidRPr="00E649AE">
        <w:rPr>
          <w:b/>
          <w:i/>
        </w:rPr>
        <w:t>myndigheden og de andre</w:t>
      </w:r>
      <w:r w:rsidRPr="00E649AE">
        <w:t xml:space="preserve"> myndigheder i overensstemmelse med bestemmelserne i anden EU-lovgivning. Hvis bestemmelserne i denne artikel er i strid med bestemmelser i anden EU-lovgivning, der regulerer udvekslingen af oplysninger mellem de </w:t>
      </w:r>
      <w:r w:rsidRPr="00E649AE">
        <w:rPr>
          <w:b/>
          <w:i/>
        </w:rPr>
        <w:t>andre</w:t>
      </w:r>
      <w:r w:rsidRPr="00E649AE">
        <w:t xml:space="preserve"> myndigheder▌, har bestemmelserne i denne anden EU-lovgivning forrang.</w:t>
      </w:r>
    </w:p>
    <w:p w14:paraId="68DCF030" w14:textId="77777777" w:rsidR="005C2C74" w:rsidRPr="00E649AE" w:rsidRDefault="005C2C74" w:rsidP="00902D9C">
      <w:pPr>
        <w:widowControl/>
        <w:spacing w:before="120" w:after="120"/>
        <w:ind w:left="851" w:hanging="851"/>
        <w:rPr>
          <w:rFonts w:eastAsia="Calibri"/>
          <w:b/>
          <w:i/>
          <w:szCs w:val="22"/>
        </w:rPr>
      </w:pPr>
      <w:r w:rsidRPr="00E649AE">
        <w:t xml:space="preserve">6. </w:t>
      </w:r>
      <w:r w:rsidRPr="00E649AE">
        <w:rPr>
          <w:b/>
          <w:i/>
        </w:rPr>
        <w:tab/>
      </w:r>
      <w:r w:rsidRPr="00E649AE">
        <w:t>Uden at det berører andre forpligtelser, der er fastsat i EU-retten vedrørende udveksling af oplysninger,</w:t>
      </w:r>
      <w:r w:rsidRPr="00E649AE">
        <w:rPr>
          <w:b/>
          <w:bCs/>
          <w:i/>
          <w:iCs/>
        </w:rPr>
        <w:t xml:space="preserve"> kan</w:t>
      </w:r>
      <w:r w:rsidRPr="00E649AE">
        <w:t xml:space="preserve"> myndigheden og de kompetente myndigheder efter begrundet anmodning og fra sag til sag lade Kommissionen ▌få del i oplysninger, som finansielle institutioner har indberettet til dem i overensstemmelse med deres forpligtelser i henhold til EU-retten, ▌</w:t>
      </w:r>
      <w:bookmarkStart w:id="7" w:name="_Hlk145611591"/>
      <w:r w:rsidRPr="00E649AE">
        <w:t xml:space="preserve">i en form, der ikke gør det muligt at identificere individuelle enheder, og som ikke indeholder personoplysninger. </w:t>
      </w:r>
      <w:r w:rsidRPr="00E649AE">
        <w:rPr>
          <w:b/>
          <w:i/>
        </w:rPr>
        <w:t>De myndigheder, som har fremsendt sådanne oplysninger, underrettes behørigt om den udveksling, der har fundet sted.</w:t>
      </w:r>
    </w:p>
    <w:bookmarkEnd w:id="7"/>
    <w:p w14:paraId="7EF74384" w14:textId="77777777" w:rsidR="005C2C74" w:rsidRPr="00E649AE" w:rsidRDefault="005C2C74" w:rsidP="00902D9C">
      <w:pPr>
        <w:widowControl/>
        <w:spacing w:before="120" w:after="120"/>
        <w:ind w:left="851" w:hanging="851"/>
        <w:rPr>
          <w:rFonts w:eastAsia="Calibri"/>
          <w:szCs w:val="22"/>
        </w:rPr>
      </w:pPr>
      <w:r w:rsidRPr="00E649AE">
        <w:t xml:space="preserve">7. </w:t>
      </w:r>
      <w:r w:rsidRPr="00E649AE">
        <w:rPr>
          <w:b/>
          <w:i/>
        </w:rPr>
        <w:tab/>
      </w:r>
      <w:r w:rsidRPr="00E649AE">
        <w:t xml:space="preserve">Myndigheden og de kompetente myndigheder kan give adgang til oplysninger, som er indhentet i forbindelse med udførelsen af deres opgaver, således at de kan videreanvendes af finansielle institutioner, forskere og andre enheder, der har en berettiget interesse i sådanne oplysninger, med henblik på forskning og innovation, forudsat at myndigheden har sikret, at følgende betingelser er opfyldt: </w:t>
      </w:r>
    </w:p>
    <w:p w14:paraId="6EE6163D" w14:textId="77777777" w:rsidR="005C2C74" w:rsidRPr="00E649AE" w:rsidRDefault="005C2C74" w:rsidP="00902D9C">
      <w:pPr>
        <w:widowControl/>
        <w:spacing w:before="120" w:after="120"/>
        <w:ind w:left="1418" w:hanging="567"/>
        <w:rPr>
          <w:rFonts w:eastAsia="Calibri"/>
          <w:szCs w:val="22"/>
        </w:rPr>
      </w:pPr>
      <w:r w:rsidRPr="00E649AE">
        <w:t xml:space="preserve">a) </w:t>
      </w:r>
      <w:r w:rsidRPr="00E649AE">
        <w:rPr>
          <w:b/>
          <w:i/>
        </w:rPr>
        <w:tab/>
      </w:r>
      <w:r w:rsidRPr="00E649AE">
        <w:t>Oplysningerne er blevet anonymiseret på en sådan måde, at den registrerede eller den finansielle institution ikke længere kan identificeres.</w:t>
      </w:r>
    </w:p>
    <w:p w14:paraId="0BF00299" w14:textId="77777777" w:rsidR="005C2C74" w:rsidRPr="00E649AE" w:rsidRDefault="005C2C74" w:rsidP="00902D9C">
      <w:pPr>
        <w:widowControl/>
        <w:spacing w:before="120" w:after="120"/>
        <w:ind w:left="1418" w:hanging="567"/>
        <w:rPr>
          <w:rFonts w:eastAsia="Calibri"/>
          <w:szCs w:val="22"/>
        </w:rPr>
      </w:pPr>
      <w:r w:rsidRPr="00E649AE">
        <w:t xml:space="preserve">b) </w:t>
      </w:r>
      <w:r w:rsidRPr="00E649AE">
        <w:rPr>
          <w:b/>
          <w:i/>
        </w:rPr>
        <w:tab/>
      </w:r>
      <w:r w:rsidRPr="00E649AE">
        <w:t xml:space="preserve">Oplysningerne er blevet ændret, sammenfattet eller behandlet efter en anden metode til kontrol med fortrolighed i forbindelse med videregivelse af oplysninger, herunder forretningshemmeligheder eller indhold, der er beskyttet af intellektuelle ejendomsrettigheder. </w:t>
      </w:r>
    </w:p>
    <w:p w14:paraId="11A0525F" w14:textId="77777777" w:rsidR="005C2C74" w:rsidRPr="00E649AE" w:rsidRDefault="005C2C74" w:rsidP="00902D9C">
      <w:pPr>
        <w:widowControl/>
        <w:spacing w:before="120" w:after="120"/>
        <w:ind w:left="1418"/>
        <w:rPr>
          <w:rFonts w:eastAsia="Calibri"/>
          <w:szCs w:val="22"/>
        </w:rPr>
      </w:pPr>
      <w:r w:rsidRPr="00E649AE">
        <w:t xml:space="preserve">Oplysninger, der modtages fra en anden myndighed, må kun videregives </w:t>
      </w:r>
      <w:r w:rsidRPr="00E649AE">
        <w:rPr>
          <w:b/>
          <w:i/>
        </w:rPr>
        <w:t>på dette grundlag</w:t>
      </w:r>
      <w:r w:rsidRPr="00E649AE">
        <w:t xml:space="preserve"> med samtykke fra den myndighed, der oprindeligt indhentede oplysningerne.</w:t>
      </w:r>
    </w:p>
    <w:p w14:paraId="4E84AF1F" w14:textId="77777777" w:rsidR="005C2C74" w:rsidRPr="00E649AE" w:rsidRDefault="005C2C74" w:rsidP="00902D9C">
      <w:pPr>
        <w:widowControl/>
        <w:spacing w:before="120" w:after="120"/>
        <w:ind w:left="851" w:hanging="851"/>
        <w:rPr>
          <w:rFonts w:eastAsia="Calibri"/>
          <w:b/>
          <w:i/>
          <w:szCs w:val="22"/>
        </w:rPr>
      </w:pPr>
      <w:r w:rsidRPr="00E649AE">
        <w:rPr>
          <w:b/>
          <w:i/>
        </w:rPr>
        <w:t>7a.</w:t>
      </w:r>
      <w:r w:rsidRPr="00E649AE">
        <w:rPr>
          <w:b/>
          <w:i/>
        </w:rPr>
        <w:tab/>
        <w:t>Myndigheden og de kompetente myndigheder rapporterer senest … [et år fra datoen for denne ændringsforordnings ikrafttræden] til Kommissionen om alle juridiske hindringer i sektorspecifikke forordninger, der på nogen måde forhindrer dem i at udveksle oplysninger med de andre myndigheder eller med andre enheder. Rapporten kan også omfatte ikkevæsentlige, forældede, overlappende eller på anden vis irrelevante indberetningskrav samt forslag til at sikre konsekvensen mellem indberetningskrav til finansielle og ikkefinansielle virksomheder.</w:t>
      </w:r>
    </w:p>
    <w:p w14:paraId="533F2355" w14:textId="77777777" w:rsidR="005C2C74" w:rsidRPr="00E649AE" w:rsidRDefault="005C2C74" w:rsidP="00902D9C">
      <w:pPr>
        <w:widowControl/>
        <w:spacing w:before="120" w:after="120"/>
        <w:ind w:left="851"/>
        <w:rPr>
          <w:rFonts w:eastAsia="Calibri"/>
          <w:szCs w:val="22"/>
        </w:rPr>
      </w:pPr>
      <w:r w:rsidRPr="00E649AE">
        <w:rPr>
          <w:b/>
          <w:bCs/>
          <w:i/>
          <w:iCs/>
        </w:rPr>
        <w:lastRenderedPageBreak/>
        <w:t>På grundlag af denne rapport og under behørig hensyntagen til beskyttelsen af intellektuelle ejendomsrettigheder, tavshedspligt og databeskyttelse forelægger Kommissionen, hvor det er relevant, et lovgivningsforslag for Europa-Parlamentet og for Rådet med henblik på at fjerne sådanne juridiske hindringer i sektorlovgivningen for at fremme udvekslingen af oplysninger mellem myndigheder og med andre enheder senest … [to år fra datoen for denne ændringsforordnings ikrafttræden].</w:t>
      </w:r>
      <w:r w:rsidRPr="00E649AE">
        <w:t>" </w:t>
      </w:r>
    </w:p>
    <w:p w14:paraId="383B635F" w14:textId="77777777" w:rsidR="005C2C74" w:rsidRPr="00E649AE" w:rsidRDefault="005C2C74" w:rsidP="008476E1">
      <w:pPr>
        <w:widowControl/>
        <w:spacing w:before="120" w:after="120"/>
        <w:ind w:left="851" w:hanging="851"/>
        <w:rPr>
          <w:rFonts w:eastAsia="Calibri"/>
          <w:szCs w:val="24"/>
        </w:rPr>
      </w:pPr>
      <w:r w:rsidRPr="00E649AE">
        <w:rPr>
          <w:b/>
          <w:i/>
        </w:rPr>
        <w:t>4a.</w:t>
      </w:r>
      <w:r w:rsidRPr="00E649AE">
        <w:rPr>
          <w:b/>
          <w:i/>
        </w:rPr>
        <w:tab/>
        <w:t>Følgende artikel indsættes:</w:t>
      </w:r>
      <w:r w:rsidRPr="00E649AE">
        <w:t xml:space="preserve"> </w:t>
      </w:r>
    </w:p>
    <w:p w14:paraId="59601824" w14:textId="77777777" w:rsidR="005C2C74" w:rsidRPr="00E649AE" w:rsidRDefault="005C2C74" w:rsidP="00A07C5D">
      <w:pPr>
        <w:widowControl/>
        <w:spacing w:before="120" w:after="120"/>
        <w:rPr>
          <w:rFonts w:eastAsia="Calibri"/>
          <w:b/>
          <w:i/>
          <w:szCs w:val="22"/>
        </w:rPr>
      </w:pPr>
      <w:r w:rsidRPr="00E649AE">
        <w:rPr>
          <w:b/>
          <w:i/>
        </w:rPr>
        <w:t>"Artikel 35b</w:t>
      </w:r>
    </w:p>
    <w:p w14:paraId="568AF4BE" w14:textId="77777777" w:rsidR="005C2C74" w:rsidRPr="00E649AE" w:rsidRDefault="005C2C74" w:rsidP="00FC36E0">
      <w:pPr>
        <w:widowControl/>
        <w:spacing w:before="120" w:after="120"/>
        <w:rPr>
          <w:rFonts w:eastAsia="Calibri"/>
          <w:b/>
          <w:i/>
          <w:szCs w:val="22"/>
        </w:rPr>
      </w:pPr>
      <w:r w:rsidRPr="00E649AE">
        <w:rPr>
          <w:b/>
          <w:i/>
        </w:rPr>
        <w:t>Oprettelse af et fælles integreret indberetningssystem</w:t>
      </w:r>
    </w:p>
    <w:p w14:paraId="2BDC0ACC" w14:textId="77777777" w:rsidR="005C2C74" w:rsidRPr="00E649AE" w:rsidRDefault="005C2C74" w:rsidP="00902D9C">
      <w:pPr>
        <w:widowControl/>
        <w:spacing w:before="120" w:after="120"/>
        <w:ind w:left="851" w:hanging="851"/>
        <w:rPr>
          <w:rFonts w:eastAsia="Calibri"/>
          <w:b/>
          <w:i/>
          <w:szCs w:val="22"/>
        </w:rPr>
      </w:pPr>
      <w:r w:rsidRPr="00E649AE">
        <w:rPr>
          <w:b/>
          <w:i/>
        </w:rPr>
        <w:t xml:space="preserve">1. </w:t>
      </w:r>
      <w:r w:rsidRPr="00E649AE">
        <w:rPr>
          <w:b/>
          <w:i/>
        </w:rPr>
        <w:tab/>
        <w:t xml:space="preserve">Senest … [to år fra datoen for denne ændringsforordnings ikrafttræden] udarbejder Myndigheden i tæt samarbejde med de andre myndigheder og ESCB en rapport om de tekniske detaljer i oprettelsen af et fælles integreret indberetningssystem samt en køreplan baseret på arbejdet med integration af </w:t>
      </w:r>
      <w:proofErr w:type="spellStart"/>
      <w:r w:rsidRPr="00E649AE">
        <w:rPr>
          <w:b/>
          <w:i/>
        </w:rPr>
        <w:t>ESA'ernes</w:t>
      </w:r>
      <w:proofErr w:type="spellEnd"/>
      <w:r w:rsidRPr="00E649AE">
        <w:rPr>
          <w:b/>
          <w:i/>
        </w:rPr>
        <w:t xml:space="preserve"> indberetning inden for deres sektorer og inkluderer </w:t>
      </w:r>
      <w:proofErr w:type="gramStart"/>
      <w:r w:rsidRPr="00E649AE">
        <w:rPr>
          <w:b/>
          <w:i/>
        </w:rPr>
        <w:t>heri</w:t>
      </w:r>
      <w:proofErr w:type="gramEnd"/>
      <w:r w:rsidRPr="00E649AE">
        <w:rPr>
          <w:b/>
          <w:i/>
        </w:rPr>
        <w:t xml:space="preserve"> en vurdering af omkostninger og fordele. Med henblik på denne rapport skal det fælles integrerede indberetningssystem omfatte:</w:t>
      </w:r>
    </w:p>
    <w:p w14:paraId="3396EB8F" w14:textId="77777777" w:rsidR="005C2C74" w:rsidRPr="00E649AE" w:rsidRDefault="005C2C74" w:rsidP="00902D9C">
      <w:pPr>
        <w:widowControl/>
        <w:spacing w:before="120" w:after="120"/>
        <w:ind w:left="1418" w:hanging="567"/>
        <w:rPr>
          <w:rFonts w:eastAsia="Calibri"/>
          <w:b/>
          <w:i/>
          <w:szCs w:val="22"/>
        </w:rPr>
      </w:pPr>
      <w:r w:rsidRPr="00E649AE">
        <w:rPr>
          <w:b/>
          <w:i/>
        </w:rPr>
        <w:t>a)</w:t>
      </w:r>
      <w:r w:rsidRPr="00E649AE">
        <w:rPr>
          <w:b/>
          <w:i/>
        </w:rPr>
        <w:tab/>
        <w:t xml:space="preserve"> en fælles dataordbog til at sikre konsekvens og klarhed af indberetningskravene og datastandardiseringen</w:t>
      </w:r>
    </w:p>
    <w:p w14:paraId="3FD7904F" w14:textId="77777777" w:rsidR="005C2C74" w:rsidRPr="00E649AE" w:rsidRDefault="005C2C74" w:rsidP="00902D9C">
      <w:pPr>
        <w:widowControl/>
        <w:spacing w:before="120" w:after="120"/>
        <w:ind w:left="1418" w:hanging="567"/>
        <w:rPr>
          <w:rFonts w:eastAsia="Calibri"/>
          <w:b/>
          <w:i/>
          <w:szCs w:val="22"/>
        </w:rPr>
      </w:pPr>
      <w:r w:rsidRPr="00E649AE">
        <w:rPr>
          <w:b/>
          <w:i/>
        </w:rPr>
        <w:t xml:space="preserve">b) </w:t>
      </w:r>
      <w:r w:rsidRPr="00E649AE">
        <w:rPr>
          <w:b/>
          <w:i/>
        </w:rPr>
        <w:tab/>
        <w:t>et fælles register over indberetnings- og oplysningskrav, beskrivelser af de indsamlede data og af de myndigheder, der opbevarer dem</w:t>
      </w:r>
    </w:p>
    <w:p w14:paraId="4BC80BDA" w14:textId="77777777" w:rsidR="005C2C74" w:rsidRPr="00E649AE" w:rsidRDefault="005C2C74" w:rsidP="00902D9C">
      <w:pPr>
        <w:widowControl/>
        <w:spacing w:before="120" w:after="120"/>
        <w:ind w:left="1418" w:hanging="567"/>
        <w:rPr>
          <w:rFonts w:eastAsia="Calibri"/>
          <w:b/>
          <w:i/>
          <w:szCs w:val="22"/>
        </w:rPr>
      </w:pPr>
      <w:r w:rsidRPr="00E649AE">
        <w:rPr>
          <w:b/>
          <w:i/>
        </w:rPr>
        <w:t>c)</w:t>
      </w:r>
      <w:r w:rsidRPr="00E649AE">
        <w:rPr>
          <w:b/>
          <w:i/>
        </w:rPr>
        <w:tab/>
        <w:t xml:space="preserve"> et centralt dataområde, herunder den tekniske udformning til indsamling og udveksling af oplysninger, og</w:t>
      </w:r>
    </w:p>
    <w:p w14:paraId="547B8C47" w14:textId="77777777" w:rsidR="005C2C74" w:rsidRPr="00E649AE" w:rsidRDefault="005C2C74" w:rsidP="00902D9C">
      <w:pPr>
        <w:widowControl/>
        <w:spacing w:before="120" w:after="120"/>
        <w:ind w:left="1418" w:hanging="567"/>
        <w:rPr>
          <w:rFonts w:eastAsia="Calibri"/>
          <w:b/>
          <w:i/>
          <w:szCs w:val="22"/>
        </w:rPr>
      </w:pPr>
      <w:r w:rsidRPr="00E649AE">
        <w:rPr>
          <w:b/>
          <w:i/>
        </w:rPr>
        <w:t xml:space="preserve">d) </w:t>
      </w:r>
      <w:r w:rsidRPr="00E649AE">
        <w:rPr>
          <w:b/>
          <w:i/>
        </w:rPr>
        <w:tab/>
        <w:t>et permanent fælles kontaktpunkt for enheder til at angive tilfælde af dobbeltindberetning og overflødige eller forældede indberetnings- eller oplysningskrav.</w:t>
      </w:r>
    </w:p>
    <w:p w14:paraId="22C150B8" w14:textId="77777777" w:rsidR="005C2C74" w:rsidRPr="00E649AE" w:rsidRDefault="005C2C74" w:rsidP="00902D9C">
      <w:pPr>
        <w:widowControl/>
        <w:spacing w:before="120" w:after="120"/>
        <w:ind w:left="851"/>
        <w:rPr>
          <w:rFonts w:eastAsia="Calibri"/>
          <w:b/>
          <w:i/>
          <w:szCs w:val="22"/>
        </w:rPr>
      </w:pPr>
      <w:r w:rsidRPr="00E649AE">
        <w:rPr>
          <w:b/>
          <w:i/>
        </w:rPr>
        <w:t xml:space="preserve">Rapporten ledsages i tæt samarbejde med Kommissionen af et overslag over de samlede finansielle følger. </w:t>
      </w:r>
    </w:p>
    <w:p w14:paraId="6D425CE9" w14:textId="77777777" w:rsidR="005C2C74" w:rsidRPr="00E649AE" w:rsidRDefault="005C2C74" w:rsidP="00902D9C">
      <w:pPr>
        <w:widowControl/>
        <w:spacing w:before="120" w:after="120"/>
        <w:ind w:left="851"/>
        <w:rPr>
          <w:rFonts w:eastAsia="Calibri"/>
          <w:b/>
          <w:i/>
          <w:szCs w:val="22"/>
        </w:rPr>
      </w:pPr>
      <w:r w:rsidRPr="00E649AE">
        <w:rPr>
          <w:b/>
          <w:i/>
        </w:rPr>
        <w:t xml:space="preserve">Kommissionen forelægger, hvis det er relevant, Europa-Parlamentet og Rådet et lovgivningsforslag for at sikre de nødvendige finansielle, menneskelige ressourcer og IT-ressourcer til etableringen af det fælles integrerede indberetningssystem senest … [tre år fra datoen for denne ændringsforordnings ikrafttræden]. </w:t>
      </w:r>
    </w:p>
    <w:p w14:paraId="25F34E15" w14:textId="77777777" w:rsidR="005C2C74" w:rsidRPr="00E649AE" w:rsidRDefault="005C2C74" w:rsidP="00902D9C">
      <w:pPr>
        <w:widowControl/>
        <w:spacing w:before="120" w:after="120"/>
        <w:ind w:left="851"/>
        <w:rPr>
          <w:rFonts w:eastAsia="Calibri"/>
          <w:b/>
          <w:i/>
          <w:szCs w:val="22"/>
        </w:rPr>
      </w:pPr>
      <w:r w:rsidRPr="00E649AE">
        <w:rPr>
          <w:b/>
          <w:i/>
        </w:rPr>
        <w:t>Myndigheden opretter sammen med de andre myndigheder det fælles integrerede indberetningssystem senest … [tre år fra datoen for denne ændringsforordnings ikrafttræden]."</w:t>
      </w:r>
    </w:p>
    <w:p w14:paraId="020743CA" w14:textId="77777777" w:rsidR="005C2C74" w:rsidRPr="00E649AE" w:rsidRDefault="005C2C74" w:rsidP="00902D9C">
      <w:pPr>
        <w:widowControl/>
        <w:spacing w:before="120" w:after="120"/>
        <w:ind w:left="850" w:hanging="850"/>
        <w:rPr>
          <w:rFonts w:eastAsia="Calibri"/>
          <w:b/>
          <w:i/>
          <w:szCs w:val="22"/>
        </w:rPr>
      </w:pPr>
      <w:r w:rsidRPr="00E649AE">
        <w:rPr>
          <w:b/>
          <w:i/>
        </w:rPr>
        <w:t>4b.</w:t>
      </w:r>
      <w:r w:rsidRPr="00E649AE">
        <w:rPr>
          <w:b/>
          <w:i/>
        </w:rPr>
        <w:tab/>
        <w:t>Artikel 36, stk. 2, affattes således:</w:t>
      </w:r>
    </w:p>
    <w:p w14:paraId="6BC04CC9" w14:textId="543CAEB0" w:rsidR="005C2C74" w:rsidRPr="00E649AE" w:rsidRDefault="008876E6" w:rsidP="00902D9C">
      <w:pPr>
        <w:widowControl/>
        <w:spacing w:before="120" w:after="120"/>
        <w:ind w:left="1418" w:hanging="567"/>
        <w:rPr>
          <w:rFonts w:eastAsia="Calibri"/>
          <w:b/>
          <w:i/>
          <w:szCs w:val="22"/>
        </w:rPr>
      </w:pPr>
      <w:r w:rsidRPr="008476E1">
        <w:t>"</w:t>
      </w:r>
      <w:r w:rsidR="005C2C74" w:rsidRPr="00E649AE">
        <w:t xml:space="preserve">2. </w:t>
      </w:r>
      <w:r w:rsidR="005C2C74" w:rsidRPr="00E649AE">
        <w:rPr>
          <w:b/>
          <w:i/>
        </w:rPr>
        <w:tab/>
        <w:t>Myndigheden samt Det Europæiske System af Centralbanker (ESCB), Kommissionen, de nationale tilsynsmyndigheder og nationale statistikmyndigheder arbejder tæt sammen med ESRB ved at udveksle de oplysninger og analyser, som er nødvendige for udførelsen af deres opgaver.</w:t>
      </w:r>
    </w:p>
    <w:p w14:paraId="4B4EA1E6" w14:textId="77777777" w:rsidR="005C2C74" w:rsidRPr="00E649AE" w:rsidRDefault="005C2C74" w:rsidP="00902D9C">
      <w:pPr>
        <w:widowControl/>
        <w:spacing w:before="120" w:after="120"/>
        <w:ind w:left="1418"/>
        <w:rPr>
          <w:rFonts w:eastAsia="Calibri"/>
          <w:b/>
          <w:i/>
          <w:szCs w:val="22"/>
        </w:rPr>
      </w:pPr>
      <w:r w:rsidRPr="00E649AE">
        <w:rPr>
          <w:b/>
          <w:i/>
        </w:rPr>
        <w:t>Myndigheden koordinerer sammen med ESRB og ECB deres indsats for at opdage, overvåge, forebygge og afbøde systemiske risici for den finansielle stabilitet.</w:t>
      </w:r>
    </w:p>
    <w:p w14:paraId="22A5CE19" w14:textId="77777777" w:rsidR="005C2C74" w:rsidRPr="00E649AE" w:rsidRDefault="005C2C74" w:rsidP="00902D9C">
      <w:pPr>
        <w:widowControl/>
        <w:spacing w:before="120" w:after="120"/>
        <w:ind w:left="1418"/>
        <w:rPr>
          <w:rFonts w:eastAsia="Calibri"/>
          <w:b/>
          <w:i/>
          <w:szCs w:val="22"/>
        </w:rPr>
      </w:pPr>
      <w:r w:rsidRPr="00E649AE">
        <w:rPr>
          <w:b/>
          <w:i/>
        </w:rPr>
        <w:lastRenderedPageBreak/>
        <w:t>Myndigheden overholder i overensstemmelse med artikel 15, stk. 1-5, i forordning (EU) nr. 1092/2010 de skitserede bestemmelser om dataudveksling.</w:t>
      </w:r>
    </w:p>
    <w:p w14:paraId="4DE04AE1" w14:textId="2A95FE2D" w:rsidR="005C2C74" w:rsidRPr="00E649AE" w:rsidRDefault="005C2C74" w:rsidP="00902D9C">
      <w:pPr>
        <w:widowControl/>
        <w:spacing w:before="120" w:after="120"/>
        <w:ind w:left="1418"/>
        <w:rPr>
          <w:rFonts w:eastAsia="Calibri"/>
          <w:b/>
          <w:i/>
          <w:szCs w:val="22"/>
        </w:rPr>
      </w:pPr>
      <w:r w:rsidRPr="00E649AE">
        <w:rPr>
          <w:b/>
          <w:i/>
        </w:rPr>
        <w:t>Myndigheden skal i samarbejde med ESRB have indført passende interne procedurer for videregivelse af fortrolige oplysninger, navnlig oplysninger vedrørende individuelle finansielle institutioner.</w:t>
      </w:r>
      <w:r w:rsidR="008876E6" w:rsidRPr="008876E6">
        <w:rPr>
          <w:b/>
          <w:i/>
        </w:rPr>
        <w:t>"</w:t>
      </w:r>
      <w:r w:rsidRPr="00E649AE">
        <w:rPr>
          <w:b/>
          <w:i/>
        </w:rPr>
        <w:t xml:space="preserve"> </w:t>
      </w:r>
    </w:p>
    <w:p w14:paraId="30A5839D" w14:textId="77777777" w:rsidR="005C2C74" w:rsidRPr="00E649AE" w:rsidRDefault="005C2C74" w:rsidP="00902D9C">
      <w:pPr>
        <w:widowControl/>
        <w:spacing w:before="120" w:after="120"/>
        <w:ind w:left="851"/>
        <w:rPr>
          <w:rFonts w:eastAsia="Calibri"/>
          <w:szCs w:val="22"/>
        </w:rPr>
      </w:pPr>
      <w:r w:rsidRPr="00E649AE">
        <w:t>5.</w:t>
      </w:r>
      <w:r w:rsidRPr="00E649AE">
        <w:tab/>
        <w:t>I artikel 54, stk. 2, tilføjes følgende led: </w:t>
      </w:r>
    </w:p>
    <w:p w14:paraId="58B6EAC3" w14:textId="77777777" w:rsidR="005C2C74" w:rsidRPr="00E649AE" w:rsidRDefault="005C2C74" w:rsidP="00902D9C">
      <w:pPr>
        <w:widowControl/>
        <w:spacing w:before="120" w:after="120"/>
        <w:ind w:left="1418"/>
        <w:rPr>
          <w:rFonts w:eastAsia="Calibri"/>
          <w:szCs w:val="22"/>
        </w:rPr>
      </w:pPr>
      <w:r w:rsidRPr="00E649AE">
        <w:t xml:space="preserve">"- </w:t>
      </w:r>
      <w:r w:rsidRPr="00E649AE">
        <w:rPr>
          <w:b/>
          <w:i/>
        </w:rPr>
        <w:t>indberetnings- og oplysningskrav</w:t>
      </w:r>
      <w:r w:rsidRPr="00E649AE">
        <w:t xml:space="preserve"> og indsamling af oplysninger fra finansielle institutioner." </w:t>
      </w:r>
    </w:p>
    <w:p w14:paraId="7C5914AD" w14:textId="77777777" w:rsidR="005C2C74" w:rsidRPr="00E649AE" w:rsidRDefault="005C2C74" w:rsidP="00902D9C">
      <w:pPr>
        <w:widowControl/>
        <w:spacing w:before="120" w:after="120"/>
        <w:ind w:left="851"/>
        <w:rPr>
          <w:rFonts w:eastAsia="Calibri"/>
          <w:szCs w:val="22"/>
        </w:rPr>
      </w:pPr>
      <w:r w:rsidRPr="00E649AE">
        <w:t>6.</w:t>
      </w:r>
      <w:r w:rsidRPr="00E649AE">
        <w:tab/>
        <w:t>Artikel 70, stk. 3, affattes således: </w:t>
      </w:r>
    </w:p>
    <w:p w14:paraId="007B28E3" w14:textId="77777777" w:rsidR="005C2C74" w:rsidRPr="00E649AE" w:rsidRDefault="005C2C74" w:rsidP="00902D9C">
      <w:pPr>
        <w:widowControl/>
        <w:spacing w:before="120" w:after="120"/>
        <w:ind w:left="1418"/>
        <w:rPr>
          <w:rFonts w:eastAsia="Calibri"/>
          <w:szCs w:val="24"/>
        </w:rPr>
      </w:pPr>
      <w:r w:rsidRPr="00E649AE">
        <w:t xml:space="preserve">"3. Stk. 1 og 2 hindrer ikke myndigheden i at udveksle oplysninger med </w:t>
      </w:r>
      <w:r w:rsidRPr="00E649AE">
        <w:rPr>
          <w:b/>
          <w:i/>
        </w:rPr>
        <w:t>de andre</w:t>
      </w:r>
      <w:r w:rsidRPr="00E649AE">
        <w:t xml:space="preserve"> myndigheder</w:t>
      </w:r>
      <w:r w:rsidRPr="00E649AE">
        <w:rPr>
          <w:b/>
          <w:i/>
        </w:rPr>
        <w:t>, der er omhandlet i artikel 35a, nr. 1b),</w:t>
      </w:r>
      <w:r w:rsidRPr="00E649AE">
        <w:t xml:space="preserve"> i overensstemmelse med denne forordning og anden EU-lovgivning vedrørende finansielle institutioner." </w:t>
      </w:r>
    </w:p>
    <w:p w14:paraId="0FDC3FA5" w14:textId="77777777" w:rsidR="005C2C74" w:rsidRPr="00E649AE" w:rsidRDefault="005C2C74" w:rsidP="005C2C74">
      <w:pPr>
        <w:keepNext/>
        <w:widowControl/>
        <w:spacing w:before="360" w:after="120"/>
        <w:ind w:left="720"/>
        <w:jc w:val="center"/>
        <w:rPr>
          <w:rFonts w:eastAsia="Calibri"/>
          <w:i/>
          <w:szCs w:val="22"/>
        </w:rPr>
      </w:pPr>
      <w:r w:rsidRPr="00E649AE">
        <w:rPr>
          <w:i/>
        </w:rPr>
        <w:t>Artikel 3</w:t>
      </w:r>
    </w:p>
    <w:p w14:paraId="0F8252BF" w14:textId="77777777" w:rsidR="005C2C74" w:rsidRPr="00E649AE" w:rsidRDefault="005C2C74" w:rsidP="005C2C74">
      <w:pPr>
        <w:widowControl/>
        <w:spacing w:before="120" w:after="120"/>
        <w:jc w:val="center"/>
        <w:rPr>
          <w:rFonts w:eastAsia="Calibri"/>
          <w:szCs w:val="22"/>
        </w:rPr>
      </w:pPr>
      <w:r w:rsidRPr="00E649AE">
        <w:rPr>
          <w:b/>
        </w:rPr>
        <w:t>Ændringer af forordning (EU) nr. 1094/2010</w:t>
      </w:r>
    </w:p>
    <w:p w14:paraId="15AD120A" w14:textId="77777777" w:rsidR="005C2C74" w:rsidRPr="00E649AE" w:rsidRDefault="005C2C74" w:rsidP="00902D9C">
      <w:pPr>
        <w:widowControl/>
        <w:spacing w:before="120" w:after="120"/>
        <w:rPr>
          <w:rFonts w:eastAsia="Calibri"/>
          <w:szCs w:val="22"/>
        </w:rPr>
      </w:pPr>
      <w:r w:rsidRPr="00E649AE">
        <w:t>I forordning (EU) nr. 1094/2010 foretages følgende ændringer: </w:t>
      </w:r>
    </w:p>
    <w:p w14:paraId="2B99BEA5" w14:textId="77777777" w:rsidR="005C2C74" w:rsidRPr="00E649AE" w:rsidRDefault="005C2C74" w:rsidP="00902D9C">
      <w:pPr>
        <w:widowControl/>
        <w:spacing w:before="120" w:after="120"/>
        <w:ind w:left="850" w:hanging="850"/>
        <w:rPr>
          <w:rFonts w:eastAsia="Calibri"/>
          <w:b/>
          <w:i/>
          <w:szCs w:val="22"/>
        </w:rPr>
      </w:pPr>
      <w:r w:rsidRPr="00E649AE">
        <w:rPr>
          <w:b/>
          <w:i/>
        </w:rPr>
        <w:t>-1.</w:t>
      </w:r>
      <w:r w:rsidRPr="00E649AE">
        <w:rPr>
          <w:b/>
          <w:i/>
        </w:rPr>
        <w:tab/>
        <w:t>I artikel 16a, stk. 1, indsættes følgende afsnit:</w:t>
      </w:r>
    </w:p>
    <w:p w14:paraId="44339A31" w14:textId="77777777" w:rsidR="005C2C74" w:rsidRPr="00E649AE" w:rsidRDefault="005C2C74" w:rsidP="00902D9C">
      <w:pPr>
        <w:widowControl/>
        <w:spacing w:before="120" w:after="120"/>
        <w:ind w:left="851"/>
        <w:rPr>
          <w:rFonts w:eastAsia="Calibri"/>
          <w:b/>
          <w:i/>
          <w:szCs w:val="22"/>
        </w:rPr>
      </w:pPr>
      <w:r w:rsidRPr="00E649AE">
        <w:rPr>
          <w:b/>
          <w:i/>
        </w:rPr>
        <w:t>"Myndighedens udtalelser er ikke begrænset til igangværende lovgivningsprocedurer. Myndigheden kan også i sine udtalelser, hvis det er relevant, foreslå ændringer til gældende retsakter, herunder ændringer, der har til formål:</w:t>
      </w:r>
    </w:p>
    <w:p w14:paraId="0AAF2E9F" w14:textId="77777777" w:rsidR="005C2C74" w:rsidRPr="00E649AE" w:rsidRDefault="005C2C74" w:rsidP="00902D9C">
      <w:pPr>
        <w:widowControl/>
        <w:spacing w:before="120" w:after="120"/>
        <w:ind w:left="1418" w:hanging="567"/>
        <w:rPr>
          <w:rFonts w:eastAsia="Calibri"/>
          <w:b/>
          <w:i/>
          <w:szCs w:val="22"/>
        </w:rPr>
      </w:pPr>
      <w:r w:rsidRPr="00E649AE">
        <w:rPr>
          <w:b/>
          <w:i/>
        </w:rPr>
        <w:t>a)</w:t>
      </w:r>
      <w:r w:rsidRPr="00E649AE">
        <w:rPr>
          <w:b/>
          <w:i/>
        </w:rPr>
        <w:tab/>
        <w:t xml:space="preserve"> at fjerne overflødige eller forældede indberetnings- og oplysningskrav i EU-retten eller medlemsstaternes nationale gennemførelse af EU-retten</w:t>
      </w:r>
    </w:p>
    <w:p w14:paraId="7D9C3943" w14:textId="77777777" w:rsidR="005C2C74" w:rsidRPr="00E649AE" w:rsidRDefault="005C2C74" w:rsidP="00902D9C">
      <w:pPr>
        <w:widowControl/>
        <w:spacing w:before="120" w:after="120"/>
        <w:ind w:left="1418" w:hanging="567"/>
        <w:rPr>
          <w:rFonts w:eastAsia="Calibri"/>
          <w:b/>
          <w:i/>
          <w:szCs w:val="22"/>
        </w:rPr>
      </w:pPr>
      <w:r w:rsidRPr="00E649AE">
        <w:rPr>
          <w:b/>
          <w:i/>
        </w:rPr>
        <w:t>b)</w:t>
      </w:r>
      <w:r w:rsidRPr="00E649AE">
        <w:rPr>
          <w:b/>
          <w:i/>
        </w:rPr>
        <w:tab/>
        <w:t xml:space="preserve"> at sikre ensartede indberetnings- og oplysningskrav på tværs af sektorspecifik og tværsektoriel lovgivning</w:t>
      </w:r>
    </w:p>
    <w:p w14:paraId="6D4DC5AF" w14:textId="77777777" w:rsidR="005C2C74" w:rsidRPr="00E649AE" w:rsidRDefault="005C2C74" w:rsidP="00902D9C">
      <w:pPr>
        <w:widowControl/>
        <w:spacing w:before="120" w:after="120"/>
        <w:ind w:left="1418" w:hanging="567"/>
        <w:rPr>
          <w:rFonts w:eastAsia="Calibri"/>
          <w:b/>
          <w:i/>
          <w:szCs w:val="22"/>
        </w:rPr>
      </w:pPr>
      <w:r w:rsidRPr="00E649AE">
        <w:rPr>
          <w:b/>
          <w:i/>
        </w:rPr>
        <w:t xml:space="preserve">c) </w:t>
      </w:r>
      <w:r w:rsidRPr="00E649AE">
        <w:rPr>
          <w:b/>
          <w:i/>
        </w:rPr>
        <w:tab/>
        <w:t>at sikre proportionalitet i indberetnings- og oplysningskrav med hensyn til den indberettende enheds karakter, størrelse og kompleksitet</w:t>
      </w:r>
    </w:p>
    <w:p w14:paraId="5BA5BEA3" w14:textId="2BC3D089" w:rsidR="005C2C74" w:rsidRPr="00E649AE" w:rsidRDefault="005C2C74" w:rsidP="00902D9C">
      <w:pPr>
        <w:widowControl/>
        <w:spacing w:before="120" w:after="120"/>
        <w:ind w:left="1418" w:hanging="567"/>
        <w:rPr>
          <w:rFonts w:eastAsia="Calibri"/>
          <w:b/>
          <w:bCs/>
          <w:i/>
          <w:iCs/>
          <w:szCs w:val="22"/>
        </w:rPr>
      </w:pPr>
      <w:r w:rsidRPr="00E649AE">
        <w:rPr>
          <w:b/>
          <w:i/>
        </w:rPr>
        <w:t xml:space="preserve">d) </w:t>
      </w:r>
      <w:r w:rsidRPr="00E649AE">
        <w:rPr>
          <w:b/>
          <w:i/>
        </w:rPr>
        <w:tab/>
        <w:t>at sikre, at overholdelsen af indberetnings- og oplysningskravene står i et rimeligt forhold til den merværdi, som myndighedens opfyldelse af opgaver og mål medfører.</w:t>
      </w:r>
      <w:r w:rsidR="008876E6" w:rsidRPr="008876E6">
        <w:rPr>
          <w:b/>
          <w:i/>
        </w:rPr>
        <w:t>"</w:t>
      </w:r>
      <w:r w:rsidRPr="00E649AE">
        <w:rPr>
          <w:b/>
          <w:i/>
        </w:rPr>
        <w:t xml:space="preserve"> </w:t>
      </w:r>
    </w:p>
    <w:p w14:paraId="008F5AFF" w14:textId="77777777" w:rsidR="005C2C74" w:rsidRPr="00E649AE" w:rsidRDefault="005C2C74" w:rsidP="00902D9C">
      <w:pPr>
        <w:widowControl/>
        <w:spacing w:before="120" w:after="120"/>
        <w:ind w:left="851"/>
        <w:rPr>
          <w:rFonts w:eastAsia="Calibri"/>
          <w:b/>
          <w:i/>
          <w:szCs w:val="22"/>
        </w:rPr>
      </w:pPr>
      <w:r w:rsidRPr="00E649AE">
        <w:rPr>
          <w:b/>
          <w:i/>
        </w:rPr>
        <w:t>I forbindelse med udtalelser om gældende lovgivningsmæssige retsakter, jf. første afsnit, skal myndigheden tage behørigt hensyn til input fra alle relevante interessenter gennem en særlig høring. På grundlag af disse udtalelser forelægger Kommissionen om nødvendigt et lovgivningsmæssigt forslag for Europa-Parlamentet og Rådet.</w:t>
      </w:r>
    </w:p>
    <w:p w14:paraId="16A28BB5" w14:textId="77777777" w:rsidR="005C2C74" w:rsidRPr="00E649AE" w:rsidRDefault="005C2C74" w:rsidP="00902D9C">
      <w:pPr>
        <w:widowControl/>
        <w:spacing w:before="120" w:after="120"/>
        <w:ind w:left="850" w:hanging="850"/>
        <w:rPr>
          <w:rFonts w:eastAsia="Calibri"/>
          <w:szCs w:val="22"/>
        </w:rPr>
      </w:pPr>
      <w:r w:rsidRPr="00E649AE">
        <w:t>1.</w:t>
      </w:r>
      <w:r w:rsidRPr="00E649AE">
        <w:tab/>
        <w:t>Artikel 29, stk. 1, litra d), affattes således: </w:t>
      </w:r>
    </w:p>
    <w:p w14:paraId="74D65287" w14:textId="77777777" w:rsidR="005C2C74" w:rsidRPr="00E649AE" w:rsidRDefault="005C2C74" w:rsidP="00902D9C">
      <w:pPr>
        <w:widowControl/>
        <w:spacing w:before="120" w:after="120"/>
        <w:ind w:left="851"/>
        <w:rPr>
          <w:rFonts w:eastAsia="Calibri"/>
          <w:b/>
          <w:i/>
          <w:szCs w:val="22"/>
        </w:rPr>
      </w:pPr>
      <w:r w:rsidRPr="00E649AE">
        <w:t>"d)</w:t>
      </w:r>
      <w:r w:rsidRPr="00E649AE">
        <w:rPr>
          <w:b/>
          <w:i/>
        </w:rPr>
        <w:tab/>
      </w:r>
      <w:r w:rsidRPr="00E649AE">
        <w:t xml:space="preserve"> at vurdere anvendelsen af de relevante reguleringsmæssige og gennemførelsesmæssige standarder, der vedtages af Kommissionen, og af retningslinjer og henstillinger udstedt af myndigheden og eventuelt foreslå ændringer hertil</w:t>
      </w:r>
      <w:r w:rsidRPr="00E649AE">
        <w:rPr>
          <w:b/>
          <w:i/>
        </w:rPr>
        <w:t>, samtidig med at anvendeligheden og kvaliteten af dataene opretholdes med henblik på at:</w:t>
      </w:r>
    </w:p>
    <w:p w14:paraId="5D28FE17" w14:textId="77777777" w:rsidR="005C2C74" w:rsidRPr="00E649AE" w:rsidRDefault="005C2C74" w:rsidP="00902D9C">
      <w:pPr>
        <w:widowControl/>
        <w:spacing w:before="120" w:after="120"/>
        <w:ind w:left="720"/>
        <w:rPr>
          <w:rFonts w:eastAsia="Calibri"/>
          <w:b/>
          <w:i/>
          <w:szCs w:val="22"/>
        </w:rPr>
      </w:pPr>
      <w:r w:rsidRPr="00E649AE">
        <w:rPr>
          <w:b/>
          <w:i/>
        </w:rPr>
        <w:lastRenderedPageBreak/>
        <w:t>-</w:t>
      </w:r>
      <w:r w:rsidRPr="00E649AE">
        <w:t xml:space="preserve"> fjerne overflødige eller forældede </w:t>
      </w:r>
      <w:r w:rsidRPr="00E649AE">
        <w:rPr>
          <w:b/>
          <w:i/>
        </w:rPr>
        <w:t>indberetnings- og oplysningskrav</w:t>
      </w:r>
    </w:p>
    <w:p w14:paraId="08A88FF3" w14:textId="77777777" w:rsidR="005C2C74" w:rsidRPr="00E649AE" w:rsidRDefault="005C2C74" w:rsidP="00902D9C">
      <w:pPr>
        <w:widowControl/>
        <w:spacing w:before="120" w:after="120"/>
        <w:ind w:left="720"/>
        <w:rPr>
          <w:rFonts w:eastAsia="Calibri"/>
          <w:b/>
          <w:i/>
          <w:szCs w:val="22"/>
        </w:rPr>
      </w:pPr>
      <w:r w:rsidRPr="00E649AE">
        <w:rPr>
          <w:b/>
          <w:i/>
        </w:rPr>
        <w:t>- sikre proportionale og standardiserede indberetnings- og oplysningskrav</w:t>
      </w:r>
    </w:p>
    <w:p w14:paraId="45A71DB7" w14:textId="77777777" w:rsidR="005C2C74" w:rsidRPr="00E649AE" w:rsidRDefault="005C2C74" w:rsidP="00902D9C">
      <w:pPr>
        <w:widowControl/>
        <w:spacing w:before="120" w:after="120"/>
        <w:ind w:firstLine="720"/>
        <w:rPr>
          <w:rFonts w:eastAsia="Calibri"/>
          <w:b/>
          <w:i/>
          <w:szCs w:val="22"/>
        </w:rPr>
      </w:pPr>
      <w:r w:rsidRPr="00E649AE">
        <w:rPr>
          <w:b/>
          <w:i/>
        </w:rPr>
        <w:t>-</w:t>
      </w:r>
      <w:r w:rsidRPr="00E649AE">
        <w:t xml:space="preserve"> minimere omkostningerne</w:t>
      </w:r>
    </w:p>
    <w:p w14:paraId="372BD76A" w14:textId="06E1EBE4" w:rsidR="005C2C74" w:rsidRPr="00E649AE" w:rsidRDefault="005C2C74" w:rsidP="00902D9C">
      <w:pPr>
        <w:widowControl/>
        <w:spacing w:before="120" w:after="120"/>
        <w:ind w:firstLine="720"/>
        <w:rPr>
          <w:rFonts w:eastAsia="Calibri"/>
          <w:b/>
          <w:i/>
          <w:szCs w:val="22"/>
        </w:rPr>
      </w:pPr>
      <w:r w:rsidRPr="00E649AE">
        <w:rPr>
          <w:b/>
          <w:i/>
        </w:rPr>
        <w:t xml:space="preserve">- afhjælpe lovgivningsmæssige huller". </w:t>
      </w:r>
    </w:p>
    <w:p w14:paraId="27F3C07F" w14:textId="77777777" w:rsidR="005C2C74" w:rsidRPr="00E649AE" w:rsidRDefault="005C2C74" w:rsidP="00902D9C">
      <w:pPr>
        <w:widowControl/>
        <w:spacing w:before="120" w:after="120"/>
        <w:ind w:left="851" w:hanging="851"/>
        <w:rPr>
          <w:rFonts w:eastAsia="Calibri"/>
          <w:szCs w:val="22"/>
        </w:rPr>
      </w:pPr>
      <w:r w:rsidRPr="00E649AE">
        <w:t>2.</w:t>
      </w:r>
      <w:r w:rsidRPr="00E649AE">
        <w:tab/>
        <w:t>I artikel 30, stk. 3, tilføjes følgende litra e): </w:t>
      </w:r>
    </w:p>
    <w:p w14:paraId="4D2C8A73" w14:textId="77777777" w:rsidR="005C2C74" w:rsidRPr="00E649AE" w:rsidRDefault="005C2C74" w:rsidP="00902D9C">
      <w:pPr>
        <w:widowControl/>
        <w:spacing w:before="120" w:after="120"/>
        <w:ind w:left="851"/>
        <w:rPr>
          <w:rFonts w:eastAsia="Calibri"/>
          <w:szCs w:val="22"/>
        </w:rPr>
      </w:pPr>
      <w:r w:rsidRPr="00E649AE">
        <w:t xml:space="preserve">"e) effektiviteten af de nationale </w:t>
      </w:r>
      <w:r w:rsidRPr="00E649AE">
        <w:rPr>
          <w:b/>
          <w:i/>
        </w:rPr>
        <w:t>indberetnings- oplysningskrav</w:t>
      </w:r>
      <w:r w:rsidRPr="00E649AE">
        <w:t xml:space="preserve"> og graden af konvergens mellem sådanne krav og kravene i EU-retten</w:t>
      </w:r>
      <w:r w:rsidRPr="00E649AE">
        <w:rPr>
          <w:b/>
          <w:i/>
        </w:rPr>
        <w:t>, og deres egnethed for så vidt angår at leve op til de standarder, der er fastsat deri, samtidig med at der tages hensyn til de nationale finansielle jurisdiktioners særlige kendetegn</w:t>
      </w:r>
      <w:r w:rsidRPr="00E649AE">
        <w:t>." </w:t>
      </w:r>
    </w:p>
    <w:p w14:paraId="40C82E1A" w14:textId="77777777" w:rsidR="005C2C74" w:rsidRPr="00E649AE" w:rsidRDefault="005C2C74" w:rsidP="00902D9C">
      <w:pPr>
        <w:widowControl/>
        <w:spacing w:before="120" w:after="120"/>
        <w:ind w:left="850" w:hanging="850"/>
        <w:rPr>
          <w:rFonts w:eastAsia="Calibri"/>
          <w:szCs w:val="22"/>
        </w:rPr>
      </w:pPr>
      <w:r w:rsidRPr="00E649AE">
        <w:t>3.</w:t>
      </w:r>
      <w:r w:rsidRPr="00E649AE">
        <w:tab/>
        <w:t>Artikel 35, stk. 4, affattes således: </w:t>
      </w:r>
    </w:p>
    <w:p w14:paraId="5A9D6A7E" w14:textId="77777777" w:rsidR="005C2C74" w:rsidRPr="00E649AE" w:rsidRDefault="005C2C74" w:rsidP="00902D9C">
      <w:pPr>
        <w:widowControl/>
        <w:spacing w:before="120" w:after="120"/>
        <w:ind w:left="851"/>
        <w:rPr>
          <w:rFonts w:eastAsia="Calibri"/>
          <w:szCs w:val="22"/>
        </w:rPr>
      </w:pPr>
      <w:r w:rsidRPr="00E649AE">
        <w:t xml:space="preserve">"4. Før myndigheden anmoder om oplysninger i henhold til denne artikel og for </w:t>
      </w:r>
      <w:r w:rsidRPr="00E649AE">
        <w:rPr>
          <w:b/>
          <w:i/>
        </w:rPr>
        <w:t>sikre, at der ikke er nogen</w:t>
      </w:r>
      <w:r w:rsidRPr="00E649AE">
        <w:t xml:space="preserve"> overlapning af </w:t>
      </w:r>
      <w:r w:rsidRPr="00E649AE">
        <w:rPr>
          <w:b/>
          <w:i/>
        </w:rPr>
        <w:t>indberetnings- og oplysningsforpligtelserne</w:t>
      </w:r>
      <w:r w:rsidRPr="00E649AE">
        <w:t xml:space="preserve">, skal den tage hensyn til oplysninger indsamlet af </w:t>
      </w:r>
      <w:r w:rsidRPr="00E649AE">
        <w:rPr>
          <w:b/>
          <w:i/>
        </w:rPr>
        <w:t>de</w:t>
      </w:r>
      <w:r w:rsidRPr="00E649AE">
        <w:t xml:space="preserve"> andre myndigheder som omhandlet i artikel 35a, stk. </w:t>
      </w:r>
      <w:r w:rsidRPr="00E649AE">
        <w:rPr>
          <w:b/>
          <w:i/>
        </w:rPr>
        <w:t>1b</w:t>
      </w:r>
      <w:r w:rsidRPr="00E649AE">
        <w:t>, og alle relevante eksisterende statistikker, der udarbejdes og formidles af Det Europæiske Statistiske System og Det Europæiske System af Centralbanker. </w:t>
      </w:r>
    </w:p>
    <w:p w14:paraId="640B55D0" w14:textId="77777777" w:rsidR="005C2C74" w:rsidRPr="00E649AE" w:rsidRDefault="005C2C74" w:rsidP="00902D9C">
      <w:pPr>
        <w:widowControl/>
        <w:spacing w:before="120" w:after="120"/>
        <w:rPr>
          <w:rFonts w:eastAsia="Calibri"/>
          <w:szCs w:val="22"/>
        </w:rPr>
      </w:pPr>
      <w:r w:rsidRPr="00E649AE">
        <w:t>4.</w:t>
      </w:r>
      <w:r w:rsidRPr="00E649AE">
        <w:tab/>
        <w:t>Følgende indsættes som artikel 35a: </w:t>
      </w:r>
    </w:p>
    <w:p w14:paraId="21E7F7F0" w14:textId="77777777" w:rsidR="005C2C74" w:rsidRPr="00E649AE" w:rsidRDefault="005C2C74" w:rsidP="00A07C5D">
      <w:pPr>
        <w:widowControl/>
        <w:spacing w:before="120" w:after="120"/>
        <w:rPr>
          <w:rFonts w:eastAsia="Calibri"/>
          <w:szCs w:val="22"/>
        </w:rPr>
      </w:pPr>
      <w:r w:rsidRPr="00E649AE">
        <w:t>"Artikel 35a</w:t>
      </w:r>
    </w:p>
    <w:p w14:paraId="5B1F70D4" w14:textId="77777777" w:rsidR="005C2C74" w:rsidRPr="00E649AE" w:rsidRDefault="005C2C74" w:rsidP="00FC36E0">
      <w:pPr>
        <w:widowControl/>
        <w:spacing w:before="120" w:after="120"/>
        <w:rPr>
          <w:rFonts w:eastAsia="Calibri"/>
          <w:szCs w:val="22"/>
        </w:rPr>
      </w:pPr>
      <w:r w:rsidRPr="00E649AE">
        <w:rPr>
          <w:b/>
        </w:rPr>
        <w:t>Udveksling af oplysninger mellem myndigheder og med andre enheder</w:t>
      </w:r>
    </w:p>
    <w:p w14:paraId="60384929" w14:textId="77777777" w:rsidR="005C2C74" w:rsidRPr="00E649AE" w:rsidRDefault="005C2C74" w:rsidP="00902D9C">
      <w:pPr>
        <w:widowControl/>
        <w:spacing w:before="120" w:after="120"/>
        <w:ind w:left="851" w:hanging="851"/>
        <w:rPr>
          <w:rFonts w:eastAsia="Calibri"/>
          <w:b/>
          <w:i/>
          <w:szCs w:val="22"/>
        </w:rPr>
      </w:pPr>
      <w:r w:rsidRPr="00E649AE">
        <w:t xml:space="preserve">1. </w:t>
      </w:r>
      <w:r w:rsidRPr="00E649AE">
        <w:rPr>
          <w:b/>
          <w:i/>
        </w:rPr>
        <w:tab/>
      </w:r>
      <w:r w:rsidRPr="00E649AE">
        <w:t xml:space="preserve">Myndigheden og de kompetente myndigheder udveksler, fra sag til sag eller regelmæssigt, med </w:t>
      </w:r>
      <w:r w:rsidRPr="00E649AE">
        <w:rPr>
          <w:b/>
          <w:i/>
        </w:rPr>
        <w:t>de</w:t>
      </w:r>
      <w:r w:rsidRPr="00E649AE">
        <w:t xml:space="preserve"> andre myndigheder de oplysninger, som er indhentet fra finansielle institutioner eller andre kompetente myndigheder</w:t>
      </w:r>
      <w:r w:rsidRPr="00E649AE">
        <w:rPr>
          <w:b/>
          <w:i/>
        </w:rPr>
        <w:t>, når den anmodende myndighed har ret til at indhente disse oplysninger i henhold til sin mission, sine målsætninger, opgaver og beføjelser eller i overensstemmelse med relevant EU-ret</w:t>
      </w:r>
      <w:r w:rsidRPr="00E649AE">
        <w:t>.</w:t>
      </w:r>
      <w:r w:rsidRPr="00E649AE">
        <w:rPr>
          <w:b/>
          <w:i/>
        </w:rPr>
        <w:t xml:space="preserve"> </w:t>
      </w:r>
    </w:p>
    <w:p w14:paraId="6A5B830F" w14:textId="77777777" w:rsidR="005C2C74" w:rsidRPr="00E649AE" w:rsidRDefault="005C2C74" w:rsidP="00902D9C">
      <w:pPr>
        <w:widowControl/>
        <w:spacing w:before="120" w:after="120"/>
        <w:ind w:left="851"/>
        <w:rPr>
          <w:rFonts w:eastAsia="Calibri"/>
          <w:b/>
          <w:i/>
          <w:szCs w:val="22"/>
        </w:rPr>
      </w:pPr>
      <w:r w:rsidRPr="00E649AE">
        <w:rPr>
          <w:b/>
          <w:i/>
        </w:rPr>
        <w:t xml:space="preserve">Med henblik på at udveksle de oplysninger, der er omhandlet i dette stykkes første afsnit, anvender myndigheden eller den kompetente myndighed det i artikel 35b omhandlede fælles integrerede indberetningssystem, når det er oprettet. </w:t>
      </w:r>
    </w:p>
    <w:p w14:paraId="53BFB622" w14:textId="77777777" w:rsidR="005C2C74" w:rsidRPr="00E649AE" w:rsidRDefault="005C2C74" w:rsidP="00902D9C">
      <w:pPr>
        <w:widowControl/>
        <w:spacing w:before="120" w:after="120"/>
        <w:ind w:left="851" w:hanging="851"/>
        <w:rPr>
          <w:rFonts w:eastAsia="Calibri"/>
          <w:b/>
          <w:i/>
          <w:szCs w:val="22"/>
        </w:rPr>
      </w:pPr>
      <w:r w:rsidRPr="00E649AE">
        <w:rPr>
          <w:b/>
          <w:i/>
        </w:rPr>
        <w:t>1a.</w:t>
      </w:r>
      <w:r w:rsidRPr="00E649AE">
        <w:rPr>
          <w:b/>
          <w:i/>
        </w:rPr>
        <w:tab/>
        <w:t>Myndigheden og de kompetente myndigheder skal hver især kunne anmode de andre myndigheder om oplysninger, som de ellers ville anmode om fra finansielle institutioner eller andre kompetente myndigheder, hvis begge følgende betingelser er opfyldt:</w:t>
      </w:r>
    </w:p>
    <w:p w14:paraId="7CBB0E77" w14:textId="77777777" w:rsidR="005C2C74" w:rsidRPr="00E649AE" w:rsidRDefault="005C2C74" w:rsidP="00902D9C">
      <w:pPr>
        <w:widowControl/>
        <w:spacing w:before="120" w:after="120"/>
        <w:ind w:left="1418" w:hanging="567"/>
        <w:rPr>
          <w:rFonts w:eastAsia="Calibri"/>
          <w:b/>
          <w:i/>
          <w:szCs w:val="22"/>
        </w:rPr>
      </w:pPr>
      <w:r w:rsidRPr="00E649AE">
        <w:rPr>
          <w:b/>
          <w:i/>
        </w:rPr>
        <w:t xml:space="preserve">a) </w:t>
      </w:r>
      <w:r w:rsidRPr="00E649AE">
        <w:rPr>
          <w:b/>
          <w:i/>
        </w:rPr>
        <w:tab/>
        <w:t>De har ret til at indhente disse oplysninger i henhold til deres mission, deres målsætninger, opgaver og beføjelser eller i overensstemmelse med relevant EU-ret.</w:t>
      </w:r>
    </w:p>
    <w:p w14:paraId="2F26DC73" w14:textId="77777777" w:rsidR="005C2C74" w:rsidRPr="00E649AE" w:rsidRDefault="005C2C74" w:rsidP="00902D9C">
      <w:pPr>
        <w:widowControl/>
        <w:spacing w:before="120" w:after="120"/>
        <w:ind w:left="1418" w:hanging="567"/>
        <w:rPr>
          <w:rFonts w:eastAsia="Calibri"/>
          <w:b/>
          <w:i/>
          <w:szCs w:val="22"/>
        </w:rPr>
      </w:pPr>
      <w:r w:rsidRPr="00E649AE">
        <w:rPr>
          <w:b/>
          <w:i/>
        </w:rPr>
        <w:t xml:space="preserve">b) </w:t>
      </w:r>
      <w:r w:rsidRPr="00E649AE">
        <w:rPr>
          <w:b/>
          <w:i/>
        </w:rPr>
        <w:tab/>
        <w:t>Disse oplysningerne er indhentet af mindst en af de andre myndigheder.</w:t>
      </w:r>
    </w:p>
    <w:p w14:paraId="00E3ECF1" w14:textId="77777777" w:rsidR="005C2C74" w:rsidRPr="00E649AE" w:rsidRDefault="005C2C74" w:rsidP="00902D9C">
      <w:pPr>
        <w:widowControl/>
        <w:spacing w:before="120" w:after="120"/>
        <w:ind w:left="851"/>
        <w:rPr>
          <w:rFonts w:eastAsia="Calibri"/>
          <w:b/>
          <w:i/>
          <w:szCs w:val="22"/>
        </w:rPr>
      </w:pPr>
      <w:r w:rsidRPr="00E649AE">
        <w:rPr>
          <w:b/>
          <w:i/>
        </w:rPr>
        <w:t>Første afsnit berører ikke myndighedens og de kompetente myndigheders mulighed for at indhente de ønskede oplysninger fra finansielle institutioner eller andre kompetente myndigheder, hvis den anden myndighed af operationelle årsager ikke er i stand til at dele dataene.</w:t>
      </w:r>
    </w:p>
    <w:p w14:paraId="43057FC4" w14:textId="77777777" w:rsidR="005C2C74" w:rsidRPr="00E649AE" w:rsidRDefault="005C2C74" w:rsidP="00902D9C">
      <w:pPr>
        <w:widowControl/>
        <w:spacing w:before="120" w:after="120"/>
        <w:ind w:left="851"/>
        <w:rPr>
          <w:rFonts w:eastAsia="Calibri"/>
          <w:b/>
          <w:i/>
          <w:szCs w:val="22"/>
        </w:rPr>
      </w:pPr>
      <w:r w:rsidRPr="00E649AE">
        <w:rPr>
          <w:b/>
          <w:i/>
        </w:rPr>
        <w:t xml:space="preserve">Med henblik på at afgøre, om betingelsen i første afsnit, litra b), er opfyldt, anvender myndigheden eller de kompetente myndigheder det i artikel 35b omhandlede fælles integrerede indberetningssystem, når det er oprettet. </w:t>
      </w:r>
    </w:p>
    <w:p w14:paraId="45034E1B" w14:textId="77777777" w:rsidR="005C2C74" w:rsidRPr="00E649AE" w:rsidRDefault="005C2C74" w:rsidP="00902D9C">
      <w:pPr>
        <w:widowControl/>
        <w:spacing w:before="120" w:after="120"/>
        <w:ind w:left="851" w:hanging="851"/>
        <w:rPr>
          <w:rFonts w:eastAsia="Calibri"/>
          <w:b/>
          <w:i/>
          <w:szCs w:val="22"/>
        </w:rPr>
      </w:pPr>
      <w:r w:rsidRPr="00E649AE">
        <w:rPr>
          <w:b/>
          <w:i/>
        </w:rPr>
        <w:lastRenderedPageBreak/>
        <w:t>1b.</w:t>
      </w:r>
      <w:r w:rsidRPr="00E649AE">
        <w:rPr>
          <w:b/>
          <w:i/>
        </w:rPr>
        <w:tab/>
        <w:t>I denne artikel, artikel 35b og artikel 70, stk. 3, forstås ved "andre myndigheder" en af følgende myndigheder:</w:t>
      </w:r>
    </w:p>
    <w:p w14:paraId="2AD84730" w14:textId="77777777" w:rsidR="005C2C74" w:rsidRPr="00E649AE" w:rsidRDefault="005C2C74" w:rsidP="00902D9C">
      <w:pPr>
        <w:widowControl/>
        <w:spacing w:before="120" w:after="120"/>
        <w:ind w:left="1418" w:hanging="567"/>
        <w:rPr>
          <w:rFonts w:eastAsia="Calibri"/>
          <w:b/>
          <w:i/>
          <w:szCs w:val="22"/>
        </w:rPr>
      </w:pPr>
      <w:r w:rsidRPr="00E649AE">
        <w:rPr>
          <w:b/>
          <w:i/>
        </w:rPr>
        <w:t xml:space="preserve">a) </w:t>
      </w:r>
      <w:r w:rsidRPr="00E649AE">
        <w:rPr>
          <w:b/>
          <w:i/>
        </w:rPr>
        <w:tab/>
        <w:t>andre europæiske tilsynsmyndigheder</w:t>
      </w:r>
    </w:p>
    <w:p w14:paraId="462FCD0F" w14:textId="77777777" w:rsidR="005C2C74" w:rsidRPr="00E649AE" w:rsidRDefault="005C2C74" w:rsidP="00902D9C">
      <w:pPr>
        <w:widowControl/>
        <w:spacing w:before="120" w:after="120"/>
        <w:ind w:left="1418" w:hanging="567"/>
        <w:rPr>
          <w:rFonts w:eastAsia="Calibri"/>
          <w:b/>
          <w:i/>
          <w:szCs w:val="22"/>
        </w:rPr>
      </w:pPr>
      <w:r w:rsidRPr="00E649AE">
        <w:rPr>
          <w:b/>
          <w:i/>
        </w:rPr>
        <w:t xml:space="preserve">b) </w:t>
      </w:r>
      <w:r w:rsidRPr="00E649AE">
        <w:rPr>
          <w:b/>
          <w:i/>
        </w:rPr>
        <w:tab/>
        <w:t>ESRB</w:t>
      </w:r>
    </w:p>
    <w:p w14:paraId="32DAA35F" w14:textId="77777777" w:rsidR="005C2C74" w:rsidRPr="00E649AE" w:rsidRDefault="005C2C74" w:rsidP="00902D9C">
      <w:pPr>
        <w:widowControl/>
        <w:spacing w:before="120" w:after="120"/>
        <w:ind w:left="1418" w:hanging="567"/>
        <w:rPr>
          <w:rFonts w:eastAsia="Calibri"/>
          <w:b/>
          <w:i/>
          <w:szCs w:val="22"/>
        </w:rPr>
      </w:pPr>
      <w:r w:rsidRPr="00E649AE">
        <w:rPr>
          <w:b/>
          <w:i/>
        </w:rPr>
        <w:t xml:space="preserve">c) </w:t>
      </w:r>
      <w:r w:rsidRPr="00E649AE">
        <w:rPr>
          <w:b/>
          <w:i/>
        </w:rPr>
        <w:tab/>
        <w:t>kompetente myndigheder, som defineret i denne forordnings artikel 4, nr. 2)</w:t>
      </w:r>
    </w:p>
    <w:p w14:paraId="08BA5512" w14:textId="77777777" w:rsidR="005C2C74" w:rsidRPr="00E649AE" w:rsidRDefault="005C2C74" w:rsidP="00902D9C">
      <w:pPr>
        <w:widowControl/>
        <w:spacing w:before="120" w:after="120"/>
        <w:ind w:left="1418" w:hanging="567"/>
        <w:rPr>
          <w:rFonts w:eastAsia="Calibri"/>
          <w:b/>
          <w:i/>
          <w:szCs w:val="22"/>
        </w:rPr>
      </w:pPr>
      <w:r w:rsidRPr="00E649AE">
        <w:rPr>
          <w:b/>
          <w:i/>
        </w:rPr>
        <w:t xml:space="preserve">d) </w:t>
      </w:r>
      <w:r w:rsidRPr="00E649AE">
        <w:rPr>
          <w:b/>
          <w:i/>
        </w:rPr>
        <w:tab/>
        <w:t>kompetente myndigheder som defineret i artikel 4, nr. 2), i forordning (EU) nr. 1094/2010</w:t>
      </w:r>
    </w:p>
    <w:p w14:paraId="6F5E5A0B" w14:textId="77777777" w:rsidR="005C2C74" w:rsidRPr="00E649AE" w:rsidRDefault="005C2C74" w:rsidP="00902D9C">
      <w:pPr>
        <w:widowControl/>
        <w:spacing w:before="120" w:after="120"/>
        <w:ind w:left="1418" w:hanging="567"/>
        <w:rPr>
          <w:rFonts w:eastAsia="Calibri"/>
          <w:b/>
          <w:i/>
          <w:szCs w:val="22"/>
        </w:rPr>
      </w:pPr>
      <w:r w:rsidRPr="00E649AE">
        <w:rPr>
          <w:b/>
          <w:i/>
        </w:rPr>
        <w:t xml:space="preserve">e) </w:t>
      </w:r>
      <w:r w:rsidRPr="00E649AE">
        <w:rPr>
          <w:b/>
          <w:i/>
        </w:rPr>
        <w:tab/>
        <w:t>kompetente myndigheder som defineret i artikel 4, nr. 3), i forordning (EU) nr. 1095/2010</w:t>
      </w:r>
    </w:p>
    <w:p w14:paraId="11B15548" w14:textId="1151BC55" w:rsidR="005C2C74" w:rsidRPr="00E649AE" w:rsidRDefault="005C2C74" w:rsidP="00902D9C">
      <w:pPr>
        <w:widowControl/>
        <w:spacing w:before="120" w:after="120"/>
        <w:ind w:left="1418" w:hanging="567"/>
        <w:rPr>
          <w:rFonts w:eastAsia="Calibri"/>
          <w:b/>
          <w:i/>
          <w:szCs w:val="22"/>
        </w:rPr>
      </w:pPr>
      <w:r w:rsidRPr="00E649AE">
        <w:rPr>
          <w:b/>
          <w:i/>
        </w:rPr>
        <w:t xml:space="preserve">f) </w:t>
      </w:r>
      <w:r w:rsidRPr="00E649AE">
        <w:rPr>
          <w:b/>
          <w:i/>
        </w:rPr>
        <w:tab/>
        <w:t>AMLA som oprettet ved Europa-Parlamentets og Rådets forordning (EU) …/…</w:t>
      </w:r>
      <w:r w:rsidR="006567A0">
        <w:rPr>
          <w:rStyle w:val="FootnoteReference"/>
          <w:b/>
          <w:i/>
        </w:rPr>
        <w:footnoteReference w:customMarkFollows="1" w:id="17"/>
        <w:t>+</w:t>
      </w:r>
    </w:p>
    <w:p w14:paraId="5B21533E" w14:textId="7B838832" w:rsidR="005C2C74" w:rsidRPr="00E649AE" w:rsidRDefault="005C2C74" w:rsidP="00902D9C">
      <w:pPr>
        <w:widowControl/>
        <w:spacing w:before="120" w:after="120"/>
        <w:ind w:left="1418" w:hanging="567"/>
        <w:rPr>
          <w:rFonts w:eastAsia="Calibri"/>
          <w:b/>
          <w:i/>
          <w:szCs w:val="22"/>
        </w:rPr>
      </w:pPr>
      <w:r w:rsidRPr="00E649AE">
        <w:rPr>
          <w:b/>
          <w:i/>
        </w:rPr>
        <w:t xml:space="preserve">g) </w:t>
      </w:r>
      <w:r w:rsidRPr="00E649AE">
        <w:rPr>
          <w:b/>
          <w:i/>
        </w:rPr>
        <w:tab/>
        <w:t>myndigheder som defineret i artikel 2, nr. 1), i Europa-Parlamentets og Rådets direktiv (EU) …/…</w:t>
      </w:r>
      <w:r w:rsidR="006567A0">
        <w:rPr>
          <w:rStyle w:val="FootnoteReference"/>
          <w:b/>
          <w:i/>
        </w:rPr>
        <w:footnoteReference w:customMarkFollows="1" w:id="18"/>
        <w:t>++</w:t>
      </w:r>
    </w:p>
    <w:p w14:paraId="2883522F" w14:textId="77777777" w:rsidR="005C2C74" w:rsidRPr="00E649AE" w:rsidRDefault="005C2C74" w:rsidP="00902D9C">
      <w:pPr>
        <w:widowControl/>
        <w:spacing w:before="120" w:after="120"/>
        <w:ind w:left="1418" w:hanging="567"/>
        <w:rPr>
          <w:rFonts w:eastAsia="Calibri"/>
          <w:b/>
          <w:i/>
          <w:szCs w:val="22"/>
        </w:rPr>
      </w:pPr>
      <w:r w:rsidRPr="00E649AE">
        <w:rPr>
          <w:b/>
          <w:i/>
        </w:rPr>
        <w:t xml:space="preserve">h) </w:t>
      </w:r>
      <w:r w:rsidRPr="00E649AE">
        <w:rPr>
          <w:b/>
          <w:i/>
        </w:rPr>
        <w:tab/>
        <w:t>SSM som defineret i artikel 2, nr. 9), i forordning (EU) nr. 1024/2013</w:t>
      </w:r>
    </w:p>
    <w:p w14:paraId="50F494B0" w14:textId="77777777" w:rsidR="005C2C74" w:rsidRPr="00E649AE" w:rsidRDefault="005C2C74" w:rsidP="00902D9C">
      <w:pPr>
        <w:widowControl/>
        <w:spacing w:before="120" w:after="120"/>
        <w:ind w:left="1418" w:hanging="567"/>
        <w:rPr>
          <w:rFonts w:eastAsia="Calibri"/>
          <w:b/>
          <w:i/>
          <w:szCs w:val="22"/>
        </w:rPr>
      </w:pPr>
      <w:r w:rsidRPr="00E649AE">
        <w:rPr>
          <w:b/>
          <w:i/>
        </w:rPr>
        <w:t xml:space="preserve">i) </w:t>
      </w:r>
      <w:r w:rsidRPr="00E649AE">
        <w:rPr>
          <w:b/>
          <w:i/>
        </w:rPr>
        <w:tab/>
        <w:t>SRB</w:t>
      </w:r>
    </w:p>
    <w:p w14:paraId="51F905F1" w14:textId="77777777" w:rsidR="005C2C74" w:rsidRPr="00E649AE" w:rsidRDefault="005C2C74" w:rsidP="00902D9C">
      <w:pPr>
        <w:widowControl/>
        <w:spacing w:before="120" w:after="120"/>
        <w:ind w:left="1418" w:hanging="567"/>
        <w:rPr>
          <w:rFonts w:eastAsia="Calibri"/>
          <w:b/>
          <w:i/>
          <w:szCs w:val="22"/>
        </w:rPr>
      </w:pPr>
      <w:r w:rsidRPr="00E649AE">
        <w:rPr>
          <w:b/>
          <w:i/>
        </w:rPr>
        <w:t xml:space="preserve">j) </w:t>
      </w:r>
      <w:r w:rsidRPr="00E649AE">
        <w:rPr>
          <w:b/>
          <w:i/>
        </w:rPr>
        <w:tab/>
        <w:t>nationale afviklingsmyndigheder som defineret i artikel 3, nr. 3), i forordning (EU) nr. 806/2014.</w:t>
      </w:r>
    </w:p>
    <w:p w14:paraId="5965DEDE" w14:textId="77777777" w:rsidR="005C2C74" w:rsidRPr="00E649AE" w:rsidRDefault="005C2C74" w:rsidP="00902D9C">
      <w:pPr>
        <w:widowControl/>
        <w:spacing w:before="120" w:after="120"/>
        <w:ind w:left="851"/>
        <w:rPr>
          <w:rFonts w:eastAsia="Calibri"/>
          <w:b/>
          <w:i/>
          <w:szCs w:val="22"/>
        </w:rPr>
      </w:pPr>
      <w:r w:rsidRPr="00E649AE">
        <w:rPr>
          <w:b/>
          <w:i/>
        </w:rPr>
        <w:t>I denne artikel forstås ved "finansiel institution" en "finansiel institution" som defineret i artikel 2, litra a), i forordning (EU) nr. 1092/2010.</w:t>
      </w:r>
    </w:p>
    <w:p w14:paraId="3423CF34" w14:textId="77777777" w:rsidR="005C2C74" w:rsidRPr="00E649AE" w:rsidRDefault="005C2C74" w:rsidP="00902D9C">
      <w:pPr>
        <w:widowControl/>
        <w:spacing w:before="120" w:after="120"/>
        <w:ind w:left="851" w:hanging="851"/>
        <w:rPr>
          <w:rFonts w:eastAsia="Calibri"/>
          <w:szCs w:val="22"/>
        </w:rPr>
      </w:pPr>
      <w:r w:rsidRPr="00E649AE">
        <w:t xml:space="preserve">2. </w:t>
      </w:r>
      <w:r w:rsidRPr="00E649AE">
        <w:rPr>
          <w:b/>
          <w:i/>
        </w:rPr>
        <w:tab/>
      </w:r>
      <w:r w:rsidRPr="00E649AE">
        <w:t xml:space="preserve">Anmodningen om udveksling af oplysninger skal indeholde en behørig angivelse af, hvilket retsgrundlag i henhold til EU-retten der gør det muligt for den anmodende myndighed at indhente oplysningerne fra finansielle institutioner eller andre kompetente myndigheder. Den anmodende myndighed og den udvekslende myndighed er underlagt bestemmelserne om tavshedspligt og databeskyttelse som fastsat i artikel 70 og 71 og i sektorspecifik lovgivning, der finder anvendelse på udvekslingen af data mellem den finansielle institution og den anmodende myndighed samt på udvekslingen af data mellem den finansielle institution og den udvekslende myndighed. Den udvekslende myndighed underretter uden unødigt ophold den enkelte relevante finansielle institution ▌, </w:t>
      </w:r>
      <w:r w:rsidRPr="00E649AE">
        <w:rPr>
          <w:b/>
          <w:i/>
        </w:rPr>
        <w:t>med mindre oplysningerne er blevet anonymiseret, ændret, samlet eller behandlet ved hjælp af en anden metode til kontrol med fortrolighed i forbindelse med videregivelse af oplysninger.</w:t>
      </w:r>
      <w:r w:rsidRPr="00E649AE">
        <w:t xml:space="preserve"> </w:t>
      </w:r>
    </w:p>
    <w:p w14:paraId="5CD0CE96" w14:textId="77777777" w:rsidR="005C2C74" w:rsidRPr="00E649AE" w:rsidRDefault="005C2C74" w:rsidP="00902D9C">
      <w:pPr>
        <w:widowControl/>
        <w:spacing w:before="120" w:after="120"/>
        <w:ind w:left="851" w:hanging="851"/>
        <w:rPr>
          <w:rFonts w:eastAsia="Calibri"/>
          <w:szCs w:val="22"/>
        </w:rPr>
      </w:pPr>
      <w:r w:rsidRPr="00E649AE">
        <w:t xml:space="preserve">3. </w:t>
      </w:r>
      <w:r w:rsidRPr="00E649AE">
        <w:rPr>
          <w:b/>
          <w:i/>
        </w:rPr>
        <w:tab/>
      </w:r>
      <w:r w:rsidRPr="00E649AE">
        <w:t xml:space="preserve">Stk. 1, </w:t>
      </w:r>
      <w:r w:rsidRPr="00E649AE">
        <w:rPr>
          <w:b/>
          <w:i/>
        </w:rPr>
        <w:t>1a</w:t>
      </w:r>
      <w:r w:rsidRPr="00E649AE">
        <w:t xml:space="preserve"> og 2 finder også anvendelse på oplysninger, som den udvekslende myndighed har modtaget fra en finansiel institution </w:t>
      </w:r>
      <w:r w:rsidRPr="00E649AE">
        <w:rPr>
          <w:b/>
          <w:i/>
        </w:rPr>
        <w:t>eller de andre myndigheder</w:t>
      </w:r>
      <w:r w:rsidRPr="00E649AE">
        <w:t xml:space="preserve">, og som den udvekslende myndighed efterfølgende har kvalitetskontrolleret eller på anden måde har behandlet. </w:t>
      </w:r>
    </w:p>
    <w:p w14:paraId="51924262" w14:textId="77777777" w:rsidR="005C2C74" w:rsidRPr="00E649AE" w:rsidRDefault="005C2C74" w:rsidP="00902D9C">
      <w:pPr>
        <w:widowControl/>
        <w:spacing w:before="120" w:after="120"/>
        <w:ind w:left="851" w:hanging="851"/>
        <w:rPr>
          <w:rFonts w:eastAsia="Calibri"/>
          <w:szCs w:val="22"/>
        </w:rPr>
      </w:pPr>
      <w:r w:rsidRPr="00E649AE">
        <w:lastRenderedPageBreak/>
        <w:t xml:space="preserve">4. </w:t>
      </w:r>
      <w:r w:rsidRPr="00E649AE">
        <w:rPr>
          <w:b/>
          <w:i/>
        </w:rPr>
        <w:tab/>
      </w:r>
      <w:r w:rsidRPr="00E649AE">
        <w:t xml:space="preserve">Med henblik på udveksling af oplysninger som omhandlet i stk. 1, </w:t>
      </w:r>
      <w:r w:rsidRPr="00E649AE">
        <w:rPr>
          <w:b/>
          <w:i/>
        </w:rPr>
        <w:t>1a,</w:t>
      </w:r>
      <w:r w:rsidRPr="00E649AE">
        <w:t xml:space="preserve"> 2 og 3 </w:t>
      </w:r>
      <w:r w:rsidRPr="00E649AE">
        <w:rPr>
          <w:b/>
          <w:i/>
        </w:rPr>
        <w:t>indgår myndigheden og</w:t>
      </w:r>
      <w:r w:rsidRPr="00E649AE">
        <w:t xml:space="preserve"> de </w:t>
      </w:r>
      <w:r w:rsidRPr="00E649AE">
        <w:rPr>
          <w:b/>
          <w:i/>
        </w:rPr>
        <w:t>andre</w:t>
      </w:r>
      <w:r w:rsidRPr="00E649AE">
        <w:t xml:space="preserve"> myndigheder ▌aftalememoranda for at fastsætte de nærmere bestemmelser for udvekslingen af oplysninger. De </w:t>
      </w:r>
      <w:r w:rsidRPr="00E649AE">
        <w:rPr>
          <w:b/>
          <w:i/>
        </w:rPr>
        <w:t>fastlægger</w:t>
      </w:r>
      <w:r w:rsidRPr="00E649AE">
        <w:t xml:space="preserve"> også ordninger for deling af ressourcer til indsamling og behandling af sådanne delte data. </w:t>
      </w:r>
      <w:r w:rsidRPr="00E649AE">
        <w:rPr>
          <w:b/>
          <w:i/>
        </w:rPr>
        <w:t>Aftalememoranda skal efter aftale mellem alle de berørte myndigheder følge et enkelt og standardiseret format, der, hvor det er nødvendigt, er skræddersyet til eventuelle særlige driftsbetingelser, som måtte gælde for specifikke myndigheder.</w:t>
      </w:r>
    </w:p>
    <w:p w14:paraId="73098709" w14:textId="77777777" w:rsidR="005C2C74" w:rsidRPr="00E649AE" w:rsidRDefault="005C2C74" w:rsidP="00902D9C">
      <w:pPr>
        <w:widowControl/>
        <w:spacing w:before="120" w:after="120"/>
        <w:ind w:left="851" w:hanging="851"/>
        <w:rPr>
          <w:rFonts w:eastAsia="Calibri"/>
          <w:szCs w:val="22"/>
        </w:rPr>
      </w:pPr>
      <w:r w:rsidRPr="00E649AE">
        <w:t xml:space="preserve">5. </w:t>
      </w:r>
      <w:r w:rsidRPr="00E649AE">
        <w:rPr>
          <w:b/>
          <w:i/>
        </w:rPr>
        <w:tab/>
      </w:r>
      <w:r w:rsidRPr="00E649AE">
        <w:t xml:space="preserve">Stk. 1-4 berører ikke beskyttelsen af intellektuelle ejendomsrettigheder og forhindrer eller begrænser ikke udvekslingen af oplysninger mellem </w:t>
      </w:r>
      <w:r w:rsidRPr="00E649AE">
        <w:rPr>
          <w:b/>
          <w:i/>
        </w:rPr>
        <w:t>myndigheden og de andre</w:t>
      </w:r>
      <w:r w:rsidRPr="00E649AE">
        <w:t xml:space="preserve"> myndigheder i overensstemmelse med bestemmelserne i anden EU-lovgivning. Hvis bestemmelserne i denne artikel er i strid med bestemmelser i anden EU-lovgivning, der regulerer udvekslingen af oplysninger mellem de </w:t>
      </w:r>
      <w:r w:rsidRPr="00E649AE">
        <w:rPr>
          <w:b/>
          <w:i/>
        </w:rPr>
        <w:t>andre</w:t>
      </w:r>
      <w:r w:rsidRPr="00E649AE">
        <w:t xml:space="preserve"> myndigheder ▌, har bestemmelserne i denne anden EU-lovgivning forrang. </w:t>
      </w:r>
    </w:p>
    <w:p w14:paraId="4F8E5184" w14:textId="77777777" w:rsidR="005C2C74" w:rsidRPr="00E649AE" w:rsidRDefault="005C2C74" w:rsidP="00902D9C">
      <w:pPr>
        <w:widowControl/>
        <w:spacing w:before="120" w:after="120"/>
        <w:ind w:left="851" w:hanging="851"/>
        <w:rPr>
          <w:rFonts w:eastAsia="Calibri"/>
          <w:szCs w:val="22"/>
        </w:rPr>
      </w:pPr>
      <w:r w:rsidRPr="00E649AE">
        <w:t xml:space="preserve">6. </w:t>
      </w:r>
      <w:r w:rsidRPr="00E649AE">
        <w:rPr>
          <w:b/>
          <w:i/>
        </w:rPr>
        <w:tab/>
      </w:r>
      <w:r w:rsidRPr="00E649AE">
        <w:t>Uden at det berører andre forpligtelser, der er fastsat i EU-retten vedrørende udveksling af oplysninger,</w:t>
      </w:r>
      <w:r w:rsidRPr="00E649AE">
        <w:rPr>
          <w:b/>
          <w:i/>
        </w:rPr>
        <w:t xml:space="preserve"> kan</w:t>
      </w:r>
      <w:r w:rsidRPr="00E649AE">
        <w:t xml:space="preserve"> myndigheden og de kompetente myndigheder efter begrundet anmodning og fra sag til sag lade Kommissionen ▌få del i oplysninger, som finansielle institutioner har indberettet til dem i overensstemmelse med deres forpligtelser i henhold til EU-retten, ▌i en form, der ikke gør det muligt at identificere individuelle enheder, og som ikke indeholder personoplysninger.</w:t>
      </w:r>
    </w:p>
    <w:p w14:paraId="21DA0880" w14:textId="77777777" w:rsidR="005C2C74" w:rsidRPr="00E649AE" w:rsidRDefault="005C2C74" w:rsidP="00902D9C">
      <w:pPr>
        <w:widowControl/>
        <w:spacing w:before="120" w:after="120"/>
        <w:ind w:left="851" w:hanging="851"/>
        <w:rPr>
          <w:rFonts w:eastAsia="Calibri"/>
          <w:szCs w:val="22"/>
        </w:rPr>
      </w:pPr>
      <w:r w:rsidRPr="00E649AE">
        <w:t xml:space="preserve">7. </w:t>
      </w:r>
      <w:r w:rsidRPr="00E649AE">
        <w:tab/>
        <w:t xml:space="preserve">Myndigheden og de kompetente myndigheder kan give adgang til oplysninger, som er indhentet i forbindelse med udførelsen af deres opgaver, således at de kan videreanvendes af finansielle institutioner, forskere og andre enheder, der har en berettiget interesse i sådanne oplysninger, med henblik på forskning og innovation, forudsat at myndigheden har sikret, at følgende betingelser er opfyldt: </w:t>
      </w:r>
    </w:p>
    <w:p w14:paraId="4484DE48" w14:textId="77777777" w:rsidR="005C2C74" w:rsidRPr="00E649AE" w:rsidRDefault="005C2C74" w:rsidP="00902D9C">
      <w:pPr>
        <w:widowControl/>
        <w:spacing w:before="120" w:after="120"/>
        <w:ind w:left="851"/>
        <w:rPr>
          <w:rFonts w:eastAsia="Calibri"/>
          <w:szCs w:val="22"/>
        </w:rPr>
      </w:pPr>
      <w:r w:rsidRPr="00E649AE">
        <w:t xml:space="preserve">a) </w:t>
      </w:r>
      <w:r w:rsidRPr="00E649AE">
        <w:rPr>
          <w:b/>
          <w:i/>
        </w:rPr>
        <w:tab/>
      </w:r>
      <w:r w:rsidRPr="00E649AE">
        <w:t>Oplysningerne er blevet anonymiseret på en sådan måde, at den registrerede eller den finansielle institution ikke længere kan identificeres.</w:t>
      </w:r>
    </w:p>
    <w:p w14:paraId="38504A72" w14:textId="77777777" w:rsidR="005C2C74" w:rsidRPr="00E649AE" w:rsidRDefault="005C2C74" w:rsidP="00902D9C">
      <w:pPr>
        <w:widowControl/>
        <w:spacing w:before="120" w:after="120"/>
        <w:ind w:left="851"/>
        <w:rPr>
          <w:rFonts w:eastAsia="Calibri"/>
          <w:szCs w:val="22"/>
        </w:rPr>
      </w:pPr>
      <w:r w:rsidRPr="00E649AE">
        <w:t xml:space="preserve">b) </w:t>
      </w:r>
      <w:r w:rsidRPr="00E649AE">
        <w:rPr>
          <w:b/>
          <w:i/>
        </w:rPr>
        <w:tab/>
      </w:r>
      <w:r w:rsidRPr="00E649AE">
        <w:t xml:space="preserve">Oplysningerne er blevet ændret, sammenfattet eller behandlet efter en anden metode til kontrol med fortrolighed i forbindelse med videregivelse af oplysninger, herunder forretningshemmeligheder eller indhold, der er beskyttet af intellektuelle ejendomsrettigheder. </w:t>
      </w:r>
    </w:p>
    <w:p w14:paraId="7B44CC88" w14:textId="77777777" w:rsidR="005C2C74" w:rsidRPr="00E649AE" w:rsidRDefault="005C2C74" w:rsidP="00902D9C">
      <w:pPr>
        <w:widowControl/>
        <w:spacing w:before="120" w:after="120"/>
        <w:ind w:left="851"/>
        <w:rPr>
          <w:szCs w:val="22"/>
        </w:rPr>
      </w:pPr>
      <w:r w:rsidRPr="00E649AE">
        <w:t xml:space="preserve">Oplysninger, der modtages fra en anden myndighed, må kun videregives </w:t>
      </w:r>
      <w:r w:rsidRPr="00E649AE">
        <w:rPr>
          <w:b/>
          <w:i/>
        </w:rPr>
        <w:t>på dette grundlag</w:t>
      </w:r>
      <w:r w:rsidRPr="00E649AE">
        <w:t xml:space="preserve"> med samtykke fra den myndighed, der oprindeligt indhentede oplysningerne. ".</w:t>
      </w:r>
    </w:p>
    <w:p w14:paraId="1967646F" w14:textId="77777777" w:rsidR="005C2C74" w:rsidRPr="00E649AE" w:rsidRDefault="005C2C74" w:rsidP="00902D9C">
      <w:pPr>
        <w:widowControl/>
        <w:spacing w:before="120" w:after="120"/>
        <w:ind w:left="851" w:hanging="851"/>
        <w:rPr>
          <w:rFonts w:eastAsia="Calibri"/>
          <w:b/>
          <w:i/>
          <w:szCs w:val="22"/>
        </w:rPr>
      </w:pPr>
      <w:r w:rsidRPr="00E649AE">
        <w:rPr>
          <w:b/>
          <w:i/>
        </w:rPr>
        <w:t>7a.</w:t>
      </w:r>
      <w:r w:rsidRPr="00E649AE">
        <w:rPr>
          <w:b/>
          <w:i/>
        </w:rPr>
        <w:tab/>
        <w:t>Myndigheden og de kompetente myndigheder rapporterer senest … [et år fra datoen for denne ændringsforordnings ikrafttræden] til Kommissionen om alle juridiske hindringer i sektorspecifikke forordninger, der på nogen måde forhindrer dem i at udveksle oplysninger med de andre myndigheder eller med andre enheder. Rapporten kan også omfatte ikkevæsentlige, forældede, overlappende eller på anden vis irrelevante indberetningskrav samt forslag til at sikre konsekvensen mellem indberetningskrav til finansielle og ikkefinansielle virksomheder.</w:t>
      </w:r>
    </w:p>
    <w:p w14:paraId="2E84C6E0" w14:textId="77777777" w:rsidR="005C2C74" w:rsidRPr="00E649AE" w:rsidRDefault="005C2C74" w:rsidP="00902D9C">
      <w:pPr>
        <w:widowControl/>
        <w:spacing w:before="120" w:after="120"/>
        <w:ind w:left="851"/>
        <w:rPr>
          <w:rFonts w:eastAsia="Calibri"/>
          <w:szCs w:val="22"/>
        </w:rPr>
      </w:pPr>
      <w:r w:rsidRPr="00E649AE">
        <w:rPr>
          <w:b/>
          <w:bCs/>
          <w:i/>
          <w:iCs/>
        </w:rPr>
        <w:t>På grundlag af denne rapport og under behørig hensyntagen til beskyttelsen af intellektuelle ejendomsrettigheder, tavshedspligt og databeskyttelse forelægger Kommissionen, hvor det er relevant, et lovgivningsforslag for Europa-Parlamentet og for Rådet med henblik på at fjerne sådanne juridiske hindringer i sektorlovgivningen for at fremme udvekslingen af oplysninger mellem myndigheder og med andre enheder senest … [to år fra datoen for denne ændringsforordnings ikrafttræden].</w:t>
      </w:r>
      <w:r w:rsidRPr="00E649AE">
        <w:t> </w:t>
      </w:r>
    </w:p>
    <w:p w14:paraId="36CE3CF8" w14:textId="77777777" w:rsidR="005C2C74" w:rsidRPr="00E649AE" w:rsidRDefault="005C2C74" w:rsidP="00902D9C">
      <w:pPr>
        <w:widowControl/>
        <w:spacing w:before="120" w:after="120"/>
        <w:ind w:left="850" w:firstLine="1"/>
        <w:rPr>
          <w:rFonts w:eastAsia="Calibri"/>
          <w:b/>
          <w:i/>
          <w:szCs w:val="22"/>
        </w:rPr>
      </w:pPr>
      <w:r w:rsidRPr="00E649AE">
        <w:rPr>
          <w:b/>
          <w:i/>
        </w:rPr>
        <w:lastRenderedPageBreak/>
        <w:t>4a.</w:t>
      </w:r>
      <w:r w:rsidRPr="00E649AE">
        <w:rPr>
          <w:b/>
          <w:i/>
        </w:rPr>
        <w:tab/>
        <w:t>Følgende artikel indsættes:</w:t>
      </w:r>
    </w:p>
    <w:p w14:paraId="2105B569" w14:textId="77777777" w:rsidR="005C2C74" w:rsidRPr="00E649AE" w:rsidRDefault="005C2C74" w:rsidP="00A07C5D">
      <w:pPr>
        <w:widowControl/>
        <w:spacing w:before="120" w:after="120"/>
        <w:ind w:left="851"/>
        <w:rPr>
          <w:rFonts w:eastAsia="Calibri"/>
          <w:b/>
          <w:i/>
          <w:szCs w:val="22"/>
        </w:rPr>
      </w:pPr>
      <w:r w:rsidRPr="00E649AE">
        <w:rPr>
          <w:b/>
          <w:i/>
        </w:rPr>
        <w:t>"Artikel 35b</w:t>
      </w:r>
    </w:p>
    <w:p w14:paraId="730D4346" w14:textId="77777777" w:rsidR="005C2C74" w:rsidRPr="00E649AE" w:rsidRDefault="005C2C74" w:rsidP="00B04931">
      <w:pPr>
        <w:widowControl/>
        <w:spacing w:before="120" w:after="120"/>
        <w:ind w:left="851"/>
        <w:rPr>
          <w:rFonts w:eastAsia="Calibri"/>
          <w:b/>
          <w:i/>
          <w:szCs w:val="22"/>
        </w:rPr>
      </w:pPr>
      <w:r w:rsidRPr="00E649AE">
        <w:rPr>
          <w:b/>
          <w:i/>
        </w:rPr>
        <w:t>Oprettelse af et fælles integreret indberetningssystem</w:t>
      </w:r>
    </w:p>
    <w:p w14:paraId="5EDAD53B" w14:textId="77777777" w:rsidR="005C2C74" w:rsidRPr="00E649AE" w:rsidRDefault="005C2C74" w:rsidP="00902D9C">
      <w:pPr>
        <w:widowControl/>
        <w:spacing w:before="120" w:after="120"/>
        <w:ind w:left="851"/>
        <w:rPr>
          <w:rFonts w:eastAsia="Calibri"/>
          <w:b/>
          <w:i/>
          <w:szCs w:val="22"/>
        </w:rPr>
      </w:pPr>
      <w:r w:rsidRPr="00E649AE">
        <w:rPr>
          <w:b/>
          <w:i/>
        </w:rPr>
        <w:t xml:space="preserve">1. </w:t>
      </w:r>
      <w:r w:rsidRPr="00E649AE">
        <w:rPr>
          <w:b/>
          <w:i/>
        </w:rPr>
        <w:tab/>
        <w:t xml:space="preserve">Senest … [to år fra datoen for denne ændringsforordnings ikrafttræden] udarbejder Myndigheden i tæt samarbejde med de andre myndigheder og ESCB en rapport om de tekniske detaljer i oprettelsen af et fælles integreret indberetningssystem samt en køreplan baseret på arbejdet med integration af </w:t>
      </w:r>
      <w:proofErr w:type="spellStart"/>
      <w:r w:rsidRPr="00E649AE">
        <w:rPr>
          <w:b/>
          <w:i/>
        </w:rPr>
        <w:t>ESA'ernes</w:t>
      </w:r>
      <w:proofErr w:type="spellEnd"/>
      <w:r w:rsidRPr="00E649AE">
        <w:rPr>
          <w:b/>
          <w:i/>
        </w:rPr>
        <w:t xml:space="preserve"> indberetning inden for deres sektorer og inkluderer </w:t>
      </w:r>
      <w:proofErr w:type="gramStart"/>
      <w:r w:rsidRPr="00E649AE">
        <w:rPr>
          <w:b/>
          <w:i/>
        </w:rPr>
        <w:t>heri</w:t>
      </w:r>
      <w:proofErr w:type="gramEnd"/>
      <w:r w:rsidRPr="00E649AE">
        <w:rPr>
          <w:b/>
          <w:i/>
        </w:rPr>
        <w:t xml:space="preserve"> en vurdering af omkostninger og fordele. Med henblik på denne rapport skal det fælles integrerede indberetningssystem omfatte:</w:t>
      </w:r>
    </w:p>
    <w:p w14:paraId="0C331B91" w14:textId="77777777" w:rsidR="005C2C74" w:rsidRPr="00E649AE" w:rsidRDefault="005C2C74" w:rsidP="00902D9C">
      <w:pPr>
        <w:widowControl/>
        <w:spacing w:before="120" w:after="120"/>
        <w:ind w:left="1418" w:hanging="567"/>
        <w:rPr>
          <w:rFonts w:eastAsia="Calibri"/>
          <w:b/>
          <w:i/>
          <w:szCs w:val="22"/>
        </w:rPr>
      </w:pPr>
      <w:r w:rsidRPr="00E649AE">
        <w:rPr>
          <w:b/>
          <w:i/>
        </w:rPr>
        <w:t xml:space="preserve">a) </w:t>
      </w:r>
      <w:r w:rsidRPr="00E649AE">
        <w:rPr>
          <w:b/>
          <w:i/>
        </w:rPr>
        <w:tab/>
        <w:t>en fælles dataordbog til at sikre konsekvens og klarhed af indberetningskravene og datastandardiseringen</w:t>
      </w:r>
    </w:p>
    <w:p w14:paraId="1FB54911" w14:textId="77777777" w:rsidR="005C2C74" w:rsidRPr="00E649AE" w:rsidRDefault="005C2C74" w:rsidP="00902D9C">
      <w:pPr>
        <w:widowControl/>
        <w:spacing w:before="120" w:after="120"/>
        <w:ind w:left="1418" w:hanging="567"/>
        <w:rPr>
          <w:rFonts w:eastAsia="Calibri"/>
          <w:b/>
          <w:i/>
          <w:szCs w:val="22"/>
        </w:rPr>
      </w:pPr>
      <w:r w:rsidRPr="00E649AE">
        <w:rPr>
          <w:b/>
          <w:i/>
        </w:rPr>
        <w:t xml:space="preserve">b) </w:t>
      </w:r>
      <w:r w:rsidRPr="00E649AE">
        <w:rPr>
          <w:b/>
          <w:i/>
        </w:rPr>
        <w:tab/>
        <w:t>et fælles register over indberetnings- og oplysningskrav, beskrivelser af de indsamlede data og af de myndigheder, der opbevarer dem</w:t>
      </w:r>
    </w:p>
    <w:p w14:paraId="08C0DE48" w14:textId="77777777" w:rsidR="005C2C74" w:rsidRPr="00E649AE" w:rsidRDefault="005C2C74" w:rsidP="00902D9C">
      <w:pPr>
        <w:widowControl/>
        <w:spacing w:before="120" w:after="120"/>
        <w:ind w:left="1418" w:hanging="567"/>
        <w:rPr>
          <w:rFonts w:eastAsia="Calibri"/>
          <w:b/>
          <w:i/>
          <w:szCs w:val="22"/>
        </w:rPr>
      </w:pPr>
      <w:r w:rsidRPr="00E649AE">
        <w:rPr>
          <w:b/>
          <w:i/>
        </w:rPr>
        <w:t xml:space="preserve">c) </w:t>
      </w:r>
      <w:r w:rsidRPr="00E649AE">
        <w:rPr>
          <w:b/>
          <w:i/>
        </w:rPr>
        <w:tab/>
        <w:t>et centralt dataområde, herunder den tekniske udformning til indsamling og udveksling af oplysninger, og</w:t>
      </w:r>
    </w:p>
    <w:p w14:paraId="6A1C201C" w14:textId="77777777" w:rsidR="005C2C74" w:rsidRPr="00E649AE" w:rsidRDefault="005C2C74" w:rsidP="00902D9C">
      <w:pPr>
        <w:widowControl/>
        <w:spacing w:before="120" w:after="120"/>
        <w:ind w:left="1418" w:hanging="567"/>
        <w:rPr>
          <w:rFonts w:eastAsia="Calibri"/>
          <w:b/>
          <w:i/>
          <w:szCs w:val="22"/>
        </w:rPr>
      </w:pPr>
      <w:r w:rsidRPr="00E649AE">
        <w:rPr>
          <w:b/>
          <w:i/>
        </w:rPr>
        <w:t xml:space="preserve">d) </w:t>
      </w:r>
      <w:r w:rsidRPr="00E649AE">
        <w:rPr>
          <w:b/>
          <w:i/>
        </w:rPr>
        <w:tab/>
        <w:t>et permanent fælles kontaktpunkt for enheder til at angive tilfælde af dobbeltindberetning og overflødige eller forældede indberetnings- eller oplysningskrav.</w:t>
      </w:r>
    </w:p>
    <w:p w14:paraId="5408B59A" w14:textId="77777777" w:rsidR="005C2C74" w:rsidRPr="00E649AE" w:rsidRDefault="005C2C74" w:rsidP="00902D9C">
      <w:pPr>
        <w:widowControl/>
        <w:spacing w:before="120" w:after="120"/>
        <w:ind w:left="851"/>
        <w:rPr>
          <w:rFonts w:eastAsia="Calibri"/>
          <w:b/>
          <w:i/>
          <w:szCs w:val="22"/>
        </w:rPr>
      </w:pPr>
      <w:r w:rsidRPr="00E649AE">
        <w:rPr>
          <w:b/>
          <w:i/>
        </w:rPr>
        <w:t xml:space="preserve">Rapporten ledsages i tæt samarbejde med Kommissionen af et overslag over de samlede finansielle følger. </w:t>
      </w:r>
    </w:p>
    <w:p w14:paraId="6D2BB035" w14:textId="77777777" w:rsidR="005C2C74" w:rsidRPr="00E649AE" w:rsidRDefault="005C2C74" w:rsidP="00902D9C">
      <w:pPr>
        <w:widowControl/>
        <w:spacing w:before="120" w:after="120"/>
        <w:ind w:left="851"/>
        <w:rPr>
          <w:rFonts w:eastAsia="Calibri"/>
          <w:b/>
          <w:i/>
          <w:szCs w:val="22"/>
        </w:rPr>
      </w:pPr>
      <w:r w:rsidRPr="00E649AE">
        <w:rPr>
          <w:b/>
          <w:i/>
        </w:rPr>
        <w:t xml:space="preserve">Kommissionen forelægger, hvis det er relevant, Europa-Parlamentet og Rådet et lovgivningsforslag for at sikre de nødvendige finansielle, menneskelige ressourcer og IT-ressourcer til etableringen af det fælles integrerede indberetningssystem senest den … [tre år fra datoen for denne ændringsforordnings ikrafttræden]. </w:t>
      </w:r>
    </w:p>
    <w:p w14:paraId="4013C43C" w14:textId="77777777" w:rsidR="005C2C74" w:rsidRPr="00E649AE" w:rsidRDefault="005C2C74" w:rsidP="00902D9C">
      <w:pPr>
        <w:widowControl/>
        <w:spacing w:before="120" w:after="120"/>
        <w:ind w:left="851"/>
        <w:rPr>
          <w:rFonts w:eastAsia="Calibri"/>
          <w:b/>
          <w:i/>
          <w:szCs w:val="22"/>
        </w:rPr>
      </w:pPr>
      <w:r w:rsidRPr="00E649AE">
        <w:rPr>
          <w:b/>
          <w:i/>
        </w:rPr>
        <w:t>Myndigheden opretter sammen med de andre myndigheder det fælles integrerede indberetningssystem senest den … [tre år fra datoen for denne ændringsforordnings ikrafttræden]."</w:t>
      </w:r>
    </w:p>
    <w:p w14:paraId="515C09B0" w14:textId="77777777" w:rsidR="005C2C74" w:rsidRPr="00E649AE" w:rsidRDefault="005C2C74" w:rsidP="008476E1">
      <w:pPr>
        <w:widowControl/>
        <w:spacing w:before="120" w:after="120"/>
        <w:ind w:left="851" w:hanging="851"/>
        <w:rPr>
          <w:rFonts w:eastAsia="Calibri"/>
          <w:b/>
          <w:i/>
          <w:szCs w:val="22"/>
        </w:rPr>
      </w:pPr>
      <w:r w:rsidRPr="00E649AE">
        <w:rPr>
          <w:b/>
          <w:i/>
        </w:rPr>
        <w:t>4b.</w:t>
      </w:r>
      <w:r w:rsidRPr="00E649AE">
        <w:rPr>
          <w:b/>
          <w:i/>
        </w:rPr>
        <w:tab/>
        <w:t>Artikel 36, stk. 2, affattes således:</w:t>
      </w:r>
    </w:p>
    <w:p w14:paraId="52EC8140" w14:textId="17081B57" w:rsidR="005C2C74" w:rsidRPr="00E649AE" w:rsidRDefault="008876E6" w:rsidP="00902D9C">
      <w:pPr>
        <w:widowControl/>
        <w:spacing w:before="120" w:after="120"/>
        <w:ind w:left="851"/>
        <w:rPr>
          <w:rFonts w:eastAsia="Calibri"/>
          <w:b/>
          <w:i/>
          <w:szCs w:val="22"/>
        </w:rPr>
      </w:pPr>
      <w:r w:rsidRPr="002D0D1D">
        <w:t>"</w:t>
      </w:r>
      <w:r w:rsidR="005C2C74" w:rsidRPr="00E649AE">
        <w:t xml:space="preserve">2. </w:t>
      </w:r>
      <w:r w:rsidR="005C2C74" w:rsidRPr="00E649AE">
        <w:rPr>
          <w:b/>
          <w:i/>
        </w:rPr>
        <w:tab/>
        <w:t>Myndigheden samt Det Europæiske System af Centralbanker (ESCB), Kommissionen, de nationale tilsynsmyndigheder og nationale statistikmyndigheder arbejder tæt sammen med ESRB ved at udveksle de oplysninger og analyser, som er nødvendige for udførelsen af deres opgaver.</w:t>
      </w:r>
    </w:p>
    <w:p w14:paraId="562745B2" w14:textId="77777777" w:rsidR="005C2C74" w:rsidRPr="00E649AE" w:rsidRDefault="005C2C74" w:rsidP="00902D9C">
      <w:pPr>
        <w:widowControl/>
        <w:spacing w:before="120" w:after="120"/>
        <w:ind w:left="851"/>
        <w:rPr>
          <w:rFonts w:eastAsia="Calibri"/>
          <w:b/>
          <w:i/>
          <w:szCs w:val="22"/>
        </w:rPr>
      </w:pPr>
      <w:r w:rsidRPr="00E649AE">
        <w:rPr>
          <w:b/>
          <w:i/>
        </w:rPr>
        <w:t xml:space="preserve">Myndigheden, </w:t>
      </w:r>
      <w:proofErr w:type="spellStart"/>
      <w:r w:rsidRPr="00E649AE">
        <w:rPr>
          <w:b/>
          <w:i/>
        </w:rPr>
        <w:t>ESA'erne</w:t>
      </w:r>
      <w:proofErr w:type="spellEnd"/>
      <w:r w:rsidRPr="00E649AE">
        <w:rPr>
          <w:b/>
          <w:i/>
        </w:rPr>
        <w:t xml:space="preserve"> og </w:t>
      </w:r>
      <w:proofErr w:type="spellStart"/>
      <w:r w:rsidRPr="00E649AE">
        <w:rPr>
          <w:b/>
          <w:i/>
        </w:rPr>
        <w:t>ESRB</w:t>
      </w:r>
      <w:proofErr w:type="spellEnd"/>
      <w:r w:rsidRPr="00E649AE">
        <w:rPr>
          <w:b/>
          <w:i/>
        </w:rPr>
        <w:t xml:space="preserve"> koordinerer deres indsats for at opdage, overvåge, forebygge og afbøde systemiske risici for den finansielle stabilitet.</w:t>
      </w:r>
    </w:p>
    <w:p w14:paraId="3BA9A883" w14:textId="77777777" w:rsidR="005C2C74" w:rsidRPr="00E649AE" w:rsidRDefault="005C2C74" w:rsidP="00902D9C">
      <w:pPr>
        <w:widowControl/>
        <w:tabs>
          <w:tab w:val="left" w:pos="709"/>
        </w:tabs>
        <w:spacing w:before="120" w:after="120"/>
        <w:ind w:left="851"/>
        <w:rPr>
          <w:rFonts w:eastAsia="Calibri"/>
          <w:b/>
          <w:i/>
          <w:szCs w:val="22"/>
        </w:rPr>
      </w:pPr>
      <w:r w:rsidRPr="00E649AE">
        <w:rPr>
          <w:b/>
          <w:i/>
        </w:rPr>
        <w:t>Myndigheden overholder i overensstemmelse med artikel 15, stk. 1-5, i forordning (EU) nr. 1092/2010 de skitserede bestemmelser om dataudveksling.</w:t>
      </w:r>
    </w:p>
    <w:p w14:paraId="76B2842D" w14:textId="1CF1516B" w:rsidR="005C2C74" w:rsidRPr="00E649AE" w:rsidRDefault="005C2C74" w:rsidP="00902D9C">
      <w:pPr>
        <w:widowControl/>
        <w:tabs>
          <w:tab w:val="left" w:pos="709"/>
        </w:tabs>
        <w:spacing w:before="120" w:after="120"/>
        <w:ind w:left="851"/>
        <w:rPr>
          <w:rFonts w:eastAsia="Calibri"/>
          <w:b/>
          <w:i/>
          <w:szCs w:val="22"/>
        </w:rPr>
      </w:pPr>
      <w:r w:rsidRPr="00E649AE">
        <w:rPr>
          <w:b/>
          <w:i/>
        </w:rPr>
        <w:t>Myndigheden skal i samarbejde med ESRB have indført passende interne procedurer for videregivelse af fortrolige oplysninger, navnlig oplysninger vedrørende individuelle finansielle institutioner.</w:t>
      </w:r>
      <w:r w:rsidR="008876E6" w:rsidRPr="008876E6">
        <w:rPr>
          <w:b/>
          <w:i/>
        </w:rPr>
        <w:t>"</w:t>
      </w:r>
      <w:r w:rsidRPr="00E649AE">
        <w:rPr>
          <w:b/>
          <w:i/>
        </w:rPr>
        <w:t xml:space="preserve"> </w:t>
      </w:r>
    </w:p>
    <w:p w14:paraId="3985A357" w14:textId="77777777" w:rsidR="005C2C74" w:rsidRPr="00E649AE" w:rsidRDefault="005C2C74" w:rsidP="00902D9C">
      <w:pPr>
        <w:widowControl/>
        <w:spacing w:before="120" w:after="120"/>
        <w:ind w:left="851"/>
        <w:rPr>
          <w:rFonts w:eastAsia="Calibri"/>
          <w:szCs w:val="22"/>
        </w:rPr>
      </w:pPr>
      <w:r w:rsidRPr="00E649AE">
        <w:t>5.</w:t>
      </w:r>
      <w:r w:rsidRPr="00E649AE">
        <w:tab/>
        <w:t>I artikel 54, stk. 2, tilføjes følgende led: </w:t>
      </w:r>
    </w:p>
    <w:p w14:paraId="56D81726" w14:textId="77777777" w:rsidR="005C2C74" w:rsidRPr="00E649AE" w:rsidRDefault="005C2C74" w:rsidP="00902D9C">
      <w:pPr>
        <w:widowControl/>
        <w:spacing w:before="120" w:after="120"/>
        <w:ind w:left="851"/>
        <w:rPr>
          <w:rFonts w:eastAsia="Calibri"/>
          <w:szCs w:val="22"/>
        </w:rPr>
      </w:pPr>
      <w:r w:rsidRPr="00E649AE">
        <w:t xml:space="preserve">"— </w:t>
      </w:r>
      <w:r w:rsidRPr="00E649AE">
        <w:rPr>
          <w:b/>
          <w:i/>
        </w:rPr>
        <w:t>indberetnings- og oplysningskrav</w:t>
      </w:r>
      <w:r w:rsidRPr="00E649AE">
        <w:t xml:space="preserve"> og indsamling af oplysninger fra finansielle institutioner." </w:t>
      </w:r>
    </w:p>
    <w:p w14:paraId="3AFCDEC7" w14:textId="77777777" w:rsidR="005C2C74" w:rsidRPr="00E649AE" w:rsidRDefault="005C2C74" w:rsidP="00902D9C">
      <w:pPr>
        <w:widowControl/>
        <w:spacing w:before="120" w:after="120"/>
        <w:ind w:left="851"/>
        <w:rPr>
          <w:rFonts w:eastAsia="Calibri"/>
          <w:szCs w:val="22"/>
        </w:rPr>
      </w:pPr>
      <w:r w:rsidRPr="00E649AE">
        <w:lastRenderedPageBreak/>
        <w:t>6.</w:t>
      </w:r>
      <w:r w:rsidRPr="00E649AE">
        <w:tab/>
        <w:t>Artikel 70, stk. 3, affattes således: </w:t>
      </w:r>
    </w:p>
    <w:p w14:paraId="11FB4732" w14:textId="77777777" w:rsidR="005C2C74" w:rsidRPr="00E649AE" w:rsidRDefault="005C2C74" w:rsidP="00902D9C">
      <w:pPr>
        <w:widowControl/>
        <w:spacing w:before="120" w:after="120"/>
        <w:ind w:left="851"/>
        <w:rPr>
          <w:rFonts w:eastAsia="Calibri"/>
          <w:szCs w:val="24"/>
        </w:rPr>
      </w:pPr>
      <w:r w:rsidRPr="00E649AE">
        <w:t xml:space="preserve">"3. Stk. 1 og 2 hindrer ikke myndigheden i at udveksle oplysninger med </w:t>
      </w:r>
      <w:r w:rsidRPr="00E649AE">
        <w:rPr>
          <w:b/>
          <w:i/>
        </w:rPr>
        <w:t>de andre myndigheder, der er omhandlet i artikel 35a, nr. 1b),</w:t>
      </w:r>
      <w:r w:rsidRPr="00E649AE">
        <w:t xml:space="preserve"> i overensstemmelse med denne forordning og anden EU-lovgivning vedrørende finansielle institutioner."</w:t>
      </w:r>
    </w:p>
    <w:p w14:paraId="6FE706E7" w14:textId="77777777" w:rsidR="005C2C74" w:rsidRPr="00E649AE" w:rsidRDefault="005C2C74" w:rsidP="005C2C74">
      <w:pPr>
        <w:keepNext/>
        <w:widowControl/>
        <w:spacing w:before="360" w:after="120"/>
        <w:ind w:left="720"/>
        <w:jc w:val="center"/>
        <w:rPr>
          <w:rFonts w:eastAsia="Calibri"/>
          <w:i/>
          <w:szCs w:val="22"/>
        </w:rPr>
      </w:pPr>
      <w:r w:rsidRPr="00E649AE">
        <w:rPr>
          <w:i/>
        </w:rPr>
        <w:t>Artikel 4</w:t>
      </w:r>
    </w:p>
    <w:p w14:paraId="0D00BF89" w14:textId="77777777" w:rsidR="005C2C74" w:rsidRPr="00E649AE" w:rsidRDefault="005C2C74" w:rsidP="005C2C74">
      <w:pPr>
        <w:widowControl/>
        <w:spacing w:before="120" w:after="120"/>
        <w:jc w:val="center"/>
        <w:rPr>
          <w:rFonts w:eastAsia="Calibri"/>
          <w:szCs w:val="22"/>
        </w:rPr>
      </w:pPr>
      <w:r w:rsidRPr="00E649AE">
        <w:rPr>
          <w:b/>
        </w:rPr>
        <w:t>Ændring af forordning (EU) nr. 1095/2010</w:t>
      </w:r>
    </w:p>
    <w:p w14:paraId="70C0A8BC" w14:textId="77777777" w:rsidR="005C2C74" w:rsidRPr="00E649AE" w:rsidRDefault="005C2C74" w:rsidP="00902D9C">
      <w:pPr>
        <w:widowControl/>
        <w:spacing w:before="120" w:after="120"/>
        <w:rPr>
          <w:rFonts w:eastAsia="Calibri"/>
          <w:szCs w:val="22"/>
        </w:rPr>
      </w:pPr>
      <w:r w:rsidRPr="00E649AE">
        <w:t>I forordning (EU) nr. 1095/2010 foretages følgende ændringer: </w:t>
      </w:r>
    </w:p>
    <w:p w14:paraId="2A161674" w14:textId="77777777" w:rsidR="005C2C74" w:rsidRPr="00E649AE" w:rsidRDefault="005C2C74" w:rsidP="00902D9C">
      <w:pPr>
        <w:widowControl/>
        <w:spacing w:before="120" w:after="120"/>
        <w:ind w:left="850" w:hanging="850"/>
        <w:rPr>
          <w:rFonts w:eastAsia="Calibri"/>
          <w:b/>
          <w:i/>
          <w:szCs w:val="22"/>
        </w:rPr>
      </w:pPr>
      <w:r w:rsidRPr="00E649AE">
        <w:rPr>
          <w:b/>
          <w:i/>
        </w:rPr>
        <w:t>-1.</w:t>
      </w:r>
      <w:r w:rsidRPr="00E649AE">
        <w:rPr>
          <w:b/>
          <w:i/>
        </w:rPr>
        <w:tab/>
        <w:t>I artikel 16a, stk. 1, indsættes følgende afsnit:</w:t>
      </w:r>
    </w:p>
    <w:p w14:paraId="2C68382F" w14:textId="77777777" w:rsidR="005C2C74" w:rsidRPr="00E649AE" w:rsidRDefault="005C2C74" w:rsidP="00902D9C">
      <w:pPr>
        <w:widowControl/>
        <w:spacing w:before="120" w:after="120"/>
        <w:ind w:left="851"/>
        <w:rPr>
          <w:rFonts w:eastAsia="Calibri"/>
          <w:b/>
          <w:i/>
          <w:szCs w:val="22"/>
        </w:rPr>
      </w:pPr>
      <w:r w:rsidRPr="00E649AE">
        <w:rPr>
          <w:b/>
          <w:i/>
        </w:rPr>
        <w:t>"Myndighedens udtalelser er ikke begrænset til igangværende lovgivningsprocedurer. Myndigheden kan også i sine udtalelser, hvis det er relevant, foreslå ændringer til gældende retsakter, herunder ændringer, der har til formål:</w:t>
      </w:r>
    </w:p>
    <w:p w14:paraId="354026F6" w14:textId="77777777" w:rsidR="005C2C74" w:rsidRPr="00E649AE" w:rsidRDefault="005C2C74" w:rsidP="00902D9C">
      <w:pPr>
        <w:widowControl/>
        <w:spacing w:before="120" w:after="120"/>
        <w:ind w:left="1418" w:hanging="567"/>
        <w:rPr>
          <w:rFonts w:eastAsia="Calibri"/>
          <w:b/>
          <w:i/>
          <w:szCs w:val="22"/>
        </w:rPr>
      </w:pPr>
      <w:r w:rsidRPr="00E649AE">
        <w:rPr>
          <w:b/>
          <w:i/>
        </w:rPr>
        <w:t xml:space="preserve">a) </w:t>
      </w:r>
      <w:r w:rsidRPr="00E649AE">
        <w:rPr>
          <w:b/>
          <w:i/>
        </w:rPr>
        <w:tab/>
        <w:t>at fjerne overflødige eller forældede indberetnings- og oplysningskrav i EU-retten eller medlemsstaternes nationale gennemførelse af EU-retten</w:t>
      </w:r>
    </w:p>
    <w:p w14:paraId="79237492" w14:textId="77777777" w:rsidR="005C2C74" w:rsidRPr="00E649AE" w:rsidRDefault="005C2C74" w:rsidP="00902D9C">
      <w:pPr>
        <w:widowControl/>
        <w:spacing w:before="120" w:after="120"/>
        <w:ind w:left="1418" w:hanging="567"/>
        <w:rPr>
          <w:rFonts w:eastAsia="Calibri"/>
          <w:b/>
          <w:i/>
          <w:szCs w:val="22"/>
        </w:rPr>
      </w:pPr>
      <w:r w:rsidRPr="00E649AE">
        <w:rPr>
          <w:b/>
          <w:i/>
        </w:rPr>
        <w:t>b)</w:t>
      </w:r>
      <w:r w:rsidRPr="00E649AE">
        <w:rPr>
          <w:b/>
          <w:i/>
        </w:rPr>
        <w:tab/>
        <w:t xml:space="preserve"> at sikre ensartede indberetnings- og oplysningskrav på tværs af sektorspecifik og tværsektoriel lovgivning</w:t>
      </w:r>
    </w:p>
    <w:p w14:paraId="603BF0A2" w14:textId="77777777" w:rsidR="005C2C74" w:rsidRPr="00E649AE" w:rsidRDefault="005C2C74" w:rsidP="00902D9C">
      <w:pPr>
        <w:widowControl/>
        <w:spacing w:before="120" w:after="120"/>
        <w:ind w:left="1418" w:hanging="567"/>
        <w:rPr>
          <w:rFonts w:eastAsia="Calibri"/>
          <w:b/>
          <w:i/>
          <w:szCs w:val="22"/>
        </w:rPr>
      </w:pPr>
      <w:r w:rsidRPr="00E649AE">
        <w:rPr>
          <w:b/>
          <w:i/>
        </w:rPr>
        <w:t>c)</w:t>
      </w:r>
      <w:r w:rsidRPr="00E649AE">
        <w:rPr>
          <w:b/>
          <w:i/>
        </w:rPr>
        <w:tab/>
        <w:t xml:space="preserve"> at sikre proportionalitet i indberetnings- og oplysningskrav med hensyn til den indberettende enheds karakter, størrelse og kompleksitet</w:t>
      </w:r>
    </w:p>
    <w:p w14:paraId="768B70C2" w14:textId="77777777" w:rsidR="005C2C74" w:rsidRPr="00E649AE" w:rsidRDefault="005C2C74" w:rsidP="00902D9C">
      <w:pPr>
        <w:widowControl/>
        <w:spacing w:before="120" w:after="120"/>
        <w:ind w:left="1418" w:hanging="567"/>
        <w:rPr>
          <w:rFonts w:eastAsia="Calibri"/>
          <w:b/>
          <w:bCs/>
          <w:i/>
          <w:iCs/>
          <w:szCs w:val="22"/>
        </w:rPr>
      </w:pPr>
      <w:r w:rsidRPr="00E649AE">
        <w:rPr>
          <w:b/>
          <w:i/>
        </w:rPr>
        <w:t xml:space="preserve">d) </w:t>
      </w:r>
      <w:r w:rsidRPr="00E649AE">
        <w:rPr>
          <w:b/>
          <w:i/>
        </w:rPr>
        <w:tab/>
        <w:t>at sikre, at overholdelsen af indberetnings- og oplysningskravene står i et rimeligt forhold til den merværdi, som myndighedens opfyldelse af opgaver og mål medfører.</w:t>
      </w:r>
    </w:p>
    <w:p w14:paraId="5E71B09F" w14:textId="091104FE" w:rsidR="005C2C74" w:rsidRPr="00E649AE" w:rsidRDefault="005C2C74" w:rsidP="00902D9C">
      <w:pPr>
        <w:widowControl/>
        <w:spacing w:before="120" w:after="120"/>
        <w:ind w:left="851"/>
        <w:rPr>
          <w:rFonts w:eastAsia="Calibri"/>
          <w:b/>
          <w:bCs/>
          <w:i/>
          <w:iCs/>
          <w:szCs w:val="22"/>
        </w:rPr>
      </w:pPr>
      <w:r w:rsidRPr="00E649AE">
        <w:rPr>
          <w:b/>
          <w:i/>
        </w:rPr>
        <w:t>I forbindelse med udtalelser om gældende lovgivningsmæssige retsakter, jf. første afsnit, skal myndigheden tage behørigt hensyn til input fra alle relevante interessenter gennem en særlig høring. På grundlag af disse udtalelser forelægger Kommissionen om nødvendigt et lovgivningsforslag for Europa-Parlamentet og Rådet.</w:t>
      </w:r>
      <w:r w:rsidR="00F74066" w:rsidRPr="00F74066">
        <w:rPr>
          <w:b/>
          <w:i/>
        </w:rPr>
        <w:t>"</w:t>
      </w:r>
      <w:r w:rsidRPr="00E649AE">
        <w:rPr>
          <w:b/>
          <w:i/>
        </w:rPr>
        <w:t xml:space="preserve"> </w:t>
      </w:r>
    </w:p>
    <w:p w14:paraId="4A919E33" w14:textId="77777777" w:rsidR="005C2C74" w:rsidRPr="00E649AE" w:rsidRDefault="005C2C74" w:rsidP="00902D9C">
      <w:pPr>
        <w:widowControl/>
        <w:spacing w:before="120" w:after="120"/>
        <w:ind w:left="850" w:hanging="850"/>
        <w:rPr>
          <w:rFonts w:eastAsia="Calibri"/>
          <w:szCs w:val="22"/>
        </w:rPr>
      </w:pPr>
      <w:r w:rsidRPr="00E649AE">
        <w:t>1.</w:t>
      </w:r>
      <w:r w:rsidRPr="00E649AE">
        <w:tab/>
        <w:t>Artikel 29, stk. 1, litra d), affattes således: </w:t>
      </w:r>
    </w:p>
    <w:p w14:paraId="4F6EED95" w14:textId="77777777" w:rsidR="005C2C74" w:rsidRPr="00E649AE" w:rsidRDefault="005C2C74" w:rsidP="00902D9C">
      <w:pPr>
        <w:widowControl/>
        <w:spacing w:before="120" w:after="120"/>
        <w:ind w:left="851"/>
        <w:rPr>
          <w:rFonts w:eastAsia="Calibri"/>
          <w:b/>
          <w:i/>
          <w:szCs w:val="22"/>
        </w:rPr>
      </w:pPr>
      <w:r w:rsidRPr="00E649AE">
        <w:t xml:space="preserve">"d) at vurdere anvendelsen af de relevante reguleringsmæssige og gennemførelsesmæssige tekniske standarder, der vedtages af Kommissionen, og af retningslinjer og henstillinger udstedt af myndigheden og eventuelt foreslå ændringer hertil, </w:t>
      </w:r>
      <w:r w:rsidRPr="00E649AE">
        <w:rPr>
          <w:b/>
          <w:i/>
        </w:rPr>
        <w:t>samtidig med at anvendeligheden og kvaliteten af dataene bevares, med henblik på at:</w:t>
      </w:r>
    </w:p>
    <w:p w14:paraId="6D9D4BE9" w14:textId="77777777" w:rsidR="005C2C74" w:rsidRPr="00E649AE" w:rsidRDefault="005C2C74" w:rsidP="00902D9C">
      <w:pPr>
        <w:widowControl/>
        <w:spacing w:before="120" w:after="120"/>
        <w:ind w:left="720"/>
        <w:rPr>
          <w:rFonts w:eastAsia="Calibri"/>
          <w:b/>
          <w:i/>
          <w:szCs w:val="22"/>
        </w:rPr>
      </w:pPr>
      <w:r w:rsidRPr="00E649AE">
        <w:rPr>
          <w:b/>
          <w:i/>
        </w:rPr>
        <w:t>-</w:t>
      </w:r>
      <w:r w:rsidRPr="00E649AE">
        <w:t xml:space="preserve"> fjerne overflødige eller forældede </w:t>
      </w:r>
      <w:r w:rsidRPr="00E649AE">
        <w:rPr>
          <w:b/>
          <w:i/>
        </w:rPr>
        <w:t>indberetnings- og oplysningskrav</w:t>
      </w:r>
    </w:p>
    <w:p w14:paraId="4676213B" w14:textId="77777777" w:rsidR="005C2C74" w:rsidRPr="00E649AE" w:rsidRDefault="005C2C74" w:rsidP="00902D9C">
      <w:pPr>
        <w:widowControl/>
        <w:spacing w:before="120" w:after="120"/>
        <w:ind w:left="720"/>
        <w:rPr>
          <w:rFonts w:eastAsia="Calibri"/>
          <w:b/>
          <w:i/>
          <w:szCs w:val="22"/>
        </w:rPr>
      </w:pPr>
      <w:r w:rsidRPr="00E649AE">
        <w:rPr>
          <w:b/>
          <w:i/>
        </w:rPr>
        <w:t>- sikre proportionale og standardiserede indberetnings- og oplysningskrav</w:t>
      </w:r>
    </w:p>
    <w:p w14:paraId="3CE5AA60" w14:textId="77777777" w:rsidR="005C2C74" w:rsidRPr="00E649AE" w:rsidRDefault="005C2C74" w:rsidP="00902D9C">
      <w:pPr>
        <w:widowControl/>
        <w:spacing w:before="120" w:after="120"/>
        <w:ind w:firstLine="720"/>
        <w:rPr>
          <w:rFonts w:eastAsia="Calibri"/>
          <w:b/>
          <w:i/>
          <w:szCs w:val="22"/>
        </w:rPr>
      </w:pPr>
      <w:r w:rsidRPr="00E649AE">
        <w:rPr>
          <w:b/>
          <w:i/>
        </w:rPr>
        <w:t>-</w:t>
      </w:r>
      <w:r w:rsidRPr="00E649AE">
        <w:t xml:space="preserve"> minimere omkostningerne</w:t>
      </w:r>
    </w:p>
    <w:p w14:paraId="51C60BD3" w14:textId="3E709DD2" w:rsidR="005C2C74" w:rsidRPr="00E649AE" w:rsidRDefault="005C2C74" w:rsidP="00902D9C">
      <w:pPr>
        <w:widowControl/>
        <w:spacing w:before="120" w:after="120"/>
        <w:ind w:firstLine="720"/>
        <w:rPr>
          <w:rFonts w:eastAsia="Calibri"/>
          <w:b/>
          <w:i/>
          <w:szCs w:val="22"/>
        </w:rPr>
      </w:pPr>
      <w:r w:rsidRPr="00E649AE">
        <w:rPr>
          <w:b/>
          <w:i/>
        </w:rPr>
        <w:t>- afhjælpe lovgivningsmæssige huller."</w:t>
      </w:r>
    </w:p>
    <w:p w14:paraId="35C08D85" w14:textId="77777777" w:rsidR="005C2C74" w:rsidRPr="00E649AE" w:rsidRDefault="005C2C74" w:rsidP="00902D9C">
      <w:pPr>
        <w:widowControl/>
        <w:spacing w:before="120" w:after="120"/>
        <w:ind w:left="850" w:hanging="850"/>
        <w:rPr>
          <w:rFonts w:eastAsia="Calibri"/>
          <w:szCs w:val="22"/>
        </w:rPr>
      </w:pPr>
      <w:r w:rsidRPr="00E649AE">
        <w:t>2.</w:t>
      </w:r>
      <w:r w:rsidRPr="00E649AE">
        <w:tab/>
        <w:t>I artikel 30, stk. 3, tilføjes følgende litra e): </w:t>
      </w:r>
    </w:p>
    <w:p w14:paraId="3702086D" w14:textId="77777777" w:rsidR="005C2C74" w:rsidRPr="00E649AE" w:rsidRDefault="005C2C74" w:rsidP="00902D9C">
      <w:pPr>
        <w:widowControl/>
        <w:spacing w:before="120" w:after="120"/>
        <w:ind w:left="851"/>
        <w:rPr>
          <w:rFonts w:eastAsia="Calibri"/>
          <w:szCs w:val="22"/>
        </w:rPr>
      </w:pPr>
      <w:r w:rsidRPr="00E649AE">
        <w:t xml:space="preserve">"e) effektiviteten af de nationale </w:t>
      </w:r>
      <w:r w:rsidRPr="00E649AE">
        <w:rPr>
          <w:b/>
          <w:i/>
        </w:rPr>
        <w:t>indberetnings- oplysningskrav</w:t>
      </w:r>
      <w:r w:rsidRPr="00E649AE">
        <w:t xml:space="preserve"> og graden af konvergens mellem sådanne krav og kravene i EU-retten</w:t>
      </w:r>
      <w:r w:rsidRPr="00E649AE">
        <w:rPr>
          <w:b/>
          <w:i/>
        </w:rPr>
        <w:t xml:space="preserve"> og deres egnethed for så vidt angår at leve op til de standarder, der er fastsat deri, samtidig med at der tages hensyn til de nationale finansielle jurisdiktioners særlige kendetegn</w:t>
      </w:r>
      <w:r w:rsidRPr="00E649AE">
        <w:t>." </w:t>
      </w:r>
    </w:p>
    <w:p w14:paraId="640A00A8" w14:textId="77777777" w:rsidR="005C2C74" w:rsidRPr="00E649AE" w:rsidRDefault="005C2C74" w:rsidP="00902D9C">
      <w:pPr>
        <w:widowControl/>
        <w:spacing w:before="120" w:after="120"/>
        <w:ind w:left="850" w:hanging="850"/>
        <w:rPr>
          <w:rFonts w:eastAsia="Calibri"/>
          <w:szCs w:val="22"/>
        </w:rPr>
      </w:pPr>
      <w:r w:rsidRPr="00E649AE">
        <w:lastRenderedPageBreak/>
        <w:t>3.</w:t>
      </w:r>
      <w:r w:rsidRPr="00E649AE">
        <w:tab/>
        <w:t>Artikel 35, stk. 4, affattes således: </w:t>
      </w:r>
    </w:p>
    <w:p w14:paraId="6EC81CAC" w14:textId="77777777" w:rsidR="005C2C74" w:rsidRPr="00E649AE" w:rsidRDefault="005C2C74" w:rsidP="00902D9C">
      <w:pPr>
        <w:widowControl/>
        <w:spacing w:before="120" w:after="120"/>
        <w:ind w:left="851"/>
        <w:rPr>
          <w:rFonts w:eastAsia="Calibri"/>
          <w:szCs w:val="22"/>
        </w:rPr>
      </w:pPr>
      <w:r w:rsidRPr="00E649AE">
        <w:t>"4.</w:t>
      </w:r>
      <w:r w:rsidRPr="00E649AE">
        <w:rPr>
          <w:b/>
          <w:i/>
        </w:rPr>
        <w:tab/>
      </w:r>
      <w:r w:rsidRPr="00E649AE">
        <w:t xml:space="preserve">Før myndigheden anmoder om oplysninger i henhold til denne artikel og for </w:t>
      </w:r>
      <w:r w:rsidRPr="00E649AE">
        <w:rPr>
          <w:b/>
          <w:i/>
        </w:rPr>
        <w:t>at</w:t>
      </w:r>
      <w:r w:rsidRPr="00E649AE">
        <w:t xml:space="preserve"> </w:t>
      </w:r>
      <w:r w:rsidRPr="00E649AE">
        <w:rPr>
          <w:b/>
          <w:i/>
        </w:rPr>
        <w:t>sikre, at der ikke er nogen</w:t>
      </w:r>
      <w:r w:rsidRPr="00E649AE">
        <w:t xml:space="preserve"> overlapning af </w:t>
      </w:r>
      <w:r w:rsidRPr="00E649AE">
        <w:rPr>
          <w:b/>
          <w:i/>
        </w:rPr>
        <w:t>indberetnings- og oplysningsforpligtelserne</w:t>
      </w:r>
      <w:r w:rsidRPr="00E649AE">
        <w:t xml:space="preserve">, skal den tage hensyn til oplysninger indsamlet af </w:t>
      </w:r>
      <w:r w:rsidRPr="00E649AE">
        <w:rPr>
          <w:b/>
          <w:i/>
        </w:rPr>
        <w:t>de</w:t>
      </w:r>
      <w:r w:rsidRPr="00E649AE">
        <w:t xml:space="preserve"> andre myndigheder som omhandlet i artikel 35a, </w:t>
      </w:r>
      <w:r w:rsidRPr="00E649AE">
        <w:rPr>
          <w:b/>
          <w:i/>
        </w:rPr>
        <w:t>stk.</w:t>
      </w:r>
      <w:r w:rsidRPr="00E649AE">
        <w:t xml:space="preserve"> </w:t>
      </w:r>
      <w:r w:rsidRPr="00E649AE">
        <w:rPr>
          <w:b/>
          <w:i/>
        </w:rPr>
        <w:t>1b</w:t>
      </w:r>
      <w:r w:rsidRPr="00E649AE">
        <w:t>, og alle relevante eksisterende statistikker, der udarbejdes og formidles af Det Europæiske Statistiske System og Det Europæiske System af Centralbanker." </w:t>
      </w:r>
    </w:p>
    <w:p w14:paraId="0E00E50E" w14:textId="77777777" w:rsidR="005C2C74" w:rsidRPr="00E649AE" w:rsidRDefault="005C2C74" w:rsidP="00902D9C">
      <w:pPr>
        <w:widowControl/>
        <w:spacing w:before="120" w:after="120"/>
        <w:rPr>
          <w:rFonts w:eastAsia="Calibri"/>
          <w:szCs w:val="22"/>
        </w:rPr>
      </w:pPr>
      <w:r w:rsidRPr="00E649AE">
        <w:t>4.</w:t>
      </w:r>
      <w:r w:rsidRPr="00E649AE">
        <w:tab/>
        <w:t>Følgende indsættes som artikel 35a: </w:t>
      </w:r>
    </w:p>
    <w:p w14:paraId="535FF339" w14:textId="77777777" w:rsidR="005C2C74" w:rsidRPr="00E649AE" w:rsidRDefault="005C2C74" w:rsidP="005C2C74">
      <w:pPr>
        <w:widowControl/>
        <w:spacing w:before="120" w:after="120"/>
        <w:jc w:val="center"/>
        <w:rPr>
          <w:rFonts w:eastAsia="Calibri"/>
          <w:szCs w:val="22"/>
        </w:rPr>
      </w:pPr>
      <w:r w:rsidRPr="00E649AE">
        <w:t>"Artikel 35a</w:t>
      </w:r>
    </w:p>
    <w:p w14:paraId="2302A0D5" w14:textId="77777777" w:rsidR="005C2C74" w:rsidRPr="00E649AE" w:rsidRDefault="005C2C74" w:rsidP="005C2C74">
      <w:pPr>
        <w:widowControl/>
        <w:spacing w:before="120" w:after="120"/>
        <w:jc w:val="center"/>
        <w:rPr>
          <w:rFonts w:eastAsia="Calibri"/>
          <w:szCs w:val="22"/>
        </w:rPr>
      </w:pPr>
      <w:r w:rsidRPr="00E649AE">
        <w:rPr>
          <w:b/>
        </w:rPr>
        <w:t xml:space="preserve">Udveksling af oplysninger mellem myndigheder og med andre enheder </w:t>
      </w:r>
    </w:p>
    <w:p w14:paraId="36E0DE07" w14:textId="77777777" w:rsidR="005C2C74" w:rsidRPr="00E649AE" w:rsidRDefault="005C2C74" w:rsidP="00902D9C">
      <w:pPr>
        <w:widowControl/>
        <w:spacing w:before="120" w:after="120"/>
        <w:ind w:left="851" w:hanging="851"/>
        <w:rPr>
          <w:rFonts w:eastAsia="Calibri"/>
          <w:b/>
          <w:i/>
          <w:szCs w:val="22"/>
        </w:rPr>
      </w:pPr>
      <w:r w:rsidRPr="00E649AE">
        <w:t xml:space="preserve">1. </w:t>
      </w:r>
      <w:r w:rsidRPr="00E649AE">
        <w:rPr>
          <w:b/>
          <w:i/>
        </w:rPr>
        <w:tab/>
      </w:r>
      <w:r w:rsidRPr="00E649AE">
        <w:t>Myndigheden og de kompetente myndigheder udveksler, fra sag til sag eller regelmæssigt, med de andre myndigheder de oplysninger, som er indhentet fra finansielle institutioner eller andre kompetente myndigheder</w:t>
      </w:r>
      <w:r w:rsidRPr="00E649AE">
        <w:rPr>
          <w:b/>
          <w:i/>
        </w:rPr>
        <w:t>, når den anmodende myndighed har ret til at indhente disse oplysninger i henhold til sin mission, sine målsætninger, opgaver og beføjelser eller i overensstemmelse med relevant EU-ret</w:t>
      </w:r>
      <w:r w:rsidRPr="00E649AE">
        <w:t xml:space="preserve">. </w:t>
      </w:r>
    </w:p>
    <w:p w14:paraId="6BB2736E" w14:textId="77777777" w:rsidR="005C2C74" w:rsidRPr="00E649AE" w:rsidRDefault="005C2C74" w:rsidP="00902D9C">
      <w:pPr>
        <w:widowControl/>
        <w:spacing w:before="120" w:after="120"/>
        <w:ind w:left="851"/>
        <w:rPr>
          <w:rFonts w:eastAsia="Calibri"/>
          <w:b/>
          <w:i/>
          <w:szCs w:val="22"/>
        </w:rPr>
      </w:pPr>
      <w:r w:rsidRPr="00E649AE">
        <w:rPr>
          <w:b/>
          <w:i/>
        </w:rPr>
        <w:t xml:space="preserve">Med henblik på at udveksle de oplysninger, der er omhandlet i dette stykkes første afsnit, anvender myndigheden eller den kompetente myndighed det i artikel 35b omhandlede fælles integrerede indberetningssystem, når det er oprettet. </w:t>
      </w:r>
    </w:p>
    <w:p w14:paraId="38032857" w14:textId="77777777" w:rsidR="005C2C74" w:rsidRPr="00E649AE" w:rsidRDefault="005C2C74" w:rsidP="00902D9C">
      <w:pPr>
        <w:widowControl/>
        <w:spacing w:before="120" w:after="120"/>
        <w:ind w:left="851" w:hanging="851"/>
        <w:rPr>
          <w:rFonts w:eastAsia="Calibri"/>
          <w:b/>
          <w:i/>
          <w:szCs w:val="22"/>
        </w:rPr>
      </w:pPr>
      <w:r w:rsidRPr="00E649AE">
        <w:rPr>
          <w:b/>
          <w:i/>
        </w:rPr>
        <w:t>1a.</w:t>
      </w:r>
      <w:r w:rsidRPr="00E649AE">
        <w:rPr>
          <w:b/>
          <w:i/>
        </w:rPr>
        <w:tab/>
        <w:t>Myndigheden og de kompetente myndigheder skal hver især anmode de andre myndigheder om oplysninger, som de ellers ville anmode om fra finansielle institutioner eller andre kompetente myndigheder, hvis begge følgende betingelser er opfyldt:</w:t>
      </w:r>
    </w:p>
    <w:p w14:paraId="6C2F624D" w14:textId="77777777" w:rsidR="005C2C74" w:rsidRPr="00E649AE" w:rsidRDefault="005C2C74" w:rsidP="00902D9C">
      <w:pPr>
        <w:widowControl/>
        <w:spacing w:before="120" w:after="120"/>
        <w:ind w:left="1418" w:hanging="567"/>
        <w:rPr>
          <w:rFonts w:eastAsia="Calibri"/>
          <w:b/>
          <w:i/>
          <w:szCs w:val="22"/>
        </w:rPr>
      </w:pPr>
      <w:r w:rsidRPr="00E649AE">
        <w:rPr>
          <w:b/>
          <w:i/>
        </w:rPr>
        <w:t>a)</w:t>
      </w:r>
      <w:r w:rsidRPr="00E649AE">
        <w:rPr>
          <w:b/>
          <w:i/>
        </w:rPr>
        <w:tab/>
        <w:t xml:space="preserve"> De har ret til at indhente disse oplysninger i henhold til deres mission, deres målsætninger, opgaver og beføjelser eller i overensstemmelse med relevant EU-ret.</w:t>
      </w:r>
    </w:p>
    <w:p w14:paraId="70DB15DC" w14:textId="77777777" w:rsidR="005C2C74" w:rsidRPr="00E649AE" w:rsidRDefault="005C2C74" w:rsidP="00902D9C">
      <w:pPr>
        <w:widowControl/>
        <w:spacing w:before="120" w:after="120"/>
        <w:ind w:left="1418" w:hanging="567"/>
        <w:rPr>
          <w:rFonts w:eastAsia="Calibri"/>
          <w:b/>
          <w:i/>
          <w:szCs w:val="22"/>
        </w:rPr>
      </w:pPr>
      <w:r w:rsidRPr="00E649AE">
        <w:rPr>
          <w:b/>
          <w:i/>
        </w:rPr>
        <w:t xml:space="preserve">b) </w:t>
      </w:r>
      <w:r w:rsidRPr="00E649AE">
        <w:rPr>
          <w:b/>
          <w:i/>
        </w:rPr>
        <w:tab/>
        <w:t>Disse oplysningerne er indhentet af mindst en af de andre myndigheder.</w:t>
      </w:r>
    </w:p>
    <w:p w14:paraId="1FE29CB9" w14:textId="77777777" w:rsidR="005C2C74" w:rsidRPr="00E649AE" w:rsidRDefault="005C2C74" w:rsidP="00902D9C">
      <w:pPr>
        <w:widowControl/>
        <w:spacing w:before="120" w:after="120"/>
        <w:ind w:left="851"/>
        <w:rPr>
          <w:rFonts w:eastAsia="Calibri"/>
          <w:b/>
          <w:i/>
          <w:szCs w:val="22"/>
        </w:rPr>
      </w:pPr>
      <w:r w:rsidRPr="00E649AE">
        <w:rPr>
          <w:b/>
          <w:i/>
        </w:rPr>
        <w:t>Første afsnit berører ikke myndighedens og de kompetente myndigheders mulighed for at indhente de ønskede oplysninger fra finansielle institutioner eller andre kompetente myndigheder, hvis den anden myndighed af operationelle årsager ikke er i stand til at dele dataene.</w:t>
      </w:r>
    </w:p>
    <w:p w14:paraId="53A32C2A" w14:textId="77777777" w:rsidR="005C2C74" w:rsidRPr="00E649AE" w:rsidRDefault="005C2C74" w:rsidP="00902D9C">
      <w:pPr>
        <w:widowControl/>
        <w:spacing w:before="120" w:after="120"/>
        <w:ind w:left="851"/>
        <w:rPr>
          <w:rFonts w:eastAsia="Calibri"/>
          <w:b/>
          <w:i/>
          <w:szCs w:val="22"/>
        </w:rPr>
      </w:pPr>
      <w:r w:rsidRPr="00E649AE">
        <w:rPr>
          <w:b/>
          <w:i/>
        </w:rPr>
        <w:t xml:space="preserve">Med henblik på at afgøre, om betingelsen i første afsnit, litra b), er opfyldt, anvender myndigheden eller de kompetente myndigheder det i artikel 35b omhandlede fælles integrerede indberetningssystem, når det er oprettet. </w:t>
      </w:r>
    </w:p>
    <w:p w14:paraId="35E2219F" w14:textId="77777777" w:rsidR="005C2C74" w:rsidRPr="00E649AE" w:rsidRDefault="005C2C74" w:rsidP="00902D9C">
      <w:pPr>
        <w:widowControl/>
        <w:spacing w:before="120" w:after="120"/>
        <w:ind w:left="851" w:hanging="851"/>
        <w:rPr>
          <w:rFonts w:eastAsia="Calibri"/>
          <w:b/>
          <w:i/>
          <w:szCs w:val="22"/>
        </w:rPr>
      </w:pPr>
      <w:r w:rsidRPr="00E649AE">
        <w:rPr>
          <w:b/>
          <w:i/>
        </w:rPr>
        <w:t>1b.</w:t>
      </w:r>
      <w:r w:rsidRPr="00E649AE">
        <w:rPr>
          <w:b/>
          <w:i/>
        </w:rPr>
        <w:tab/>
        <w:t>I denne artikel, artikel 35b og artikel 70, stk. 3, forstås ved "andre myndigheder" en af følgende myndigheder:</w:t>
      </w:r>
    </w:p>
    <w:p w14:paraId="3F30ACD9" w14:textId="77777777" w:rsidR="005C2C74" w:rsidRPr="00E649AE" w:rsidRDefault="005C2C74" w:rsidP="00902D9C">
      <w:pPr>
        <w:widowControl/>
        <w:spacing w:before="120" w:after="120"/>
        <w:ind w:left="1418" w:hanging="567"/>
        <w:rPr>
          <w:rFonts w:eastAsia="Calibri"/>
          <w:b/>
          <w:i/>
          <w:szCs w:val="22"/>
        </w:rPr>
      </w:pPr>
      <w:r w:rsidRPr="00E649AE">
        <w:rPr>
          <w:b/>
          <w:i/>
        </w:rPr>
        <w:t>a)</w:t>
      </w:r>
      <w:r w:rsidRPr="00E649AE">
        <w:rPr>
          <w:b/>
          <w:i/>
        </w:rPr>
        <w:tab/>
        <w:t xml:space="preserve"> andre europæiske tilsynsmyndigheder</w:t>
      </w:r>
    </w:p>
    <w:p w14:paraId="4963E3BD" w14:textId="77777777" w:rsidR="005C2C74" w:rsidRPr="00E649AE" w:rsidRDefault="005C2C74" w:rsidP="00902D9C">
      <w:pPr>
        <w:widowControl/>
        <w:spacing w:before="120" w:after="120"/>
        <w:ind w:left="1418" w:hanging="567"/>
        <w:rPr>
          <w:rFonts w:eastAsia="Calibri"/>
          <w:b/>
          <w:i/>
          <w:szCs w:val="22"/>
        </w:rPr>
      </w:pPr>
      <w:r w:rsidRPr="00E649AE">
        <w:rPr>
          <w:b/>
          <w:i/>
        </w:rPr>
        <w:t>b)</w:t>
      </w:r>
      <w:r w:rsidRPr="00E649AE">
        <w:rPr>
          <w:b/>
          <w:i/>
        </w:rPr>
        <w:tab/>
        <w:t xml:space="preserve"> ESRB</w:t>
      </w:r>
    </w:p>
    <w:p w14:paraId="18249A83" w14:textId="77777777" w:rsidR="005C2C74" w:rsidRPr="00E649AE" w:rsidRDefault="005C2C74" w:rsidP="00902D9C">
      <w:pPr>
        <w:widowControl/>
        <w:spacing w:before="120" w:after="120"/>
        <w:ind w:left="1418" w:hanging="567"/>
        <w:rPr>
          <w:rFonts w:eastAsia="Calibri"/>
          <w:b/>
          <w:i/>
          <w:szCs w:val="22"/>
        </w:rPr>
      </w:pPr>
      <w:r w:rsidRPr="00E649AE">
        <w:rPr>
          <w:b/>
          <w:i/>
        </w:rPr>
        <w:t xml:space="preserve">c) </w:t>
      </w:r>
      <w:r w:rsidRPr="00E649AE">
        <w:rPr>
          <w:b/>
          <w:i/>
        </w:rPr>
        <w:tab/>
        <w:t>kompetente myndigheder, som defineret i denne forordnings artikel 4, nr. 2)</w:t>
      </w:r>
    </w:p>
    <w:p w14:paraId="4F4846B1" w14:textId="77777777" w:rsidR="005C2C74" w:rsidRPr="00E649AE" w:rsidRDefault="005C2C74" w:rsidP="00902D9C">
      <w:pPr>
        <w:widowControl/>
        <w:spacing w:before="120" w:after="120"/>
        <w:ind w:left="1418" w:hanging="567"/>
        <w:rPr>
          <w:rFonts w:eastAsia="Calibri"/>
          <w:b/>
          <w:i/>
          <w:szCs w:val="22"/>
        </w:rPr>
      </w:pPr>
      <w:r w:rsidRPr="00E649AE">
        <w:rPr>
          <w:b/>
          <w:i/>
        </w:rPr>
        <w:t xml:space="preserve">d) </w:t>
      </w:r>
      <w:r w:rsidRPr="00E649AE">
        <w:rPr>
          <w:b/>
          <w:i/>
        </w:rPr>
        <w:tab/>
        <w:t>kompetente myndigheder som defineret i artikel 4, nr. 2), i forordning (EU) nr. 1094/2010</w:t>
      </w:r>
    </w:p>
    <w:p w14:paraId="22CCC97F" w14:textId="77777777" w:rsidR="005C2C74" w:rsidRPr="00E649AE" w:rsidRDefault="005C2C74" w:rsidP="00902D9C">
      <w:pPr>
        <w:widowControl/>
        <w:spacing w:before="120" w:after="120"/>
        <w:ind w:left="1418" w:hanging="567"/>
        <w:rPr>
          <w:rFonts w:eastAsia="Calibri"/>
          <w:b/>
          <w:i/>
          <w:szCs w:val="22"/>
        </w:rPr>
      </w:pPr>
      <w:r w:rsidRPr="00E649AE">
        <w:rPr>
          <w:b/>
          <w:i/>
        </w:rPr>
        <w:t xml:space="preserve">e) </w:t>
      </w:r>
      <w:r w:rsidRPr="00E649AE">
        <w:rPr>
          <w:b/>
          <w:i/>
        </w:rPr>
        <w:tab/>
        <w:t>kompetente myndigheder som defineret i artikel 4, nr. 3), i forordning (EU) nr. 1095/2010</w:t>
      </w:r>
    </w:p>
    <w:p w14:paraId="255AD4C5" w14:textId="58839AB1" w:rsidR="005C2C74" w:rsidRPr="00E649AE" w:rsidRDefault="005C2C74" w:rsidP="00902D9C">
      <w:pPr>
        <w:widowControl/>
        <w:spacing w:before="120" w:after="120"/>
        <w:ind w:left="1418" w:hanging="567"/>
        <w:rPr>
          <w:rFonts w:eastAsia="Calibri"/>
          <w:b/>
          <w:i/>
          <w:szCs w:val="22"/>
        </w:rPr>
      </w:pPr>
      <w:r w:rsidRPr="00E649AE">
        <w:rPr>
          <w:b/>
          <w:i/>
        </w:rPr>
        <w:lastRenderedPageBreak/>
        <w:t xml:space="preserve">f) </w:t>
      </w:r>
      <w:r w:rsidRPr="00E649AE">
        <w:rPr>
          <w:b/>
          <w:i/>
        </w:rPr>
        <w:tab/>
        <w:t>AMLA som oprettet ved Europa-Parlamentets og Rådets forordning (EU) …/…</w:t>
      </w:r>
      <w:r w:rsidR="006567A0">
        <w:rPr>
          <w:rStyle w:val="FootnoteReference"/>
          <w:b/>
          <w:i/>
        </w:rPr>
        <w:footnoteReference w:customMarkFollows="1" w:id="19"/>
        <w:t>+</w:t>
      </w:r>
    </w:p>
    <w:p w14:paraId="28A155EC" w14:textId="1B127D2D" w:rsidR="005C2C74" w:rsidRPr="00E649AE" w:rsidRDefault="005C2C74" w:rsidP="00902D9C">
      <w:pPr>
        <w:widowControl/>
        <w:spacing w:before="120" w:after="120"/>
        <w:ind w:left="1418" w:hanging="567"/>
        <w:rPr>
          <w:rFonts w:eastAsia="Calibri"/>
          <w:b/>
          <w:i/>
          <w:szCs w:val="22"/>
        </w:rPr>
      </w:pPr>
      <w:r w:rsidRPr="00E649AE">
        <w:rPr>
          <w:b/>
          <w:i/>
        </w:rPr>
        <w:t xml:space="preserve">g) </w:t>
      </w:r>
      <w:r w:rsidRPr="00E649AE">
        <w:rPr>
          <w:b/>
          <w:i/>
        </w:rPr>
        <w:tab/>
        <w:t>myndigheder som defineret i artikel 2, nr. 1), i Europa-Parlamentets og Rådets direktiv (EU) …/…</w:t>
      </w:r>
      <w:r w:rsidR="006567A0">
        <w:rPr>
          <w:rStyle w:val="FootnoteReference"/>
          <w:b/>
          <w:i/>
        </w:rPr>
        <w:footnoteReference w:customMarkFollows="1" w:id="20"/>
        <w:t>++</w:t>
      </w:r>
    </w:p>
    <w:p w14:paraId="5069F5BB" w14:textId="77777777" w:rsidR="005C2C74" w:rsidRPr="00E649AE" w:rsidRDefault="005C2C74" w:rsidP="00902D9C">
      <w:pPr>
        <w:widowControl/>
        <w:spacing w:before="120" w:after="120"/>
        <w:ind w:left="1418" w:hanging="567"/>
        <w:rPr>
          <w:rFonts w:eastAsia="Calibri"/>
          <w:b/>
          <w:i/>
          <w:szCs w:val="22"/>
        </w:rPr>
      </w:pPr>
      <w:r w:rsidRPr="00E649AE">
        <w:rPr>
          <w:b/>
          <w:i/>
        </w:rPr>
        <w:t>h)</w:t>
      </w:r>
      <w:r w:rsidRPr="00E649AE">
        <w:rPr>
          <w:b/>
          <w:i/>
        </w:rPr>
        <w:tab/>
        <w:t xml:space="preserve"> SSM som defineret i artikel 2, nr. 9), i forordning (EU) nr. 1024/2013</w:t>
      </w:r>
    </w:p>
    <w:p w14:paraId="0C04ED37" w14:textId="77777777" w:rsidR="005C2C74" w:rsidRPr="00E649AE" w:rsidRDefault="005C2C74" w:rsidP="00902D9C">
      <w:pPr>
        <w:widowControl/>
        <w:spacing w:before="120" w:after="120"/>
        <w:ind w:left="1418" w:hanging="567"/>
        <w:rPr>
          <w:rFonts w:eastAsia="Calibri"/>
          <w:b/>
          <w:i/>
          <w:szCs w:val="22"/>
        </w:rPr>
      </w:pPr>
      <w:r w:rsidRPr="00E649AE">
        <w:rPr>
          <w:b/>
          <w:i/>
        </w:rPr>
        <w:t xml:space="preserve">i) </w:t>
      </w:r>
      <w:r w:rsidRPr="00E649AE">
        <w:rPr>
          <w:b/>
          <w:i/>
        </w:rPr>
        <w:tab/>
        <w:t>SRB</w:t>
      </w:r>
    </w:p>
    <w:p w14:paraId="340D0822" w14:textId="77777777" w:rsidR="005C2C74" w:rsidRPr="00E649AE" w:rsidRDefault="005C2C74" w:rsidP="00902D9C">
      <w:pPr>
        <w:widowControl/>
        <w:spacing w:before="120" w:after="120"/>
        <w:ind w:left="1418" w:hanging="567"/>
        <w:rPr>
          <w:rFonts w:eastAsia="Calibri"/>
          <w:b/>
          <w:i/>
          <w:szCs w:val="22"/>
        </w:rPr>
      </w:pPr>
      <w:r w:rsidRPr="00E649AE">
        <w:rPr>
          <w:b/>
          <w:i/>
        </w:rPr>
        <w:t xml:space="preserve">j) </w:t>
      </w:r>
      <w:r w:rsidRPr="00E649AE">
        <w:rPr>
          <w:b/>
          <w:i/>
        </w:rPr>
        <w:tab/>
        <w:t>nationale afviklingsmyndigheder som defineret i artikel 3, nr. 3), i forordning (EU) nr. 806/2014.</w:t>
      </w:r>
    </w:p>
    <w:p w14:paraId="72FDE02F" w14:textId="77777777" w:rsidR="005C2C74" w:rsidRPr="00E649AE" w:rsidRDefault="005C2C74" w:rsidP="00902D9C">
      <w:pPr>
        <w:widowControl/>
        <w:spacing w:before="120" w:after="120"/>
        <w:ind w:left="851"/>
        <w:rPr>
          <w:rFonts w:eastAsia="Calibri"/>
          <w:b/>
          <w:i/>
          <w:szCs w:val="22"/>
        </w:rPr>
      </w:pPr>
      <w:r w:rsidRPr="00E649AE">
        <w:rPr>
          <w:b/>
          <w:i/>
        </w:rPr>
        <w:t xml:space="preserve">I denne artikel forstås ved "finansiel institution" en "finansiel institution" som defineret i artikel 2, litra a), i forordning (EU) nr. 1092/2010. </w:t>
      </w:r>
    </w:p>
    <w:p w14:paraId="108E5121" w14:textId="77777777" w:rsidR="005C2C74" w:rsidRPr="00E649AE" w:rsidRDefault="005C2C74" w:rsidP="00902D9C">
      <w:pPr>
        <w:widowControl/>
        <w:spacing w:before="120" w:after="120"/>
        <w:ind w:left="851" w:hanging="851"/>
        <w:rPr>
          <w:rFonts w:eastAsia="Calibri"/>
          <w:szCs w:val="22"/>
        </w:rPr>
      </w:pPr>
      <w:r w:rsidRPr="00E649AE">
        <w:t xml:space="preserve">2. </w:t>
      </w:r>
      <w:r w:rsidRPr="00E649AE">
        <w:rPr>
          <w:b/>
          <w:i/>
        </w:rPr>
        <w:tab/>
      </w:r>
      <w:r w:rsidRPr="00E649AE">
        <w:t>Anmodningen om udveksling af oplysninger skal indeholde en behørig angivelse af, hvilket retsgrundlag i henhold til EU-retten der gør det muligt for den anmodende myndighed at indhente oplysningerne fra finansielle institutioner eller andre kompetente myndigheder. Den anmodende myndighed og den udvekslende myndighed er underlagt bestemmelserne om tavshedspligt og databeskyttelse som fastsat i artikel 70 og 71 og i sektorspecifik lovgivning, der finder anvendelse på udvekslingen af data mellem den finansielle institution og den anmodende myndighed samt på udvekslingen af data mellem den finansielle institution og den udvekslende myndighed. Den udvekslende myndighed underretter uden unødigt ophold den enkelte relevante finansielle institution om en sådan udveksling af oplysninger</w:t>
      </w:r>
      <w:r w:rsidRPr="00E649AE">
        <w:rPr>
          <w:b/>
          <w:i/>
        </w:rPr>
        <w:t>, med mindre oplysningerne er blevet anonymiseret,</w:t>
      </w:r>
      <w:r w:rsidRPr="00E649AE">
        <w:t xml:space="preserve"> ændret, sammenfattet eller behandlet efter en anden metode til kontrol med fortrolighed i forbindelse med videregivelse af oplysninger. </w:t>
      </w:r>
    </w:p>
    <w:p w14:paraId="3ECB21C0" w14:textId="77777777" w:rsidR="005C2C74" w:rsidRPr="00E649AE" w:rsidRDefault="005C2C74" w:rsidP="00902D9C">
      <w:pPr>
        <w:widowControl/>
        <w:spacing w:before="120" w:after="120"/>
        <w:ind w:left="851" w:hanging="851"/>
        <w:rPr>
          <w:rFonts w:eastAsia="Calibri"/>
          <w:szCs w:val="22"/>
        </w:rPr>
      </w:pPr>
      <w:r w:rsidRPr="00E649AE">
        <w:t xml:space="preserve">3. </w:t>
      </w:r>
      <w:r w:rsidRPr="00E649AE">
        <w:tab/>
        <w:t>Stk. 1, 1a og 2 finder også anvendelse på oplysninger, som den udvekslende myndighed har modtaget fra en finansiel institution eller de andre myndigheder, og som den udvekslende myndighed efterfølgende har kvalitetskontrolleret eller på anden måde har behandlet. </w:t>
      </w:r>
    </w:p>
    <w:p w14:paraId="11DA9686" w14:textId="77777777" w:rsidR="005C2C74" w:rsidRPr="00E649AE" w:rsidRDefault="005C2C74" w:rsidP="00902D9C">
      <w:pPr>
        <w:widowControl/>
        <w:spacing w:before="120" w:after="120"/>
        <w:ind w:left="851" w:hanging="851"/>
        <w:rPr>
          <w:rFonts w:eastAsia="Calibri"/>
          <w:b/>
          <w:i/>
          <w:szCs w:val="22"/>
        </w:rPr>
      </w:pPr>
      <w:r w:rsidRPr="00E649AE">
        <w:t xml:space="preserve">4. </w:t>
      </w:r>
      <w:r w:rsidRPr="00E649AE">
        <w:tab/>
        <w:t>Med henblik på udveksling af oplysninger som omhandlet i stk. 1, 1a, 2 og 3 indgår myndigheden og de andre myndigheder aftalememoranda for at fastsætte de nærmere bestemmelser for udvekslingen af oplysninger. De fastlægger også ordninger for deling af ressourcer til indsamling og behandling af sådanne delte data</w:t>
      </w:r>
      <w:r w:rsidRPr="00E649AE">
        <w:rPr>
          <w:b/>
          <w:i/>
        </w:rPr>
        <w:t>, forudsat at sådanne ordninger overholder de gældende bestemmelser for databeskyttelse, intellektuelle ejendomsrettigheder og tavshedspligt</w:t>
      </w:r>
      <w:r w:rsidRPr="00E649AE">
        <w:t>.</w:t>
      </w:r>
      <w:r w:rsidRPr="00E649AE">
        <w:rPr>
          <w:b/>
          <w:i/>
        </w:rPr>
        <w:t xml:space="preserve"> Aftalememoranda skal efter aftale mellem alle de berørte myndigheder følge et enkelt og standardiseret format, der, hvor det er nødvendigt, er skræddersyet til eventuelle særlige driftsbetingelser, som måtte gælde for specifikke myndigheder. </w:t>
      </w:r>
    </w:p>
    <w:p w14:paraId="09CD4902" w14:textId="77777777" w:rsidR="005C2C74" w:rsidRPr="00E649AE" w:rsidRDefault="005C2C74" w:rsidP="00902D9C">
      <w:pPr>
        <w:widowControl/>
        <w:spacing w:before="120" w:after="120"/>
        <w:ind w:left="851" w:hanging="851"/>
        <w:rPr>
          <w:rFonts w:eastAsia="Calibri"/>
          <w:szCs w:val="22"/>
        </w:rPr>
      </w:pPr>
      <w:r w:rsidRPr="00E649AE">
        <w:t xml:space="preserve">5. </w:t>
      </w:r>
      <w:r w:rsidRPr="00E649AE">
        <w:tab/>
        <w:t xml:space="preserve">Stk. 1-4 berører ikke beskyttelsen af intellektuelle ejendomsrettigheder og forhindrer eller begrænser ikke udvekslingen af oplysninger mellem myndigheden og de andre </w:t>
      </w:r>
      <w:r w:rsidRPr="00E649AE">
        <w:lastRenderedPageBreak/>
        <w:t>myndigheder ▌ i overensstemmelse med bestemmelserne i anden EU-lovgivning. Hvis bestemmelserne i denne artikel er i strid med bestemmelser i anden EU-lovgivning, der regulerer udvekslingen af oplysninger mellem de andre myndigheder, ▌ har bestemmelserne i denne anden EU-lovgivning forrang.</w:t>
      </w:r>
    </w:p>
    <w:p w14:paraId="2376794A" w14:textId="77777777" w:rsidR="005C2C74" w:rsidRPr="00E649AE" w:rsidRDefault="005C2C74" w:rsidP="00902D9C">
      <w:pPr>
        <w:widowControl/>
        <w:spacing w:before="120" w:after="120"/>
        <w:ind w:left="851" w:hanging="851"/>
        <w:rPr>
          <w:rFonts w:eastAsia="Calibri"/>
          <w:szCs w:val="22"/>
        </w:rPr>
      </w:pPr>
      <w:r w:rsidRPr="00E649AE">
        <w:t xml:space="preserve">6. </w:t>
      </w:r>
      <w:r w:rsidRPr="00E649AE">
        <w:tab/>
        <w:t xml:space="preserve">Uden at det berører andre forpligtelser, der er fastsat i EU-retten vedrørende udveksling af oplysninger, kan myndigheden og de kompetente myndigheder efter begrundet anmodning og fra sag til sag lade Kommissionen ▌få del i oplysninger, som finansielle institutioner har indberettet til dem i overensstemmelse med deres forpligtelser i henhold til EU-retten, ▌i en form, der ikke gør det muligt at identificere individuelle enheder, og som ikke indeholder personoplysninger. </w:t>
      </w:r>
      <w:r w:rsidRPr="00E649AE">
        <w:rPr>
          <w:b/>
          <w:i/>
        </w:rPr>
        <w:t>De myndigheder, som har fremsendt sådanne oplysninger, underrettes behørigt om den udveksling, der har fundet sted.</w:t>
      </w:r>
    </w:p>
    <w:p w14:paraId="1317E221" w14:textId="77777777" w:rsidR="005C2C74" w:rsidRPr="00E649AE" w:rsidRDefault="005C2C74" w:rsidP="00902D9C">
      <w:pPr>
        <w:widowControl/>
        <w:spacing w:before="120" w:after="120"/>
        <w:ind w:left="851" w:hanging="851"/>
        <w:rPr>
          <w:rFonts w:eastAsia="Calibri"/>
          <w:szCs w:val="22"/>
        </w:rPr>
      </w:pPr>
      <w:r w:rsidRPr="00E649AE">
        <w:t xml:space="preserve">7. </w:t>
      </w:r>
      <w:r w:rsidRPr="00E649AE">
        <w:tab/>
        <w:t xml:space="preserve">Myndigheden og de kompetente myndigheder kan give adgang til oplysninger, som er indhentet i forbindelse med udførelsen af deres opgaver, således at de kan videreanvendes af finansielle institutioner, forskere og andre enheder, der har en berettiget interesse i sådanne oplysninger, med henblik på forskning og innovation, forudsat at myndigheden har sikret, at følgende betingelser er opfyldt: </w:t>
      </w:r>
    </w:p>
    <w:p w14:paraId="164AC217" w14:textId="77777777" w:rsidR="005C2C74" w:rsidRPr="00E649AE" w:rsidRDefault="005C2C74" w:rsidP="00902D9C">
      <w:pPr>
        <w:widowControl/>
        <w:spacing w:before="120" w:after="120"/>
        <w:ind w:left="1418" w:hanging="567"/>
        <w:rPr>
          <w:rFonts w:eastAsia="Calibri"/>
          <w:szCs w:val="22"/>
        </w:rPr>
      </w:pPr>
      <w:r w:rsidRPr="00E649AE">
        <w:t xml:space="preserve">a) </w:t>
      </w:r>
      <w:r w:rsidRPr="00E649AE">
        <w:rPr>
          <w:b/>
          <w:i/>
        </w:rPr>
        <w:tab/>
      </w:r>
      <w:r w:rsidRPr="00E649AE">
        <w:t>Oplysningerne er blevet anonymiseret på en sådan måde, at den registrerede eller den finansielle institution ikke længere kan identificeres.</w:t>
      </w:r>
    </w:p>
    <w:p w14:paraId="4D04A560" w14:textId="77777777" w:rsidR="005C2C74" w:rsidRPr="00E649AE" w:rsidRDefault="005C2C74" w:rsidP="00902D9C">
      <w:pPr>
        <w:widowControl/>
        <w:spacing w:before="120" w:after="120"/>
        <w:ind w:left="1418" w:hanging="567"/>
        <w:rPr>
          <w:rFonts w:eastAsia="Calibri"/>
          <w:szCs w:val="22"/>
        </w:rPr>
      </w:pPr>
      <w:r w:rsidRPr="00E649AE">
        <w:t>b)</w:t>
      </w:r>
      <w:r w:rsidRPr="00E649AE">
        <w:rPr>
          <w:b/>
          <w:i/>
        </w:rPr>
        <w:tab/>
      </w:r>
      <w:r w:rsidRPr="00E649AE">
        <w:t xml:space="preserve"> Oplysningerne er blevet ændret, sammenfattet eller behandlet efter en anden metode til kontrol med fortrolighed i forbindelse med videregivelse af oplysninger, herunder forretningshemmeligheder eller indhold, der er beskyttet af intellektuelle ejendomsrettigheder.</w:t>
      </w:r>
    </w:p>
    <w:p w14:paraId="4649367B" w14:textId="77777777" w:rsidR="005C2C74" w:rsidRPr="00E649AE" w:rsidRDefault="005C2C74" w:rsidP="00902D9C">
      <w:pPr>
        <w:widowControl/>
        <w:spacing w:before="120" w:after="120"/>
        <w:ind w:left="1418" w:hanging="567"/>
        <w:rPr>
          <w:rFonts w:eastAsia="Calibri"/>
          <w:szCs w:val="22"/>
        </w:rPr>
      </w:pPr>
      <w:r w:rsidRPr="00E649AE">
        <w:rPr>
          <w:b/>
          <w:i/>
        </w:rPr>
        <w:t>c)</w:t>
      </w:r>
      <w:r w:rsidRPr="00E649AE">
        <w:rPr>
          <w:b/>
          <w:i/>
        </w:rPr>
        <w:tab/>
        <w:t>De parter, der har fået tildelt adgang, har vist, at de har de krævede tekniske midler til at beskytte fortrolige oplysninger, dvs. at de er i besiddelse af instrumenter, der kan sikre fuld beskyttelse af privatlivets fred og fortroligheden.</w:t>
      </w:r>
    </w:p>
    <w:p w14:paraId="01BBE806" w14:textId="01634DF2" w:rsidR="005C2C74" w:rsidRPr="00E649AE" w:rsidRDefault="005C2C74" w:rsidP="00902D9C">
      <w:pPr>
        <w:widowControl/>
        <w:spacing w:before="120" w:after="120"/>
        <w:ind w:left="851"/>
        <w:rPr>
          <w:szCs w:val="22"/>
        </w:rPr>
      </w:pPr>
      <w:r w:rsidRPr="00E649AE">
        <w:t xml:space="preserve">Oplysninger, der modtages fra en anden myndighed, må kun videregives </w:t>
      </w:r>
      <w:r w:rsidRPr="00E649AE">
        <w:rPr>
          <w:b/>
          <w:i/>
        </w:rPr>
        <w:t>på dette grundlag</w:t>
      </w:r>
      <w:r w:rsidRPr="00E649AE">
        <w:t xml:space="preserve"> med samtykke fra den myndighed, der oprindeligt indhentede oplysningerne.</w:t>
      </w:r>
    </w:p>
    <w:p w14:paraId="20C0F1C4" w14:textId="77777777" w:rsidR="005C2C74" w:rsidRPr="00E649AE" w:rsidRDefault="005C2C74" w:rsidP="00902D9C">
      <w:pPr>
        <w:widowControl/>
        <w:spacing w:before="120" w:after="120"/>
        <w:ind w:left="851" w:hanging="851"/>
        <w:rPr>
          <w:rFonts w:eastAsia="Calibri"/>
          <w:b/>
          <w:i/>
          <w:szCs w:val="22"/>
        </w:rPr>
      </w:pPr>
      <w:r w:rsidRPr="00E649AE">
        <w:rPr>
          <w:b/>
          <w:i/>
        </w:rPr>
        <w:t>7a.</w:t>
      </w:r>
      <w:r w:rsidRPr="00E649AE">
        <w:rPr>
          <w:b/>
          <w:i/>
        </w:rPr>
        <w:tab/>
        <w:t>Myndigheden og de kompetente myndigheder rapporterer senest … [et år fra datoen for denne ændringsforordnings ikrafttræden] til Kommissionen om alle juridiske hindringer i sektorspecifikke forordninger, der på nogen måde forhindrer dem i at udveksle oplysninger med de andre myndigheder eller med andre enheder. Rapporten kan også omfatte ikkevæsentlige, forældede, overlappende eller på anden vis irrelevante indberetningskrav samt forslag til at sikre konsekvensen mellem indberetningskrav til finansielle og ikkefinansielle virksomheder.</w:t>
      </w:r>
    </w:p>
    <w:p w14:paraId="2507BFE7" w14:textId="77777777" w:rsidR="005C2C74" w:rsidRPr="00E649AE" w:rsidRDefault="005C2C74" w:rsidP="00902D9C">
      <w:pPr>
        <w:widowControl/>
        <w:spacing w:before="120" w:after="120"/>
        <w:ind w:left="851"/>
        <w:rPr>
          <w:rFonts w:eastAsia="Calibri"/>
          <w:szCs w:val="22"/>
        </w:rPr>
      </w:pPr>
      <w:r w:rsidRPr="00E649AE">
        <w:rPr>
          <w:b/>
          <w:bCs/>
          <w:i/>
          <w:iCs/>
        </w:rPr>
        <w:t>På grundlag af denne rapport og under behørig hensyntagen til beskyttelsen af intellektuelle ejendomsrettigheder, tavshedspligt og databeskyttelse forelægger Kommissionen, hvor det er relevant, et lovgivningsforslag for Europa-Parlamentet og for Rådet med henblik på at fjerne sådanne juridiske hindringer i sektorlovgivningen for at fremme udvekslingen af oplysninger mellem myndigheder og med andre enheder senest … [to år efter datoen for denne ændringsforordnings ikrafttræden].</w:t>
      </w:r>
      <w:r w:rsidRPr="00E649AE">
        <w:t>" </w:t>
      </w:r>
    </w:p>
    <w:p w14:paraId="3559C747" w14:textId="77777777" w:rsidR="005C2C74" w:rsidRPr="00E649AE" w:rsidRDefault="005C2C74" w:rsidP="008476E1">
      <w:pPr>
        <w:widowControl/>
        <w:spacing w:before="120" w:after="120"/>
        <w:ind w:left="851" w:hanging="851"/>
        <w:rPr>
          <w:rFonts w:eastAsia="Calibri"/>
          <w:b/>
          <w:i/>
          <w:szCs w:val="22"/>
        </w:rPr>
      </w:pPr>
      <w:r w:rsidRPr="00E649AE">
        <w:rPr>
          <w:b/>
          <w:i/>
        </w:rPr>
        <w:t>4a.</w:t>
      </w:r>
      <w:r w:rsidRPr="00E649AE">
        <w:rPr>
          <w:b/>
          <w:i/>
        </w:rPr>
        <w:tab/>
        <w:t>Følgende artikel indsættes:</w:t>
      </w:r>
    </w:p>
    <w:p w14:paraId="503EB7C6" w14:textId="77777777" w:rsidR="005C2C74" w:rsidRPr="00E649AE" w:rsidRDefault="005C2C74" w:rsidP="00A07C5D">
      <w:pPr>
        <w:widowControl/>
        <w:spacing w:before="120" w:after="120"/>
        <w:ind w:left="851"/>
        <w:rPr>
          <w:rFonts w:eastAsia="Calibri"/>
          <w:b/>
          <w:i/>
          <w:szCs w:val="22"/>
        </w:rPr>
      </w:pPr>
      <w:r w:rsidRPr="00E649AE">
        <w:rPr>
          <w:b/>
          <w:i/>
        </w:rPr>
        <w:t>"Artikel 35b</w:t>
      </w:r>
    </w:p>
    <w:p w14:paraId="111CFDA0" w14:textId="77777777" w:rsidR="005C2C74" w:rsidRPr="00E649AE" w:rsidRDefault="005C2C74" w:rsidP="00FC36E0">
      <w:pPr>
        <w:widowControl/>
        <w:spacing w:before="120" w:after="120"/>
        <w:ind w:left="851"/>
        <w:rPr>
          <w:rFonts w:eastAsia="Calibri"/>
          <w:b/>
          <w:i/>
          <w:szCs w:val="22"/>
        </w:rPr>
      </w:pPr>
      <w:r w:rsidRPr="00E649AE">
        <w:rPr>
          <w:b/>
          <w:i/>
        </w:rPr>
        <w:lastRenderedPageBreak/>
        <w:t>Oprettelse af et fælles integreret indberetningssystem</w:t>
      </w:r>
    </w:p>
    <w:p w14:paraId="203A9CAC" w14:textId="77777777" w:rsidR="005C2C74" w:rsidRPr="00E649AE" w:rsidRDefault="005C2C74" w:rsidP="00902D9C">
      <w:pPr>
        <w:widowControl/>
        <w:spacing w:before="120" w:after="120"/>
        <w:ind w:left="851"/>
        <w:rPr>
          <w:rFonts w:eastAsia="Calibri"/>
          <w:b/>
          <w:i/>
          <w:szCs w:val="22"/>
        </w:rPr>
      </w:pPr>
      <w:r w:rsidRPr="00E649AE">
        <w:rPr>
          <w:b/>
          <w:i/>
        </w:rPr>
        <w:t xml:space="preserve">1. </w:t>
      </w:r>
      <w:r w:rsidRPr="00E649AE">
        <w:rPr>
          <w:b/>
          <w:i/>
        </w:rPr>
        <w:tab/>
        <w:t xml:space="preserve">Senest … [to år fra datoen for denne ændringsforordnings ikrafttræden] udarbejder Myndigheden i tæt samarbejde med de andre myndigheder og ESCB en rapport om de tekniske detaljer i oprettelsen af et fælles integreret indberetningssystem samt en køreplan baseret på arbejdet med integration af </w:t>
      </w:r>
      <w:proofErr w:type="spellStart"/>
      <w:r w:rsidRPr="00E649AE">
        <w:rPr>
          <w:b/>
          <w:i/>
        </w:rPr>
        <w:t>ESA'ernes</w:t>
      </w:r>
      <w:proofErr w:type="spellEnd"/>
      <w:r w:rsidRPr="00E649AE">
        <w:rPr>
          <w:b/>
          <w:i/>
        </w:rPr>
        <w:t xml:space="preserve"> indberetning inden for deres sektorer og inkluderer </w:t>
      </w:r>
      <w:proofErr w:type="gramStart"/>
      <w:r w:rsidRPr="00E649AE">
        <w:rPr>
          <w:b/>
          <w:i/>
        </w:rPr>
        <w:t>heri</w:t>
      </w:r>
      <w:proofErr w:type="gramEnd"/>
      <w:r w:rsidRPr="00E649AE">
        <w:rPr>
          <w:b/>
          <w:i/>
        </w:rPr>
        <w:t xml:space="preserve"> en vurdering af omkostninger og fordele. Med henblik på denne rapport skal det fælles integrerede indberetningssystem omfatte:</w:t>
      </w:r>
    </w:p>
    <w:p w14:paraId="03993925" w14:textId="77777777" w:rsidR="005C2C74" w:rsidRPr="00E649AE" w:rsidRDefault="005C2C74" w:rsidP="00902D9C">
      <w:pPr>
        <w:widowControl/>
        <w:spacing w:before="120" w:after="120"/>
        <w:ind w:left="1418" w:hanging="567"/>
        <w:rPr>
          <w:rFonts w:eastAsia="Calibri"/>
          <w:b/>
          <w:i/>
          <w:szCs w:val="22"/>
        </w:rPr>
      </w:pPr>
      <w:r w:rsidRPr="00E649AE">
        <w:rPr>
          <w:b/>
          <w:i/>
        </w:rPr>
        <w:t xml:space="preserve">a) </w:t>
      </w:r>
      <w:r w:rsidRPr="00E649AE">
        <w:rPr>
          <w:b/>
          <w:i/>
        </w:rPr>
        <w:tab/>
        <w:t>en fælles dataordbog til at sikre konsekvens og klarhed af indberetningskravene og datastandardiseringen</w:t>
      </w:r>
    </w:p>
    <w:p w14:paraId="2831FEEF" w14:textId="77777777" w:rsidR="005C2C74" w:rsidRPr="00E649AE" w:rsidRDefault="005C2C74" w:rsidP="00902D9C">
      <w:pPr>
        <w:widowControl/>
        <w:spacing w:before="120" w:after="120"/>
        <w:ind w:left="1418" w:hanging="567"/>
        <w:rPr>
          <w:rFonts w:eastAsia="Calibri"/>
          <w:b/>
          <w:i/>
          <w:szCs w:val="22"/>
        </w:rPr>
      </w:pPr>
      <w:r w:rsidRPr="00E649AE">
        <w:rPr>
          <w:b/>
          <w:i/>
        </w:rPr>
        <w:t xml:space="preserve">b) </w:t>
      </w:r>
      <w:r w:rsidRPr="00E649AE">
        <w:rPr>
          <w:b/>
          <w:i/>
        </w:rPr>
        <w:tab/>
        <w:t>et fælles register over indberetnings- og oplysningskrav, beskrivelser af de indsamlede data og af de myndigheder, der opbevarer dem</w:t>
      </w:r>
    </w:p>
    <w:p w14:paraId="210DDD09" w14:textId="77777777" w:rsidR="005C2C74" w:rsidRPr="00E649AE" w:rsidRDefault="005C2C74" w:rsidP="00902D9C">
      <w:pPr>
        <w:widowControl/>
        <w:spacing w:before="120" w:after="120"/>
        <w:ind w:left="1418" w:hanging="567"/>
        <w:rPr>
          <w:rFonts w:eastAsia="Calibri"/>
          <w:b/>
          <w:i/>
          <w:szCs w:val="22"/>
        </w:rPr>
      </w:pPr>
      <w:r w:rsidRPr="00E649AE">
        <w:rPr>
          <w:b/>
          <w:i/>
        </w:rPr>
        <w:t xml:space="preserve">c) </w:t>
      </w:r>
      <w:r w:rsidRPr="00E649AE">
        <w:rPr>
          <w:b/>
          <w:i/>
        </w:rPr>
        <w:tab/>
        <w:t>et centralt dataområde, herunder den tekniske udformning til indsamling og udveksling af oplysninger, og</w:t>
      </w:r>
    </w:p>
    <w:p w14:paraId="2BE55D51" w14:textId="77777777" w:rsidR="005C2C74" w:rsidRPr="00E649AE" w:rsidRDefault="005C2C74" w:rsidP="00902D9C">
      <w:pPr>
        <w:widowControl/>
        <w:spacing w:before="120" w:after="120"/>
        <w:ind w:left="1418" w:hanging="567"/>
        <w:rPr>
          <w:rFonts w:eastAsia="Calibri"/>
          <w:b/>
          <w:i/>
          <w:szCs w:val="22"/>
        </w:rPr>
      </w:pPr>
      <w:r w:rsidRPr="00E649AE">
        <w:rPr>
          <w:b/>
          <w:i/>
        </w:rPr>
        <w:t xml:space="preserve">d) </w:t>
      </w:r>
      <w:r w:rsidRPr="00E649AE">
        <w:rPr>
          <w:b/>
          <w:i/>
        </w:rPr>
        <w:tab/>
        <w:t>et permanent fælles kontaktpunkt for enheder til at angive tilfælde af dobbeltindberetning og overflødige eller forældede indberetnings- eller oplysningskrav.</w:t>
      </w:r>
    </w:p>
    <w:p w14:paraId="1939A500" w14:textId="77777777" w:rsidR="005C2C74" w:rsidRPr="00E649AE" w:rsidRDefault="005C2C74" w:rsidP="00902D9C">
      <w:pPr>
        <w:widowControl/>
        <w:spacing w:before="120" w:after="120"/>
        <w:ind w:left="851"/>
        <w:rPr>
          <w:rFonts w:eastAsia="Calibri"/>
          <w:b/>
          <w:i/>
          <w:szCs w:val="22"/>
        </w:rPr>
      </w:pPr>
      <w:r w:rsidRPr="00E649AE">
        <w:rPr>
          <w:b/>
          <w:i/>
        </w:rPr>
        <w:t xml:space="preserve">Rapporten ledsages i tæt samarbejde med Kommissionen af et overslag over de samlede finansielle følger. </w:t>
      </w:r>
    </w:p>
    <w:p w14:paraId="537BA9CB" w14:textId="77777777" w:rsidR="005C2C74" w:rsidRPr="00E649AE" w:rsidRDefault="005C2C74" w:rsidP="00902D9C">
      <w:pPr>
        <w:widowControl/>
        <w:spacing w:before="120" w:after="120"/>
        <w:ind w:left="851"/>
        <w:rPr>
          <w:rFonts w:eastAsia="Calibri"/>
          <w:b/>
          <w:i/>
          <w:szCs w:val="22"/>
        </w:rPr>
      </w:pPr>
      <w:r w:rsidRPr="00E649AE">
        <w:rPr>
          <w:b/>
          <w:i/>
        </w:rPr>
        <w:t xml:space="preserve">Kommissionen forelægger, hvis det er relevant, Europa-Parlamentet og Rådet et lovgivningsforslag for at sikre de nødvendige finansielle, menneskelige ressourcer og IT-ressourcer til etableringen af det fælles integrerede indberetningssystem senest den … [tre år fra datoen for denne ændringsforordnings ikrafttræden]. </w:t>
      </w:r>
    </w:p>
    <w:p w14:paraId="4A2DC4CF" w14:textId="59B1E96C" w:rsidR="005C2C74" w:rsidRPr="00E649AE" w:rsidRDefault="005C2C74" w:rsidP="00902D9C">
      <w:pPr>
        <w:widowControl/>
        <w:spacing w:before="120" w:after="120"/>
        <w:ind w:left="851"/>
        <w:rPr>
          <w:rFonts w:eastAsia="Calibri"/>
          <w:b/>
          <w:i/>
          <w:szCs w:val="22"/>
        </w:rPr>
      </w:pPr>
      <w:r w:rsidRPr="00E649AE">
        <w:rPr>
          <w:b/>
          <w:i/>
        </w:rPr>
        <w:t xml:space="preserve">Myndigheden opretter sammen med de andre myndigheder det fælles integrerede indberetningssystem senest … [tre år fra datoen for denne ændringsforordnings ikrafttræden]." </w:t>
      </w:r>
    </w:p>
    <w:p w14:paraId="58E420E6" w14:textId="77777777" w:rsidR="005C2C74" w:rsidRPr="00E649AE" w:rsidRDefault="005C2C74" w:rsidP="008476E1">
      <w:pPr>
        <w:widowControl/>
        <w:spacing w:before="120" w:after="120"/>
        <w:ind w:left="851" w:hanging="851"/>
        <w:rPr>
          <w:rFonts w:eastAsia="Calibri"/>
          <w:b/>
          <w:i/>
          <w:szCs w:val="22"/>
        </w:rPr>
      </w:pPr>
      <w:r w:rsidRPr="00E649AE">
        <w:rPr>
          <w:b/>
          <w:i/>
        </w:rPr>
        <w:t>4b.</w:t>
      </w:r>
      <w:r w:rsidRPr="00E649AE">
        <w:rPr>
          <w:b/>
          <w:i/>
        </w:rPr>
        <w:tab/>
        <w:t>Artikel 36, stk. 2, affattes således:</w:t>
      </w:r>
    </w:p>
    <w:p w14:paraId="42CF0061" w14:textId="33BD5EE4" w:rsidR="005C2C74" w:rsidRPr="00E649AE" w:rsidRDefault="00F74066" w:rsidP="00902D9C">
      <w:pPr>
        <w:widowControl/>
        <w:spacing w:before="120" w:after="120"/>
        <w:ind w:left="1985" w:hanging="567"/>
        <w:rPr>
          <w:rFonts w:eastAsia="Calibri"/>
          <w:b/>
          <w:i/>
          <w:szCs w:val="22"/>
        </w:rPr>
      </w:pPr>
      <w:r w:rsidRPr="002D0D1D">
        <w:t>"</w:t>
      </w:r>
      <w:r w:rsidR="005C2C74" w:rsidRPr="00E649AE">
        <w:t xml:space="preserve">2. </w:t>
      </w:r>
      <w:r w:rsidR="005C2C74" w:rsidRPr="00E649AE">
        <w:rPr>
          <w:b/>
          <w:i/>
        </w:rPr>
        <w:tab/>
        <w:t>Myndigheden samt Det Europæiske System af Centralbanker (ESCB), Kommissionen, de nationale kompetente myndigheder og nationale statistikmyndigheder arbejder tæt sammen med ESRB ved at udveksle de oplysninger og analyser, som er nødvendige for udførelsen af deres opgaver.</w:t>
      </w:r>
    </w:p>
    <w:p w14:paraId="1A4E6780" w14:textId="77777777" w:rsidR="005C2C74" w:rsidRPr="00E649AE" w:rsidRDefault="005C2C74" w:rsidP="00902D9C">
      <w:pPr>
        <w:widowControl/>
        <w:spacing w:before="120" w:after="120"/>
        <w:ind w:left="1985"/>
        <w:rPr>
          <w:rFonts w:eastAsia="Calibri"/>
          <w:b/>
          <w:i/>
          <w:szCs w:val="22"/>
        </w:rPr>
      </w:pPr>
      <w:r w:rsidRPr="00E649AE">
        <w:rPr>
          <w:b/>
          <w:i/>
        </w:rPr>
        <w:t>Myndigheden, ESRB og ECB koordinerer deres indsats for at opdage, overvåge, forebygge og afbøde systemiske risici for den finansielle stabilitet.</w:t>
      </w:r>
    </w:p>
    <w:p w14:paraId="4CE5604F" w14:textId="77777777" w:rsidR="005C2C74" w:rsidRPr="00E649AE" w:rsidRDefault="005C2C74" w:rsidP="00902D9C">
      <w:pPr>
        <w:widowControl/>
        <w:spacing w:before="120" w:after="120"/>
        <w:ind w:left="1985"/>
        <w:rPr>
          <w:rFonts w:eastAsia="Calibri"/>
          <w:b/>
          <w:i/>
          <w:szCs w:val="22"/>
        </w:rPr>
      </w:pPr>
      <w:r w:rsidRPr="00E649AE">
        <w:rPr>
          <w:b/>
          <w:i/>
        </w:rPr>
        <w:t>Myndigheden overholder i overensstemmelse med artikel 15, stk. 1-5, i forordning (EU) nr. 1092/2010 de skitserede bestemmelser om dataudveksling.</w:t>
      </w:r>
    </w:p>
    <w:p w14:paraId="16AC8321" w14:textId="73F03BE2" w:rsidR="005C2C74" w:rsidRPr="00E649AE" w:rsidRDefault="005C2C74" w:rsidP="00902D9C">
      <w:pPr>
        <w:widowControl/>
        <w:spacing w:before="120" w:after="120"/>
        <w:ind w:left="1985"/>
        <w:rPr>
          <w:rFonts w:eastAsia="Calibri"/>
          <w:b/>
          <w:i/>
          <w:szCs w:val="22"/>
        </w:rPr>
      </w:pPr>
      <w:r w:rsidRPr="00E649AE">
        <w:rPr>
          <w:b/>
          <w:i/>
        </w:rPr>
        <w:t>Myndigheden skal i samarbejde med ESRB have indført passende interne procedurer for videregivelse af fortrolige oplysninger, navnlig oplysninger vedrørende individuelle finansielle institutioner.</w:t>
      </w:r>
      <w:r w:rsidR="00F74066" w:rsidRPr="00F74066">
        <w:rPr>
          <w:b/>
          <w:i/>
        </w:rPr>
        <w:t>"</w:t>
      </w:r>
      <w:r w:rsidRPr="00E649AE">
        <w:rPr>
          <w:b/>
          <w:i/>
        </w:rPr>
        <w:t xml:space="preserve"> </w:t>
      </w:r>
    </w:p>
    <w:p w14:paraId="732F46F4" w14:textId="77777777" w:rsidR="005C2C74" w:rsidRPr="00E649AE" w:rsidRDefault="005C2C74" w:rsidP="00902D9C">
      <w:pPr>
        <w:widowControl/>
        <w:spacing w:before="120" w:after="120"/>
        <w:ind w:left="1985" w:hanging="567"/>
        <w:rPr>
          <w:rFonts w:eastAsia="Calibri"/>
          <w:szCs w:val="22"/>
        </w:rPr>
      </w:pPr>
      <w:r w:rsidRPr="00E649AE">
        <w:t>5.</w:t>
      </w:r>
      <w:r w:rsidRPr="00E649AE">
        <w:tab/>
        <w:t>I artikel 54, stk. 2, tilføjes følgende led: </w:t>
      </w:r>
    </w:p>
    <w:p w14:paraId="77C1E0CB" w14:textId="77777777" w:rsidR="005C2C74" w:rsidRPr="00E649AE" w:rsidRDefault="005C2C74" w:rsidP="00902D9C">
      <w:pPr>
        <w:widowControl/>
        <w:spacing w:before="120" w:after="120"/>
        <w:ind w:left="2552" w:hanging="567"/>
        <w:rPr>
          <w:rFonts w:eastAsia="Calibri"/>
          <w:szCs w:val="22"/>
        </w:rPr>
      </w:pPr>
      <w:r w:rsidRPr="00E649AE">
        <w:t xml:space="preserve">"— </w:t>
      </w:r>
      <w:r w:rsidRPr="00E649AE">
        <w:rPr>
          <w:b/>
          <w:i/>
        </w:rPr>
        <w:t>indberetnings- og oplysningskrav</w:t>
      </w:r>
      <w:r w:rsidRPr="00E649AE">
        <w:rPr>
          <w:b/>
        </w:rPr>
        <w:t xml:space="preserve"> </w:t>
      </w:r>
      <w:r w:rsidRPr="00E649AE">
        <w:t>og indsamling af oplysninger fra deltagere på det finansielle marked." </w:t>
      </w:r>
    </w:p>
    <w:p w14:paraId="63D9CA26" w14:textId="77777777" w:rsidR="005C2C74" w:rsidRPr="00E649AE" w:rsidRDefault="005C2C74" w:rsidP="00902D9C">
      <w:pPr>
        <w:widowControl/>
        <w:spacing w:before="120" w:after="120"/>
        <w:ind w:left="1985" w:hanging="567"/>
        <w:rPr>
          <w:rFonts w:eastAsia="Calibri"/>
          <w:szCs w:val="22"/>
        </w:rPr>
      </w:pPr>
      <w:r w:rsidRPr="00E649AE">
        <w:lastRenderedPageBreak/>
        <w:t>6.</w:t>
      </w:r>
      <w:r w:rsidRPr="00E649AE">
        <w:tab/>
        <w:t>Artikel 70, stk. 3, affattes således: </w:t>
      </w:r>
    </w:p>
    <w:p w14:paraId="352CFE21" w14:textId="77777777" w:rsidR="005C2C74" w:rsidRPr="00E649AE" w:rsidRDefault="005C2C74" w:rsidP="00902D9C">
      <w:pPr>
        <w:widowControl/>
        <w:spacing w:before="120" w:after="120"/>
        <w:ind w:left="2552" w:hanging="567"/>
        <w:rPr>
          <w:rFonts w:eastAsia="Calibri"/>
          <w:szCs w:val="24"/>
        </w:rPr>
      </w:pPr>
      <w:r w:rsidRPr="00E649AE">
        <w:t xml:space="preserve">"3. </w:t>
      </w:r>
      <w:r w:rsidRPr="00E649AE">
        <w:rPr>
          <w:b/>
          <w:i/>
        </w:rPr>
        <w:tab/>
      </w:r>
      <w:r w:rsidRPr="00E649AE">
        <w:t xml:space="preserve">Stk. 1 og 2 hindrer ikke myndigheden i at udveksle oplysninger med </w:t>
      </w:r>
      <w:r w:rsidRPr="00E649AE">
        <w:rPr>
          <w:b/>
          <w:i/>
        </w:rPr>
        <w:t>de andre myndigheder, der er omhandlet i artikel 35a, stk. 1b,</w:t>
      </w:r>
      <w:r w:rsidRPr="00E649AE">
        <w:t xml:space="preserve"> i overensstemmelse med denne forordning og anden EU-lovgivning vedrørende finansielle institutioner." </w:t>
      </w:r>
    </w:p>
    <w:p w14:paraId="1A1E082A" w14:textId="77777777" w:rsidR="005C2C74" w:rsidRPr="00E649AE" w:rsidRDefault="005C2C74" w:rsidP="005C2C74">
      <w:pPr>
        <w:keepNext/>
        <w:widowControl/>
        <w:spacing w:before="360" w:after="120"/>
        <w:jc w:val="center"/>
        <w:rPr>
          <w:rFonts w:eastAsia="Calibri"/>
          <w:b/>
          <w:i/>
          <w:szCs w:val="22"/>
        </w:rPr>
      </w:pPr>
      <w:r w:rsidRPr="00E649AE">
        <w:rPr>
          <w:b/>
          <w:i/>
        </w:rPr>
        <w:t>Artikel 4a</w:t>
      </w:r>
    </w:p>
    <w:p w14:paraId="0D2BF460" w14:textId="77777777" w:rsidR="005C2C74" w:rsidRPr="00E649AE" w:rsidRDefault="005C2C74" w:rsidP="005C2C74">
      <w:pPr>
        <w:widowControl/>
        <w:spacing w:before="120" w:after="120"/>
        <w:jc w:val="center"/>
        <w:rPr>
          <w:rFonts w:eastAsia="Calibri"/>
          <w:b/>
          <w:bCs/>
          <w:i/>
          <w:szCs w:val="22"/>
        </w:rPr>
      </w:pPr>
      <w:r w:rsidRPr="00E649AE">
        <w:rPr>
          <w:b/>
          <w:i/>
        </w:rPr>
        <w:t>Ændringer af forordning (EU) nr. 806/2014</w:t>
      </w:r>
    </w:p>
    <w:p w14:paraId="6A4AB46E" w14:textId="1954AA08" w:rsidR="005C2C74" w:rsidRPr="00E649AE" w:rsidRDefault="005C2C74" w:rsidP="00902D9C">
      <w:pPr>
        <w:widowControl/>
        <w:spacing w:before="120" w:after="120"/>
        <w:rPr>
          <w:rFonts w:eastAsia="Calibri"/>
          <w:b/>
          <w:i/>
          <w:szCs w:val="22"/>
        </w:rPr>
      </w:pPr>
      <w:r w:rsidRPr="00E649AE">
        <w:rPr>
          <w:b/>
          <w:i/>
        </w:rPr>
        <w:t xml:space="preserve">I forordning (EU) nr. 806/2014 </w:t>
      </w:r>
      <w:r w:rsidR="00F74066" w:rsidRPr="00E649AE">
        <w:rPr>
          <w:b/>
          <w:i/>
        </w:rPr>
        <w:t>indsættes</w:t>
      </w:r>
      <w:r w:rsidR="00F74066">
        <w:rPr>
          <w:b/>
          <w:i/>
        </w:rPr>
        <w:t xml:space="preserve"> f</w:t>
      </w:r>
      <w:r w:rsidR="00F74066" w:rsidRPr="00E649AE">
        <w:rPr>
          <w:b/>
          <w:i/>
        </w:rPr>
        <w:t>ølgende artikler</w:t>
      </w:r>
      <w:r w:rsidRPr="00E649AE">
        <w:rPr>
          <w:b/>
          <w:i/>
        </w:rPr>
        <w:t>:</w:t>
      </w:r>
    </w:p>
    <w:p w14:paraId="3980A22D" w14:textId="77777777" w:rsidR="005C2C74" w:rsidRPr="00E649AE" w:rsidRDefault="005C2C74" w:rsidP="00A07C5D">
      <w:pPr>
        <w:widowControl/>
        <w:spacing w:before="120" w:after="120"/>
        <w:rPr>
          <w:rFonts w:eastAsia="Calibri"/>
          <w:b/>
          <w:i/>
          <w:szCs w:val="22"/>
        </w:rPr>
      </w:pPr>
      <w:r w:rsidRPr="00E649AE">
        <w:rPr>
          <w:b/>
          <w:i/>
        </w:rPr>
        <w:t>"Artikel 34a</w:t>
      </w:r>
    </w:p>
    <w:p w14:paraId="16DA6F58" w14:textId="77777777" w:rsidR="005C2C74" w:rsidRPr="00E649AE" w:rsidRDefault="005C2C74" w:rsidP="00FC36E0">
      <w:pPr>
        <w:widowControl/>
        <w:spacing w:before="120" w:after="120"/>
        <w:rPr>
          <w:rFonts w:eastAsia="Calibri"/>
          <w:b/>
          <w:i/>
          <w:szCs w:val="22"/>
        </w:rPr>
      </w:pPr>
      <w:r w:rsidRPr="00E649AE">
        <w:rPr>
          <w:b/>
          <w:i/>
        </w:rPr>
        <w:t>Udveksling af oplysninger mellem myndigheder og med andre enheder</w:t>
      </w:r>
    </w:p>
    <w:p w14:paraId="54EE3206" w14:textId="77777777" w:rsidR="005C2C74" w:rsidRPr="00E649AE" w:rsidRDefault="005C2C74" w:rsidP="00902D9C">
      <w:pPr>
        <w:widowControl/>
        <w:spacing w:before="120" w:after="120"/>
        <w:ind w:left="851" w:hanging="851"/>
        <w:rPr>
          <w:rFonts w:eastAsia="Calibri"/>
          <w:b/>
          <w:i/>
          <w:szCs w:val="22"/>
        </w:rPr>
      </w:pPr>
      <w:r w:rsidRPr="00E649AE">
        <w:rPr>
          <w:b/>
          <w:i/>
        </w:rPr>
        <w:t xml:space="preserve">1. </w:t>
      </w:r>
      <w:r w:rsidRPr="00E649AE">
        <w:rPr>
          <w:b/>
          <w:i/>
        </w:rPr>
        <w:tab/>
        <w:t>Afviklingsinstansen og de nationale afviklingsmyndigheder udveksler, fra sag til sag eller regelmæssigt, med de andre myndigheder de oplysninger, som er indhentet fra finansielle institutioner eller andre kompetente myndigheder, når den anmodende myndighed har ret til at indhente disse oplysninger i henhold til sin mission, sine målsætninger, opgaver og beføjelser eller i overensstemmelse med relevant EU-ret.</w:t>
      </w:r>
    </w:p>
    <w:p w14:paraId="5101ECB7" w14:textId="77777777" w:rsidR="005C2C74" w:rsidRPr="00E649AE" w:rsidRDefault="005C2C74" w:rsidP="00902D9C">
      <w:pPr>
        <w:widowControl/>
        <w:spacing w:before="120" w:after="120"/>
        <w:ind w:left="851"/>
        <w:rPr>
          <w:rFonts w:eastAsia="Calibri"/>
          <w:b/>
          <w:i/>
          <w:szCs w:val="22"/>
        </w:rPr>
      </w:pPr>
      <w:r w:rsidRPr="00E649AE">
        <w:rPr>
          <w:b/>
          <w:i/>
        </w:rPr>
        <w:t>Med henblik på at udveksle de oplysninger, der er omhandlet i dette stykkes første afsnit, anvender Afviklingsinstansen eller de nationale afviklingsmyndigheder det i artikel 34b omhandlede fælles integrerede indberetningssystem, når det er oprettet.</w:t>
      </w:r>
    </w:p>
    <w:p w14:paraId="51E30ED5" w14:textId="77777777" w:rsidR="005C2C74" w:rsidRPr="00E649AE" w:rsidRDefault="005C2C74" w:rsidP="00902D9C">
      <w:pPr>
        <w:widowControl/>
        <w:spacing w:before="120" w:after="120"/>
        <w:ind w:left="851" w:hanging="851"/>
        <w:rPr>
          <w:rFonts w:eastAsia="Calibri"/>
          <w:b/>
          <w:i/>
          <w:szCs w:val="22"/>
        </w:rPr>
      </w:pPr>
      <w:r w:rsidRPr="00E649AE">
        <w:rPr>
          <w:b/>
          <w:i/>
        </w:rPr>
        <w:t xml:space="preserve">2. </w:t>
      </w:r>
      <w:r w:rsidRPr="00E649AE">
        <w:rPr>
          <w:b/>
          <w:i/>
        </w:rPr>
        <w:tab/>
        <w:t>Afviklingsinstansen og de nationale afviklingsmyndigheder skal anmode de andre myndigheder om oplysninger, som de ellers ville anmode om fra finansielle institutioner eller andre kompetente myndigheder, hvis begge følgende betingelser er opfyldt:</w:t>
      </w:r>
    </w:p>
    <w:p w14:paraId="0EBCDFDE" w14:textId="77777777" w:rsidR="005C2C74" w:rsidRPr="00E649AE" w:rsidRDefault="005C2C74" w:rsidP="00902D9C">
      <w:pPr>
        <w:widowControl/>
        <w:spacing w:before="120" w:after="120"/>
        <w:ind w:left="1418" w:hanging="567"/>
        <w:rPr>
          <w:rFonts w:eastAsia="Calibri"/>
          <w:b/>
          <w:i/>
          <w:szCs w:val="22"/>
        </w:rPr>
      </w:pPr>
      <w:r w:rsidRPr="00E649AE">
        <w:rPr>
          <w:b/>
          <w:i/>
        </w:rPr>
        <w:t xml:space="preserve">a) </w:t>
      </w:r>
      <w:r w:rsidRPr="00E649AE">
        <w:rPr>
          <w:b/>
          <w:i/>
        </w:rPr>
        <w:tab/>
        <w:t>De har ret til at indhente disse oplysninger i henhold til deres mission, deres målsætninger, opgaver og beføjelser eller i overensstemmelse med relevant EU-ret.</w:t>
      </w:r>
    </w:p>
    <w:p w14:paraId="7EE4FCFE" w14:textId="77777777" w:rsidR="005C2C74" w:rsidRPr="00E649AE" w:rsidRDefault="005C2C74" w:rsidP="00902D9C">
      <w:pPr>
        <w:widowControl/>
        <w:spacing w:before="120" w:after="120"/>
        <w:ind w:left="1418" w:hanging="567"/>
        <w:rPr>
          <w:rFonts w:eastAsia="Calibri"/>
          <w:b/>
          <w:i/>
          <w:szCs w:val="22"/>
        </w:rPr>
      </w:pPr>
      <w:r w:rsidRPr="00E649AE">
        <w:rPr>
          <w:b/>
          <w:i/>
        </w:rPr>
        <w:t xml:space="preserve">b) </w:t>
      </w:r>
      <w:r w:rsidRPr="00E649AE">
        <w:rPr>
          <w:b/>
          <w:i/>
        </w:rPr>
        <w:tab/>
        <w:t>Disse oplysningerne er indhentet af mindst en af de andre myndigheder.</w:t>
      </w:r>
    </w:p>
    <w:p w14:paraId="31CAA911" w14:textId="77777777" w:rsidR="005C2C74" w:rsidRPr="00E649AE" w:rsidRDefault="005C2C74" w:rsidP="00902D9C">
      <w:pPr>
        <w:widowControl/>
        <w:spacing w:before="120" w:after="120"/>
        <w:ind w:left="851"/>
        <w:rPr>
          <w:rFonts w:eastAsia="Calibri"/>
          <w:b/>
          <w:i/>
          <w:szCs w:val="22"/>
        </w:rPr>
      </w:pPr>
      <w:r w:rsidRPr="00E649AE">
        <w:rPr>
          <w:b/>
          <w:i/>
        </w:rPr>
        <w:t>Første afsnit berører ikke Afviklingsinstansen og de nationale afviklingsmyndigheders mulighed for at indhente de ønskede oplysninger fra finansielle institutioner eller andre kompetente myndigheder, hvis den anden myndighed af operationelle årsager ikke er i stand til at dele dataene.</w:t>
      </w:r>
    </w:p>
    <w:p w14:paraId="46C4B057" w14:textId="77777777" w:rsidR="005C2C74" w:rsidRPr="00E649AE" w:rsidRDefault="005C2C74" w:rsidP="00902D9C">
      <w:pPr>
        <w:widowControl/>
        <w:spacing w:before="120" w:after="120"/>
        <w:ind w:left="851"/>
        <w:rPr>
          <w:rFonts w:eastAsia="Calibri"/>
          <w:b/>
          <w:i/>
          <w:szCs w:val="22"/>
        </w:rPr>
      </w:pPr>
      <w:r w:rsidRPr="00E649AE">
        <w:rPr>
          <w:b/>
          <w:i/>
        </w:rPr>
        <w:t>Med henblik på at afgøre, om betingelsen i første afsnit, litra b), er opfyldt, anvender Afviklingsinstansen det i artikel 34b omhandlede fælles integrerede indberetningssystem, når det er oprettet.</w:t>
      </w:r>
    </w:p>
    <w:p w14:paraId="02ADD82B" w14:textId="77777777" w:rsidR="005C2C74" w:rsidRPr="00E649AE" w:rsidRDefault="005C2C74" w:rsidP="00902D9C">
      <w:pPr>
        <w:widowControl/>
        <w:spacing w:before="120" w:after="120"/>
        <w:ind w:left="851" w:hanging="851"/>
        <w:rPr>
          <w:rFonts w:eastAsia="Calibri"/>
          <w:b/>
          <w:i/>
          <w:szCs w:val="22"/>
        </w:rPr>
      </w:pPr>
      <w:r w:rsidRPr="00E649AE">
        <w:rPr>
          <w:b/>
          <w:i/>
        </w:rPr>
        <w:t xml:space="preserve">3. </w:t>
      </w:r>
      <w:r w:rsidRPr="00E649AE">
        <w:rPr>
          <w:b/>
          <w:i/>
        </w:rPr>
        <w:tab/>
        <w:t>I denne artikel og artikel 34b forstås ved "andre myndigheder" en af følgende myndigheder:</w:t>
      </w:r>
    </w:p>
    <w:p w14:paraId="624AA5F0" w14:textId="77777777" w:rsidR="005C2C74" w:rsidRPr="00E649AE" w:rsidRDefault="005C2C74" w:rsidP="00902D9C">
      <w:pPr>
        <w:widowControl/>
        <w:spacing w:before="120" w:after="120"/>
        <w:ind w:left="1418" w:hanging="567"/>
        <w:rPr>
          <w:rFonts w:eastAsia="Calibri"/>
          <w:b/>
          <w:i/>
          <w:szCs w:val="22"/>
        </w:rPr>
      </w:pPr>
      <w:r w:rsidRPr="00E649AE">
        <w:rPr>
          <w:b/>
          <w:i/>
        </w:rPr>
        <w:t xml:space="preserve">a) </w:t>
      </w:r>
      <w:r w:rsidRPr="00E649AE">
        <w:rPr>
          <w:b/>
          <w:i/>
        </w:rPr>
        <w:tab/>
        <w:t>de europæiske tilsynsmyndigheder</w:t>
      </w:r>
    </w:p>
    <w:p w14:paraId="64CCCA7E" w14:textId="77777777" w:rsidR="005C2C74" w:rsidRPr="00E649AE" w:rsidRDefault="005C2C74" w:rsidP="00902D9C">
      <w:pPr>
        <w:widowControl/>
        <w:spacing w:before="120" w:after="120"/>
        <w:ind w:left="1418" w:hanging="567"/>
        <w:rPr>
          <w:rFonts w:eastAsia="Calibri"/>
          <w:b/>
          <w:i/>
          <w:szCs w:val="22"/>
        </w:rPr>
      </w:pPr>
      <w:r w:rsidRPr="00E649AE">
        <w:rPr>
          <w:b/>
          <w:i/>
        </w:rPr>
        <w:t xml:space="preserve">b) </w:t>
      </w:r>
      <w:r w:rsidRPr="00E649AE">
        <w:rPr>
          <w:b/>
          <w:i/>
        </w:rPr>
        <w:tab/>
        <w:t>ESRB</w:t>
      </w:r>
    </w:p>
    <w:p w14:paraId="1F81409B" w14:textId="77777777" w:rsidR="005C2C74" w:rsidRPr="00E649AE" w:rsidRDefault="005C2C74" w:rsidP="00902D9C">
      <w:pPr>
        <w:widowControl/>
        <w:spacing w:before="120" w:after="120"/>
        <w:ind w:left="1418" w:hanging="567"/>
        <w:rPr>
          <w:rFonts w:eastAsia="Calibri"/>
          <w:b/>
          <w:i/>
          <w:szCs w:val="22"/>
        </w:rPr>
      </w:pPr>
      <w:r w:rsidRPr="00E649AE">
        <w:rPr>
          <w:b/>
          <w:i/>
        </w:rPr>
        <w:t xml:space="preserve">c) </w:t>
      </w:r>
      <w:r w:rsidRPr="00E649AE">
        <w:rPr>
          <w:b/>
          <w:i/>
        </w:rPr>
        <w:tab/>
        <w:t>kompetente myndigheder som defineret i artikel 4, nr. 2), i forordning (EU) nr. 1093/2010</w:t>
      </w:r>
    </w:p>
    <w:p w14:paraId="3C984550" w14:textId="77777777" w:rsidR="005C2C74" w:rsidRPr="00E649AE" w:rsidRDefault="005C2C74" w:rsidP="00902D9C">
      <w:pPr>
        <w:widowControl/>
        <w:spacing w:before="120" w:after="120"/>
        <w:ind w:left="1418" w:hanging="567"/>
        <w:rPr>
          <w:rFonts w:eastAsia="Calibri"/>
          <w:b/>
          <w:i/>
          <w:szCs w:val="22"/>
        </w:rPr>
      </w:pPr>
      <w:r w:rsidRPr="00E649AE">
        <w:rPr>
          <w:b/>
          <w:i/>
        </w:rPr>
        <w:t xml:space="preserve">d) </w:t>
      </w:r>
      <w:r w:rsidRPr="00E649AE">
        <w:rPr>
          <w:b/>
          <w:i/>
        </w:rPr>
        <w:tab/>
        <w:t>kompetente myndigheder som defineret i artikel 4, nr. 2), i forordning (EU) nr. 1094/2010</w:t>
      </w:r>
    </w:p>
    <w:p w14:paraId="38A7E115" w14:textId="77777777" w:rsidR="005C2C74" w:rsidRPr="00E649AE" w:rsidRDefault="005C2C74" w:rsidP="00902D9C">
      <w:pPr>
        <w:widowControl/>
        <w:spacing w:before="120" w:after="120"/>
        <w:ind w:left="1418" w:hanging="567"/>
        <w:rPr>
          <w:rFonts w:eastAsia="Calibri"/>
          <w:b/>
          <w:i/>
          <w:szCs w:val="22"/>
        </w:rPr>
      </w:pPr>
      <w:r w:rsidRPr="00E649AE">
        <w:rPr>
          <w:b/>
          <w:i/>
        </w:rPr>
        <w:lastRenderedPageBreak/>
        <w:t xml:space="preserve">e) </w:t>
      </w:r>
      <w:r w:rsidRPr="00E649AE">
        <w:rPr>
          <w:b/>
          <w:i/>
        </w:rPr>
        <w:tab/>
        <w:t>kompetente myndigheder som defineret i artikel 4, nr. 3), i forordning (EU) nr. 1095/2010</w:t>
      </w:r>
    </w:p>
    <w:p w14:paraId="1B72C65C" w14:textId="65BC64DF" w:rsidR="005C2C74" w:rsidRPr="00E649AE" w:rsidRDefault="005C2C74" w:rsidP="00902D9C">
      <w:pPr>
        <w:widowControl/>
        <w:spacing w:before="120" w:after="120"/>
        <w:ind w:left="1418" w:hanging="567"/>
        <w:rPr>
          <w:rFonts w:eastAsia="Calibri"/>
          <w:b/>
          <w:i/>
          <w:szCs w:val="22"/>
        </w:rPr>
      </w:pPr>
      <w:r w:rsidRPr="00E649AE">
        <w:rPr>
          <w:b/>
          <w:i/>
        </w:rPr>
        <w:t xml:space="preserve">f) </w:t>
      </w:r>
      <w:r w:rsidRPr="00E649AE">
        <w:rPr>
          <w:b/>
          <w:i/>
        </w:rPr>
        <w:tab/>
        <w:t>AMLA som oprettet ved Europa-Parlamentets og Rådets forordning (EU) …/…</w:t>
      </w:r>
      <w:r w:rsidR="006567A0">
        <w:rPr>
          <w:rStyle w:val="FootnoteReference"/>
          <w:b/>
          <w:i/>
        </w:rPr>
        <w:footnoteReference w:customMarkFollows="1" w:id="21"/>
        <w:t>+</w:t>
      </w:r>
    </w:p>
    <w:p w14:paraId="1D308832" w14:textId="0098ADC4" w:rsidR="005C2C74" w:rsidRPr="00E649AE" w:rsidRDefault="005C2C74" w:rsidP="00902D9C">
      <w:pPr>
        <w:widowControl/>
        <w:spacing w:before="120" w:after="120"/>
        <w:ind w:left="1418" w:hanging="567"/>
        <w:rPr>
          <w:rFonts w:eastAsia="Calibri"/>
          <w:b/>
          <w:i/>
          <w:szCs w:val="22"/>
        </w:rPr>
      </w:pPr>
      <w:r w:rsidRPr="00E649AE">
        <w:rPr>
          <w:b/>
          <w:i/>
        </w:rPr>
        <w:t xml:space="preserve">g) </w:t>
      </w:r>
      <w:r w:rsidRPr="00E649AE">
        <w:rPr>
          <w:b/>
          <w:i/>
        </w:rPr>
        <w:tab/>
        <w:t>myndigheder som defineret i artikel 2, nr. 1), i Europa-Parlamentets og Rådets direktiv (EU) …/…</w:t>
      </w:r>
      <w:r w:rsidR="006567A0">
        <w:rPr>
          <w:rStyle w:val="FootnoteReference"/>
          <w:b/>
          <w:i/>
        </w:rPr>
        <w:footnoteReference w:customMarkFollows="1" w:id="22"/>
        <w:t>++</w:t>
      </w:r>
    </w:p>
    <w:p w14:paraId="69E5B8A8" w14:textId="77777777" w:rsidR="005C2C74" w:rsidRPr="00E649AE" w:rsidRDefault="005C2C74" w:rsidP="00902D9C">
      <w:pPr>
        <w:widowControl/>
        <w:spacing w:before="120" w:after="120"/>
        <w:ind w:left="1418" w:hanging="567"/>
        <w:rPr>
          <w:rFonts w:eastAsia="Calibri"/>
          <w:b/>
          <w:i/>
          <w:szCs w:val="22"/>
        </w:rPr>
      </w:pPr>
      <w:r w:rsidRPr="00E649AE">
        <w:rPr>
          <w:b/>
          <w:i/>
        </w:rPr>
        <w:t xml:space="preserve">h) </w:t>
      </w:r>
      <w:r w:rsidRPr="00E649AE">
        <w:rPr>
          <w:b/>
          <w:i/>
        </w:rPr>
        <w:tab/>
        <w:t>SSM som defineret i artikel 2, nr. 9), i forordning (EU) nr. 1024/2013</w:t>
      </w:r>
    </w:p>
    <w:p w14:paraId="2CEA04B6" w14:textId="77777777" w:rsidR="005C2C74" w:rsidRPr="00E649AE" w:rsidRDefault="005C2C74" w:rsidP="00902D9C">
      <w:pPr>
        <w:widowControl/>
        <w:spacing w:before="120" w:after="120"/>
        <w:ind w:left="1418" w:hanging="567"/>
        <w:rPr>
          <w:rFonts w:eastAsia="Calibri"/>
          <w:b/>
          <w:i/>
          <w:szCs w:val="22"/>
        </w:rPr>
      </w:pPr>
      <w:r w:rsidRPr="00E649AE">
        <w:rPr>
          <w:b/>
          <w:i/>
        </w:rPr>
        <w:t>i)</w:t>
      </w:r>
      <w:r w:rsidRPr="00E649AE">
        <w:rPr>
          <w:b/>
          <w:i/>
        </w:rPr>
        <w:tab/>
        <w:t xml:space="preserve"> nationale afviklingsmyndigheder som defineret i artikel 3, nr. 3).</w:t>
      </w:r>
    </w:p>
    <w:p w14:paraId="28C38160" w14:textId="77777777" w:rsidR="005C2C74" w:rsidRPr="00E649AE" w:rsidRDefault="005C2C74" w:rsidP="00902D9C">
      <w:pPr>
        <w:widowControl/>
        <w:spacing w:before="120" w:after="120"/>
        <w:ind w:left="851"/>
        <w:rPr>
          <w:rFonts w:eastAsia="Calibri"/>
          <w:b/>
          <w:i/>
          <w:szCs w:val="22"/>
        </w:rPr>
      </w:pPr>
      <w:r w:rsidRPr="00E649AE">
        <w:rPr>
          <w:b/>
          <w:i/>
        </w:rPr>
        <w:t>I denne artikel forstås ved "finansiel institution" en "finansiel institution" som defineret i artikel 2, litra a), i forordning (EU) nr. 1092/2010.</w:t>
      </w:r>
    </w:p>
    <w:p w14:paraId="6F470FBF" w14:textId="77777777" w:rsidR="005C2C74" w:rsidRPr="00E649AE" w:rsidRDefault="005C2C74" w:rsidP="00902D9C">
      <w:pPr>
        <w:widowControl/>
        <w:spacing w:before="120" w:after="120"/>
        <w:ind w:left="851" w:hanging="851"/>
        <w:rPr>
          <w:rFonts w:eastAsia="Calibri"/>
          <w:b/>
          <w:i/>
          <w:szCs w:val="22"/>
        </w:rPr>
      </w:pPr>
      <w:r w:rsidRPr="00E649AE">
        <w:rPr>
          <w:b/>
          <w:i/>
        </w:rPr>
        <w:t xml:space="preserve">4. </w:t>
      </w:r>
      <w:r w:rsidRPr="00E649AE">
        <w:rPr>
          <w:b/>
          <w:i/>
        </w:rPr>
        <w:tab/>
        <w:t>Anmodningen om udveksling af oplysninger skal indeholde en behørig angivelse af, hvilket retsgrundlag i henhold til EU-retten der gør det muligt for den anmodende myndighed at indhente oplysningerne fra finansielle institutioner eller andre kompetente myndigheder. Den anmodende myndighed og den udvekslende myndighed er underlagt bestemmelserne om tavshedspligt og databeskyttelse som fastsat i artikel 88 og 89 og i sektorspecifik lovgivning, der finder anvendelse på udvekslingen af data mellem den finansielle institution og den anmodende myndighed samt på udvekslingen af data mellem den finansielle institution og den udvekslende myndighed. Den udvekslende myndighed underretter uden unødigt ophold den enkelte relevante finansielle institution om en sådan udveksling af oplysninger, med mindre oplysningerne er blevet anonymiseret, ændret, sammenfattet eller behandlet efter en anden metode til kontrol med fortrolighed i forbindelse med videregivelse af oplysninger.</w:t>
      </w:r>
    </w:p>
    <w:p w14:paraId="1434045B" w14:textId="77777777" w:rsidR="005C2C74" w:rsidRPr="00E649AE" w:rsidRDefault="005C2C74" w:rsidP="00902D9C">
      <w:pPr>
        <w:widowControl/>
        <w:spacing w:before="120" w:after="120"/>
        <w:ind w:left="851" w:hanging="851"/>
        <w:rPr>
          <w:rFonts w:eastAsia="Calibri"/>
          <w:b/>
          <w:i/>
          <w:szCs w:val="22"/>
        </w:rPr>
      </w:pPr>
      <w:r w:rsidRPr="00E649AE">
        <w:rPr>
          <w:b/>
          <w:i/>
        </w:rPr>
        <w:t xml:space="preserve">5. </w:t>
      </w:r>
      <w:r w:rsidRPr="00E649AE">
        <w:rPr>
          <w:b/>
          <w:i/>
        </w:rPr>
        <w:tab/>
        <w:t>Stk. 1, 2 og 4 finder også anvendelse på oplysninger, som den udvekslende myndighed har modtaget fra en finansiel institution eller de andre myndigheder, og som den udvekslende myndighed efterfølgende har kvalitetskontrolleret eller på anden måde har behandlet.</w:t>
      </w:r>
    </w:p>
    <w:p w14:paraId="2A97D52D" w14:textId="77777777" w:rsidR="005C2C74" w:rsidRPr="00E649AE" w:rsidRDefault="005C2C74" w:rsidP="00902D9C">
      <w:pPr>
        <w:widowControl/>
        <w:spacing w:before="120" w:after="120"/>
        <w:ind w:left="851" w:hanging="851"/>
        <w:rPr>
          <w:rFonts w:eastAsia="Calibri"/>
          <w:b/>
          <w:i/>
          <w:szCs w:val="22"/>
        </w:rPr>
      </w:pPr>
      <w:r w:rsidRPr="00E649AE">
        <w:rPr>
          <w:b/>
          <w:i/>
        </w:rPr>
        <w:t xml:space="preserve">6. </w:t>
      </w:r>
      <w:r w:rsidRPr="00E649AE">
        <w:rPr>
          <w:b/>
          <w:i/>
        </w:rPr>
        <w:tab/>
        <w:t>Med henblik på udveksling af oplysninger som omhandlet i stk. 1, 2, 4 og 5 indgår Afviklingsinstansen og de andre myndigheder aftalememoranda for at fastsætte de nærmere bestemmelser for udvekslingen af oplysninger. De fastlægger også ordninger for deling af ressourcer til indsamling og behandling af sådanne delte data, forudsat at sådanne ordninger overholder de gældende bestemmelser for databeskyttelse, intellektuelle ejendomsrettigheder og tavshedspligt</w:t>
      </w:r>
      <w:r w:rsidRPr="00E649AE">
        <w:t>.</w:t>
      </w:r>
      <w:r w:rsidRPr="00E649AE">
        <w:rPr>
          <w:b/>
          <w:i/>
        </w:rPr>
        <w:t xml:space="preserve"> Aftalememoranda skal efter aftale mellem alle de berørte myndigheder følge et enkelt og standardiseret format, der, hvor det er nødvendigt, er skræddersyet til de særlige driftsbetingelser, som måtte gælde for specifikke myndigheder.</w:t>
      </w:r>
    </w:p>
    <w:p w14:paraId="1DD9E914" w14:textId="77777777" w:rsidR="005C2C74" w:rsidRPr="00E649AE" w:rsidRDefault="005C2C74" w:rsidP="00902D9C">
      <w:pPr>
        <w:widowControl/>
        <w:spacing w:before="120" w:after="120"/>
        <w:ind w:left="851" w:hanging="851"/>
        <w:rPr>
          <w:rFonts w:eastAsia="Calibri"/>
          <w:b/>
          <w:i/>
          <w:szCs w:val="22"/>
        </w:rPr>
      </w:pPr>
      <w:r w:rsidRPr="00E649AE">
        <w:rPr>
          <w:b/>
          <w:i/>
        </w:rPr>
        <w:t xml:space="preserve">7. </w:t>
      </w:r>
      <w:r w:rsidRPr="00E649AE">
        <w:rPr>
          <w:b/>
          <w:i/>
        </w:rPr>
        <w:tab/>
        <w:t xml:space="preserve">Stk. 1-6 berører ikke beskyttelsen af intellektuelle ejendomsrettigheder og forhindrer eller begrænser ikke udvekslingen af oplysninger mellem </w:t>
      </w:r>
      <w:r w:rsidRPr="00E649AE">
        <w:rPr>
          <w:b/>
          <w:i/>
        </w:rPr>
        <w:lastRenderedPageBreak/>
        <w:t>Afviklingsinstansen og de andre myndigheder i overensstemmelse med bestemmelserne i anden EU-lovgivning. Hvis bestemmelserne i denne artikel er i strid med bestemmelser i denne forordning eller anden EU-lovgivning, der regulerer udvekslingen af oplysninger mellem de andre myndigheder, har bestemmelserne i denne anden EU-lovgivning forrang.</w:t>
      </w:r>
    </w:p>
    <w:p w14:paraId="4BCF73EA" w14:textId="77777777" w:rsidR="005C2C74" w:rsidRPr="00E649AE" w:rsidRDefault="005C2C74" w:rsidP="00902D9C">
      <w:pPr>
        <w:widowControl/>
        <w:spacing w:before="120" w:after="120"/>
        <w:ind w:left="851" w:hanging="851"/>
        <w:rPr>
          <w:rFonts w:eastAsia="Calibri"/>
          <w:b/>
          <w:i/>
          <w:szCs w:val="22"/>
        </w:rPr>
      </w:pPr>
      <w:r w:rsidRPr="00E649AE">
        <w:rPr>
          <w:b/>
          <w:i/>
        </w:rPr>
        <w:t xml:space="preserve">8. </w:t>
      </w:r>
      <w:r w:rsidRPr="00E649AE">
        <w:rPr>
          <w:b/>
          <w:i/>
        </w:rPr>
        <w:tab/>
        <w:t>Uden at det berører andre forpligtelser, der er fastsat i EU-retten vedrørende udveksling af oplysninger, kan Afviklingsinstansen og de nationale afviklingsmyndigheder efter begrundet anmodning og fra sag til sag lade Kommissionen få del i oplysninger, som finansielle institutioner har indberettet til dem i overensstemmelse med deres forpligtelser i henhold til EU-retten, i en form, der ikke gør det muligt at identificere individuelle enheder, og som ikke indeholder personoplysninger. De myndigheder, som har fremsendt sådanne oplysninger, underrettes behørigt om den udveksling, der har fundet sted.</w:t>
      </w:r>
    </w:p>
    <w:p w14:paraId="709EB511" w14:textId="77777777" w:rsidR="005C2C74" w:rsidRPr="00E649AE" w:rsidRDefault="005C2C74" w:rsidP="00902D9C">
      <w:pPr>
        <w:widowControl/>
        <w:spacing w:before="120" w:after="120"/>
        <w:ind w:left="851" w:hanging="851"/>
        <w:rPr>
          <w:rFonts w:eastAsia="Calibri"/>
          <w:b/>
          <w:i/>
          <w:szCs w:val="22"/>
        </w:rPr>
      </w:pPr>
      <w:r w:rsidRPr="00E649AE">
        <w:rPr>
          <w:b/>
          <w:i/>
        </w:rPr>
        <w:t xml:space="preserve">9. </w:t>
      </w:r>
      <w:r w:rsidRPr="00E649AE">
        <w:rPr>
          <w:b/>
          <w:i/>
        </w:rPr>
        <w:tab/>
        <w:t>Afviklingsinstansen og de nationale afviklingsmyndigheder kan give adgang til oplysninger, som er indhentet i forbindelse med udførelsen af deres opgaver, således at de kan videreanvendes af finansielle institutioner, forskere og andre enheder, der har en berettiget interesse i sådanne oplysninger, med henblik på forskning og innovation, forudsat at myndigheden har sikret, at følgende betingelser er opfyldt:</w:t>
      </w:r>
    </w:p>
    <w:p w14:paraId="13953DF2" w14:textId="77777777" w:rsidR="005C2C74" w:rsidRPr="00E649AE" w:rsidRDefault="005C2C74" w:rsidP="00902D9C">
      <w:pPr>
        <w:widowControl/>
        <w:spacing w:before="120" w:after="120"/>
        <w:ind w:left="1418" w:hanging="567"/>
        <w:rPr>
          <w:rFonts w:eastAsia="Calibri"/>
          <w:b/>
          <w:i/>
          <w:szCs w:val="22"/>
        </w:rPr>
      </w:pPr>
      <w:r w:rsidRPr="00E649AE">
        <w:rPr>
          <w:b/>
          <w:i/>
        </w:rPr>
        <w:t xml:space="preserve">a) </w:t>
      </w:r>
      <w:r w:rsidRPr="00E649AE">
        <w:rPr>
          <w:b/>
          <w:i/>
        </w:rPr>
        <w:tab/>
        <w:t>Oplysningerne er blevet anonymiseret på en sådan måde, at den registrerede eller den finansielle institution ikke længere kan identificeres.</w:t>
      </w:r>
    </w:p>
    <w:p w14:paraId="5F762EA0" w14:textId="77777777" w:rsidR="005C2C74" w:rsidRPr="00E649AE" w:rsidRDefault="005C2C74" w:rsidP="00902D9C">
      <w:pPr>
        <w:widowControl/>
        <w:spacing w:before="120" w:after="120"/>
        <w:ind w:left="1418" w:hanging="567"/>
        <w:rPr>
          <w:rFonts w:eastAsia="Calibri"/>
          <w:b/>
          <w:i/>
          <w:szCs w:val="22"/>
        </w:rPr>
      </w:pPr>
      <w:r w:rsidRPr="00E649AE">
        <w:rPr>
          <w:b/>
          <w:i/>
        </w:rPr>
        <w:t xml:space="preserve">b) </w:t>
      </w:r>
      <w:r w:rsidRPr="00E649AE">
        <w:rPr>
          <w:b/>
          <w:i/>
        </w:rPr>
        <w:tab/>
        <w:t>Oplysningerne er blevet ændret, sammenfattet eller behandlet efter en anden metode til kontrol med fortrolighed i forbindelse med videregivelse af oplysninger, herunder forretningshemmeligheder eller indhold, der er beskyttet af intellektuelle ejendomsrettigheder.</w:t>
      </w:r>
    </w:p>
    <w:p w14:paraId="53E7956D" w14:textId="77777777" w:rsidR="005C2C74" w:rsidRPr="00E649AE" w:rsidRDefault="005C2C74" w:rsidP="00902D9C">
      <w:pPr>
        <w:widowControl/>
        <w:spacing w:before="120" w:after="120"/>
        <w:ind w:left="1418" w:hanging="567"/>
        <w:rPr>
          <w:rFonts w:eastAsia="Calibri"/>
          <w:b/>
          <w:i/>
          <w:szCs w:val="22"/>
        </w:rPr>
      </w:pPr>
      <w:r w:rsidRPr="00E649AE">
        <w:rPr>
          <w:b/>
          <w:i/>
        </w:rPr>
        <w:t>c)</w:t>
      </w:r>
      <w:r w:rsidRPr="00E649AE">
        <w:rPr>
          <w:b/>
          <w:i/>
        </w:rPr>
        <w:tab/>
        <w:t>De parter, der har fået tildelt adgang, har vist, at de har de krævede tekniske midler til at beskytte fortrolige oplysninger, dvs. at de er i besiddelse af instrumenter, der kan sikre fuld beskyttelse af privatlivets fred og fortroligheden.</w:t>
      </w:r>
    </w:p>
    <w:p w14:paraId="765C669D" w14:textId="77777777" w:rsidR="005C2C74" w:rsidRPr="00E649AE" w:rsidRDefault="005C2C74" w:rsidP="00902D9C">
      <w:pPr>
        <w:widowControl/>
        <w:spacing w:before="120" w:after="120"/>
        <w:ind w:left="851"/>
        <w:rPr>
          <w:rFonts w:eastAsia="Calibri"/>
          <w:b/>
          <w:i/>
          <w:szCs w:val="22"/>
        </w:rPr>
      </w:pPr>
      <w:r w:rsidRPr="00E649AE">
        <w:rPr>
          <w:b/>
          <w:i/>
        </w:rPr>
        <w:t>Oplysninger, der modtages fra en anden myndighed, må kun videregives på dette grundlag med samtykke fra den myndighed, der oprindeligt indhentede oplysningerne.</w:t>
      </w:r>
    </w:p>
    <w:p w14:paraId="51D98414" w14:textId="77777777" w:rsidR="005C2C74" w:rsidRPr="00E649AE" w:rsidRDefault="005C2C74" w:rsidP="00902D9C">
      <w:pPr>
        <w:widowControl/>
        <w:spacing w:before="120" w:after="120"/>
        <w:ind w:left="851" w:hanging="851"/>
        <w:rPr>
          <w:rFonts w:eastAsia="Calibri"/>
          <w:b/>
          <w:i/>
          <w:szCs w:val="22"/>
        </w:rPr>
      </w:pPr>
      <w:r w:rsidRPr="00E649AE">
        <w:rPr>
          <w:b/>
          <w:i/>
        </w:rPr>
        <w:t xml:space="preserve">10. </w:t>
      </w:r>
      <w:r w:rsidRPr="00E649AE">
        <w:rPr>
          <w:b/>
          <w:i/>
        </w:rPr>
        <w:tab/>
        <w:t>Afviklingsinstansen og de nationale afviklingsmyndigheder rapporterer senest … [et år fra datoen for denne ændringsforordnings ikrafttræden] til Kommissionen om alle juridiske hindringer i sektorspecifikke forordninger, der på nogen måde forhindrer udvalget i at udveksle oplysninger med de andre myndigheder eller med andre enheder. Rapporten kan også se på ikkevæsentlige, forældede, overlappende eller på anden vis irrelevante indberetningskrav samt forslag til at sikre konsekvensen mellem indberetningskrav til finansielle og ikkefinansielle virksomheder.</w:t>
      </w:r>
    </w:p>
    <w:p w14:paraId="20ACD49A" w14:textId="77777777" w:rsidR="005C2C74" w:rsidRPr="00E649AE" w:rsidRDefault="005C2C74" w:rsidP="00902D9C">
      <w:pPr>
        <w:widowControl/>
        <w:spacing w:before="120" w:after="120"/>
        <w:ind w:left="851"/>
        <w:rPr>
          <w:rFonts w:eastAsia="Calibri"/>
          <w:b/>
          <w:i/>
          <w:szCs w:val="22"/>
        </w:rPr>
      </w:pPr>
      <w:r w:rsidRPr="00E649AE">
        <w:rPr>
          <w:b/>
          <w:i/>
        </w:rPr>
        <w:t>På grundlag af denne rapport og under behørig hensyntagen til beskyttelsen af intellektuelle ejendomsrettigheder, tavshedspligt og databeskyttelse forelægger Kommissionen, hvor det er relevant, et lovgivningsforslag for Europa-Parlamentet og for Rådet med henblik på at fjerne sådanne juridiske hindringer i sektorlovgivningen for at fremme udvekslingen af oplysninger mellem myndigheder og med andre enheder senest … [to år fra datoen for denne ændringsforordnings ikrafttræden].</w:t>
      </w:r>
    </w:p>
    <w:p w14:paraId="2164C98D" w14:textId="77777777" w:rsidR="005C2C74" w:rsidRPr="00E649AE" w:rsidRDefault="005C2C74" w:rsidP="005C2C74">
      <w:pPr>
        <w:widowControl/>
        <w:spacing w:before="120" w:after="120"/>
        <w:jc w:val="center"/>
        <w:rPr>
          <w:rFonts w:eastAsia="Calibri"/>
          <w:b/>
          <w:i/>
          <w:szCs w:val="22"/>
          <w:lang w:eastAsia="en-US"/>
        </w:rPr>
      </w:pPr>
    </w:p>
    <w:p w14:paraId="3294E324" w14:textId="77777777" w:rsidR="005C2C74" w:rsidRPr="00E649AE" w:rsidRDefault="005C2C74" w:rsidP="005C2C74">
      <w:pPr>
        <w:widowControl/>
        <w:spacing w:before="120" w:after="120"/>
        <w:jc w:val="center"/>
        <w:rPr>
          <w:rFonts w:eastAsia="Calibri"/>
          <w:b/>
          <w:i/>
          <w:szCs w:val="22"/>
        </w:rPr>
      </w:pPr>
      <w:r w:rsidRPr="00E649AE">
        <w:rPr>
          <w:b/>
          <w:i/>
        </w:rPr>
        <w:t>Artikel 34b</w:t>
      </w:r>
    </w:p>
    <w:p w14:paraId="14DAA968" w14:textId="77777777" w:rsidR="005C2C74" w:rsidRPr="00E649AE" w:rsidRDefault="005C2C74" w:rsidP="005C2C74">
      <w:pPr>
        <w:widowControl/>
        <w:spacing w:before="120" w:after="120"/>
        <w:jc w:val="center"/>
        <w:rPr>
          <w:rFonts w:eastAsia="Calibri"/>
          <w:b/>
          <w:i/>
          <w:szCs w:val="22"/>
        </w:rPr>
      </w:pPr>
      <w:r w:rsidRPr="00E649AE">
        <w:rPr>
          <w:b/>
          <w:i/>
        </w:rPr>
        <w:t>Oprettelse af et fælles integreret indberetningssystem</w:t>
      </w:r>
    </w:p>
    <w:p w14:paraId="23A1BFA4" w14:textId="77777777" w:rsidR="005C2C74" w:rsidRPr="00E649AE" w:rsidRDefault="005C2C74" w:rsidP="00902D9C">
      <w:pPr>
        <w:widowControl/>
        <w:spacing w:before="120" w:after="120"/>
        <w:ind w:left="851" w:hanging="851"/>
        <w:rPr>
          <w:rFonts w:eastAsia="Calibri"/>
          <w:b/>
          <w:i/>
          <w:szCs w:val="22"/>
        </w:rPr>
      </w:pPr>
      <w:r w:rsidRPr="00E649AE">
        <w:rPr>
          <w:b/>
          <w:i/>
        </w:rPr>
        <w:t xml:space="preserve">1. </w:t>
      </w:r>
      <w:r w:rsidRPr="00E649AE">
        <w:rPr>
          <w:b/>
          <w:i/>
        </w:rPr>
        <w:tab/>
        <w:t xml:space="preserve">Senest … [to år fra datoen for denne ændringsforordnings ikrafttræden] udarbejder Afviklingsinstansen i tæt samarbejde med de andre myndigheder en rapport om de tekniske detaljer i oprettelsen af et fælles integreret indberetningssystem samt en køreplan baseret på arbejdet med integration af </w:t>
      </w:r>
      <w:proofErr w:type="spellStart"/>
      <w:r w:rsidRPr="00E649AE">
        <w:rPr>
          <w:b/>
          <w:i/>
        </w:rPr>
        <w:t>ESA'ernes</w:t>
      </w:r>
      <w:proofErr w:type="spellEnd"/>
      <w:r w:rsidRPr="00E649AE">
        <w:rPr>
          <w:b/>
          <w:i/>
        </w:rPr>
        <w:t xml:space="preserve"> indberetning inden for deres sektorer og inkluderer </w:t>
      </w:r>
      <w:proofErr w:type="gramStart"/>
      <w:r w:rsidRPr="00E649AE">
        <w:rPr>
          <w:b/>
          <w:i/>
        </w:rPr>
        <w:t>heri</w:t>
      </w:r>
      <w:proofErr w:type="gramEnd"/>
      <w:r w:rsidRPr="00E649AE">
        <w:rPr>
          <w:b/>
          <w:i/>
        </w:rPr>
        <w:t xml:space="preserve"> en vurdering af omkostninger og fordele. Med henblik på denne rapport skal det fælles integrerede indberetningssystem omfatte:</w:t>
      </w:r>
    </w:p>
    <w:p w14:paraId="0F41CDA6" w14:textId="77777777" w:rsidR="005C2C74" w:rsidRPr="00E649AE" w:rsidRDefault="005C2C74" w:rsidP="00902D9C">
      <w:pPr>
        <w:widowControl/>
        <w:spacing w:before="120" w:after="120"/>
        <w:ind w:left="1418" w:hanging="567"/>
        <w:rPr>
          <w:rFonts w:eastAsia="Calibri"/>
          <w:b/>
          <w:i/>
          <w:szCs w:val="22"/>
        </w:rPr>
      </w:pPr>
      <w:r w:rsidRPr="00E649AE">
        <w:rPr>
          <w:b/>
          <w:i/>
        </w:rPr>
        <w:t xml:space="preserve">a) </w:t>
      </w:r>
      <w:r w:rsidRPr="00E649AE">
        <w:rPr>
          <w:b/>
          <w:i/>
        </w:rPr>
        <w:tab/>
        <w:t>en fælles dataordbog til at sikre konsekvens og klarhed af indberetningskravene og datastandardiseringen</w:t>
      </w:r>
    </w:p>
    <w:p w14:paraId="6A7B0F53" w14:textId="77777777" w:rsidR="005C2C74" w:rsidRPr="00E649AE" w:rsidRDefault="005C2C74" w:rsidP="00902D9C">
      <w:pPr>
        <w:widowControl/>
        <w:spacing w:before="120" w:after="120"/>
        <w:ind w:left="1418" w:hanging="567"/>
        <w:rPr>
          <w:rFonts w:eastAsia="Calibri"/>
          <w:b/>
          <w:i/>
          <w:szCs w:val="22"/>
        </w:rPr>
      </w:pPr>
      <w:r w:rsidRPr="00E649AE">
        <w:rPr>
          <w:b/>
          <w:i/>
        </w:rPr>
        <w:t xml:space="preserve">b) </w:t>
      </w:r>
      <w:r w:rsidRPr="00E649AE">
        <w:rPr>
          <w:b/>
          <w:i/>
        </w:rPr>
        <w:tab/>
        <w:t>et fælles register over indberetnings- og oplysningskrav, beskrivelser af de indsamlede data og af de myndigheder, der opbevarer dem</w:t>
      </w:r>
    </w:p>
    <w:p w14:paraId="0E07E1EF" w14:textId="77777777" w:rsidR="005C2C74" w:rsidRPr="00E649AE" w:rsidRDefault="005C2C74" w:rsidP="00902D9C">
      <w:pPr>
        <w:widowControl/>
        <w:spacing w:before="120" w:after="120"/>
        <w:ind w:left="1418" w:hanging="567"/>
        <w:rPr>
          <w:rFonts w:eastAsia="Calibri"/>
          <w:b/>
          <w:i/>
          <w:szCs w:val="22"/>
        </w:rPr>
      </w:pPr>
      <w:r w:rsidRPr="00E649AE">
        <w:rPr>
          <w:b/>
          <w:i/>
        </w:rPr>
        <w:t xml:space="preserve">c) </w:t>
      </w:r>
      <w:r w:rsidRPr="00E649AE">
        <w:rPr>
          <w:b/>
          <w:i/>
        </w:rPr>
        <w:tab/>
        <w:t>et centralt dataområde, herunder den tekniske udformning til indsamling og udveksling af oplysninger, og</w:t>
      </w:r>
    </w:p>
    <w:p w14:paraId="5F734E30" w14:textId="77777777" w:rsidR="005C2C74" w:rsidRPr="00E649AE" w:rsidRDefault="005C2C74" w:rsidP="00902D9C">
      <w:pPr>
        <w:widowControl/>
        <w:spacing w:before="120" w:after="120"/>
        <w:ind w:left="1418" w:hanging="567"/>
        <w:rPr>
          <w:rFonts w:eastAsia="Calibri"/>
          <w:b/>
          <w:i/>
          <w:szCs w:val="22"/>
        </w:rPr>
      </w:pPr>
      <w:r w:rsidRPr="00E649AE">
        <w:rPr>
          <w:b/>
          <w:i/>
        </w:rPr>
        <w:t xml:space="preserve">d) </w:t>
      </w:r>
      <w:r w:rsidRPr="00E649AE">
        <w:rPr>
          <w:b/>
          <w:i/>
        </w:rPr>
        <w:tab/>
        <w:t>et permanent fælles kontaktpunkt for enheder til at angive tilfælde af dobbeltindberetning og overflødige eller forældede indberetnings- eller oplysningskrav.</w:t>
      </w:r>
    </w:p>
    <w:p w14:paraId="658B6266" w14:textId="77777777" w:rsidR="005C2C74" w:rsidRPr="00E649AE" w:rsidRDefault="005C2C74" w:rsidP="00902D9C">
      <w:pPr>
        <w:widowControl/>
        <w:spacing w:before="120" w:after="120"/>
        <w:ind w:left="1418" w:hanging="1418"/>
        <w:rPr>
          <w:rFonts w:eastAsia="Calibri"/>
          <w:b/>
          <w:i/>
          <w:szCs w:val="22"/>
        </w:rPr>
      </w:pPr>
      <w:r w:rsidRPr="00E649AE">
        <w:rPr>
          <w:b/>
          <w:i/>
        </w:rPr>
        <w:t xml:space="preserve">2. </w:t>
      </w:r>
      <w:r w:rsidRPr="00E649AE">
        <w:rPr>
          <w:b/>
          <w:i/>
        </w:rPr>
        <w:tab/>
        <w:t xml:space="preserve">Rapporten ledsages i tæt samarbejde med Kommissionen af et overslag over de samlede finansielle følger. </w:t>
      </w:r>
    </w:p>
    <w:p w14:paraId="2F4AD087" w14:textId="77777777" w:rsidR="005C2C74" w:rsidRPr="00E649AE" w:rsidRDefault="005C2C74" w:rsidP="00902D9C">
      <w:pPr>
        <w:widowControl/>
        <w:spacing w:before="120" w:after="120"/>
        <w:ind w:left="1418"/>
        <w:rPr>
          <w:rFonts w:eastAsia="Calibri"/>
          <w:b/>
          <w:i/>
          <w:szCs w:val="22"/>
        </w:rPr>
      </w:pPr>
      <w:r w:rsidRPr="00E649AE">
        <w:rPr>
          <w:b/>
          <w:i/>
        </w:rPr>
        <w:t xml:space="preserve">Kommissionen forelægger, hvis det er relevant, Europa-Parlamentet og Rådet et lovgivningsforslag for at sikre de nødvendige finansielle, menneskelige ressourcer og IT-ressourcer til etableringen af det fælles integrerede indberetningssystem senest den … [tre år fra datoen for denne ændringsforordnings ikrafttræden]. </w:t>
      </w:r>
    </w:p>
    <w:p w14:paraId="642E8CFA" w14:textId="3BDFB6E9" w:rsidR="005C2C74" w:rsidRPr="00E649AE" w:rsidRDefault="005C2C74" w:rsidP="00902D9C">
      <w:pPr>
        <w:widowControl/>
        <w:spacing w:before="120" w:after="120"/>
        <w:ind w:left="1418"/>
        <w:rPr>
          <w:rFonts w:eastAsia="Calibri"/>
          <w:b/>
          <w:i/>
          <w:szCs w:val="22"/>
        </w:rPr>
      </w:pPr>
      <w:r w:rsidRPr="00E649AE">
        <w:rPr>
          <w:b/>
          <w:i/>
        </w:rPr>
        <w:t>Afviklingsinstansen opretter sammen med de andre myndigheder det fælles integrerede indberetningssystem senest … [tre år fra datoen for denne ændringsforordnings ikrafttræden]."</w:t>
      </w:r>
    </w:p>
    <w:p w14:paraId="68E34D07" w14:textId="77777777" w:rsidR="005C2C74" w:rsidRPr="00E649AE" w:rsidRDefault="005C2C74" w:rsidP="005C2C74">
      <w:pPr>
        <w:keepNext/>
        <w:widowControl/>
        <w:spacing w:before="360" w:after="120"/>
        <w:jc w:val="center"/>
        <w:rPr>
          <w:rFonts w:eastAsia="Calibri"/>
          <w:b/>
          <w:i/>
          <w:szCs w:val="22"/>
        </w:rPr>
      </w:pPr>
      <w:r w:rsidRPr="00E649AE">
        <w:rPr>
          <w:b/>
          <w:i/>
        </w:rPr>
        <w:t>Artikel 4b</w:t>
      </w:r>
    </w:p>
    <w:p w14:paraId="730EE932" w14:textId="77777777" w:rsidR="005C2C74" w:rsidRPr="00E649AE" w:rsidRDefault="005C2C74" w:rsidP="005C2C74">
      <w:pPr>
        <w:widowControl/>
        <w:spacing w:before="120" w:after="120"/>
        <w:jc w:val="center"/>
        <w:rPr>
          <w:rFonts w:eastAsia="Calibri"/>
          <w:b/>
          <w:bCs/>
          <w:i/>
          <w:szCs w:val="22"/>
        </w:rPr>
      </w:pPr>
      <w:r w:rsidRPr="00E649AE">
        <w:rPr>
          <w:b/>
          <w:i/>
        </w:rPr>
        <w:t>Ændringer af forordning (EU</w:t>
      </w:r>
      <w:proofErr w:type="gramStart"/>
      <w:r w:rsidRPr="00E649AE">
        <w:rPr>
          <w:b/>
          <w:i/>
        </w:rPr>
        <w:t>) …/</w:t>
      </w:r>
      <w:proofErr w:type="gramEnd"/>
      <w:r w:rsidRPr="00E649AE">
        <w:rPr>
          <w:b/>
          <w:i/>
        </w:rPr>
        <w:t xml:space="preserve"> … om oprettelse af en Myndighed for Bekæmpelse af Hvidvask af Penge</w:t>
      </w:r>
    </w:p>
    <w:p w14:paraId="1E151356" w14:textId="77ABE995" w:rsidR="005C2C74" w:rsidRPr="00E649AE" w:rsidRDefault="005C2C74" w:rsidP="00902D9C">
      <w:pPr>
        <w:widowControl/>
        <w:spacing w:before="120" w:after="120"/>
        <w:rPr>
          <w:rFonts w:eastAsia="Calibri"/>
          <w:b/>
          <w:i/>
          <w:szCs w:val="22"/>
        </w:rPr>
      </w:pPr>
      <w:r w:rsidRPr="00E649AE">
        <w:rPr>
          <w:b/>
          <w:i/>
        </w:rPr>
        <w:t>I forordning (EU) .../...</w:t>
      </w:r>
      <w:r w:rsidR="006567A0">
        <w:rPr>
          <w:rStyle w:val="FootnoteReference"/>
          <w:b/>
          <w:i/>
        </w:rPr>
        <w:footnoteReference w:customMarkFollows="1" w:id="23"/>
        <w:t>+</w:t>
      </w:r>
      <w:r w:rsidRPr="00E649AE">
        <w:rPr>
          <w:b/>
          <w:i/>
        </w:rPr>
        <w:t xml:space="preserve"> foretages følgende ændringer:</w:t>
      </w:r>
    </w:p>
    <w:p w14:paraId="29937A93" w14:textId="77777777" w:rsidR="005C2C74" w:rsidRPr="00E649AE" w:rsidRDefault="005C2C74" w:rsidP="00902D9C">
      <w:pPr>
        <w:widowControl/>
        <w:spacing w:before="120" w:after="120"/>
        <w:ind w:left="850" w:hanging="850"/>
        <w:rPr>
          <w:rFonts w:eastAsia="Calibri"/>
          <w:b/>
          <w:i/>
          <w:szCs w:val="22"/>
        </w:rPr>
      </w:pPr>
      <w:r w:rsidRPr="00E649AE">
        <w:rPr>
          <w:b/>
          <w:i/>
        </w:rPr>
        <w:t xml:space="preserve">1. </w:t>
      </w:r>
      <w:r w:rsidRPr="00E649AE">
        <w:rPr>
          <w:b/>
          <w:i/>
        </w:rPr>
        <w:tab/>
        <w:t>I artikel 10, stk. 2, tilføjes som litra d):</w:t>
      </w:r>
    </w:p>
    <w:p w14:paraId="19D212F3" w14:textId="77777777" w:rsidR="005C2C74" w:rsidRPr="00E649AE" w:rsidRDefault="005C2C74" w:rsidP="00902D9C">
      <w:pPr>
        <w:widowControl/>
        <w:spacing w:before="120" w:after="120"/>
        <w:ind w:left="851"/>
        <w:rPr>
          <w:rFonts w:eastAsia="Calibri"/>
          <w:b/>
          <w:i/>
          <w:szCs w:val="22"/>
        </w:rPr>
      </w:pPr>
      <w:r w:rsidRPr="00E649AE">
        <w:rPr>
          <w:b/>
          <w:i/>
        </w:rPr>
        <w:t xml:space="preserve">"d) </w:t>
      </w:r>
      <w:r w:rsidRPr="00E649AE">
        <w:rPr>
          <w:b/>
          <w:i/>
        </w:rPr>
        <w:tab/>
        <w:t xml:space="preserve">at vurdere anvendelsen af de relevante reguleringsmæssige og gennemførelsesmæssige tekniske standarder, der vedtages af Kommissionen, og af retningslinjer og henstillinger udstedt af myndigheden og eventuelt foreslå </w:t>
      </w:r>
      <w:r w:rsidRPr="00E649AE">
        <w:rPr>
          <w:b/>
          <w:i/>
        </w:rPr>
        <w:lastRenderedPageBreak/>
        <w:t>ændringer hertil, samtidig med at anvendeligheden og kvaliteten af dataene bevares, med henblik på at:</w:t>
      </w:r>
    </w:p>
    <w:p w14:paraId="2B2DBAF0" w14:textId="77777777" w:rsidR="005C2C74" w:rsidRPr="00E649AE" w:rsidRDefault="005C2C74" w:rsidP="00902D9C">
      <w:pPr>
        <w:widowControl/>
        <w:spacing w:before="120" w:after="120"/>
        <w:ind w:left="720"/>
        <w:rPr>
          <w:rFonts w:eastAsia="Calibri"/>
          <w:b/>
          <w:i/>
          <w:szCs w:val="22"/>
        </w:rPr>
      </w:pPr>
      <w:r w:rsidRPr="00E649AE">
        <w:rPr>
          <w:b/>
          <w:i/>
        </w:rPr>
        <w:t>- fjerne overflødige eller forældede indberetnings- og oplysningskrav</w:t>
      </w:r>
    </w:p>
    <w:p w14:paraId="146947AE" w14:textId="77777777" w:rsidR="005C2C74" w:rsidRPr="00E649AE" w:rsidRDefault="005C2C74" w:rsidP="00902D9C">
      <w:pPr>
        <w:widowControl/>
        <w:spacing w:before="120" w:after="120"/>
        <w:ind w:left="720"/>
        <w:rPr>
          <w:rFonts w:eastAsia="Calibri"/>
          <w:b/>
          <w:i/>
          <w:szCs w:val="22"/>
        </w:rPr>
      </w:pPr>
      <w:r w:rsidRPr="00E649AE">
        <w:rPr>
          <w:b/>
          <w:i/>
        </w:rPr>
        <w:t>- sikre proportionale og standardiserede indberetnings- og oplysningskrav</w:t>
      </w:r>
    </w:p>
    <w:p w14:paraId="25EFA46C" w14:textId="77777777" w:rsidR="005C2C74" w:rsidRPr="00E649AE" w:rsidRDefault="005C2C74" w:rsidP="00902D9C">
      <w:pPr>
        <w:widowControl/>
        <w:spacing w:before="120" w:after="120"/>
        <w:ind w:firstLine="720"/>
        <w:rPr>
          <w:rFonts w:eastAsia="Calibri"/>
          <w:b/>
          <w:i/>
          <w:szCs w:val="22"/>
        </w:rPr>
      </w:pPr>
      <w:r w:rsidRPr="00E649AE">
        <w:rPr>
          <w:b/>
          <w:i/>
        </w:rPr>
        <w:t>- minimere omkostningerne</w:t>
      </w:r>
    </w:p>
    <w:p w14:paraId="75837E46" w14:textId="77777777" w:rsidR="005C2C74" w:rsidRPr="00E649AE" w:rsidRDefault="005C2C74" w:rsidP="00902D9C">
      <w:pPr>
        <w:widowControl/>
        <w:spacing w:before="120" w:after="120"/>
        <w:ind w:firstLine="720"/>
        <w:rPr>
          <w:rFonts w:eastAsia="Calibri"/>
          <w:b/>
          <w:i/>
          <w:szCs w:val="22"/>
        </w:rPr>
      </w:pPr>
      <w:r w:rsidRPr="00E649AE">
        <w:rPr>
          <w:b/>
          <w:i/>
        </w:rPr>
        <w:t xml:space="preserve">- afhjælpe lovgivningsmæssige huller." </w:t>
      </w:r>
    </w:p>
    <w:p w14:paraId="509048BA" w14:textId="77777777" w:rsidR="005C2C74" w:rsidRPr="00E649AE" w:rsidRDefault="005C2C74" w:rsidP="00902D9C">
      <w:pPr>
        <w:widowControl/>
        <w:spacing w:before="120" w:after="120"/>
        <w:ind w:left="850" w:hanging="850"/>
        <w:rPr>
          <w:rFonts w:eastAsia="Calibri"/>
          <w:b/>
          <w:i/>
          <w:szCs w:val="22"/>
        </w:rPr>
      </w:pPr>
      <w:r w:rsidRPr="00E649AE">
        <w:rPr>
          <w:b/>
          <w:i/>
        </w:rPr>
        <w:t xml:space="preserve">2. </w:t>
      </w:r>
      <w:r w:rsidRPr="00E649AE">
        <w:rPr>
          <w:b/>
          <w:i/>
        </w:rPr>
        <w:tab/>
        <w:t>I artikel 16 tilføjes følgende stykke:</w:t>
      </w:r>
    </w:p>
    <w:p w14:paraId="4A42E6CE" w14:textId="77777777" w:rsidR="005C2C74" w:rsidRPr="00E649AE" w:rsidRDefault="005C2C74" w:rsidP="00902D9C">
      <w:pPr>
        <w:widowControl/>
        <w:spacing w:before="120" w:after="120"/>
        <w:ind w:left="851"/>
        <w:rPr>
          <w:rFonts w:eastAsia="Calibri"/>
          <w:b/>
          <w:i/>
          <w:szCs w:val="22"/>
        </w:rPr>
      </w:pPr>
      <w:r w:rsidRPr="00E649AE">
        <w:rPr>
          <w:b/>
          <w:i/>
        </w:rPr>
        <w:t xml:space="preserve">"3a. </w:t>
      </w:r>
      <w:r w:rsidRPr="00E649AE">
        <w:rPr>
          <w:b/>
          <w:i/>
        </w:rPr>
        <w:tab/>
        <w:t>Før myndigheden anmoder om oplysninger i henhold til denne artikel og for at sikre, at der ikke er nogen overlapning af indberetnings- og oplysningsforpligtelserne, skal den tage hensyn til oplysninger indsamlet af de andre myndigheder som omhandlet i artikel 16a, stk. 3, og alle relevante eksisterende statistikker, der udarbejdes og formidles af Det Europæiske Statistiske System og Det Europæiske System af Centralbanker."</w:t>
      </w:r>
    </w:p>
    <w:p w14:paraId="42E6D571" w14:textId="77777777" w:rsidR="005C2C74" w:rsidRPr="00E649AE" w:rsidRDefault="005C2C74" w:rsidP="00902D9C">
      <w:pPr>
        <w:widowControl/>
        <w:spacing w:before="120" w:after="120"/>
        <w:ind w:left="850" w:hanging="850"/>
        <w:rPr>
          <w:rFonts w:eastAsia="Calibri"/>
          <w:b/>
          <w:i/>
          <w:szCs w:val="22"/>
        </w:rPr>
      </w:pPr>
      <w:r w:rsidRPr="00E649AE">
        <w:rPr>
          <w:b/>
          <w:i/>
        </w:rPr>
        <w:t xml:space="preserve">3. </w:t>
      </w:r>
      <w:r w:rsidRPr="00E649AE">
        <w:rPr>
          <w:b/>
          <w:i/>
        </w:rPr>
        <w:tab/>
        <w:t>Følgende artikel indsættes:</w:t>
      </w:r>
    </w:p>
    <w:p w14:paraId="2C973940" w14:textId="77777777" w:rsidR="005C2C74" w:rsidRPr="00E649AE" w:rsidRDefault="005C2C74" w:rsidP="005C2C74">
      <w:pPr>
        <w:widowControl/>
        <w:spacing w:before="120" w:after="120"/>
        <w:jc w:val="center"/>
        <w:rPr>
          <w:rFonts w:eastAsia="Calibri"/>
          <w:b/>
          <w:i/>
          <w:szCs w:val="22"/>
        </w:rPr>
      </w:pPr>
      <w:r w:rsidRPr="00E649AE">
        <w:rPr>
          <w:b/>
          <w:i/>
        </w:rPr>
        <w:t>"Artikel 16a</w:t>
      </w:r>
    </w:p>
    <w:p w14:paraId="407C26FD" w14:textId="77777777" w:rsidR="005C2C74" w:rsidRPr="00E649AE" w:rsidRDefault="005C2C74" w:rsidP="005C2C74">
      <w:pPr>
        <w:widowControl/>
        <w:spacing w:before="120" w:after="120"/>
        <w:jc w:val="center"/>
        <w:rPr>
          <w:rFonts w:eastAsia="Calibri"/>
          <w:b/>
          <w:bCs/>
          <w:i/>
          <w:szCs w:val="22"/>
        </w:rPr>
      </w:pPr>
      <w:r w:rsidRPr="00E649AE">
        <w:rPr>
          <w:b/>
          <w:i/>
        </w:rPr>
        <w:t>Udveksling af oplysninger mellem myndigheder og med andre enheder</w:t>
      </w:r>
    </w:p>
    <w:p w14:paraId="75F09079" w14:textId="77777777" w:rsidR="005C2C74" w:rsidRPr="00E649AE" w:rsidRDefault="005C2C74" w:rsidP="00902D9C">
      <w:pPr>
        <w:widowControl/>
        <w:spacing w:before="120" w:after="120"/>
        <w:ind w:left="851" w:hanging="851"/>
        <w:rPr>
          <w:rFonts w:eastAsia="Calibri"/>
          <w:b/>
          <w:i/>
          <w:szCs w:val="22"/>
        </w:rPr>
      </w:pPr>
      <w:r w:rsidRPr="00E649AE">
        <w:rPr>
          <w:b/>
          <w:i/>
        </w:rPr>
        <w:t xml:space="preserve">1. </w:t>
      </w:r>
      <w:r w:rsidRPr="00E649AE">
        <w:rPr>
          <w:b/>
          <w:i/>
        </w:rPr>
        <w:tab/>
        <w:t>Myndigheden og tilsynsmyndighederne udveksler, fra sag til sag eller regelmæssigt, med de andre myndigheder de oplysninger, som er indhentet fra forpligtede enheder eller andre kompetente myndigheder, når den anmodende myndighed har ret til at indhente disse oplysninger i henhold til deres mission, målsætninger, opgaver og beføjelser eller i overensstemmelse med relevant EU-ret.</w:t>
      </w:r>
    </w:p>
    <w:p w14:paraId="28E3669F" w14:textId="77777777" w:rsidR="005C2C74" w:rsidRPr="00E649AE" w:rsidRDefault="005C2C74" w:rsidP="00902D9C">
      <w:pPr>
        <w:widowControl/>
        <w:spacing w:before="120" w:after="120"/>
        <w:ind w:left="851"/>
        <w:rPr>
          <w:rFonts w:eastAsia="Calibri"/>
          <w:b/>
          <w:i/>
          <w:szCs w:val="22"/>
        </w:rPr>
      </w:pPr>
      <w:r w:rsidRPr="00E649AE">
        <w:rPr>
          <w:b/>
          <w:i/>
        </w:rPr>
        <w:t>Med henblik på at udveksle de oplysninger, der er omhandlet i dette stykkes første afsnit, anvender myndigheden eller tilsynsmyndigheden det i artikel 16b omhandlede fælles integrerede indberetningssystem, når det er oprettet.</w:t>
      </w:r>
    </w:p>
    <w:p w14:paraId="36E4B48F" w14:textId="77777777" w:rsidR="005C2C74" w:rsidRPr="00E649AE" w:rsidRDefault="005C2C74" w:rsidP="00902D9C">
      <w:pPr>
        <w:widowControl/>
        <w:spacing w:before="120" w:after="120"/>
        <w:ind w:left="851" w:hanging="851"/>
        <w:rPr>
          <w:rFonts w:eastAsia="Calibri"/>
          <w:b/>
          <w:i/>
          <w:szCs w:val="22"/>
        </w:rPr>
      </w:pPr>
      <w:r w:rsidRPr="00E649AE">
        <w:rPr>
          <w:b/>
          <w:i/>
        </w:rPr>
        <w:t xml:space="preserve">2. </w:t>
      </w:r>
      <w:r w:rsidRPr="00E649AE">
        <w:rPr>
          <w:b/>
          <w:i/>
        </w:rPr>
        <w:tab/>
        <w:t>Myndigheden og tilsynsmyndighederne skal hver især anmode de andre myndigheder om oplysninger, som de ellers ville anmode om fra forpligtede enheder eller andre kompetente myndigheder, hvis begge følgende betingelser er opfyldt:</w:t>
      </w:r>
    </w:p>
    <w:p w14:paraId="7EEFA0C5" w14:textId="77777777" w:rsidR="005C2C74" w:rsidRPr="00E649AE" w:rsidRDefault="005C2C74" w:rsidP="00902D9C">
      <w:pPr>
        <w:widowControl/>
        <w:spacing w:before="120" w:after="120"/>
        <w:ind w:left="851"/>
        <w:rPr>
          <w:rFonts w:eastAsia="Calibri"/>
          <w:b/>
          <w:i/>
          <w:szCs w:val="22"/>
        </w:rPr>
      </w:pPr>
      <w:r w:rsidRPr="00E649AE">
        <w:rPr>
          <w:b/>
          <w:i/>
        </w:rPr>
        <w:t xml:space="preserve">a) </w:t>
      </w:r>
      <w:r w:rsidRPr="00E649AE">
        <w:rPr>
          <w:b/>
          <w:i/>
        </w:rPr>
        <w:tab/>
        <w:t>De har ret til at indhente disse oplysninger i henhold til deres mission, deres målsætninger, opgaver og beføjelser eller i overensstemmelse med relevant EU-ret.</w:t>
      </w:r>
    </w:p>
    <w:p w14:paraId="49F7A911" w14:textId="77777777" w:rsidR="005C2C74" w:rsidRPr="00E649AE" w:rsidRDefault="005C2C74" w:rsidP="00902D9C">
      <w:pPr>
        <w:widowControl/>
        <w:spacing w:before="120" w:after="120"/>
        <w:ind w:left="851"/>
        <w:rPr>
          <w:rFonts w:eastAsia="Calibri"/>
          <w:b/>
          <w:i/>
          <w:szCs w:val="22"/>
        </w:rPr>
      </w:pPr>
      <w:r w:rsidRPr="00E649AE">
        <w:rPr>
          <w:b/>
          <w:i/>
        </w:rPr>
        <w:t xml:space="preserve">b) </w:t>
      </w:r>
      <w:r w:rsidRPr="00E649AE">
        <w:rPr>
          <w:b/>
          <w:i/>
        </w:rPr>
        <w:tab/>
        <w:t>Disse oplysningerne er indhentet af mindst en af de andre myndigheder.</w:t>
      </w:r>
    </w:p>
    <w:p w14:paraId="3D1DC2A0" w14:textId="77777777" w:rsidR="005C2C74" w:rsidRPr="00E649AE" w:rsidRDefault="005C2C74" w:rsidP="00902D9C">
      <w:pPr>
        <w:widowControl/>
        <w:spacing w:before="120" w:after="120"/>
        <w:ind w:left="851"/>
        <w:rPr>
          <w:rFonts w:eastAsia="Calibri"/>
          <w:b/>
          <w:i/>
          <w:szCs w:val="22"/>
        </w:rPr>
      </w:pPr>
      <w:r w:rsidRPr="00E649AE">
        <w:rPr>
          <w:b/>
          <w:i/>
        </w:rPr>
        <w:t>Første afsnit berører ikke myndighedens og de kompetente myndigheders mulighed for at indhente disse oplysninger fra finansielle institutioner eller andre kompetente myndigheder, hvis den anden myndighed af operationelle årsager ikke er i stand til at dele dataene.</w:t>
      </w:r>
    </w:p>
    <w:p w14:paraId="39C0389C" w14:textId="77777777" w:rsidR="005C2C74" w:rsidRPr="00E649AE" w:rsidRDefault="005C2C74" w:rsidP="00902D9C">
      <w:pPr>
        <w:widowControl/>
        <w:spacing w:before="120" w:after="120"/>
        <w:ind w:left="851"/>
        <w:rPr>
          <w:rFonts w:eastAsia="Calibri"/>
          <w:b/>
          <w:i/>
          <w:szCs w:val="22"/>
        </w:rPr>
      </w:pPr>
      <w:r w:rsidRPr="00E649AE">
        <w:rPr>
          <w:b/>
          <w:i/>
        </w:rPr>
        <w:t>Med henblik på at afgøre, om betingelsen i første afsnit, litra b), er opfyldt, anvender myndigheden og tilsynsmyndighederne det i artikel 16b omhandlede fælles integrerede indberetningssystem, når det er oprettet.</w:t>
      </w:r>
    </w:p>
    <w:p w14:paraId="1E489343" w14:textId="77777777" w:rsidR="005C2C74" w:rsidRPr="00E649AE" w:rsidRDefault="005C2C74" w:rsidP="00902D9C">
      <w:pPr>
        <w:widowControl/>
        <w:spacing w:before="120" w:after="120"/>
        <w:ind w:left="851" w:hanging="851"/>
        <w:rPr>
          <w:rFonts w:eastAsia="Calibri"/>
          <w:b/>
          <w:i/>
          <w:szCs w:val="22"/>
        </w:rPr>
      </w:pPr>
      <w:r w:rsidRPr="00E649AE">
        <w:rPr>
          <w:b/>
          <w:i/>
        </w:rPr>
        <w:t xml:space="preserve">3. </w:t>
      </w:r>
      <w:r w:rsidRPr="00E649AE">
        <w:rPr>
          <w:b/>
          <w:i/>
        </w:rPr>
        <w:tab/>
        <w:t>I denne artikel og artikel 16, stk. 3a, og artikel 16b forstås ved "andre myndigheder" en af følgende myndigheder:</w:t>
      </w:r>
    </w:p>
    <w:p w14:paraId="61463BF7" w14:textId="77777777" w:rsidR="005C2C74" w:rsidRPr="00E649AE" w:rsidRDefault="005C2C74" w:rsidP="00902D9C">
      <w:pPr>
        <w:widowControl/>
        <w:spacing w:before="120" w:after="120"/>
        <w:ind w:left="1418" w:hanging="567"/>
        <w:rPr>
          <w:rFonts w:eastAsia="Calibri"/>
          <w:b/>
          <w:i/>
          <w:szCs w:val="22"/>
        </w:rPr>
      </w:pPr>
      <w:r w:rsidRPr="00E649AE">
        <w:rPr>
          <w:b/>
          <w:i/>
        </w:rPr>
        <w:t xml:space="preserve">a) </w:t>
      </w:r>
      <w:r w:rsidRPr="00E649AE">
        <w:rPr>
          <w:b/>
          <w:i/>
        </w:rPr>
        <w:tab/>
        <w:t>de europæiske tilsynsmyndigheder</w:t>
      </w:r>
    </w:p>
    <w:p w14:paraId="5E776FA2" w14:textId="77777777" w:rsidR="005C2C74" w:rsidRPr="00E649AE" w:rsidRDefault="005C2C74" w:rsidP="00902D9C">
      <w:pPr>
        <w:widowControl/>
        <w:spacing w:before="120" w:after="120"/>
        <w:ind w:left="1418" w:hanging="567"/>
        <w:rPr>
          <w:rFonts w:eastAsia="Calibri"/>
          <w:b/>
          <w:i/>
          <w:szCs w:val="22"/>
        </w:rPr>
      </w:pPr>
      <w:r w:rsidRPr="00E649AE">
        <w:rPr>
          <w:b/>
          <w:i/>
        </w:rPr>
        <w:t xml:space="preserve">b) </w:t>
      </w:r>
      <w:r w:rsidRPr="00E649AE">
        <w:rPr>
          <w:b/>
          <w:i/>
        </w:rPr>
        <w:tab/>
        <w:t>ESRB</w:t>
      </w:r>
    </w:p>
    <w:p w14:paraId="27029230" w14:textId="77777777" w:rsidR="005C2C74" w:rsidRPr="00E649AE" w:rsidRDefault="005C2C74" w:rsidP="00902D9C">
      <w:pPr>
        <w:widowControl/>
        <w:spacing w:before="120" w:after="120"/>
        <w:ind w:left="1418" w:hanging="567"/>
        <w:rPr>
          <w:rFonts w:eastAsia="Calibri"/>
          <w:b/>
          <w:i/>
          <w:szCs w:val="22"/>
        </w:rPr>
      </w:pPr>
      <w:r w:rsidRPr="00E649AE">
        <w:rPr>
          <w:b/>
          <w:i/>
        </w:rPr>
        <w:lastRenderedPageBreak/>
        <w:t xml:space="preserve">c) </w:t>
      </w:r>
      <w:r w:rsidRPr="00E649AE">
        <w:rPr>
          <w:b/>
          <w:i/>
        </w:rPr>
        <w:tab/>
        <w:t>kompetente myndigheder som defineret i artikel 4, nr. 2), i forordning (EU) nr. 1093/2010</w:t>
      </w:r>
    </w:p>
    <w:p w14:paraId="28AF0A57" w14:textId="77777777" w:rsidR="005C2C74" w:rsidRPr="00E649AE" w:rsidRDefault="005C2C74" w:rsidP="00902D9C">
      <w:pPr>
        <w:widowControl/>
        <w:spacing w:before="120" w:after="120"/>
        <w:ind w:left="1418" w:hanging="567"/>
        <w:rPr>
          <w:rFonts w:eastAsia="Calibri"/>
          <w:b/>
          <w:i/>
          <w:szCs w:val="22"/>
        </w:rPr>
      </w:pPr>
      <w:r w:rsidRPr="00E649AE">
        <w:rPr>
          <w:b/>
          <w:i/>
        </w:rPr>
        <w:t xml:space="preserve">d) </w:t>
      </w:r>
      <w:r w:rsidRPr="00E649AE">
        <w:rPr>
          <w:b/>
          <w:i/>
        </w:rPr>
        <w:tab/>
        <w:t>kompetente myndigheder som defineret i artikel 4, nr. 2), i forordning (EU) nr. 1094/2010</w:t>
      </w:r>
    </w:p>
    <w:p w14:paraId="5E2C6958" w14:textId="77777777" w:rsidR="005C2C74" w:rsidRPr="00E649AE" w:rsidRDefault="005C2C74" w:rsidP="00902D9C">
      <w:pPr>
        <w:widowControl/>
        <w:spacing w:before="120" w:after="120"/>
        <w:ind w:left="1418" w:hanging="567"/>
        <w:rPr>
          <w:rFonts w:eastAsia="Calibri"/>
          <w:b/>
          <w:i/>
          <w:szCs w:val="22"/>
        </w:rPr>
      </w:pPr>
      <w:r w:rsidRPr="00E649AE">
        <w:rPr>
          <w:b/>
          <w:i/>
        </w:rPr>
        <w:t xml:space="preserve">e) </w:t>
      </w:r>
      <w:r w:rsidRPr="00E649AE">
        <w:rPr>
          <w:b/>
          <w:i/>
        </w:rPr>
        <w:tab/>
        <w:t>kompetente myndigheder som defineret i artikel 4, nr. 3), i forordning (EU) nr. 1095/2010</w:t>
      </w:r>
    </w:p>
    <w:p w14:paraId="68D24895" w14:textId="1F0518B3" w:rsidR="005C2C74" w:rsidRPr="00E649AE" w:rsidRDefault="005C2C74" w:rsidP="00902D9C">
      <w:pPr>
        <w:widowControl/>
        <w:spacing w:before="120" w:after="120"/>
        <w:ind w:left="1418" w:hanging="567"/>
        <w:rPr>
          <w:rFonts w:eastAsia="Calibri"/>
          <w:b/>
          <w:i/>
          <w:szCs w:val="22"/>
        </w:rPr>
      </w:pPr>
      <w:r w:rsidRPr="00E649AE">
        <w:rPr>
          <w:b/>
          <w:i/>
        </w:rPr>
        <w:t>f)</w:t>
      </w:r>
      <w:r w:rsidRPr="00E649AE">
        <w:rPr>
          <w:b/>
          <w:i/>
        </w:rPr>
        <w:tab/>
        <w:t xml:space="preserve"> myndigheder som defineret i artikel 2, nr. 1), i Europa-Parlamentets og Rådets direktiv (EU) …/…</w:t>
      </w:r>
      <w:r w:rsidR="00EE35CB">
        <w:rPr>
          <w:rStyle w:val="FootnoteReference"/>
          <w:rFonts w:eastAsia="Calibri"/>
          <w:b/>
          <w:i/>
          <w:szCs w:val="22"/>
        </w:rPr>
        <w:footnoteReference w:customMarkFollows="1" w:id="24"/>
        <w:t>+</w:t>
      </w:r>
    </w:p>
    <w:p w14:paraId="66376062" w14:textId="77777777" w:rsidR="005C2C74" w:rsidRPr="00E649AE" w:rsidRDefault="005C2C74" w:rsidP="00902D9C">
      <w:pPr>
        <w:widowControl/>
        <w:spacing w:before="120" w:after="120"/>
        <w:ind w:left="1418" w:hanging="567"/>
        <w:rPr>
          <w:rFonts w:eastAsia="Calibri"/>
          <w:b/>
          <w:i/>
          <w:szCs w:val="22"/>
        </w:rPr>
      </w:pPr>
      <w:r w:rsidRPr="00E649AE">
        <w:rPr>
          <w:b/>
          <w:i/>
        </w:rPr>
        <w:t xml:space="preserve">g) </w:t>
      </w:r>
      <w:r w:rsidRPr="00E649AE">
        <w:rPr>
          <w:b/>
          <w:i/>
        </w:rPr>
        <w:tab/>
        <w:t>nationale kompetente myndigheder som defineret i artikel 2, nr. 2), i forordning (EU) nr. 575/2013</w:t>
      </w:r>
    </w:p>
    <w:p w14:paraId="75796AC9" w14:textId="77777777" w:rsidR="005C2C74" w:rsidRPr="00E649AE" w:rsidRDefault="005C2C74" w:rsidP="00902D9C">
      <w:pPr>
        <w:widowControl/>
        <w:spacing w:before="120" w:after="120"/>
        <w:ind w:left="1418" w:hanging="567"/>
        <w:rPr>
          <w:rFonts w:eastAsia="Calibri"/>
          <w:b/>
          <w:i/>
          <w:szCs w:val="22"/>
        </w:rPr>
      </w:pPr>
      <w:r w:rsidRPr="00E649AE">
        <w:rPr>
          <w:b/>
          <w:i/>
        </w:rPr>
        <w:t xml:space="preserve">h) </w:t>
      </w:r>
      <w:r w:rsidRPr="00E649AE">
        <w:rPr>
          <w:b/>
          <w:i/>
        </w:rPr>
        <w:tab/>
        <w:t>SRB</w:t>
      </w:r>
    </w:p>
    <w:p w14:paraId="4E02A365" w14:textId="77777777" w:rsidR="005C2C74" w:rsidRPr="00E649AE" w:rsidRDefault="005C2C74" w:rsidP="00902D9C">
      <w:pPr>
        <w:widowControl/>
        <w:spacing w:before="120" w:after="120"/>
        <w:ind w:left="1418" w:hanging="567"/>
        <w:rPr>
          <w:rFonts w:eastAsia="Calibri"/>
          <w:b/>
          <w:i/>
          <w:szCs w:val="22"/>
        </w:rPr>
      </w:pPr>
      <w:r w:rsidRPr="00E649AE">
        <w:rPr>
          <w:b/>
          <w:i/>
        </w:rPr>
        <w:t xml:space="preserve">i) </w:t>
      </w:r>
      <w:r w:rsidRPr="00E649AE">
        <w:rPr>
          <w:b/>
          <w:i/>
        </w:rPr>
        <w:tab/>
        <w:t>nationale afviklingsmyndigheder som defineret i artikel 3, nr. 3), i forordning (EU) nr. 806/2014.</w:t>
      </w:r>
    </w:p>
    <w:p w14:paraId="564335A1" w14:textId="77777777" w:rsidR="005C2C74" w:rsidRPr="00E649AE" w:rsidRDefault="005C2C74" w:rsidP="00902D9C">
      <w:pPr>
        <w:widowControl/>
        <w:spacing w:before="120" w:after="120"/>
        <w:ind w:left="1418" w:hanging="567"/>
        <w:rPr>
          <w:rFonts w:eastAsia="Calibri"/>
          <w:b/>
          <w:i/>
          <w:szCs w:val="22"/>
        </w:rPr>
      </w:pPr>
      <w:r w:rsidRPr="00E649AE">
        <w:rPr>
          <w:b/>
          <w:i/>
        </w:rPr>
        <w:t xml:space="preserve">j) </w:t>
      </w:r>
      <w:r w:rsidRPr="00E649AE">
        <w:rPr>
          <w:b/>
          <w:i/>
        </w:rPr>
        <w:tab/>
        <w:t>SSM som defineret i artikel 2, nr. 9), i forordning (EU) nr. 1024/2013</w:t>
      </w:r>
    </w:p>
    <w:p w14:paraId="6B6D3674" w14:textId="77777777" w:rsidR="005C2C74" w:rsidRPr="00E649AE" w:rsidRDefault="005C2C74" w:rsidP="00902D9C">
      <w:pPr>
        <w:widowControl/>
        <w:spacing w:before="120" w:after="120"/>
        <w:ind w:left="851"/>
        <w:rPr>
          <w:rFonts w:eastAsia="Calibri"/>
          <w:b/>
          <w:i/>
          <w:szCs w:val="22"/>
        </w:rPr>
      </w:pPr>
      <w:r w:rsidRPr="00E649AE">
        <w:rPr>
          <w:b/>
          <w:i/>
        </w:rPr>
        <w:t>I denne artikel forstås ved "finansiel institution" en "finansiel institution" som defineret i artikel 2, litra a), i forordning (EU) nr. 1092/2010.</w:t>
      </w:r>
    </w:p>
    <w:p w14:paraId="57CEFF98" w14:textId="77777777" w:rsidR="005C2C74" w:rsidRPr="00E649AE" w:rsidRDefault="005C2C74" w:rsidP="00902D9C">
      <w:pPr>
        <w:widowControl/>
        <w:spacing w:before="120" w:after="120"/>
        <w:ind w:left="851" w:hanging="851"/>
        <w:rPr>
          <w:rFonts w:eastAsia="Calibri"/>
          <w:b/>
          <w:i/>
          <w:szCs w:val="22"/>
        </w:rPr>
      </w:pPr>
      <w:r w:rsidRPr="00E649AE">
        <w:rPr>
          <w:b/>
          <w:i/>
        </w:rPr>
        <w:t xml:space="preserve">4. </w:t>
      </w:r>
      <w:r w:rsidRPr="00E649AE">
        <w:rPr>
          <w:b/>
          <w:i/>
        </w:rPr>
        <w:tab/>
        <w:t>Anmodningen om udveksling af oplysninger skal indeholde en behørig angivelse af, hvilket retsgrundlag i henhold til EU-retten der gør det muligt for den anmodende myndighed at indhente oplysningerne fra forpligtede enheder eller andre kompetente myndigheder. Den anmodende myndighed og den udvekslende myndighed er underlagt bestemmelserne om tavshedspligt og databeskyttelse som fastsat i artikel 75 og 84 og i sektorspecifik lovgivning, der finder anvendelse på udvekslingen af data mellem den forpligtede enhed og den anmodende myndighed samt på udvekslingen af data mellem den forpligtede enhed og den udvekslende myndighed. Den udvekslende myndighed underretter uden unødigt ophold den enkelte relevante forpligtede enhed om en sådan udveksling af oplysninger, med mindre oplysningerne er blevet anonymiseret, ændret, sammenfattet eller behandlet ved hjælp af nogen anden metode til kontrol med fortrolighed i forbindelse med videregivelse af oplysninger.</w:t>
      </w:r>
    </w:p>
    <w:p w14:paraId="3B304302" w14:textId="77777777" w:rsidR="005C2C74" w:rsidRPr="00E649AE" w:rsidRDefault="005C2C74" w:rsidP="00902D9C">
      <w:pPr>
        <w:widowControl/>
        <w:spacing w:before="120" w:after="120"/>
        <w:ind w:left="851" w:hanging="851"/>
        <w:rPr>
          <w:rFonts w:eastAsia="Calibri"/>
          <w:b/>
          <w:i/>
          <w:szCs w:val="22"/>
        </w:rPr>
      </w:pPr>
      <w:r w:rsidRPr="00E649AE">
        <w:rPr>
          <w:b/>
          <w:i/>
        </w:rPr>
        <w:t xml:space="preserve">5. </w:t>
      </w:r>
      <w:r w:rsidRPr="00E649AE">
        <w:rPr>
          <w:b/>
          <w:i/>
        </w:rPr>
        <w:tab/>
        <w:t>Stk. 1, 2 og 4 finder også anvendelse på oplysninger, som den udvekslende myndighed har modtaget fra en forpligtet enhed eller de andre myndigheder, og som den udvekslende myndighed efterfølgende har kvalitetskontrolleret eller på anden måde har behandlet.</w:t>
      </w:r>
    </w:p>
    <w:p w14:paraId="458786EE" w14:textId="15BA68BE" w:rsidR="005C2C74" w:rsidRPr="00E649AE" w:rsidRDefault="005C2C74" w:rsidP="00902D9C">
      <w:pPr>
        <w:widowControl/>
        <w:spacing w:before="120" w:after="120"/>
        <w:ind w:left="851" w:hanging="851"/>
        <w:rPr>
          <w:rFonts w:eastAsia="Calibri"/>
          <w:b/>
          <w:i/>
          <w:szCs w:val="22"/>
        </w:rPr>
      </w:pPr>
      <w:r w:rsidRPr="00E649AE">
        <w:rPr>
          <w:b/>
          <w:i/>
        </w:rPr>
        <w:t>6.</w:t>
      </w:r>
      <w:r w:rsidRPr="00E649AE">
        <w:rPr>
          <w:b/>
          <w:i/>
        </w:rPr>
        <w:tab/>
        <w:t xml:space="preserve">Med henblik på udveksling af oplysninger som omhandlet i stk. 1, 2, 4 og 5 indgår myndigheden og de andre myndigheder aftalememoranda for at fastsætte de nærmere bestemmelser for udvekslingen af oplysninger. De fastlægger også ordninger for deling af ressourcer til indsamling og behandling af sådanne delte data, forudsat at sådanne ordninger overholder de gældende bestemmelser for databeskyttelse, intellektuelle ejendomsrettigheder og tavshedspligt. Aftalememoranda skal efter aftale mellem alle de berørte myndigheder følge et </w:t>
      </w:r>
      <w:r w:rsidRPr="00E649AE">
        <w:rPr>
          <w:b/>
          <w:i/>
        </w:rPr>
        <w:lastRenderedPageBreak/>
        <w:t>enkelt og standardiseret format, der, hvor det er nødvendigt, er skræddersyet til eventuelle særlige driftsbetingelser, som måtte gælde for specifikke myndigheder.</w:t>
      </w:r>
    </w:p>
    <w:p w14:paraId="7B50452E" w14:textId="77777777" w:rsidR="005C2C74" w:rsidRPr="00E649AE" w:rsidRDefault="005C2C74" w:rsidP="00902D9C">
      <w:pPr>
        <w:widowControl/>
        <w:spacing w:before="120" w:after="120"/>
        <w:ind w:left="851" w:hanging="851"/>
        <w:rPr>
          <w:rFonts w:eastAsia="Calibri"/>
          <w:b/>
          <w:i/>
          <w:szCs w:val="22"/>
        </w:rPr>
      </w:pPr>
      <w:r w:rsidRPr="00E649AE">
        <w:rPr>
          <w:b/>
          <w:i/>
        </w:rPr>
        <w:t xml:space="preserve">7. </w:t>
      </w:r>
      <w:r w:rsidRPr="00E649AE">
        <w:rPr>
          <w:b/>
          <w:i/>
        </w:rPr>
        <w:tab/>
        <w:t>Stk. 1-6 berører ikke beskyttelsen af intellektuelle ejendomsrettigheder og forhindrer eller begrænser ikke udvekslingen af oplysninger mellem myndigheden og de andre myndigheder i overensstemmelse med bestemmelserne i anden EU-lovgivning. Hvis bestemmelserne i denne artikel er i strid med bestemmelser i denne forordning eller anden EU-lovgivning, der regulerer udvekslingen af oplysninger mellem de andre myndigheder, har bestemmelserne i denne anden EU-lovgivning forrang.</w:t>
      </w:r>
    </w:p>
    <w:p w14:paraId="517AE50E" w14:textId="77777777" w:rsidR="005C2C74" w:rsidRPr="00E649AE" w:rsidRDefault="005C2C74" w:rsidP="00902D9C">
      <w:pPr>
        <w:widowControl/>
        <w:spacing w:before="120" w:after="120"/>
        <w:ind w:left="851" w:hanging="851"/>
        <w:rPr>
          <w:rFonts w:eastAsia="Calibri"/>
          <w:b/>
          <w:i/>
          <w:szCs w:val="22"/>
        </w:rPr>
      </w:pPr>
      <w:r w:rsidRPr="00E649AE">
        <w:rPr>
          <w:b/>
          <w:i/>
        </w:rPr>
        <w:t xml:space="preserve">8. </w:t>
      </w:r>
      <w:r w:rsidRPr="00E649AE">
        <w:rPr>
          <w:b/>
          <w:i/>
        </w:rPr>
        <w:tab/>
        <w:t>Uden at det berører andre forpligtelser, der er fastsat i EU-retten vedrørende udveksling af oplysninger, kan myndigheden og tilsynsmyndighederne efter begrundet anmodning og fra sag til sag lade Kommissionen få del i oplysninger, som forpligtede enheder har indberettet til dem i overensstemmelse med deres forpligtelser i henhold til EU-retten, i en form, der ikke gør det muligt at identificere individuelle enheder, og som ikke indeholder personoplysninger. De myndigheder, som har fremsendt sådanne oplysninger, underrettes behørigt om den udveksling, der har fundet sted.</w:t>
      </w:r>
    </w:p>
    <w:p w14:paraId="72B220ED" w14:textId="77777777" w:rsidR="005C2C74" w:rsidRPr="00E649AE" w:rsidRDefault="005C2C74" w:rsidP="00902D9C">
      <w:pPr>
        <w:widowControl/>
        <w:spacing w:before="120" w:after="120"/>
        <w:ind w:left="851" w:hanging="851"/>
        <w:rPr>
          <w:rFonts w:eastAsia="Calibri"/>
          <w:b/>
          <w:i/>
          <w:szCs w:val="22"/>
        </w:rPr>
      </w:pPr>
      <w:r w:rsidRPr="00E649AE">
        <w:rPr>
          <w:b/>
          <w:i/>
        </w:rPr>
        <w:t xml:space="preserve">9. </w:t>
      </w:r>
      <w:r w:rsidRPr="00E649AE">
        <w:rPr>
          <w:b/>
          <w:i/>
        </w:rPr>
        <w:tab/>
        <w:t>Myndigheden og tilsynsmyndighederne kan give adgang til oplysninger, som er indhentet i forbindelse med udførelsen af deres opgaver, således at de kan videreanvendes af forpligtede enheder, forskere og andre enheder, der har en berettiget interesse i sådanne oplysninger, med henblik på forskning og innovation, forudsat at myndigheden eller tilsynsmyndighederne har sikret, at følgende betingelser er opfyldt:</w:t>
      </w:r>
    </w:p>
    <w:p w14:paraId="36A611F2" w14:textId="77777777" w:rsidR="005C2C74" w:rsidRPr="00E649AE" w:rsidRDefault="005C2C74" w:rsidP="00902D9C">
      <w:pPr>
        <w:widowControl/>
        <w:spacing w:before="120" w:after="120"/>
        <w:ind w:left="851"/>
        <w:rPr>
          <w:rFonts w:eastAsia="Calibri"/>
          <w:b/>
          <w:i/>
          <w:szCs w:val="22"/>
        </w:rPr>
      </w:pPr>
      <w:r w:rsidRPr="00E649AE">
        <w:rPr>
          <w:b/>
          <w:i/>
        </w:rPr>
        <w:t xml:space="preserve">a) </w:t>
      </w:r>
      <w:r w:rsidRPr="00E649AE">
        <w:rPr>
          <w:b/>
          <w:i/>
        </w:rPr>
        <w:tab/>
        <w:t>Oplysningerne er blevet anonymiseret på en sådan måde, at den registrerede eller den forpligtede enhed ikke længere kan identificeres.</w:t>
      </w:r>
    </w:p>
    <w:p w14:paraId="1C0B2F7B" w14:textId="77777777" w:rsidR="005C2C74" w:rsidRPr="00E649AE" w:rsidRDefault="005C2C74" w:rsidP="00902D9C">
      <w:pPr>
        <w:widowControl/>
        <w:spacing w:before="120" w:after="120"/>
        <w:ind w:left="851"/>
        <w:rPr>
          <w:rFonts w:eastAsia="Calibri"/>
          <w:b/>
          <w:i/>
          <w:szCs w:val="22"/>
        </w:rPr>
      </w:pPr>
      <w:r w:rsidRPr="00E649AE">
        <w:rPr>
          <w:b/>
          <w:i/>
        </w:rPr>
        <w:t xml:space="preserve">b) </w:t>
      </w:r>
      <w:r w:rsidRPr="00E649AE">
        <w:rPr>
          <w:b/>
          <w:i/>
        </w:rPr>
        <w:tab/>
        <w:t>Oplysningerne er blevet ændret, sammenfattet eller behandlet efter en anden metode til kontrol med fortrolighed i forbindelse med videregivelse af oplysninger, herunder forretningshemmeligheder eller indhold, der er beskyttet af intellektuelle ejendomsrettigheder.</w:t>
      </w:r>
    </w:p>
    <w:p w14:paraId="74294EDB" w14:textId="77777777" w:rsidR="005C2C74" w:rsidRPr="00E649AE" w:rsidRDefault="005C2C74" w:rsidP="00902D9C">
      <w:pPr>
        <w:widowControl/>
        <w:spacing w:before="120" w:after="120"/>
        <w:ind w:left="851"/>
        <w:rPr>
          <w:rFonts w:eastAsia="Calibri"/>
          <w:b/>
          <w:i/>
          <w:szCs w:val="22"/>
        </w:rPr>
      </w:pPr>
      <w:r w:rsidRPr="00E649AE">
        <w:rPr>
          <w:b/>
          <w:i/>
        </w:rPr>
        <w:t>c)</w:t>
      </w:r>
      <w:r w:rsidRPr="00E649AE">
        <w:rPr>
          <w:b/>
          <w:i/>
        </w:rPr>
        <w:tab/>
        <w:t>De parter, der har fået tildelt adgang, har vist, at de har de krævede tekniske midler til at beskytte fortrolige oplysninger, dvs. at de er i besiddelse af instrumenter, der kan sikre fuld beskyttelse af privatlivets fred og fortroligheden.</w:t>
      </w:r>
    </w:p>
    <w:p w14:paraId="6FC32B34" w14:textId="77777777" w:rsidR="005C2C74" w:rsidRPr="00E649AE" w:rsidRDefault="005C2C74" w:rsidP="00902D9C">
      <w:pPr>
        <w:widowControl/>
        <w:spacing w:before="120" w:after="120"/>
        <w:ind w:left="851"/>
        <w:rPr>
          <w:rFonts w:eastAsia="Calibri"/>
          <w:b/>
          <w:i/>
          <w:szCs w:val="22"/>
        </w:rPr>
      </w:pPr>
      <w:r w:rsidRPr="00E649AE">
        <w:rPr>
          <w:b/>
          <w:i/>
        </w:rPr>
        <w:t>Oplysninger, der modtages fra en anden myndighed, må kun videregives på dette grundlag med samtykke fra den myndighed, der oprindeligt indhentede oplysningerne.</w:t>
      </w:r>
    </w:p>
    <w:p w14:paraId="2D5D6FA4" w14:textId="77777777" w:rsidR="005C2C74" w:rsidRPr="00E649AE" w:rsidRDefault="005C2C74" w:rsidP="00902D9C">
      <w:pPr>
        <w:widowControl/>
        <w:spacing w:before="120" w:after="120"/>
        <w:ind w:left="851" w:hanging="851"/>
        <w:rPr>
          <w:rFonts w:eastAsia="Calibri"/>
          <w:b/>
          <w:i/>
          <w:szCs w:val="22"/>
        </w:rPr>
      </w:pPr>
      <w:r w:rsidRPr="00E649AE">
        <w:rPr>
          <w:b/>
          <w:i/>
        </w:rPr>
        <w:t xml:space="preserve">10. </w:t>
      </w:r>
      <w:r w:rsidRPr="00E649AE">
        <w:rPr>
          <w:b/>
          <w:i/>
        </w:rPr>
        <w:tab/>
        <w:t>Myndigheden og tilsynsmyndighederne rapporterer senest … [et år fra datoen for denne ændringsforordnings ikrafttræden] til Kommissionen om alle juridiske hindringer i sektorspecifikke forordninger, der på nogen måde forhindrer dem i at udveksle oplysninger med de andre myndigheder eller med andre enheder. Rapporten kan også omfatte ikkevæsentlige, forældede, overlappende eller på anden vis irrelevante indberetningskrav samt forslag til at sikre konsekvensen mellem indberetningskrav til finansielle og ikkefinansielle virksomheder.</w:t>
      </w:r>
    </w:p>
    <w:p w14:paraId="7490A2E4" w14:textId="61D77500" w:rsidR="005C2C74" w:rsidRPr="00E649AE" w:rsidRDefault="005C2C74" w:rsidP="00902D9C">
      <w:pPr>
        <w:widowControl/>
        <w:spacing w:before="120" w:after="120"/>
        <w:ind w:left="851"/>
        <w:rPr>
          <w:rFonts w:eastAsia="Calibri"/>
          <w:b/>
          <w:i/>
          <w:szCs w:val="22"/>
        </w:rPr>
      </w:pPr>
      <w:r w:rsidRPr="00E649AE">
        <w:rPr>
          <w:b/>
          <w:i/>
        </w:rPr>
        <w:t xml:space="preserve">På grundlag af denne rapport og under behørig hensyntagen til beskyttelsen af intellektuelle ejendomsrettigheder, tavshedspligt og databeskyttelse forelægger Kommissionen, hvor det er relevant, et lovgivningsforslag for Europa-Parlamentet og for Rådet med henblik på at fjerne sådanne juridiske hindringer i </w:t>
      </w:r>
      <w:r w:rsidRPr="00E649AE">
        <w:rPr>
          <w:b/>
          <w:i/>
        </w:rPr>
        <w:lastRenderedPageBreak/>
        <w:t>sektorlovgivningen for at fremme udvekslingen af oplysninger mellem myndigheder og med andre enheder senest … [to år fra datoen for denne ændringsforordnings ikrafttræden].</w:t>
      </w:r>
      <w:r w:rsidR="00F74066" w:rsidRPr="00F74066">
        <w:rPr>
          <w:b/>
          <w:i/>
        </w:rPr>
        <w:t>"</w:t>
      </w:r>
    </w:p>
    <w:p w14:paraId="6BC60D7F" w14:textId="77777777" w:rsidR="005C2C74" w:rsidRPr="00E649AE" w:rsidRDefault="005C2C74" w:rsidP="008476E1">
      <w:pPr>
        <w:widowControl/>
        <w:spacing w:before="120" w:after="120"/>
        <w:ind w:left="851" w:hanging="851"/>
        <w:rPr>
          <w:rFonts w:eastAsia="Calibri"/>
          <w:b/>
          <w:i/>
          <w:szCs w:val="22"/>
        </w:rPr>
      </w:pPr>
      <w:r w:rsidRPr="00E649AE">
        <w:rPr>
          <w:b/>
          <w:i/>
        </w:rPr>
        <w:t xml:space="preserve">4. </w:t>
      </w:r>
      <w:r w:rsidRPr="00E649AE">
        <w:rPr>
          <w:b/>
          <w:i/>
        </w:rPr>
        <w:tab/>
        <w:t>Følgende artikel indsættes:</w:t>
      </w:r>
    </w:p>
    <w:p w14:paraId="2800A6F7" w14:textId="77777777" w:rsidR="005C2C74" w:rsidRPr="00E649AE" w:rsidRDefault="005C2C74" w:rsidP="00FC36E0">
      <w:pPr>
        <w:widowControl/>
        <w:spacing w:before="120" w:after="120"/>
        <w:ind w:left="851"/>
        <w:rPr>
          <w:rFonts w:eastAsia="Calibri"/>
          <w:b/>
          <w:i/>
          <w:szCs w:val="22"/>
        </w:rPr>
      </w:pPr>
      <w:r w:rsidRPr="00E649AE">
        <w:rPr>
          <w:b/>
          <w:i/>
        </w:rPr>
        <w:t>"Artikel 16b</w:t>
      </w:r>
    </w:p>
    <w:p w14:paraId="3C1225E0" w14:textId="77777777" w:rsidR="005C2C74" w:rsidRPr="00E649AE" w:rsidRDefault="005C2C74" w:rsidP="00FC36E0">
      <w:pPr>
        <w:widowControl/>
        <w:spacing w:before="120" w:after="120"/>
        <w:ind w:left="851"/>
        <w:rPr>
          <w:rFonts w:eastAsia="Calibri"/>
          <w:b/>
          <w:bCs/>
          <w:i/>
          <w:szCs w:val="22"/>
        </w:rPr>
      </w:pPr>
      <w:r w:rsidRPr="00E649AE">
        <w:rPr>
          <w:b/>
          <w:i/>
        </w:rPr>
        <w:t>Oprettelse af et fælles integreret indberetningssystem</w:t>
      </w:r>
    </w:p>
    <w:p w14:paraId="1F43DB8B" w14:textId="77777777" w:rsidR="005C2C74" w:rsidRPr="00E649AE" w:rsidRDefault="005C2C74" w:rsidP="00902D9C">
      <w:pPr>
        <w:widowControl/>
        <w:spacing w:before="120" w:after="120"/>
        <w:ind w:left="851"/>
        <w:rPr>
          <w:rFonts w:eastAsia="Calibri"/>
          <w:b/>
          <w:i/>
          <w:szCs w:val="22"/>
        </w:rPr>
      </w:pPr>
      <w:r w:rsidRPr="00E649AE">
        <w:rPr>
          <w:b/>
          <w:i/>
        </w:rPr>
        <w:t xml:space="preserve">1. </w:t>
      </w:r>
      <w:r w:rsidRPr="00E649AE">
        <w:rPr>
          <w:b/>
          <w:i/>
        </w:rPr>
        <w:tab/>
        <w:t xml:space="preserve">Senest … [to år fra datoen for denne ændringsforordnings ikrafttræden] udarbejder myndigheden og tilsynsmyndighederne i tæt samarbejde med de andre myndigheder og ESCB en rapport om de tekniske detaljer i oprettelsen af et fælles integreret indberetningssystem samt en køreplan baseret på arbejdet med integration af </w:t>
      </w:r>
      <w:proofErr w:type="spellStart"/>
      <w:r w:rsidRPr="00E649AE">
        <w:rPr>
          <w:b/>
          <w:i/>
        </w:rPr>
        <w:t>ESA'ernes</w:t>
      </w:r>
      <w:proofErr w:type="spellEnd"/>
      <w:r w:rsidRPr="00E649AE">
        <w:rPr>
          <w:b/>
          <w:i/>
        </w:rPr>
        <w:t xml:space="preserve"> indberetning inden for deres sektorer og inkluderer </w:t>
      </w:r>
      <w:proofErr w:type="gramStart"/>
      <w:r w:rsidRPr="00E649AE">
        <w:rPr>
          <w:b/>
          <w:i/>
        </w:rPr>
        <w:t>heri</w:t>
      </w:r>
      <w:proofErr w:type="gramEnd"/>
      <w:r w:rsidRPr="00E649AE">
        <w:rPr>
          <w:b/>
          <w:i/>
        </w:rPr>
        <w:t xml:space="preserve"> en vurdering af omkostninger og fordele. Med henblik på denne rapport skal det fælles integrerede indberetningssystem omfatte:</w:t>
      </w:r>
    </w:p>
    <w:p w14:paraId="094A1CD2" w14:textId="77777777" w:rsidR="005C2C74" w:rsidRPr="00E649AE" w:rsidRDefault="005C2C74" w:rsidP="00902D9C">
      <w:pPr>
        <w:widowControl/>
        <w:spacing w:before="120" w:after="120"/>
        <w:ind w:left="851"/>
        <w:rPr>
          <w:rFonts w:eastAsia="Calibri"/>
          <w:b/>
          <w:i/>
          <w:szCs w:val="22"/>
        </w:rPr>
      </w:pPr>
      <w:r w:rsidRPr="00E649AE">
        <w:rPr>
          <w:b/>
          <w:i/>
        </w:rPr>
        <w:t xml:space="preserve">a) </w:t>
      </w:r>
      <w:r w:rsidRPr="00E649AE">
        <w:rPr>
          <w:b/>
          <w:i/>
        </w:rPr>
        <w:tab/>
        <w:t>en fælles dataordbog til at sikre konsekvens og klarhed af indberetningskravene og datastandardiseringen</w:t>
      </w:r>
    </w:p>
    <w:p w14:paraId="7B40560A" w14:textId="77777777" w:rsidR="005C2C74" w:rsidRPr="00E649AE" w:rsidRDefault="005C2C74" w:rsidP="00902D9C">
      <w:pPr>
        <w:widowControl/>
        <w:spacing w:before="120" w:after="120"/>
        <w:ind w:left="851"/>
        <w:rPr>
          <w:rFonts w:eastAsia="Calibri"/>
          <w:b/>
          <w:i/>
          <w:szCs w:val="22"/>
        </w:rPr>
      </w:pPr>
      <w:r w:rsidRPr="00E649AE">
        <w:rPr>
          <w:b/>
          <w:i/>
        </w:rPr>
        <w:t xml:space="preserve">b) </w:t>
      </w:r>
      <w:r w:rsidRPr="00E649AE">
        <w:rPr>
          <w:b/>
          <w:i/>
        </w:rPr>
        <w:tab/>
        <w:t>et fælles register over indberetnings- og oplysningskrav, beskrivelser af de indsamlede data og af de myndigheder, der opbevarer dem</w:t>
      </w:r>
    </w:p>
    <w:p w14:paraId="6E31AED9" w14:textId="77777777" w:rsidR="005C2C74" w:rsidRPr="00E649AE" w:rsidRDefault="005C2C74" w:rsidP="00902D9C">
      <w:pPr>
        <w:widowControl/>
        <w:spacing w:before="120" w:after="120"/>
        <w:ind w:left="851"/>
        <w:rPr>
          <w:rFonts w:eastAsia="Calibri"/>
          <w:b/>
          <w:i/>
          <w:szCs w:val="22"/>
        </w:rPr>
      </w:pPr>
      <w:r w:rsidRPr="00E649AE">
        <w:rPr>
          <w:b/>
          <w:i/>
        </w:rPr>
        <w:t xml:space="preserve">c) </w:t>
      </w:r>
      <w:r w:rsidRPr="00E649AE">
        <w:rPr>
          <w:b/>
          <w:i/>
        </w:rPr>
        <w:tab/>
        <w:t xml:space="preserve">et centralt dataområde, herunder den tekniske udformning til indsamling og udveksling af oplysninger, og </w:t>
      </w:r>
    </w:p>
    <w:p w14:paraId="030DA65C" w14:textId="77777777" w:rsidR="005C2C74" w:rsidRPr="00E649AE" w:rsidRDefault="005C2C74" w:rsidP="00902D9C">
      <w:pPr>
        <w:widowControl/>
        <w:spacing w:before="120" w:after="120"/>
        <w:ind w:left="851"/>
        <w:rPr>
          <w:rFonts w:eastAsia="Calibri"/>
          <w:b/>
          <w:i/>
          <w:szCs w:val="22"/>
        </w:rPr>
      </w:pPr>
      <w:r w:rsidRPr="00E649AE">
        <w:rPr>
          <w:b/>
          <w:i/>
        </w:rPr>
        <w:t xml:space="preserve">d) </w:t>
      </w:r>
      <w:r w:rsidRPr="00E649AE">
        <w:rPr>
          <w:b/>
          <w:i/>
        </w:rPr>
        <w:tab/>
        <w:t xml:space="preserve">et permanent fælles kontaktpunkt for enheder til at angive tilfælde af dobbeltindberetning og overflødige eller forældede indberetnings- eller oplysningskrav. </w:t>
      </w:r>
    </w:p>
    <w:p w14:paraId="3DB3BDB6" w14:textId="77777777" w:rsidR="005C2C74" w:rsidRPr="00E649AE" w:rsidRDefault="005C2C74" w:rsidP="008476E1">
      <w:pPr>
        <w:widowControl/>
        <w:spacing w:before="120" w:after="120"/>
        <w:ind w:left="720" w:hanging="720"/>
        <w:rPr>
          <w:rFonts w:eastAsia="Calibri"/>
          <w:b/>
          <w:i/>
          <w:szCs w:val="22"/>
        </w:rPr>
      </w:pPr>
      <w:r w:rsidRPr="00E649AE">
        <w:rPr>
          <w:b/>
          <w:i/>
        </w:rPr>
        <w:t xml:space="preserve">2. </w:t>
      </w:r>
      <w:r w:rsidRPr="00E649AE">
        <w:rPr>
          <w:b/>
          <w:i/>
        </w:rPr>
        <w:tab/>
        <w:t xml:space="preserve">Rapporten ledsages i tæt samarbejde med Kommissionen af et overslag over de samlede finansielle følger. </w:t>
      </w:r>
    </w:p>
    <w:p w14:paraId="3381C1FE" w14:textId="77777777" w:rsidR="005C2C74" w:rsidRPr="00E649AE" w:rsidRDefault="005C2C74" w:rsidP="008476E1">
      <w:pPr>
        <w:widowControl/>
        <w:spacing w:before="120" w:after="120"/>
        <w:ind w:left="709"/>
        <w:rPr>
          <w:rFonts w:eastAsia="Calibri"/>
          <w:b/>
          <w:i/>
          <w:szCs w:val="22"/>
        </w:rPr>
      </w:pPr>
      <w:r w:rsidRPr="00E649AE">
        <w:rPr>
          <w:b/>
          <w:i/>
        </w:rPr>
        <w:t xml:space="preserve">Kommissionen forelægger, hvis det er relevant, Europa-Parlamentet og Rådet et lovgivningsforslag for at sikre de nødvendige finansielle, menneskelige ressourcer og IT-ressourcer til etableringen af det fælles integrerede indberetningssystem senest den … [tre år fra datoen for denne forordnings ikrafttræden]. </w:t>
      </w:r>
    </w:p>
    <w:p w14:paraId="13FBF3B6" w14:textId="1078D84C" w:rsidR="005C2C74" w:rsidRPr="00E649AE" w:rsidRDefault="005C2C74" w:rsidP="008476E1">
      <w:pPr>
        <w:widowControl/>
        <w:spacing w:before="120" w:after="120"/>
        <w:ind w:left="709"/>
        <w:rPr>
          <w:rFonts w:eastAsia="Calibri"/>
          <w:b/>
          <w:i/>
          <w:szCs w:val="22"/>
        </w:rPr>
      </w:pPr>
      <w:r w:rsidRPr="00E649AE">
        <w:rPr>
          <w:b/>
          <w:i/>
        </w:rPr>
        <w:t>Myndigheden opretter sammen med de andre myndigheder det fælles integrerede indberetningssystem senest … [tre år fra datoen for denne ændringsforordnings ikrafttræden]."</w:t>
      </w:r>
    </w:p>
    <w:p w14:paraId="43C136B4" w14:textId="77777777" w:rsidR="005C2C74" w:rsidRPr="00E649AE" w:rsidRDefault="005C2C74" w:rsidP="008476E1">
      <w:pPr>
        <w:widowControl/>
        <w:spacing w:before="120" w:after="120"/>
        <w:ind w:left="851" w:hanging="851"/>
        <w:rPr>
          <w:rFonts w:eastAsia="Calibri"/>
          <w:b/>
          <w:i/>
          <w:szCs w:val="22"/>
        </w:rPr>
      </w:pPr>
      <w:r w:rsidRPr="00E649AE">
        <w:rPr>
          <w:b/>
          <w:i/>
        </w:rPr>
        <w:t xml:space="preserve">5. </w:t>
      </w:r>
      <w:r w:rsidRPr="00E649AE">
        <w:rPr>
          <w:b/>
          <w:i/>
        </w:rPr>
        <w:tab/>
        <w:t>I artikel 44, stk. 1, tilføjes følgende afsnit:</w:t>
      </w:r>
    </w:p>
    <w:p w14:paraId="665C69F6" w14:textId="77777777" w:rsidR="005C2C74" w:rsidRPr="00E649AE" w:rsidRDefault="005C2C74" w:rsidP="00902D9C">
      <w:pPr>
        <w:widowControl/>
        <w:spacing w:before="120" w:after="120"/>
        <w:rPr>
          <w:rFonts w:eastAsia="Calibri"/>
          <w:b/>
          <w:i/>
          <w:szCs w:val="22"/>
        </w:rPr>
      </w:pPr>
      <w:r w:rsidRPr="00E649AE">
        <w:rPr>
          <w:b/>
          <w:i/>
        </w:rPr>
        <w:t>"Myndighedens udtalelser er ikke begrænset til igangværende lovgivningsprocedurer. Myndigheden kan også i sine udtalelser, hvis det er relevant, foreslå ændringer til gældende retsakter, herunder ændringer, der har til formål:</w:t>
      </w:r>
    </w:p>
    <w:p w14:paraId="0259E2A7" w14:textId="77777777" w:rsidR="005C2C74" w:rsidRPr="00E649AE" w:rsidRDefault="005C2C74" w:rsidP="00902D9C">
      <w:pPr>
        <w:widowControl/>
        <w:spacing w:before="120" w:after="120"/>
        <w:rPr>
          <w:rFonts w:eastAsia="Calibri"/>
          <w:b/>
          <w:i/>
          <w:szCs w:val="22"/>
        </w:rPr>
      </w:pPr>
      <w:r w:rsidRPr="00E649AE">
        <w:rPr>
          <w:b/>
          <w:i/>
        </w:rPr>
        <w:t>a)</w:t>
      </w:r>
      <w:r w:rsidRPr="00E649AE">
        <w:rPr>
          <w:b/>
          <w:i/>
        </w:rPr>
        <w:tab/>
        <w:t xml:space="preserve"> at fjerne overflødige eller forældede indberetnings- og oplysningskrav i EU-retten eller medlemsstaternes nationale gennemførelse af EU-retten</w:t>
      </w:r>
    </w:p>
    <w:p w14:paraId="4D58E3CE" w14:textId="77777777" w:rsidR="005C2C74" w:rsidRPr="00E649AE" w:rsidRDefault="005C2C74" w:rsidP="00902D9C">
      <w:pPr>
        <w:widowControl/>
        <w:spacing w:before="120" w:after="120"/>
        <w:rPr>
          <w:rFonts w:eastAsia="Calibri"/>
          <w:b/>
          <w:i/>
          <w:szCs w:val="22"/>
        </w:rPr>
      </w:pPr>
      <w:r w:rsidRPr="00E649AE">
        <w:rPr>
          <w:b/>
          <w:i/>
        </w:rPr>
        <w:t>b)</w:t>
      </w:r>
      <w:r w:rsidRPr="00E649AE">
        <w:rPr>
          <w:b/>
          <w:i/>
        </w:rPr>
        <w:tab/>
        <w:t xml:space="preserve"> at sikre ensartede indberetnings- og oplysningskrav på tværs af sektorspecifik og tværsektoriel lovgivning</w:t>
      </w:r>
    </w:p>
    <w:p w14:paraId="66282616" w14:textId="77777777" w:rsidR="005C2C74" w:rsidRPr="00E649AE" w:rsidRDefault="005C2C74" w:rsidP="00902D9C">
      <w:pPr>
        <w:widowControl/>
        <w:spacing w:before="120" w:after="120"/>
        <w:rPr>
          <w:rFonts w:eastAsia="Calibri"/>
          <w:b/>
          <w:i/>
          <w:szCs w:val="22"/>
        </w:rPr>
      </w:pPr>
      <w:r w:rsidRPr="00E649AE">
        <w:rPr>
          <w:b/>
          <w:i/>
        </w:rPr>
        <w:t xml:space="preserve">c) </w:t>
      </w:r>
      <w:r w:rsidRPr="00E649AE">
        <w:rPr>
          <w:b/>
          <w:i/>
        </w:rPr>
        <w:tab/>
        <w:t>at sikre proportionalitet i indberetnings- og oplysningskrav med hensyn til den indberettende enheds karakter, størrelse og kompleksitet</w:t>
      </w:r>
    </w:p>
    <w:p w14:paraId="2D49F914" w14:textId="77777777" w:rsidR="005C2C74" w:rsidRPr="00E649AE" w:rsidRDefault="005C2C74" w:rsidP="00902D9C">
      <w:pPr>
        <w:widowControl/>
        <w:spacing w:before="120" w:after="120"/>
        <w:rPr>
          <w:rFonts w:eastAsia="Calibri"/>
          <w:b/>
          <w:bCs/>
          <w:i/>
          <w:iCs/>
          <w:szCs w:val="22"/>
        </w:rPr>
      </w:pPr>
      <w:r w:rsidRPr="00E649AE">
        <w:rPr>
          <w:b/>
          <w:i/>
        </w:rPr>
        <w:t>d) at sikre, at overholdelsen af indberetnings- og oplysningskravene står i et rimeligt forhold til den merværdi, som myndighedens opfyldelse af opgaver og mål medfører.</w:t>
      </w:r>
    </w:p>
    <w:p w14:paraId="09E53B00" w14:textId="77777777" w:rsidR="005C2C74" w:rsidRPr="00E649AE" w:rsidRDefault="005C2C74" w:rsidP="00902D9C">
      <w:pPr>
        <w:widowControl/>
        <w:spacing w:before="120" w:after="120"/>
        <w:rPr>
          <w:rFonts w:eastAsia="Calibri"/>
          <w:b/>
          <w:i/>
          <w:szCs w:val="22"/>
        </w:rPr>
      </w:pPr>
      <w:r w:rsidRPr="00E649AE">
        <w:rPr>
          <w:b/>
          <w:i/>
        </w:rPr>
        <w:lastRenderedPageBreak/>
        <w:t>I forbindelse med udtalelser om gældende lovgivningsmæssige retsakter, jf. første afsnit, skal myndigheden tage behørigt hensyn til input fra alle relevante interessenter gennem en særlig høring. På grundlag af disse udtalelser forelægger Kommissionen om nødvendigt et lovgivningsforslag for Europa-Parlamentet og Rådet."</w:t>
      </w:r>
    </w:p>
    <w:p w14:paraId="3A153476" w14:textId="77777777" w:rsidR="005C2C74" w:rsidRPr="00E649AE" w:rsidRDefault="005C2C74" w:rsidP="005C2C74">
      <w:pPr>
        <w:keepNext/>
        <w:widowControl/>
        <w:spacing w:before="360" w:after="120"/>
        <w:ind w:left="720"/>
        <w:jc w:val="center"/>
        <w:rPr>
          <w:rFonts w:eastAsia="Calibri"/>
          <w:i/>
          <w:szCs w:val="22"/>
        </w:rPr>
      </w:pPr>
      <w:r w:rsidRPr="00E649AE">
        <w:rPr>
          <w:i/>
        </w:rPr>
        <w:t>Artikel 5</w:t>
      </w:r>
    </w:p>
    <w:p w14:paraId="5A8A54F4" w14:textId="77777777" w:rsidR="005C2C74" w:rsidRPr="00E649AE" w:rsidRDefault="005C2C74" w:rsidP="005C2C74">
      <w:pPr>
        <w:widowControl/>
        <w:spacing w:before="120" w:after="120"/>
        <w:jc w:val="center"/>
        <w:rPr>
          <w:rFonts w:eastAsia="Calibri"/>
          <w:b/>
          <w:bCs/>
          <w:szCs w:val="22"/>
        </w:rPr>
      </w:pPr>
      <w:r w:rsidRPr="00E649AE">
        <w:rPr>
          <w:b/>
        </w:rPr>
        <w:t>Ændring af forordning (EU) 2021/523</w:t>
      </w:r>
    </w:p>
    <w:p w14:paraId="07E9F66D" w14:textId="77777777" w:rsidR="005C2C74" w:rsidRPr="00E649AE" w:rsidRDefault="005C2C74" w:rsidP="00A07C5D">
      <w:pPr>
        <w:rPr>
          <w:b/>
          <w:i/>
        </w:rPr>
      </w:pPr>
      <w:r w:rsidRPr="00E649AE">
        <w:t>I forordning (EU) nr. 2021/523 foretages følgende ændringer:</w:t>
      </w:r>
    </w:p>
    <w:p w14:paraId="359F68A6" w14:textId="77777777" w:rsidR="005C2C74" w:rsidRPr="00E649AE" w:rsidRDefault="005C2C74" w:rsidP="00A07C5D">
      <w:pPr>
        <w:rPr>
          <w:b/>
          <w:i/>
        </w:rPr>
      </w:pPr>
    </w:p>
    <w:p w14:paraId="3F7E72DC" w14:textId="77777777" w:rsidR="005C2C74" w:rsidRPr="00E649AE" w:rsidRDefault="005C2C74" w:rsidP="00A07C5D">
      <w:pPr>
        <w:rPr>
          <w:b/>
          <w:i/>
        </w:rPr>
      </w:pPr>
      <w:r w:rsidRPr="00E649AE">
        <w:rPr>
          <w:b/>
          <w:i/>
        </w:rPr>
        <w:t>-1.</w:t>
      </w:r>
      <w:r w:rsidRPr="00E649AE">
        <w:rPr>
          <w:b/>
          <w:i/>
        </w:rPr>
        <w:tab/>
        <w:t>I artikel 8, stk. 6, affattes indledningen således:</w:t>
      </w:r>
    </w:p>
    <w:p w14:paraId="7109317E" w14:textId="77777777" w:rsidR="005C2C74" w:rsidRPr="00E649AE" w:rsidRDefault="005C2C74" w:rsidP="00A07C5D">
      <w:pPr>
        <w:rPr>
          <w:b/>
          <w:i/>
        </w:rPr>
      </w:pPr>
    </w:p>
    <w:p w14:paraId="08BCAB3C" w14:textId="77777777" w:rsidR="005C2C74" w:rsidRPr="00E649AE" w:rsidRDefault="005C2C74" w:rsidP="00902D9C">
      <w:pPr>
        <w:ind w:left="851"/>
        <w:rPr>
          <w:b/>
          <w:i/>
        </w:rPr>
      </w:pPr>
      <w:r w:rsidRPr="00E649AE">
        <w:rPr>
          <w:b/>
          <w:i/>
        </w:rPr>
        <w:t>"Kommissionen udarbejder bæredygtighedsretningslinjer, der i overensstemmelse med Unionens miljømæssige og sociale målsætninger og standarder og under behørig hensyntagen til princippet om "ikke at gøre væsentlig skade" samt forskellene i typerne af infrastrukturprojekter giver mulighed for:"</w:t>
      </w:r>
    </w:p>
    <w:p w14:paraId="4901C508" w14:textId="77777777" w:rsidR="005C2C74" w:rsidRPr="00E649AE" w:rsidRDefault="005C2C74" w:rsidP="00902D9C">
      <w:pPr>
        <w:rPr>
          <w:b/>
          <w:i/>
        </w:rPr>
      </w:pPr>
    </w:p>
    <w:p w14:paraId="63F0B280" w14:textId="77777777" w:rsidR="005C2C74" w:rsidRPr="00E649AE" w:rsidRDefault="005C2C74" w:rsidP="00902D9C">
      <w:pPr>
        <w:rPr>
          <w:b/>
          <w:i/>
        </w:rPr>
      </w:pPr>
      <w:r w:rsidRPr="00E649AE">
        <w:rPr>
          <w:b/>
          <w:i/>
        </w:rPr>
        <w:t>-1a.</w:t>
      </w:r>
      <w:r w:rsidRPr="00E649AE">
        <w:rPr>
          <w:b/>
          <w:i/>
        </w:rPr>
        <w:tab/>
        <w:t>Artikel 13, stk. 7, andet afsnit, affattes således:</w:t>
      </w:r>
    </w:p>
    <w:p w14:paraId="23FCB63D" w14:textId="77777777" w:rsidR="005C2C74" w:rsidRPr="00E649AE" w:rsidRDefault="005C2C74" w:rsidP="00902D9C">
      <w:pPr>
        <w:rPr>
          <w:b/>
          <w:i/>
        </w:rPr>
      </w:pPr>
    </w:p>
    <w:p w14:paraId="30E7FE8E" w14:textId="77777777" w:rsidR="005C2C74" w:rsidRPr="00E649AE" w:rsidRDefault="005C2C74" w:rsidP="00902D9C">
      <w:pPr>
        <w:ind w:left="851"/>
        <w:rPr>
          <w:b/>
          <w:i/>
        </w:rPr>
      </w:pPr>
      <w:r w:rsidRPr="00E649AE">
        <w:rPr>
          <w:b/>
          <w:i/>
        </w:rPr>
        <w:t>"Kontrakter mellem gennemførelsespartneren og den endelige modtager eller den finansielle formidler eller den i artikel 16, stk. 1, litra a), omhandlede enhed under den EU-garanti, der er omhandlet i artikel 4, stk. 2, første afsnit, skal være undertegnet senest den 31. august 2026. I de øvrige tilfælde skal kontrakter mellem gennemførelsespartneren og den endelige modtager eller den finansielle formidler eller den i artikel 16, stk. 1, litra a), omhandlede enhed være undertegnet senest den 31. december 2028."</w:t>
      </w:r>
    </w:p>
    <w:p w14:paraId="4F1D507F" w14:textId="77777777" w:rsidR="005C2C74" w:rsidRPr="00E649AE" w:rsidRDefault="005C2C74" w:rsidP="00902D9C">
      <w:pPr>
        <w:rPr>
          <w:b/>
          <w:i/>
        </w:rPr>
      </w:pPr>
    </w:p>
    <w:p w14:paraId="32A5F9D8" w14:textId="77777777" w:rsidR="005C2C74" w:rsidRPr="00E649AE" w:rsidRDefault="005C2C74" w:rsidP="00902D9C">
      <w:pPr>
        <w:rPr>
          <w:b/>
          <w:i/>
        </w:rPr>
      </w:pPr>
      <w:r w:rsidRPr="00E649AE">
        <w:rPr>
          <w:b/>
          <w:i/>
        </w:rPr>
        <w:t>-1b.</w:t>
      </w:r>
      <w:r w:rsidRPr="00E649AE">
        <w:rPr>
          <w:b/>
          <w:i/>
        </w:rPr>
        <w:tab/>
        <w:t>Artikel 17, stk. 2, litra h), affattes således:</w:t>
      </w:r>
    </w:p>
    <w:p w14:paraId="246EA7EA" w14:textId="77777777" w:rsidR="005C2C74" w:rsidRPr="00E649AE" w:rsidRDefault="005C2C74" w:rsidP="00902D9C">
      <w:pPr>
        <w:ind w:left="851"/>
        <w:rPr>
          <w:b/>
          <w:i/>
        </w:rPr>
      </w:pPr>
      <w:r w:rsidRPr="00E649AE">
        <w:rPr>
          <w:b/>
          <w:i/>
        </w:rPr>
        <w:t xml:space="preserve">"h) </w:t>
      </w:r>
      <w:r w:rsidRPr="00E649AE">
        <w:rPr>
          <w:b/>
          <w:i/>
        </w:rPr>
        <w:tab/>
        <w:t xml:space="preserve">finansielle og operationelle indberetnings- og overvågningsaktiviteter i forbindelse med finansierings- og investeringstransaktioner under EU-garantien, idet det sikres, at indberetnings- og overvågningskravene er proportionelle, samtidig med at omkostningerne for alle interessenter og endelige modtagere minimeres, uden at underminere de respektive </w:t>
      </w:r>
      <w:proofErr w:type="spellStart"/>
      <w:r w:rsidRPr="00E649AE">
        <w:rPr>
          <w:b/>
          <w:i/>
        </w:rPr>
        <w:t>InvestEU</w:t>
      </w:r>
      <w:proofErr w:type="spellEnd"/>
      <w:r w:rsidRPr="00E649AE">
        <w:rPr>
          <w:b/>
          <w:i/>
        </w:rPr>
        <w:t>-målsætninger."</w:t>
      </w:r>
    </w:p>
    <w:p w14:paraId="442C8AAF" w14:textId="77777777" w:rsidR="005C2C74" w:rsidRPr="00E649AE" w:rsidRDefault="005C2C74" w:rsidP="00902D9C">
      <w:pPr>
        <w:widowControl/>
        <w:spacing w:before="120" w:after="120"/>
        <w:rPr>
          <w:rFonts w:eastAsia="Calibri"/>
          <w:b/>
          <w:i/>
          <w:szCs w:val="22"/>
          <w:lang w:eastAsia="en-US"/>
        </w:rPr>
      </w:pPr>
    </w:p>
    <w:p w14:paraId="7BD12AC5" w14:textId="77777777" w:rsidR="005C2C74" w:rsidRPr="00E649AE" w:rsidRDefault="005C2C74" w:rsidP="00902D9C">
      <w:pPr>
        <w:widowControl/>
        <w:spacing w:before="120" w:after="120"/>
        <w:rPr>
          <w:rFonts w:eastAsia="Calibri"/>
          <w:szCs w:val="22"/>
        </w:rPr>
      </w:pPr>
      <w:r w:rsidRPr="00E649AE">
        <w:rPr>
          <w:b/>
          <w:i/>
        </w:rPr>
        <w:t>1.</w:t>
      </w:r>
      <w:r w:rsidRPr="00E649AE">
        <w:t xml:space="preserve"> </w:t>
      </w:r>
      <w:r w:rsidRPr="00E649AE">
        <w:tab/>
        <w:t xml:space="preserve">Artikel 28, stk. 4, affattes således: </w:t>
      </w:r>
    </w:p>
    <w:p w14:paraId="2262C78C" w14:textId="77777777" w:rsidR="005C2C74" w:rsidRPr="00E649AE" w:rsidRDefault="005C2C74" w:rsidP="00902D9C">
      <w:pPr>
        <w:widowControl/>
        <w:spacing w:before="120" w:after="120"/>
        <w:rPr>
          <w:rFonts w:eastAsia="Calibri"/>
          <w:szCs w:val="22"/>
        </w:rPr>
      </w:pPr>
      <w:r w:rsidRPr="00E649AE">
        <w:t xml:space="preserve">"4. </w:t>
      </w:r>
      <w:r w:rsidRPr="00E649AE">
        <w:rPr>
          <w:b/>
          <w:i/>
        </w:rPr>
        <w:tab/>
      </w:r>
      <w:r w:rsidRPr="00E649AE">
        <w:t xml:space="preserve">En gang om året fremlægger hver gennemførelsespartner en rapport for Kommissionen om de finansierings- og investeringstransaktioner, der er omfattet af denne forordning, alt efter omstændighederne opdelt på EU-segmentet og medlemsstatssegmentet. Hver gennemførelsespartner fremsender desuden oplysninger om det medlemsstatssegment, den gennemfører, til den pågældende medlemsstat. Rapporten skal indeholde en vurdering af overholdelsen af betingelserne for anvendelse af EU-garantien og overholdelsen af de nøgleresultatindikatorer, der er fastlagt i denne forordnings bilag III. Rapporten skal endvidere indeholde operationelle, statistiske, finansielle og regnskabsmæssige data om hver finansierings- eller investeringstransaktion samt et overslag af forventede </w:t>
      </w:r>
      <w:proofErr w:type="spellStart"/>
      <w:r w:rsidRPr="00E649AE">
        <w:t>cash</w:t>
      </w:r>
      <w:proofErr w:type="spellEnd"/>
      <w:r w:rsidRPr="00E649AE">
        <w:t xml:space="preserve"> flows, fordelt på segment-, politikområde- og </w:t>
      </w:r>
      <w:proofErr w:type="spellStart"/>
      <w:r w:rsidRPr="00E649AE">
        <w:t>InvestEU</w:t>
      </w:r>
      <w:proofErr w:type="spellEnd"/>
      <w:r w:rsidRPr="00E649AE">
        <w:t xml:space="preserve">-Fondsniveau. Rapporten fra EIB-Gruppen og, hvis det er relevant, fra andre gennemførelsespartnere skal også indeholde oplysninger om de investeringshindringer, der stødes på i forbindelse med finansierings- og investeringstransaktioner, der er omfattet af denne forordning. Rapporterne skal indeholde de </w:t>
      </w:r>
      <w:r w:rsidRPr="00E649AE">
        <w:lastRenderedPageBreak/>
        <w:t>oplysninger, som gennemførelsespartnerne skal fremlægge i henhold til finansforordningens artikel 155, stk. 1, litra a)." </w:t>
      </w:r>
    </w:p>
    <w:p w14:paraId="428E02A0" w14:textId="77777777" w:rsidR="005C2C74" w:rsidRPr="00E649AE" w:rsidRDefault="005C2C74" w:rsidP="005C2C74">
      <w:pPr>
        <w:keepNext/>
        <w:widowControl/>
        <w:spacing w:before="360" w:after="120"/>
        <w:jc w:val="center"/>
        <w:rPr>
          <w:rFonts w:eastAsia="Calibri"/>
          <w:b/>
          <w:i/>
          <w:szCs w:val="22"/>
        </w:rPr>
      </w:pPr>
      <w:r w:rsidRPr="00E649AE">
        <w:rPr>
          <w:b/>
          <w:i/>
        </w:rPr>
        <w:t>Artikel 5a</w:t>
      </w:r>
    </w:p>
    <w:p w14:paraId="5D0799E0" w14:textId="77777777" w:rsidR="005C2C74" w:rsidRPr="00E649AE" w:rsidRDefault="005C2C74" w:rsidP="005C2C74">
      <w:pPr>
        <w:widowControl/>
        <w:spacing w:before="120" w:after="120"/>
        <w:jc w:val="center"/>
        <w:rPr>
          <w:rFonts w:eastAsia="Calibri"/>
          <w:b/>
          <w:bCs/>
          <w:szCs w:val="22"/>
        </w:rPr>
      </w:pPr>
      <w:r w:rsidRPr="00E649AE">
        <w:rPr>
          <w:b/>
        </w:rPr>
        <w:t>Tilpasning til Rådets forordning (EU) nr. 1024/2013</w:t>
      </w:r>
    </w:p>
    <w:p w14:paraId="07A719D8" w14:textId="4C27DA2D" w:rsidR="005C2C74" w:rsidRPr="00E649AE" w:rsidRDefault="005C2C74" w:rsidP="00902D9C">
      <w:pPr>
        <w:widowControl/>
        <w:rPr>
          <w:rFonts w:eastAsia="Calibri"/>
          <w:szCs w:val="24"/>
        </w:rPr>
      </w:pPr>
      <w:r w:rsidRPr="00E649AE">
        <w:rPr>
          <w:b/>
          <w:i/>
        </w:rPr>
        <w:t>Senest ... [tre måneder fra datoen for denne ændringsforordnings ikrafttræden] forelægger Kommissionen, hvor det er relevant, et lovgivningsforslag for Rådet med henblik på at tilpasse ændringerne til forordning (EU) nr. 1092/2010, (EU) nr. 1093/2010, (EU) nr. 1094/2010, (EU) nr. 1095/2010, (EU) nr. 806/2014 og (EU) …/...</w:t>
      </w:r>
      <w:r w:rsidR="006567A0">
        <w:rPr>
          <w:rStyle w:val="FootnoteReference"/>
          <w:b/>
          <w:i/>
        </w:rPr>
        <w:footnoteReference w:customMarkFollows="1" w:id="25"/>
        <w:t>+</w:t>
      </w:r>
      <w:r w:rsidRPr="00E649AE">
        <w:rPr>
          <w:b/>
          <w:i/>
        </w:rPr>
        <w:t xml:space="preserve"> i denne forordning til Rådets forordning (EU) nr. 1024/2013.</w:t>
      </w:r>
    </w:p>
    <w:p w14:paraId="3097236D" w14:textId="77777777" w:rsidR="005C2C74" w:rsidRPr="00E649AE" w:rsidRDefault="005C2C74" w:rsidP="005C2C74">
      <w:pPr>
        <w:widowControl/>
        <w:spacing w:before="120" w:after="120"/>
        <w:jc w:val="both"/>
        <w:rPr>
          <w:rFonts w:eastAsia="Calibri"/>
          <w:szCs w:val="22"/>
          <w:lang w:eastAsia="en-US"/>
        </w:rPr>
      </w:pPr>
    </w:p>
    <w:p w14:paraId="3136C9AA" w14:textId="77777777" w:rsidR="005C2C74" w:rsidRPr="00E649AE" w:rsidRDefault="005C2C74" w:rsidP="005C2C74">
      <w:pPr>
        <w:keepNext/>
        <w:widowControl/>
        <w:spacing w:before="360" w:after="120"/>
        <w:jc w:val="center"/>
        <w:rPr>
          <w:rFonts w:eastAsia="Calibri"/>
          <w:i/>
          <w:szCs w:val="22"/>
        </w:rPr>
      </w:pPr>
      <w:r w:rsidRPr="00E649AE">
        <w:rPr>
          <w:i/>
        </w:rPr>
        <w:t>Artikel 6</w:t>
      </w:r>
    </w:p>
    <w:p w14:paraId="1DE35A06" w14:textId="77777777" w:rsidR="005C2C74" w:rsidRPr="00E649AE" w:rsidRDefault="005C2C74" w:rsidP="005C2C74">
      <w:pPr>
        <w:widowControl/>
        <w:spacing w:before="120" w:after="120"/>
        <w:jc w:val="center"/>
        <w:rPr>
          <w:rFonts w:eastAsia="Calibri"/>
          <w:b/>
          <w:bCs/>
          <w:szCs w:val="22"/>
        </w:rPr>
      </w:pPr>
      <w:r w:rsidRPr="00E649AE">
        <w:rPr>
          <w:b/>
        </w:rPr>
        <w:t>Ikrafttræden</w:t>
      </w:r>
    </w:p>
    <w:p w14:paraId="360154CC" w14:textId="77777777" w:rsidR="005C2C74" w:rsidRPr="00E649AE" w:rsidRDefault="005C2C74" w:rsidP="005C2C74">
      <w:pPr>
        <w:widowControl/>
        <w:spacing w:before="120" w:after="120"/>
        <w:jc w:val="both"/>
        <w:rPr>
          <w:rFonts w:eastAsia="Calibri"/>
          <w:szCs w:val="22"/>
          <w:lang w:eastAsia="en-US"/>
        </w:rPr>
      </w:pPr>
    </w:p>
    <w:p w14:paraId="6C1EEDEC" w14:textId="77777777" w:rsidR="005C2C74" w:rsidRPr="00E649AE" w:rsidRDefault="005C2C74" w:rsidP="00902D9C">
      <w:pPr>
        <w:widowControl/>
        <w:spacing w:before="120" w:after="120"/>
        <w:rPr>
          <w:rFonts w:eastAsia="Calibri"/>
          <w:szCs w:val="22"/>
        </w:rPr>
      </w:pPr>
      <w:r w:rsidRPr="00E649AE">
        <w:t xml:space="preserve">Denne forordning træder i kraft på tyvendedagen efter offentliggørelsen i </w:t>
      </w:r>
      <w:r w:rsidRPr="00E649AE">
        <w:rPr>
          <w:i/>
        </w:rPr>
        <w:t>Den Europæiske Unions Tidende</w:t>
      </w:r>
      <w:r w:rsidRPr="00E649AE">
        <w:t>.</w:t>
      </w:r>
    </w:p>
    <w:p w14:paraId="799A7270" w14:textId="77777777" w:rsidR="005C2C74" w:rsidRPr="00E649AE" w:rsidRDefault="005C2C74" w:rsidP="00902D9C">
      <w:pPr>
        <w:widowControl/>
        <w:spacing w:before="480" w:after="120"/>
        <w:rPr>
          <w:rFonts w:eastAsia="Calibri"/>
          <w:szCs w:val="22"/>
        </w:rPr>
      </w:pPr>
      <w:r w:rsidRPr="00E649AE">
        <w:t>Denne forordning er bindende i alle enkeltheder og gælder umiddelbart i hver medlemsstat.</w:t>
      </w:r>
    </w:p>
    <w:p w14:paraId="35252EB2" w14:textId="2B50F88C" w:rsidR="005C2C74" w:rsidRPr="00E649AE" w:rsidRDefault="005C2C74" w:rsidP="00902D9C">
      <w:pPr>
        <w:keepNext/>
        <w:widowControl/>
        <w:spacing w:before="120"/>
        <w:rPr>
          <w:rFonts w:eastAsia="Calibri"/>
          <w:szCs w:val="22"/>
        </w:rPr>
      </w:pPr>
      <w:r w:rsidRPr="00E649AE">
        <w:t xml:space="preserve">Udfærdiget i </w:t>
      </w:r>
      <w:r w:rsidR="00CD5A6E">
        <w:t>...</w:t>
      </w:r>
      <w:r w:rsidRPr="00E649AE">
        <w:t>, den […].</w:t>
      </w:r>
    </w:p>
    <w:p w14:paraId="6E7D2DD1" w14:textId="77777777" w:rsidR="005C2C74" w:rsidRPr="00E649AE" w:rsidRDefault="005C2C74" w:rsidP="00902D9C">
      <w:pPr>
        <w:keepNext/>
        <w:widowControl/>
        <w:tabs>
          <w:tab w:val="left" w:pos="4253"/>
        </w:tabs>
        <w:spacing w:before="720"/>
        <w:rPr>
          <w:rFonts w:eastAsia="Calibri"/>
          <w:i/>
          <w:szCs w:val="22"/>
        </w:rPr>
      </w:pPr>
      <w:r w:rsidRPr="00E649AE">
        <w:rPr>
          <w:i/>
        </w:rPr>
        <w:t>På Europa-Parlamentets vegne</w:t>
      </w:r>
      <w:r w:rsidRPr="00E649AE">
        <w:rPr>
          <w:i/>
        </w:rPr>
        <w:tab/>
        <w:t>På Rådets vegne</w:t>
      </w:r>
    </w:p>
    <w:p w14:paraId="53538BE2" w14:textId="77777777" w:rsidR="00E365E1" w:rsidRDefault="005C2C74" w:rsidP="00A07C5D">
      <w:pPr>
        <w:tabs>
          <w:tab w:val="left" w:pos="4253"/>
        </w:tabs>
        <w:rPr>
          <w:i/>
        </w:rPr>
      </w:pPr>
      <w:r w:rsidRPr="00E649AE">
        <w:rPr>
          <w:i/>
        </w:rPr>
        <w:t>Formand</w:t>
      </w:r>
      <w:r w:rsidRPr="00E649AE">
        <w:rPr>
          <w:i/>
        </w:rPr>
        <w:tab/>
      </w:r>
      <w:proofErr w:type="spellStart"/>
      <w:r w:rsidRPr="00E649AE">
        <w:rPr>
          <w:i/>
        </w:rPr>
        <w:t>Formand</w:t>
      </w:r>
      <w:bookmarkStart w:id="9" w:name="TextBodyEnd"/>
      <w:bookmarkEnd w:id="9"/>
      <w:proofErr w:type="spellEnd"/>
    </w:p>
    <w:p w14:paraId="472A38BD" w14:textId="77777777" w:rsidR="00CD5A6E" w:rsidRPr="00CD5A6E" w:rsidRDefault="00CD5A6E" w:rsidP="00FC36E0">
      <w:pPr>
        <w:tabs>
          <w:tab w:val="left" w:pos="4253"/>
        </w:tabs>
      </w:pPr>
    </w:p>
    <w:sectPr w:rsidR="00CD5A6E" w:rsidRPr="00CD5A6E" w:rsidSect="00E649A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2650CE" w14:textId="77777777" w:rsidR="00EA60B7" w:rsidRPr="00E649AE" w:rsidRDefault="00EA60B7">
      <w:r w:rsidRPr="00E649AE">
        <w:separator/>
      </w:r>
    </w:p>
  </w:endnote>
  <w:endnote w:type="continuationSeparator" w:id="0">
    <w:p w14:paraId="4D10D979" w14:textId="77777777" w:rsidR="00EA60B7" w:rsidRPr="00E649AE" w:rsidRDefault="00EA60B7">
      <w:r w:rsidRPr="00E649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k">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BE2E5" w14:textId="77777777" w:rsidR="00064002" w:rsidRPr="00E649A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B55D6" w14:textId="77777777" w:rsidR="00064002" w:rsidRPr="00E649A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D3799" w14:textId="77777777" w:rsidR="00064002" w:rsidRPr="00E649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441787" w14:textId="77777777" w:rsidR="00EA60B7" w:rsidRPr="00E649AE" w:rsidRDefault="00EA60B7">
      <w:r w:rsidRPr="00E649AE">
        <w:separator/>
      </w:r>
    </w:p>
  </w:footnote>
  <w:footnote w:type="continuationSeparator" w:id="0">
    <w:p w14:paraId="577FF21B" w14:textId="77777777" w:rsidR="00EA60B7" w:rsidRPr="00E649AE" w:rsidRDefault="00EA60B7">
      <w:r w:rsidRPr="00E649AE">
        <w:continuationSeparator/>
      </w:r>
    </w:p>
  </w:footnote>
  <w:footnote w:id="1">
    <w:p w14:paraId="4AE29E93" w14:textId="0C78E51F" w:rsidR="00C876B8" w:rsidRPr="00C876B8" w:rsidRDefault="00C876B8" w:rsidP="00C876B8">
      <w:pPr>
        <w:pStyle w:val="FootnoteText"/>
        <w:ind w:left="851" w:hanging="851"/>
        <w:rPr>
          <w:sz w:val="24"/>
          <w:szCs w:val="24"/>
          <w:lang w:val="da-DK"/>
        </w:rPr>
      </w:pPr>
      <w:r w:rsidRPr="00C876B8">
        <w:rPr>
          <w:rStyle w:val="FootnoteReference"/>
          <w:sz w:val="24"/>
          <w:szCs w:val="24"/>
        </w:rPr>
        <w:footnoteRef/>
      </w:r>
      <w:r w:rsidRPr="00C876B8">
        <w:rPr>
          <w:sz w:val="24"/>
          <w:szCs w:val="24"/>
          <w:lang w:val="da-DK"/>
        </w:rPr>
        <w:t xml:space="preserve"> </w:t>
      </w:r>
      <w:r w:rsidRPr="00C876B8">
        <w:rPr>
          <w:sz w:val="24"/>
          <w:szCs w:val="24"/>
          <w:lang w:val="da-DK"/>
        </w:rPr>
        <w:tab/>
        <w:t>Endnu ikke offentliggjort i EUT.</w:t>
      </w:r>
    </w:p>
  </w:footnote>
  <w:footnote w:id="2">
    <w:p w14:paraId="439AB2CC" w14:textId="070E9250" w:rsidR="00520D7E" w:rsidRPr="00C876B8" w:rsidRDefault="00520D7E" w:rsidP="00C876B8">
      <w:pPr>
        <w:pStyle w:val="FootnoteText"/>
        <w:ind w:left="851" w:hanging="851"/>
        <w:rPr>
          <w:sz w:val="24"/>
          <w:szCs w:val="24"/>
          <w:lang w:val="da-DK"/>
        </w:rPr>
      </w:pPr>
      <w:r w:rsidRPr="00C876B8">
        <w:rPr>
          <w:rStyle w:val="FootnoteReference"/>
          <w:sz w:val="24"/>
          <w:szCs w:val="24"/>
          <w:lang w:val="da-DK"/>
        </w:rPr>
        <w:t>*</w:t>
      </w:r>
      <w:r w:rsidRPr="00C876B8">
        <w:rPr>
          <w:sz w:val="24"/>
          <w:szCs w:val="24"/>
          <w:lang w:val="da-DK"/>
        </w:rPr>
        <w:t xml:space="preserve"> </w:t>
      </w:r>
      <w:r w:rsidRPr="00C876B8">
        <w:rPr>
          <w:sz w:val="24"/>
          <w:szCs w:val="24"/>
          <w:lang w:val="da-DK"/>
        </w:rPr>
        <w:tab/>
        <w:t>Ændringerne i hele teksten følger af vedtagelsen af ændringsforslag 1. Ny eller ændret tekst er fremhævet med fede typer og kursiv</w:t>
      </w:r>
      <w:r w:rsidR="00E33EC5" w:rsidRPr="00C876B8">
        <w:rPr>
          <w:sz w:val="24"/>
          <w:szCs w:val="24"/>
          <w:lang w:val="da-DK"/>
        </w:rPr>
        <w:t>;</w:t>
      </w:r>
      <w:r w:rsidRPr="00C876B8">
        <w:rPr>
          <w:sz w:val="24"/>
          <w:szCs w:val="24"/>
          <w:lang w:val="da-DK"/>
        </w:rPr>
        <w:t xml:space="preserve"> sletninger er angivet med symbolet </w:t>
      </w:r>
      <w:r w:rsidRPr="00C876B8">
        <w:rPr>
          <w:rFonts w:eastAsia="PMingLiU"/>
          <w:sz w:val="24"/>
          <w:szCs w:val="24"/>
          <w:lang w:val="da-DK" w:eastAsia="zh-TW"/>
        </w:rPr>
        <w:t>▌</w:t>
      </w:r>
      <w:r w:rsidRPr="00C876B8">
        <w:rPr>
          <w:rFonts w:eastAsia="PMingLiU"/>
          <w:b/>
          <w:bCs/>
          <w:sz w:val="24"/>
          <w:szCs w:val="24"/>
          <w:lang w:val="da-DK" w:eastAsia="zh-TW"/>
        </w:rPr>
        <w:t>.</w:t>
      </w:r>
    </w:p>
  </w:footnote>
  <w:footnote w:id="3">
    <w:p w14:paraId="20C4CBBE" w14:textId="77777777" w:rsidR="005C2C74" w:rsidRPr="00C876B8" w:rsidRDefault="005C2C74" w:rsidP="00C876B8">
      <w:pPr>
        <w:pStyle w:val="FootnoteText"/>
        <w:ind w:left="851" w:hanging="851"/>
        <w:rPr>
          <w:sz w:val="24"/>
          <w:szCs w:val="24"/>
        </w:rPr>
      </w:pPr>
      <w:r w:rsidRPr="00C876B8">
        <w:rPr>
          <w:rStyle w:val="FootnoteReference"/>
          <w:sz w:val="24"/>
          <w:szCs w:val="24"/>
          <w:lang w:val="da-DK"/>
        </w:rPr>
        <w:footnoteRef/>
      </w:r>
      <w:r w:rsidR="00E649AE" w:rsidRPr="00C876B8">
        <w:rPr>
          <w:sz w:val="24"/>
          <w:szCs w:val="24"/>
        </w:rPr>
        <w:t xml:space="preserve"> </w:t>
      </w:r>
      <w:r w:rsidR="00E649AE" w:rsidRPr="00C876B8">
        <w:rPr>
          <w:sz w:val="24"/>
          <w:szCs w:val="24"/>
        </w:rPr>
        <w:tab/>
      </w:r>
      <w:r w:rsidRPr="00C876B8">
        <w:rPr>
          <w:sz w:val="24"/>
          <w:szCs w:val="24"/>
        </w:rPr>
        <w:t>EUT C […], […], s. […]</w:t>
      </w:r>
    </w:p>
  </w:footnote>
  <w:footnote w:id="4">
    <w:p w14:paraId="38C8ECB3" w14:textId="77777777" w:rsidR="005C2C74" w:rsidRPr="00C876B8" w:rsidRDefault="005C2C74" w:rsidP="00C876B8">
      <w:pPr>
        <w:pStyle w:val="FootnoteText"/>
        <w:ind w:left="851" w:hanging="851"/>
        <w:rPr>
          <w:sz w:val="24"/>
          <w:szCs w:val="24"/>
        </w:rPr>
      </w:pPr>
      <w:r w:rsidRPr="00C876B8">
        <w:rPr>
          <w:rStyle w:val="FootnoteReference"/>
          <w:sz w:val="24"/>
          <w:szCs w:val="24"/>
          <w:lang w:val="da-DK"/>
        </w:rPr>
        <w:footnoteRef/>
      </w:r>
      <w:r w:rsidR="00E649AE" w:rsidRPr="00C876B8">
        <w:rPr>
          <w:sz w:val="24"/>
          <w:szCs w:val="24"/>
        </w:rPr>
        <w:t xml:space="preserve"> </w:t>
      </w:r>
      <w:r w:rsidR="00E649AE" w:rsidRPr="00C876B8">
        <w:rPr>
          <w:sz w:val="24"/>
          <w:szCs w:val="24"/>
        </w:rPr>
        <w:tab/>
      </w:r>
      <w:r w:rsidRPr="00C876B8">
        <w:rPr>
          <w:sz w:val="24"/>
          <w:szCs w:val="24"/>
        </w:rPr>
        <w:t>EUT C […], […], s. […].</w:t>
      </w:r>
    </w:p>
  </w:footnote>
  <w:footnote w:id="5">
    <w:p w14:paraId="0F2D5D1B" w14:textId="77777777" w:rsidR="005C2C74" w:rsidRPr="00C876B8" w:rsidRDefault="005C2C74" w:rsidP="00C876B8">
      <w:pPr>
        <w:pStyle w:val="FootnoteText"/>
        <w:ind w:left="851" w:hanging="851"/>
        <w:rPr>
          <w:sz w:val="24"/>
          <w:szCs w:val="24"/>
          <w:lang w:val="da-DK"/>
        </w:rPr>
      </w:pPr>
      <w:r w:rsidRPr="00C876B8">
        <w:rPr>
          <w:rStyle w:val="FootnoteReference"/>
          <w:sz w:val="24"/>
          <w:szCs w:val="24"/>
          <w:lang w:val="da-DK"/>
        </w:rPr>
        <w:footnoteRef/>
      </w:r>
      <w:r w:rsidR="00E649AE" w:rsidRPr="00C876B8">
        <w:rPr>
          <w:sz w:val="24"/>
          <w:szCs w:val="24"/>
          <w:lang w:val="da-DK"/>
        </w:rPr>
        <w:t xml:space="preserve"> </w:t>
      </w:r>
      <w:r w:rsidR="00E649AE" w:rsidRPr="00C876B8">
        <w:rPr>
          <w:sz w:val="24"/>
          <w:szCs w:val="24"/>
          <w:lang w:val="da-DK"/>
        </w:rPr>
        <w:tab/>
      </w:r>
      <w:r w:rsidRPr="00C876B8">
        <w:rPr>
          <w:sz w:val="24"/>
          <w:szCs w:val="24"/>
          <w:lang w:val="da-DK"/>
        </w:rPr>
        <w:t xml:space="preserve">Europa-Parlamentets og Rådets forordning (EU) 2021/523 af 24. marts 2021 om oprettelse af </w:t>
      </w:r>
      <w:proofErr w:type="spellStart"/>
      <w:r w:rsidRPr="00C876B8">
        <w:rPr>
          <w:sz w:val="24"/>
          <w:szCs w:val="24"/>
          <w:lang w:val="da-DK"/>
        </w:rPr>
        <w:t>InvestEU</w:t>
      </w:r>
      <w:proofErr w:type="spellEnd"/>
      <w:r w:rsidRPr="00C876B8">
        <w:rPr>
          <w:sz w:val="24"/>
          <w:szCs w:val="24"/>
          <w:lang w:val="da-DK"/>
        </w:rPr>
        <w:t>-programmet og om ændring af forordning (EU) 2015/1017 (EUT L 107 af 26.3.2021, s. 30).</w:t>
      </w:r>
    </w:p>
  </w:footnote>
  <w:footnote w:id="6">
    <w:p w14:paraId="5A5992A0" w14:textId="77777777" w:rsidR="005C2C74" w:rsidRPr="00C876B8" w:rsidRDefault="005C2C74" w:rsidP="00C876B8">
      <w:pPr>
        <w:pStyle w:val="FootnoteText"/>
        <w:ind w:left="851" w:hanging="851"/>
        <w:rPr>
          <w:sz w:val="24"/>
          <w:szCs w:val="24"/>
          <w:lang w:val="da-DK"/>
        </w:rPr>
      </w:pPr>
      <w:r w:rsidRPr="00C876B8">
        <w:rPr>
          <w:rStyle w:val="FootnoteReference"/>
          <w:sz w:val="24"/>
          <w:szCs w:val="24"/>
          <w:lang w:val="da-DK"/>
        </w:rPr>
        <w:footnoteRef/>
      </w:r>
      <w:r w:rsidR="00E649AE" w:rsidRPr="00C876B8">
        <w:rPr>
          <w:sz w:val="24"/>
          <w:szCs w:val="24"/>
          <w:lang w:val="da-DK"/>
        </w:rPr>
        <w:t xml:space="preserve"> </w:t>
      </w:r>
      <w:r w:rsidR="00E649AE" w:rsidRPr="00C876B8">
        <w:rPr>
          <w:sz w:val="24"/>
          <w:szCs w:val="24"/>
          <w:lang w:val="da-DK"/>
        </w:rPr>
        <w:tab/>
      </w:r>
      <w:r w:rsidRPr="00C876B8">
        <w:rPr>
          <w:sz w:val="24"/>
          <w:szCs w:val="24"/>
          <w:lang w:val="da-DK"/>
        </w:rPr>
        <w:t>Europa-Parlamentets og Rådets forordning (EU) nr. 1092/2010 af 24. november 2010 om makrotilsyn på EU-plan med det finansielle system og om oprettelse af et europæisk udvalg for systemiske risici (EUT L 331 af 15.12.2010, s. 1).</w:t>
      </w:r>
    </w:p>
  </w:footnote>
  <w:footnote w:id="7">
    <w:p w14:paraId="395AD858" w14:textId="77777777" w:rsidR="005C2C74" w:rsidRPr="00C876B8" w:rsidRDefault="005C2C74" w:rsidP="00C876B8">
      <w:pPr>
        <w:pStyle w:val="FootnoteText"/>
        <w:ind w:left="851" w:hanging="851"/>
        <w:rPr>
          <w:sz w:val="24"/>
          <w:szCs w:val="24"/>
          <w:lang w:val="da-DK"/>
        </w:rPr>
      </w:pPr>
      <w:r w:rsidRPr="00C876B8">
        <w:rPr>
          <w:rStyle w:val="FootnoteReference"/>
          <w:sz w:val="24"/>
          <w:szCs w:val="24"/>
          <w:lang w:val="da-DK"/>
        </w:rPr>
        <w:footnoteRef/>
      </w:r>
      <w:r w:rsidR="00E649AE" w:rsidRPr="00C876B8">
        <w:rPr>
          <w:sz w:val="24"/>
          <w:szCs w:val="24"/>
          <w:lang w:val="da-DK"/>
        </w:rPr>
        <w:t xml:space="preserve"> </w:t>
      </w:r>
      <w:r w:rsidR="00E649AE" w:rsidRPr="00C876B8">
        <w:rPr>
          <w:sz w:val="24"/>
          <w:szCs w:val="24"/>
          <w:lang w:val="da-DK"/>
        </w:rPr>
        <w:tab/>
      </w:r>
      <w:r w:rsidRPr="00C876B8">
        <w:rPr>
          <w:sz w:val="24"/>
          <w:szCs w:val="24"/>
          <w:lang w:val="da-DK"/>
        </w:rPr>
        <w:t>Europa-Parlamentets og Rådets forordning (EU) nr. 1093/2010 af 24. november 2010 om oprettelse af en europæisk tilsynsmyndighed (Den Europæiske Banktilsynsmyndighed), om ændring af afgørelse nr. 716/2009/EF og om ophævelse af Kommissionens afgørelse 2009/78/EF (EUT L 331 af 15.12.2010, s. 12).</w:t>
      </w:r>
    </w:p>
  </w:footnote>
  <w:footnote w:id="8">
    <w:p w14:paraId="6D2A8819" w14:textId="77777777" w:rsidR="005C2C74" w:rsidRPr="00C876B8" w:rsidRDefault="005C2C74" w:rsidP="00C876B8">
      <w:pPr>
        <w:pStyle w:val="FootnoteText"/>
        <w:ind w:left="851" w:hanging="851"/>
        <w:rPr>
          <w:sz w:val="24"/>
          <w:szCs w:val="24"/>
          <w:lang w:val="da-DK"/>
        </w:rPr>
      </w:pPr>
      <w:r w:rsidRPr="00C876B8">
        <w:rPr>
          <w:rStyle w:val="FootnoteReference"/>
          <w:sz w:val="24"/>
          <w:szCs w:val="24"/>
          <w:lang w:val="da-DK"/>
        </w:rPr>
        <w:footnoteRef/>
      </w:r>
      <w:r w:rsidR="00E649AE" w:rsidRPr="00C876B8">
        <w:rPr>
          <w:sz w:val="24"/>
          <w:szCs w:val="24"/>
          <w:lang w:val="da-DK"/>
        </w:rPr>
        <w:t xml:space="preserve"> </w:t>
      </w:r>
      <w:r w:rsidR="00E649AE" w:rsidRPr="00C876B8">
        <w:rPr>
          <w:sz w:val="24"/>
          <w:szCs w:val="24"/>
          <w:lang w:val="da-DK"/>
        </w:rPr>
        <w:tab/>
      </w:r>
      <w:r w:rsidRPr="00C876B8">
        <w:rPr>
          <w:sz w:val="24"/>
          <w:szCs w:val="24"/>
          <w:lang w:val="da-DK"/>
        </w:rPr>
        <w:t>Europa-Parlamentets og Rådets forordning (EU) nr. 1094/2010 af 24. november 2010 om oprettelse af en europæisk tilsynsmyndighed (Den Europæiske Tilsynsmyndighed for Forsikrings- og Arbejdsmarkedspensionsordninger), om ændring af afgørelse nr. 716/2009/EF og om ophævelse af Kommissionens afgørelse 2009/79/EF (EUT L 331 af 15.12.2010, s. 48).</w:t>
      </w:r>
    </w:p>
  </w:footnote>
  <w:footnote w:id="9">
    <w:p w14:paraId="13B42903" w14:textId="77777777" w:rsidR="005C2C74" w:rsidRPr="00C876B8" w:rsidRDefault="005C2C74" w:rsidP="00C876B8">
      <w:pPr>
        <w:pStyle w:val="FootnoteText"/>
        <w:ind w:left="851" w:hanging="851"/>
        <w:rPr>
          <w:sz w:val="24"/>
          <w:szCs w:val="24"/>
          <w:lang w:val="da-DK"/>
        </w:rPr>
      </w:pPr>
      <w:r w:rsidRPr="00C876B8">
        <w:rPr>
          <w:rStyle w:val="FootnoteReference"/>
          <w:sz w:val="24"/>
          <w:szCs w:val="24"/>
          <w:lang w:val="da-DK"/>
        </w:rPr>
        <w:footnoteRef/>
      </w:r>
      <w:r w:rsidR="00E649AE" w:rsidRPr="00C876B8">
        <w:rPr>
          <w:sz w:val="24"/>
          <w:szCs w:val="24"/>
          <w:lang w:val="da-DK"/>
        </w:rPr>
        <w:t xml:space="preserve"> </w:t>
      </w:r>
      <w:r w:rsidR="00E649AE" w:rsidRPr="00C876B8">
        <w:rPr>
          <w:sz w:val="24"/>
          <w:szCs w:val="24"/>
          <w:lang w:val="da-DK"/>
        </w:rPr>
        <w:tab/>
      </w:r>
      <w:r w:rsidRPr="00C876B8">
        <w:rPr>
          <w:sz w:val="24"/>
          <w:szCs w:val="24"/>
          <w:lang w:val="da-DK"/>
        </w:rPr>
        <w:t>Europa-Parlamentets og Rådets forordning (EU) nr. 1095/2010 af 24. november 2010 om oprettelse af en europæisk tilsynsmyndighed (Den Europæiske Værdipapir- og Markedstilsynsmyndighed), om ændring af afgørelse nr. 716/2009/EF og om ophævelse af Kommissionens afgørelse 2009/77/EF (EUT L 331 af 15.12.2010, s. 84).</w:t>
      </w:r>
    </w:p>
  </w:footnote>
  <w:footnote w:id="10">
    <w:p w14:paraId="36DB99AA" w14:textId="18FD0DC8" w:rsidR="00C876B8" w:rsidRPr="00C876B8" w:rsidRDefault="00C876B8" w:rsidP="00C876B8">
      <w:pPr>
        <w:pStyle w:val="FootnoteText"/>
        <w:ind w:left="851" w:hanging="851"/>
        <w:rPr>
          <w:sz w:val="24"/>
          <w:szCs w:val="24"/>
          <w:lang w:val="da-DK"/>
        </w:rPr>
      </w:pPr>
      <w:r w:rsidRPr="00C876B8">
        <w:rPr>
          <w:rStyle w:val="FootnoteReference"/>
          <w:sz w:val="24"/>
          <w:szCs w:val="24"/>
        </w:rPr>
        <w:footnoteRef/>
      </w:r>
      <w:r w:rsidRPr="00C876B8">
        <w:rPr>
          <w:sz w:val="24"/>
          <w:szCs w:val="24"/>
          <w:lang w:val="da-DK"/>
        </w:rPr>
        <w:t xml:space="preserve"> </w:t>
      </w:r>
      <w:r w:rsidRPr="00C876B8">
        <w:rPr>
          <w:sz w:val="24"/>
          <w:szCs w:val="24"/>
          <w:lang w:val="da-DK"/>
        </w:rPr>
        <w:tab/>
      </w:r>
      <w:r w:rsidRPr="00C876B8">
        <w:rPr>
          <w:b/>
          <w:i/>
          <w:sz w:val="24"/>
          <w:szCs w:val="24"/>
          <w:lang w:val="da-DK"/>
        </w:rPr>
        <w:t>Europa-Parlamentets og Rådets forordning (EU) nr. 806/2014 af 15. juli 2014 om ensartede regler og en ensartet procedure for afvikling af kreditinstitutter og visse investeringsselskaber inden for rammerne af en fælles afviklingsmekanisme og en fælles afviklingsfond og om ændring af forordning (EU) nr. 1093/2010 (EUT L 225 af 30.7.2014, s. 1).</w:t>
      </w:r>
    </w:p>
  </w:footnote>
  <w:footnote w:id="11">
    <w:p w14:paraId="6B8B5860" w14:textId="79B4C2E2" w:rsidR="006567A0" w:rsidRPr="006567A0" w:rsidRDefault="006567A0" w:rsidP="006567A0">
      <w:pPr>
        <w:pStyle w:val="FootnoteText"/>
        <w:ind w:left="851" w:hanging="851"/>
        <w:rPr>
          <w:lang w:val="da-DK"/>
        </w:rPr>
      </w:pPr>
      <w:r w:rsidRPr="006567A0">
        <w:rPr>
          <w:rStyle w:val="FootnoteReference"/>
          <w:lang w:val="da-DK"/>
        </w:rPr>
        <w:t>+</w:t>
      </w:r>
      <w:r w:rsidRPr="006567A0">
        <w:rPr>
          <w:lang w:val="da-DK"/>
        </w:rPr>
        <w:t xml:space="preserve"> </w:t>
      </w:r>
      <w:r w:rsidRPr="00C876B8">
        <w:rPr>
          <w:sz w:val="24"/>
          <w:szCs w:val="24"/>
          <w:lang w:val="da-DK"/>
        </w:rPr>
        <w:tab/>
      </w:r>
      <w:r w:rsidRPr="00C876B8">
        <w:rPr>
          <w:b/>
          <w:i/>
          <w:sz w:val="24"/>
          <w:szCs w:val="24"/>
          <w:lang w:val="da-DK"/>
        </w:rPr>
        <w:t xml:space="preserve">Publikationskontoret: Indsæt venligst nummeret på forordningen i dokument 2021/0240(COD) (forslag til en forordning om oprettelse af Myndigheden for Bekæmpelse af Hvidvask af Penge og Finansiering af Terrorisme – </w:t>
      </w:r>
      <w:proofErr w:type="gramStart"/>
      <w:r w:rsidRPr="00C876B8">
        <w:rPr>
          <w:b/>
          <w:i/>
          <w:sz w:val="24"/>
          <w:szCs w:val="24"/>
          <w:lang w:val="da-DK"/>
        </w:rPr>
        <w:t>COM(</w:t>
      </w:r>
      <w:proofErr w:type="gramEnd"/>
      <w:r w:rsidRPr="00C876B8">
        <w:rPr>
          <w:b/>
          <w:i/>
          <w:sz w:val="24"/>
          <w:szCs w:val="24"/>
          <w:lang w:val="da-DK"/>
        </w:rPr>
        <w:t xml:space="preserve">2021)0421) i teksten, og indsæt nævnte forordnings nummer, dato, titel og </w:t>
      </w:r>
      <w:proofErr w:type="spellStart"/>
      <w:r w:rsidRPr="00C876B8">
        <w:rPr>
          <w:b/>
          <w:i/>
          <w:sz w:val="24"/>
          <w:szCs w:val="24"/>
          <w:lang w:val="da-DK"/>
        </w:rPr>
        <w:t>EUT</w:t>
      </w:r>
      <w:proofErr w:type="spellEnd"/>
      <w:r w:rsidRPr="00C876B8">
        <w:rPr>
          <w:b/>
          <w:i/>
          <w:sz w:val="24"/>
          <w:szCs w:val="24"/>
          <w:lang w:val="da-DK"/>
        </w:rPr>
        <w:t>-henvisning i fodnoten.</w:t>
      </w:r>
    </w:p>
  </w:footnote>
  <w:footnote w:id="12">
    <w:p w14:paraId="6412AB91" w14:textId="00AF4B6A" w:rsidR="00C876B8" w:rsidRPr="00C876B8" w:rsidRDefault="00C876B8" w:rsidP="00C876B8">
      <w:pPr>
        <w:pStyle w:val="FootnoteText"/>
        <w:ind w:left="851" w:hanging="851"/>
        <w:rPr>
          <w:sz w:val="24"/>
          <w:szCs w:val="24"/>
          <w:lang w:val="da-DK"/>
        </w:rPr>
      </w:pPr>
      <w:r w:rsidRPr="00C876B8">
        <w:rPr>
          <w:rStyle w:val="FootnoteReference"/>
          <w:sz w:val="24"/>
          <w:szCs w:val="24"/>
        </w:rPr>
        <w:footnoteRef/>
      </w:r>
      <w:r w:rsidRPr="00C876B8">
        <w:rPr>
          <w:sz w:val="24"/>
          <w:szCs w:val="24"/>
          <w:lang w:val="da-DK"/>
        </w:rPr>
        <w:t xml:space="preserve"> </w:t>
      </w:r>
      <w:r w:rsidRPr="00C876B8">
        <w:rPr>
          <w:sz w:val="24"/>
          <w:szCs w:val="24"/>
          <w:lang w:val="da-DK"/>
        </w:rPr>
        <w:tab/>
      </w:r>
      <w:r w:rsidRPr="00C876B8">
        <w:rPr>
          <w:b/>
          <w:i/>
          <w:sz w:val="24"/>
          <w:szCs w:val="24"/>
          <w:lang w:val="da-DK"/>
        </w:rPr>
        <w:t>Rådets forordning (EU) nr. 1024/2013 af 15. oktober 2013 om overdragelse af specifikke opgaver til Den Europæiske Centralbank i forbindelse med politikker vedrørende tilsyn med kreditinstitutter (EUT L 287 af 29.10.2013, s. 63).</w:t>
      </w:r>
    </w:p>
  </w:footnote>
  <w:footnote w:id="13">
    <w:p w14:paraId="36E2C5CD" w14:textId="77777777" w:rsidR="005C2C74" w:rsidRPr="00C876B8" w:rsidRDefault="005C2C74" w:rsidP="00C876B8">
      <w:pPr>
        <w:pStyle w:val="FootnoteText"/>
        <w:ind w:left="851" w:hanging="851"/>
        <w:rPr>
          <w:sz w:val="24"/>
          <w:szCs w:val="24"/>
          <w:lang w:val="da-DK"/>
        </w:rPr>
      </w:pPr>
      <w:r w:rsidRPr="00C876B8">
        <w:rPr>
          <w:rStyle w:val="FootnoteReference"/>
          <w:sz w:val="24"/>
          <w:szCs w:val="24"/>
          <w:lang w:val="da-DK"/>
        </w:rPr>
        <w:footnoteRef/>
      </w:r>
      <w:r w:rsidR="00E649AE" w:rsidRPr="00C876B8">
        <w:rPr>
          <w:sz w:val="24"/>
          <w:szCs w:val="24"/>
          <w:lang w:val="da-DK"/>
        </w:rPr>
        <w:t xml:space="preserve"> </w:t>
      </w:r>
      <w:r w:rsidR="00E649AE" w:rsidRPr="00C876B8">
        <w:rPr>
          <w:sz w:val="24"/>
          <w:szCs w:val="24"/>
          <w:lang w:val="da-DK"/>
        </w:rPr>
        <w:tab/>
      </w:r>
      <w:proofErr w:type="gramStart"/>
      <w:r w:rsidRPr="00C876B8">
        <w:rPr>
          <w:sz w:val="24"/>
          <w:szCs w:val="24"/>
          <w:lang w:val="da-DK"/>
        </w:rPr>
        <w:t>COM(</w:t>
      </w:r>
      <w:proofErr w:type="gramEnd"/>
      <w:r w:rsidRPr="00C876B8">
        <w:rPr>
          <w:sz w:val="24"/>
          <w:szCs w:val="24"/>
          <w:lang w:val="da-DK"/>
        </w:rPr>
        <w:t>2023)0168.</w:t>
      </w:r>
    </w:p>
  </w:footnote>
  <w:footnote w:id="14">
    <w:p w14:paraId="34CB2D34" w14:textId="77777777" w:rsidR="005C2C74" w:rsidRPr="00C876B8" w:rsidRDefault="005C2C74" w:rsidP="00C876B8">
      <w:pPr>
        <w:pStyle w:val="FootnoteText"/>
        <w:ind w:left="851" w:hanging="851"/>
        <w:rPr>
          <w:sz w:val="24"/>
          <w:szCs w:val="24"/>
          <w:lang w:val="da-DK"/>
        </w:rPr>
      </w:pPr>
      <w:r w:rsidRPr="00C876B8">
        <w:rPr>
          <w:rStyle w:val="FootnoteReference"/>
          <w:sz w:val="24"/>
          <w:szCs w:val="24"/>
          <w:lang w:val="da-DK"/>
        </w:rPr>
        <w:footnoteRef/>
      </w:r>
      <w:r w:rsidR="00E649AE" w:rsidRPr="00C876B8">
        <w:rPr>
          <w:sz w:val="24"/>
          <w:szCs w:val="24"/>
          <w:lang w:val="da-DK"/>
        </w:rPr>
        <w:t xml:space="preserve"> </w:t>
      </w:r>
      <w:r w:rsidR="00E649AE" w:rsidRPr="00C876B8">
        <w:rPr>
          <w:sz w:val="24"/>
          <w:szCs w:val="24"/>
          <w:lang w:val="da-DK"/>
        </w:rPr>
        <w:tab/>
      </w:r>
      <w:r w:rsidRPr="00C876B8">
        <w:rPr>
          <w:sz w:val="24"/>
          <w:szCs w:val="24"/>
          <w:lang w:val="da-DK"/>
        </w:rPr>
        <w:t>Europa-Parlamentets og Rådets forordning (EU) 2022/868 af 30. maj 2022 om europæisk datastyring og om ændring af forordning (EU) 2018/1724 (forordning om datastyring) (EUT L 152 af 3.6.2022, s. 1).</w:t>
      </w:r>
    </w:p>
  </w:footnote>
  <w:footnote w:id="15">
    <w:p w14:paraId="2A8D6DE7" w14:textId="77777777" w:rsidR="006567A0" w:rsidRPr="006567A0" w:rsidRDefault="006567A0" w:rsidP="006567A0">
      <w:pPr>
        <w:pStyle w:val="FootnoteText"/>
        <w:ind w:left="851" w:hanging="851"/>
        <w:rPr>
          <w:lang w:val="da-DK"/>
        </w:rPr>
      </w:pPr>
      <w:r w:rsidRPr="006567A0">
        <w:rPr>
          <w:rStyle w:val="FootnoteReference"/>
          <w:lang w:val="da-DK"/>
        </w:rPr>
        <w:t>+</w:t>
      </w:r>
      <w:r w:rsidRPr="006567A0">
        <w:rPr>
          <w:lang w:val="da-DK"/>
        </w:rPr>
        <w:t xml:space="preserve"> </w:t>
      </w:r>
      <w:r w:rsidRPr="00C876B8">
        <w:rPr>
          <w:sz w:val="24"/>
          <w:szCs w:val="24"/>
          <w:lang w:val="da-DK"/>
        </w:rPr>
        <w:tab/>
      </w:r>
      <w:r w:rsidRPr="00C876B8">
        <w:rPr>
          <w:b/>
          <w:i/>
          <w:sz w:val="24"/>
          <w:szCs w:val="24"/>
          <w:lang w:val="da-DK"/>
        </w:rPr>
        <w:t xml:space="preserve">Publikationskontoret: Indsæt venligst nummeret på forordningen i dokument 2021/0240(COD) (forslag til en forordning om oprettelse af Myndigheden for Bekæmpelse af Hvidvask af Penge og Finansiering af Terrorisme – </w:t>
      </w:r>
      <w:proofErr w:type="gramStart"/>
      <w:r w:rsidRPr="00C876B8">
        <w:rPr>
          <w:b/>
          <w:i/>
          <w:sz w:val="24"/>
          <w:szCs w:val="24"/>
          <w:lang w:val="da-DK"/>
        </w:rPr>
        <w:t>COM(</w:t>
      </w:r>
      <w:proofErr w:type="gramEnd"/>
      <w:r w:rsidRPr="00C876B8">
        <w:rPr>
          <w:b/>
          <w:i/>
          <w:sz w:val="24"/>
          <w:szCs w:val="24"/>
          <w:lang w:val="da-DK"/>
        </w:rPr>
        <w:t xml:space="preserve">2021)0421) i teksten, og indsæt nævnte forordnings nummer, dato, titel og </w:t>
      </w:r>
      <w:proofErr w:type="spellStart"/>
      <w:r w:rsidRPr="00C876B8">
        <w:rPr>
          <w:b/>
          <w:i/>
          <w:sz w:val="24"/>
          <w:szCs w:val="24"/>
          <w:lang w:val="da-DK"/>
        </w:rPr>
        <w:t>EUT</w:t>
      </w:r>
      <w:proofErr w:type="spellEnd"/>
      <w:r w:rsidRPr="00C876B8">
        <w:rPr>
          <w:b/>
          <w:i/>
          <w:sz w:val="24"/>
          <w:szCs w:val="24"/>
          <w:lang w:val="da-DK"/>
        </w:rPr>
        <w:t>-henvisning i fodnoten.</w:t>
      </w:r>
    </w:p>
  </w:footnote>
  <w:footnote w:id="16">
    <w:p w14:paraId="584910E1" w14:textId="3AEFD467" w:rsidR="006567A0" w:rsidRPr="006567A0" w:rsidRDefault="006567A0">
      <w:pPr>
        <w:pStyle w:val="FootnoteText"/>
        <w:rPr>
          <w:lang w:val="da-DK"/>
        </w:rPr>
      </w:pPr>
      <w:r w:rsidRPr="006567A0">
        <w:rPr>
          <w:rStyle w:val="FootnoteReference"/>
          <w:lang w:val="da-DK"/>
        </w:rPr>
        <w:t>++</w:t>
      </w:r>
      <w:r w:rsidRPr="006567A0">
        <w:rPr>
          <w:lang w:val="da-DK"/>
        </w:rPr>
        <w:t xml:space="preserve"> </w:t>
      </w:r>
      <w:r w:rsidRPr="00C876B8">
        <w:rPr>
          <w:sz w:val="24"/>
          <w:szCs w:val="24"/>
          <w:lang w:val="da-DK"/>
        </w:rPr>
        <w:tab/>
      </w:r>
      <w:r w:rsidRPr="00C876B8">
        <w:rPr>
          <w:b/>
          <w:i/>
          <w:sz w:val="24"/>
          <w:szCs w:val="24"/>
          <w:lang w:val="da-DK"/>
        </w:rPr>
        <w:t xml:space="preserve">Publikationskontoret: Indsæt venligst nummeret på direktivet i dokument 2021/0250(COD) (forslag til sjette hvidvaskdirektiv - </w:t>
      </w:r>
      <w:proofErr w:type="gramStart"/>
      <w:r w:rsidRPr="00C876B8">
        <w:rPr>
          <w:b/>
          <w:i/>
          <w:sz w:val="24"/>
          <w:szCs w:val="24"/>
          <w:lang w:val="da-DK"/>
        </w:rPr>
        <w:t>COM(</w:t>
      </w:r>
      <w:proofErr w:type="gramEnd"/>
      <w:r w:rsidRPr="00C876B8">
        <w:rPr>
          <w:b/>
          <w:i/>
          <w:sz w:val="24"/>
          <w:szCs w:val="24"/>
          <w:lang w:val="da-DK"/>
        </w:rPr>
        <w:t xml:space="preserve">2021)0423) i teksten, og indsæt nævnte direktivs nummer, dato, titel og </w:t>
      </w:r>
      <w:proofErr w:type="spellStart"/>
      <w:r w:rsidRPr="00C876B8">
        <w:rPr>
          <w:b/>
          <w:i/>
          <w:sz w:val="24"/>
          <w:szCs w:val="24"/>
          <w:lang w:val="da-DK"/>
        </w:rPr>
        <w:t>EUT</w:t>
      </w:r>
      <w:proofErr w:type="spellEnd"/>
      <w:r w:rsidRPr="00C876B8">
        <w:rPr>
          <w:b/>
          <w:i/>
          <w:sz w:val="24"/>
          <w:szCs w:val="24"/>
          <w:lang w:val="da-DK"/>
        </w:rPr>
        <w:t>-henvisning i fodnoten.</w:t>
      </w:r>
    </w:p>
  </w:footnote>
  <w:footnote w:id="17">
    <w:p w14:paraId="07B2B491" w14:textId="77777777" w:rsidR="006567A0" w:rsidRPr="006567A0" w:rsidRDefault="006567A0" w:rsidP="006567A0">
      <w:pPr>
        <w:pStyle w:val="FootnoteText"/>
        <w:ind w:left="851" w:hanging="851"/>
        <w:rPr>
          <w:lang w:val="da-DK"/>
        </w:rPr>
      </w:pPr>
      <w:r w:rsidRPr="006567A0">
        <w:rPr>
          <w:rStyle w:val="FootnoteReference"/>
          <w:lang w:val="da-DK"/>
        </w:rPr>
        <w:t>+</w:t>
      </w:r>
      <w:r w:rsidRPr="006567A0">
        <w:rPr>
          <w:lang w:val="da-DK"/>
        </w:rPr>
        <w:t xml:space="preserve"> </w:t>
      </w:r>
      <w:r w:rsidRPr="00C876B8">
        <w:rPr>
          <w:sz w:val="24"/>
          <w:szCs w:val="24"/>
          <w:lang w:val="da-DK"/>
        </w:rPr>
        <w:tab/>
      </w:r>
      <w:r w:rsidRPr="00C876B8">
        <w:rPr>
          <w:b/>
          <w:i/>
          <w:sz w:val="24"/>
          <w:szCs w:val="24"/>
          <w:lang w:val="da-DK"/>
        </w:rPr>
        <w:t xml:space="preserve">Publikationskontoret: Indsæt venligst nummeret på forordningen i dokument 2021/0240(COD) (forslag til en forordning om oprettelse af Myndigheden for Bekæmpelse af Hvidvask af Penge og Finansiering af Terrorisme – </w:t>
      </w:r>
      <w:proofErr w:type="gramStart"/>
      <w:r w:rsidRPr="00C876B8">
        <w:rPr>
          <w:b/>
          <w:i/>
          <w:sz w:val="24"/>
          <w:szCs w:val="24"/>
          <w:lang w:val="da-DK"/>
        </w:rPr>
        <w:t>COM(</w:t>
      </w:r>
      <w:proofErr w:type="gramEnd"/>
      <w:r w:rsidRPr="00C876B8">
        <w:rPr>
          <w:b/>
          <w:i/>
          <w:sz w:val="24"/>
          <w:szCs w:val="24"/>
          <w:lang w:val="da-DK"/>
        </w:rPr>
        <w:t xml:space="preserve">2021)0421) i teksten, og indsæt nævnte forordnings nummer, dato, titel og </w:t>
      </w:r>
      <w:proofErr w:type="spellStart"/>
      <w:r w:rsidRPr="00C876B8">
        <w:rPr>
          <w:b/>
          <w:i/>
          <w:sz w:val="24"/>
          <w:szCs w:val="24"/>
          <w:lang w:val="da-DK"/>
        </w:rPr>
        <w:t>EUT</w:t>
      </w:r>
      <w:proofErr w:type="spellEnd"/>
      <w:r w:rsidRPr="00C876B8">
        <w:rPr>
          <w:b/>
          <w:i/>
          <w:sz w:val="24"/>
          <w:szCs w:val="24"/>
          <w:lang w:val="da-DK"/>
        </w:rPr>
        <w:t>-henvisning i fodnoten.</w:t>
      </w:r>
    </w:p>
  </w:footnote>
  <w:footnote w:id="18">
    <w:p w14:paraId="000CD85C" w14:textId="77777777" w:rsidR="006567A0" w:rsidRPr="006567A0" w:rsidRDefault="006567A0" w:rsidP="006567A0">
      <w:pPr>
        <w:pStyle w:val="FootnoteText"/>
        <w:ind w:left="851" w:hanging="851"/>
        <w:rPr>
          <w:lang w:val="da-DK"/>
        </w:rPr>
      </w:pPr>
      <w:r w:rsidRPr="006567A0">
        <w:rPr>
          <w:rStyle w:val="FootnoteReference"/>
          <w:lang w:val="da-DK"/>
        </w:rPr>
        <w:t>++</w:t>
      </w:r>
      <w:r w:rsidRPr="006567A0">
        <w:rPr>
          <w:lang w:val="da-DK"/>
        </w:rPr>
        <w:t xml:space="preserve"> </w:t>
      </w:r>
      <w:r w:rsidRPr="00C876B8">
        <w:rPr>
          <w:sz w:val="24"/>
          <w:szCs w:val="24"/>
          <w:lang w:val="da-DK"/>
        </w:rPr>
        <w:tab/>
      </w:r>
      <w:r w:rsidRPr="00C876B8">
        <w:rPr>
          <w:b/>
          <w:i/>
          <w:sz w:val="24"/>
          <w:szCs w:val="24"/>
          <w:lang w:val="da-DK"/>
        </w:rPr>
        <w:t xml:space="preserve">Publikationskontoret: Indsæt venligst nummeret på direktivet i dokument 2021/0250(COD) (forslag til sjette hvidvaskdirektiv - </w:t>
      </w:r>
      <w:proofErr w:type="gramStart"/>
      <w:r w:rsidRPr="00C876B8">
        <w:rPr>
          <w:b/>
          <w:i/>
          <w:sz w:val="24"/>
          <w:szCs w:val="24"/>
          <w:lang w:val="da-DK"/>
        </w:rPr>
        <w:t>COM(</w:t>
      </w:r>
      <w:proofErr w:type="gramEnd"/>
      <w:r w:rsidRPr="00C876B8">
        <w:rPr>
          <w:b/>
          <w:i/>
          <w:sz w:val="24"/>
          <w:szCs w:val="24"/>
          <w:lang w:val="da-DK"/>
        </w:rPr>
        <w:t xml:space="preserve">2021)0423) i teksten, og indsæt nævnte direktivs nummer, dato, titel og </w:t>
      </w:r>
      <w:proofErr w:type="spellStart"/>
      <w:r w:rsidRPr="00C876B8">
        <w:rPr>
          <w:b/>
          <w:i/>
          <w:sz w:val="24"/>
          <w:szCs w:val="24"/>
          <w:lang w:val="da-DK"/>
        </w:rPr>
        <w:t>EUT</w:t>
      </w:r>
      <w:proofErr w:type="spellEnd"/>
      <w:r w:rsidRPr="00C876B8">
        <w:rPr>
          <w:b/>
          <w:i/>
          <w:sz w:val="24"/>
          <w:szCs w:val="24"/>
          <w:lang w:val="da-DK"/>
        </w:rPr>
        <w:t>-henvisning i fodnoten.</w:t>
      </w:r>
    </w:p>
  </w:footnote>
  <w:footnote w:id="19">
    <w:p w14:paraId="4BD26C5D" w14:textId="77777777" w:rsidR="006567A0" w:rsidRPr="006567A0" w:rsidRDefault="006567A0" w:rsidP="006567A0">
      <w:pPr>
        <w:pStyle w:val="FootnoteText"/>
        <w:ind w:left="851" w:hanging="851"/>
        <w:rPr>
          <w:lang w:val="da-DK"/>
        </w:rPr>
      </w:pPr>
      <w:r w:rsidRPr="006567A0">
        <w:rPr>
          <w:rStyle w:val="FootnoteReference"/>
          <w:lang w:val="da-DK"/>
        </w:rPr>
        <w:t>+</w:t>
      </w:r>
      <w:r w:rsidRPr="006567A0">
        <w:rPr>
          <w:lang w:val="da-DK"/>
        </w:rPr>
        <w:t xml:space="preserve"> </w:t>
      </w:r>
      <w:r w:rsidRPr="00C876B8">
        <w:rPr>
          <w:sz w:val="24"/>
          <w:szCs w:val="24"/>
          <w:lang w:val="da-DK"/>
        </w:rPr>
        <w:tab/>
      </w:r>
      <w:r w:rsidRPr="00C876B8">
        <w:rPr>
          <w:b/>
          <w:i/>
          <w:sz w:val="24"/>
          <w:szCs w:val="24"/>
          <w:lang w:val="da-DK"/>
        </w:rPr>
        <w:t xml:space="preserve">Publikationskontoret: Indsæt venligst nummeret på forordningen i dokument 2021/0240(COD) (forslag til en forordning om oprettelse af Myndigheden for Bekæmpelse af Hvidvask af Penge og Finansiering af Terrorisme – </w:t>
      </w:r>
      <w:proofErr w:type="gramStart"/>
      <w:r w:rsidRPr="00C876B8">
        <w:rPr>
          <w:b/>
          <w:i/>
          <w:sz w:val="24"/>
          <w:szCs w:val="24"/>
          <w:lang w:val="da-DK"/>
        </w:rPr>
        <w:t>COM(</w:t>
      </w:r>
      <w:proofErr w:type="gramEnd"/>
      <w:r w:rsidRPr="00C876B8">
        <w:rPr>
          <w:b/>
          <w:i/>
          <w:sz w:val="24"/>
          <w:szCs w:val="24"/>
          <w:lang w:val="da-DK"/>
        </w:rPr>
        <w:t xml:space="preserve">2021)0421) i teksten, og indsæt nævnte forordnings nummer, dato, titel og </w:t>
      </w:r>
      <w:proofErr w:type="spellStart"/>
      <w:r w:rsidRPr="00C876B8">
        <w:rPr>
          <w:b/>
          <w:i/>
          <w:sz w:val="24"/>
          <w:szCs w:val="24"/>
          <w:lang w:val="da-DK"/>
        </w:rPr>
        <w:t>EUT</w:t>
      </w:r>
      <w:proofErr w:type="spellEnd"/>
      <w:r w:rsidRPr="00C876B8">
        <w:rPr>
          <w:b/>
          <w:i/>
          <w:sz w:val="24"/>
          <w:szCs w:val="24"/>
          <w:lang w:val="da-DK"/>
        </w:rPr>
        <w:t>-henvisning i fodnoten.</w:t>
      </w:r>
    </w:p>
  </w:footnote>
  <w:footnote w:id="20">
    <w:p w14:paraId="50DAC1DE" w14:textId="77777777" w:rsidR="006567A0" w:rsidRPr="006567A0" w:rsidRDefault="006567A0" w:rsidP="006567A0">
      <w:pPr>
        <w:pStyle w:val="FootnoteText"/>
        <w:ind w:left="851" w:hanging="851"/>
        <w:rPr>
          <w:lang w:val="da-DK"/>
        </w:rPr>
      </w:pPr>
      <w:r w:rsidRPr="006567A0">
        <w:rPr>
          <w:rStyle w:val="FootnoteReference"/>
          <w:lang w:val="da-DK"/>
        </w:rPr>
        <w:t>++</w:t>
      </w:r>
      <w:r w:rsidRPr="006567A0">
        <w:rPr>
          <w:lang w:val="da-DK"/>
        </w:rPr>
        <w:t xml:space="preserve"> </w:t>
      </w:r>
      <w:r w:rsidRPr="00C876B8">
        <w:rPr>
          <w:sz w:val="24"/>
          <w:szCs w:val="24"/>
          <w:lang w:val="da-DK"/>
        </w:rPr>
        <w:tab/>
      </w:r>
      <w:r w:rsidRPr="00C876B8">
        <w:rPr>
          <w:b/>
          <w:i/>
          <w:sz w:val="24"/>
          <w:szCs w:val="24"/>
          <w:lang w:val="da-DK"/>
        </w:rPr>
        <w:t xml:space="preserve">Publikationskontoret: Indsæt venligst nummeret på direktivet i dokument 2021/0250(COD) (forslag til sjette hvidvaskdirektiv - </w:t>
      </w:r>
      <w:proofErr w:type="gramStart"/>
      <w:r w:rsidRPr="00C876B8">
        <w:rPr>
          <w:b/>
          <w:i/>
          <w:sz w:val="24"/>
          <w:szCs w:val="24"/>
          <w:lang w:val="da-DK"/>
        </w:rPr>
        <w:t>COM(</w:t>
      </w:r>
      <w:proofErr w:type="gramEnd"/>
      <w:r w:rsidRPr="00C876B8">
        <w:rPr>
          <w:b/>
          <w:i/>
          <w:sz w:val="24"/>
          <w:szCs w:val="24"/>
          <w:lang w:val="da-DK"/>
        </w:rPr>
        <w:t xml:space="preserve">2021)0423) i teksten, og indsæt nævnte direktivs nummer, dato, titel og </w:t>
      </w:r>
      <w:proofErr w:type="spellStart"/>
      <w:r w:rsidRPr="00C876B8">
        <w:rPr>
          <w:b/>
          <w:i/>
          <w:sz w:val="24"/>
          <w:szCs w:val="24"/>
          <w:lang w:val="da-DK"/>
        </w:rPr>
        <w:t>EUT</w:t>
      </w:r>
      <w:proofErr w:type="spellEnd"/>
      <w:r w:rsidRPr="00C876B8">
        <w:rPr>
          <w:b/>
          <w:i/>
          <w:sz w:val="24"/>
          <w:szCs w:val="24"/>
          <w:lang w:val="da-DK"/>
        </w:rPr>
        <w:t>-henvisning i fodnoten.</w:t>
      </w:r>
    </w:p>
  </w:footnote>
  <w:footnote w:id="21">
    <w:p w14:paraId="07769D46" w14:textId="77777777" w:rsidR="006567A0" w:rsidRPr="006567A0" w:rsidRDefault="006567A0" w:rsidP="006567A0">
      <w:pPr>
        <w:pStyle w:val="FootnoteText"/>
        <w:ind w:left="851" w:hanging="851"/>
        <w:rPr>
          <w:lang w:val="da-DK"/>
        </w:rPr>
      </w:pPr>
      <w:r w:rsidRPr="006567A0">
        <w:rPr>
          <w:rStyle w:val="FootnoteReference"/>
          <w:lang w:val="da-DK"/>
        </w:rPr>
        <w:t>+</w:t>
      </w:r>
      <w:r w:rsidRPr="006567A0">
        <w:rPr>
          <w:lang w:val="da-DK"/>
        </w:rPr>
        <w:t xml:space="preserve"> </w:t>
      </w:r>
      <w:r w:rsidRPr="00C876B8">
        <w:rPr>
          <w:sz w:val="24"/>
          <w:szCs w:val="24"/>
          <w:lang w:val="da-DK"/>
        </w:rPr>
        <w:tab/>
      </w:r>
      <w:r w:rsidRPr="00C876B8">
        <w:rPr>
          <w:b/>
          <w:i/>
          <w:sz w:val="24"/>
          <w:szCs w:val="24"/>
          <w:lang w:val="da-DK"/>
        </w:rPr>
        <w:t xml:space="preserve">Publikationskontoret: Indsæt venligst nummeret på forordningen i dokument 2021/0240(COD) (forslag til en forordning om oprettelse af Myndigheden for Bekæmpelse af Hvidvask af Penge og Finansiering af Terrorisme – </w:t>
      </w:r>
      <w:proofErr w:type="gramStart"/>
      <w:r w:rsidRPr="00C876B8">
        <w:rPr>
          <w:b/>
          <w:i/>
          <w:sz w:val="24"/>
          <w:szCs w:val="24"/>
          <w:lang w:val="da-DK"/>
        </w:rPr>
        <w:t>COM(</w:t>
      </w:r>
      <w:proofErr w:type="gramEnd"/>
      <w:r w:rsidRPr="00C876B8">
        <w:rPr>
          <w:b/>
          <w:i/>
          <w:sz w:val="24"/>
          <w:szCs w:val="24"/>
          <w:lang w:val="da-DK"/>
        </w:rPr>
        <w:t xml:space="preserve">2021)0421) i teksten, og indsæt nævnte forordnings nummer, dato, titel og </w:t>
      </w:r>
      <w:proofErr w:type="spellStart"/>
      <w:r w:rsidRPr="00C876B8">
        <w:rPr>
          <w:b/>
          <w:i/>
          <w:sz w:val="24"/>
          <w:szCs w:val="24"/>
          <w:lang w:val="da-DK"/>
        </w:rPr>
        <w:t>EUT</w:t>
      </w:r>
      <w:proofErr w:type="spellEnd"/>
      <w:r w:rsidRPr="00C876B8">
        <w:rPr>
          <w:b/>
          <w:i/>
          <w:sz w:val="24"/>
          <w:szCs w:val="24"/>
          <w:lang w:val="da-DK"/>
        </w:rPr>
        <w:t>-henvisning i fodnoten.</w:t>
      </w:r>
    </w:p>
  </w:footnote>
  <w:footnote w:id="22">
    <w:p w14:paraId="7C4EE827" w14:textId="77777777" w:rsidR="006567A0" w:rsidRPr="006567A0" w:rsidRDefault="006567A0" w:rsidP="006567A0">
      <w:pPr>
        <w:pStyle w:val="FootnoteText"/>
        <w:ind w:left="851" w:hanging="851"/>
        <w:rPr>
          <w:lang w:val="da-DK"/>
        </w:rPr>
      </w:pPr>
      <w:r w:rsidRPr="006567A0">
        <w:rPr>
          <w:rStyle w:val="FootnoteReference"/>
          <w:lang w:val="da-DK"/>
        </w:rPr>
        <w:t>++</w:t>
      </w:r>
      <w:r w:rsidRPr="006567A0">
        <w:rPr>
          <w:lang w:val="da-DK"/>
        </w:rPr>
        <w:t xml:space="preserve"> </w:t>
      </w:r>
      <w:r w:rsidRPr="00C876B8">
        <w:rPr>
          <w:sz w:val="24"/>
          <w:szCs w:val="24"/>
          <w:lang w:val="da-DK"/>
        </w:rPr>
        <w:tab/>
      </w:r>
      <w:r w:rsidRPr="00C876B8">
        <w:rPr>
          <w:b/>
          <w:i/>
          <w:sz w:val="24"/>
          <w:szCs w:val="24"/>
          <w:lang w:val="da-DK"/>
        </w:rPr>
        <w:t xml:space="preserve">Publikationskontoret: Indsæt venligst nummeret på direktivet i dokument 2021/0250(COD) (forslag til sjette hvidvaskdirektiv - </w:t>
      </w:r>
      <w:proofErr w:type="gramStart"/>
      <w:r w:rsidRPr="00C876B8">
        <w:rPr>
          <w:b/>
          <w:i/>
          <w:sz w:val="24"/>
          <w:szCs w:val="24"/>
          <w:lang w:val="da-DK"/>
        </w:rPr>
        <w:t>COM(</w:t>
      </w:r>
      <w:proofErr w:type="gramEnd"/>
      <w:r w:rsidRPr="00C876B8">
        <w:rPr>
          <w:b/>
          <w:i/>
          <w:sz w:val="24"/>
          <w:szCs w:val="24"/>
          <w:lang w:val="da-DK"/>
        </w:rPr>
        <w:t xml:space="preserve">2021)0423) i teksten, og indsæt nævnte direktivs nummer, dato, titel og </w:t>
      </w:r>
      <w:proofErr w:type="spellStart"/>
      <w:r w:rsidRPr="00C876B8">
        <w:rPr>
          <w:b/>
          <w:i/>
          <w:sz w:val="24"/>
          <w:szCs w:val="24"/>
          <w:lang w:val="da-DK"/>
        </w:rPr>
        <w:t>EUT</w:t>
      </w:r>
      <w:proofErr w:type="spellEnd"/>
      <w:r w:rsidRPr="00C876B8">
        <w:rPr>
          <w:b/>
          <w:i/>
          <w:sz w:val="24"/>
          <w:szCs w:val="24"/>
          <w:lang w:val="da-DK"/>
        </w:rPr>
        <w:t>-henvisning i fodnoten.</w:t>
      </w:r>
    </w:p>
  </w:footnote>
  <w:footnote w:id="23">
    <w:p w14:paraId="192D03D3" w14:textId="77777777" w:rsidR="006567A0" w:rsidRPr="006567A0" w:rsidRDefault="006567A0" w:rsidP="006567A0">
      <w:pPr>
        <w:pStyle w:val="FootnoteText"/>
        <w:ind w:left="851" w:hanging="851"/>
        <w:rPr>
          <w:lang w:val="da-DK"/>
        </w:rPr>
      </w:pPr>
      <w:r w:rsidRPr="006567A0">
        <w:rPr>
          <w:rStyle w:val="FootnoteReference"/>
          <w:lang w:val="da-DK"/>
        </w:rPr>
        <w:t>+</w:t>
      </w:r>
      <w:r w:rsidRPr="006567A0">
        <w:rPr>
          <w:lang w:val="da-DK"/>
        </w:rPr>
        <w:t xml:space="preserve"> </w:t>
      </w:r>
      <w:r w:rsidRPr="00C876B8">
        <w:rPr>
          <w:sz w:val="24"/>
          <w:szCs w:val="24"/>
          <w:lang w:val="da-DK"/>
        </w:rPr>
        <w:tab/>
      </w:r>
      <w:r w:rsidRPr="00C876B8">
        <w:rPr>
          <w:b/>
          <w:i/>
          <w:sz w:val="24"/>
          <w:szCs w:val="24"/>
          <w:lang w:val="da-DK"/>
        </w:rPr>
        <w:t xml:space="preserve">Publikationskontoret: Indsæt venligst nummeret på forordningen i dokument 2021/0240(COD) (forslag til en forordning om oprettelse af Myndigheden for Bekæmpelse af Hvidvask af Penge og Finansiering af Terrorisme – </w:t>
      </w:r>
      <w:proofErr w:type="gramStart"/>
      <w:r w:rsidRPr="00C876B8">
        <w:rPr>
          <w:b/>
          <w:i/>
          <w:sz w:val="24"/>
          <w:szCs w:val="24"/>
          <w:lang w:val="da-DK"/>
        </w:rPr>
        <w:t>COM(</w:t>
      </w:r>
      <w:proofErr w:type="gramEnd"/>
      <w:r w:rsidRPr="00C876B8">
        <w:rPr>
          <w:b/>
          <w:i/>
          <w:sz w:val="24"/>
          <w:szCs w:val="24"/>
          <w:lang w:val="da-DK"/>
        </w:rPr>
        <w:t xml:space="preserve">2021)0421) i teksten, og indsæt nævnte forordnings nummer, dato, titel og </w:t>
      </w:r>
      <w:proofErr w:type="spellStart"/>
      <w:r w:rsidRPr="00C876B8">
        <w:rPr>
          <w:b/>
          <w:i/>
          <w:sz w:val="24"/>
          <w:szCs w:val="24"/>
          <w:lang w:val="da-DK"/>
        </w:rPr>
        <w:t>EUT</w:t>
      </w:r>
      <w:proofErr w:type="spellEnd"/>
      <w:r w:rsidRPr="00C876B8">
        <w:rPr>
          <w:b/>
          <w:i/>
          <w:sz w:val="24"/>
          <w:szCs w:val="24"/>
          <w:lang w:val="da-DK"/>
        </w:rPr>
        <w:t>-henvisning i fodnoten.</w:t>
      </w:r>
    </w:p>
  </w:footnote>
  <w:footnote w:id="24">
    <w:p w14:paraId="435B4223" w14:textId="6002DF66" w:rsidR="00EE35CB" w:rsidRPr="006567A0" w:rsidRDefault="00EE35CB" w:rsidP="006567A0">
      <w:pPr>
        <w:pStyle w:val="FootnoteText"/>
        <w:rPr>
          <w:lang w:val="da-DK"/>
        </w:rPr>
      </w:pPr>
      <w:r w:rsidRPr="00EE35CB">
        <w:rPr>
          <w:rStyle w:val="FootnoteReference"/>
          <w:lang w:val="da-DK"/>
        </w:rPr>
        <w:t>+</w:t>
      </w:r>
      <w:r w:rsidRPr="006567A0">
        <w:rPr>
          <w:lang w:val="da-DK"/>
        </w:rPr>
        <w:t xml:space="preserve"> </w:t>
      </w:r>
      <w:r w:rsidRPr="00C876B8">
        <w:rPr>
          <w:sz w:val="24"/>
          <w:szCs w:val="24"/>
          <w:lang w:val="da-DK"/>
        </w:rPr>
        <w:tab/>
      </w:r>
      <w:r w:rsidRPr="00C876B8">
        <w:rPr>
          <w:b/>
          <w:i/>
          <w:sz w:val="24"/>
          <w:szCs w:val="24"/>
          <w:lang w:val="da-DK"/>
        </w:rPr>
        <w:t xml:space="preserve">Publikationskontoret: Indsæt venligst nummeret på direktivet i dokument 2021/0250(COD) (forslag til sjette hvidvaskdirektiv - </w:t>
      </w:r>
      <w:proofErr w:type="gramStart"/>
      <w:r w:rsidRPr="00C876B8">
        <w:rPr>
          <w:b/>
          <w:i/>
          <w:sz w:val="24"/>
          <w:szCs w:val="24"/>
          <w:lang w:val="da-DK"/>
        </w:rPr>
        <w:t>COM(</w:t>
      </w:r>
      <w:proofErr w:type="gramEnd"/>
      <w:r w:rsidRPr="00C876B8">
        <w:rPr>
          <w:b/>
          <w:i/>
          <w:sz w:val="24"/>
          <w:szCs w:val="24"/>
          <w:lang w:val="da-DK"/>
        </w:rPr>
        <w:t xml:space="preserve">2021)0423) i teksten, og indsæt nævnte direktivs nummer, dato, titel og </w:t>
      </w:r>
      <w:proofErr w:type="spellStart"/>
      <w:r w:rsidRPr="00C876B8">
        <w:rPr>
          <w:b/>
          <w:i/>
          <w:sz w:val="24"/>
          <w:szCs w:val="24"/>
          <w:lang w:val="da-DK"/>
        </w:rPr>
        <w:t>EUT</w:t>
      </w:r>
      <w:proofErr w:type="spellEnd"/>
      <w:r w:rsidRPr="00C876B8">
        <w:rPr>
          <w:b/>
          <w:i/>
          <w:sz w:val="24"/>
          <w:szCs w:val="24"/>
          <w:lang w:val="da-DK"/>
        </w:rPr>
        <w:t>-henvisning i fodnoten.</w:t>
      </w:r>
      <w:bookmarkStart w:id="8" w:name="_GoBack"/>
      <w:bookmarkEnd w:id="8"/>
    </w:p>
  </w:footnote>
  <w:footnote w:id="25">
    <w:p w14:paraId="2FE9C8B0" w14:textId="77777777" w:rsidR="006567A0" w:rsidRPr="006567A0" w:rsidRDefault="006567A0" w:rsidP="006567A0">
      <w:pPr>
        <w:pStyle w:val="FootnoteText"/>
        <w:ind w:left="851" w:hanging="851"/>
        <w:rPr>
          <w:lang w:val="da-DK"/>
        </w:rPr>
      </w:pPr>
      <w:r w:rsidRPr="006567A0">
        <w:rPr>
          <w:rStyle w:val="FootnoteReference"/>
          <w:lang w:val="da-DK"/>
        </w:rPr>
        <w:t>+</w:t>
      </w:r>
      <w:r w:rsidRPr="006567A0">
        <w:rPr>
          <w:lang w:val="da-DK"/>
        </w:rPr>
        <w:t xml:space="preserve"> </w:t>
      </w:r>
      <w:r w:rsidRPr="00C876B8">
        <w:rPr>
          <w:sz w:val="24"/>
          <w:szCs w:val="24"/>
          <w:lang w:val="da-DK"/>
        </w:rPr>
        <w:tab/>
      </w:r>
      <w:r w:rsidRPr="00C876B8">
        <w:rPr>
          <w:b/>
          <w:i/>
          <w:sz w:val="24"/>
          <w:szCs w:val="24"/>
          <w:lang w:val="da-DK"/>
        </w:rPr>
        <w:t xml:space="preserve">Publikationskontoret: Indsæt venligst nummeret på forordningen i dokument 2021/0240(COD) (forslag til en forordning om oprettelse af Myndigheden for Bekæmpelse af Hvidvask af Penge og Finansiering af Terrorisme – </w:t>
      </w:r>
      <w:proofErr w:type="gramStart"/>
      <w:r w:rsidRPr="00C876B8">
        <w:rPr>
          <w:b/>
          <w:i/>
          <w:sz w:val="24"/>
          <w:szCs w:val="24"/>
          <w:lang w:val="da-DK"/>
        </w:rPr>
        <w:t>COM(</w:t>
      </w:r>
      <w:proofErr w:type="gramEnd"/>
      <w:r w:rsidRPr="00C876B8">
        <w:rPr>
          <w:b/>
          <w:i/>
          <w:sz w:val="24"/>
          <w:szCs w:val="24"/>
          <w:lang w:val="da-DK"/>
        </w:rPr>
        <w:t xml:space="preserve">2021)0421) i teksten, og indsæt nævnte forordnings nummer, dato, titel og </w:t>
      </w:r>
      <w:proofErr w:type="spellStart"/>
      <w:r w:rsidRPr="00C876B8">
        <w:rPr>
          <w:b/>
          <w:i/>
          <w:sz w:val="24"/>
          <w:szCs w:val="24"/>
          <w:lang w:val="da-DK"/>
        </w:rPr>
        <w:t>EUT</w:t>
      </w:r>
      <w:proofErr w:type="spellEnd"/>
      <w:r w:rsidRPr="00C876B8">
        <w:rPr>
          <w:b/>
          <w:i/>
          <w:sz w:val="24"/>
          <w:szCs w:val="24"/>
          <w:lang w:val="da-DK"/>
        </w:rPr>
        <w:t>-henvisning i fodnoten.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9DF16" w14:textId="77777777" w:rsidR="00064002" w:rsidRPr="00E649A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5D008" w14:textId="77777777" w:rsidR="00064002" w:rsidRPr="00E649A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8345A" w14:textId="77777777" w:rsidR="00064002" w:rsidRPr="00E649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activeWritingStyle w:appName="MSWord" w:lang="da-DK" w:vendorID="64" w:dllVersion="131078" w:nlCheck="1" w:checkStyle="0"/>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6/2024"/>
    <w:docVar w:name="dvlangue" w:val="DA"/>
    <w:docVar w:name="dvnumam" w:val="0"/>
    <w:docVar w:name="dvpe" w:val="757.366"/>
    <w:docVar w:name="dvrapporteur" w:val="Ordfører: "/>
    <w:docVar w:name="dvstar" w:val="***I"/>
    <w:docVar w:name="dvtitre" w:val="Europa-Parlamentets lovgivningsmæssige beslutning af xx.xx 2024 om forslag til Europa-Parlamentets og Rådets forordning om ændring af forordning (EU) nr. 1092/2010, (EU) nr. 1093/2010, (EU) nr. 1094/2010, (EU) nr. 1095/2010 og (EU) 2021/523 for så vidt angår visse rapporteringskrav inden for finansielle tjenesteydelser og investeringsstøtte(COM(2023)0593 – C9-0383/2023 – 2023/0363(COD))"/>
  </w:docVars>
  <w:rsids>
    <w:rsidRoot w:val="00EA60B7"/>
    <w:rsid w:val="00002272"/>
    <w:rsid w:val="00011E7F"/>
    <w:rsid w:val="00037CDF"/>
    <w:rsid w:val="00064002"/>
    <w:rsid w:val="000677B9"/>
    <w:rsid w:val="000831BA"/>
    <w:rsid w:val="000A42CC"/>
    <w:rsid w:val="000E7DD9"/>
    <w:rsid w:val="0010095E"/>
    <w:rsid w:val="00125B37"/>
    <w:rsid w:val="00184C18"/>
    <w:rsid w:val="00187494"/>
    <w:rsid w:val="001937F9"/>
    <w:rsid w:val="001F32AE"/>
    <w:rsid w:val="0020347E"/>
    <w:rsid w:val="002767FF"/>
    <w:rsid w:val="002B18FE"/>
    <w:rsid w:val="002B5493"/>
    <w:rsid w:val="00343214"/>
    <w:rsid w:val="00361C00"/>
    <w:rsid w:val="00395FA1"/>
    <w:rsid w:val="003E15D4"/>
    <w:rsid w:val="00403DB0"/>
    <w:rsid w:val="00411CCE"/>
    <w:rsid w:val="0041666E"/>
    <w:rsid w:val="00421060"/>
    <w:rsid w:val="00471C19"/>
    <w:rsid w:val="004867E3"/>
    <w:rsid w:val="00494A28"/>
    <w:rsid w:val="004C0004"/>
    <w:rsid w:val="004C5D52"/>
    <w:rsid w:val="0050519A"/>
    <w:rsid w:val="005072A1"/>
    <w:rsid w:val="00514517"/>
    <w:rsid w:val="00520D7E"/>
    <w:rsid w:val="00545827"/>
    <w:rsid w:val="00560270"/>
    <w:rsid w:val="005661A7"/>
    <w:rsid w:val="005C2568"/>
    <w:rsid w:val="005C2C74"/>
    <w:rsid w:val="006037C0"/>
    <w:rsid w:val="006567A0"/>
    <w:rsid w:val="006631B6"/>
    <w:rsid w:val="00680577"/>
    <w:rsid w:val="006A09B8"/>
    <w:rsid w:val="006F74FA"/>
    <w:rsid w:val="00731ADD"/>
    <w:rsid w:val="00734777"/>
    <w:rsid w:val="00747932"/>
    <w:rsid w:val="00751A4A"/>
    <w:rsid w:val="00756632"/>
    <w:rsid w:val="00762C74"/>
    <w:rsid w:val="00786EC0"/>
    <w:rsid w:val="007B2BDE"/>
    <w:rsid w:val="007D1690"/>
    <w:rsid w:val="007E22AD"/>
    <w:rsid w:val="00817416"/>
    <w:rsid w:val="00842779"/>
    <w:rsid w:val="008476E1"/>
    <w:rsid w:val="00865F67"/>
    <w:rsid w:val="00881A7B"/>
    <w:rsid w:val="008840E5"/>
    <w:rsid w:val="008876E6"/>
    <w:rsid w:val="00887B3E"/>
    <w:rsid w:val="008C2AC6"/>
    <w:rsid w:val="008D533B"/>
    <w:rsid w:val="00902D9C"/>
    <w:rsid w:val="00930C23"/>
    <w:rsid w:val="0093193B"/>
    <w:rsid w:val="009509D8"/>
    <w:rsid w:val="00950B64"/>
    <w:rsid w:val="00981893"/>
    <w:rsid w:val="009B029F"/>
    <w:rsid w:val="00A07C5D"/>
    <w:rsid w:val="00A1687D"/>
    <w:rsid w:val="00A43E52"/>
    <w:rsid w:val="00A4678D"/>
    <w:rsid w:val="00A778C7"/>
    <w:rsid w:val="00AB441E"/>
    <w:rsid w:val="00AB6293"/>
    <w:rsid w:val="00AE0928"/>
    <w:rsid w:val="00AF3B82"/>
    <w:rsid w:val="00B04931"/>
    <w:rsid w:val="00B12E95"/>
    <w:rsid w:val="00B22876"/>
    <w:rsid w:val="00B558F0"/>
    <w:rsid w:val="00B872E7"/>
    <w:rsid w:val="00BD48FE"/>
    <w:rsid w:val="00BD7BD8"/>
    <w:rsid w:val="00BE6ADC"/>
    <w:rsid w:val="00C05BFE"/>
    <w:rsid w:val="00C23CD4"/>
    <w:rsid w:val="00C61C0C"/>
    <w:rsid w:val="00C876B8"/>
    <w:rsid w:val="00C941CB"/>
    <w:rsid w:val="00CC2357"/>
    <w:rsid w:val="00CD5A6E"/>
    <w:rsid w:val="00CF071A"/>
    <w:rsid w:val="00D058B8"/>
    <w:rsid w:val="00D56C11"/>
    <w:rsid w:val="00D834A0"/>
    <w:rsid w:val="00D872DF"/>
    <w:rsid w:val="00D91E21"/>
    <w:rsid w:val="00DA7FCD"/>
    <w:rsid w:val="00E33EC5"/>
    <w:rsid w:val="00E365E1"/>
    <w:rsid w:val="00E649AE"/>
    <w:rsid w:val="00E820A4"/>
    <w:rsid w:val="00EA60B7"/>
    <w:rsid w:val="00EB006A"/>
    <w:rsid w:val="00EB4772"/>
    <w:rsid w:val="00ED169E"/>
    <w:rsid w:val="00ED4235"/>
    <w:rsid w:val="00EE35CB"/>
    <w:rsid w:val="00F04346"/>
    <w:rsid w:val="00F074CF"/>
    <w:rsid w:val="00F075DC"/>
    <w:rsid w:val="00F149E9"/>
    <w:rsid w:val="00F5134D"/>
    <w:rsid w:val="00F74066"/>
    <w:rsid w:val="00F74202"/>
    <w:rsid w:val="00F87713"/>
    <w:rsid w:val="00FB4360"/>
    <w:rsid w:val="00FC36E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867FB4"/>
  <w15:chartTrackingRefBased/>
  <w15:docId w15:val="{37349908-9A88-45A4-AD6D-2C4C68071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C2C74"/>
    <w:pPr>
      <w:spacing w:before="480" w:after="240"/>
    </w:pPr>
  </w:style>
  <w:style w:type="paragraph" w:customStyle="1" w:styleId="NormalBold">
    <w:name w:val="NormalBold"/>
    <w:basedOn w:val="Normal"/>
    <w:rsid w:val="005C2C74"/>
    <w:rPr>
      <w:b/>
    </w:rPr>
  </w:style>
  <w:style w:type="paragraph" w:customStyle="1" w:styleId="NormalHanging12a">
    <w:name w:val="NormalHanging12a"/>
    <w:basedOn w:val="Normal"/>
    <w:rsid w:val="005C2C74"/>
    <w:pPr>
      <w:spacing w:after="240"/>
      <w:ind w:left="567" w:hanging="567"/>
    </w:pPr>
  </w:style>
  <w:style w:type="paragraph" w:customStyle="1" w:styleId="NormalCenter12a">
    <w:name w:val="NormalCenter12a"/>
    <w:basedOn w:val="Normal"/>
    <w:rsid w:val="005C2C74"/>
    <w:pPr>
      <w:spacing w:after="240"/>
      <w:jc w:val="center"/>
    </w:pPr>
  </w:style>
  <w:style w:type="paragraph" w:customStyle="1" w:styleId="AmNumberTabs">
    <w:name w:val="AmNumberTabs"/>
    <w:basedOn w:val="Normal"/>
    <w:rsid w:val="005C2C7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5C2C74"/>
    <w:pPr>
      <w:spacing w:before="720" w:after="240"/>
      <w:jc w:val="center"/>
    </w:pPr>
  </w:style>
  <w:style w:type="paragraph" w:customStyle="1" w:styleId="ManualConsidrant">
    <w:name w:val="Manual Considérant"/>
    <w:basedOn w:val="Normal"/>
    <w:rsid w:val="005C2C74"/>
    <w:pPr>
      <w:widowControl/>
      <w:spacing w:before="120" w:after="120"/>
      <w:ind w:left="709" w:hanging="709"/>
      <w:jc w:val="both"/>
    </w:pPr>
    <w:rPr>
      <w:rFonts w:eastAsiaTheme="minorHAnsi"/>
      <w:szCs w:val="22"/>
      <w:lang w:eastAsia="en-US"/>
    </w:rPr>
  </w:style>
  <w:style w:type="paragraph" w:styleId="BalloonText">
    <w:name w:val="Balloon Text"/>
    <w:basedOn w:val="Normal"/>
    <w:link w:val="BalloonTextChar"/>
    <w:rsid w:val="00A07C5D"/>
    <w:rPr>
      <w:rFonts w:ascii="Segoe UI" w:hAnsi="Segoe UI" w:cs="Segoe UI"/>
      <w:sz w:val="18"/>
      <w:szCs w:val="18"/>
    </w:rPr>
  </w:style>
  <w:style w:type="character" w:customStyle="1" w:styleId="BalloonTextChar">
    <w:name w:val="Balloon Text Char"/>
    <w:basedOn w:val="DefaultParagraphFont"/>
    <w:link w:val="BalloonText"/>
    <w:rsid w:val="00A07C5D"/>
    <w:rPr>
      <w:rFonts w:ascii="Segoe UI" w:hAnsi="Segoe UI" w:cs="Segoe UI"/>
      <w:sz w:val="18"/>
      <w:szCs w:val="18"/>
      <w:lang w:val="da-DK"/>
    </w:rPr>
  </w:style>
  <w:style w:type="character" w:styleId="CommentReference">
    <w:name w:val="annotation reference"/>
    <w:basedOn w:val="DefaultParagraphFont"/>
    <w:rsid w:val="00FC36E0"/>
    <w:rPr>
      <w:sz w:val="16"/>
      <w:szCs w:val="16"/>
    </w:rPr>
  </w:style>
  <w:style w:type="paragraph" w:styleId="CommentText">
    <w:name w:val="annotation text"/>
    <w:basedOn w:val="Normal"/>
    <w:link w:val="CommentTextChar"/>
    <w:rsid w:val="00FC36E0"/>
    <w:rPr>
      <w:sz w:val="20"/>
    </w:rPr>
  </w:style>
  <w:style w:type="character" w:customStyle="1" w:styleId="CommentTextChar">
    <w:name w:val="Comment Text Char"/>
    <w:basedOn w:val="DefaultParagraphFont"/>
    <w:link w:val="CommentText"/>
    <w:rsid w:val="00FC36E0"/>
    <w:rPr>
      <w:lang w:val="da-DK"/>
    </w:rPr>
  </w:style>
  <w:style w:type="paragraph" w:styleId="CommentSubject">
    <w:name w:val="annotation subject"/>
    <w:basedOn w:val="CommentText"/>
    <w:next w:val="CommentText"/>
    <w:link w:val="CommentSubjectChar"/>
    <w:rsid w:val="00FC36E0"/>
    <w:rPr>
      <w:b/>
      <w:bCs/>
    </w:rPr>
  </w:style>
  <w:style w:type="character" w:customStyle="1" w:styleId="CommentSubjectChar">
    <w:name w:val="Comment Subject Char"/>
    <w:basedOn w:val="CommentTextChar"/>
    <w:link w:val="CommentSubject"/>
    <w:rsid w:val="00FC36E0"/>
    <w:rPr>
      <w:b/>
      <w:bCs/>
      <w:lang w:val="da-DK"/>
    </w:rPr>
  </w:style>
  <w:style w:type="paragraph" w:customStyle="1" w:styleId="Typedudocument">
    <w:name w:val="Type du document"/>
    <w:basedOn w:val="Normal"/>
    <w:next w:val="Normal"/>
    <w:rsid w:val="00184C18"/>
    <w:pPr>
      <w:widowControl/>
      <w:spacing w:before="360"/>
      <w:jc w:val="center"/>
    </w:pPr>
    <w:rPr>
      <w:rFonts w:eastAsiaTheme="minorHAnsi"/>
      <w:b/>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67D76-26F2-4984-B885-536630B03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12304</Words>
  <Characters>77787</Characters>
  <Application>Microsoft Office Word</Application>
  <DocSecurity>0</DocSecurity>
  <Lines>648</Lines>
  <Paragraphs>179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LUKSITE Marija</cp:lastModifiedBy>
  <cp:revision>2</cp:revision>
  <cp:lastPrinted>2004-11-19T15:42:00Z</cp:lastPrinted>
  <dcterms:created xsi:type="dcterms:W3CDTF">2024-10-08T16:43:00Z</dcterms:created>
  <dcterms:modified xsi:type="dcterms:W3CDTF">2024-10-08T16:43:00Z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P9_TA(2024)0128_</vt:lpwstr>
  </property>
  <property fmtid="{D5CDD505-2E9C-101B-9397-08002B2CF9AE}" pid="4" name="&lt;Type&gt;">
    <vt:lpwstr>RR</vt:lpwstr>
  </property>
</Properties>
</file>