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AF3" w:rsidTr="0010095E">
        <w:trPr>
          <w:trHeight w:hRule="exact" w:val="1418"/>
        </w:trPr>
        <w:tc>
          <w:tcPr>
            <w:tcW w:w="6804" w:type="dxa"/>
            <w:shd w:val="clear" w:color="auto" w:fill="auto"/>
            <w:vAlign w:val="center"/>
          </w:tcPr>
          <w:p w:rsidR="00751A4A" w:rsidRPr="00E86AF3" w:rsidRDefault="00D57104" w:rsidP="0010095E">
            <w:pPr>
              <w:pStyle w:val="EPName"/>
            </w:pPr>
            <w:r w:rsidRPr="00E86AF3">
              <w:t>Europos Parlamentas</w:t>
            </w:r>
          </w:p>
          <w:p w:rsidR="00751A4A" w:rsidRPr="00E86AF3" w:rsidRDefault="00817416" w:rsidP="00756632">
            <w:pPr>
              <w:pStyle w:val="EPTerm"/>
              <w:rPr>
                <w:rStyle w:val="HideTWBExt"/>
                <w:noProof w:val="0"/>
                <w:vanish w:val="0"/>
                <w:color w:val="auto"/>
              </w:rPr>
            </w:pPr>
            <w:r w:rsidRPr="00E86AF3">
              <w:t>2019-2024</w:t>
            </w:r>
          </w:p>
        </w:tc>
        <w:tc>
          <w:tcPr>
            <w:tcW w:w="2268" w:type="dxa"/>
            <w:shd w:val="clear" w:color="auto" w:fill="auto"/>
          </w:tcPr>
          <w:p w:rsidR="00751A4A" w:rsidRPr="00E86AF3" w:rsidRDefault="00187494" w:rsidP="0010095E">
            <w:pPr>
              <w:pStyle w:val="EPLogo"/>
            </w:pPr>
            <w:r w:rsidRPr="00E86A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6AF3" w:rsidRDefault="00D058B8" w:rsidP="004C5D52">
      <w:pPr>
        <w:pStyle w:val="LineTop"/>
      </w:pPr>
    </w:p>
    <w:p w:rsidR="00680577" w:rsidRPr="00E86AF3" w:rsidRDefault="00D57104" w:rsidP="00680577">
      <w:pPr>
        <w:pStyle w:val="EPBodyTA1"/>
      </w:pPr>
      <w:r w:rsidRPr="00E86AF3">
        <w:t>PRIIMTI TEKSTAI</w:t>
      </w:r>
    </w:p>
    <w:p w:rsidR="00D058B8" w:rsidRPr="00E86AF3" w:rsidRDefault="00D058B8" w:rsidP="00D058B8">
      <w:pPr>
        <w:pStyle w:val="LineBottom"/>
      </w:pPr>
    </w:p>
    <w:p w:rsidR="00D57104" w:rsidRPr="00E86AF3" w:rsidRDefault="00D57104" w:rsidP="00D57104">
      <w:pPr>
        <w:pStyle w:val="ATHeading1"/>
      </w:pPr>
      <w:bookmarkStart w:id="0" w:name="TANumber"/>
      <w:r w:rsidRPr="00E86AF3">
        <w:t>P9_TA(2024)0</w:t>
      </w:r>
      <w:r w:rsidR="00745538">
        <w:t>128</w:t>
      </w:r>
      <w:bookmarkEnd w:id="0"/>
    </w:p>
    <w:p w:rsidR="00D57104" w:rsidRPr="00E86AF3" w:rsidRDefault="00016A54" w:rsidP="00D57104">
      <w:pPr>
        <w:pStyle w:val="ATHeading2"/>
      </w:pPr>
      <w:bookmarkStart w:id="1" w:name="title"/>
      <w:r>
        <w:t>Kai kurių r</w:t>
      </w:r>
      <w:r w:rsidR="00B0539C" w:rsidRPr="00B0539C">
        <w:t>eglament</w:t>
      </w:r>
      <w:r w:rsidR="00B0539C">
        <w:t>ų</w:t>
      </w:r>
      <w:r>
        <w:t>,</w:t>
      </w:r>
      <w:r w:rsidR="00B0539C" w:rsidRPr="00B0539C">
        <w:t xml:space="preserve"> susijusių su finansinėmis paslaugomis ir parama investicijoms</w:t>
      </w:r>
      <w:r w:rsidR="00B0539C">
        <w:t>, dalinis keitimas</w:t>
      </w:r>
      <w:r>
        <w:t>, kiek tai susiję su tam tikrais atskaitomybės reikalavimais</w:t>
      </w:r>
      <w:r w:rsidRPr="00B0539C">
        <w:t xml:space="preserve"> </w:t>
      </w:r>
      <w:bookmarkEnd w:id="1"/>
    </w:p>
    <w:p w:rsidR="00D57104" w:rsidRPr="00E86AF3" w:rsidRDefault="00D57104" w:rsidP="00D57104">
      <w:pPr>
        <w:rPr>
          <w:i/>
          <w:vanish/>
        </w:rPr>
      </w:pPr>
      <w:r w:rsidRPr="00E86AF3">
        <w:rPr>
          <w:i/>
        </w:rPr>
        <w:fldChar w:fldCharType="begin"/>
      </w:r>
      <w:r w:rsidRPr="00E86AF3">
        <w:rPr>
          <w:i/>
        </w:rPr>
        <w:instrText xml:space="preserve"> TC"(</w:instrText>
      </w:r>
      <w:bookmarkStart w:id="2" w:name="DocNumber"/>
      <w:r w:rsidRPr="00E86AF3">
        <w:rPr>
          <w:i/>
        </w:rPr>
        <w:instrText>A9-0026/2024</w:instrText>
      </w:r>
      <w:bookmarkEnd w:id="2"/>
      <w:r w:rsidRPr="00E86AF3">
        <w:rPr>
          <w:i/>
        </w:rPr>
        <w:instrText xml:space="preserve"> - Pranešėjas: Othmar Karas)"\l3 \n&gt; \* MERGEFORMAT </w:instrText>
      </w:r>
      <w:r w:rsidRPr="00E86AF3">
        <w:rPr>
          <w:i/>
        </w:rPr>
        <w:fldChar w:fldCharType="end"/>
      </w:r>
    </w:p>
    <w:p w:rsidR="00D57104" w:rsidRPr="00E86AF3" w:rsidRDefault="00D57104" w:rsidP="00D57104">
      <w:pPr>
        <w:rPr>
          <w:vanish/>
        </w:rPr>
      </w:pPr>
      <w:bookmarkStart w:id="3" w:name="Commission"/>
      <w:r w:rsidRPr="00E86AF3">
        <w:rPr>
          <w:vanish/>
        </w:rPr>
        <w:t>Ekonomikos ir pinigų politikos komitetas</w:t>
      </w:r>
      <w:bookmarkEnd w:id="3"/>
    </w:p>
    <w:p w:rsidR="00D57104" w:rsidRPr="00E86AF3" w:rsidRDefault="00D57104" w:rsidP="00D57104">
      <w:pPr>
        <w:rPr>
          <w:vanish/>
        </w:rPr>
      </w:pPr>
      <w:bookmarkStart w:id="4" w:name="PE"/>
      <w:r w:rsidRPr="00E86AF3">
        <w:rPr>
          <w:vanish/>
        </w:rPr>
        <w:t>PE757.366</w:t>
      </w:r>
      <w:bookmarkEnd w:id="4"/>
    </w:p>
    <w:p w:rsidR="00D57104" w:rsidRPr="00E86AF3" w:rsidRDefault="00B0539C" w:rsidP="00D57104">
      <w:pPr>
        <w:pStyle w:val="ATHeading3"/>
      </w:pPr>
      <w:bookmarkStart w:id="5" w:name="Sujet"/>
      <w:r>
        <w:t xml:space="preserve">2024 m. kovo 12 d. </w:t>
      </w:r>
      <w:r w:rsidR="00D57104" w:rsidRPr="00E86AF3">
        <w:t>Europos Parlamento teisėkūros rezoliucija dėl pasiūlymo dėl Europos Parlamento ir Tarybos reglamento, kuriuo dėl tam tikrų atskaitomybės reikalavimų, susijusių su finansinėmis paslaugomis ir parama investicijoms, iš dalies keičiami reglamentai (ES) Nr. 1092/2010, (ES) Nr. 1093/2010, (ES) Nr. 1094/2010, (ES) Nr. 1095/2010 ir (ES) 2021/523</w:t>
      </w:r>
      <w:bookmarkEnd w:id="5"/>
      <w:r w:rsidR="00D57104" w:rsidRPr="00E86AF3">
        <w:t xml:space="preserve"> </w:t>
      </w:r>
      <w:bookmarkStart w:id="6" w:name="References"/>
      <w:r w:rsidR="00D57104" w:rsidRPr="00E86AF3">
        <w:t>(COM(2023)0593 – C9-0383/2023 – 2023/0363(COD))</w:t>
      </w:r>
      <w:bookmarkEnd w:id="6"/>
    </w:p>
    <w:p w:rsidR="005B2EB9" w:rsidRPr="00E86AF3" w:rsidRDefault="005B2EB9" w:rsidP="005B2EB9">
      <w:pPr>
        <w:pStyle w:val="NormalBold"/>
      </w:pPr>
      <w:bookmarkStart w:id="7" w:name="TextBodyBegin"/>
      <w:bookmarkEnd w:id="7"/>
      <w:r w:rsidRPr="00E86AF3">
        <w:t>(Įprasta teisėkūros procedūra: pirmasis svarstymas)</w:t>
      </w:r>
    </w:p>
    <w:p w:rsidR="005B2EB9" w:rsidRPr="00E86AF3" w:rsidRDefault="005B2EB9" w:rsidP="005B2EB9">
      <w:pPr>
        <w:pStyle w:val="EPComma"/>
      </w:pPr>
      <w:r w:rsidRPr="00E86AF3">
        <w:rPr>
          <w:i/>
        </w:rPr>
        <w:t>Europos Parlamentas</w:t>
      </w:r>
      <w:r w:rsidRPr="00E86AF3">
        <w:t>,</w:t>
      </w:r>
    </w:p>
    <w:p w:rsidR="005B2EB9" w:rsidRPr="00E86AF3" w:rsidRDefault="005B2EB9" w:rsidP="005B2EB9">
      <w:pPr>
        <w:pStyle w:val="NormalHanging12a"/>
      </w:pPr>
      <w:r w:rsidRPr="00E86AF3">
        <w:t>–</w:t>
      </w:r>
      <w:r w:rsidRPr="00E86AF3">
        <w:tab/>
        <w:t>atsižvelgdamas į Komisijos pasiūlymą Europos Parlamentui ir Tarybai (COM(2023)0593),</w:t>
      </w:r>
    </w:p>
    <w:p w:rsidR="005B2EB9" w:rsidRPr="00E86AF3" w:rsidRDefault="005B2EB9" w:rsidP="005B2EB9">
      <w:pPr>
        <w:pStyle w:val="NormalHanging12a"/>
      </w:pPr>
      <w:r w:rsidRPr="00E86AF3">
        <w:t>–</w:t>
      </w:r>
      <w:r w:rsidRPr="00E86AF3">
        <w:tab/>
        <w:t xml:space="preserve">atsižvelgdamas į Sutarties dėl Europos Sąjungos veikimo 294 straipsnio 2 dalį, </w:t>
      </w:r>
      <w:r w:rsidR="00016A54">
        <w:t xml:space="preserve">į </w:t>
      </w:r>
      <w:r w:rsidRPr="00E86AF3">
        <w:t>114 bei 173 straipsnius ir į 175 straipsnio trečią pastraipą, pagal kuriuos Komisija pateikė pasiūlymą Parlamentui (C9</w:t>
      </w:r>
      <w:r w:rsidRPr="00E86AF3">
        <w:noBreakHyphen/>
        <w:t>0383/2023),</w:t>
      </w:r>
    </w:p>
    <w:p w:rsidR="005B2EB9" w:rsidRPr="00E86AF3" w:rsidRDefault="005B2EB9" w:rsidP="005B2EB9">
      <w:pPr>
        <w:pStyle w:val="NormalHanging12a"/>
      </w:pPr>
      <w:r w:rsidRPr="00E86AF3">
        <w:t>–</w:t>
      </w:r>
      <w:r w:rsidRPr="00E86AF3">
        <w:tab/>
        <w:t>atsižvelgdamas į Sutarties dėl Europos Sąjungos veikimo 294 straipsnio 3 dalį,</w:t>
      </w:r>
    </w:p>
    <w:p w:rsidR="005B2EB9" w:rsidRPr="00E86AF3" w:rsidRDefault="005B2EB9" w:rsidP="005B2EB9">
      <w:pPr>
        <w:pStyle w:val="NormalHanging12a"/>
        <w:rPr>
          <w:szCs w:val="24"/>
        </w:rPr>
      </w:pPr>
      <w:r w:rsidRPr="00E86AF3">
        <w:t>–</w:t>
      </w:r>
      <w:r w:rsidRPr="00E86AF3">
        <w:tab/>
      </w:r>
      <w:r w:rsidR="00137D06">
        <w:t>atsižvelgdamas į 2024 m. vasario 14 d.</w:t>
      </w:r>
      <w:r w:rsidR="00B0539C">
        <w:t xml:space="preserve"> </w:t>
      </w:r>
      <w:r w:rsidRPr="00E86AF3">
        <w:t>Europos ekonomikos ir socialinių reikalų komitet</w:t>
      </w:r>
      <w:r w:rsidR="00137D06">
        <w:t>o nuomonę</w:t>
      </w:r>
      <w:r w:rsidR="00137D06">
        <w:rPr>
          <w:rStyle w:val="FootnoteReference"/>
        </w:rPr>
        <w:footnoteReference w:id="1"/>
      </w:r>
      <w:r w:rsidRPr="00E86AF3">
        <w:t>,</w:t>
      </w:r>
    </w:p>
    <w:p w:rsidR="005B2EB9" w:rsidRPr="00E86AF3" w:rsidRDefault="005B2EB9" w:rsidP="005B2EB9">
      <w:pPr>
        <w:pStyle w:val="NormalHanging12a"/>
      </w:pPr>
      <w:r w:rsidRPr="00E86AF3">
        <w:t>–</w:t>
      </w:r>
      <w:r w:rsidRPr="00E86AF3">
        <w:tab/>
      </w:r>
      <w:r w:rsidR="00B0539C">
        <w:t xml:space="preserve">pasikonsultavęs su </w:t>
      </w:r>
      <w:r w:rsidRPr="00E86AF3">
        <w:t>Regionų komitet</w:t>
      </w:r>
      <w:r w:rsidR="00B0539C">
        <w:t>u</w:t>
      </w:r>
      <w:r w:rsidRPr="00E86AF3">
        <w:t>,</w:t>
      </w:r>
    </w:p>
    <w:p w:rsidR="005B2EB9" w:rsidRPr="00E86AF3" w:rsidRDefault="005B2EB9" w:rsidP="005B2EB9">
      <w:pPr>
        <w:pStyle w:val="NormalHanging12a"/>
      </w:pPr>
      <w:r w:rsidRPr="00E86AF3">
        <w:t>–</w:t>
      </w:r>
      <w:r w:rsidRPr="00E86AF3">
        <w:tab/>
        <w:t>atsižvelgdamas į Darbo tvarkos taisyklių 59 straipsnį,</w:t>
      </w:r>
    </w:p>
    <w:p w:rsidR="005B2EB9" w:rsidRPr="00E86AF3" w:rsidRDefault="005B2EB9" w:rsidP="005B2EB9">
      <w:pPr>
        <w:pStyle w:val="NormalHanging12a"/>
      </w:pPr>
      <w:r w:rsidRPr="00E86AF3">
        <w:t>–</w:t>
      </w:r>
      <w:r w:rsidRPr="00E86AF3">
        <w:tab/>
        <w:t>atsižvelgdamas į Ekonomikos ir pinigų politikos komiteto pranešimą (A9-0026/2024),</w:t>
      </w:r>
    </w:p>
    <w:p w:rsidR="005B2EB9" w:rsidRPr="00E86AF3" w:rsidRDefault="005B2EB9" w:rsidP="005B2EB9">
      <w:pPr>
        <w:pStyle w:val="NormalHanging12a"/>
      </w:pPr>
      <w:r w:rsidRPr="00E86AF3">
        <w:t>1.</w:t>
      </w:r>
      <w:r w:rsidRPr="00E86AF3">
        <w:tab/>
        <w:t>priima per pirmąjį svarstymą toliau pateiktą poziciją;</w:t>
      </w:r>
    </w:p>
    <w:p w:rsidR="005B2EB9" w:rsidRPr="00E86AF3" w:rsidRDefault="005B2EB9" w:rsidP="005B2EB9">
      <w:pPr>
        <w:pStyle w:val="NormalHanging12a"/>
      </w:pPr>
      <w:r w:rsidRPr="00E86AF3">
        <w:t>2.</w:t>
      </w:r>
      <w:r w:rsidRPr="00E86AF3">
        <w:tab/>
        <w:t xml:space="preserve">ragina Komisiją dar kartą perduoti klausimą svarstyti Parlamentui, jei ji savo pasiūlymą </w:t>
      </w:r>
      <w:r w:rsidRPr="00E86AF3">
        <w:lastRenderedPageBreak/>
        <w:t>pakeičia nauju tekstu, jį keičia iš esmės arba ketina jį keisti iš esmės;</w:t>
      </w:r>
    </w:p>
    <w:p w:rsidR="005B2EB9" w:rsidRPr="00E86AF3" w:rsidRDefault="005B2EB9" w:rsidP="00745538">
      <w:pPr>
        <w:pStyle w:val="NormalHanging12a"/>
      </w:pPr>
      <w:r w:rsidRPr="00E86AF3">
        <w:t>3.</w:t>
      </w:r>
      <w:r w:rsidRPr="00E86AF3">
        <w:tab/>
        <w:t>paveda Pirmininkei perduoti Parlamento poziciją Tarybai, Komisijai ir nacionaliniams parlamentams.</w:t>
      </w:r>
    </w:p>
    <w:p w:rsidR="008E2895" w:rsidRDefault="008E2895" w:rsidP="00365E66">
      <w:pPr>
        <w:autoSpaceDE w:val="0"/>
        <w:autoSpaceDN w:val="0"/>
        <w:adjustRightInd w:val="0"/>
        <w:spacing w:after="240"/>
        <w:rPr>
          <w:b/>
          <w:bCs/>
          <w:szCs w:val="24"/>
        </w:rPr>
        <w:sectPr w:rsidR="008E2895" w:rsidSect="00E86A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5E66" w:rsidRPr="00101469" w:rsidRDefault="00365E66" w:rsidP="00365E66">
      <w:pPr>
        <w:autoSpaceDE w:val="0"/>
        <w:autoSpaceDN w:val="0"/>
        <w:adjustRightInd w:val="0"/>
        <w:spacing w:after="240"/>
        <w:rPr>
          <w:b/>
          <w:bCs/>
          <w:szCs w:val="24"/>
        </w:rPr>
      </w:pPr>
      <w:r w:rsidRPr="00101469">
        <w:rPr>
          <w:b/>
          <w:bCs/>
          <w:szCs w:val="24"/>
        </w:rPr>
        <w:lastRenderedPageBreak/>
        <w:t>P</w:t>
      </w:r>
      <w:r w:rsidRPr="00374872">
        <w:rPr>
          <w:b/>
          <w:bCs/>
          <w:szCs w:val="24"/>
        </w:rPr>
        <w:t>9</w:t>
      </w:r>
      <w:r w:rsidRPr="00101469">
        <w:rPr>
          <w:b/>
          <w:bCs/>
          <w:szCs w:val="24"/>
        </w:rPr>
        <w:t>_TC</w:t>
      </w:r>
      <w:r w:rsidRPr="00374872">
        <w:rPr>
          <w:b/>
          <w:bCs/>
          <w:szCs w:val="24"/>
        </w:rPr>
        <w:t>1</w:t>
      </w:r>
      <w:r w:rsidRPr="00101469">
        <w:rPr>
          <w:b/>
          <w:bCs/>
          <w:szCs w:val="24"/>
        </w:rPr>
        <w:t>-COD(</w:t>
      </w:r>
      <w:r w:rsidRPr="00374872">
        <w:rPr>
          <w:b/>
          <w:bCs/>
          <w:szCs w:val="24"/>
        </w:rPr>
        <w:t>20</w:t>
      </w:r>
      <w:r>
        <w:rPr>
          <w:b/>
          <w:bCs/>
          <w:szCs w:val="24"/>
        </w:rPr>
        <w:t>23</w:t>
      </w:r>
      <w:r w:rsidRPr="00101469">
        <w:rPr>
          <w:b/>
          <w:bCs/>
          <w:szCs w:val="24"/>
        </w:rPr>
        <w:t>)</w:t>
      </w:r>
      <w:r w:rsidRPr="00374872">
        <w:rPr>
          <w:b/>
          <w:bCs/>
          <w:szCs w:val="24"/>
        </w:rPr>
        <w:t>0</w:t>
      </w:r>
      <w:r>
        <w:rPr>
          <w:b/>
          <w:bCs/>
          <w:szCs w:val="24"/>
        </w:rPr>
        <w:t>363</w:t>
      </w:r>
    </w:p>
    <w:p w:rsidR="005B2EB9" w:rsidRPr="00E86AF3" w:rsidRDefault="00365E66" w:rsidP="00365E66">
      <w:pPr>
        <w:autoSpaceDE w:val="0"/>
        <w:autoSpaceDN w:val="0"/>
        <w:adjustRightInd w:val="0"/>
        <w:spacing w:after="240"/>
        <w:rPr>
          <w:rFonts w:eastAsia="Calibri"/>
          <w:b/>
          <w:noProof/>
          <w:szCs w:val="22"/>
        </w:rPr>
      </w:pPr>
      <w:r w:rsidRPr="00365E66">
        <w:rPr>
          <w:b/>
          <w:bCs/>
          <w:szCs w:val="24"/>
        </w:rPr>
        <w:t>Europos</w:t>
      </w:r>
      <w:r w:rsidRPr="003357F5">
        <w:rPr>
          <w:b/>
        </w:rPr>
        <w:t xml:space="preserve"> Parlamento pozicija, priimta 2024 m. </w:t>
      </w:r>
      <w:r>
        <w:rPr>
          <w:b/>
        </w:rPr>
        <w:t>kovo 12</w:t>
      </w:r>
      <w:r w:rsidRPr="003357F5">
        <w:rPr>
          <w:b/>
        </w:rPr>
        <w:t> d. per pirmąjį svarstymą, siekiant priimti Europos Parlamento ir Tarybos reglamentą (ES) 2024/...</w:t>
      </w:r>
      <w:r>
        <w:rPr>
          <w:b/>
        </w:rPr>
        <w:t xml:space="preserve">, </w:t>
      </w:r>
      <w:r w:rsidR="005B2EB9" w:rsidRPr="00E86AF3">
        <w:rPr>
          <w:b/>
        </w:rPr>
        <w:t>kuriuo dėl tam tikrų atskaitomybės reikalavimų, susijusių su finansinėmis paslaugomis ir parama investicijoms, iš dalies keičiami reglamentai (ES) Nr. 1092/2010, (ES) Nr. 1093/2010, (ES) Nr. 1094/2010, (ES) Nr. 1095/2010 ir (ES) 2021/523</w:t>
      </w:r>
      <w:r w:rsidRPr="00E22DDE">
        <w:rPr>
          <w:rStyle w:val="FootnoteReference"/>
        </w:rPr>
        <w:footnoteReference w:customMarkFollows="1" w:id="2"/>
        <w:t>*</w:t>
      </w:r>
    </w:p>
    <w:p w:rsidR="005B2EB9" w:rsidRPr="00E86AF3" w:rsidRDefault="005B2EB9" w:rsidP="005B2EB9">
      <w:pPr>
        <w:widowControl/>
        <w:spacing w:before="360" w:after="240"/>
        <w:jc w:val="center"/>
        <w:rPr>
          <w:rFonts w:eastAsia="Calibri"/>
          <w:noProof/>
          <w:szCs w:val="22"/>
        </w:rPr>
      </w:pPr>
      <w:r w:rsidRPr="00E86AF3">
        <w:t>(Tekstas svarbus EEE)</w:t>
      </w:r>
    </w:p>
    <w:p w:rsidR="005B2EB9" w:rsidRPr="00E86AF3" w:rsidRDefault="005B2EB9" w:rsidP="005B2EB9">
      <w:pPr>
        <w:keepNext/>
        <w:widowControl/>
        <w:spacing w:before="600" w:after="120"/>
        <w:jc w:val="both"/>
        <w:rPr>
          <w:rFonts w:eastAsia="Calibri"/>
          <w:noProof/>
          <w:szCs w:val="22"/>
        </w:rPr>
      </w:pPr>
      <w:r w:rsidRPr="00E86AF3">
        <w:t>EUROPOS PARLAMENTAS IR EUROPOS SĄJUNGOS TARYBA,</w:t>
      </w:r>
    </w:p>
    <w:p w:rsidR="005B2EB9" w:rsidRPr="00E86AF3" w:rsidRDefault="005B2EB9" w:rsidP="005B2EB9">
      <w:pPr>
        <w:widowControl/>
        <w:spacing w:before="120" w:after="120"/>
        <w:jc w:val="both"/>
        <w:rPr>
          <w:rFonts w:eastAsia="Calibri"/>
          <w:noProof/>
          <w:szCs w:val="22"/>
        </w:rPr>
      </w:pPr>
      <w:r w:rsidRPr="00E86AF3">
        <w:t xml:space="preserve">atsižvelgdami į Sutartį dėl Europos Sąjungos veikimo, ypač į jos 114 ir 173 straipsnius bei 175 straipsnio trečią pastraipą, </w:t>
      </w:r>
    </w:p>
    <w:p w:rsidR="005B2EB9" w:rsidRPr="00E86AF3" w:rsidRDefault="005B2EB9" w:rsidP="005B2EB9">
      <w:pPr>
        <w:widowControl/>
        <w:spacing w:before="120" w:after="120"/>
        <w:jc w:val="both"/>
        <w:rPr>
          <w:rFonts w:eastAsia="Calibri"/>
          <w:noProof/>
          <w:szCs w:val="22"/>
        </w:rPr>
      </w:pPr>
      <w:r w:rsidRPr="00E86AF3">
        <w:t xml:space="preserve">atsižvelgdami į Europos Komisijos pasiūlymą, </w:t>
      </w:r>
    </w:p>
    <w:p w:rsidR="005B2EB9" w:rsidRPr="00E86AF3" w:rsidRDefault="005B2EB9" w:rsidP="005B2EB9">
      <w:pPr>
        <w:widowControl/>
        <w:spacing w:before="120" w:after="120"/>
        <w:jc w:val="both"/>
        <w:rPr>
          <w:rFonts w:eastAsia="Calibri"/>
          <w:noProof/>
          <w:szCs w:val="22"/>
        </w:rPr>
      </w:pPr>
      <w:r w:rsidRPr="00E86AF3">
        <w:t xml:space="preserve">teisėkūros procedūra priimamo akto projektą perdavus nacionaliniams parlamentams, </w:t>
      </w:r>
    </w:p>
    <w:p w:rsidR="005B2EB9" w:rsidRPr="00E86AF3" w:rsidRDefault="005B2EB9" w:rsidP="005B2EB9">
      <w:pPr>
        <w:widowControl/>
        <w:spacing w:before="120" w:after="120"/>
        <w:jc w:val="both"/>
        <w:rPr>
          <w:rFonts w:eastAsia="Calibri"/>
          <w:noProof/>
          <w:szCs w:val="22"/>
        </w:rPr>
      </w:pPr>
      <w:r w:rsidRPr="00E86AF3">
        <w:t>atsižvelgdami į Europos ekonomikos ir socialinių reikalų komiteto nuomonę</w:t>
      </w:r>
      <w:r w:rsidRPr="00E86AF3">
        <w:rPr>
          <w:rFonts w:eastAsia="Calibri"/>
          <w:noProof/>
          <w:szCs w:val="22"/>
          <w:vertAlign w:val="superscript"/>
          <w:lang w:eastAsia="en-US"/>
        </w:rPr>
        <w:footnoteReference w:id="3"/>
      </w:r>
      <w:r w:rsidRPr="00E86AF3">
        <w:t xml:space="preserve">, </w:t>
      </w:r>
    </w:p>
    <w:p w:rsidR="005B2EB9" w:rsidRPr="00E86AF3" w:rsidRDefault="005B2EB9" w:rsidP="005B2EB9">
      <w:pPr>
        <w:widowControl/>
        <w:spacing w:before="120" w:after="120"/>
        <w:jc w:val="both"/>
        <w:rPr>
          <w:rFonts w:eastAsia="Calibri"/>
          <w:noProof/>
          <w:szCs w:val="22"/>
        </w:rPr>
      </w:pPr>
      <w:r w:rsidRPr="00E86AF3">
        <w:t>atsižvelgdami į Regionų komiteto nuomonę</w:t>
      </w:r>
      <w:r w:rsidRPr="00E86AF3">
        <w:rPr>
          <w:rFonts w:eastAsia="Calibri"/>
          <w:noProof/>
          <w:szCs w:val="22"/>
          <w:vertAlign w:val="superscript"/>
          <w:lang w:eastAsia="en-US"/>
        </w:rPr>
        <w:footnoteReference w:id="4"/>
      </w:r>
      <w:r w:rsidRPr="00E86AF3">
        <w:t xml:space="preserve">, </w:t>
      </w:r>
    </w:p>
    <w:p w:rsidR="005B2EB9" w:rsidRPr="00E86AF3" w:rsidRDefault="005B2EB9" w:rsidP="005B2EB9">
      <w:pPr>
        <w:widowControl/>
        <w:spacing w:before="120" w:after="120"/>
        <w:jc w:val="both"/>
        <w:rPr>
          <w:rFonts w:eastAsia="Calibri"/>
          <w:noProof/>
          <w:szCs w:val="22"/>
        </w:rPr>
      </w:pPr>
      <w:r w:rsidRPr="00E86AF3">
        <w:t xml:space="preserve">laikydamiesi įprastos teisėkūros procedūros, </w:t>
      </w:r>
    </w:p>
    <w:p w:rsidR="005B2EB9" w:rsidRPr="00E86AF3" w:rsidRDefault="005B2EB9" w:rsidP="005B2EB9">
      <w:pPr>
        <w:widowControl/>
        <w:spacing w:before="120" w:after="120"/>
        <w:jc w:val="both"/>
        <w:rPr>
          <w:rFonts w:eastAsia="Calibri"/>
          <w:noProof/>
          <w:szCs w:val="22"/>
        </w:rPr>
      </w:pPr>
      <w:r w:rsidRPr="00E86AF3">
        <w:t>kadangi:</w:t>
      </w:r>
    </w:p>
    <w:p w:rsidR="005B2EB9" w:rsidRPr="00E86AF3" w:rsidRDefault="005B2EB9" w:rsidP="005B2EB9">
      <w:pPr>
        <w:pStyle w:val="ManualConsidrant"/>
      </w:pPr>
      <w:r w:rsidRPr="00E86AF3">
        <w:t>(1)</w:t>
      </w:r>
      <w:r w:rsidRPr="00E86AF3">
        <w:tab/>
        <w:t xml:space="preserve">svarbus vaidmuo užtikrinant tinkamą teisės aktų įgyvendinimo stebėseną ir teisingą vykdymo užtikrinimą tenka atskaitomybės </w:t>
      </w:r>
      <w:r w:rsidRPr="00E86AF3">
        <w:rPr>
          <w:b/>
          <w:i/>
        </w:rPr>
        <w:t>ir informacijos atskleidimo</w:t>
      </w:r>
      <w:r w:rsidRPr="00E86AF3">
        <w:t xml:space="preserve"> reikalavimams. Tačiau tuos reikalavimus svarbu racionalizuoti siekiant užtikrinti, kad jie atitiktų numatytą paskirtį, ▌apriboti administracinę naštą </w:t>
      </w:r>
      <w:r w:rsidRPr="00E86AF3">
        <w:rPr>
          <w:b/>
          <w:i/>
        </w:rPr>
        <w:t>ir išvengti bereikalingo dubliavimo, visų pirma mažesnių finansinių jurisdikcijų reguliavimo ir priežiūros institucijoms.</w:t>
      </w:r>
      <w:r w:rsidRPr="00E86AF3">
        <w:rPr>
          <w:b/>
        </w:rPr>
        <w:t xml:space="preserve"> </w:t>
      </w:r>
      <w:r w:rsidRPr="00E86AF3">
        <w:rPr>
          <w:b/>
          <w:i/>
        </w:rPr>
        <w:t>Tačiau atskaitomybės ir informacijos atskleidimo reikalavimais taip pat gali būti užkraunama neproporcinga našta subjektams, visų pirma mažosioms ir vidutinėms įmonėms ar labai mažoms įmonėms;</w:t>
      </w:r>
    </w:p>
    <w:p w:rsidR="005B2EB9" w:rsidRPr="00E86AF3" w:rsidRDefault="005B2EB9" w:rsidP="005B2EB9">
      <w:pPr>
        <w:pStyle w:val="ManualConsidrant"/>
        <w:rPr>
          <w:noProof/>
        </w:rPr>
      </w:pPr>
      <w:r w:rsidRPr="00E86AF3">
        <w:t>(2)</w:t>
      </w:r>
      <w:r w:rsidRPr="00E86AF3">
        <w:tab/>
        <w:t>todėl</w:t>
      </w:r>
      <w:r w:rsidRPr="00E86AF3">
        <w:rPr>
          <w:b/>
          <w:i/>
        </w:rPr>
        <w:t>, nekenkiant politikos tikslams,</w:t>
      </w:r>
      <w:r w:rsidRPr="00E86AF3">
        <w:t xml:space="preserve"> pirmenybė teiktina atskaitomybės pareigų racionalizavimui ir administracinės naštos mažinimui, įskaitant finansų sektoriaus atskaitomybės reikalavimus ir atskaitomybės pagal programą „InvestEU“, nustatytą Europos Parlamento ir Tarybos reglamentu (ES) 2021/523</w:t>
      </w:r>
      <w:r w:rsidRPr="00E86AF3">
        <w:rPr>
          <w:rStyle w:val="FootnoteReference"/>
          <w:noProof/>
        </w:rPr>
        <w:footnoteReference w:id="5"/>
      </w:r>
      <w:r w:rsidRPr="00E86AF3">
        <w:t>, periodiškumą;</w:t>
      </w:r>
    </w:p>
    <w:p w:rsidR="005B2EB9" w:rsidRPr="00E86AF3" w:rsidRDefault="005B2EB9" w:rsidP="005B2EB9">
      <w:pPr>
        <w:pStyle w:val="ManualConsidrant"/>
        <w:rPr>
          <w:noProof/>
        </w:rPr>
      </w:pPr>
      <w:r w:rsidRPr="00E86AF3">
        <w:lastRenderedPageBreak/>
        <w:t>(3)</w:t>
      </w:r>
      <w:r w:rsidRPr="00E86AF3">
        <w:tab/>
        <w:t>Europos Parlamento ir Tarybos reglamentais (ES) Nr. 1092/2010</w:t>
      </w:r>
      <w:r w:rsidRPr="00E86AF3">
        <w:rPr>
          <w:rStyle w:val="FootnoteReference"/>
          <w:noProof/>
        </w:rPr>
        <w:footnoteReference w:id="6"/>
      </w:r>
      <w:r w:rsidRPr="00E86AF3">
        <w:t>, (ES) Nr. 1093/2010</w:t>
      </w:r>
      <w:r w:rsidRPr="00E86AF3">
        <w:rPr>
          <w:rStyle w:val="FootnoteReference"/>
          <w:noProof/>
        </w:rPr>
        <w:footnoteReference w:id="7"/>
      </w:r>
      <w:r w:rsidRPr="00E86AF3">
        <w:t>, (ES) Nr. 1094/2010</w:t>
      </w:r>
      <w:r w:rsidRPr="00E86AF3">
        <w:rPr>
          <w:rStyle w:val="FootnoteReference"/>
          <w:noProof/>
        </w:rPr>
        <w:footnoteReference w:id="8"/>
      </w:r>
      <w:r w:rsidRPr="00E86AF3">
        <w:t>, (ES) Nr. 1095/2010</w:t>
      </w:r>
      <w:r w:rsidRPr="00E86AF3">
        <w:rPr>
          <w:rStyle w:val="FootnoteReference"/>
          <w:noProof/>
        </w:rPr>
        <w:footnoteReference w:id="9"/>
      </w:r>
      <w:r w:rsidRPr="00E86AF3">
        <w:t xml:space="preserve">, </w:t>
      </w:r>
      <w:r w:rsidRPr="00E86AF3">
        <w:rPr>
          <w:b/>
          <w:i/>
        </w:rPr>
        <w:t>(ES) Nr. 806/2014</w:t>
      </w:r>
      <w:r w:rsidR="00BA57EE">
        <w:rPr>
          <w:rStyle w:val="FootnoteReference"/>
          <w:b/>
          <w:i/>
        </w:rPr>
        <w:footnoteReference w:id="10"/>
      </w:r>
      <w:r w:rsidRPr="00E86AF3">
        <w:rPr>
          <w:b/>
          <w:i/>
        </w:rPr>
        <w:t>,</w:t>
      </w:r>
      <w:r w:rsidRPr="00E86AF3">
        <w:t xml:space="preserve"> Europos Parlamento ir Tarybos </w:t>
      </w:r>
      <w:r w:rsidRPr="00E86AF3">
        <w:rPr>
          <w:b/>
          <w:i/>
        </w:rPr>
        <w:t>reglamentu (ES) .../...</w:t>
      </w:r>
      <w:r w:rsidR="00BA57EE">
        <w:rPr>
          <w:rStyle w:val="FootnoteReference"/>
          <w:b/>
          <w:i/>
        </w:rPr>
        <w:footnoteReference w:customMarkFollows="1" w:id="11"/>
        <w:t>+</w:t>
      </w:r>
      <w:r w:rsidRPr="00E86AF3">
        <w:rPr>
          <w:b/>
          <w:i/>
        </w:rPr>
        <w:t>,</w:t>
      </w:r>
      <w:r w:rsidRPr="00E86AF3">
        <w:t xml:space="preserve"> </w:t>
      </w:r>
      <w:r w:rsidRPr="00E86AF3">
        <w:rPr>
          <w:b/>
          <w:i/>
        </w:rPr>
        <w:t>Tarybos reglamentais (ES) Nr. 1024/2013</w:t>
      </w:r>
      <w:r w:rsidR="00BA57EE">
        <w:rPr>
          <w:rStyle w:val="FootnoteReference"/>
        </w:rPr>
        <w:footnoteReference w:id="12"/>
      </w:r>
      <w:r w:rsidRPr="00E86AF3">
        <w:t xml:space="preserve"> ir (ES) 2021/523 nustatyta atskaitomybės </w:t>
      </w:r>
      <w:r w:rsidRPr="00E86AF3">
        <w:rPr>
          <w:b/>
          <w:i/>
        </w:rPr>
        <w:t>ir informacijos atskleidimo</w:t>
      </w:r>
      <w:r w:rsidRPr="00E86AF3">
        <w:t xml:space="preserve"> reikalavimų, kuriuos reikėtų supaprastinti </w:t>
      </w:r>
      <w:r w:rsidRPr="00E86AF3">
        <w:rPr>
          <w:b/>
          <w:i/>
        </w:rPr>
        <w:t>taikant kokybinį, o ne kiekybinį, metodą</w:t>
      </w:r>
      <w:r w:rsidRPr="00E86AF3">
        <w:t xml:space="preserve"> pagal Komisijos komunikatą „Ilgalaikis ES konkurencingumas. Perspektyvos po 2030 m.“</w:t>
      </w:r>
      <w:r w:rsidRPr="00E86AF3">
        <w:rPr>
          <w:rStyle w:val="FootnoteReference"/>
          <w:noProof/>
        </w:rPr>
        <w:footnoteReference w:id="13"/>
      </w:r>
      <w:r w:rsidRPr="00E86AF3">
        <w:t>;</w:t>
      </w:r>
    </w:p>
    <w:p w:rsidR="005B2EB9" w:rsidRPr="00E86AF3" w:rsidRDefault="005B2EB9" w:rsidP="005B2EB9">
      <w:pPr>
        <w:pStyle w:val="ManualConsidrant"/>
      </w:pPr>
      <w:r w:rsidRPr="00E86AF3">
        <w:rPr>
          <w:b/>
          <w:i/>
        </w:rPr>
        <w:t>(3a)</w:t>
      </w:r>
      <w:r w:rsidRPr="00E86AF3">
        <w:rPr>
          <w:b/>
          <w:i/>
        </w:rPr>
        <w:tab/>
        <w:t>tuo kokybiniu metodu nesiekiama pakenkti Sąjungos politikos pasiekimams ir, be to, pripažįstama, kad didėja duomenų, reikalingų su tvaraus finansavimo darbotvarke susijusiuose teisėkūros procedūra priimtuose aktuose išdėstytiems tikslams pasiekti, poreikis. Tačiau nuoseklumas ir standartizavimas apimant įvairias teisines sistemas ir jurisdikcijas per tam tikrą laiką gali padaryti reikalavimus lengviau įgyvendinamus, nedarant poveikio faktiniam atskaitomybės standartų turiniui;</w:t>
      </w:r>
    </w:p>
    <w:p w:rsidR="005B2EB9" w:rsidRPr="00E86AF3" w:rsidRDefault="005B2EB9" w:rsidP="005B2EB9">
      <w:pPr>
        <w:pStyle w:val="ManualConsidrant"/>
        <w:rPr>
          <w:b/>
          <w:i/>
        </w:rPr>
      </w:pPr>
      <w:r w:rsidRPr="00E86AF3">
        <w:rPr>
          <w:b/>
          <w:i/>
        </w:rPr>
        <w:t>(3b)</w:t>
      </w:r>
      <w:r w:rsidRPr="00E86AF3">
        <w:rPr>
          <w:b/>
          <w:i/>
        </w:rPr>
        <w:tab/>
        <w:t>valstybių narių duomenų skirtumai taip pat turėtų būti analizuojami kokybiniu metodu. Visų pirma, kai kuriais Sąjungos teisėkūros procedūra priimtais aktais, atsižvelgiant į jų teisinį pagrindą, siekiama tik dalinio arba minimalus suderinimo. Be to, kai kurie atskaitomybės standartai yra savanoriški arba jų srityje taikoma galimybės juos pasirinkti tvarka. Taip pat, laikydamosi Sąjungos teisėkūros procedūra priimtuose aktuose nustatytų reikalavimų, valstybės narės gali plėtoti geriausią atskaitomybės reikalavimų praktiką arba imtis lyderių vaidmens šioje srityje;</w:t>
      </w:r>
    </w:p>
    <w:p w:rsidR="005B2EB9" w:rsidRPr="00E86AF3" w:rsidRDefault="005B2EB9" w:rsidP="005B2EB9">
      <w:pPr>
        <w:pStyle w:val="ManualConsidrant"/>
        <w:rPr>
          <w:b/>
          <w:i/>
        </w:rPr>
      </w:pPr>
      <w:r w:rsidRPr="00E86AF3">
        <w:lastRenderedPageBreak/>
        <w:t>(4)</w:t>
      </w:r>
      <w:r w:rsidRPr="00E86AF3">
        <w:tab/>
        <w:t xml:space="preserve">finansų įstaigos ir kiti finansų rinkose veikiantys subjektai yra įpareigoti teikti pačią įvairiausią informaciją tam, kad Sąjunga ir nacionalinės institucijos, prižiūrinčios finansų sistemą, galėtų stebėti riziką, užtikrinti finansinį stabilumą ir rinkos vientisumą, taip pat apsaugoti investuotojus ir finansinių paslaugų vartotojus Sąjungoje. Europos priežiūros institucijos </w:t>
      </w:r>
      <w:r w:rsidRPr="00E86AF3">
        <w:rPr>
          <w:b/>
          <w:i/>
        </w:rPr>
        <w:t>ir Europos kovos su pinigų plovimu institucija</w:t>
      </w:r>
      <w:r w:rsidRPr="00E86AF3">
        <w:t xml:space="preserve"> turėtų reguliariai peržiūrėti atskaitomybės</w:t>
      </w:r>
      <w:r w:rsidRPr="00E86AF3">
        <w:rPr>
          <w:b/>
          <w:i/>
        </w:rPr>
        <w:t xml:space="preserve"> ir informacijos atskleidimo</w:t>
      </w:r>
      <w:r w:rsidRPr="00E86AF3">
        <w:t xml:space="preserve"> reikalavimus ir prireikus pasiūlyti juos racionalizuoti ir panaikinti nereikalingus, ▌neaktualius </w:t>
      </w:r>
      <w:r w:rsidRPr="00E86AF3">
        <w:rPr>
          <w:b/>
          <w:i/>
        </w:rPr>
        <w:t>arba neproporcingus</w:t>
      </w:r>
      <w:r w:rsidRPr="00E86AF3">
        <w:t xml:space="preserve"> reikalavimus </w:t>
      </w:r>
      <w:r w:rsidRPr="00E86AF3">
        <w:rPr>
          <w:b/>
          <w:i/>
        </w:rPr>
        <w:t>atitinkamuose techniniuose reguliavimo ir įgyvendinimo standartuose.</w:t>
      </w:r>
      <w:r w:rsidRPr="00E86AF3">
        <w:t xml:space="preserve"> Šį darbą </w:t>
      </w:r>
      <w:r w:rsidRPr="00E86AF3">
        <w:rPr>
          <w:b/>
          <w:i/>
        </w:rPr>
        <w:t>Europos priežiūros institucijos</w:t>
      </w:r>
      <w:r w:rsidRPr="00E86AF3">
        <w:t xml:space="preserve"> turėtų koordinuoti Europos priežiūros institucijų jungtiniame komitete. </w:t>
      </w:r>
      <w:r w:rsidRPr="00E86AF3">
        <w:rPr>
          <w:b/>
          <w:i/>
        </w:rPr>
        <w:t>Be to, siekiant padidinti tų reikalavimų veiksmingumą ir konvergencijos laipsnį, taip pat turėtų būti atliekami kompetentingų institucijų tarpusavio vertinimai. Tiek užduotys pagal bendrą priežiūros kultūrą, tiek tarpusavio vertinimai turėtų būti atliekami nuolat, todėl prireikus turėtų būti skiriama daugiau žmogiškųjų ir materialinių išteklių;</w:t>
      </w:r>
    </w:p>
    <w:p w:rsidR="005B2EB9" w:rsidRPr="00E86AF3" w:rsidRDefault="005B2EB9" w:rsidP="005B2EB9">
      <w:pPr>
        <w:pStyle w:val="ManualConsidrant"/>
        <w:rPr>
          <w:b/>
          <w:i/>
        </w:rPr>
      </w:pPr>
      <w:r w:rsidRPr="00E86AF3">
        <w:rPr>
          <w:b/>
          <w:i/>
        </w:rPr>
        <w:t>(4a)</w:t>
      </w:r>
      <w:r w:rsidRPr="00E86AF3">
        <w:rPr>
          <w:b/>
          <w:i/>
        </w:rPr>
        <w:tab/>
        <w:t xml:space="preserve">didelė dalis perteklinių, nebeaktualių arba neproporcingų atskaitomybės ir informacijos atskleidimo reikalavimų atsiranda dėl vertikaliųjų neatitikimų tarp valstybių narių ir Sąjungos reikalavimų (perteklinio reglamentavimo), horizontaliųjų neatitikimų tarp konkrečius ir įvairius sektorius apimančių teisės aktų, taip pat dėl pačių reikalavimų proporcingumo stokos. Todėl Europos priežiūros institucijos ir Europos kovos su pinigų plovimu institucija turėtų ne tik persvarstyti techninius reguliavimo ir įgyvendinimo standartus, bet ir teikti nuomones apie vykdomas įprastas teisėkūros procedūras ir jau galiojančius teisėkūros procedūra priimtus aktus; </w:t>
      </w:r>
    </w:p>
    <w:p w:rsidR="005B2EB9" w:rsidRPr="00E86AF3" w:rsidRDefault="005B2EB9" w:rsidP="005B2EB9">
      <w:pPr>
        <w:pStyle w:val="ManualConsidrant"/>
        <w:rPr>
          <w:b/>
          <w:i/>
        </w:rPr>
      </w:pPr>
      <w:r w:rsidRPr="00E86AF3">
        <w:rPr>
          <w:b/>
          <w:i/>
        </w:rPr>
        <w:t>(4b)</w:t>
      </w:r>
      <w:r w:rsidRPr="00E86AF3">
        <w:rPr>
          <w:b/>
          <w:i/>
        </w:rPr>
        <w:tab/>
        <w:t xml:space="preserve">palengvinus dalijimąsi už finansų sektoriaus priežiūrą atsakingų institucijų surinkta informacija ir jos pakartotinį naudojimą ir sykiu užtikrinus duomenų, profesinės paslapties ir intelektinės nuosavybės apsaugą, turėtų būti sumažinta ataskaitas teikiantiems subjektams ir institucijoms tenkanti našta, nes būtų išvengta informacijos prašymų dubliavimosi, kaip numatyta Komisijos paskelbtoje Sąjungos finansinių paslaugų priežiūros duomenų strategijoje. Be to, dalijimasis informacija turėtų padėti geriau koordinuoti priežiūros veiklą ir priežiūros konvergenciją; </w:t>
      </w:r>
    </w:p>
    <w:p w:rsidR="005B2EB9" w:rsidRPr="00E86AF3" w:rsidRDefault="005B2EB9" w:rsidP="005B2EB9">
      <w:pPr>
        <w:pStyle w:val="ManualConsidrant"/>
        <w:rPr>
          <w:b/>
          <w:i/>
          <w:noProof/>
        </w:rPr>
      </w:pPr>
      <w:r w:rsidRPr="00E86AF3">
        <w:rPr>
          <w:b/>
          <w:i/>
        </w:rPr>
        <w:t>(4c)</w:t>
      </w:r>
      <w:r w:rsidRPr="00E86AF3">
        <w:rPr>
          <w:b/>
          <w:i/>
        </w:rPr>
        <w:tab/>
        <w:t xml:space="preserve">siekiant skatinti keitimąsi informacija visame finansų sektoriuje, į šio iš dalies keičiančio reglamento taikymo sritį turėtų būti įtrauktos visos institucijos, atsakingos už finansų sektoriaus priežiūrą, įskaitant ESRV, EPI, Kovos su pinigų plovimu instituciją (AMLA), BPM, BPV, taip pat visas atitinkamas kompetentingas, priežiūros ir pertvarkymo institucijas valstybėse narėse;  </w:t>
      </w:r>
    </w:p>
    <w:p w:rsidR="005B2EB9" w:rsidRPr="00E86AF3" w:rsidRDefault="005B2EB9" w:rsidP="005B2EB9">
      <w:pPr>
        <w:pStyle w:val="ManualConsidrant"/>
        <w:rPr>
          <w:noProof/>
        </w:rPr>
      </w:pPr>
      <w:r w:rsidRPr="00E86AF3">
        <w:t>(5)</w:t>
      </w:r>
      <w:r w:rsidRPr="00E86AF3">
        <w:tab/>
        <w:t xml:space="preserve">tuo tikslu </w:t>
      </w:r>
      <w:r w:rsidRPr="00E86AF3">
        <w:rPr>
          <w:b/>
          <w:i/>
        </w:rPr>
        <w:t>Sąjungoje turėtų būti nuosekliau užtikrinamas „duomenų teikimo tik kartą“ principo laikymasis. Visos</w:t>
      </w:r>
      <w:r w:rsidRPr="00E86AF3">
        <w:t xml:space="preserve"> institucijos</w:t>
      </w:r>
      <w:r w:rsidRPr="00E86AF3">
        <w:rPr>
          <w:b/>
          <w:i/>
        </w:rPr>
        <w:t>, atsakingos už finansų sektoriaus priežiūrą, turėtų prašyti</w:t>
      </w:r>
      <w:r w:rsidRPr="00E86AF3">
        <w:t xml:space="preserve"> finansų įstaigų ar kitų ataskaitas teikiančių subjektų pateikti informaciją </w:t>
      </w:r>
      <w:r w:rsidRPr="00E86AF3">
        <w:rPr>
          <w:b/>
          <w:i/>
        </w:rPr>
        <w:t>tik tuo atveju, jei tos įstaigos ar tie subjektai dar nėra pateikę tos informacijos kitoms institucijoms. Jei informacija jau buvo pateikta institucijai, kitos institucijos</w:t>
      </w:r>
      <w:r w:rsidRPr="00E86AF3">
        <w:t xml:space="preserve"> turėtų turėti galimybę</w:t>
      </w:r>
      <w:r w:rsidRPr="00E86AF3">
        <w:rPr>
          <w:b/>
          <w:i/>
        </w:rPr>
        <w:t xml:space="preserve"> prašyti tos informacijos tiesiogiai iš tos institucijos, o</w:t>
      </w:r>
      <w:r w:rsidRPr="00E86AF3">
        <w:t xml:space="preserve"> ne rinkti tą pačią informaciją</w:t>
      </w:r>
      <w:r w:rsidRPr="00E86AF3">
        <w:rPr>
          <w:b/>
          <w:i/>
        </w:rPr>
        <w:t>; taip būtų panaikintas vadinamasis dvigubas</w:t>
      </w:r>
      <w:r w:rsidRPr="00E86AF3">
        <w:t xml:space="preserve"> ataskaitų teikimas▌. Siekiant to paties tikslo – didinti informacijos rinkimo, tvarkymo ir naudojimo veiksmingumą, informaciją sutvarkiusios (išvaliusios ar papildžiusios) institucijos taip pat turėtų galėti tokia sutvarkyta informacija pasidalyti; </w:t>
      </w:r>
    </w:p>
    <w:p w:rsidR="005B2EB9" w:rsidRPr="00E86AF3" w:rsidRDefault="005B2EB9" w:rsidP="005B2EB9">
      <w:pPr>
        <w:pStyle w:val="ManualConsidrant"/>
        <w:rPr>
          <w:b/>
          <w:i/>
        </w:rPr>
      </w:pPr>
      <w:r w:rsidRPr="00E86AF3">
        <w:rPr>
          <w:b/>
          <w:i/>
        </w:rPr>
        <w:t>(5a)</w:t>
      </w:r>
      <w:r w:rsidRPr="00E86AF3">
        <w:rPr>
          <w:b/>
          <w:i/>
        </w:rPr>
        <w:tab/>
        <w:t xml:space="preserve">kai kurie duomenų vienetai, kurių reikia finansų įstaigoms iš įmonių, kad jos galėtų vykdyti savo pareigas teikti ataskaitas, vis dar neįtraukti į Sąjungos ataskaitų teikimo sistemą, todėl juos reikia įtraukti. Atitinkamai reikėtų spręsti ne tik perteklinių, </w:t>
      </w:r>
      <w:r w:rsidRPr="00E86AF3">
        <w:rPr>
          <w:b/>
          <w:i/>
        </w:rPr>
        <w:lastRenderedPageBreak/>
        <w:t xml:space="preserve">besidubliuojančių ar neaktualių atskaitomybės reikalavimų klausimą, bet ir atsižvelgti į reglamentavimo spragas. Dėl to netgi dar svarbiau užtikrinti finansinės ir nefinansinės informacijos teikimo reikalavimų nuoseklumą; </w:t>
      </w:r>
    </w:p>
    <w:p w:rsidR="005B2EB9" w:rsidRPr="00E86AF3" w:rsidRDefault="005B2EB9" w:rsidP="005B2EB9">
      <w:pPr>
        <w:pStyle w:val="ManualConsidrant"/>
        <w:rPr>
          <w:b/>
          <w:i/>
        </w:rPr>
      </w:pPr>
      <w:r w:rsidRPr="00E86AF3">
        <w:rPr>
          <w:b/>
          <w:i/>
        </w:rPr>
        <w:t>(5b)</w:t>
      </w:r>
      <w:r w:rsidRPr="00E86AF3">
        <w:rPr>
          <w:b/>
          <w:i/>
        </w:rPr>
        <w:tab/>
        <w:t>kai aktualu, finansų įstaigos turėtų turėti galimybę remtis nuosekliuoju metodu, t. y. jos turėtų galėti remtis informacija, kurią įmonės jau yra paskelbusios savo vertės grandinėje;</w:t>
      </w:r>
    </w:p>
    <w:p w:rsidR="005B2EB9" w:rsidRPr="00E86AF3" w:rsidRDefault="005B2EB9" w:rsidP="005B2EB9">
      <w:pPr>
        <w:pStyle w:val="ManualConsidrant"/>
        <w:rPr>
          <w:noProof/>
        </w:rPr>
      </w:pPr>
      <w:r w:rsidRPr="00E86AF3">
        <w:rPr>
          <w:b/>
          <w:i/>
        </w:rPr>
        <w:t>(5c)</w:t>
      </w:r>
      <w:r w:rsidRPr="00E86AF3">
        <w:rPr>
          <w:b/>
          <w:i/>
        </w:rPr>
        <w:tab/>
        <w:t xml:space="preserve">siekiant palengvinti sisteminės rizikos finansiniam stabilumui nustatymą, stebėseną, prevenciją ir mažinimą, ESRV turėtų standartiškai turėti prieigą prie jai aktualios EPI ir ECB turimos informacijos. Tokiu būdu, taikant griežtesnes prašymų ir dalijimosi informacija procedūras, sisteminę riziką būtų galima geriau nustatyti </w:t>
      </w:r>
      <w:r w:rsidRPr="00E86AF3">
        <w:rPr>
          <w:b/>
        </w:rPr>
        <w:t>ex ante</w:t>
      </w:r>
      <w:r w:rsidRPr="00E86AF3">
        <w:rPr>
          <w:b/>
          <w:i/>
        </w:rPr>
        <w:t xml:space="preserve">, o ne </w:t>
      </w:r>
      <w:r w:rsidRPr="00E86AF3">
        <w:rPr>
          <w:b/>
        </w:rPr>
        <w:t>ex post</w:t>
      </w:r>
      <w:r w:rsidRPr="00E86AF3">
        <w:rPr>
          <w:b/>
          <w:i/>
        </w:rPr>
        <w:t xml:space="preserve">; </w:t>
      </w:r>
      <w:r w:rsidRPr="00E86AF3">
        <w:t xml:space="preserve"> </w:t>
      </w:r>
    </w:p>
    <w:p w:rsidR="005B2EB9" w:rsidRPr="00E86AF3" w:rsidRDefault="005B2EB9" w:rsidP="005B2EB9">
      <w:pPr>
        <w:pStyle w:val="ManualConsidrant"/>
        <w:rPr>
          <w:noProof/>
        </w:rPr>
      </w:pPr>
      <w:r w:rsidRPr="00E86AF3">
        <w:t>(6)</w:t>
      </w:r>
      <w:r w:rsidRPr="00E86AF3">
        <w:tab/>
        <w:t>toks dalijimasis informacija turėtų papildyti esamas informacijos mainų galimybes, nustatytas Sąjungos teisės aktuose, ir jokiu būdu neturėtų tų esamų galimybių riboti;</w:t>
      </w:r>
    </w:p>
    <w:p w:rsidR="005B2EB9" w:rsidRPr="00E86AF3" w:rsidRDefault="005B2EB9" w:rsidP="005B2EB9">
      <w:pPr>
        <w:pStyle w:val="ManualConsidrant"/>
        <w:rPr>
          <w:b/>
          <w:i/>
        </w:rPr>
      </w:pPr>
      <w:r w:rsidRPr="00E86AF3">
        <w:rPr>
          <w:b/>
          <w:i/>
        </w:rPr>
        <w:t>(6a)</w:t>
      </w:r>
      <w:r w:rsidRPr="00E86AF3">
        <w:rPr>
          <w:b/>
          <w:i/>
        </w:rPr>
        <w:tab/>
        <w:t xml:space="preserve">Europos priežiūros institucijos turėtų įvertinti politikos galimybes procedūriniu ir turinio požiūriu siekiant geriau integruoti atskaitomybės procesus. Europos priežiūros institucijos turėtų tinkamai įvertinti dėl intensyvesnio skaitmeninių technologijų naudojimo atsirandančias galimybes ir propaguoti rodiklius, metodus ir parametrus apimančius veiksmingus ir efektyvius formatus – tai paskatins finansų sektoriaus konkurencingumą; </w:t>
      </w:r>
    </w:p>
    <w:p w:rsidR="005B2EB9" w:rsidRPr="00E86AF3" w:rsidRDefault="005B2EB9" w:rsidP="005B2EB9">
      <w:pPr>
        <w:pStyle w:val="ManualConsidrant"/>
        <w:rPr>
          <w:b/>
          <w:i/>
        </w:rPr>
      </w:pPr>
      <w:r w:rsidRPr="00E86AF3">
        <w:rPr>
          <w:b/>
          <w:i/>
        </w:rPr>
        <w:t>(6b)</w:t>
      </w:r>
      <w:r w:rsidRPr="00E86AF3">
        <w:rPr>
          <w:b/>
          <w:i/>
        </w:rPr>
        <w:tab/>
        <w:t xml:space="preserve">atsižvelgiant į tai, per pastaruosius kelerius metus Komisija ir EPI padarė didelę pažangą nagrinėdamos galimybes sukurti integruotas ataskaitų teikimo sistemas. Tokios novatoriškos ataskaitų teikimo sistemos yra būtinos siekiant pasinaudoti intensyvesnio už finansų sektoriaus priežiūrą atsakingų institucijų dalijimosi duomenimis privalumais. Todėl visos institucijos, atsakingos už Sąjungos finansų sektoriaus priežiūrą, turėtų sukurti bendrą integruotą ataskaitų teikimo sistemą. Ta sistema turėtų apimti bendrą duomenų žodyną, kuris užtikrintų atskaitomybės reikalavimų nuoseklumą ir aiškumą ir duomenų standartizavimą, bendrą prašomų ir gaunamų duomenų saugyklą, centrinę efektyvaus duomenų rinkimo ir keitimosi jais erdvę, taip pat vieną kontaktinį punktą, kad subjektai galėtų nurodyti dvigubus, nebeaktualius ar perteklinius atskaitomybės ir informacijos atskleidimo reikalavimus; </w:t>
      </w:r>
    </w:p>
    <w:p w:rsidR="005B2EB9" w:rsidRPr="00E86AF3" w:rsidRDefault="005B2EB9" w:rsidP="005B2EB9">
      <w:pPr>
        <w:pStyle w:val="ManualConsidrant"/>
        <w:rPr>
          <w:noProof/>
        </w:rPr>
      </w:pPr>
      <w:r w:rsidRPr="00E86AF3">
        <w:rPr>
          <w:b/>
          <w:i/>
        </w:rPr>
        <w:t>(6c)</w:t>
      </w:r>
      <w:r w:rsidRPr="00E86AF3">
        <w:rPr>
          <w:b/>
          <w:i/>
        </w:rPr>
        <w:tab/>
        <w:t xml:space="preserve">dėl teisinių kliūčių sektorių teisės aktuose institucijoms kartais neįmanoma keistis aktualia informacija. Todėl tos institucijos turėtų pranešti Komisijai apie tas teisines kliūtis, o Komisija, kai tikslinga, turėtų pasiūlyti panaikinti tas kliūtis, sykiu paisant intelektinės nuosavybės teisių, profesinės paslapties ir duomenų apsaugos taisyklių; </w:t>
      </w:r>
    </w:p>
    <w:p w:rsidR="005B2EB9" w:rsidRPr="00E86AF3" w:rsidRDefault="005B2EB9" w:rsidP="005B2EB9">
      <w:pPr>
        <w:pStyle w:val="ManualConsidrant"/>
        <w:rPr>
          <w:noProof/>
        </w:rPr>
      </w:pPr>
      <w:r w:rsidRPr="00E86AF3">
        <w:t>(7)</w:t>
      </w:r>
      <w:r w:rsidRPr="00E86AF3">
        <w:tab/>
        <w:t>kad galėtų rengti politiką, vertinti galiojančius teisės aktus ir potencialių teisėkūros ir ne teisėkūros iniciatyvų poveikį, be kita ko, vykstant deryboms dėl pasiūlymų dėl teisės aktų, Komisijai reikia tikslios ir išsamios informacijos. Kurti įrodymais grindžiamą pagrindą, kuriuo būtų remiamasi formuojant ir vertinant Sąjungos politiką, turėtų padėti institucijų dalijimasis su Komisija finansų įstaigų ar kitų subjektų vykdant savo pareigas pagal Sąjungos teisę toms institucijoms pateikta informacija. Tuo tikslu tokia informacija turėtų būti pateikiama tokia forma, kuri neleidžia identifikuoti atskirų subjektų ir neapima asmens duomenų. Be to, anonimizuoti duomenys gali būti naudingi institucijoms, todėl jos taip pat turėtų dalytis tokia informacija tarpusavyje, kai to reikia jų užduotims atlikti;</w:t>
      </w:r>
    </w:p>
    <w:p w:rsidR="005B2EB9" w:rsidRPr="00E86AF3" w:rsidRDefault="005B2EB9" w:rsidP="005B2EB9">
      <w:pPr>
        <w:pStyle w:val="ManualConsidrant"/>
        <w:rPr>
          <w:rFonts w:eastAsia="Calibri"/>
          <w:noProof/>
          <w:szCs w:val="24"/>
        </w:rPr>
      </w:pPr>
      <w:r w:rsidRPr="00E86AF3">
        <w:t>(8)</w:t>
      </w:r>
      <w:r w:rsidRPr="00E86AF3">
        <w:tab/>
        <w:t xml:space="preserve">inovacijų ciklai finansų sektoriuje spartėja, tampa atviresni ir vis labiau grindžiami bendradarbiavimu. Taigi institucijos turėtų galėti dalytis informacija su finansų </w:t>
      </w:r>
      <w:r w:rsidRPr="00E86AF3">
        <w:lastRenderedPageBreak/>
        <w:t>įstaigomis, mokslininkais ir kitais subjektais mokslinių tyrimų ir inovacijų tikslais, t. y. kitais tikslais nei pradinis tikslas, dėl kurio informacija buvo surinkta. Dalijimasis tokia institucijų turima informacija turėtų padidinti jos naudą, nes išaugtų finansų sektoriaus moksliniams tyrimams naudojamos informacijos apimtis, ir suteikti daugiau galimybių testuoti produktus ir verslo modelius, taip pat išplėsti įvairių finansų rinkų dalyvių, įskaitant FinTech bendroves, startuolius ir tradicines finansų įstaigas, bendradarbiavimą. Duomenų, kuriais dalijasi kompetentingos institucijos, pakartotinis naudojimas reglamentuojamas bendrąja pakartotinio duomenų naudojimo sistema, nustatyta Europos Parlamento ir Tarybos reglamento (ES) 2022/868</w:t>
      </w:r>
      <w:r w:rsidRPr="00E86AF3">
        <w:rPr>
          <w:rStyle w:val="FootnoteReference"/>
          <w:noProof/>
        </w:rPr>
        <w:footnoteReference w:id="14"/>
      </w:r>
      <w:r w:rsidRPr="00E86AF3">
        <w:t xml:space="preserve"> II skyriuje. Vis dėlto, atsižvelgus į finansų sektoriaus priežiūros tikslais institucijų gautų duomenų neskelbtiną pobūdį, šių duomenų pakartotiniam naudojimui turėtų būti nustatytos specialios privalomos sąlygos, be kita ko, asmens ir ne asmens duomenų anoniminimas, kuris neleistų identifikuoti atskirų finansų įstaigų, ir konfidencialios informacijos apsauga.</w:t>
      </w:r>
      <w:r w:rsidRPr="00E86AF3">
        <w:rPr>
          <w:b/>
          <w:i/>
        </w:rPr>
        <w:t xml:space="preserve"> Tai reiškia, kad visoms duomenų rinkimo, standartizavimo, anoniminimo, saugojimo ir dalijimosi jais procedūroms ir etapams nuolat bus taikomos naujausios kibernetinio saugumo priemonės, nustatytos pagal Sąjungos teisę;</w:t>
      </w:r>
    </w:p>
    <w:p w:rsidR="005B2EB9" w:rsidRPr="00E86AF3" w:rsidRDefault="005B2EB9" w:rsidP="005B2EB9">
      <w:pPr>
        <w:pStyle w:val="ManualConsidrant"/>
        <w:rPr>
          <w:noProof/>
        </w:rPr>
      </w:pPr>
      <w:r w:rsidRPr="00E86AF3">
        <w:t>(9)</w:t>
      </w:r>
      <w:r w:rsidRPr="00E86AF3">
        <w:tab/>
        <w:t>pakeitus programos „InvestEU“ įgyvendinančiųjų partnerių atskaitomybės periodiškumą, t. y. įpareigojus teikti informaciją ne kas pusmetį, o kas metus, turėtų sumažėti įgyvendinančiųjų partnerių, finansų tarpininkų, MVĮ ir kitų įmonių darbo krūvis, o esminiai Reglamento (ES) 2021/523 elementai nepakistų; </w:t>
      </w:r>
    </w:p>
    <w:p w:rsidR="005B2EB9" w:rsidRPr="00E86AF3" w:rsidRDefault="005B2EB9" w:rsidP="005B2EB9">
      <w:pPr>
        <w:pStyle w:val="ManualConsidrant"/>
        <w:rPr>
          <w:noProof/>
        </w:rPr>
      </w:pPr>
      <w:r w:rsidRPr="00E86AF3">
        <w:t>(10)</w:t>
      </w:r>
      <w:r w:rsidRPr="00E86AF3">
        <w:tab/>
        <w:t>todėl reglamentai (ES) Nr. 1092/2010, (ES) Nr. 1093/2010, (ES) Nr. 1094/2010, (ES) Nr. 1095/2010 ir (ES) 2021/523 turėtų būti atitinkamai iš dalies pakeisti,</w:t>
      </w:r>
    </w:p>
    <w:p w:rsidR="005B2EB9" w:rsidRPr="00E86AF3" w:rsidRDefault="005B2EB9" w:rsidP="005B2EB9">
      <w:pPr>
        <w:widowControl/>
        <w:spacing w:before="120" w:after="120"/>
        <w:ind w:left="709" w:hanging="709"/>
        <w:jc w:val="both"/>
        <w:rPr>
          <w:rFonts w:eastAsia="Calibri"/>
          <w:noProof/>
          <w:szCs w:val="22"/>
          <w:lang w:eastAsia="en-US"/>
        </w:rPr>
      </w:pPr>
    </w:p>
    <w:p w:rsidR="005B2EB9" w:rsidRPr="00E86AF3" w:rsidRDefault="005B2EB9" w:rsidP="005B2EB9">
      <w:pPr>
        <w:keepNext/>
        <w:widowControl/>
        <w:spacing w:before="120" w:after="120"/>
        <w:jc w:val="both"/>
        <w:rPr>
          <w:rFonts w:eastAsia="Calibri"/>
          <w:noProof/>
          <w:szCs w:val="22"/>
        </w:rPr>
      </w:pPr>
      <w:r w:rsidRPr="00E86AF3">
        <w:t>PRIĖMĖ ŠĮ REGLAMENTĄ:</w:t>
      </w:r>
    </w:p>
    <w:p w:rsidR="005B2EB9" w:rsidRPr="00E86AF3" w:rsidRDefault="005B2EB9" w:rsidP="005B2EB9">
      <w:pPr>
        <w:keepNext/>
        <w:widowControl/>
        <w:spacing w:before="360" w:after="120"/>
        <w:jc w:val="center"/>
        <w:rPr>
          <w:rFonts w:eastAsia="Calibri"/>
          <w:i/>
          <w:noProof/>
          <w:szCs w:val="22"/>
        </w:rPr>
      </w:pPr>
      <w:r w:rsidRPr="00E86AF3">
        <w:rPr>
          <w:i/>
        </w:rPr>
        <w:t>1 straipsnis</w:t>
      </w:r>
    </w:p>
    <w:p w:rsidR="005B2EB9" w:rsidRPr="00E86AF3" w:rsidRDefault="005B2EB9" w:rsidP="005B2EB9">
      <w:pPr>
        <w:widowControl/>
        <w:spacing w:before="120" w:after="120"/>
        <w:jc w:val="center"/>
        <w:rPr>
          <w:rFonts w:eastAsia="Calibri"/>
          <w:noProof/>
          <w:szCs w:val="22"/>
        </w:rPr>
      </w:pPr>
      <w:r w:rsidRPr="00E86AF3">
        <w:rPr>
          <w:b/>
        </w:rPr>
        <w:t>Reglamento (ES) Nr. 1092/2010 pakeitimai</w:t>
      </w:r>
    </w:p>
    <w:p w:rsidR="005B2EB9" w:rsidRPr="00E86AF3" w:rsidRDefault="005B2EB9" w:rsidP="005B2EB9">
      <w:pPr>
        <w:widowControl/>
        <w:spacing w:before="120" w:after="120"/>
        <w:jc w:val="both"/>
        <w:rPr>
          <w:rFonts w:eastAsia="Calibri"/>
          <w:noProof/>
          <w:szCs w:val="22"/>
        </w:rPr>
      </w:pPr>
      <w:r w:rsidRPr="00E86AF3">
        <w:t>Reglamentas (ES) Nr. 1092/2010 iš dalies keičiamas taip:</w:t>
      </w:r>
    </w:p>
    <w:p w:rsidR="005B2EB9" w:rsidRPr="00E86AF3" w:rsidRDefault="005B2EB9" w:rsidP="005B2EB9">
      <w:pPr>
        <w:widowControl/>
        <w:spacing w:before="120" w:after="120"/>
        <w:ind w:left="850" w:hanging="850"/>
        <w:jc w:val="both"/>
        <w:rPr>
          <w:rFonts w:eastAsia="Calibri"/>
          <w:noProof/>
          <w:szCs w:val="22"/>
        </w:rPr>
      </w:pPr>
      <w:r w:rsidRPr="00E86AF3">
        <w:t>1.</w:t>
      </w:r>
      <w:r w:rsidRPr="00E86AF3">
        <w:tab/>
        <w:t>8 straipsnio 3 dalis pakeičiama taip: </w:t>
      </w:r>
    </w:p>
    <w:p w:rsidR="005B2EB9" w:rsidRPr="00E86AF3" w:rsidRDefault="005B2EB9" w:rsidP="005B2EB9">
      <w:pPr>
        <w:widowControl/>
        <w:spacing w:before="120" w:after="120"/>
        <w:ind w:left="1418" w:hanging="567"/>
        <w:jc w:val="both"/>
        <w:rPr>
          <w:rFonts w:eastAsia="Calibri"/>
          <w:noProof/>
          <w:szCs w:val="22"/>
        </w:rPr>
      </w:pPr>
      <w:r w:rsidRPr="00E86AF3">
        <w:t>„3.</w:t>
      </w:r>
      <w:r w:rsidRPr="00E86AF3">
        <w:tab/>
        <w:t>Nedarant poveikio 15 ir 16 straipsniams ir baudžiamosios teisės taikymui, jokia konfidenciali informacija, kurią 1 dalyje nurodyti asmenys gavo vykdydami savo pareigas, negali būti atskleista jokiam asmeniui ar institucijai, išskyrus atvejus, kai ji pateikiama tokia apibendrinta arba suvestine forma, kad nebūtų galima nustatyti atskiros finansų įstaigos.“;</w:t>
      </w:r>
    </w:p>
    <w:p w:rsidR="005B2EB9" w:rsidRPr="00E86AF3" w:rsidRDefault="005B2EB9" w:rsidP="005B2EB9">
      <w:pPr>
        <w:widowControl/>
        <w:spacing w:before="120" w:after="120"/>
        <w:ind w:left="850" w:hanging="850"/>
        <w:jc w:val="both"/>
        <w:rPr>
          <w:rFonts w:eastAsia="Calibri"/>
          <w:b/>
          <w:i/>
          <w:szCs w:val="22"/>
        </w:rPr>
      </w:pPr>
      <w:r w:rsidRPr="00E86AF3">
        <w:rPr>
          <w:b/>
          <w:i/>
        </w:rPr>
        <w:t>1a.</w:t>
      </w:r>
      <w:r w:rsidRPr="00E86AF3">
        <w:rPr>
          <w:b/>
          <w:i/>
        </w:rPr>
        <w:tab/>
        <w:t>15 straipsnio 1–7 dalys pakeičiamos taip:</w:t>
      </w:r>
    </w:p>
    <w:p w:rsidR="00C02782" w:rsidRDefault="005B2EB9" w:rsidP="005B2EB9">
      <w:pPr>
        <w:widowControl/>
        <w:spacing w:before="120" w:after="120"/>
        <w:ind w:left="1418" w:hanging="567"/>
        <w:jc w:val="both"/>
        <w:rPr>
          <w:b/>
          <w:i/>
        </w:rPr>
      </w:pPr>
      <w:r w:rsidRPr="00E86AF3">
        <w:rPr>
          <w:b/>
          <w:i/>
        </w:rPr>
        <w:t>„1.</w:t>
      </w:r>
      <w:r w:rsidRPr="00E86AF3">
        <w:rPr>
          <w:b/>
          <w:i/>
        </w:rPr>
        <w:tab/>
        <w:t>EPI, Europos centrinių bankų sistema (ECBS), Komisija, nacionalinėmis priežiūros institucijos ir nacionalinės statistikos institucijos glaudžiai bendradarbiauja su ESRV – dalijasi informacija ir analize, reikalinga jų užduotims atlikti.</w:t>
      </w:r>
    </w:p>
    <w:p w:rsidR="005B2EB9" w:rsidRPr="00E86AF3" w:rsidRDefault="005B2EB9" w:rsidP="005B2EB9">
      <w:pPr>
        <w:widowControl/>
        <w:spacing w:before="120" w:after="120"/>
        <w:ind w:left="1418" w:hanging="567"/>
        <w:jc w:val="both"/>
        <w:rPr>
          <w:rFonts w:eastAsia="Calibri"/>
          <w:b/>
          <w:i/>
          <w:szCs w:val="22"/>
        </w:rPr>
      </w:pPr>
      <w:r w:rsidRPr="00E86AF3">
        <w:rPr>
          <w:b/>
          <w:i/>
        </w:rPr>
        <w:t>2.</w:t>
      </w:r>
      <w:r w:rsidRPr="00E86AF3">
        <w:rPr>
          <w:b/>
          <w:i/>
        </w:rPr>
        <w:tab/>
        <w:t xml:space="preserve">ESRV, EPI ir ECB koordinuoja savo pastangas, kad nustatytų sisteminę riziką finansiniam stabilumui, ją stebėtų, užkirstų jai kelią ir ją sumažintų. </w:t>
      </w:r>
      <w:r w:rsidRPr="00E86AF3">
        <w:rPr>
          <w:b/>
          <w:i/>
        </w:rPr>
        <w:lastRenderedPageBreak/>
        <w:t xml:space="preserve">Nepaisant kitų šiame straipsnyje ir kituose Sąjungos teisėkūros procedūra priimtuose aktuose išdėstytų nuostatų dėl dalijimosi priežiūros ir statistine informacija, EPI ir ECB nepagrįstai nedelsdami dalijasi su ESRV visa aktualia informacija, kai tik ji tampa prieinama, įskaitant priežiūros ir statistinę informaciją, taip pat tokios informacijos analizės rezultatais, reikalingais ESRV misijai, tikslams ir užduotims įgyvendinti. </w:t>
      </w:r>
    </w:p>
    <w:p w:rsidR="005B2EB9" w:rsidRPr="00E86AF3" w:rsidRDefault="005B2EB9" w:rsidP="005B2EB9">
      <w:pPr>
        <w:widowControl/>
        <w:spacing w:before="120" w:after="120"/>
        <w:ind w:left="1418"/>
        <w:jc w:val="both"/>
        <w:rPr>
          <w:rFonts w:eastAsia="Calibri"/>
          <w:b/>
          <w:i/>
          <w:szCs w:val="22"/>
        </w:rPr>
      </w:pPr>
      <w:r w:rsidRPr="00E86AF3">
        <w:rPr>
          <w:b/>
          <w:i/>
        </w:rPr>
        <w:t xml:space="preserve">Tos informacijos dalijimosi tikslais EPI ir ECB naudoja 15a straipsnyje nurodytą bendrą integruotą ataskaitų teikimo sistemą, kai ji bus sukurta. </w:t>
      </w:r>
    </w:p>
    <w:p w:rsidR="005B2EB9" w:rsidRPr="00E86AF3" w:rsidRDefault="005B2EB9" w:rsidP="005B2EB9">
      <w:pPr>
        <w:widowControl/>
        <w:spacing w:before="120" w:after="120"/>
        <w:ind w:left="1418" w:hanging="567"/>
        <w:jc w:val="both"/>
        <w:rPr>
          <w:rFonts w:eastAsia="Calibri"/>
          <w:b/>
          <w:i/>
          <w:szCs w:val="22"/>
        </w:rPr>
      </w:pPr>
      <w:r w:rsidRPr="00E86AF3">
        <w:rPr>
          <w:b/>
          <w:i/>
        </w:rPr>
        <w:t>3.</w:t>
      </w:r>
      <w:r w:rsidRPr="00E86AF3">
        <w:rPr>
          <w:b/>
          <w:i/>
        </w:rPr>
        <w:tab/>
        <w:t>Jei esamos informacijos, kuri ESRV buvo pateikta per EPI, ECB ir Europos statistikos sistemą, nepakanka arba ji nepateikiama laiku, ESRV pagal šį straipsnį prašo nacionalinių centrinių bankų, nacionalinių priežiūros institucijų ir nacionalinių statistikos institucijų pateikti informaciją, būtiną jos įgaliojimams vykdyti. Jei informacija lieka neprieinama, ESRV gali paprašyti jos iš atitinkamos valstybės narės, nedarant poveikio prerogatyvoms, suteiktoms statistikos ir duomenų rinkimo srityje Tarybai, Komisijai (Eurostatui), ECB, Eurosistemai ir ECBS.</w:t>
      </w:r>
    </w:p>
    <w:p w:rsidR="005B2EB9" w:rsidRPr="00E86AF3" w:rsidRDefault="005B2EB9" w:rsidP="005B2EB9">
      <w:pPr>
        <w:widowControl/>
        <w:spacing w:before="120" w:after="120"/>
        <w:ind w:left="1418" w:hanging="567"/>
        <w:jc w:val="both"/>
        <w:rPr>
          <w:rFonts w:eastAsia="Calibri"/>
          <w:b/>
          <w:i/>
          <w:szCs w:val="22"/>
        </w:rPr>
      </w:pPr>
      <w:r w:rsidRPr="00E86AF3">
        <w:rPr>
          <w:b/>
          <w:i/>
        </w:rPr>
        <w:t>4.</w:t>
      </w:r>
      <w:r w:rsidRPr="00E86AF3">
        <w:rPr>
          <w:b/>
          <w:i/>
        </w:rPr>
        <w:tab/>
        <w:t>Jeigu ESRV pagal 3 dalį prašo pateikti informaciją ne apibendrinta arba suvestine forma, pagrįstame prašyme paaiškinama, kodėl manoma, kad duomenys apie atitinkamą atskirą finansų įstaigą yra svarbūs sisteminiu požiūriu ir būtini atsižvelgiant į vyraujančią padėtį rinkoje.</w:t>
      </w:r>
    </w:p>
    <w:p w:rsidR="005B2EB9" w:rsidRPr="00E86AF3" w:rsidRDefault="005B2EB9" w:rsidP="005B2EB9">
      <w:pPr>
        <w:widowControl/>
        <w:spacing w:before="120" w:after="120"/>
        <w:ind w:left="1418" w:hanging="567"/>
        <w:jc w:val="both"/>
        <w:rPr>
          <w:rFonts w:eastAsia="Calibri"/>
          <w:b/>
          <w:i/>
          <w:szCs w:val="22"/>
        </w:rPr>
      </w:pPr>
      <w:r w:rsidRPr="00E86AF3">
        <w:rPr>
          <w:b/>
          <w:i/>
        </w:rPr>
        <w:t>5.</w:t>
      </w:r>
      <w:r w:rsidRPr="00E86AF3">
        <w:rPr>
          <w:b/>
          <w:i/>
        </w:rPr>
        <w:tab/>
        <w:t xml:space="preserve"> Kiekvieną kartą prieš prašydama pateikti su priežiūra susijusią informaciją neapibendrinta arba nesuvestine forma pagal 3 dalį, ESRV deramai konsultuojasi su atitinkamomis EPI, kad užtikrintų savo prašymo pagrįstumą ir proporcingumą. Jeigu atitinkama EPI mano, kad prašymas nėra pagrįstas ir proporcingas, ji nedelsdama grąžina prašymą ESRV ir paprašo pateikti papildomą pagrindimą. Kai ESRV pateikia atitinkamai EPI tokį papildomą pagrindimą, prašymo adresatai prašomą informaciją perduoda ESRV, jei jie turi teisėtą prieigą prie atitinkamos informacijos.“;</w:t>
      </w:r>
    </w:p>
    <w:p w:rsidR="005B2EB9" w:rsidRPr="00E86AF3" w:rsidRDefault="005B2EB9" w:rsidP="005B2EB9">
      <w:pPr>
        <w:widowControl/>
        <w:spacing w:before="120" w:after="120"/>
        <w:ind w:left="850" w:hanging="850"/>
        <w:jc w:val="both"/>
        <w:rPr>
          <w:rFonts w:eastAsia="Calibri"/>
          <w:noProof/>
          <w:szCs w:val="22"/>
        </w:rPr>
      </w:pPr>
      <w:r w:rsidRPr="00E86AF3">
        <w:t>2.</w:t>
      </w:r>
      <w:r w:rsidRPr="00E86AF3">
        <w:tab/>
        <w:t>15 straipsnis papildomas šiomis dalimis: </w:t>
      </w:r>
    </w:p>
    <w:p w:rsidR="005B2EB9" w:rsidRPr="00E86AF3" w:rsidRDefault="005B2EB9" w:rsidP="005B2EB9">
      <w:pPr>
        <w:ind w:left="1418" w:hanging="567"/>
        <w:jc w:val="both"/>
        <w:rPr>
          <w:rFonts w:eastAsia="Calibri"/>
          <w:szCs w:val="22"/>
        </w:rPr>
      </w:pPr>
      <w:r w:rsidRPr="00E86AF3">
        <w:t>„8.</w:t>
      </w:r>
      <w:r w:rsidRPr="00E86AF3">
        <w:rPr>
          <w:b/>
          <w:i/>
        </w:rPr>
        <w:tab/>
      </w:r>
      <w:r w:rsidRPr="00E86AF3">
        <w:t xml:space="preserve">ESRV kiekvienu konkrečiu atveju arba reguliariai dalijasi </w:t>
      </w:r>
      <w:r w:rsidRPr="00E86AF3">
        <w:rPr>
          <w:b/>
          <w:i/>
        </w:rPr>
        <w:t>su kita 1 dalyje nurodyta institucija arba institucija, kuri yra EFPIS narė, arba kitomis institucijomis</w:t>
      </w:r>
      <w:r w:rsidRPr="00E86AF3">
        <w:t xml:space="preserve"> informacija, kurią ji gavo iš </w:t>
      </w:r>
      <w:r w:rsidRPr="00E86AF3">
        <w:rPr>
          <w:b/>
          <w:i/>
        </w:rPr>
        <w:t>minėtų</w:t>
      </w:r>
      <w:r w:rsidRPr="00E86AF3">
        <w:t xml:space="preserve"> arba kitų ▌institucijų, kai prašančioji institucija </w:t>
      </w:r>
      <w:r w:rsidRPr="00E86AF3">
        <w:rPr>
          <w:b/>
          <w:i/>
        </w:rPr>
        <w:t>turi teisę</w:t>
      </w:r>
      <w:r w:rsidRPr="00E86AF3">
        <w:t xml:space="preserve"> gauti tą informaciją, kad galėtų vykdyti </w:t>
      </w:r>
      <w:r w:rsidRPr="00E86AF3">
        <w:rPr>
          <w:b/>
          <w:i/>
        </w:rPr>
        <w:t>savo misiją, tikslus, užduotis ir įgaliojimus, arba pagal atitinkamą</w:t>
      </w:r>
      <w:r w:rsidRPr="00E86AF3">
        <w:t xml:space="preserve"> Sąjungos teisę.</w:t>
      </w:r>
    </w:p>
    <w:p w:rsidR="005B2EB9" w:rsidRPr="00E86AF3" w:rsidRDefault="005B2EB9" w:rsidP="005B2EB9">
      <w:pPr>
        <w:widowControl/>
        <w:spacing w:before="120" w:after="120"/>
        <w:ind w:left="1418"/>
        <w:jc w:val="both"/>
        <w:rPr>
          <w:rFonts w:eastAsia="Calibri"/>
          <w:b/>
          <w:i/>
          <w:szCs w:val="22"/>
        </w:rPr>
      </w:pPr>
      <w:r w:rsidRPr="00E86AF3">
        <w:rPr>
          <w:b/>
          <w:i/>
        </w:rPr>
        <w:t xml:space="preserve">Šios dalies pirmoje pastraipoje nurodytos informacijos dalijimosi tikslais ESRV naudoja 15a straipsnyje nurodytą bendrą integruotą ataskaitų teikimo sistemą, kai ji bus sukurta. </w:t>
      </w:r>
    </w:p>
    <w:p w:rsidR="005B2EB9" w:rsidRPr="00E86AF3" w:rsidRDefault="005B2EB9" w:rsidP="005B2EB9">
      <w:pPr>
        <w:widowControl/>
        <w:spacing w:before="120" w:after="120"/>
        <w:ind w:left="1418" w:hanging="567"/>
        <w:jc w:val="both"/>
        <w:rPr>
          <w:rFonts w:eastAsia="Calibri"/>
          <w:b/>
          <w:i/>
          <w:szCs w:val="22"/>
        </w:rPr>
      </w:pPr>
      <w:r w:rsidRPr="00E86AF3">
        <w:rPr>
          <w:b/>
          <w:i/>
        </w:rPr>
        <w:t>8a.</w:t>
      </w:r>
      <w:r w:rsidRPr="00E86AF3">
        <w:rPr>
          <w:b/>
          <w:i/>
        </w:rPr>
        <w:tab/>
        <w:t>ESRV prašo kitų institucijų pateikti informaciją, kurios kitu atveju ji prašytų iš finansų įstaigų ar kitų kompetentingų institucijų, jei tenkinamos abi šios sąlygos:</w:t>
      </w:r>
    </w:p>
    <w:p w:rsidR="005B2EB9" w:rsidRPr="00E86AF3" w:rsidRDefault="005B2EB9" w:rsidP="005B2EB9">
      <w:pPr>
        <w:widowControl/>
        <w:spacing w:before="120" w:after="120"/>
        <w:ind w:left="1418"/>
        <w:jc w:val="both"/>
        <w:rPr>
          <w:rFonts w:eastAsia="Calibri"/>
          <w:b/>
          <w:i/>
          <w:szCs w:val="22"/>
        </w:rPr>
      </w:pPr>
      <w:r w:rsidRPr="00E86AF3">
        <w:rPr>
          <w:b/>
          <w:i/>
        </w:rPr>
        <w:t>a)</w:t>
      </w:r>
      <w:r w:rsidRPr="00E86AF3">
        <w:rPr>
          <w:b/>
          <w:i/>
        </w:rPr>
        <w:tab/>
        <w:t>ji turi teisę gauti tą informaciją atsižvelgiant į jos misiją, tikslus, užduotis ir įgaliojimus arba pagal atitinkamą Sąjungos teisę;</w:t>
      </w:r>
    </w:p>
    <w:p w:rsidR="005B2EB9" w:rsidRPr="00E86AF3" w:rsidRDefault="005B2EB9" w:rsidP="005B2EB9">
      <w:pPr>
        <w:widowControl/>
        <w:spacing w:before="120" w:after="120"/>
        <w:ind w:left="1418"/>
        <w:jc w:val="both"/>
        <w:rPr>
          <w:rFonts w:eastAsia="Calibri"/>
          <w:b/>
          <w:i/>
          <w:szCs w:val="22"/>
        </w:rPr>
      </w:pPr>
      <w:r w:rsidRPr="00E86AF3">
        <w:rPr>
          <w:b/>
          <w:i/>
        </w:rPr>
        <w:t>b)</w:t>
      </w:r>
      <w:r w:rsidRPr="00E86AF3">
        <w:rPr>
          <w:b/>
          <w:i/>
        </w:rPr>
        <w:tab/>
        <w:t>tą informaciją yra gavusi bent viena iš tų kitų institucijų.</w:t>
      </w:r>
    </w:p>
    <w:p w:rsidR="005B2EB9" w:rsidRPr="00E86AF3" w:rsidRDefault="005B2EB9" w:rsidP="005B2EB9">
      <w:pPr>
        <w:widowControl/>
        <w:spacing w:before="120" w:after="120"/>
        <w:ind w:left="1418"/>
        <w:jc w:val="both"/>
        <w:rPr>
          <w:rFonts w:eastAsia="Calibri"/>
          <w:b/>
          <w:i/>
          <w:szCs w:val="22"/>
        </w:rPr>
      </w:pPr>
      <w:r w:rsidRPr="00E86AF3">
        <w:rPr>
          <w:b/>
          <w:i/>
        </w:rPr>
        <w:lastRenderedPageBreak/>
        <w:t>Pirma pastraipa nedaro poveikio ESRV galimybei gauti prašomą informaciją iš finansų įstaigų ar kitų kompetentingų institucijų, kai dėl veikimo priežasčių kita institucija negali dalytis duomenimis.</w:t>
      </w:r>
    </w:p>
    <w:p w:rsidR="005B2EB9" w:rsidRPr="00E86AF3" w:rsidRDefault="005B2EB9" w:rsidP="00365E66">
      <w:pPr>
        <w:widowControl/>
        <w:spacing w:before="120" w:after="120"/>
        <w:ind w:left="1418"/>
        <w:jc w:val="both"/>
        <w:rPr>
          <w:rFonts w:eastAsia="Calibri"/>
          <w:b/>
          <w:i/>
          <w:szCs w:val="22"/>
        </w:rPr>
      </w:pPr>
      <w:r w:rsidRPr="00E86AF3">
        <w:rPr>
          <w:b/>
          <w:i/>
        </w:rPr>
        <w:t>Siekdama nustatyti, ar įvykdyta pirmos pastraipos b punkte nurodyta sąlyga, ESRV naudoja 15a straipsnyje nurodytą bendrą integruotą ataskaitų teikimo sistemą, kai ji bus sukurta.</w:t>
      </w:r>
    </w:p>
    <w:p w:rsidR="005B2EB9" w:rsidRPr="00E86AF3" w:rsidRDefault="005B2EB9" w:rsidP="005B2EB9">
      <w:pPr>
        <w:widowControl/>
        <w:spacing w:before="120" w:after="120"/>
        <w:ind w:left="1418" w:hanging="567"/>
        <w:jc w:val="both"/>
        <w:rPr>
          <w:rFonts w:eastAsia="Calibri"/>
          <w:b/>
          <w:i/>
          <w:szCs w:val="22"/>
        </w:rPr>
      </w:pPr>
      <w:r w:rsidRPr="00E86AF3">
        <w:rPr>
          <w:b/>
          <w:i/>
        </w:rPr>
        <w:t>8b.</w:t>
      </w:r>
      <w:r w:rsidRPr="00E86AF3">
        <w:rPr>
          <w:b/>
          <w:i/>
        </w:rPr>
        <w:tab/>
        <w:t>Šiame straipsnyje ir 15a straipsnyje „kitos institucijos“ – tai bet kuri iš šių institucijų:</w:t>
      </w:r>
    </w:p>
    <w:p w:rsidR="005B2EB9" w:rsidRPr="00E86AF3" w:rsidRDefault="005B2EB9" w:rsidP="005B2EB9">
      <w:pPr>
        <w:widowControl/>
        <w:spacing w:before="120" w:after="120"/>
        <w:ind w:left="1985" w:hanging="567"/>
        <w:jc w:val="both"/>
        <w:rPr>
          <w:rFonts w:eastAsia="Calibri"/>
          <w:b/>
          <w:i/>
          <w:szCs w:val="22"/>
        </w:rPr>
      </w:pPr>
      <w:r w:rsidRPr="00E86AF3">
        <w:rPr>
          <w:b/>
          <w:i/>
        </w:rPr>
        <w:t>a)</w:t>
      </w:r>
      <w:r w:rsidRPr="00E86AF3">
        <w:rPr>
          <w:b/>
          <w:i/>
        </w:rPr>
        <w:tab/>
        <w:t>Europos priežiūros institucijos;</w:t>
      </w:r>
    </w:p>
    <w:p w:rsidR="005B2EB9" w:rsidRPr="00E86AF3" w:rsidRDefault="005B2EB9" w:rsidP="005B2EB9">
      <w:pPr>
        <w:widowControl/>
        <w:spacing w:before="120" w:after="120"/>
        <w:ind w:left="1985" w:hanging="567"/>
        <w:jc w:val="both"/>
        <w:rPr>
          <w:rFonts w:eastAsia="Calibri"/>
          <w:b/>
          <w:i/>
          <w:szCs w:val="22"/>
        </w:rPr>
      </w:pPr>
      <w:r w:rsidRPr="00E86AF3">
        <w:rPr>
          <w:b/>
          <w:i/>
        </w:rPr>
        <w:t>b)</w:t>
      </w:r>
      <w:r w:rsidRPr="00E86AF3">
        <w:rPr>
          <w:b/>
          <w:i/>
        </w:rPr>
        <w:tab/>
        <w:t>kompetentingos institucijos, kaip apibrėžta Reglamento (ES) Nr. 1093/2010 4 straipsnio 2 punkte;</w:t>
      </w:r>
    </w:p>
    <w:p w:rsidR="005B2EB9" w:rsidRPr="00E86AF3" w:rsidRDefault="005B2EB9" w:rsidP="005B2EB9">
      <w:pPr>
        <w:widowControl/>
        <w:spacing w:before="120" w:after="120"/>
        <w:ind w:left="1985" w:hanging="567"/>
        <w:jc w:val="both"/>
        <w:rPr>
          <w:rFonts w:eastAsia="Calibri"/>
          <w:b/>
          <w:i/>
          <w:szCs w:val="22"/>
        </w:rPr>
      </w:pPr>
      <w:r w:rsidRPr="00E86AF3">
        <w:rPr>
          <w:b/>
          <w:i/>
        </w:rPr>
        <w:t>c)</w:t>
      </w:r>
      <w:r w:rsidRPr="00E86AF3">
        <w:rPr>
          <w:b/>
          <w:i/>
        </w:rPr>
        <w:tab/>
        <w:t>kompetentingos institucijos, kaip apibrėžta Reglamento (ES) Nr. 1094/2010 4 straipsnio 2 punkte;</w:t>
      </w:r>
    </w:p>
    <w:p w:rsidR="005B2EB9" w:rsidRPr="00E86AF3" w:rsidRDefault="005B2EB9" w:rsidP="005B2EB9">
      <w:pPr>
        <w:widowControl/>
        <w:spacing w:before="120" w:after="120"/>
        <w:ind w:left="1985" w:hanging="567"/>
        <w:jc w:val="both"/>
        <w:rPr>
          <w:rFonts w:eastAsia="Calibri"/>
          <w:b/>
          <w:i/>
          <w:szCs w:val="22"/>
        </w:rPr>
      </w:pPr>
      <w:r w:rsidRPr="00E86AF3">
        <w:rPr>
          <w:b/>
          <w:i/>
        </w:rPr>
        <w:t>d)</w:t>
      </w:r>
      <w:r w:rsidRPr="00E86AF3">
        <w:rPr>
          <w:b/>
          <w:i/>
        </w:rPr>
        <w:tab/>
        <w:t>kompetentingos institucijos, kaip apibrėžta Reglamento (ES) Nr. 1095/2010 4 straipsnio 3 punkte;</w:t>
      </w:r>
    </w:p>
    <w:p w:rsidR="005B2EB9" w:rsidRPr="00E86AF3" w:rsidRDefault="005B2EB9" w:rsidP="005B2EB9">
      <w:pPr>
        <w:widowControl/>
        <w:spacing w:before="120" w:after="120"/>
        <w:ind w:left="1985" w:hanging="567"/>
        <w:jc w:val="both"/>
        <w:rPr>
          <w:rFonts w:eastAsia="Calibri"/>
          <w:b/>
          <w:i/>
          <w:szCs w:val="22"/>
        </w:rPr>
      </w:pPr>
      <w:r w:rsidRPr="00E86AF3">
        <w:rPr>
          <w:b/>
          <w:i/>
        </w:rPr>
        <w:t>e)</w:t>
      </w:r>
      <w:r w:rsidRPr="00E86AF3">
        <w:rPr>
          <w:b/>
          <w:i/>
        </w:rPr>
        <w:tab/>
        <w:t>AMLA, įsteigta Europos Parlamento ir Tarybos reglamentu (ES) .../...</w:t>
      </w:r>
      <w:r w:rsidR="00BA57EE">
        <w:rPr>
          <w:rStyle w:val="FootnoteReference"/>
          <w:b/>
          <w:i/>
        </w:rPr>
        <w:footnoteReference w:customMarkFollows="1" w:id="15"/>
        <w:t>+</w:t>
      </w:r>
      <w:r w:rsidRPr="00E86AF3">
        <w:rPr>
          <w:b/>
          <w:i/>
        </w:rPr>
        <w:t>;</w:t>
      </w:r>
    </w:p>
    <w:p w:rsidR="005B2EB9" w:rsidRPr="00E86AF3" w:rsidRDefault="005B2EB9" w:rsidP="005B2EB9">
      <w:pPr>
        <w:widowControl/>
        <w:spacing w:before="120" w:after="120"/>
        <w:ind w:left="1985" w:hanging="567"/>
        <w:jc w:val="both"/>
        <w:rPr>
          <w:rFonts w:eastAsia="Calibri"/>
          <w:b/>
          <w:i/>
          <w:szCs w:val="22"/>
        </w:rPr>
      </w:pPr>
      <w:r w:rsidRPr="00E86AF3">
        <w:rPr>
          <w:b/>
          <w:i/>
        </w:rPr>
        <w:t>f)</w:t>
      </w:r>
      <w:r w:rsidRPr="00E86AF3">
        <w:rPr>
          <w:b/>
          <w:i/>
        </w:rPr>
        <w:tab/>
        <w:t>institucijos, kaip apibrėžta Europos Parlamento ir Tarybos direktyvos (ES) .../...</w:t>
      </w:r>
      <w:r w:rsidR="00BA57EE">
        <w:rPr>
          <w:rStyle w:val="FootnoteReference"/>
          <w:b/>
          <w:i/>
        </w:rPr>
        <w:footnoteReference w:customMarkFollows="1" w:id="16"/>
        <w:t>++</w:t>
      </w:r>
      <w:r w:rsidRPr="00E86AF3">
        <w:rPr>
          <w:b/>
          <w:i/>
        </w:rPr>
        <w:t xml:space="preserve"> 2 straipsnio 1 punkte;</w:t>
      </w:r>
    </w:p>
    <w:p w:rsidR="005B2EB9" w:rsidRPr="00E86AF3" w:rsidRDefault="005B2EB9" w:rsidP="005B2EB9">
      <w:pPr>
        <w:widowControl/>
        <w:spacing w:before="120" w:after="120"/>
        <w:ind w:left="1985" w:hanging="567"/>
        <w:jc w:val="both"/>
        <w:rPr>
          <w:rFonts w:eastAsia="Calibri"/>
          <w:b/>
          <w:i/>
          <w:szCs w:val="22"/>
        </w:rPr>
      </w:pPr>
      <w:r w:rsidRPr="00E86AF3">
        <w:rPr>
          <w:b/>
          <w:i/>
        </w:rPr>
        <w:t>g)</w:t>
      </w:r>
      <w:r w:rsidRPr="00E86AF3">
        <w:rPr>
          <w:b/>
          <w:i/>
        </w:rPr>
        <w:tab/>
        <w:t>BPM, kaip apibrėžta Reglamento (ES) Nr. 1024/2013 2 straipsnio 9 punkte;</w:t>
      </w:r>
    </w:p>
    <w:p w:rsidR="005B2EB9" w:rsidRPr="00E86AF3" w:rsidRDefault="005B2EB9" w:rsidP="005B2EB9">
      <w:pPr>
        <w:widowControl/>
        <w:spacing w:before="120" w:after="120"/>
        <w:ind w:left="1985" w:hanging="567"/>
        <w:jc w:val="both"/>
        <w:rPr>
          <w:rFonts w:eastAsia="Calibri"/>
          <w:b/>
          <w:i/>
          <w:szCs w:val="22"/>
        </w:rPr>
      </w:pPr>
      <w:r w:rsidRPr="00E86AF3">
        <w:rPr>
          <w:b/>
          <w:i/>
        </w:rPr>
        <w:t>h)</w:t>
      </w:r>
      <w:r w:rsidRPr="00E86AF3">
        <w:rPr>
          <w:b/>
          <w:i/>
        </w:rPr>
        <w:tab/>
        <w:t>BPV;</w:t>
      </w:r>
    </w:p>
    <w:p w:rsidR="005B2EB9" w:rsidRPr="00E86AF3" w:rsidRDefault="005B2EB9" w:rsidP="005B2EB9">
      <w:pPr>
        <w:widowControl/>
        <w:spacing w:before="120" w:after="120"/>
        <w:ind w:left="1985" w:hanging="567"/>
        <w:jc w:val="both"/>
        <w:rPr>
          <w:rFonts w:eastAsia="Calibri"/>
          <w:szCs w:val="22"/>
        </w:rPr>
      </w:pPr>
      <w:r w:rsidRPr="00E86AF3">
        <w:rPr>
          <w:b/>
          <w:i/>
        </w:rPr>
        <w:t>i)</w:t>
      </w:r>
      <w:r w:rsidRPr="00E86AF3">
        <w:rPr>
          <w:b/>
          <w:i/>
        </w:rPr>
        <w:tab/>
        <w:t xml:space="preserve">nacionalinės pertvarkymo institucijos, kaip apibrėžta Reglamento (ES) Nr. 806/2014 3 straipsnio 3 punkte. </w:t>
      </w:r>
    </w:p>
    <w:p w:rsidR="005B2EB9" w:rsidRPr="00E86AF3" w:rsidRDefault="005B2EB9" w:rsidP="005B2EB9">
      <w:pPr>
        <w:widowControl/>
        <w:spacing w:before="120" w:after="120"/>
        <w:ind w:left="1418" w:hanging="567"/>
        <w:jc w:val="both"/>
        <w:rPr>
          <w:rFonts w:eastAsia="Calibri"/>
          <w:szCs w:val="22"/>
        </w:rPr>
      </w:pPr>
      <w:r w:rsidRPr="00E86AF3">
        <w:t>9.</w:t>
      </w:r>
      <w:r w:rsidRPr="00E86AF3">
        <w:rPr>
          <w:b/>
          <w:i/>
        </w:rPr>
        <w:tab/>
      </w:r>
      <w:r w:rsidRPr="00E86AF3">
        <w:t>Pagal 8 dalį pateiktame prašyme keistis informacija tinkamai nurodomas teisinis pagrindas pagal Sąjungos teisę, suteikiantis teisę prašančiajai institucijai gauti informaciją iš finansų įstaigų ar kitos toje dalyje nurodytos institucijos. Prašančioji institucija ir ESRV laikosi pareigų saugoti profesinę paslaptį ir duomenų apsaugos nuostatų, nustatytų 8 straipsnyje ir sektorių teisės aktuose, taikytinuose finansų įstaigos ar kitos 8 dalyje nurodytos institucijos ir prašančiosios institucijos duomenų dalijimuisi, taip pat kitos toje dalyje nurodytos institucijos ir ESRV duomenų dalijimuisi. ESRV nepagrįstai nedelsdama informuoja kiekvieną atitinkamą instituciją apie tokį keitimąsi informacija</w:t>
      </w:r>
      <w:r w:rsidRPr="00E86AF3">
        <w:rPr>
          <w:b/>
          <w:i/>
        </w:rPr>
        <w:t>, jei informacija nebuvo anonimizuota, pakeista, apibendrinta ar tvarkoma bet kuriuo kitu informacijos atskleidimo kontrolės būdu, siekiant apsaugoti konfidencialią informaciją</w:t>
      </w:r>
      <w:r w:rsidRPr="00E86AF3">
        <w:t>. </w:t>
      </w:r>
    </w:p>
    <w:p w:rsidR="005B2EB9" w:rsidRPr="00E86AF3" w:rsidRDefault="005B2EB9" w:rsidP="005B2EB9">
      <w:pPr>
        <w:ind w:left="1418" w:hanging="567"/>
        <w:jc w:val="both"/>
        <w:rPr>
          <w:noProof/>
        </w:rPr>
      </w:pPr>
      <w:r w:rsidRPr="00E86AF3">
        <w:t>10.</w:t>
      </w:r>
      <w:r w:rsidRPr="00E86AF3">
        <w:rPr>
          <w:b/>
          <w:i/>
        </w:rPr>
        <w:tab/>
      </w:r>
      <w:r w:rsidRPr="00E86AF3">
        <w:t>8</w:t>
      </w:r>
      <w:r w:rsidRPr="00E86AF3">
        <w:rPr>
          <w:b/>
          <w:i/>
        </w:rPr>
        <w:t>, 8a</w:t>
      </w:r>
      <w:r w:rsidRPr="00E86AF3">
        <w:t xml:space="preserve"> ir 9 dalys taip pat taikomos informacijai, kurią ESRV yra gavusi iš </w:t>
      </w:r>
      <w:r w:rsidRPr="00E86AF3">
        <w:rPr>
          <w:b/>
          <w:i/>
        </w:rPr>
        <w:t>kitų institucijų</w:t>
      </w:r>
      <w:r w:rsidRPr="00E86AF3">
        <w:t xml:space="preserve"> ir kurios kokybės patikrą ESRV yra vėliau atlikusi ar kurią ji yra </w:t>
      </w:r>
      <w:r w:rsidRPr="00E86AF3">
        <w:lastRenderedPageBreak/>
        <w:t>kitaip tvarkiusi. </w:t>
      </w:r>
    </w:p>
    <w:p w:rsidR="005B2EB9" w:rsidRPr="00E86AF3" w:rsidRDefault="005B2EB9" w:rsidP="005B2EB9">
      <w:pPr>
        <w:widowControl/>
        <w:spacing w:before="120" w:after="120"/>
        <w:ind w:left="1418" w:hanging="567"/>
        <w:jc w:val="both"/>
        <w:rPr>
          <w:rFonts w:eastAsia="Calibri"/>
          <w:szCs w:val="22"/>
        </w:rPr>
      </w:pPr>
      <w:r w:rsidRPr="00E86AF3">
        <w:t>11.</w:t>
      </w:r>
      <w:r w:rsidRPr="00E86AF3">
        <w:rPr>
          <w:b/>
          <w:i/>
        </w:rPr>
        <w:tab/>
      </w:r>
      <w:r w:rsidRPr="00E86AF3">
        <w:t>Siekdamos dalytis informacija, kaip nurodyta 8</w:t>
      </w:r>
      <w:r w:rsidRPr="00E86AF3">
        <w:rPr>
          <w:b/>
          <w:i/>
        </w:rPr>
        <w:t>, 8a,</w:t>
      </w:r>
      <w:r w:rsidRPr="00E86AF3">
        <w:t xml:space="preserve"> 9 ir 10 dalyse, </w:t>
      </w:r>
      <w:r w:rsidRPr="00E86AF3">
        <w:rPr>
          <w:b/>
          <w:i/>
        </w:rPr>
        <w:t>ESRV ir</w:t>
      </w:r>
      <w:r w:rsidRPr="00E86AF3">
        <w:t xml:space="preserve"> kitos institucijos sudaro susitarimo memorandumus ir juose nustato informacijos mainų sąlygas. Jos taip pat </w:t>
      </w:r>
      <w:r w:rsidRPr="00E86AF3">
        <w:rPr>
          <w:b/>
          <w:i/>
        </w:rPr>
        <w:t>nustato</w:t>
      </w:r>
      <w:r w:rsidRPr="00E86AF3">
        <w:t xml:space="preserve"> išteklių, reikalingų tokiems duomenims, kuriais dalijamasi, rinkti ir tvarkyti, dalijimosi tvarką</w:t>
      </w:r>
      <w:r w:rsidRPr="00E86AF3">
        <w:rPr>
          <w:b/>
          <w:i/>
        </w:rPr>
        <w:t>, jei užtikrinamas taikytinų duomenų apsaugos, intelektinės nuosavybės ir profesinės paslapties taisyklių laikymasis. Visoms susijusioms institucijoms sutarus, susitarimo memorandumai turi būti paprasto ir standartizuoto formato, kuris, prireikus, pritaikomas pagal specialias veikimo sąlygas, kurios taikomos konkrečioms institucijoms.</w:t>
      </w:r>
      <w:r w:rsidRPr="00E86AF3">
        <w:t> </w:t>
      </w:r>
    </w:p>
    <w:p w:rsidR="005B2EB9" w:rsidRPr="00E86AF3" w:rsidRDefault="005B2EB9" w:rsidP="005B2EB9">
      <w:pPr>
        <w:widowControl/>
        <w:spacing w:before="120" w:after="120"/>
        <w:ind w:left="1418" w:hanging="567"/>
        <w:jc w:val="both"/>
        <w:rPr>
          <w:rFonts w:eastAsia="Calibri"/>
          <w:szCs w:val="22"/>
        </w:rPr>
      </w:pPr>
      <w:r w:rsidRPr="00E86AF3">
        <w:t>12.</w:t>
      </w:r>
      <w:r w:rsidRPr="00E86AF3">
        <w:rPr>
          <w:b/>
          <w:i/>
        </w:rPr>
        <w:tab/>
      </w:r>
      <w:r w:rsidRPr="00E86AF3">
        <w:t>8</w:t>
      </w:r>
      <w:r w:rsidRPr="00E86AF3">
        <w:rPr>
          <w:b/>
          <w:i/>
        </w:rPr>
        <w:t>, 9 ir</w:t>
      </w:r>
      <w:r w:rsidRPr="00E86AF3">
        <w:t xml:space="preserve"> 10 dalys nedaro poveikio intelektinės nuosavybės teisių apsaugai ir netrukdo </w:t>
      </w:r>
      <w:r w:rsidRPr="00E86AF3">
        <w:rPr>
          <w:b/>
          <w:i/>
        </w:rPr>
        <w:t>ESRV ir kitoms</w:t>
      </w:r>
      <w:r w:rsidRPr="00E86AF3">
        <w:t xml:space="preserve"> institucijoms keistis informacija pagal kitų Sąjungos teisės aktų nuostatas ir to keitimosi neriboja. Jei </w:t>
      </w:r>
      <w:r w:rsidRPr="00E86AF3">
        <w:rPr>
          <w:b/>
          <w:i/>
        </w:rPr>
        <w:t>8, 9 ar 10 dalis</w:t>
      </w:r>
      <w:r w:rsidRPr="00E86AF3">
        <w:t xml:space="preserve"> prieštarauja kitų Sąjungos teisės aktų nuostatoms, kuriomis reglamentuojami </w:t>
      </w:r>
      <w:r w:rsidRPr="00E86AF3">
        <w:rPr>
          <w:b/>
          <w:i/>
        </w:rPr>
        <w:t>kitų</w:t>
      </w:r>
      <w:r w:rsidRPr="00E86AF3">
        <w:t xml:space="preserve"> institucijų informacijos mainai, viršenybę turi tų kitų Sąjungos teisės aktų nuostatos. </w:t>
      </w:r>
    </w:p>
    <w:p w:rsidR="005B2EB9" w:rsidRPr="00E86AF3" w:rsidRDefault="005B2EB9" w:rsidP="005B2EB9">
      <w:pPr>
        <w:widowControl/>
        <w:spacing w:before="120" w:after="120"/>
        <w:ind w:left="1418" w:hanging="567"/>
        <w:jc w:val="both"/>
        <w:rPr>
          <w:rFonts w:eastAsia="Calibri"/>
          <w:szCs w:val="22"/>
        </w:rPr>
      </w:pPr>
      <w:r w:rsidRPr="00E86AF3">
        <w:t>13.</w:t>
      </w:r>
      <w:r w:rsidRPr="00E86AF3">
        <w:rPr>
          <w:b/>
          <w:i/>
        </w:rPr>
        <w:tab/>
      </w:r>
      <w:r w:rsidRPr="00E86AF3">
        <w:t xml:space="preserve">Nedarant poveikio kitoms Sąjungos teisėje nustatytoms pareigoms dėl dalijimosi informacija, ESRV, gavusi pagrįstą prašymą, </w:t>
      </w:r>
      <w:r w:rsidRPr="00E86AF3">
        <w:rPr>
          <w:b/>
          <w:i/>
        </w:rPr>
        <w:t>gali</w:t>
      </w:r>
      <w:r w:rsidRPr="00E86AF3">
        <w:t xml:space="preserve"> kiekvienu konkrečiu atveju dalytis su Komisija ▌informacija, kurią kitos institucijos jai pateikė vykdydamos savo pareigas pagal Sąjungos teisę, ▌tokia forma, kuri neleidžia identifikuoti atskirų subjektų ir neapima asmens duomenų. </w:t>
      </w:r>
      <w:r w:rsidRPr="00E86AF3">
        <w:rPr>
          <w:b/>
          <w:i/>
        </w:rPr>
        <w:t>Tokią informaciją pateikusios institucijos tinkamai informuojamos apie dalijimąsi šia informacija.</w:t>
      </w:r>
    </w:p>
    <w:p w:rsidR="005B2EB9" w:rsidRPr="00E86AF3" w:rsidRDefault="005B2EB9" w:rsidP="005B2EB9">
      <w:pPr>
        <w:widowControl/>
        <w:spacing w:before="120" w:after="120"/>
        <w:ind w:left="1418" w:hanging="567"/>
        <w:jc w:val="both"/>
        <w:rPr>
          <w:rFonts w:eastAsia="Calibri"/>
          <w:szCs w:val="22"/>
        </w:rPr>
      </w:pPr>
      <w:r w:rsidRPr="00E86AF3">
        <w:t>14.</w:t>
      </w:r>
      <w:r w:rsidRPr="00E86AF3">
        <w:rPr>
          <w:b/>
          <w:i/>
        </w:rPr>
        <w:tab/>
      </w:r>
      <w:r w:rsidRPr="00E86AF3">
        <w:t xml:space="preserve">ESRV gali leisti pakartotinai naudotis informacija, kurią ji yra gavusi vykdydama savo pareigas, finansų įstaigoms, mokslininkams ir kitiems subjektams, turintiems teisėtą interesą naudoti tokią informaciją mokslinių tyrimų ir inovacijų tikslais, jeigu ESRV užtikrino, kad įvykdytos visos šios sąlygos: </w:t>
      </w:r>
    </w:p>
    <w:p w:rsidR="005B2EB9" w:rsidRPr="00E86AF3" w:rsidRDefault="005B2EB9" w:rsidP="005B2EB9">
      <w:pPr>
        <w:widowControl/>
        <w:spacing w:before="120" w:after="120"/>
        <w:ind w:left="1985" w:hanging="567"/>
        <w:jc w:val="both"/>
        <w:rPr>
          <w:rFonts w:eastAsia="Calibri"/>
          <w:szCs w:val="22"/>
        </w:rPr>
      </w:pPr>
      <w:r w:rsidRPr="00E86AF3">
        <w:t>a)</w:t>
      </w:r>
      <w:r w:rsidRPr="00E86AF3">
        <w:rPr>
          <w:b/>
          <w:i/>
        </w:rPr>
        <w:tab/>
      </w:r>
      <w:r w:rsidRPr="00E86AF3">
        <w:t>informacija yra anonimizuota taip, kad identifikuoti duomenų subjekto ar finansų įstaigos neįmanoma ar nebeįmanoma;</w:t>
      </w:r>
    </w:p>
    <w:p w:rsidR="005B2EB9" w:rsidRPr="00E86AF3" w:rsidRDefault="005B2EB9" w:rsidP="005B2EB9">
      <w:pPr>
        <w:widowControl/>
        <w:spacing w:before="120" w:after="120"/>
        <w:ind w:left="1985" w:hanging="567"/>
        <w:jc w:val="both"/>
        <w:rPr>
          <w:rFonts w:eastAsia="Calibri"/>
          <w:szCs w:val="22"/>
        </w:rPr>
      </w:pPr>
      <w:r w:rsidRPr="00E86AF3">
        <w:t>b)</w:t>
      </w:r>
      <w:r w:rsidRPr="00E86AF3">
        <w:rPr>
          <w:b/>
          <w:i/>
        </w:rPr>
        <w:tab/>
      </w:r>
      <w:r w:rsidRPr="00E86AF3">
        <w:t>siekiant apsaugoti konfidencialią informaciją, įskaitant komercines paslaptis ar turinį, apsaugotą intelektinės nuosavybės teisėmis, informacija buvo pakeista, agreguota ar apdorota bet kuriuo kitu duomenų atskleidimo kontrolės metodu;</w:t>
      </w:r>
    </w:p>
    <w:p w:rsidR="005B2EB9" w:rsidRPr="00E86AF3" w:rsidRDefault="005B2EB9" w:rsidP="005B2EB9">
      <w:pPr>
        <w:widowControl/>
        <w:spacing w:before="120" w:after="120"/>
        <w:ind w:left="1985" w:hanging="567"/>
        <w:jc w:val="both"/>
        <w:rPr>
          <w:rFonts w:eastAsia="Calibri"/>
          <w:b/>
          <w:i/>
          <w:szCs w:val="22"/>
        </w:rPr>
      </w:pPr>
      <w:r w:rsidRPr="00E86AF3">
        <w:rPr>
          <w:b/>
          <w:i/>
        </w:rPr>
        <w:t>c)</w:t>
      </w:r>
      <w:r w:rsidRPr="00E86AF3">
        <w:rPr>
          <w:b/>
          <w:i/>
        </w:rPr>
        <w:tab/>
        <w:t>šalys, kurioms suteikta prieiga, įrodė, kad jos turi reikiamas technines priemones konfidencialiai informacijai apsaugoti, t. y. jos turi priemonių, kuriomis galima visapusiškai užtikrinti privatumo ir konfidencialumo apsaugą.</w:t>
      </w:r>
    </w:p>
    <w:p w:rsidR="005B2EB9" w:rsidRPr="00E86AF3" w:rsidRDefault="005B2EB9" w:rsidP="00BB545E">
      <w:pPr>
        <w:widowControl/>
        <w:spacing w:before="120" w:after="120"/>
        <w:ind w:left="1418"/>
        <w:jc w:val="both"/>
        <w:rPr>
          <w:rFonts w:eastAsia="Calibri"/>
          <w:szCs w:val="22"/>
        </w:rPr>
      </w:pPr>
      <w:r w:rsidRPr="00E86AF3">
        <w:t xml:space="preserve">Informacija, gauta iš kitos institucijos, </w:t>
      </w:r>
      <w:r w:rsidRPr="00E86AF3">
        <w:rPr>
          <w:b/>
          <w:i/>
        </w:rPr>
        <w:t>šiuo pagrindu</w:t>
      </w:r>
      <w:r w:rsidRPr="00E86AF3">
        <w:t xml:space="preserve"> dalijamasi tik susitarus su institucija, kuri pirmoji gavo tą informaciją.</w:t>
      </w:r>
    </w:p>
    <w:p w:rsidR="005B2EB9" w:rsidRPr="00E86AF3" w:rsidRDefault="005B2EB9" w:rsidP="005B2EB9">
      <w:pPr>
        <w:widowControl/>
        <w:spacing w:before="120" w:after="120"/>
        <w:ind w:left="1418" w:hanging="567"/>
        <w:jc w:val="both"/>
        <w:rPr>
          <w:rFonts w:eastAsia="Calibri"/>
          <w:b/>
          <w:i/>
          <w:szCs w:val="22"/>
        </w:rPr>
      </w:pPr>
      <w:r w:rsidRPr="00E86AF3">
        <w:rPr>
          <w:b/>
          <w:i/>
        </w:rPr>
        <w:t>14a.</w:t>
      </w:r>
      <w:r w:rsidRPr="00E86AF3">
        <w:rPr>
          <w:b/>
          <w:i/>
        </w:rPr>
        <w:tab/>
        <w:t>Ne vėliau kaip ... [vieni metai nuo šio iš dalies keičiančio reglamento įsigaliojimo dienos] ESRV pateikia Komisijai ataskaitą dėl sektorių teisės aktuose iškilusių teisinių kliūčių, kurios kokiu nors būdu trukdo ESRV keistis informacija su kitomis institucijomis ar kitais subjektais. Ataskaitoje taip pat gali būti nurodyti nereikšmingi, nebeaktualūs, besidubliuojantys ar kitu požiūriu nereikalingi atskaitomybės reikalavimai.</w:t>
      </w:r>
    </w:p>
    <w:p w:rsidR="005B2EB9" w:rsidRPr="00E86AF3" w:rsidRDefault="005B2EB9" w:rsidP="005B2EB9">
      <w:pPr>
        <w:widowControl/>
        <w:spacing w:before="120" w:after="120"/>
        <w:ind w:left="1418"/>
        <w:jc w:val="both"/>
        <w:rPr>
          <w:rFonts w:eastAsia="Calibri"/>
          <w:b/>
          <w:i/>
          <w:szCs w:val="22"/>
        </w:rPr>
      </w:pPr>
      <w:r w:rsidRPr="00E86AF3">
        <w:rPr>
          <w:b/>
          <w:i/>
        </w:rPr>
        <w:t xml:space="preserve">Remdamasi ta ataskaita ir deramai atsižvelgdama į intelektinės nuosavybės teisių apsaugą, pareigą saugoti profesinę paslaptį ir užtikrinti duomenų </w:t>
      </w:r>
      <w:r w:rsidRPr="00E86AF3">
        <w:rPr>
          <w:b/>
          <w:i/>
        </w:rPr>
        <w:lastRenderedPageBreak/>
        <w:t xml:space="preserve">apsaugą, Komisija, kai tikslinga, ne vėliau kaip ... [2 metai nuo šio iš dalies keičiančio reglamento įsigaliojimo dienos] Europos Parlamentui ir Tarybai pateikia pasiūlymą dėl teisėkūros procedūra priimamo akto, kuriuo siekiama pašalinti tokias teisines kliūtis sektorių teisės aktuose, kad būtų skatinamas keitimasis informacija tarp institucijų ir su kitais subjektais.“; </w:t>
      </w:r>
    </w:p>
    <w:p w:rsidR="005B2EB9" w:rsidRPr="00E86AF3" w:rsidRDefault="005B2EB9" w:rsidP="005B2EB9">
      <w:pPr>
        <w:widowControl/>
        <w:rPr>
          <w:rFonts w:eastAsia="Calibri"/>
          <w:szCs w:val="24"/>
        </w:rPr>
      </w:pPr>
      <w:r w:rsidRPr="00E86AF3">
        <w:rPr>
          <w:b/>
          <w:i/>
        </w:rPr>
        <w:t>2a.</w:t>
      </w:r>
      <w:r w:rsidRPr="00E86AF3">
        <w:rPr>
          <w:b/>
          <w:i/>
        </w:rPr>
        <w:tab/>
        <w:t>įterpiamas šis straipsnis:</w:t>
      </w:r>
    </w:p>
    <w:p w:rsidR="005B2EB9" w:rsidRPr="00E86AF3" w:rsidRDefault="005B2EB9" w:rsidP="005B2EB9">
      <w:pPr>
        <w:widowControl/>
        <w:spacing w:before="120" w:after="120"/>
        <w:rPr>
          <w:rFonts w:eastAsia="Calibri"/>
          <w:b/>
          <w:i/>
          <w:szCs w:val="22"/>
        </w:rPr>
      </w:pPr>
      <w:r w:rsidRPr="00E86AF3">
        <w:rPr>
          <w:b/>
          <w:i/>
        </w:rPr>
        <w:t>„15a straipsnis</w:t>
      </w:r>
    </w:p>
    <w:p w:rsidR="005B2EB9" w:rsidRPr="00E86AF3" w:rsidRDefault="005B2EB9" w:rsidP="005B2EB9">
      <w:pPr>
        <w:widowControl/>
        <w:spacing w:before="120" w:after="120"/>
        <w:rPr>
          <w:rFonts w:eastAsia="Calibri"/>
          <w:b/>
          <w:i/>
          <w:szCs w:val="22"/>
        </w:rPr>
      </w:pPr>
      <w:r w:rsidRPr="00E86AF3">
        <w:rPr>
          <w:b/>
          <w:i/>
        </w:rPr>
        <w:t>Bendros integruotos ataskaitų teikimo sistemos sukūrimas</w:t>
      </w:r>
    </w:p>
    <w:p w:rsidR="005B2EB9" w:rsidRPr="00E86AF3" w:rsidRDefault="005B2EB9" w:rsidP="005B2EB9">
      <w:pPr>
        <w:widowControl/>
        <w:spacing w:before="120" w:after="120"/>
        <w:ind w:left="851" w:hanging="851"/>
        <w:jc w:val="both"/>
        <w:rPr>
          <w:rFonts w:eastAsia="Calibri"/>
          <w:b/>
          <w:i/>
          <w:szCs w:val="22"/>
        </w:rPr>
      </w:pPr>
      <w:r w:rsidRPr="00E86AF3">
        <w:rPr>
          <w:b/>
          <w:i/>
        </w:rPr>
        <w:t>1.</w:t>
      </w:r>
      <w:r w:rsidRPr="00E86AF3">
        <w:rPr>
          <w:b/>
          <w:i/>
        </w:rPr>
        <w:tab/>
        <w:t>Ne vėliau kaip ... [2 metai nuo šio iš dalies keičiančio reglamento įsigaliojimo dienos] ESRV, glaudžiai bendradarbiaudama su kitomis institucijomis, parengia ataskaitą dėl bendros integruotos ataskaitų teikimo sistemos sukūrimo techninės informacijos, taip pat veiksmų gaires, grindžiamas EPI ataskaitų integravimo jų sektoriuose darbu, ir įtraukia sąnaudų ir naudos vertinimą. Tos ataskaitos tikslais bendra integruota ataskaitų teikimo sistema apima:</w:t>
      </w:r>
    </w:p>
    <w:p w:rsidR="005B2EB9" w:rsidRPr="00E86AF3" w:rsidRDefault="005B2EB9" w:rsidP="005B2EB9">
      <w:pPr>
        <w:widowControl/>
        <w:spacing w:before="120" w:after="120"/>
        <w:ind w:left="1418" w:hanging="567"/>
        <w:jc w:val="both"/>
        <w:rPr>
          <w:rFonts w:eastAsia="Calibri"/>
          <w:b/>
          <w:i/>
          <w:szCs w:val="22"/>
        </w:rPr>
      </w:pPr>
      <w:r w:rsidRPr="00E86AF3">
        <w:rPr>
          <w:b/>
          <w:i/>
        </w:rPr>
        <w:t>a)</w:t>
      </w:r>
      <w:r w:rsidRPr="00E86AF3">
        <w:rPr>
          <w:b/>
          <w:i/>
        </w:rPr>
        <w:tab/>
        <w:t>bendrą duomenų žodyną, kad būtų užtikrintas atskaitomybės reikalavimų nuoseklumas ir aiškumas bei duomenų standartizavimas;</w:t>
      </w:r>
    </w:p>
    <w:p w:rsidR="005B2EB9" w:rsidRPr="00E86AF3" w:rsidRDefault="005B2EB9" w:rsidP="005B2EB9">
      <w:pPr>
        <w:widowControl/>
        <w:spacing w:before="120" w:after="120"/>
        <w:ind w:left="1418" w:hanging="567"/>
        <w:jc w:val="both"/>
        <w:rPr>
          <w:rFonts w:eastAsia="Calibri"/>
          <w:b/>
          <w:i/>
          <w:szCs w:val="22"/>
        </w:rPr>
      </w:pPr>
      <w:r w:rsidRPr="00E86AF3">
        <w:rPr>
          <w:b/>
          <w:i/>
        </w:rPr>
        <w:t>b)</w:t>
      </w:r>
      <w:r w:rsidRPr="00E86AF3">
        <w:rPr>
          <w:b/>
          <w:i/>
        </w:rPr>
        <w:tab/>
        <w:t>bendrą atskaitomybės ir informacijos atskleidimo reikalavimų, surinktų duomenų ir juos turinčių institucijų aprašymų saugyklą;</w:t>
      </w:r>
    </w:p>
    <w:p w:rsidR="005B2EB9" w:rsidRPr="00E86AF3" w:rsidRDefault="005B2EB9" w:rsidP="005B2EB9">
      <w:pPr>
        <w:widowControl/>
        <w:spacing w:before="120" w:after="120"/>
        <w:ind w:left="1418" w:hanging="567"/>
        <w:jc w:val="both"/>
        <w:rPr>
          <w:rFonts w:eastAsia="Calibri"/>
          <w:b/>
          <w:i/>
          <w:szCs w:val="22"/>
        </w:rPr>
      </w:pPr>
      <w:r w:rsidRPr="00E86AF3">
        <w:rPr>
          <w:b/>
          <w:i/>
        </w:rPr>
        <w:t>c)</w:t>
      </w:r>
      <w:r w:rsidRPr="00E86AF3">
        <w:rPr>
          <w:b/>
          <w:i/>
        </w:rPr>
        <w:tab/>
        <w:t xml:space="preserve">centrinę duomenų erdvę, įskaitant techninį projektą, skirtą informacijai rinkti ir ja keistis, ir </w:t>
      </w:r>
    </w:p>
    <w:p w:rsidR="005B2EB9" w:rsidRPr="00E86AF3" w:rsidRDefault="005B2EB9" w:rsidP="005B2EB9">
      <w:pPr>
        <w:widowControl/>
        <w:spacing w:before="120" w:after="120"/>
        <w:ind w:left="1418" w:hanging="567"/>
        <w:jc w:val="both"/>
        <w:rPr>
          <w:rFonts w:eastAsia="Calibri"/>
          <w:b/>
          <w:i/>
          <w:szCs w:val="22"/>
        </w:rPr>
      </w:pPr>
      <w:r w:rsidRPr="00E86AF3">
        <w:rPr>
          <w:b/>
          <w:i/>
        </w:rPr>
        <w:t>d)</w:t>
      </w:r>
      <w:r w:rsidRPr="00E86AF3">
        <w:rPr>
          <w:b/>
          <w:i/>
        </w:rPr>
        <w:tab/>
        <w:t xml:space="preserve">nuolatinį vieną bendrą kontaktinį punktą subjektams, kad jie galėtų nurodyti dvigubo ataskaitų teikimo, perteklinių ar nebeaktualių ataskaitų arba informacijos atskleidimo reikalavimų atvejus. </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Glaudžiai bendradarbiaujant su Komisija, prie ataskaitos pridedamas bendro finansinio poveikio įvertinimas. </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Kai tikslinga, ne vėliau kaip ... [3 metai nuo šio iš dalies keičiančio reglamento įsigaliojimo dienos] Komisija pateikia Europos Parlamentui ir Tarybai pasiūlymą dėl teisėkūros procedūra priimamo akto, kuriuo siekiama užtikrinti bendros integruotos ataskaitų teikimo sistemos kūrimui reikalingus finansinius, žmogiškuosius ir IT išteklius. </w:t>
      </w:r>
    </w:p>
    <w:p w:rsidR="005B2EB9" w:rsidRPr="00E86AF3" w:rsidRDefault="005B2EB9" w:rsidP="005B2EB9">
      <w:pPr>
        <w:widowControl/>
        <w:spacing w:before="120" w:after="120"/>
        <w:ind w:left="851"/>
        <w:jc w:val="both"/>
        <w:rPr>
          <w:rFonts w:eastAsia="Calibri"/>
          <w:noProof/>
          <w:szCs w:val="22"/>
        </w:rPr>
      </w:pPr>
      <w:r w:rsidRPr="00E86AF3">
        <w:rPr>
          <w:b/>
          <w:i/>
        </w:rPr>
        <w:t>Ne vėliau kaip ... [3 metai nuo šio iš dalies keičiančio reglamento įsigaliojimo dienos] ESRV drauge su kitomis institucijomis sukuria bendrą integruotą ataskaitų teikimo sistemą.</w:t>
      </w:r>
      <w:r w:rsidRPr="00E86AF3">
        <w:t>“.</w:t>
      </w:r>
    </w:p>
    <w:p w:rsidR="005B2EB9" w:rsidRPr="00E86AF3" w:rsidRDefault="005B2EB9" w:rsidP="005B2EB9">
      <w:pPr>
        <w:keepNext/>
        <w:widowControl/>
        <w:spacing w:before="360" w:after="120"/>
        <w:jc w:val="center"/>
        <w:rPr>
          <w:rFonts w:eastAsia="Calibri"/>
          <w:i/>
          <w:noProof/>
          <w:szCs w:val="22"/>
        </w:rPr>
      </w:pPr>
      <w:r w:rsidRPr="00E86AF3">
        <w:rPr>
          <w:i/>
        </w:rPr>
        <w:t>2 straipsnis</w:t>
      </w:r>
    </w:p>
    <w:p w:rsidR="005B2EB9" w:rsidRPr="00E86AF3" w:rsidRDefault="005B2EB9" w:rsidP="005B2EB9">
      <w:pPr>
        <w:widowControl/>
        <w:spacing w:before="120" w:after="120"/>
        <w:jc w:val="center"/>
        <w:rPr>
          <w:rFonts w:eastAsia="Calibri"/>
          <w:noProof/>
          <w:szCs w:val="22"/>
        </w:rPr>
      </w:pPr>
      <w:r w:rsidRPr="00E86AF3">
        <w:rPr>
          <w:b/>
        </w:rPr>
        <w:t>Reglamento (ES) Nr. 1093/2010 pakeitimai</w:t>
      </w:r>
    </w:p>
    <w:p w:rsidR="005B2EB9" w:rsidRPr="00E86AF3" w:rsidRDefault="005B2EB9" w:rsidP="005B2EB9">
      <w:pPr>
        <w:widowControl/>
        <w:spacing w:before="120" w:after="120"/>
        <w:jc w:val="both"/>
        <w:rPr>
          <w:rFonts w:eastAsia="Calibri"/>
          <w:noProof/>
          <w:szCs w:val="22"/>
        </w:rPr>
      </w:pPr>
      <w:r w:rsidRPr="00E86AF3">
        <w:t>Reglamentas (ES) Nr. 1093/2010 iš dalies keičiamas taip: </w:t>
      </w:r>
    </w:p>
    <w:p w:rsidR="005B2EB9" w:rsidRPr="00E86AF3" w:rsidRDefault="005B2EB9" w:rsidP="005B2EB9">
      <w:pPr>
        <w:widowControl/>
        <w:spacing w:before="120" w:after="120"/>
        <w:ind w:left="850" w:hanging="850"/>
        <w:jc w:val="both"/>
        <w:rPr>
          <w:rFonts w:eastAsia="Calibri"/>
          <w:b/>
          <w:i/>
          <w:szCs w:val="22"/>
        </w:rPr>
      </w:pPr>
      <w:r w:rsidRPr="00E86AF3">
        <w:rPr>
          <w:b/>
          <w:i/>
        </w:rPr>
        <w:t>-1.</w:t>
      </w:r>
      <w:r w:rsidRPr="00E86AF3">
        <w:rPr>
          <w:b/>
          <w:i/>
        </w:rPr>
        <w:tab/>
        <w:t>16a straipsnio 1 dalis papildoma šia pastraipa:</w:t>
      </w:r>
    </w:p>
    <w:p w:rsidR="005B2EB9" w:rsidRPr="00E86AF3" w:rsidRDefault="005B2EB9" w:rsidP="005B2EB9">
      <w:pPr>
        <w:widowControl/>
        <w:spacing w:before="120" w:after="120"/>
        <w:ind w:left="851"/>
        <w:jc w:val="both"/>
        <w:rPr>
          <w:rFonts w:eastAsia="Calibri"/>
          <w:b/>
          <w:i/>
          <w:noProof/>
          <w:szCs w:val="22"/>
        </w:rPr>
      </w:pPr>
      <w:r w:rsidRPr="00E86AF3">
        <w:rPr>
          <w:b/>
          <w:i/>
        </w:rPr>
        <w:t>„Institucijos nuomonės neapsiriboja vykstančiomis teisėkūros procedūromis. Institucija savo nuomonėse prireikus taip pat gali siūlyti galiojančių teisės aktų pakeitimus, įskaitant pakeitimus siekiant:</w:t>
      </w:r>
    </w:p>
    <w:p w:rsidR="005B2EB9" w:rsidRPr="00E86AF3" w:rsidRDefault="005B2EB9" w:rsidP="005B2EB9">
      <w:pPr>
        <w:widowControl/>
        <w:spacing w:before="120" w:after="120"/>
        <w:ind w:left="1418" w:hanging="567"/>
        <w:jc w:val="both"/>
        <w:rPr>
          <w:rFonts w:eastAsia="Calibri"/>
          <w:b/>
          <w:i/>
          <w:noProof/>
          <w:szCs w:val="22"/>
        </w:rPr>
      </w:pPr>
      <w:r w:rsidRPr="00E86AF3">
        <w:rPr>
          <w:b/>
          <w:i/>
        </w:rPr>
        <w:lastRenderedPageBreak/>
        <w:t>a)</w:t>
      </w:r>
      <w:r w:rsidRPr="00E86AF3">
        <w:rPr>
          <w:b/>
          <w:i/>
        </w:rPr>
        <w:tab/>
        <w:t>panaikinti nereikalingus arba nebeaktualius atskaitomybės ir informacijos atskleidimo reikalavimus, susijusius su Sąjungos teise arba Sąjungos teisės perkėlimu į nacionalinę teisę valstybėse narėse;</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užtikrinti nuoseklius atskaitomybės ir informacijos atskleidimo reikalavimus visuose konkretiems ir įvairiems sektoriams taikomuose teisės aktuose;</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 xml:space="preserve">užtikrinti atskaitomybės ir informacijos atskleidimo reikalavimų proporcingumą, atsižvelgiant į informaciją teikiančio subjekto pobūdį, dydį ir sudėtingumą; </w:t>
      </w:r>
    </w:p>
    <w:p w:rsidR="005B2EB9" w:rsidRPr="00E86AF3" w:rsidRDefault="005B2EB9" w:rsidP="005B2EB9">
      <w:pPr>
        <w:widowControl/>
        <w:spacing w:before="120" w:after="120"/>
        <w:ind w:left="1418" w:hanging="567"/>
        <w:jc w:val="both"/>
        <w:rPr>
          <w:rFonts w:eastAsia="Calibri"/>
          <w:b/>
          <w:bCs/>
          <w:i/>
          <w:iCs/>
          <w:szCs w:val="22"/>
        </w:rPr>
      </w:pPr>
      <w:r w:rsidRPr="00E86AF3">
        <w:rPr>
          <w:b/>
          <w:i/>
        </w:rPr>
        <w:t>d)</w:t>
      </w:r>
      <w:r w:rsidRPr="00E86AF3">
        <w:rPr>
          <w:b/>
          <w:i/>
        </w:rPr>
        <w:tab/>
        <w:t>užtikrinti, kad atskaitomybės ir informacijos atskleidimo reikalavimų laikymasis suteiktų pridėtinę vertę Institucijai įgyvendinant savo užduotis ir tikslus.</w:t>
      </w:r>
    </w:p>
    <w:p w:rsidR="005B2EB9" w:rsidRPr="00E86AF3" w:rsidRDefault="005B2EB9" w:rsidP="005B2EB9">
      <w:pPr>
        <w:widowControl/>
        <w:spacing w:before="120" w:after="120"/>
        <w:ind w:left="850" w:firstLine="1"/>
        <w:jc w:val="both"/>
        <w:rPr>
          <w:rFonts w:eastAsia="Calibri"/>
          <w:b/>
          <w:bCs/>
          <w:i/>
          <w:iCs/>
          <w:szCs w:val="22"/>
        </w:rPr>
      </w:pPr>
      <w:r w:rsidRPr="00E86AF3">
        <w:rPr>
          <w:b/>
          <w:i/>
        </w:rPr>
        <w:t>Rengdama pirmoje pastraipoje nurodytas nuomones dėl galiojančių teisėkūros procedūra priimamų aktų, Institucija tinkamai atsižvelgia į visų atitinkamų suinteresuotųjų subjektų pastabas, pateiktas per specialias konsultacijas. Remdamasi tomis nuomonėmis, Komisija, jei tikslinga, Europos Parlamentui ir Tarybai pateikia pasiūlymą dėl teisėkūros procedūra priimamo akto.“;</w:t>
      </w:r>
    </w:p>
    <w:p w:rsidR="005B2EB9" w:rsidRPr="00E86AF3" w:rsidRDefault="005B2EB9" w:rsidP="005B2EB9">
      <w:pPr>
        <w:widowControl/>
        <w:spacing w:before="120" w:after="120"/>
        <w:ind w:left="850" w:hanging="850"/>
        <w:jc w:val="both"/>
        <w:rPr>
          <w:rFonts w:eastAsia="Calibri"/>
          <w:noProof/>
          <w:szCs w:val="22"/>
        </w:rPr>
      </w:pPr>
      <w:r w:rsidRPr="00E86AF3">
        <w:t>1.</w:t>
      </w:r>
      <w:r w:rsidRPr="00E86AF3">
        <w:tab/>
        <w:t>29 straipsnio 1 dalies d punktas pakeičiamas taip: </w:t>
      </w:r>
    </w:p>
    <w:p w:rsidR="005B2EB9" w:rsidRPr="00E86AF3" w:rsidRDefault="005B2EB9" w:rsidP="005B2EB9">
      <w:pPr>
        <w:ind w:left="1418" w:hanging="567"/>
        <w:jc w:val="both"/>
        <w:rPr>
          <w:rFonts w:eastAsia="Calibri"/>
          <w:b/>
          <w:i/>
          <w:szCs w:val="22"/>
        </w:rPr>
      </w:pPr>
      <w:r w:rsidRPr="00E86AF3">
        <w:t>„d)</w:t>
      </w:r>
      <w:r w:rsidRPr="00E86AF3">
        <w:rPr>
          <w:b/>
          <w:i/>
        </w:rPr>
        <w:tab/>
      </w:r>
      <w:r w:rsidRPr="00E86AF3">
        <w:t>peržiūri atitinkamų Komisijos priimtų techninių reguliavimo ir įgyvendinimo standartų, Institucijos paskelbtų gairių ir rekomendacijų taikymą ir prireikus siūlo pakeitimus</w:t>
      </w:r>
      <w:r w:rsidRPr="00E86AF3">
        <w:rPr>
          <w:b/>
          <w:i/>
        </w:rPr>
        <w:t>, išlaikant galimybes panaudoti duomenis ir jų kokybę, siekiant:</w:t>
      </w:r>
    </w:p>
    <w:p w:rsidR="005B2EB9" w:rsidRPr="00E86AF3" w:rsidRDefault="005B2EB9" w:rsidP="005B2EB9">
      <w:pPr>
        <w:widowControl/>
        <w:spacing w:before="120" w:after="120"/>
        <w:ind w:left="1985" w:hanging="567"/>
        <w:jc w:val="both"/>
        <w:rPr>
          <w:rFonts w:eastAsia="Calibri"/>
          <w:b/>
          <w:i/>
          <w:szCs w:val="22"/>
        </w:rPr>
      </w:pPr>
      <w:r w:rsidRPr="00E86AF3">
        <w:rPr>
          <w:b/>
          <w:i/>
        </w:rPr>
        <w:t xml:space="preserve">– </w:t>
      </w:r>
      <w:r w:rsidRPr="00E86AF3">
        <w:t>panaikinti perteklinius ar nebeaktualius atskaitomybės</w:t>
      </w:r>
      <w:r w:rsidRPr="00E86AF3">
        <w:rPr>
          <w:b/>
          <w:i/>
        </w:rPr>
        <w:t xml:space="preserve"> ir informacijos atskleidimo</w:t>
      </w:r>
      <w:r w:rsidRPr="00E86AF3">
        <w:t xml:space="preserve"> reikalavimus</w:t>
      </w:r>
      <w:r w:rsidRPr="00E86AF3">
        <w:rPr>
          <w:b/>
          <w:i/>
        </w:rPr>
        <w:t>;</w:t>
      </w:r>
    </w:p>
    <w:p w:rsidR="005B2EB9" w:rsidRPr="00E86AF3" w:rsidRDefault="005B2EB9" w:rsidP="005B2EB9">
      <w:pPr>
        <w:widowControl/>
        <w:spacing w:before="120" w:after="120"/>
        <w:ind w:left="1985" w:hanging="567"/>
        <w:jc w:val="both"/>
        <w:rPr>
          <w:rFonts w:eastAsia="Calibri"/>
          <w:b/>
          <w:i/>
          <w:noProof/>
          <w:szCs w:val="22"/>
        </w:rPr>
      </w:pPr>
      <w:r w:rsidRPr="00E86AF3">
        <w:rPr>
          <w:b/>
          <w:bCs/>
          <w:i/>
          <w:iCs/>
        </w:rPr>
        <w:t>–</w:t>
      </w:r>
      <w:r w:rsidRPr="00E86AF3">
        <w:rPr>
          <w:b/>
          <w:i/>
        </w:rPr>
        <w:t xml:space="preserve"> užtikrinti proporcingus ir standartizuotus atskaitomybės ir informacijos atskleidimo reikalavimus;</w:t>
      </w:r>
    </w:p>
    <w:p w:rsidR="005B2EB9" w:rsidRPr="00E86AF3" w:rsidRDefault="005B2EB9" w:rsidP="005B2EB9">
      <w:pPr>
        <w:widowControl/>
        <w:spacing w:before="120" w:after="120"/>
        <w:ind w:left="1985" w:hanging="567"/>
        <w:jc w:val="both"/>
        <w:rPr>
          <w:rFonts w:eastAsia="Calibri"/>
          <w:b/>
          <w:i/>
          <w:szCs w:val="22"/>
        </w:rPr>
      </w:pPr>
      <w:r w:rsidRPr="00E86AF3">
        <w:rPr>
          <w:b/>
          <w:i/>
        </w:rPr>
        <w:t xml:space="preserve">– </w:t>
      </w:r>
      <w:r w:rsidRPr="00E86AF3">
        <w:t>kuo labiau sumažinti sąnaudas</w:t>
      </w:r>
      <w:r w:rsidRPr="00E86AF3">
        <w:rPr>
          <w:b/>
          <w:i/>
        </w:rPr>
        <w:t>;</w:t>
      </w:r>
    </w:p>
    <w:p w:rsidR="005B2EB9" w:rsidRPr="00E86AF3" w:rsidRDefault="005B2EB9" w:rsidP="005B2EB9">
      <w:pPr>
        <w:widowControl/>
        <w:spacing w:before="120" w:after="120"/>
        <w:ind w:left="1985" w:hanging="567"/>
        <w:jc w:val="both"/>
        <w:rPr>
          <w:rFonts w:eastAsia="Calibri"/>
          <w:b/>
          <w:i/>
          <w:szCs w:val="22"/>
        </w:rPr>
      </w:pPr>
      <w:r w:rsidRPr="00E86AF3">
        <w:rPr>
          <w:b/>
          <w:bCs/>
          <w:i/>
          <w:iCs/>
        </w:rPr>
        <w:t>–</w:t>
      </w:r>
      <w:r w:rsidRPr="00E86AF3">
        <w:rPr>
          <w:b/>
          <w:i/>
        </w:rPr>
        <w:t xml:space="preserve"> panaikinti reglamentavimo spragas.“;</w:t>
      </w:r>
    </w:p>
    <w:p w:rsidR="005B2EB9" w:rsidRPr="00E86AF3" w:rsidRDefault="005B2EB9" w:rsidP="005B2EB9">
      <w:pPr>
        <w:widowControl/>
        <w:spacing w:before="120" w:after="120"/>
        <w:ind w:left="851" w:hanging="851"/>
        <w:jc w:val="both"/>
        <w:rPr>
          <w:rFonts w:eastAsia="Calibri"/>
          <w:noProof/>
          <w:szCs w:val="22"/>
        </w:rPr>
      </w:pPr>
      <w:r w:rsidRPr="00E86AF3">
        <w:t>2.</w:t>
      </w:r>
      <w:r w:rsidRPr="00E86AF3">
        <w:tab/>
        <w:t>30 straips</w:t>
      </w:r>
      <w:r w:rsidR="00365E66">
        <w:t>nio 3 dalis papildoma e punktu:</w:t>
      </w:r>
    </w:p>
    <w:p w:rsidR="005B2EB9" w:rsidRPr="00E86AF3" w:rsidRDefault="005B2EB9" w:rsidP="005B2EB9">
      <w:pPr>
        <w:ind w:left="1418" w:hanging="567"/>
        <w:jc w:val="both"/>
        <w:rPr>
          <w:rFonts w:eastAsia="Calibri"/>
          <w:noProof/>
          <w:szCs w:val="22"/>
        </w:rPr>
      </w:pPr>
      <w:r w:rsidRPr="00E86AF3">
        <w:t>„e)</w:t>
      </w:r>
      <w:r w:rsidRPr="00E86AF3">
        <w:tab/>
        <w:t xml:space="preserve">nacionalinių atskaitomybės </w:t>
      </w:r>
      <w:r w:rsidRPr="00E86AF3">
        <w:rPr>
          <w:b/>
          <w:i/>
        </w:rPr>
        <w:t>ir informacijos atskleidimo</w:t>
      </w:r>
      <w:r w:rsidRPr="00E86AF3">
        <w:t xml:space="preserve"> reikalavimų veiksmingumas ir tokių reikalavimų konvergencijos su nustatytaisiais Sąjungos teisėje laipsnis</w:t>
      </w:r>
      <w:r w:rsidRPr="00E86AF3">
        <w:rPr>
          <w:b/>
          <w:i/>
        </w:rPr>
        <w:t>, taip pat jų tinkamumas siekiant atitikti juose nustatytus standartus, sykiu atsižvelgiant į nacionalinių finansų jurisdikcijų ypatumus</w:t>
      </w:r>
      <w:r w:rsidRPr="00E86AF3">
        <w:t>.“; </w:t>
      </w:r>
    </w:p>
    <w:p w:rsidR="005B2EB9" w:rsidRPr="00E86AF3" w:rsidRDefault="005B2EB9" w:rsidP="005B2EB9">
      <w:pPr>
        <w:widowControl/>
        <w:spacing w:before="120" w:after="120"/>
        <w:ind w:left="851" w:hanging="851"/>
        <w:jc w:val="both"/>
        <w:rPr>
          <w:rFonts w:eastAsia="Calibri"/>
          <w:noProof/>
          <w:szCs w:val="22"/>
        </w:rPr>
      </w:pPr>
      <w:r w:rsidRPr="00E86AF3">
        <w:t>3.</w:t>
      </w:r>
      <w:r w:rsidRPr="00E86AF3">
        <w:tab/>
        <w:t>35 straipsnio 4 dalis pakeičiama taip: </w:t>
      </w:r>
    </w:p>
    <w:p w:rsidR="005B2EB9" w:rsidRPr="00E86AF3" w:rsidRDefault="005B2EB9" w:rsidP="005B2EB9">
      <w:pPr>
        <w:ind w:left="1418" w:hanging="567"/>
        <w:jc w:val="both"/>
        <w:rPr>
          <w:rFonts w:eastAsia="Calibri"/>
          <w:noProof/>
          <w:szCs w:val="22"/>
        </w:rPr>
      </w:pPr>
      <w:r w:rsidRPr="00E86AF3">
        <w:t>„4.</w:t>
      </w:r>
      <w:r w:rsidRPr="00E86AF3">
        <w:tab/>
        <w:t xml:space="preserve">Prieš pateikdama prašymą dėl informacijos suteikimo pagal šį straipsnį ir siekdama </w:t>
      </w:r>
      <w:r w:rsidRPr="00E86AF3">
        <w:rPr>
          <w:b/>
          <w:i/>
        </w:rPr>
        <w:t>užtikrinti, kad nebūtų</w:t>
      </w:r>
      <w:r w:rsidRPr="00E86AF3">
        <w:t xml:space="preserve"> atskaitomybės </w:t>
      </w:r>
      <w:r w:rsidRPr="00E86AF3">
        <w:rPr>
          <w:b/>
          <w:i/>
        </w:rPr>
        <w:t>ir informacijos atskleidimo</w:t>
      </w:r>
      <w:r w:rsidRPr="00E86AF3">
        <w:t xml:space="preserve"> pareigų dubliavimo, Institucija atsižvelgia į 35a straipsnio </w:t>
      </w:r>
      <w:r w:rsidRPr="00E86AF3">
        <w:rPr>
          <w:b/>
          <w:i/>
        </w:rPr>
        <w:t>1b</w:t>
      </w:r>
      <w:r w:rsidRPr="00E86AF3">
        <w:t> dalyje nurodytų kitų institucijų surinktą informaciją ir į atitinkamus turimus statistinius duomenis, surinktus ir išplatintus pagal Europos statistikos sistemą bei Europos centrinių bankų sistemą.“; </w:t>
      </w:r>
    </w:p>
    <w:p w:rsidR="005B2EB9" w:rsidRPr="00E86AF3" w:rsidRDefault="005B2EB9" w:rsidP="005B2EB9">
      <w:pPr>
        <w:widowControl/>
        <w:tabs>
          <w:tab w:val="left" w:pos="851"/>
        </w:tabs>
        <w:spacing w:before="120" w:after="120"/>
        <w:jc w:val="both"/>
        <w:rPr>
          <w:rFonts w:eastAsia="Calibri"/>
          <w:noProof/>
          <w:szCs w:val="22"/>
        </w:rPr>
      </w:pPr>
      <w:r w:rsidRPr="00E86AF3">
        <w:t>4.</w:t>
      </w:r>
      <w:r w:rsidRPr="00E86AF3">
        <w:tab/>
        <w:t>įte</w:t>
      </w:r>
      <w:r w:rsidR="00365E66">
        <w:t>rpiamas šis 35a straipsnis:</w:t>
      </w:r>
    </w:p>
    <w:p w:rsidR="005B2EB9" w:rsidRPr="00E86AF3" w:rsidRDefault="005B2EB9" w:rsidP="005B2EB9">
      <w:pPr>
        <w:widowControl/>
        <w:spacing w:before="120" w:after="120"/>
        <w:jc w:val="center"/>
        <w:rPr>
          <w:rFonts w:eastAsia="Calibri"/>
          <w:noProof/>
          <w:szCs w:val="22"/>
        </w:rPr>
      </w:pPr>
      <w:r w:rsidRPr="00E86AF3">
        <w:t>„35a straipsnis</w:t>
      </w:r>
    </w:p>
    <w:p w:rsidR="005B2EB9" w:rsidRPr="00E86AF3" w:rsidRDefault="005B2EB9" w:rsidP="005B2EB9">
      <w:pPr>
        <w:widowControl/>
        <w:spacing w:before="120" w:after="120"/>
        <w:jc w:val="center"/>
        <w:rPr>
          <w:rFonts w:eastAsia="Calibri"/>
          <w:noProof/>
          <w:szCs w:val="22"/>
        </w:rPr>
      </w:pPr>
      <w:r w:rsidRPr="00E86AF3">
        <w:rPr>
          <w:b/>
        </w:rPr>
        <w:t>Informacijos mainai tarp institucijų ir su kitais subjektais</w:t>
      </w:r>
    </w:p>
    <w:p w:rsidR="005B2EB9" w:rsidRPr="00E86AF3" w:rsidRDefault="005B2EB9" w:rsidP="005B2EB9">
      <w:pPr>
        <w:widowControl/>
        <w:spacing w:before="120" w:after="120"/>
        <w:ind w:left="851" w:hanging="851"/>
        <w:jc w:val="both"/>
        <w:rPr>
          <w:rFonts w:eastAsia="Calibri"/>
          <w:noProof/>
          <w:szCs w:val="22"/>
        </w:rPr>
      </w:pPr>
      <w:r w:rsidRPr="00E86AF3">
        <w:lastRenderedPageBreak/>
        <w:t>1.</w:t>
      </w:r>
      <w:r w:rsidRPr="00E86AF3">
        <w:rPr>
          <w:b/>
          <w:i/>
        </w:rPr>
        <w:tab/>
      </w:r>
      <w:r w:rsidRPr="00E86AF3">
        <w:t>Institucija ir kompetentingos institucijos kiekvienu konkrečiu atveju arba reguliariai dalijasi su kitomis institucijomis informacija, kurią jos gavo iš finansų įstaigų ar kitų kompetentingų institucijų</w:t>
      </w:r>
      <w:r w:rsidRPr="00E86AF3">
        <w:rPr>
          <w:b/>
          <w:i/>
        </w:rPr>
        <w:t xml:space="preserve">, kai prašančioji institucija turi teisę gauti tą informaciją atsižvelgiant į jos misiją, tikslus, užduotis ir įgaliojimus arba pagal atitinkamą Sąjungos teisę. </w:t>
      </w:r>
    </w:p>
    <w:p w:rsidR="005B2EB9" w:rsidRPr="00E86AF3" w:rsidRDefault="005B2EB9" w:rsidP="005B2EB9">
      <w:pPr>
        <w:widowControl/>
        <w:spacing w:before="120" w:after="120"/>
        <w:ind w:left="851" w:hanging="851"/>
        <w:jc w:val="both"/>
        <w:rPr>
          <w:rFonts w:eastAsia="Calibri"/>
          <w:noProof/>
          <w:szCs w:val="22"/>
        </w:rPr>
      </w:pPr>
      <w:r w:rsidRPr="00E86AF3">
        <w:t>2.</w:t>
      </w:r>
      <w:r w:rsidRPr="00E86AF3">
        <w:rPr>
          <w:b/>
          <w:i/>
        </w:rPr>
        <w:tab/>
      </w:r>
      <w:r w:rsidRPr="00E86AF3">
        <w:t>Prašyme keistis informacija tinkamai nurodomas teisinis pagrindas pagal Sąjungos teisę, suteikiantis teisę prašančiajai institucijai gauti informaciją iš finansų įstaigų ar kitų kompetentingų institucijų. Prašančioji institucija ir teikiančioji institucija laikosi pareigų saugoti profesinę paslaptį ir duomenų apsaugos nuostatų, nustatytų 70 ir 71 straipsniuose ir sektorių teisės aktuose, taikytinuose finansų įstaigos ir prašančiosios institucijos duomenų dalijimuisi, taip pat finansų įstaigos ir teikiančiosios institucijos duomenų dalijimuisi. Teikiančioji institucija nepagrįstai nedelsdama informuoja kiekvieną atitinkamą finansų įstaigą apie tokį keitimąsi informacija</w:t>
      </w:r>
      <w:r w:rsidRPr="00E86AF3">
        <w:rPr>
          <w:b/>
          <w:i/>
        </w:rPr>
        <w:t>, jei informacija nebuvo anonimizuota, pakeista, apibendrinta ar tvarkoma bet kuriuo kitu informacijos atskleidimo kontrolės būdu, siekiant apsaugoti konfidencialią informaciją.</w:t>
      </w:r>
      <w:r w:rsidRPr="00E86AF3">
        <w:t xml:space="preserve"> </w:t>
      </w:r>
    </w:p>
    <w:p w:rsidR="005B2EB9" w:rsidRPr="00E86AF3" w:rsidRDefault="005B2EB9" w:rsidP="005B2EB9">
      <w:pPr>
        <w:widowControl/>
        <w:spacing w:before="120" w:after="120"/>
        <w:ind w:left="851" w:hanging="851"/>
        <w:jc w:val="both"/>
        <w:rPr>
          <w:rFonts w:eastAsia="Calibri"/>
          <w:szCs w:val="22"/>
        </w:rPr>
      </w:pPr>
      <w:r w:rsidRPr="00E86AF3">
        <w:t>3.</w:t>
      </w:r>
      <w:r w:rsidRPr="00E86AF3">
        <w:rPr>
          <w:b/>
          <w:i/>
        </w:rPr>
        <w:tab/>
      </w:r>
      <w:r w:rsidRPr="00E86AF3">
        <w:t>1</w:t>
      </w:r>
      <w:r w:rsidRPr="00E86AF3">
        <w:rPr>
          <w:b/>
          <w:i/>
        </w:rPr>
        <w:t>, 1a</w:t>
      </w:r>
      <w:r w:rsidRPr="00E86AF3">
        <w:t xml:space="preserve"> ir 2 dalys taip pat taikomos informacijai, kurią teikiančioji institucija yra gavusi iš finansų įstaigos ar </w:t>
      </w:r>
      <w:r w:rsidRPr="00E86AF3">
        <w:rPr>
          <w:b/>
          <w:i/>
        </w:rPr>
        <w:t>kitų institucijų</w:t>
      </w:r>
      <w:r w:rsidRPr="00E86AF3">
        <w:t xml:space="preserve"> ir kurios kokybės patikrą teikiančioji institucija yra vėliau atlikusi ar kurią ji yra kitaip tvarkiusi. </w:t>
      </w:r>
    </w:p>
    <w:p w:rsidR="005B2EB9" w:rsidRPr="00E86AF3" w:rsidRDefault="005B2EB9" w:rsidP="005B2EB9">
      <w:pPr>
        <w:widowControl/>
        <w:spacing w:before="120" w:after="120"/>
        <w:ind w:left="851" w:hanging="851"/>
        <w:jc w:val="both"/>
        <w:rPr>
          <w:rFonts w:eastAsia="Calibri"/>
          <w:b/>
          <w:i/>
          <w:szCs w:val="22"/>
        </w:rPr>
      </w:pPr>
      <w:r w:rsidRPr="00E86AF3">
        <w:t>4.</w:t>
      </w:r>
      <w:r w:rsidRPr="00E86AF3">
        <w:rPr>
          <w:b/>
          <w:i/>
        </w:rPr>
        <w:tab/>
      </w:r>
      <w:r w:rsidRPr="00E86AF3">
        <w:t>Siekdamos dalytis informacija, kaip nurodyta 1</w:t>
      </w:r>
      <w:r w:rsidRPr="00E86AF3">
        <w:rPr>
          <w:b/>
          <w:i/>
        </w:rPr>
        <w:t>, 1a,</w:t>
      </w:r>
      <w:r w:rsidRPr="00E86AF3">
        <w:t xml:space="preserve"> 2 ir 3 dalyse, </w:t>
      </w:r>
      <w:r w:rsidRPr="00E86AF3">
        <w:rPr>
          <w:b/>
          <w:i/>
        </w:rPr>
        <w:t>Institucija ir kitos</w:t>
      </w:r>
      <w:r w:rsidRPr="00E86AF3">
        <w:t xml:space="preserve"> institucijos </w:t>
      </w:r>
      <w:r w:rsidRPr="00E86AF3">
        <w:rPr>
          <w:b/>
          <w:i/>
        </w:rPr>
        <w:t>sudaro</w:t>
      </w:r>
      <w:r w:rsidRPr="00E86AF3">
        <w:t xml:space="preserve"> susitarimo memorandumus ir juose nustato informacijos mainų sąlygas. Jos taip pat </w:t>
      </w:r>
      <w:r w:rsidRPr="00E86AF3">
        <w:rPr>
          <w:b/>
          <w:i/>
        </w:rPr>
        <w:t>nustato</w:t>
      </w:r>
      <w:r w:rsidRPr="00E86AF3">
        <w:t xml:space="preserve"> išteklių, reikalingų tokiems duomenims, kuriais dalijamasi, rinkti ir tvarkyti, dalijimosi tvarką</w:t>
      </w:r>
      <w:r w:rsidRPr="00E86AF3">
        <w:rPr>
          <w:b/>
          <w:i/>
        </w:rPr>
        <w:t>, jei taikant tokius susitarimus laikomasi taikytinų duomenų apsaugos, intelektinės nuosavybės ir profesinės paslapties taisyklių</w:t>
      </w:r>
      <w:r w:rsidRPr="00E86AF3">
        <w:t>. </w:t>
      </w:r>
      <w:r w:rsidRPr="00E86AF3">
        <w:rPr>
          <w:b/>
          <w:i/>
        </w:rPr>
        <w:t>Visoms susijusioms institucijoms sutarus, susitarimo memorandumai turi būti paprasto ir standartizuoto formato, kuris, prireikus, pritaikomas pagal specialias veikimo sąlygas, kurios gali būti taikomos konkrečioms institucijoms.</w:t>
      </w:r>
    </w:p>
    <w:p w:rsidR="005B2EB9" w:rsidRPr="00E86AF3" w:rsidRDefault="005B2EB9" w:rsidP="005B2EB9">
      <w:pPr>
        <w:widowControl/>
        <w:spacing w:before="120" w:after="120"/>
        <w:ind w:left="851" w:hanging="851"/>
        <w:jc w:val="both"/>
        <w:rPr>
          <w:rFonts w:eastAsia="Calibri"/>
          <w:b/>
          <w:i/>
          <w:szCs w:val="22"/>
        </w:rPr>
      </w:pPr>
      <w:r w:rsidRPr="00E86AF3">
        <w:t>5.</w:t>
      </w:r>
      <w:r w:rsidRPr="00E86AF3">
        <w:rPr>
          <w:b/>
          <w:i/>
        </w:rPr>
        <w:tab/>
      </w:r>
      <w:r w:rsidRPr="00E86AF3">
        <w:t xml:space="preserve">1–4 dalys nedaro poveikio intelektinės nuosavybės teisių apsaugai ir netrukdo </w:t>
      </w:r>
      <w:r w:rsidRPr="00E86AF3">
        <w:rPr>
          <w:b/>
          <w:i/>
        </w:rPr>
        <w:t>Institucijai ir kitoms</w:t>
      </w:r>
      <w:r w:rsidRPr="00E86AF3">
        <w:t xml:space="preserve"> institucijoms keistis informacija pagal kitų Sąjungos teisės aktų nuostatas ir to keitimosi neriboja. Jei šio straipsnio nuostatos prieštarauja kitų Sąjungos teisės aktų nuostatoms, kuriomis reglamentuojami </w:t>
      </w:r>
      <w:r w:rsidRPr="00E86AF3">
        <w:rPr>
          <w:b/>
          <w:i/>
        </w:rPr>
        <w:t>kitų</w:t>
      </w:r>
      <w:r w:rsidRPr="00E86AF3">
        <w:t xml:space="preserve"> institucijų informacijos mainai, viršenybę turi tų kitų Sąjungos teisės aktų nuostatos.</w:t>
      </w:r>
    </w:p>
    <w:p w:rsidR="005B2EB9" w:rsidRPr="00E86AF3" w:rsidRDefault="005B2EB9" w:rsidP="005B2EB9">
      <w:pPr>
        <w:widowControl/>
        <w:spacing w:before="120" w:after="120"/>
        <w:ind w:left="851" w:hanging="851"/>
        <w:jc w:val="both"/>
        <w:rPr>
          <w:rFonts w:eastAsia="Calibri"/>
          <w:b/>
          <w:i/>
          <w:szCs w:val="22"/>
        </w:rPr>
      </w:pPr>
      <w:r w:rsidRPr="00E86AF3">
        <w:t>6.</w:t>
      </w:r>
      <w:r w:rsidRPr="00E86AF3">
        <w:rPr>
          <w:b/>
          <w:i/>
        </w:rPr>
        <w:tab/>
      </w:r>
      <w:r w:rsidRPr="00E86AF3">
        <w:t xml:space="preserve">Nedarant poveikio kitoms Sąjungos teisėje nustatytoms pareigoms dėl dalijimosi informacija, Institucija ir kompetentingos institucijos, gavusios pagrįstą prašymą, </w:t>
      </w:r>
      <w:r w:rsidRPr="00E86AF3">
        <w:rPr>
          <w:b/>
          <w:i/>
        </w:rPr>
        <w:t>gali</w:t>
      </w:r>
      <w:r w:rsidRPr="00E86AF3">
        <w:t xml:space="preserve"> kiekvienu konkrečiu atveju dalytis su Komisija ▌informacija, kurią finansų įstaigos joms pateikė vykdydamos savo pareigas pagal Sąjungos teisę</w:t>
      </w:r>
      <w:r w:rsidR="00B0539C">
        <w:t xml:space="preserve"> </w:t>
      </w:r>
      <w:r w:rsidRPr="00E86AF3">
        <w:t>▌</w:t>
      </w:r>
      <w:bookmarkStart w:id="8" w:name="_Hlk145611591"/>
      <w:r w:rsidRPr="00E86AF3">
        <w:t xml:space="preserve">, tokia forma, kuri neleidžia identifikuoti atskirų subjektų ir neapima asmens duomenų. </w:t>
      </w:r>
      <w:r w:rsidRPr="00E86AF3">
        <w:rPr>
          <w:b/>
          <w:i/>
        </w:rPr>
        <w:t>Tokią informaciją pateikusios institucijos tinkamai informuojamos apie dalijimąsi šia informacija.</w:t>
      </w:r>
    </w:p>
    <w:bookmarkEnd w:id="8"/>
    <w:p w:rsidR="005B2EB9" w:rsidRPr="00E86AF3" w:rsidRDefault="005B2EB9" w:rsidP="005B2EB9">
      <w:pPr>
        <w:widowControl/>
        <w:spacing w:before="120" w:after="120"/>
        <w:ind w:left="851" w:hanging="851"/>
        <w:jc w:val="both"/>
        <w:rPr>
          <w:rFonts w:eastAsia="Calibri"/>
          <w:szCs w:val="22"/>
        </w:rPr>
      </w:pPr>
      <w:r w:rsidRPr="00E86AF3">
        <w:t>7.</w:t>
      </w:r>
      <w:r w:rsidRPr="00E86AF3">
        <w:rPr>
          <w:b/>
          <w:i/>
        </w:rPr>
        <w:tab/>
      </w:r>
      <w:r w:rsidRPr="00E86AF3">
        <w:t xml:space="preserve">Institucija ir kompetentingos institucijos gali leisti pakartotinai naudoti informaciją, kurią jos yra gavusios vykdydamos savo pareigas, finansų įstaigoms, mokslininkams ir kitiems subjektams, turintiems teisėtą interesą naudoti tokią informaciją mokslinių tyrimų ir inovacijų tikslais, jeigu Institucija užtikrino, kad būtų įvykdytos visos šios sąlygos: </w:t>
      </w:r>
    </w:p>
    <w:p w:rsidR="005B2EB9" w:rsidRPr="00E86AF3" w:rsidRDefault="005B2EB9" w:rsidP="005B2EB9">
      <w:pPr>
        <w:widowControl/>
        <w:spacing w:before="120" w:after="120"/>
        <w:ind w:left="1418" w:hanging="567"/>
        <w:jc w:val="both"/>
        <w:rPr>
          <w:rFonts w:eastAsia="Calibri"/>
          <w:szCs w:val="22"/>
        </w:rPr>
      </w:pPr>
      <w:r w:rsidRPr="00E86AF3">
        <w:t>a)</w:t>
      </w:r>
      <w:r w:rsidRPr="00E86AF3">
        <w:rPr>
          <w:b/>
          <w:i/>
        </w:rPr>
        <w:tab/>
      </w:r>
      <w:r w:rsidRPr="00E86AF3">
        <w:t>informacija yra anonimizuota taip, kad identifikuoti duomenų subjekto ar finansų įstaigos neįmanoma ar nebeįmanoma;</w:t>
      </w:r>
    </w:p>
    <w:p w:rsidR="005B2EB9" w:rsidRPr="00E86AF3" w:rsidRDefault="005B2EB9" w:rsidP="005B2EB9">
      <w:pPr>
        <w:widowControl/>
        <w:spacing w:before="120" w:after="120"/>
        <w:ind w:left="1418" w:hanging="567"/>
        <w:jc w:val="both"/>
        <w:rPr>
          <w:rFonts w:eastAsia="Calibri"/>
          <w:szCs w:val="22"/>
        </w:rPr>
      </w:pPr>
      <w:r w:rsidRPr="00E86AF3">
        <w:lastRenderedPageBreak/>
        <w:t>b)</w:t>
      </w:r>
      <w:r w:rsidRPr="00E86AF3">
        <w:rPr>
          <w:b/>
          <w:i/>
        </w:rPr>
        <w:tab/>
      </w:r>
      <w:r w:rsidRPr="00E86AF3">
        <w:t xml:space="preserve">siekiant apsaugoti konfidencialią informaciją, įskaitant komercines paslaptis ar turinį, apsaugotą intelektinės nuosavybės teisėmis, informacija buvo pakeista, agreguota ar apdorota bet kuriuo kitu duomenų atskleidimo kontrolės metodu. </w:t>
      </w:r>
    </w:p>
    <w:p w:rsidR="005B2EB9" w:rsidRPr="00E86AF3" w:rsidRDefault="005B2EB9" w:rsidP="005B2EB9">
      <w:pPr>
        <w:widowControl/>
        <w:spacing w:before="120" w:after="120"/>
        <w:ind w:left="1418" w:hanging="567"/>
        <w:jc w:val="both"/>
        <w:rPr>
          <w:rFonts w:eastAsia="Calibri"/>
          <w:szCs w:val="22"/>
        </w:rPr>
      </w:pPr>
      <w:r w:rsidRPr="00E86AF3">
        <w:t>Informacija, gauta iš kitos institucijos,</w:t>
      </w:r>
      <w:r w:rsidRPr="00E86AF3">
        <w:rPr>
          <w:b/>
          <w:i/>
        </w:rPr>
        <w:t xml:space="preserve"> šiuo pagrindu</w:t>
      </w:r>
      <w:r w:rsidRPr="00E86AF3">
        <w:t xml:space="preserve"> dalijamasi tik susitarus su institucija, kuri pirmoji gavo tą informaciją.</w:t>
      </w:r>
    </w:p>
    <w:p w:rsidR="005B2EB9" w:rsidRPr="00E86AF3" w:rsidRDefault="005B2EB9" w:rsidP="005B2EB9">
      <w:pPr>
        <w:widowControl/>
        <w:spacing w:before="120" w:after="120"/>
        <w:ind w:left="851" w:hanging="851"/>
        <w:jc w:val="both"/>
        <w:rPr>
          <w:rFonts w:eastAsia="Calibri"/>
          <w:b/>
          <w:i/>
          <w:szCs w:val="22"/>
        </w:rPr>
      </w:pPr>
      <w:r w:rsidRPr="00E86AF3">
        <w:rPr>
          <w:b/>
          <w:i/>
        </w:rPr>
        <w:t>7a.</w:t>
      </w:r>
      <w:r w:rsidRPr="00E86AF3">
        <w:rPr>
          <w:b/>
          <w:i/>
        </w:rPr>
        <w:tab/>
        <w:t>Ne vėliau kaip ... [vieni metai nuo šio iš dalies keičiančio reglamento įsigaliojimo dienos] Institucija ir kompetentingos institucijos praneša Komisijai apie sektorių teisės aktuose iškilusias teisines kliūtis, kurios kokiu nors būdu trukdo joms keistis informacija su kitomis institucijomis ar kitais subjektais. Ataskaitoje taip pat gali būti nurodyti nereikšmingi, nebeaktualūs, besidubliuojantys ar kitu požiūriu nereikalingi atskaitomybės reikalavimai ir pateikti pasiūlymai, kaip užtikrinti finansų ir ne finansų bendrovių atskaitomybės reikalavimų nuoseklumą.</w:t>
      </w:r>
    </w:p>
    <w:p w:rsidR="005B2EB9" w:rsidRPr="00E86AF3" w:rsidRDefault="005B2EB9" w:rsidP="005B2EB9">
      <w:pPr>
        <w:widowControl/>
        <w:spacing w:before="120" w:after="120"/>
        <w:ind w:left="851"/>
        <w:jc w:val="both"/>
        <w:rPr>
          <w:rFonts w:eastAsia="Calibri"/>
          <w:szCs w:val="22"/>
        </w:rPr>
      </w:pPr>
      <w:r w:rsidRPr="00E86AF3">
        <w:rPr>
          <w:b/>
          <w:i/>
        </w:rPr>
        <w:t>Remdamasi ta ataskaita ir deramai atsižvelgdama į intelektinės nuosavybės teisių apsaugą, pareigą saugoti profesinę paslaptį ir užtikrinti duomenų apsaugą, Komisija, kai tikslinga, ne vėliau kaip ... [2 metai nuo šio iš dalies keičiančio reglamento įsigaliojimo dienos] Europos Parlamentui ir Tarybai pateikia pasiūlymą dėl teisėkūros procedūra priimamo akto, kuriuo siekiama pašalinti tokias teisines kliūtis sektorių teisės aktuose, kad būtų skatinamas keitimasis informacija tarp institucijų ir su kitais subjektais.</w:t>
      </w:r>
      <w:r w:rsidRPr="00E86AF3">
        <w:t>“; </w:t>
      </w:r>
    </w:p>
    <w:p w:rsidR="005B2EB9" w:rsidRPr="00E86AF3" w:rsidRDefault="005B2EB9" w:rsidP="00365E66">
      <w:pPr>
        <w:widowControl/>
        <w:spacing w:before="120" w:after="120"/>
        <w:ind w:left="851" w:hanging="851"/>
        <w:jc w:val="both"/>
        <w:rPr>
          <w:rFonts w:eastAsia="Calibri"/>
          <w:szCs w:val="24"/>
        </w:rPr>
      </w:pPr>
      <w:r w:rsidRPr="00E86AF3">
        <w:rPr>
          <w:b/>
          <w:i/>
        </w:rPr>
        <w:t>4a.</w:t>
      </w:r>
      <w:r w:rsidRPr="00E86AF3">
        <w:rPr>
          <w:b/>
          <w:i/>
        </w:rPr>
        <w:tab/>
        <w:t>įterpiamas šis straipsnis:</w:t>
      </w:r>
      <w:r w:rsidRPr="00E86AF3">
        <w:t xml:space="preserve"> </w:t>
      </w:r>
    </w:p>
    <w:p w:rsidR="005B2EB9" w:rsidRPr="00E86AF3" w:rsidRDefault="005B2EB9" w:rsidP="005B2EB9">
      <w:pPr>
        <w:widowControl/>
        <w:spacing w:before="120" w:after="120"/>
        <w:rPr>
          <w:rFonts w:eastAsia="Calibri"/>
          <w:b/>
          <w:i/>
          <w:noProof/>
          <w:szCs w:val="22"/>
        </w:rPr>
      </w:pPr>
      <w:r w:rsidRPr="00E86AF3">
        <w:rPr>
          <w:b/>
          <w:i/>
        </w:rPr>
        <w:t>„35b straipsnis</w:t>
      </w:r>
    </w:p>
    <w:p w:rsidR="005B2EB9" w:rsidRPr="00E86AF3" w:rsidRDefault="005B2EB9" w:rsidP="005B2EB9">
      <w:pPr>
        <w:widowControl/>
        <w:spacing w:before="120" w:after="120"/>
        <w:rPr>
          <w:rFonts w:eastAsia="Calibri"/>
          <w:b/>
          <w:i/>
          <w:noProof/>
          <w:szCs w:val="22"/>
        </w:rPr>
      </w:pPr>
      <w:r w:rsidRPr="00E86AF3">
        <w:rPr>
          <w:b/>
          <w:i/>
        </w:rPr>
        <w:t>Bendros integruotos ataskaitų teikimo sistemos sukūrimas</w:t>
      </w:r>
    </w:p>
    <w:p w:rsidR="005B2EB9" w:rsidRPr="00E86AF3" w:rsidRDefault="005B2EB9" w:rsidP="005B2EB9">
      <w:pPr>
        <w:widowControl/>
        <w:spacing w:before="120" w:after="120"/>
        <w:ind w:left="851" w:hanging="851"/>
        <w:jc w:val="both"/>
        <w:rPr>
          <w:rFonts w:eastAsia="Calibri"/>
          <w:b/>
          <w:i/>
          <w:noProof/>
          <w:szCs w:val="22"/>
        </w:rPr>
      </w:pPr>
      <w:r w:rsidRPr="00E86AF3">
        <w:rPr>
          <w:b/>
          <w:i/>
        </w:rPr>
        <w:t>1.</w:t>
      </w:r>
      <w:r w:rsidRPr="00E86AF3">
        <w:rPr>
          <w:b/>
          <w:i/>
        </w:rPr>
        <w:tab/>
        <w:t>Ne vėliau kaip ... [2 metai nuo šio iš dalies keičiančio reglamento įsigaliojimo dienos] Institucija, glaudžiai bendradarbiaudama su kitomis institucijomis ir ECBS, parengia ataskaitą dėl bendros integruotos ataskaitų teikimo sistemos sukūrimo techninės informacijos, taip pat veiksmų gaires, grindžiamas EPI ataskaitų integravimo jų sektoriuose darbu, ir įtraukia sąnaudų ir naudos vertinimą. Tos ataskaitos tikslais bendra integruota ataskaitų teikimo sistema apima:</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bendrą duomenų žodyną, kad būtų užtikrintas atskaitomybės reikalavimų nuoseklumas ir aiškumas bei duomenų standartizavimas;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bendrą atskaitomybės ir informacijos atskleidimo reikalavimų, surinktų duomenų ir juos turinčių institucijų aprašymų saugyklą;</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centrinę duomenų erdvę, įskaitant techninį projektą, skirtą informacijai rinkti ir ja keistis, ir</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nuolatinį vieną bendrą kontaktinį punktą subjektams, kad jie galėtų nurodyti dvigubo ataskaitų teikimo, perteklinių ar nebeaktualių ataskaitų arba informacijos atskleidimo reikalavimų atvejus.</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Glaudžiai bendradarbiaujant su Komisija, prie ataskaitos pridedamas bendro finansinio poveikio įvertinimas. </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Kai tikslinga, ne vėliau kaip ... [3 metai nuo šio iš dalies keičiančio reglamento įsigaliojimo dienos] Komisija pateikia Europos Parlamentui ir Tarybai pasiūlymą dėl teisėkūros procedūra priimamo akto, kuriuo siekiama užtikrinti bendros integruotos ataskaitų teikimo sistemos kūrimui reikalingus finansinius, žmogiškuosius ir IT išteklius. </w:t>
      </w:r>
    </w:p>
    <w:p w:rsidR="005B2EB9" w:rsidRPr="00E86AF3" w:rsidRDefault="005B2EB9" w:rsidP="005B2EB9">
      <w:pPr>
        <w:widowControl/>
        <w:spacing w:before="120" w:after="120"/>
        <w:ind w:left="851"/>
        <w:jc w:val="both"/>
        <w:rPr>
          <w:rFonts w:eastAsia="Calibri"/>
          <w:b/>
          <w:i/>
          <w:noProof/>
          <w:szCs w:val="22"/>
        </w:rPr>
      </w:pPr>
      <w:r w:rsidRPr="00E86AF3">
        <w:rPr>
          <w:b/>
          <w:i/>
        </w:rPr>
        <w:lastRenderedPageBreak/>
        <w:t>Ne vėliau kaip ... [3 metai nuo šio iš dalies keičiančio reglamento įsigaliojimo dienos] Institucija drauge su kitomis institucijomis sukuria bendrą integruotą ataskaitų teikimo sistemą.“;</w:t>
      </w:r>
    </w:p>
    <w:p w:rsidR="005B2EB9" w:rsidRPr="00E86AF3" w:rsidRDefault="005B2EB9" w:rsidP="005B2EB9">
      <w:pPr>
        <w:widowControl/>
        <w:spacing w:before="120" w:after="120"/>
        <w:ind w:left="850" w:hanging="850"/>
        <w:jc w:val="both"/>
        <w:rPr>
          <w:rFonts w:eastAsia="Calibri"/>
          <w:b/>
          <w:i/>
          <w:szCs w:val="22"/>
        </w:rPr>
      </w:pPr>
      <w:r w:rsidRPr="00E86AF3">
        <w:rPr>
          <w:b/>
          <w:i/>
        </w:rPr>
        <w:t>4b.</w:t>
      </w:r>
      <w:r w:rsidRPr="00E86AF3">
        <w:rPr>
          <w:b/>
          <w:i/>
        </w:rPr>
        <w:tab/>
        <w:t>36 straipsnio 2 dalis pakeičiama taip:</w:t>
      </w:r>
    </w:p>
    <w:p w:rsidR="005B2EB9" w:rsidRPr="00E86AF3" w:rsidRDefault="005B2EB9" w:rsidP="005B2EB9">
      <w:pPr>
        <w:widowControl/>
        <w:spacing w:before="120" w:after="120"/>
        <w:ind w:left="1418" w:hanging="567"/>
        <w:jc w:val="both"/>
        <w:rPr>
          <w:rFonts w:eastAsia="Calibri"/>
          <w:b/>
          <w:i/>
          <w:noProof/>
          <w:szCs w:val="22"/>
        </w:rPr>
      </w:pPr>
      <w:r w:rsidRPr="00E86AF3">
        <w:t>„2.</w:t>
      </w:r>
      <w:r w:rsidRPr="00E86AF3">
        <w:rPr>
          <w:b/>
          <w:i/>
        </w:rPr>
        <w:tab/>
        <w:t>Institucija drauge su Europos centrinių bankų sistema (ECBS), Komisija, nacionalinėmis kompetentingomis institucijomis ir nacionalinėmis statistikos institucijomis glaudžiai bendradarbiauja su ESRV – dalijasi informacija ir analize, reikalinga jų užduotims atlikti.</w:t>
      </w:r>
    </w:p>
    <w:p w:rsidR="005B2EB9" w:rsidRPr="00E86AF3" w:rsidRDefault="005B2EB9" w:rsidP="005B2EB9">
      <w:pPr>
        <w:widowControl/>
        <w:spacing w:before="120" w:after="120"/>
        <w:ind w:left="1418"/>
        <w:jc w:val="both"/>
        <w:rPr>
          <w:rFonts w:eastAsia="Calibri"/>
          <w:b/>
          <w:i/>
          <w:noProof/>
          <w:szCs w:val="22"/>
        </w:rPr>
      </w:pPr>
      <w:r w:rsidRPr="00E86AF3">
        <w:rPr>
          <w:b/>
          <w:i/>
        </w:rPr>
        <w:t>Institucija drauge su ESRV ir ECB koordinuoja savo pastangas, kad nustatytų sisteminę riziką finansiniam stabilumui, ją stebėtų, užkirstų jai kelią ir ją sumažintų.</w:t>
      </w:r>
    </w:p>
    <w:p w:rsidR="005B2EB9" w:rsidRPr="00E86AF3" w:rsidRDefault="005B2EB9" w:rsidP="005B2EB9">
      <w:pPr>
        <w:widowControl/>
        <w:spacing w:before="120" w:after="120"/>
        <w:ind w:left="1418"/>
        <w:jc w:val="both"/>
        <w:rPr>
          <w:rFonts w:eastAsia="Calibri"/>
          <w:b/>
          <w:i/>
          <w:noProof/>
          <w:szCs w:val="22"/>
        </w:rPr>
      </w:pPr>
      <w:r w:rsidRPr="00E86AF3">
        <w:rPr>
          <w:b/>
          <w:i/>
        </w:rPr>
        <w:t>Pagal Reglamento (ES) Nr. 1092/2010 15 straipsnio 1–5 dalis Institucija laikosi išdėstytų dalijimosi duomenimis nuostatų.</w:t>
      </w:r>
    </w:p>
    <w:p w:rsidR="005B2EB9" w:rsidRPr="00E86AF3" w:rsidRDefault="005B2EB9" w:rsidP="005B2EB9">
      <w:pPr>
        <w:widowControl/>
        <w:spacing w:before="120" w:after="120"/>
        <w:ind w:left="1418"/>
        <w:jc w:val="both"/>
        <w:rPr>
          <w:rFonts w:eastAsia="Calibri"/>
          <w:b/>
          <w:i/>
          <w:noProof/>
          <w:szCs w:val="22"/>
        </w:rPr>
      </w:pPr>
      <w:r w:rsidRPr="00E86AF3">
        <w:rPr>
          <w:b/>
          <w:i/>
        </w:rPr>
        <w:t>Institucija, bendradarbiaudama su ESRV, parengia konfidencialios informacijos, visų pirma informacijos apie atskiras finansų įstaigas, perdavimo</w:t>
      </w:r>
      <w:r w:rsidR="00365E66">
        <w:rPr>
          <w:b/>
          <w:i/>
        </w:rPr>
        <w:t xml:space="preserve"> tinkamas vidaus procedūras.“;</w:t>
      </w:r>
    </w:p>
    <w:p w:rsidR="005B2EB9" w:rsidRPr="00E86AF3" w:rsidRDefault="005B2EB9" w:rsidP="005B2EB9">
      <w:pPr>
        <w:widowControl/>
        <w:spacing w:before="120" w:after="120"/>
        <w:ind w:left="851"/>
        <w:jc w:val="both"/>
        <w:rPr>
          <w:rFonts w:eastAsia="Calibri"/>
          <w:noProof/>
          <w:szCs w:val="22"/>
        </w:rPr>
      </w:pPr>
      <w:r w:rsidRPr="00E86AF3">
        <w:t>5.</w:t>
      </w:r>
      <w:r w:rsidRPr="00E86AF3">
        <w:tab/>
        <w:t xml:space="preserve">54 straipsnio 2 dalis papildoma </w:t>
      </w:r>
      <w:r w:rsidR="00365E66">
        <w:t>šia įtrauka:</w:t>
      </w:r>
    </w:p>
    <w:p w:rsidR="005B2EB9" w:rsidRPr="00E86AF3" w:rsidRDefault="005B2EB9" w:rsidP="005B2EB9">
      <w:pPr>
        <w:widowControl/>
        <w:spacing w:before="120" w:after="120"/>
        <w:ind w:left="1418"/>
        <w:jc w:val="both"/>
        <w:rPr>
          <w:rFonts w:eastAsia="Calibri"/>
          <w:noProof/>
          <w:szCs w:val="22"/>
        </w:rPr>
      </w:pPr>
      <w:r w:rsidRPr="00E86AF3">
        <w:t xml:space="preserve">„— atskaitomybės </w:t>
      </w:r>
      <w:r w:rsidRPr="00E86AF3">
        <w:rPr>
          <w:b/>
          <w:i/>
        </w:rPr>
        <w:t>ir informacijos atskleidimo</w:t>
      </w:r>
      <w:r w:rsidRPr="00E86AF3">
        <w:t xml:space="preserve"> reikalavimais ir informacijos rinkimu iš finansų įstaigų.“; </w:t>
      </w:r>
    </w:p>
    <w:p w:rsidR="005B2EB9" w:rsidRPr="00E86AF3" w:rsidRDefault="005B2EB9" w:rsidP="005B2EB9">
      <w:pPr>
        <w:widowControl/>
        <w:spacing w:before="120" w:after="120"/>
        <w:ind w:left="851"/>
        <w:jc w:val="both"/>
        <w:rPr>
          <w:rFonts w:eastAsia="Calibri"/>
          <w:noProof/>
          <w:szCs w:val="22"/>
        </w:rPr>
      </w:pPr>
      <w:r w:rsidRPr="00E86AF3">
        <w:t>6.</w:t>
      </w:r>
      <w:r w:rsidRPr="00E86AF3">
        <w:tab/>
        <w:t>70 straipsnio 3 dalis pakeičiama taip: </w:t>
      </w:r>
    </w:p>
    <w:p w:rsidR="005B2EB9" w:rsidRPr="00E86AF3" w:rsidRDefault="005B2EB9" w:rsidP="005B2EB9">
      <w:pPr>
        <w:widowControl/>
        <w:spacing w:before="120" w:after="120"/>
        <w:ind w:left="1418"/>
        <w:jc w:val="both"/>
        <w:rPr>
          <w:rFonts w:eastAsia="Calibri"/>
          <w:szCs w:val="24"/>
        </w:rPr>
      </w:pPr>
      <w:r w:rsidRPr="00E86AF3">
        <w:t xml:space="preserve">„3. 1 ir 2 dalių nuostatomis Institucijai netrukdoma keistis informacija su </w:t>
      </w:r>
      <w:r w:rsidRPr="00E86AF3">
        <w:rPr>
          <w:b/>
          <w:i/>
        </w:rPr>
        <w:t>kitomis institucijomis, nurodytomis 35a straipsnio 1b dalyje,</w:t>
      </w:r>
      <w:r w:rsidRPr="00E86AF3">
        <w:t xml:space="preserve"> pagal šį reglamentą ir kitus finansų įstaigoms taikomus Sąjungos teisės aktus.“.  </w:t>
      </w:r>
    </w:p>
    <w:p w:rsidR="005B2EB9" w:rsidRPr="00E86AF3" w:rsidRDefault="005B2EB9" w:rsidP="005B2EB9">
      <w:pPr>
        <w:keepNext/>
        <w:widowControl/>
        <w:spacing w:before="360" w:after="120"/>
        <w:ind w:left="720"/>
        <w:jc w:val="center"/>
        <w:rPr>
          <w:rFonts w:eastAsia="Calibri"/>
          <w:i/>
          <w:noProof/>
          <w:szCs w:val="22"/>
        </w:rPr>
      </w:pPr>
      <w:r w:rsidRPr="00E86AF3">
        <w:rPr>
          <w:i/>
        </w:rPr>
        <w:t>3 straipsnis</w:t>
      </w:r>
    </w:p>
    <w:p w:rsidR="005B2EB9" w:rsidRPr="00E86AF3" w:rsidRDefault="005B2EB9" w:rsidP="005B2EB9">
      <w:pPr>
        <w:widowControl/>
        <w:spacing w:before="120" w:after="120"/>
        <w:jc w:val="center"/>
        <w:rPr>
          <w:rFonts w:eastAsia="Calibri"/>
          <w:noProof/>
          <w:szCs w:val="22"/>
        </w:rPr>
      </w:pPr>
      <w:r w:rsidRPr="00E86AF3">
        <w:rPr>
          <w:b/>
        </w:rPr>
        <w:t>Reglamento (ES) Nr. 1094/2010 pakeitimai</w:t>
      </w:r>
    </w:p>
    <w:p w:rsidR="005B2EB9" w:rsidRPr="00E86AF3" w:rsidRDefault="005B2EB9" w:rsidP="005B2EB9">
      <w:pPr>
        <w:widowControl/>
        <w:spacing w:before="120" w:after="120"/>
        <w:jc w:val="both"/>
        <w:rPr>
          <w:rFonts w:eastAsia="Calibri"/>
          <w:noProof/>
          <w:szCs w:val="22"/>
        </w:rPr>
      </w:pPr>
      <w:r w:rsidRPr="00E86AF3">
        <w:t>Reglamentas (ES) Nr. 1094/2010 iš dalies keičiamas taip: </w:t>
      </w:r>
    </w:p>
    <w:p w:rsidR="005B2EB9" w:rsidRPr="00E86AF3" w:rsidRDefault="005B2EB9" w:rsidP="005B2EB9">
      <w:pPr>
        <w:widowControl/>
        <w:spacing w:before="120" w:after="120"/>
        <w:ind w:left="850" w:hanging="850"/>
        <w:jc w:val="both"/>
        <w:rPr>
          <w:rFonts w:eastAsia="Calibri"/>
          <w:b/>
          <w:i/>
          <w:szCs w:val="22"/>
        </w:rPr>
      </w:pPr>
      <w:r w:rsidRPr="00E86AF3">
        <w:rPr>
          <w:b/>
          <w:i/>
        </w:rPr>
        <w:t>-1.</w:t>
      </w:r>
      <w:r w:rsidRPr="00E86AF3">
        <w:rPr>
          <w:b/>
          <w:i/>
        </w:rPr>
        <w:tab/>
        <w:t>16a straipsnio 1 dalis papildoma šia pastraipa:</w:t>
      </w:r>
    </w:p>
    <w:p w:rsidR="005B2EB9" w:rsidRPr="00E86AF3" w:rsidRDefault="005B2EB9" w:rsidP="005B2EB9">
      <w:pPr>
        <w:widowControl/>
        <w:spacing w:before="120" w:after="120"/>
        <w:ind w:left="851"/>
        <w:jc w:val="both"/>
        <w:rPr>
          <w:rFonts w:eastAsia="Calibri"/>
          <w:b/>
          <w:i/>
          <w:noProof/>
          <w:szCs w:val="22"/>
        </w:rPr>
      </w:pPr>
      <w:r w:rsidRPr="00E86AF3">
        <w:rPr>
          <w:b/>
          <w:i/>
        </w:rPr>
        <w:t>„Institucijos nuomonės neapsiriboja vykstančiomis teisėkūros procedūromis. Institucija savo nuomonėse prireikus taip pat gali siūlyti galiojančių teisės aktų pakeitimus, įskaitant pakeitimus siekiant:</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panaikinti nereikalingus arba nebeaktualius atskaitomybės ir informacijos atskleidimo reikalavimus, susijusius su Sąjungos teise arba Sąjungos teisės perkėlimu į nacionalinę teisę valstybėse narėse;</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užtikrinti nuoseklius atskaitomybės ir informacijos atskleidimo reikalavimus visuose konkretiems ir įvairiems sektoriams taikomuose teisės aktuose;</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užtikrinti atskaitomybės ir informacijos atskleidimo reikalavimų proporcingumą, atsižvelgiant į informaciją teikiančio subjekto pobūdį, dydį ir sudėtingumą;</w:t>
      </w:r>
    </w:p>
    <w:p w:rsidR="005B2EB9" w:rsidRPr="00E86AF3" w:rsidRDefault="005B2EB9" w:rsidP="005B2EB9">
      <w:pPr>
        <w:widowControl/>
        <w:spacing w:before="120" w:after="120"/>
        <w:ind w:left="1418" w:hanging="567"/>
        <w:jc w:val="both"/>
        <w:rPr>
          <w:rFonts w:eastAsia="Calibri"/>
          <w:b/>
          <w:bCs/>
          <w:i/>
          <w:iCs/>
          <w:szCs w:val="22"/>
        </w:rPr>
      </w:pPr>
      <w:r w:rsidRPr="00E86AF3">
        <w:rPr>
          <w:b/>
          <w:i/>
        </w:rPr>
        <w:t>d)</w:t>
      </w:r>
      <w:r w:rsidRPr="00E86AF3">
        <w:rPr>
          <w:b/>
          <w:i/>
        </w:rPr>
        <w:tab/>
        <w:t>užtikrinti, kad atskaitomybės ir informacijos atskleidimo reikalavimų laikymasis suteiktų pridėtinę vertę Institucijai įgyvendinant savo užduotis ir tikslus.</w:t>
      </w:r>
    </w:p>
    <w:p w:rsidR="005B2EB9" w:rsidRPr="00E86AF3" w:rsidRDefault="005B2EB9" w:rsidP="005B2EB9">
      <w:pPr>
        <w:widowControl/>
        <w:spacing w:before="120" w:after="120"/>
        <w:ind w:left="851"/>
        <w:jc w:val="both"/>
        <w:rPr>
          <w:rFonts w:eastAsia="Calibri"/>
          <w:b/>
          <w:i/>
          <w:szCs w:val="22"/>
        </w:rPr>
      </w:pPr>
      <w:r w:rsidRPr="00E86AF3">
        <w:rPr>
          <w:b/>
          <w:i/>
        </w:rPr>
        <w:lastRenderedPageBreak/>
        <w:t>Rengdama pirmoje pastraipoje nurodytas nuomones dėl galiojančių teisėkūros procedūra priimamų aktų, Institucija tinkamai atsižvelgia į visų atitinkamų suinteresuotųjų subjektų pastabas, pateiktas per specialias konsultacijas. Remdamasi tomis nuomonėmis, Komisija, jei tikslinga, Europos Parlamentui ir Tarybai pateikia pasiūlymą dėl teisėkūros procedūra priimamo akto.“;</w:t>
      </w:r>
    </w:p>
    <w:p w:rsidR="005B2EB9" w:rsidRPr="00E86AF3" w:rsidRDefault="005B2EB9" w:rsidP="005B2EB9">
      <w:pPr>
        <w:widowControl/>
        <w:spacing w:before="120" w:after="120"/>
        <w:ind w:left="850" w:hanging="850"/>
        <w:jc w:val="both"/>
        <w:rPr>
          <w:rFonts w:eastAsia="Calibri"/>
          <w:noProof/>
          <w:szCs w:val="22"/>
        </w:rPr>
      </w:pPr>
      <w:r w:rsidRPr="00E86AF3">
        <w:t>1.</w:t>
      </w:r>
      <w:r w:rsidRPr="00E86AF3">
        <w:tab/>
        <w:t>29 straipsnio 1 dalies d punktas pakeičiamas taip: </w:t>
      </w:r>
    </w:p>
    <w:p w:rsidR="005B2EB9" w:rsidRPr="00E86AF3" w:rsidRDefault="005B2EB9" w:rsidP="005B2EB9">
      <w:pPr>
        <w:widowControl/>
        <w:spacing w:before="120" w:after="120"/>
        <w:ind w:left="851"/>
        <w:jc w:val="both"/>
        <w:rPr>
          <w:rFonts w:eastAsia="Calibri"/>
          <w:b/>
          <w:i/>
          <w:szCs w:val="22"/>
        </w:rPr>
      </w:pPr>
      <w:r w:rsidRPr="00E86AF3">
        <w:t>„d)</w:t>
      </w:r>
      <w:r w:rsidRPr="00E86AF3">
        <w:rPr>
          <w:b/>
          <w:i/>
        </w:rPr>
        <w:tab/>
      </w:r>
      <w:r w:rsidRPr="00E86AF3">
        <w:t xml:space="preserve"> peržiūri atitinkamų Komisijos priimtų techninių reguliavimo ir įgyvendinimo standartų, Institucijos paskelbtų gairių ir rekomendacijų taikymą ir prireikus siūlo pakeitimus</w:t>
      </w:r>
      <w:r w:rsidRPr="00E86AF3">
        <w:rPr>
          <w:b/>
          <w:i/>
        </w:rPr>
        <w:t>, išlaikant galimybes panaudoti duomenis ir jų kokybę, siekiant:</w:t>
      </w:r>
    </w:p>
    <w:p w:rsidR="005B2EB9" w:rsidRPr="00E86AF3" w:rsidRDefault="005B2EB9" w:rsidP="005B2EB9">
      <w:pPr>
        <w:widowControl/>
        <w:spacing w:before="120" w:after="120"/>
        <w:ind w:left="720"/>
        <w:jc w:val="both"/>
        <w:rPr>
          <w:rFonts w:eastAsia="Calibri"/>
          <w:b/>
          <w:i/>
          <w:szCs w:val="22"/>
        </w:rPr>
      </w:pPr>
      <w:r w:rsidRPr="00E86AF3">
        <w:rPr>
          <w:b/>
          <w:i/>
        </w:rPr>
        <w:t xml:space="preserve">– </w:t>
      </w:r>
      <w:r w:rsidRPr="00E86AF3">
        <w:t xml:space="preserve">panaikinti perteklinius ar nebeaktualius atskaitomybės </w:t>
      </w:r>
      <w:r w:rsidRPr="00E86AF3">
        <w:rPr>
          <w:b/>
          <w:i/>
        </w:rPr>
        <w:t>ir informacijos atskleidimo</w:t>
      </w:r>
      <w:r w:rsidRPr="00E86AF3">
        <w:t xml:space="preserve"> reikalavimus</w:t>
      </w:r>
      <w:r w:rsidRPr="00E86AF3">
        <w:rPr>
          <w:b/>
          <w:i/>
        </w:rPr>
        <w:t>;</w:t>
      </w:r>
    </w:p>
    <w:p w:rsidR="005B2EB9" w:rsidRPr="00E86AF3" w:rsidRDefault="005B2EB9" w:rsidP="005B2EB9">
      <w:pPr>
        <w:widowControl/>
        <w:spacing w:before="120" w:after="120"/>
        <w:ind w:left="720"/>
        <w:jc w:val="both"/>
        <w:rPr>
          <w:rFonts w:eastAsia="Calibri"/>
          <w:b/>
          <w:i/>
          <w:noProof/>
          <w:szCs w:val="22"/>
        </w:rPr>
      </w:pPr>
      <w:r w:rsidRPr="00E86AF3">
        <w:rPr>
          <w:b/>
          <w:bCs/>
          <w:i/>
          <w:iCs/>
        </w:rPr>
        <w:t>–</w:t>
      </w:r>
      <w:r w:rsidRPr="00E86AF3">
        <w:rPr>
          <w:b/>
          <w:i/>
        </w:rPr>
        <w:t xml:space="preserve"> užtikrinti proporcingus ir standartizuotus atskaitomybės ir informacijos atskleidimo reikalavimus;</w:t>
      </w:r>
    </w:p>
    <w:p w:rsidR="005B2EB9" w:rsidRPr="00E86AF3" w:rsidRDefault="005B2EB9" w:rsidP="005B2EB9">
      <w:pPr>
        <w:widowControl/>
        <w:spacing w:before="120" w:after="120"/>
        <w:ind w:firstLine="720"/>
        <w:jc w:val="both"/>
        <w:rPr>
          <w:rFonts w:eastAsia="Calibri"/>
          <w:b/>
          <w:i/>
          <w:szCs w:val="22"/>
        </w:rPr>
      </w:pPr>
      <w:r w:rsidRPr="00E86AF3">
        <w:rPr>
          <w:b/>
          <w:i/>
        </w:rPr>
        <w:t>–</w:t>
      </w:r>
      <w:r w:rsidRPr="00E86AF3">
        <w:t xml:space="preserve"> kuo labiau sumažinti sąnaudas</w:t>
      </w:r>
      <w:r w:rsidRPr="00E86AF3">
        <w:rPr>
          <w:b/>
          <w:i/>
        </w:rPr>
        <w:t>;</w:t>
      </w:r>
    </w:p>
    <w:p w:rsidR="005B2EB9" w:rsidRPr="00E86AF3" w:rsidRDefault="005B2EB9" w:rsidP="005B2EB9">
      <w:pPr>
        <w:widowControl/>
        <w:spacing w:before="120" w:after="120"/>
        <w:ind w:firstLine="720"/>
        <w:jc w:val="both"/>
        <w:rPr>
          <w:rFonts w:eastAsia="Calibri"/>
          <w:b/>
          <w:i/>
          <w:szCs w:val="22"/>
        </w:rPr>
      </w:pPr>
      <w:r w:rsidRPr="00E86AF3">
        <w:rPr>
          <w:b/>
          <w:bCs/>
          <w:i/>
          <w:iCs/>
        </w:rPr>
        <w:t>–</w:t>
      </w:r>
      <w:r w:rsidRPr="00E86AF3">
        <w:rPr>
          <w:b/>
          <w:i/>
        </w:rPr>
        <w:t xml:space="preserve"> panaikinti reglamentavimo spragas.“;</w:t>
      </w:r>
    </w:p>
    <w:p w:rsidR="005B2EB9" w:rsidRPr="00E86AF3" w:rsidRDefault="005B2EB9" w:rsidP="005B2EB9">
      <w:pPr>
        <w:widowControl/>
        <w:spacing w:before="120" w:after="120"/>
        <w:ind w:left="851" w:hanging="851"/>
        <w:jc w:val="both"/>
        <w:rPr>
          <w:rFonts w:eastAsia="Calibri"/>
          <w:noProof/>
          <w:szCs w:val="22"/>
        </w:rPr>
      </w:pPr>
      <w:r w:rsidRPr="00E86AF3">
        <w:t>2.</w:t>
      </w:r>
      <w:r w:rsidRPr="00E86AF3">
        <w:tab/>
        <w:t>30 straips</w:t>
      </w:r>
      <w:r w:rsidR="00365E66">
        <w:t>nio 3 dalis papildoma e punktu:</w:t>
      </w:r>
    </w:p>
    <w:p w:rsidR="005B2EB9" w:rsidRPr="00E86AF3" w:rsidRDefault="005B2EB9" w:rsidP="005B2EB9">
      <w:pPr>
        <w:widowControl/>
        <w:spacing w:before="120" w:after="120"/>
        <w:ind w:left="851"/>
        <w:jc w:val="both"/>
        <w:rPr>
          <w:rFonts w:eastAsia="Calibri"/>
          <w:noProof/>
          <w:szCs w:val="22"/>
        </w:rPr>
      </w:pPr>
      <w:r w:rsidRPr="00E86AF3">
        <w:t>„e)</w:t>
      </w:r>
      <w:r w:rsidRPr="00E86AF3">
        <w:tab/>
        <w:t xml:space="preserve">nacionalinių atskaitomybės </w:t>
      </w:r>
      <w:r w:rsidRPr="00E86AF3">
        <w:rPr>
          <w:b/>
          <w:i/>
        </w:rPr>
        <w:t>ir informacijos atskleidimo</w:t>
      </w:r>
      <w:r w:rsidRPr="00E86AF3">
        <w:t xml:space="preserve"> reikalavimų veiksmingumas ir tokių reikalavimų konvergencijos su nustatytaisiais Sąjungos teisėje laipsnis</w:t>
      </w:r>
      <w:r w:rsidRPr="00E86AF3">
        <w:rPr>
          <w:b/>
          <w:i/>
        </w:rPr>
        <w:t>, taip pat jų tinkamumas siekiant atitikti juose nustatytus standartus, sykiu atsižvelgiant į nacionalinių finansų jurisdikcijų ypatumus</w:t>
      </w:r>
      <w:r w:rsidR="00365E66">
        <w:t>.“;</w:t>
      </w:r>
    </w:p>
    <w:p w:rsidR="005B2EB9" w:rsidRPr="00E86AF3" w:rsidRDefault="005B2EB9" w:rsidP="005B2EB9">
      <w:pPr>
        <w:widowControl/>
        <w:spacing w:before="120" w:after="120"/>
        <w:ind w:left="850" w:hanging="850"/>
        <w:jc w:val="both"/>
        <w:rPr>
          <w:rFonts w:eastAsia="Calibri"/>
          <w:noProof/>
          <w:szCs w:val="22"/>
        </w:rPr>
      </w:pPr>
      <w:r w:rsidRPr="00E86AF3">
        <w:t>3.</w:t>
      </w:r>
      <w:r w:rsidRPr="00E86AF3">
        <w:tab/>
        <w:t>35 straipsnio 4 dalis pakeičiama taip: </w:t>
      </w:r>
    </w:p>
    <w:p w:rsidR="005B2EB9" w:rsidRPr="00E86AF3" w:rsidRDefault="005B2EB9" w:rsidP="005B2EB9">
      <w:pPr>
        <w:widowControl/>
        <w:spacing w:before="120" w:after="120"/>
        <w:ind w:left="851"/>
        <w:jc w:val="both"/>
        <w:rPr>
          <w:rFonts w:eastAsia="Calibri"/>
          <w:noProof/>
          <w:szCs w:val="22"/>
        </w:rPr>
      </w:pPr>
      <w:r w:rsidRPr="00E86AF3">
        <w:t xml:space="preserve">„4. Prieš pateikdama prašymą dėl informacijos suteikimo pagal šį straipsnį ir siekdama </w:t>
      </w:r>
      <w:r w:rsidRPr="00E86AF3">
        <w:rPr>
          <w:b/>
          <w:i/>
        </w:rPr>
        <w:t>užtikrinti, kad nebūtų</w:t>
      </w:r>
      <w:r w:rsidRPr="00E86AF3">
        <w:t xml:space="preserve"> atskaitomybės </w:t>
      </w:r>
      <w:r w:rsidRPr="00E86AF3">
        <w:rPr>
          <w:b/>
          <w:i/>
        </w:rPr>
        <w:t>ir informacijos atskleidimo</w:t>
      </w:r>
      <w:r w:rsidRPr="00E86AF3">
        <w:t xml:space="preserve"> pareigų dubliavimo, Institucija atsižvelgia į 35a straipsnio </w:t>
      </w:r>
      <w:r w:rsidRPr="00E86AF3">
        <w:rPr>
          <w:b/>
          <w:i/>
        </w:rPr>
        <w:t>1b </w:t>
      </w:r>
      <w:r w:rsidRPr="00E86AF3">
        <w:t>dalyje nurodytų kitų institucijų surinktą informaciją ir į atitinkamus turimus statistinius duomenis, surinktus ir išplatintus pagal Europos statistikos sistemą bei Eur</w:t>
      </w:r>
      <w:r w:rsidR="00365E66">
        <w:t>opos centrinių bankų sistemą.“;</w:t>
      </w:r>
    </w:p>
    <w:p w:rsidR="005B2EB9" w:rsidRPr="00E86AF3" w:rsidRDefault="005B2EB9" w:rsidP="005B2EB9">
      <w:pPr>
        <w:widowControl/>
        <w:spacing w:before="120" w:after="120"/>
        <w:jc w:val="both"/>
        <w:rPr>
          <w:rFonts w:eastAsia="Calibri"/>
          <w:noProof/>
          <w:szCs w:val="22"/>
        </w:rPr>
      </w:pPr>
      <w:r w:rsidRPr="00E86AF3">
        <w:t>4.</w:t>
      </w:r>
      <w:r w:rsidR="00365E66">
        <w:tab/>
        <w:t>įterpiamas šis 35a straipsnis:</w:t>
      </w:r>
    </w:p>
    <w:p w:rsidR="005B2EB9" w:rsidRPr="00E86AF3" w:rsidRDefault="005B2EB9" w:rsidP="005B2EB9">
      <w:pPr>
        <w:widowControl/>
        <w:spacing w:before="120" w:after="120"/>
        <w:rPr>
          <w:rFonts w:eastAsia="Calibri"/>
          <w:noProof/>
          <w:szCs w:val="22"/>
        </w:rPr>
      </w:pPr>
      <w:r w:rsidRPr="00E86AF3">
        <w:t>„35a straipsnis</w:t>
      </w:r>
    </w:p>
    <w:p w:rsidR="005B2EB9" w:rsidRPr="00E86AF3" w:rsidRDefault="005B2EB9" w:rsidP="005B2EB9">
      <w:pPr>
        <w:widowControl/>
        <w:spacing w:before="120" w:after="120"/>
        <w:rPr>
          <w:rFonts w:eastAsia="Calibri"/>
          <w:noProof/>
          <w:szCs w:val="22"/>
        </w:rPr>
      </w:pPr>
      <w:r w:rsidRPr="00E86AF3">
        <w:rPr>
          <w:b/>
        </w:rPr>
        <w:t>Informacijos mainai tarp institucijų ir su kitais subjektais</w:t>
      </w:r>
    </w:p>
    <w:p w:rsidR="005B2EB9" w:rsidRPr="00E86AF3" w:rsidRDefault="005B2EB9" w:rsidP="005B2EB9">
      <w:pPr>
        <w:widowControl/>
        <w:spacing w:before="120" w:after="120"/>
        <w:ind w:left="851" w:hanging="851"/>
        <w:jc w:val="both"/>
        <w:rPr>
          <w:rFonts w:eastAsia="Calibri"/>
          <w:b/>
          <w:i/>
          <w:szCs w:val="22"/>
        </w:rPr>
      </w:pPr>
      <w:r w:rsidRPr="00E86AF3">
        <w:t>1.</w:t>
      </w:r>
      <w:r w:rsidRPr="00E86AF3">
        <w:rPr>
          <w:b/>
          <w:i/>
        </w:rPr>
        <w:tab/>
      </w:r>
      <w:r w:rsidRPr="00E86AF3">
        <w:t>Institucija ir kompetentingos institucijos kiekvienu konkrečiu atveju arba reguliariai dalijasi su kitomis institucijomis informacija, kurią jos gavo iš finansų įstaigų ar kitų kompetentingų institucijų</w:t>
      </w:r>
      <w:r w:rsidRPr="00E86AF3">
        <w:rPr>
          <w:b/>
          <w:i/>
        </w:rPr>
        <w:t xml:space="preserve">, kai prašančioji institucija turi teisę gauti tą informaciją atsižvelgiant į jos misiją, tikslus, užduotis ir įgaliojimus arba pagal atitinkamą Sąjungos teisę. </w:t>
      </w:r>
    </w:p>
    <w:p w:rsidR="005B2EB9" w:rsidRPr="00E86AF3" w:rsidRDefault="005B2EB9" w:rsidP="005B2EB9">
      <w:pPr>
        <w:widowControl/>
        <w:spacing w:before="120" w:after="120"/>
        <w:ind w:left="851"/>
        <w:jc w:val="both"/>
        <w:rPr>
          <w:rFonts w:eastAsia="Calibri"/>
          <w:b/>
          <w:i/>
          <w:szCs w:val="22"/>
        </w:rPr>
      </w:pPr>
      <w:r w:rsidRPr="00E86AF3">
        <w:rPr>
          <w:b/>
          <w:i/>
        </w:rPr>
        <w:t xml:space="preserve">Šios dalies pirmoje pastraipoje nurodytos informacijos dalijimosi tikslais Institucija arba kompetentinga institucija naudoja 35b straipsnyje nurodytą bendrą integruotą ataskaitų teikimo sistemą, kai ji bus sukurta. </w:t>
      </w:r>
    </w:p>
    <w:p w:rsidR="005B2EB9" w:rsidRPr="00E86AF3" w:rsidRDefault="005B2EB9" w:rsidP="005B2EB9">
      <w:pPr>
        <w:widowControl/>
        <w:spacing w:before="120" w:after="120"/>
        <w:ind w:left="851" w:hanging="851"/>
        <w:jc w:val="both"/>
        <w:rPr>
          <w:rFonts w:eastAsia="Calibri"/>
          <w:b/>
          <w:i/>
          <w:noProof/>
          <w:szCs w:val="22"/>
        </w:rPr>
      </w:pPr>
      <w:r w:rsidRPr="00E86AF3">
        <w:rPr>
          <w:b/>
          <w:i/>
        </w:rPr>
        <w:t>1a.</w:t>
      </w:r>
      <w:r w:rsidRPr="00E86AF3">
        <w:rPr>
          <w:b/>
          <w:i/>
        </w:rPr>
        <w:tab/>
        <w:t>Institucija ir kompetentingos institucijos kiekviena prašo kitų institucijų pateikti informaciją, kurios kitu atveju jos prašytų iš finansų įstaigų ar kitų kompetentingų institucijų, jei tenkinamos abi šios sąlygos:</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jos turi teisę gauti tą informaciją atsižvelgiant į jų misiją, tikslus, užduotis ir įgaliojimus arba pagal atitinkamą Sąjungos teisę;</w:t>
      </w:r>
    </w:p>
    <w:p w:rsidR="005B2EB9" w:rsidRPr="00E86AF3" w:rsidRDefault="005B2EB9" w:rsidP="005B2EB9">
      <w:pPr>
        <w:widowControl/>
        <w:spacing w:before="120" w:after="120"/>
        <w:ind w:left="1418" w:hanging="567"/>
        <w:jc w:val="both"/>
        <w:rPr>
          <w:rFonts w:eastAsia="Calibri"/>
          <w:b/>
          <w:i/>
          <w:noProof/>
          <w:szCs w:val="22"/>
        </w:rPr>
      </w:pPr>
      <w:r w:rsidRPr="00E86AF3">
        <w:rPr>
          <w:b/>
          <w:i/>
        </w:rPr>
        <w:lastRenderedPageBreak/>
        <w:t>b)</w:t>
      </w:r>
      <w:r w:rsidRPr="00E86AF3">
        <w:rPr>
          <w:b/>
          <w:i/>
        </w:rPr>
        <w:tab/>
        <w:t>tą informaciją yra gavusi bent viena iš tų kitų institucijų.</w:t>
      </w:r>
    </w:p>
    <w:p w:rsidR="005B2EB9" w:rsidRPr="00E86AF3" w:rsidRDefault="005B2EB9" w:rsidP="005B2EB9">
      <w:pPr>
        <w:widowControl/>
        <w:spacing w:before="120" w:after="120"/>
        <w:ind w:left="851"/>
        <w:jc w:val="both"/>
        <w:rPr>
          <w:rFonts w:eastAsia="Calibri"/>
          <w:b/>
          <w:i/>
          <w:noProof/>
          <w:szCs w:val="22"/>
        </w:rPr>
      </w:pPr>
      <w:r w:rsidRPr="00E86AF3">
        <w:rPr>
          <w:b/>
          <w:i/>
        </w:rPr>
        <w:t>Pirma pastraipa nedaro poveikio Institucijos ir kompetentingų institucijų galimybei gauti prašomą informaciją iš finansų įstaigų ar kitų kompetentingų institucijų, kai dėl veikimo priežasčių kita institucija negali dalytis duomenimis.</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Siekdamos nustatyti, ar įvykdyta pirmos pastraipos b punkte nurodyta sąlyga, Institucija arba kompetentingos institucijos naudoja 35b straipsnyje nurodytą bendrą integruotą ataskaitų teikimo sistemą, kai ji bus sukurta. </w:t>
      </w:r>
    </w:p>
    <w:p w:rsidR="005B2EB9" w:rsidRPr="00E86AF3" w:rsidRDefault="005B2EB9" w:rsidP="005B2EB9">
      <w:pPr>
        <w:widowControl/>
        <w:spacing w:before="120" w:after="120"/>
        <w:ind w:left="851" w:hanging="851"/>
        <w:jc w:val="both"/>
        <w:rPr>
          <w:rFonts w:eastAsia="Calibri"/>
          <w:b/>
          <w:i/>
          <w:noProof/>
          <w:szCs w:val="22"/>
        </w:rPr>
      </w:pPr>
      <w:r w:rsidRPr="00E86AF3">
        <w:rPr>
          <w:b/>
          <w:i/>
        </w:rPr>
        <w:t>1b.</w:t>
      </w:r>
      <w:r w:rsidRPr="00E86AF3">
        <w:rPr>
          <w:b/>
          <w:i/>
        </w:rPr>
        <w:tab/>
        <w:t>Šiame straipsnyje, 35b straipsnyje ir 70 straipsnio 3 dalyje „kitos institucijos“ – tai bet kuri iš šių institucijų:</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kitos Europos priežiūros institucijos;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ESRV;</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kompetentingos institucijos, kaip apibrėžta šio Reglamento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kompetentingos institucijos, kaip apibrėžta Reglamento (ES) Nr. 1094/2010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e)</w:t>
      </w:r>
      <w:r w:rsidRPr="00E86AF3">
        <w:rPr>
          <w:b/>
          <w:i/>
        </w:rPr>
        <w:tab/>
        <w:t>kompetentingos institucijos, kaip apibrėžta Reglamento (ES) Nr. 1095/2010 4 straipsnio 3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f)</w:t>
      </w:r>
      <w:r w:rsidRPr="00E86AF3">
        <w:rPr>
          <w:b/>
          <w:i/>
        </w:rPr>
        <w:tab/>
        <w:t>AMLA, įsteigta Europos Parlamento ir Tarybos reglamentu (ES) .../...</w:t>
      </w:r>
      <w:r w:rsidR="00BA57EE">
        <w:rPr>
          <w:rStyle w:val="FootnoteReference"/>
          <w:b/>
          <w:i/>
        </w:rPr>
        <w:footnoteReference w:customMarkFollows="1" w:id="17"/>
        <w:t>+</w:t>
      </w:r>
      <w:r w:rsidRPr="00E86AF3">
        <w:rPr>
          <w:b/>
          <w:i/>
        </w:rPr>
        <w:t>;</w:t>
      </w:r>
    </w:p>
    <w:p w:rsidR="005B2EB9" w:rsidRPr="00E86AF3" w:rsidRDefault="005B2EB9" w:rsidP="005B2EB9">
      <w:pPr>
        <w:widowControl/>
        <w:spacing w:before="120" w:after="120"/>
        <w:ind w:left="1418" w:hanging="567"/>
        <w:jc w:val="both"/>
        <w:rPr>
          <w:rFonts w:eastAsia="Calibri"/>
          <w:b/>
          <w:i/>
          <w:noProof/>
          <w:szCs w:val="22"/>
        </w:rPr>
      </w:pPr>
      <w:r w:rsidRPr="00E86AF3">
        <w:rPr>
          <w:b/>
          <w:i/>
        </w:rPr>
        <w:t>g)</w:t>
      </w:r>
      <w:r w:rsidRPr="00E86AF3">
        <w:rPr>
          <w:b/>
          <w:i/>
        </w:rPr>
        <w:tab/>
        <w:t>institucijos, kaip apibrėžta Europos Parlamento ir Tarybos direktyvos (ES) .../...</w:t>
      </w:r>
      <w:r w:rsidR="00BA57EE">
        <w:rPr>
          <w:rStyle w:val="FootnoteReference"/>
          <w:b/>
          <w:i/>
        </w:rPr>
        <w:footnoteReference w:customMarkFollows="1" w:id="18"/>
        <w:t>++</w:t>
      </w:r>
      <w:r w:rsidRPr="00E86AF3">
        <w:rPr>
          <w:b/>
          <w:i/>
        </w:rPr>
        <w:t xml:space="preserve"> 2 straipsnio 1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h)</w:t>
      </w:r>
      <w:r w:rsidRPr="00E86AF3">
        <w:rPr>
          <w:b/>
          <w:i/>
        </w:rPr>
        <w:tab/>
        <w:t>BPM, kaip apibrėžta Reglamento (ES) Nr. 1024/2013 2 straipsnio 9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i)</w:t>
      </w:r>
      <w:r w:rsidRPr="00E86AF3">
        <w:rPr>
          <w:b/>
          <w:i/>
        </w:rPr>
        <w:tab/>
        <w:t>BPV;</w:t>
      </w:r>
    </w:p>
    <w:p w:rsidR="005B2EB9" w:rsidRPr="00E86AF3" w:rsidRDefault="005B2EB9" w:rsidP="005B2EB9">
      <w:pPr>
        <w:widowControl/>
        <w:spacing w:before="120" w:after="120"/>
        <w:ind w:left="1418" w:hanging="567"/>
        <w:jc w:val="both"/>
        <w:rPr>
          <w:rFonts w:eastAsia="Calibri"/>
          <w:b/>
          <w:i/>
          <w:noProof/>
          <w:szCs w:val="22"/>
        </w:rPr>
      </w:pPr>
      <w:r w:rsidRPr="00E86AF3">
        <w:rPr>
          <w:b/>
          <w:i/>
        </w:rPr>
        <w:t>j)</w:t>
      </w:r>
      <w:r w:rsidRPr="00E86AF3">
        <w:rPr>
          <w:b/>
          <w:i/>
        </w:rPr>
        <w:tab/>
        <w:t>nacionalinės pertvarkymo institucijos, kaip apibrėžta Reglamento (ES) Nr. 806/2014 3 straipsnio 3 punkte.</w:t>
      </w:r>
    </w:p>
    <w:p w:rsidR="005B2EB9" w:rsidRPr="00E86AF3" w:rsidRDefault="005B2EB9" w:rsidP="005B2EB9">
      <w:pPr>
        <w:widowControl/>
        <w:spacing w:before="120" w:after="120"/>
        <w:ind w:left="851"/>
        <w:jc w:val="both"/>
        <w:rPr>
          <w:rFonts w:eastAsia="Calibri"/>
          <w:b/>
          <w:i/>
          <w:noProof/>
          <w:szCs w:val="22"/>
        </w:rPr>
      </w:pPr>
      <w:r w:rsidRPr="00E86AF3">
        <w:rPr>
          <w:b/>
          <w:i/>
        </w:rPr>
        <w:t>Šiame straipsnyje finansų įstaiga – finansų įstaiga, kaip apibrėžta Reglamento (ES) Nr. 1092/2010 2 straipsnio a punkte.</w:t>
      </w:r>
    </w:p>
    <w:p w:rsidR="005B2EB9" w:rsidRPr="00E86AF3" w:rsidRDefault="005B2EB9" w:rsidP="005B2EB9">
      <w:pPr>
        <w:widowControl/>
        <w:spacing w:before="120" w:after="120"/>
        <w:ind w:left="851" w:hanging="851"/>
        <w:jc w:val="both"/>
        <w:rPr>
          <w:rFonts w:eastAsia="Calibri"/>
          <w:noProof/>
          <w:szCs w:val="22"/>
        </w:rPr>
      </w:pPr>
      <w:r w:rsidRPr="00E86AF3">
        <w:t>2.</w:t>
      </w:r>
      <w:r w:rsidRPr="00E86AF3">
        <w:rPr>
          <w:b/>
          <w:i/>
        </w:rPr>
        <w:tab/>
      </w:r>
      <w:r w:rsidRPr="00E86AF3">
        <w:t>Prašyme keistis informacija tinkamai nurodomas teisinis pagrindas pagal Sąjungos teisę, suteikiantis teisę prašančiajai institucijai gauti informaciją iš finansų įstaigų ar kitų kompetentingų institucijų. Prašančioji institucija ir teikiančioji institucija laikosi pareigų saugoti profesinę paslaptį ir duomenų apsaugos nuostatų, nustatytų 70 ir 71 straipsniuose ir sektorių teisės aktuose, taikytinuose finansų įstaigos ir prašančiosios institucijos duomenų dalijimuisi, taip pat finansų įstaigos ir teikiančiosios institucijos duomenų dalijimuisi. Teikiančioji institucija nepagrįstai nedelsdama informuoja kiekvieną atitinkamą finansų įstaigą ▌apie tokį keitimąsi informacija</w:t>
      </w:r>
      <w:r w:rsidRPr="00E86AF3">
        <w:rPr>
          <w:b/>
          <w:i/>
        </w:rPr>
        <w:t xml:space="preserve">, jei informacija nebuvo anonimizuota, pakeista, apibendrinta ar tvarkoma bet kuriuo kitu </w:t>
      </w:r>
      <w:r w:rsidRPr="00E86AF3">
        <w:rPr>
          <w:b/>
          <w:i/>
        </w:rPr>
        <w:lastRenderedPageBreak/>
        <w:t>informacijos atskleidimo kontrolės būdu, siekiant apsaugoti konfidencialią informaciją.</w:t>
      </w:r>
      <w:r w:rsidRPr="00E86AF3">
        <w:t xml:space="preserve"> </w:t>
      </w:r>
    </w:p>
    <w:p w:rsidR="005B2EB9" w:rsidRPr="00E86AF3" w:rsidRDefault="005B2EB9" w:rsidP="005B2EB9">
      <w:pPr>
        <w:widowControl/>
        <w:spacing w:before="120" w:after="120"/>
        <w:ind w:left="851" w:hanging="851"/>
        <w:jc w:val="both"/>
        <w:rPr>
          <w:rFonts w:eastAsia="Calibri"/>
          <w:noProof/>
          <w:szCs w:val="22"/>
        </w:rPr>
      </w:pPr>
      <w:r w:rsidRPr="00E86AF3">
        <w:t>3.</w:t>
      </w:r>
      <w:r w:rsidRPr="00E86AF3">
        <w:rPr>
          <w:b/>
          <w:i/>
        </w:rPr>
        <w:tab/>
      </w:r>
      <w:r w:rsidRPr="00E86AF3">
        <w:t>1</w:t>
      </w:r>
      <w:r w:rsidRPr="00E86AF3">
        <w:rPr>
          <w:b/>
          <w:i/>
        </w:rPr>
        <w:t>, 1a</w:t>
      </w:r>
      <w:r w:rsidRPr="00E86AF3">
        <w:t xml:space="preserve"> ir 2 dalys taip pat taikomos informacijai, kurią teikiančioji institucija yra gavusi iš finansų įstaigos ar </w:t>
      </w:r>
      <w:r w:rsidRPr="00E86AF3">
        <w:rPr>
          <w:b/>
          <w:i/>
        </w:rPr>
        <w:t>kitų institucijų</w:t>
      </w:r>
      <w:r w:rsidRPr="00E86AF3">
        <w:t xml:space="preserve"> ir kurios kokybės patikrą teikiančioji institucija yra vėliau atlikusi ar kurią ji yra kitaip tvarkiusi. </w:t>
      </w:r>
    </w:p>
    <w:p w:rsidR="005B2EB9" w:rsidRPr="00E86AF3" w:rsidRDefault="005B2EB9" w:rsidP="005B2EB9">
      <w:pPr>
        <w:widowControl/>
        <w:spacing w:before="120" w:after="120"/>
        <w:ind w:left="851" w:hanging="851"/>
        <w:jc w:val="both"/>
        <w:rPr>
          <w:rFonts w:eastAsia="Calibri"/>
          <w:noProof/>
          <w:szCs w:val="22"/>
        </w:rPr>
      </w:pPr>
      <w:r w:rsidRPr="00E86AF3">
        <w:t>4.</w:t>
      </w:r>
      <w:r w:rsidRPr="00E86AF3">
        <w:rPr>
          <w:b/>
          <w:i/>
        </w:rPr>
        <w:tab/>
      </w:r>
      <w:r w:rsidRPr="00E86AF3">
        <w:t>Siekdamos dalytis informacija, kaip nurodyta 1</w:t>
      </w:r>
      <w:r w:rsidRPr="00E86AF3">
        <w:rPr>
          <w:b/>
          <w:i/>
        </w:rPr>
        <w:t>, 1a,</w:t>
      </w:r>
      <w:r w:rsidRPr="00E86AF3">
        <w:t xml:space="preserve"> 2 ir 3 dalyse, </w:t>
      </w:r>
      <w:r w:rsidRPr="00E86AF3">
        <w:rPr>
          <w:b/>
          <w:i/>
        </w:rPr>
        <w:t>Institucija ir kitos</w:t>
      </w:r>
      <w:r w:rsidRPr="00E86AF3">
        <w:t xml:space="preserve"> institucijos </w:t>
      </w:r>
      <w:r w:rsidRPr="00E86AF3">
        <w:rPr>
          <w:b/>
          <w:i/>
        </w:rPr>
        <w:t>sudaro</w:t>
      </w:r>
      <w:r w:rsidRPr="00E86AF3">
        <w:t xml:space="preserve"> susitarimo memorandumus ir juose nustato informacijos mainų sąlygas. Jos taip pat </w:t>
      </w:r>
      <w:r w:rsidRPr="00E86AF3">
        <w:rPr>
          <w:b/>
          <w:i/>
        </w:rPr>
        <w:t>nustato</w:t>
      </w:r>
      <w:r w:rsidRPr="00E86AF3">
        <w:t xml:space="preserve"> išteklių, reikalingų tokiems duomenims, kuriais dalijamasi, rinkti ir tvarkyti, dalijimosi tvarką. </w:t>
      </w:r>
      <w:r w:rsidRPr="00E86AF3">
        <w:rPr>
          <w:b/>
          <w:i/>
        </w:rPr>
        <w:t>Visoms susijusioms institucijoms sutarus, susitarimo memorandumai turi būti paprasto ir standartizuoto formato, kuris, prireikus, pritaikomas pagal specialias veikimo sąlygas, kurios gali būti taikomos konkrečioms institucijoms.</w:t>
      </w:r>
    </w:p>
    <w:p w:rsidR="005B2EB9" w:rsidRPr="00E86AF3" w:rsidRDefault="005B2EB9" w:rsidP="005B2EB9">
      <w:pPr>
        <w:widowControl/>
        <w:spacing w:before="120" w:after="120"/>
        <w:ind w:left="851" w:hanging="851"/>
        <w:jc w:val="both"/>
      </w:pPr>
      <w:r w:rsidRPr="00E86AF3">
        <w:t>5.</w:t>
      </w:r>
      <w:r w:rsidRPr="00E86AF3">
        <w:rPr>
          <w:b/>
          <w:i/>
        </w:rPr>
        <w:tab/>
      </w:r>
      <w:r w:rsidRPr="00E86AF3">
        <w:t xml:space="preserve">1–4 dalys nedaro poveikio intelektinės nuosavybės teisių apsaugai ir netrukdo </w:t>
      </w:r>
      <w:r w:rsidRPr="00E86AF3">
        <w:rPr>
          <w:b/>
          <w:i/>
        </w:rPr>
        <w:t>Institucijai ir kitoms</w:t>
      </w:r>
      <w:r w:rsidRPr="00E86AF3">
        <w:t xml:space="preserve"> institucijoms keistis informacija pagal kitų Sąjungos teisės aktų nuostatas ir to keitimosi neriboja. Jei šio straipsnio nuostatos prieštarauja kitų Sąjungos teisės aktų nuostatoms, kuriomis reglamentuojami </w:t>
      </w:r>
      <w:r w:rsidRPr="00E86AF3">
        <w:rPr>
          <w:b/>
          <w:i/>
        </w:rPr>
        <w:t>kitų</w:t>
      </w:r>
      <w:r w:rsidRPr="00E86AF3">
        <w:t xml:space="preserve"> institucijų informacijos mainai, viršenybę turi tų kitų Sąjungos teisės aktų nuostatos. </w:t>
      </w:r>
    </w:p>
    <w:p w:rsidR="005B2EB9" w:rsidRPr="00E86AF3" w:rsidRDefault="005B2EB9" w:rsidP="005B2EB9">
      <w:pPr>
        <w:widowControl/>
        <w:spacing w:before="120" w:after="120"/>
        <w:ind w:left="851" w:hanging="851"/>
        <w:jc w:val="both"/>
        <w:rPr>
          <w:rFonts w:eastAsia="Calibri"/>
          <w:noProof/>
          <w:szCs w:val="22"/>
        </w:rPr>
      </w:pPr>
      <w:r w:rsidRPr="00E86AF3">
        <w:t>6.</w:t>
      </w:r>
      <w:r w:rsidRPr="00E86AF3">
        <w:rPr>
          <w:b/>
          <w:i/>
        </w:rPr>
        <w:tab/>
      </w:r>
      <w:r w:rsidRPr="00E86AF3">
        <w:t xml:space="preserve">Nedarant poveikio kitoms Sąjungos teisėje nustatytoms pareigoms dėl dalijimosi informacija, Institucija ir kompetentingos institucijos, gavusios pagrįstą prašymą, </w:t>
      </w:r>
      <w:r w:rsidRPr="00E86AF3">
        <w:rPr>
          <w:b/>
          <w:i/>
        </w:rPr>
        <w:t>gali</w:t>
      </w:r>
      <w:r w:rsidRPr="00E86AF3">
        <w:t xml:space="preserve"> kiekvienu konkrečiu atveju dalytis su Komisija ▌informacija, kurią finansų įstaigos joms pateikė vykdydamos savo pareigas pagal Sąjungos teisę▌, tokia forma, kuri neleidžia identifikuoti atskirų subjektų ir neapima asmens duomenų.</w:t>
      </w:r>
    </w:p>
    <w:p w:rsidR="005B2EB9" w:rsidRPr="00E86AF3" w:rsidRDefault="005B2EB9" w:rsidP="005B2EB9">
      <w:pPr>
        <w:widowControl/>
        <w:spacing w:before="120" w:after="120"/>
        <w:ind w:left="851" w:hanging="851"/>
        <w:jc w:val="both"/>
        <w:rPr>
          <w:rFonts w:eastAsia="Calibri"/>
          <w:noProof/>
          <w:szCs w:val="22"/>
        </w:rPr>
      </w:pPr>
      <w:r w:rsidRPr="00E86AF3">
        <w:t>7.</w:t>
      </w:r>
      <w:r w:rsidRPr="00E86AF3">
        <w:tab/>
        <w:t xml:space="preserve">Institucija ir kompetentingos institucijos gali leisti pakartotinai naudoti informaciją, kurią jos yra gavusios vykdydamos savo pareigas, finansų įstaigoms, mokslininkams ir kitiems subjektams, turintiems teisėtą interesą naudoti tokią informaciją mokslinių tyrimų ir inovacijų tikslais, jeigu Institucija užtikrino, kad įvykdytos visos šios sąlygos: </w:t>
      </w:r>
    </w:p>
    <w:p w:rsidR="005B2EB9" w:rsidRPr="00E86AF3" w:rsidRDefault="005B2EB9" w:rsidP="005B2EB9">
      <w:pPr>
        <w:widowControl/>
        <w:spacing w:before="120" w:after="120"/>
        <w:ind w:left="851"/>
        <w:jc w:val="both"/>
        <w:rPr>
          <w:rFonts w:eastAsia="Calibri"/>
          <w:noProof/>
          <w:szCs w:val="22"/>
        </w:rPr>
      </w:pPr>
      <w:r w:rsidRPr="00E86AF3">
        <w:t>a)</w:t>
      </w:r>
      <w:r w:rsidRPr="00E86AF3">
        <w:rPr>
          <w:b/>
          <w:i/>
        </w:rPr>
        <w:tab/>
      </w:r>
      <w:r w:rsidRPr="00E86AF3">
        <w:t>informacija yra anonimizuota taip, kad identifikuoti duomenų subjekto ar finansų įstaigos neįmanoma ar nebeįmanoma;</w:t>
      </w:r>
    </w:p>
    <w:p w:rsidR="005B2EB9" w:rsidRPr="00E86AF3" w:rsidRDefault="005B2EB9" w:rsidP="005B2EB9">
      <w:pPr>
        <w:widowControl/>
        <w:spacing w:before="120" w:after="120"/>
        <w:ind w:left="851"/>
        <w:jc w:val="both"/>
        <w:rPr>
          <w:rFonts w:eastAsia="Calibri"/>
          <w:noProof/>
          <w:szCs w:val="22"/>
        </w:rPr>
      </w:pPr>
      <w:r w:rsidRPr="00E86AF3">
        <w:t>b)</w:t>
      </w:r>
      <w:r w:rsidRPr="00E86AF3">
        <w:rPr>
          <w:b/>
          <w:i/>
        </w:rPr>
        <w:tab/>
      </w:r>
      <w:r w:rsidRPr="00E86AF3">
        <w:t xml:space="preserve">siekiant apsaugoti konfidencialią informaciją, įskaitant komercines paslaptis ar turinį, apsaugotą intelektinės nuosavybės teisėmis, informacija buvo pakeista, agreguota ar apdorota bet kuriuo kitu duomenų atskleidimo kontrolės metodu. </w:t>
      </w:r>
    </w:p>
    <w:p w:rsidR="005B2EB9" w:rsidRPr="00E86AF3" w:rsidRDefault="005B2EB9" w:rsidP="005B2EB9">
      <w:pPr>
        <w:widowControl/>
        <w:spacing w:before="120" w:after="120"/>
        <w:ind w:left="851"/>
        <w:jc w:val="both"/>
        <w:rPr>
          <w:noProof/>
          <w:szCs w:val="22"/>
        </w:rPr>
      </w:pPr>
      <w:r w:rsidRPr="00E86AF3">
        <w:t>Informacija, gauta iš kitos institucijos,</w:t>
      </w:r>
      <w:r w:rsidRPr="00E86AF3">
        <w:rPr>
          <w:b/>
          <w:i/>
        </w:rPr>
        <w:t xml:space="preserve"> šiuo pagrindu</w:t>
      </w:r>
      <w:r w:rsidRPr="00E86AF3">
        <w:t xml:space="preserve"> dalijamasi tik susitarus su institucija, kuri pirmoji gavo tą informaciją.</w:t>
      </w:r>
    </w:p>
    <w:p w:rsidR="005B2EB9" w:rsidRPr="00E86AF3" w:rsidRDefault="005B2EB9" w:rsidP="005B2EB9">
      <w:pPr>
        <w:widowControl/>
        <w:spacing w:before="120" w:after="120"/>
        <w:ind w:left="851" w:hanging="851"/>
        <w:jc w:val="both"/>
        <w:rPr>
          <w:rFonts w:eastAsia="Calibri"/>
          <w:b/>
          <w:i/>
          <w:noProof/>
          <w:szCs w:val="22"/>
        </w:rPr>
      </w:pPr>
      <w:r w:rsidRPr="00E86AF3">
        <w:rPr>
          <w:b/>
          <w:i/>
        </w:rPr>
        <w:t>7a.</w:t>
      </w:r>
      <w:r w:rsidRPr="00E86AF3">
        <w:rPr>
          <w:b/>
          <w:i/>
        </w:rPr>
        <w:tab/>
        <w:t>Ne vėliau kaip ... [vieni metai nuo šio iš dalies keičiančio reglamento įsigaliojimo dienos] Institucija ir kompetentingos institucijos praneša Komisijai apie sektorių teisės aktuose iškilusias teisines kliūtis, kurios kokiu nors būdu trukdo joms keistis informacija su kitomis institucijomis ar kitais subjektais. Ataskaitoje taip pat gali būti nagrinėjami nereikšmingi, nebeaktualūs, besidubliuojantys ar kitu požiūriu nereikalingi atskaitomybės reikalavimai ir pateikti pasiūlymai, kaip užtikrinti finansų ir ne finansų bendrovių atskaitomybės reikalavimų nuoseklumą.</w:t>
      </w:r>
    </w:p>
    <w:p w:rsidR="005B2EB9" w:rsidRPr="00E86AF3" w:rsidRDefault="005B2EB9" w:rsidP="005B2EB9">
      <w:pPr>
        <w:widowControl/>
        <w:spacing w:before="120" w:after="120"/>
        <w:ind w:left="851"/>
        <w:jc w:val="both"/>
        <w:rPr>
          <w:rFonts w:eastAsia="Calibri"/>
          <w:noProof/>
          <w:szCs w:val="22"/>
        </w:rPr>
      </w:pPr>
      <w:r w:rsidRPr="00E86AF3">
        <w:rPr>
          <w:b/>
          <w:i/>
        </w:rPr>
        <w:t xml:space="preserve">Remdamasi ta ataskaita ir deramai atsižvelgdama į intelektinės nuosavybės teisių apsaugą, pareigą saugoti profesinę paslaptį ir užtikrinti duomenų apsaugą, Komisija, kai tikslinga, ne vėliau kaip ... [2 metai nuo šio iš dalies keičiančio reglamento įsigaliojimo dienos] Europos Parlamentui ir Tarybai pateikia pasiūlymą dėl teisėkūros procedūra priimamo akto, kuriuo siekiama pašalinti tokias teisines </w:t>
      </w:r>
      <w:r w:rsidRPr="00E86AF3">
        <w:rPr>
          <w:b/>
          <w:i/>
        </w:rPr>
        <w:lastRenderedPageBreak/>
        <w:t>kliūtis sektorių teisės aktuose, kad būtų skatinamas keitimasis informacija tarp institucijų ir su kitais subjektais.</w:t>
      </w:r>
      <w:r w:rsidR="00365E66">
        <w:t>“;</w:t>
      </w:r>
    </w:p>
    <w:p w:rsidR="005B2EB9" w:rsidRPr="00E86AF3" w:rsidRDefault="005B2EB9" w:rsidP="00365E66">
      <w:pPr>
        <w:widowControl/>
        <w:spacing w:before="120" w:after="120"/>
        <w:ind w:left="850" w:hanging="850"/>
        <w:jc w:val="both"/>
        <w:rPr>
          <w:rFonts w:eastAsia="Calibri"/>
          <w:b/>
          <w:i/>
          <w:szCs w:val="22"/>
        </w:rPr>
      </w:pPr>
      <w:r w:rsidRPr="00E86AF3">
        <w:rPr>
          <w:b/>
          <w:i/>
        </w:rPr>
        <w:t>4a.</w:t>
      </w:r>
      <w:r w:rsidRPr="00E86AF3">
        <w:rPr>
          <w:b/>
          <w:i/>
        </w:rPr>
        <w:tab/>
        <w:t>įterpiamas šis straipsnis:</w:t>
      </w:r>
    </w:p>
    <w:p w:rsidR="005B2EB9" w:rsidRPr="00E86AF3" w:rsidRDefault="005B2EB9" w:rsidP="005B2EB9">
      <w:pPr>
        <w:widowControl/>
        <w:spacing w:before="120" w:after="120"/>
        <w:ind w:left="851"/>
        <w:rPr>
          <w:rFonts w:eastAsia="Calibri"/>
          <w:b/>
          <w:i/>
          <w:noProof/>
          <w:szCs w:val="22"/>
        </w:rPr>
      </w:pPr>
      <w:r w:rsidRPr="00E86AF3">
        <w:rPr>
          <w:b/>
          <w:i/>
        </w:rPr>
        <w:t>„35b straipsnis</w:t>
      </w:r>
    </w:p>
    <w:p w:rsidR="005B2EB9" w:rsidRPr="00E86AF3" w:rsidRDefault="005B2EB9" w:rsidP="005B2EB9">
      <w:pPr>
        <w:widowControl/>
        <w:spacing w:before="120" w:after="120"/>
        <w:ind w:left="851"/>
        <w:rPr>
          <w:rFonts w:eastAsia="Calibri"/>
          <w:b/>
          <w:i/>
          <w:noProof/>
          <w:szCs w:val="22"/>
        </w:rPr>
      </w:pPr>
      <w:r w:rsidRPr="00E86AF3">
        <w:rPr>
          <w:b/>
          <w:i/>
        </w:rPr>
        <w:t>Bendros integruotos ataskaitų teikimo sistemos sukūrimas</w:t>
      </w:r>
    </w:p>
    <w:p w:rsidR="005B2EB9" w:rsidRPr="00E86AF3" w:rsidRDefault="005B2EB9" w:rsidP="005B2EB9">
      <w:pPr>
        <w:widowControl/>
        <w:spacing w:before="120" w:after="120"/>
        <w:ind w:left="851"/>
        <w:jc w:val="both"/>
        <w:rPr>
          <w:rFonts w:eastAsia="Calibri"/>
          <w:b/>
          <w:i/>
          <w:noProof/>
          <w:szCs w:val="22"/>
        </w:rPr>
      </w:pPr>
      <w:r w:rsidRPr="00E86AF3">
        <w:rPr>
          <w:b/>
          <w:i/>
        </w:rPr>
        <w:t>1.</w:t>
      </w:r>
      <w:r w:rsidRPr="00E86AF3">
        <w:rPr>
          <w:b/>
          <w:i/>
        </w:rPr>
        <w:tab/>
        <w:t>Ne vėliau kaip ... [2 metai nuo šio iš dalies keičiančio reglamento įsigaliojimo dienos] Institucija, glaudžiai bendradarbiaudama su kitomis institucijomis ir ECBS, parengia ataskaitą dėl bendros integruotos ataskaitų teikimo sistemos sukūrimo techninės informacijos, taip pat veiksmų gaires, grindžiamas EPI ataskaitų integravimo jų sektoriuose darbu, ir įtraukia sąnaudų ir naudos vertinimą. Tos ataskaitos tikslais bendra integruota ataskaitų teikimo sistema apima:</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bendrą duomenų žodyną, kad būtų užtikrintas atskaitomybės reikalavimų nuoseklumas ir aiškumas bei duomenų standartizavimas;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bendrą atskaitomybės ir informacijos atskleidimo reikalavimų, surinktų duomenų ir juos turinčių institucijų aprašymų saugyklą;</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centrinę duomenų erdvę, įskaitant techninį projektą, skirtą informacijai rinkti ir ja keistis, ir</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nuolatinį vieną bendrą kontaktinį punktą subjektams, kad jie galėtų nurodyti dvigubo ataskaitų teikimo, perteklinių ar nebeaktualių ataskaitų arba informacijos atskleidimo reikalavimų atvejus.</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Glaudžiai bendradarbiaujant su Komisija, prie ataskaitos pridedamas bendro finansinio poveikio įvertinimas. </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Kai tikslinga, ne vėliau kaip ... [3 metai nuo šio iš dalies keičiančio reglamento įsigaliojimo dienos] Komisija pateikia Europos Parlamentui ir Tarybai pasiūlymą dėl teisėkūros procedūra priimamo akto, kuriuo siekiama užtikrinti bendros integruotos ataskaitų teikimo sistemos kūrimui reikalingus finansinius, žmogiškuosius ir IT išteklius. </w:t>
      </w:r>
    </w:p>
    <w:p w:rsidR="005B2EB9" w:rsidRPr="00E86AF3" w:rsidRDefault="005B2EB9" w:rsidP="005B2EB9">
      <w:pPr>
        <w:widowControl/>
        <w:spacing w:before="120" w:after="120"/>
        <w:ind w:left="851"/>
        <w:jc w:val="both"/>
        <w:rPr>
          <w:rFonts w:eastAsia="Calibri"/>
          <w:b/>
          <w:i/>
          <w:noProof/>
          <w:szCs w:val="22"/>
        </w:rPr>
      </w:pPr>
      <w:r w:rsidRPr="00E86AF3">
        <w:rPr>
          <w:b/>
          <w:i/>
        </w:rPr>
        <w:t>Ne vėliau kaip ... [3 metai nuo šio iš dalies keičiančio reglamento įsigaliojimo dienos] Institucija drauge su kitomis institucijomis sukuria bendrą integruotą ataskaitų teikimo sistemą.“;</w:t>
      </w:r>
    </w:p>
    <w:p w:rsidR="005B2EB9" w:rsidRPr="00E86AF3" w:rsidRDefault="005B2EB9" w:rsidP="00365E66">
      <w:pPr>
        <w:widowControl/>
        <w:tabs>
          <w:tab w:val="left" w:pos="851"/>
        </w:tabs>
        <w:spacing w:before="120" w:after="120"/>
        <w:ind w:left="851" w:hanging="851"/>
        <w:jc w:val="both"/>
        <w:rPr>
          <w:rFonts w:eastAsia="Calibri"/>
          <w:b/>
          <w:i/>
          <w:szCs w:val="22"/>
        </w:rPr>
      </w:pPr>
      <w:r w:rsidRPr="00E86AF3">
        <w:rPr>
          <w:b/>
          <w:i/>
        </w:rPr>
        <w:t>4b.</w:t>
      </w:r>
      <w:r w:rsidRPr="00E86AF3">
        <w:rPr>
          <w:b/>
          <w:i/>
        </w:rPr>
        <w:tab/>
        <w:t>36 straipsnio 2 dalis pakeičiama taip:</w:t>
      </w:r>
    </w:p>
    <w:p w:rsidR="005B2EB9" w:rsidRPr="00E86AF3" w:rsidRDefault="005B2EB9" w:rsidP="005B2EB9">
      <w:pPr>
        <w:widowControl/>
        <w:spacing w:before="120" w:after="120"/>
        <w:ind w:left="851"/>
        <w:jc w:val="both"/>
        <w:rPr>
          <w:rFonts w:eastAsia="Calibri"/>
          <w:b/>
          <w:i/>
          <w:noProof/>
          <w:szCs w:val="22"/>
        </w:rPr>
      </w:pPr>
      <w:r w:rsidRPr="00E86AF3">
        <w:t xml:space="preserve">„2. </w:t>
      </w:r>
      <w:r w:rsidRPr="00E86AF3">
        <w:rPr>
          <w:b/>
          <w:i/>
        </w:rPr>
        <w:tab/>
        <w:t>Institucija drauge su Europos centrinių bankų sistema (ECBS), Komisija, nacionalinėmis kompetentingomis institucijomis ir nacionalinėmis statistikos institucijomis glaudžiai bendradarbiauja su ESRV – dalijasi informacija ir analize, reikalinga jų užduotims atlikti.</w:t>
      </w:r>
    </w:p>
    <w:p w:rsidR="005B2EB9" w:rsidRPr="00E86AF3" w:rsidRDefault="005B2EB9" w:rsidP="005B2EB9">
      <w:pPr>
        <w:widowControl/>
        <w:spacing w:before="120" w:after="120"/>
        <w:ind w:left="851"/>
        <w:jc w:val="both"/>
        <w:rPr>
          <w:rFonts w:eastAsia="Calibri"/>
          <w:b/>
          <w:i/>
          <w:noProof/>
          <w:szCs w:val="22"/>
        </w:rPr>
      </w:pPr>
      <w:r w:rsidRPr="00E86AF3">
        <w:rPr>
          <w:b/>
          <w:i/>
        </w:rPr>
        <w:t>Institucija drauge su ESRV ir ECB koordinuoja savo pastangas, kad nustatytų sisteminę riziką finansiniam stabilumui, ją stebėtų, užkirstų jai kelią ir ją sumažintų.</w:t>
      </w:r>
    </w:p>
    <w:p w:rsidR="005B2EB9" w:rsidRPr="00E86AF3" w:rsidRDefault="005B2EB9" w:rsidP="005B2EB9">
      <w:pPr>
        <w:widowControl/>
        <w:tabs>
          <w:tab w:val="left" w:pos="709"/>
        </w:tabs>
        <w:spacing w:before="120" w:after="120"/>
        <w:ind w:left="851"/>
        <w:jc w:val="both"/>
        <w:rPr>
          <w:rFonts w:eastAsia="Calibri"/>
          <w:b/>
          <w:i/>
          <w:noProof/>
          <w:szCs w:val="22"/>
        </w:rPr>
      </w:pPr>
      <w:r w:rsidRPr="00E86AF3">
        <w:rPr>
          <w:b/>
          <w:i/>
        </w:rPr>
        <w:t>Pagal Reglamento (ES) Nr. 1092/2010 15 straipsnio 1–5 dalis Institucija laikosi išdėstytų dalijimosi duomenimis nuostatų.</w:t>
      </w:r>
    </w:p>
    <w:p w:rsidR="005B2EB9" w:rsidRPr="00E86AF3" w:rsidRDefault="005B2EB9" w:rsidP="005B2EB9">
      <w:pPr>
        <w:widowControl/>
        <w:tabs>
          <w:tab w:val="left" w:pos="709"/>
        </w:tabs>
        <w:spacing w:before="120" w:after="120"/>
        <w:ind w:left="851"/>
        <w:jc w:val="both"/>
        <w:rPr>
          <w:rFonts w:eastAsia="Calibri"/>
          <w:b/>
          <w:i/>
          <w:noProof/>
          <w:szCs w:val="22"/>
        </w:rPr>
      </w:pPr>
      <w:r w:rsidRPr="00E86AF3">
        <w:rPr>
          <w:b/>
          <w:i/>
        </w:rPr>
        <w:t>Institucija, bendradarbiaudama su ESRV, parengia konfidencialios informacijos, visų pirma informacijos apie atskiras finansų įstaigas, perdavimo</w:t>
      </w:r>
      <w:r w:rsidR="00365E66">
        <w:rPr>
          <w:b/>
          <w:i/>
        </w:rPr>
        <w:t xml:space="preserve"> tinkamas vidaus procedūras.“;</w:t>
      </w:r>
    </w:p>
    <w:p w:rsidR="005B2EB9" w:rsidRPr="00E86AF3" w:rsidRDefault="005B2EB9" w:rsidP="00365E66">
      <w:pPr>
        <w:widowControl/>
        <w:spacing w:before="120" w:after="120"/>
        <w:ind w:left="851" w:hanging="851"/>
        <w:jc w:val="both"/>
        <w:rPr>
          <w:rFonts w:eastAsia="Calibri"/>
          <w:noProof/>
          <w:szCs w:val="22"/>
        </w:rPr>
      </w:pPr>
      <w:r w:rsidRPr="00E86AF3">
        <w:t>5.</w:t>
      </w:r>
      <w:r w:rsidRPr="00E86AF3">
        <w:tab/>
        <w:t>54 straipsnio</w:t>
      </w:r>
      <w:r w:rsidR="00365E66">
        <w:t xml:space="preserve"> 2 dalis papildoma šia įtrauka:</w:t>
      </w:r>
    </w:p>
    <w:p w:rsidR="005B2EB9" w:rsidRPr="00E86AF3" w:rsidRDefault="005B2EB9" w:rsidP="005B2EB9">
      <w:pPr>
        <w:widowControl/>
        <w:spacing w:before="120" w:after="120"/>
        <w:ind w:left="851"/>
        <w:jc w:val="both"/>
        <w:rPr>
          <w:rFonts w:eastAsia="Calibri"/>
          <w:noProof/>
          <w:szCs w:val="22"/>
        </w:rPr>
      </w:pPr>
      <w:r w:rsidRPr="00E86AF3">
        <w:lastRenderedPageBreak/>
        <w:t xml:space="preserve">„— atskaitomybės </w:t>
      </w:r>
      <w:r w:rsidRPr="00E86AF3">
        <w:rPr>
          <w:b/>
          <w:i/>
        </w:rPr>
        <w:t>ir informacijos atskleidimo</w:t>
      </w:r>
      <w:r w:rsidRPr="00E86AF3">
        <w:t xml:space="preserve"> reikalavimais ir informacijo</w:t>
      </w:r>
      <w:r w:rsidR="00365E66">
        <w:t>s rinkimu iš finansų įstaigų.“;</w:t>
      </w:r>
    </w:p>
    <w:p w:rsidR="005B2EB9" w:rsidRPr="00E86AF3" w:rsidRDefault="005B2EB9" w:rsidP="00365E66">
      <w:pPr>
        <w:widowControl/>
        <w:spacing w:before="120" w:after="120"/>
        <w:ind w:left="851" w:hanging="851"/>
        <w:jc w:val="both"/>
        <w:rPr>
          <w:rFonts w:eastAsia="Calibri"/>
          <w:noProof/>
          <w:szCs w:val="22"/>
        </w:rPr>
      </w:pPr>
      <w:r w:rsidRPr="00E86AF3">
        <w:t>6.</w:t>
      </w:r>
      <w:r w:rsidRPr="00E86AF3">
        <w:tab/>
        <w:t>70 stra</w:t>
      </w:r>
      <w:r w:rsidR="00365E66">
        <w:t>ipsnio 3 dalis pakeičiama taip:</w:t>
      </w:r>
    </w:p>
    <w:p w:rsidR="005B2EB9" w:rsidRPr="00E86AF3" w:rsidRDefault="005B2EB9" w:rsidP="005B2EB9">
      <w:pPr>
        <w:widowControl/>
        <w:spacing w:before="120" w:after="120"/>
        <w:ind w:left="851"/>
        <w:jc w:val="both"/>
        <w:rPr>
          <w:rFonts w:eastAsia="Calibri"/>
          <w:szCs w:val="24"/>
        </w:rPr>
      </w:pPr>
      <w:r w:rsidRPr="00E86AF3">
        <w:t xml:space="preserve">„3. 1 ir 2 dalių nuostatomis Institucijai netrukdoma keistis informacija su </w:t>
      </w:r>
      <w:r w:rsidRPr="00E86AF3">
        <w:rPr>
          <w:b/>
          <w:i/>
        </w:rPr>
        <w:t>kitomis institucijomis, nurodytomis 35a straipsnio 1b dalyje,</w:t>
      </w:r>
      <w:r w:rsidRPr="00E86AF3">
        <w:t xml:space="preserve"> pagal šį reglamentą ir kitus finansų įstaigoms taikomus Sąjungos teisės aktus.“.</w:t>
      </w:r>
    </w:p>
    <w:p w:rsidR="005B2EB9" w:rsidRPr="00E86AF3" w:rsidRDefault="005B2EB9" w:rsidP="005B2EB9">
      <w:pPr>
        <w:keepNext/>
        <w:widowControl/>
        <w:spacing w:before="360" w:after="120"/>
        <w:ind w:left="720"/>
        <w:jc w:val="center"/>
        <w:rPr>
          <w:rFonts w:eastAsia="Calibri"/>
          <w:i/>
          <w:noProof/>
          <w:szCs w:val="22"/>
        </w:rPr>
      </w:pPr>
      <w:r w:rsidRPr="00E86AF3">
        <w:rPr>
          <w:i/>
        </w:rPr>
        <w:t>4 straipsnis</w:t>
      </w:r>
    </w:p>
    <w:p w:rsidR="005B2EB9" w:rsidRPr="00E86AF3" w:rsidRDefault="005B2EB9" w:rsidP="005B2EB9">
      <w:pPr>
        <w:widowControl/>
        <w:spacing w:before="120" w:after="120"/>
        <w:jc w:val="center"/>
        <w:rPr>
          <w:rFonts w:eastAsia="Calibri"/>
          <w:noProof/>
          <w:szCs w:val="22"/>
        </w:rPr>
      </w:pPr>
      <w:r w:rsidRPr="00E86AF3">
        <w:rPr>
          <w:b/>
        </w:rPr>
        <w:t>Reglamento (ES) Nr. 1095/2010 pakeitimai</w:t>
      </w:r>
    </w:p>
    <w:p w:rsidR="005B2EB9" w:rsidRPr="00E86AF3" w:rsidRDefault="005B2EB9" w:rsidP="005B2EB9">
      <w:pPr>
        <w:widowControl/>
        <w:spacing w:before="120" w:after="120"/>
        <w:jc w:val="both"/>
        <w:rPr>
          <w:rFonts w:eastAsia="Calibri"/>
          <w:noProof/>
          <w:szCs w:val="22"/>
        </w:rPr>
      </w:pPr>
      <w:r w:rsidRPr="00E86AF3">
        <w:t>Reglamentas (ES) Nr. 1095</w:t>
      </w:r>
      <w:r w:rsidR="00365E66">
        <w:t>/2010 iš dalies keičiamas taip:</w:t>
      </w:r>
    </w:p>
    <w:p w:rsidR="005B2EB9" w:rsidRPr="00E86AF3" w:rsidRDefault="005B2EB9" w:rsidP="005B2EB9">
      <w:pPr>
        <w:widowControl/>
        <w:spacing w:before="120" w:after="120"/>
        <w:ind w:left="850" w:hanging="850"/>
        <w:jc w:val="both"/>
        <w:rPr>
          <w:rFonts w:eastAsia="Calibri"/>
          <w:b/>
          <w:i/>
          <w:szCs w:val="22"/>
        </w:rPr>
      </w:pPr>
      <w:r w:rsidRPr="00E86AF3">
        <w:rPr>
          <w:b/>
          <w:i/>
        </w:rPr>
        <w:t>-1.</w:t>
      </w:r>
      <w:r w:rsidRPr="00E86AF3">
        <w:rPr>
          <w:b/>
          <w:i/>
        </w:rPr>
        <w:tab/>
        <w:t>16a straipsnio 1 dalis papildoma šia pastraipa:</w:t>
      </w:r>
    </w:p>
    <w:p w:rsidR="005B2EB9" w:rsidRPr="00E86AF3" w:rsidRDefault="005B2EB9" w:rsidP="005B2EB9">
      <w:pPr>
        <w:widowControl/>
        <w:spacing w:before="120" w:after="120"/>
        <w:ind w:left="851"/>
        <w:jc w:val="both"/>
        <w:rPr>
          <w:rFonts w:eastAsia="Calibri"/>
          <w:b/>
          <w:i/>
          <w:noProof/>
          <w:szCs w:val="22"/>
        </w:rPr>
      </w:pPr>
      <w:r w:rsidRPr="00E86AF3">
        <w:rPr>
          <w:b/>
          <w:i/>
        </w:rPr>
        <w:t>„Institucijos nuomonės neapsiriboja vykstančiomis teisėkūros procedūromis. Institucija savo nuomonėse prireikus taip pat gali siūlyti galiojančių teisės aktų pakeitimus, įskaitant pakeitimus:</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panaikinti nereikalingus arba nebeaktualius atskaitomybės ir informacijos atskleidimo reikalavimus, susijusius su Sąjungos teise arba Sąjungos teisės perkėlimu į nacionalinę teisę valstybėse narėse;</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užtikrinti nuoseklius atskaitomybės ir informacijos atskleidimo reikalavimus visuose konkretiems ir įvairiems sektoriams taikomuose teisės aktuose;</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užtikrinti atskaitomybės ir informacijos atskleidimo reikalavimų proporcingumą, atsižvelgiant į informaciją teikiančio subjekto pobūdį, dydį ir sudėtingumą;</w:t>
      </w:r>
    </w:p>
    <w:p w:rsidR="005B2EB9" w:rsidRPr="00E86AF3" w:rsidRDefault="005B2EB9" w:rsidP="005B2EB9">
      <w:pPr>
        <w:widowControl/>
        <w:spacing w:before="120" w:after="120"/>
        <w:ind w:left="1418" w:hanging="567"/>
        <w:jc w:val="both"/>
        <w:rPr>
          <w:rFonts w:eastAsia="Calibri"/>
          <w:b/>
          <w:bCs/>
          <w:i/>
          <w:iCs/>
          <w:szCs w:val="22"/>
        </w:rPr>
      </w:pPr>
      <w:r w:rsidRPr="00E86AF3">
        <w:rPr>
          <w:b/>
          <w:i/>
        </w:rPr>
        <w:t>d)</w:t>
      </w:r>
      <w:r w:rsidRPr="00E86AF3">
        <w:rPr>
          <w:b/>
          <w:i/>
        </w:rPr>
        <w:tab/>
        <w:t>užtikrinti, kad atskaitomybės ir informacijos atskleidimo reikalavimų laikymasis suteiktų pridėtinę vertę Institucijai įgyvendinant savo užduotis ir tikslus.</w:t>
      </w:r>
    </w:p>
    <w:p w:rsidR="005B2EB9" w:rsidRPr="00E86AF3" w:rsidRDefault="005B2EB9" w:rsidP="005B2EB9">
      <w:pPr>
        <w:widowControl/>
        <w:spacing w:before="120" w:after="120"/>
        <w:ind w:left="851"/>
        <w:jc w:val="both"/>
        <w:rPr>
          <w:rFonts w:eastAsia="Calibri"/>
          <w:b/>
          <w:bCs/>
          <w:i/>
          <w:iCs/>
          <w:szCs w:val="22"/>
        </w:rPr>
      </w:pPr>
      <w:r w:rsidRPr="00E86AF3">
        <w:rPr>
          <w:b/>
          <w:i/>
        </w:rPr>
        <w:t>Rengdama pirmoje pastraipoje nurodytas nuomones dėl galiojančių teisėkūros procedūra priimamų aktų, Institucija tinkamai atsižvelgia į visų atitinkamų suinteresuotųjų subjektų pastabas, pateiktas per specialias konsultacijas. Remdamasi tomis nuomonėmis, Komisija, jei tikslinga, Europos Parlamentui ir Tarybai pateikia pasiūlymą dėl teisėkū</w:t>
      </w:r>
      <w:r w:rsidR="00365E66">
        <w:rPr>
          <w:b/>
          <w:i/>
        </w:rPr>
        <w:t>ros procedūra priimamo akto.“;</w:t>
      </w:r>
    </w:p>
    <w:p w:rsidR="005B2EB9" w:rsidRPr="00E86AF3" w:rsidRDefault="005B2EB9" w:rsidP="005B2EB9">
      <w:pPr>
        <w:widowControl/>
        <w:spacing w:before="120" w:after="120"/>
        <w:ind w:left="850" w:hanging="850"/>
        <w:jc w:val="both"/>
        <w:rPr>
          <w:rFonts w:eastAsia="Calibri"/>
          <w:noProof/>
          <w:szCs w:val="22"/>
        </w:rPr>
      </w:pPr>
      <w:r w:rsidRPr="00E86AF3">
        <w:t>1.</w:t>
      </w:r>
      <w:r w:rsidRPr="00E86AF3">
        <w:tab/>
        <w:t>29 straipsnio 1 dalies d punktas pakeičiamas taip: </w:t>
      </w:r>
    </w:p>
    <w:p w:rsidR="005B2EB9" w:rsidRPr="00E86AF3" w:rsidRDefault="005B2EB9" w:rsidP="005B2EB9">
      <w:pPr>
        <w:widowControl/>
        <w:spacing w:before="120" w:after="120"/>
        <w:ind w:left="851"/>
        <w:jc w:val="both"/>
        <w:rPr>
          <w:rFonts w:eastAsia="Calibri"/>
          <w:b/>
          <w:i/>
          <w:szCs w:val="22"/>
        </w:rPr>
      </w:pPr>
      <w:r w:rsidRPr="00E86AF3">
        <w:t>„d) peržiūri atitinkamų Komisijos priimtų techninių reguliavimo ir įgyvendinimo standartų, Institucijos paskelbtų gairių ir rekomendacijų taikymą ir prireikus siūlo pakeitimus</w:t>
      </w:r>
      <w:r w:rsidRPr="00E86AF3">
        <w:rPr>
          <w:b/>
          <w:i/>
        </w:rPr>
        <w:t>, išlaikant galimybes panaudoti duomenis ir jų kokybę, siekiant:</w:t>
      </w:r>
    </w:p>
    <w:p w:rsidR="005B2EB9" w:rsidRPr="00E86AF3" w:rsidRDefault="005B2EB9" w:rsidP="005B2EB9">
      <w:pPr>
        <w:widowControl/>
        <w:spacing w:before="120" w:after="120"/>
        <w:ind w:left="720"/>
        <w:jc w:val="both"/>
        <w:rPr>
          <w:rFonts w:eastAsia="Calibri"/>
          <w:b/>
          <w:i/>
          <w:szCs w:val="22"/>
        </w:rPr>
      </w:pPr>
      <w:r w:rsidRPr="00E86AF3">
        <w:rPr>
          <w:b/>
          <w:i/>
        </w:rPr>
        <w:t xml:space="preserve">– </w:t>
      </w:r>
      <w:r w:rsidRPr="00E86AF3">
        <w:t>panaikinti perteklinius ar nebeaktualius atskaitomybės</w:t>
      </w:r>
      <w:r w:rsidRPr="00E86AF3">
        <w:rPr>
          <w:b/>
          <w:i/>
        </w:rPr>
        <w:t xml:space="preserve"> ir informacijos atskleidimo</w:t>
      </w:r>
      <w:r w:rsidRPr="00E86AF3">
        <w:t xml:space="preserve"> reikalavimus</w:t>
      </w:r>
      <w:r w:rsidRPr="00E86AF3">
        <w:rPr>
          <w:b/>
          <w:i/>
        </w:rPr>
        <w:t>;</w:t>
      </w:r>
    </w:p>
    <w:p w:rsidR="005B2EB9" w:rsidRPr="00E86AF3" w:rsidRDefault="005B2EB9" w:rsidP="005B2EB9">
      <w:pPr>
        <w:widowControl/>
        <w:spacing w:before="120" w:after="120"/>
        <w:ind w:left="720"/>
        <w:jc w:val="both"/>
        <w:rPr>
          <w:rFonts w:eastAsia="Calibri"/>
          <w:b/>
          <w:i/>
          <w:noProof/>
          <w:szCs w:val="22"/>
        </w:rPr>
      </w:pPr>
      <w:r w:rsidRPr="00E86AF3">
        <w:rPr>
          <w:b/>
          <w:bCs/>
          <w:i/>
          <w:iCs/>
        </w:rPr>
        <w:t>–</w:t>
      </w:r>
      <w:r w:rsidRPr="00E86AF3">
        <w:rPr>
          <w:b/>
          <w:i/>
        </w:rPr>
        <w:t xml:space="preserve"> užtikrinti proporcingus ir standartizuotus atskaitomybės ir informacijos atskleidimo reikalavimus;</w:t>
      </w:r>
    </w:p>
    <w:p w:rsidR="005B2EB9" w:rsidRPr="00E86AF3" w:rsidRDefault="005B2EB9" w:rsidP="005B2EB9">
      <w:pPr>
        <w:widowControl/>
        <w:spacing w:before="120" w:after="120"/>
        <w:ind w:firstLine="720"/>
        <w:jc w:val="both"/>
        <w:rPr>
          <w:rFonts w:eastAsia="Calibri"/>
          <w:b/>
          <w:i/>
          <w:szCs w:val="22"/>
        </w:rPr>
      </w:pPr>
      <w:r w:rsidRPr="00E86AF3">
        <w:rPr>
          <w:b/>
          <w:i/>
        </w:rPr>
        <w:t xml:space="preserve">– </w:t>
      </w:r>
      <w:r w:rsidRPr="00E86AF3">
        <w:t>kuo labiau sumažinti sąnaudas</w:t>
      </w:r>
      <w:r w:rsidRPr="00E86AF3">
        <w:rPr>
          <w:b/>
          <w:i/>
        </w:rPr>
        <w:t>;</w:t>
      </w:r>
    </w:p>
    <w:p w:rsidR="005B2EB9" w:rsidRPr="00E86AF3" w:rsidRDefault="005B2EB9" w:rsidP="005B2EB9">
      <w:pPr>
        <w:widowControl/>
        <w:spacing w:before="120" w:after="120"/>
        <w:ind w:firstLine="720"/>
        <w:jc w:val="both"/>
        <w:rPr>
          <w:rFonts w:eastAsia="Calibri"/>
          <w:b/>
          <w:i/>
          <w:szCs w:val="22"/>
        </w:rPr>
      </w:pPr>
      <w:r w:rsidRPr="00E86AF3">
        <w:rPr>
          <w:b/>
          <w:bCs/>
          <w:i/>
          <w:iCs/>
        </w:rPr>
        <w:t>–</w:t>
      </w:r>
      <w:r w:rsidRPr="00E86AF3">
        <w:rPr>
          <w:b/>
          <w:i/>
        </w:rPr>
        <w:t xml:space="preserve"> panaikinti reglamentavimo spragas.“;</w:t>
      </w:r>
    </w:p>
    <w:p w:rsidR="005B2EB9" w:rsidRPr="00E86AF3" w:rsidRDefault="005B2EB9" w:rsidP="005B2EB9">
      <w:pPr>
        <w:widowControl/>
        <w:spacing w:before="120" w:after="120"/>
        <w:ind w:left="850" w:hanging="850"/>
        <w:jc w:val="both"/>
        <w:rPr>
          <w:rFonts w:eastAsia="Calibri"/>
          <w:noProof/>
          <w:szCs w:val="22"/>
        </w:rPr>
      </w:pPr>
      <w:r w:rsidRPr="00E86AF3">
        <w:t>2.</w:t>
      </w:r>
      <w:r w:rsidRPr="00E86AF3">
        <w:tab/>
        <w:t>30 straips</w:t>
      </w:r>
      <w:r w:rsidR="00365E66">
        <w:t>nio 3 dalis papildoma e punktu:</w:t>
      </w:r>
    </w:p>
    <w:p w:rsidR="005B2EB9" w:rsidRPr="00E86AF3" w:rsidRDefault="005B2EB9" w:rsidP="005B2EB9">
      <w:pPr>
        <w:widowControl/>
        <w:spacing w:before="120" w:after="120"/>
        <w:ind w:left="851"/>
        <w:jc w:val="both"/>
        <w:rPr>
          <w:rFonts w:eastAsia="Calibri"/>
          <w:noProof/>
          <w:szCs w:val="22"/>
        </w:rPr>
      </w:pPr>
      <w:r w:rsidRPr="00E86AF3">
        <w:lastRenderedPageBreak/>
        <w:t>„e)</w:t>
      </w:r>
      <w:r w:rsidRPr="00E86AF3">
        <w:tab/>
        <w:t xml:space="preserve">nacionalinių atskaitomybės </w:t>
      </w:r>
      <w:r w:rsidRPr="00E86AF3">
        <w:rPr>
          <w:b/>
          <w:i/>
        </w:rPr>
        <w:t>ir informacijos atskleidimo</w:t>
      </w:r>
      <w:r w:rsidRPr="00E86AF3">
        <w:t xml:space="preserve"> reikalavimų veiksmingumas ir tokių reikalavimų konvergencijos su nustatytaisiais Sąjungos teisėje laipsnis</w:t>
      </w:r>
      <w:r w:rsidRPr="00E86AF3">
        <w:rPr>
          <w:b/>
          <w:i/>
        </w:rPr>
        <w:t>, taip pat jų tinkamumas siekiant atitikti juose nustatytus standartus, sykiu atsižvelgiant į nacionalinių finansų jurisdikcijų ypatumus</w:t>
      </w:r>
      <w:r w:rsidR="00365E66">
        <w:t>.“;</w:t>
      </w:r>
    </w:p>
    <w:p w:rsidR="005B2EB9" w:rsidRPr="00E86AF3" w:rsidRDefault="005B2EB9" w:rsidP="005B2EB9">
      <w:pPr>
        <w:widowControl/>
        <w:spacing w:before="120" w:after="120"/>
        <w:ind w:left="850" w:hanging="850"/>
        <w:jc w:val="both"/>
        <w:rPr>
          <w:rFonts w:eastAsia="Calibri"/>
          <w:noProof/>
          <w:szCs w:val="22"/>
        </w:rPr>
      </w:pPr>
      <w:r w:rsidRPr="00E86AF3">
        <w:t>3.</w:t>
      </w:r>
      <w:r w:rsidRPr="00E86AF3">
        <w:tab/>
        <w:t>35 stra</w:t>
      </w:r>
      <w:r w:rsidR="00365E66">
        <w:t>ipsnio 4 dalis pakeičiama taip:</w:t>
      </w:r>
    </w:p>
    <w:p w:rsidR="005B2EB9" w:rsidRPr="00E86AF3" w:rsidRDefault="005B2EB9" w:rsidP="005B2EB9">
      <w:pPr>
        <w:widowControl/>
        <w:spacing w:before="120" w:after="120"/>
        <w:ind w:left="851"/>
        <w:jc w:val="both"/>
        <w:rPr>
          <w:rFonts w:eastAsia="Calibri"/>
          <w:noProof/>
          <w:szCs w:val="22"/>
        </w:rPr>
      </w:pPr>
      <w:r w:rsidRPr="00E86AF3">
        <w:t>„4.</w:t>
      </w:r>
      <w:r w:rsidRPr="00E86AF3">
        <w:rPr>
          <w:b/>
          <w:i/>
        </w:rPr>
        <w:tab/>
      </w:r>
      <w:r w:rsidRPr="00E86AF3">
        <w:t xml:space="preserve">Prieš pateikdama prašymą dėl informacijos suteikimo pagal šį straipsnį ir siekdama </w:t>
      </w:r>
      <w:r w:rsidRPr="00E86AF3">
        <w:rPr>
          <w:b/>
          <w:i/>
        </w:rPr>
        <w:t>užtikrinti, kad nebūtų</w:t>
      </w:r>
      <w:r w:rsidRPr="00E86AF3">
        <w:t xml:space="preserve"> atskaitomybės </w:t>
      </w:r>
      <w:r w:rsidRPr="00E86AF3">
        <w:rPr>
          <w:b/>
          <w:i/>
        </w:rPr>
        <w:t>ir informacijos atskleidimo</w:t>
      </w:r>
      <w:r w:rsidRPr="00E86AF3">
        <w:t xml:space="preserve"> pareigų dubliavimo, Institucija atsižvelgia į 35a straipsnio </w:t>
      </w:r>
      <w:r w:rsidRPr="00E86AF3">
        <w:rPr>
          <w:b/>
          <w:i/>
        </w:rPr>
        <w:t>1b</w:t>
      </w:r>
      <w:r w:rsidRPr="00E86AF3">
        <w:t> dalyje nurodytų kitų institucijų surinktą informaciją ir į atitinkamus turimus statistinius duomenis, surinktus ir išplatintus pagal Europos statistikos sistemą bei Eur</w:t>
      </w:r>
      <w:r w:rsidR="00365E66">
        <w:t>opos centrinių bankų sistemą.“;</w:t>
      </w:r>
    </w:p>
    <w:p w:rsidR="005B2EB9" w:rsidRPr="00E86AF3" w:rsidRDefault="005B2EB9" w:rsidP="005B2EB9">
      <w:pPr>
        <w:widowControl/>
        <w:spacing w:before="120" w:after="120"/>
        <w:jc w:val="both"/>
        <w:rPr>
          <w:rFonts w:eastAsia="Calibri"/>
          <w:noProof/>
          <w:szCs w:val="22"/>
        </w:rPr>
      </w:pPr>
      <w:r w:rsidRPr="00E86AF3">
        <w:t>4.</w:t>
      </w:r>
      <w:r w:rsidR="00365E66">
        <w:tab/>
        <w:t>įterpiamas šis 35a straipsnis:</w:t>
      </w:r>
    </w:p>
    <w:p w:rsidR="005B2EB9" w:rsidRPr="00E86AF3" w:rsidRDefault="005B2EB9" w:rsidP="005B2EB9">
      <w:pPr>
        <w:widowControl/>
        <w:spacing w:before="120" w:after="120"/>
        <w:jc w:val="center"/>
        <w:rPr>
          <w:rFonts w:eastAsia="Calibri"/>
          <w:noProof/>
          <w:szCs w:val="22"/>
        </w:rPr>
      </w:pPr>
      <w:r w:rsidRPr="00E86AF3">
        <w:t>„35a straipsnis</w:t>
      </w:r>
    </w:p>
    <w:p w:rsidR="005B2EB9" w:rsidRPr="00E86AF3" w:rsidRDefault="005B2EB9" w:rsidP="005B2EB9">
      <w:pPr>
        <w:widowControl/>
        <w:spacing w:before="120" w:after="120"/>
        <w:jc w:val="center"/>
        <w:rPr>
          <w:rFonts w:eastAsia="Calibri"/>
          <w:noProof/>
          <w:szCs w:val="22"/>
        </w:rPr>
      </w:pPr>
      <w:r w:rsidRPr="00E86AF3">
        <w:rPr>
          <w:b/>
        </w:rPr>
        <w:t>Informacijos mainai tarp institucijų ir su kitais subjektais </w:t>
      </w:r>
      <w:r w:rsidRPr="00E86AF3">
        <w:t> </w:t>
      </w:r>
    </w:p>
    <w:p w:rsidR="005B2EB9" w:rsidRPr="00E86AF3" w:rsidRDefault="005B2EB9" w:rsidP="005B2EB9">
      <w:pPr>
        <w:widowControl/>
        <w:spacing w:before="120" w:after="120"/>
        <w:ind w:left="851" w:hanging="851"/>
        <w:jc w:val="both"/>
        <w:rPr>
          <w:rFonts w:eastAsia="Calibri"/>
          <w:b/>
          <w:i/>
          <w:szCs w:val="22"/>
        </w:rPr>
      </w:pPr>
      <w:r w:rsidRPr="00E86AF3">
        <w:t>1.</w:t>
      </w:r>
      <w:r w:rsidRPr="00E86AF3">
        <w:rPr>
          <w:b/>
          <w:i/>
        </w:rPr>
        <w:tab/>
      </w:r>
      <w:r w:rsidRPr="00E86AF3">
        <w:t>Institucija ir kompetentingos institucijos kiekvienu konkrečiu atveju arba reguliariai dalijasi su kitomis institucijomis informacija, kurią jos gavo iš finansų įstaigų ar kitų kompetentingų institucijų</w:t>
      </w:r>
      <w:r w:rsidRPr="00E86AF3">
        <w:rPr>
          <w:b/>
          <w:i/>
        </w:rPr>
        <w:t>, kai prašančioji institucija turi teisę gauti tą informaciją atsižvelgiant į jos misiją, tikslus, užduotis ir įgaliojimus arba pagal atitinkamą Sąjungos teisę.</w:t>
      </w:r>
      <w:r w:rsidRPr="00E86AF3">
        <w:t xml:space="preserve"> </w:t>
      </w:r>
    </w:p>
    <w:p w:rsidR="005B2EB9" w:rsidRPr="00E86AF3" w:rsidRDefault="005B2EB9" w:rsidP="005B2EB9">
      <w:pPr>
        <w:widowControl/>
        <w:spacing w:before="120" w:after="120"/>
        <w:ind w:left="851"/>
        <w:jc w:val="both"/>
        <w:rPr>
          <w:rFonts w:eastAsia="Calibri"/>
          <w:b/>
          <w:i/>
          <w:szCs w:val="22"/>
        </w:rPr>
      </w:pPr>
      <w:r w:rsidRPr="00E86AF3">
        <w:rPr>
          <w:b/>
          <w:i/>
        </w:rPr>
        <w:t xml:space="preserve">Šios dalies pirmoje pastraipoje nurodytos informacijos dalijimosi tikslais Institucija arba kompetentinga institucija naudoja 35b straipsnyje nurodytą bendrą integruotą ataskaitų teikimo sistemą, kai ji bus sukurta. </w:t>
      </w:r>
    </w:p>
    <w:p w:rsidR="005B2EB9" w:rsidRPr="00E86AF3" w:rsidRDefault="005B2EB9" w:rsidP="005B2EB9">
      <w:pPr>
        <w:widowControl/>
        <w:spacing w:before="120" w:after="120"/>
        <w:ind w:left="851" w:hanging="851"/>
        <w:jc w:val="both"/>
        <w:rPr>
          <w:rFonts w:eastAsia="Calibri"/>
          <w:b/>
          <w:i/>
          <w:noProof/>
          <w:szCs w:val="22"/>
        </w:rPr>
      </w:pPr>
      <w:r w:rsidRPr="00E86AF3">
        <w:rPr>
          <w:b/>
          <w:i/>
        </w:rPr>
        <w:t>1a.</w:t>
      </w:r>
      <w:r w:rsidRPr="00E86AF3">
        <w:rPr>
          <w:b/>
          <w:i/>
        </w:rPr>
        <w:tab/>
        <w:t>Institucija ir kompetentingos institucijos kiekviena prašo kitų institucijų pateikti informaciją, kurios kitu atveju jos prašytų iš finansų įstaigų ar kitų kompetentingų institucijų, jei tenkinamos abi šios sąlygos:</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jos turi teisę gauti tą informaciją atsižvelgiant į jų misiją, tikslus, užduotis ir įgaliojimus arba pagal atitinkamą Sąjungos teisę;</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tą informaciją yra gavusi bent viena iš tų kitų institucijų.</w:t>
      </w:r>
    </w:p>
    <w:p w:rsidR="005B2EB9" w:rsidRPr="00E86AF3" w:rsidRDefault="005B2EB9" w:rsidP="005B2EB9">
      <w:pPr>
        <w:widowControl/>
        <w:spacing w:before="120" w:after="120"/>
        <w:ind w:left="851"/>
        <w:jc w:val="both"/>
        <w:rPr>
          <w:rFonts w:eastAsia="Calibri"/>
          <w:b/>
          <w:i/>
          <w:noProof/>
          <w:szCs w:val="22"/>
        </w:rPr>
      </w:pPr>
      <w:r w:rsidRPr="00E86AF3">
        <w:rPr>
          <w:b/>
          <w:i/>
        </w:rPr>
        <w:t>Pirma pastraipa nedaro poveikio Institucijos ir kompetentingų institucijų galimybei gauti prašomą informaciją iš finansų įstaigų ar kitų kompetentingų institucijų, kai dėl veikimo priežasčių kita institucija negali dalytis duomenimis.</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Siekdamos nustatyti, ar įvykdyta pirmos pastraipos b punkte nurodyta sąlyga, Institucija arba kompetentingos institucijos naudoja 35b straipsnyje nurodytą bendrą integruotą ataskaitų teikimo sistemą, kai ji bus sukurta.  </w:t>
      </w:r>
    </w:p>
    <w:p w:rsidR="005B2EB9" w:rsidRPr="00E86AF3" w:rsidRDefault="005B2EB9" w:rsidP="005B2EB9">
      <w:pPr>
        <w:widowControl/>
        <w:spacing w:before="120" w:after="120"/>
        <w:ind w:left="851" w:hanging="851"/>
        <w:jc w:val="both"/>
        <w:rPr>
          <w:rFonts w:eastAsia="Calibri"/>
          <w:b/>
          <w:i/>
          <w:noProof/>
          <w:szCs w:val="22"/>
        </w:rPr>
      </w:pPr>
      <w:r w:rsidRPr="00E86AF3">
        <w:rPr>
          <w:b/>
          <w:i/>
        </w:rPr>
        <w:t>1b.</w:t>
      </w:r>
      <w:r w:rsidRPr="00E86AF3">
        <w:rPr>
          <w:b/>
          <w:i/>
        </w:rPr>
        <w:tab/>
        <w:t>Šiame straipsnyje, 35b straipsnyje ir 70 straipsnio 3 dalyje „kitos institucijos“ – tai bet kuri iš šių institucijų:</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kitos Europos priežiūros institucijos;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ESRV;</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kompetentingos institucijos, kaip apibrėžta šio Reglamento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kompetentingos institucijos, kaip apibrėžta Reglamento (ES) Nr. 1094/2010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lastRenderedPageBreak/>
        <w:t>e)</w:t>
      </w:r>
      <w:r w:rsidRPr="00E86AF3">
        <w:rPr>
          <w:b/>
          <w:i/>
        </w:rPr>
        <w:tab/>
        <w:t>kompetentingos institucijos, kaip apibrėžta Reglamento (ES) Nr. 1095/2010 4 straipsnio 3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f)</w:t>
      </w:r>
      <w:r w:rsidRPr="00E86AF3">
        <w:rPr>
          <w:b/>
          <w:i/>
        </w:rPr>
        <w:tab/>
        <w:t>AMLA, įsteigta Europos Parlamento ir Tarybos reglamentu (ES) .../...</w:t>
      </w:r>
      <w:r w:rsidR="00BA57EE">
        <w:rPr>
          <w:rStyle w:val="FootnoteReference"/>
          <w:b/>
          <w:i/>
        </w:rPr>
        <w:footnoteReference w:customMarkFollows="1" w:id="19"/>
        <w:t>+</w:t>
      </w:r>
      <w:r w:rsidRPr="00E86AF3">
        <w:rPr>
          <w:b/>
          <w:i/>
        </w:rPr>
        <w:t>;</w:t>
      </w:r>
    </w:p>
    <w:p w:rsidR="005B2EB9" w:rsidRPr="00E86AF3" w:rsidRDefault="005B2EB9" w:rsidP="005B2EB9">
      <w:pPr>
        <w:widowControl/>
        <w:spacing w:before="120" w:after="120"/>
        <w:ind w:left="1418" w:hanging="567"/>
        <w:jc w:val="both"/>
        <w:rPr>
          <w:rFonts w:eastAsia="Calibri"/>
          <w:b/>
          <w:i/>
          <w:noProof/>
          <w:szCs w:val="22"/>
        </w:rPr>
      </w:pPr>
      <w:r w:rsidRPr="00E86AF3">
        <w:rPr>
          <w:b/>
          <w:i/>
        </w:rPr>
        <w:t>g)</w:t>
      </w:r>
      <w:r w:rsidRPr="00E86AF3">
        <w:rPr>
          <w:b/>
          <w:i/>
        </w:rPr>
        <w:tab/>
        <w:t>institucijos, kaip apibrėžta Europos Parlamento ir Tarybos direktyvos (ES) .../...</w:t>
      </w:r>
      <w:r w:rsidR="00BA57EE">
        <w:rPr>
          <w:rStyle w:val="FootnoteReference"/>
          <w:b/>
          <w:i/>
        </w:rPr>
        <w:footnoteReference w:customMarkFollows="1" w:id="20"/>
        <w:t>++</w:t>
      </w:r>
      <w:r w:rsidRPr="00E86AF3">
        <w:rPr>
          <w:b/>
          <w:i/>
        </w:rPr>
        <w:t xml:space="preserve"> 2 straipsnio 1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h)</w:t>
      </w:r>
      <w:r w:rsidRPr="00E86AF3">
        <w:rPr>
          <w:b/>
          <w:i/>
        </w:rPr>
        <w:tab/>
        <w:t>BPM, kaip apibrėžta Reglamento (ES) Nr. 1024/2013 2 straipsnio 9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i)</w:t>
      </w:r>
      <w:r w:rsidRPr="00E86AF3">
        <w:rPr>
          <w:b/>
          <w:i/>
        </w:rPr>
        <w:tab/>
        <w:t>BPV;</w:t>
      </w:r>
    </w:p>
    <w:p w:rsidR="005B2EB9" w:rsidRPr="00E86AF3" w:rsidRDefault="005B2EB9" w:rsidP="005B2EB9">
      <w:pPr>
        <w:widowControl/>
        <w:spacing w:before="120" w:after="120"/>
        <w:ind w:left="1418" w:hanging="567"/>
        <w:jc w:val="both"/>
        <w:rPr>
          <w:rFonts w:eastAsia="Calibri"/>
          <w:b/>
          <w:i/>
          <w:noProof/>
          <w:szCs w:val="22"/>
        </w:rPr>
      </w:pPr>
      <w:r w:rsidRPr="00E86AF3">
        <w:rPr>
          <w:b/>
          <w:i/>
        </w:rPr>
        <w:t>j)</w:t>
      </w:r>
      <w:r w:rsidRPr="00E86AF3">
        <w:rPr>
          <w:b/>
          <w:i/>
        </w:rPr>
        <w:tab/>
        <w:t>nacionalinės pertvarkymo institucijos, kaip apibrėžta Reglamento (ES) Nr. 806/2014 3 straipsnio 3 punkte.</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Šiame straipsnyje finansų įstaiga – finansų įstaiga, kaip apibrėžta Reglamento (ES) Nr. 1092/2010 2 straipsnio a punkte.  </w:t>
      </w:r>
    </w:p>
    <w:p w:rsidR="005B2EB9" w:rsidRPr="00E86AF3" w:rsidRDefault="005B2EB9" w:rsidP="005B2EB9">
      <w:pPr>
        <w:widowControl/>
        <w:spacing w:before="120" w:after="120"/>
        <w:ind w:left="851" w:hanging="851"/>
        <w:jc w:val="both"/>
        <w:rPr>
          <w:rFonts w:eastAsia="Calibri"/>
          <w:noProof/>
          <w:szCs w:val="22"/>
        </w:rPr>
      </w:pPr>
      <w:r w:rsidRPr="00E86AF3">
        <w:t>2.</w:t>
      </w:r>
      <w:r w:rsidRPr="00E86AF3">
        <w:rPr>
          <w:b/>
          <w:i/>
        </w:rPr>
        <w:tab/>
      </w:r>
      <w:r w:rsidRPr="00E86AF3">
        <w:t>Prašyme keistis informacija tinkamai nurodomas teisinis pagrindas pagal Sąjungos teisę, suteikiantis teisę prašančiajai institucijai gauti informaciją iš finansų įstaigų ar kitų kompetentingų institucijų. Prašančioji institucija ir teikiančioji institucija laikosi pareigų saugoti profesinę paslaptį ir duomenų apsaugos nuostatų, nustatytų 70 ir 71 straipsniuose ir sektorių teisės aktuose, taikytinuose finansų įstaigos ir prašančiosios institucijos duomenų dalijimuisi, taip pat finansų įstaigos ir teikiančiosios institucijos duomenų dalijimuisi. Teikiančioji institucija nepagrįstai nedelsdama informuoja kiekvieną atitinkamą finansų įstaigą apie tokį keitimąsi informacija</w:t>
      </w:r>
      <w:r w:rsidRPr="00E86AF3">
        <w:rPr>
          <w:b/>
          <w:i/>
        </w:rPr>
        <w:t>, jei informacija nebuvo anonimizuota,</w:t>
      </w:r>
      <w:r w:rsidRPr="00E86AF3">
        <w:t xml:space="preserve"> pakeista, apibendrinta ar tvarkoma bet kuriuo kitu informacijos atskleidimo kontrolės būdu, siekiant apsaugoti </w:t>
      </w:r>
      <w:r w:rsidRPr="00E86AF3">
        <w:rPr>
          <w:b/>
          <w:i/>
        </w:rPr>
        <w:t>konfidencialią informaciją</w:t>
      </w:r>
      <w:r w:rsidRPr="00E86AF3">
        <w:t xml:space="preserve">. </w:t>
      </w:r>
    </w:p>
    <w:p w:rsidR="005B2EB9" w:rsidRPr="00E86AF3" w:rsidRDefault="005B2EB9" w:rsidP="005B2EB9">
      <w:pPr>
        <w:widowControl/>
        <w:spacing w:before="120" w:after="120"/>
        <w:ind w:left="851" w:hanging="851"/>
        <w:jc w:val="both"/>
        <w:rPr>
          <w:rFonts w:eastAsia="Calibri"/>
          <w:noProof/>
          <w:szCs w:val="22"/>
        </w:rPr>
      </w:pPr>
      <w:r w:rsidRPr="00E86AF3">
        <w:t>3.</w:t>
      </w:r>
      <w:r w:rsidRPr="00E86AF3">
        <w:tab/>
        <w:t>1, 1a ir 2 dalys taip pat taikomos informacijai, kurią teikiančioji institucija yra gavusi iš finansų įstaigos ar kitų institucijų ir kurios kokybės patikrą teikiančioji institucija yra vėliau atlikusi ar kurią ji yra kitaip tvarkiusi. </w:t>
      </w:r>
    </w:p>
    <w:p w:rsidR="005B2EB9" w:rsidRPr="00E86AF3" w:rsidRDefault="005B2EB9" w:rsidP="005B2EB9">
      <w:pPr>
        <w:widowControl/>
        <w:spacing w:before="120" w:after="120"/>
        <w:ind w:left="851" w:hanging="851"/>
        <w:jc w:val="both"/>
        <w:rPr>
          <w:rFonts w:eastAsia="Calibri"/>
          <w:b/>
          <w:i/>
          <w:noProof/>
          <w:szCs w:val="22"/>
        </w:rPr>
      </w:pPr>
      <w:r w:rsidRPr="00E86AF3">
        <w:t>4.</w:t>
      </w:r>
      <w:r w:rsidRPr="00E86AF3">
        <w:tab/>
        <w:t>Siekdamos dalytis informacija, kaip nurodyta 1, 1a, 2 ir 3 dalyse, Institucija ir kitos institucijos sudaro susitarimo memorandumus ir juose nustato informacijos mainų sąlygas. Jos taip pat nustato išteklių, reikalingų tokiems duomenims, kuriais dalijamasi, rinkti ir tvarkyti, dalijimosi tvarką</w:t>
      </w:r>
      <w:r w:rsidRPr="00E86AF3">
        <w:rPr>
          <w:b/>
          <w:i/>
        </w:rPr>
        <w:t>, jei taikant tokius susitarimus laikomasi taikytinų duomenų apsaugos, intelektinės nuosavybės ir profesinės paslapties taisyklių. Visoms susijusioms institucijoms sutarus, susitarimo memorandumai turi būti paprasto ir standartizuoto formato, kuris, prireikus, pritaikomas pagal specialias veikimo sąlygas, kurios gali būti taikomos konkrečioms institucijoms. </w:t>
      </w:r>
    </w:p>
    <w:p w:rsidR="005B2EB9" w:rsidRPr="00E86AF3" w:rsidRDefault="005B2EB9" w:rsidP="005B2EB9">
      <w:pPr>
        <w:widowControl/>
        <w:spacing w:before="120" w:after="120"/>
        <w:ind w:left="851" w:hanging="851"/>
        <w:jc w:val="both"/>
        <w:rPr>
          <w:rFonts w:eastAsia="Calibri"/>
          <w:noProof/>
          <w:szCs w:val="22"/>
        </w:rPr>
      </w:pPr>
      <w:r w:rsidRPr="00E86AF3">
        <w:t>5.</w:t>
      </w:r>
      <w:r w:rsidRPr="00E86AF3">
        <w:tab/>
        <w:t>1–4 dalys nedaro poveikio intelektinės nuosavybės teisių apsaugai ir netrukdo Institucijai ir kitoms institucijoms ▌keistis informacija pagal kitų Sąjungos teisės aktų nuostatas ir to keitimosi neriboja. Jei šio straipsnio nuostatos prieštarauja kitų Sąjungos teisės aktų nuostatoms, kuriomis reglamentuojami kitų institucijų ▌informacijos mainai, viršenybę turi tų kitų Sąjungos teisės aktų nuostatos.</w:t>
      </w:r>
    </w:p>
    <w:p w:rsidR="005B2EB9" w:rsidRPr="00E86AF3" w:rsidRDefault="005B2EB9" w:rsidP="005B2EB9">
      <w:pPr>
        <w:widowControl/>
        <w:spacing w:before="120" w:after="120"/>
        <w:ind w:left="851" w:hanging="851"/>
        <w:jc w:val="both"/>
        <w:rPr>
          <w:rFonts w:eastAsia="Calibri"/>
          <w:noProof/>
          <w:szCs w:val="22"/>
        </w:rPr>
      </w:pPr>
      <w:r w:rsidRPr="00E86AF3">
        <w:lastRenderedPageBreak/>
        <w:t>6.</w:t>
      </w:r>
      <w:r w:rsidRPr="00E86AF3">
        <w:tab/>
        <w:t xml:space="preserve">Nedarant poveikio kitoms Sąjungos teisėje nustatytoms pareigoms dėl dalijimosi informacija, Institucija ir kompetentingos institucijos, gavusios pagrįstą prašymą, gali kiekvienu konkrečiu atveju dalytis su Komisija ▌informacija, kurią finansų įstaigos joms pateikė vykdydamos savo pareigas pagal Sąjungos teisę, ▌tokia forma, kuri neleidžia identifikuoti atskirų subjektų ir neapima asmens duomenų. </w:t>
      </w:r>
      <w:r w:rsidRPr="00E86AF3">
        <w:rPr>
          <w:b/>
          <w:i/>
        </w:rPr>
        <w:t>Tokią informaciją pateikusios institucijos tinkamai informuojamos apie dalijimąsi šia informacija.</w:t>
      </w:r>
    </w:p>
    <w:p w:rsidR="005B2EB9" w:rsidRPr="00E86AF3" w:rsidRDefault="005B2EB9" w:rsidP="005B2EB9">
      <w:pPr>
        <w:widowControl/>
        <w:spacing w:before="120" w:after="120"/>
        <w:ind w:left="851" w:hanging="851"/>
        <w:jc w:val="both"/>
        <w:rPr>
          <w:rFonts w:eastAsia="Calibri"/>
          <w:noProof/>
          <w:szCs w:val="22"/>
        </w:rPr>
      </w:pPr>
      <w:r w:rsidRPr="00E86AF3">
        <w:t>7.</w:t>
      </w:r>
      <w:r w:rsidRPr="00E86AF3">
        <w:tab/>
        <w:t xml:space="preserve">Institucija ir kompetentingos institucijos gali leisti pakartotinai naudoti informaciją, kurią jos yra gavusios vykdydamos savo pareigas, finansų įstaigoms, mokslininkams ir kitiems subjektams, turintiems teisėtą interesą naudoti tokią informaciją mokslinių tyrimų ir inovacijų tikslais, jeigu Institucija užtikrino, kad įvykdytos visos šios sąlygos: </w:t>
      </w:r>
    </w:p>
    <w:p w:rsidR="005B2EB9" w:rsidRPr="00E86AF3" w:rsidRDefault="005B2EB9" w:rsidP="005B2EB9">
      <w:pPr>
        <w:widowControl/>
        <w:spacing w:before="120" w:after="120"/>
        <w:ind w:left="1418" w:hanging="567"/>
        <w:jc w:val="both"/>
        <w:rPr>
          <w:rFonts w:eastAsia="Calibri"/>
          <w:noProof/>
          <w:szCs w:val="22"/>
        </w:rPr>
      </w:pPr>
      <w:r w:rsidRPr="00E86AF3">
        <w:t>a)</w:t>
      </w:r>
      <w:r w:rsidRPr="00E86AF3">
        <w:rPr>
          <w:b/>
          <w:i/>
        </w:rPr>
        <w:tab/>
      </w:r>
      <w:r w:rsidRPr="00E86AF3">
        <w:t>informacija yra anonimizuota taip, kad identifikuoti duomenų subjekto ar finansų įstaigos neįmanoma ar nebeįmanoma;</w:t>
      </w:r>
    </w:p>
    <w:p w:rsidR="005B2EB9" w:rsidRPr="00E86AF3" w:rsidRDefault="005B2EB9" w:rsidP="005B2EB9">
      <w:pPr>
        <w:widowControl/>
        <w:spacing w:before="120" w:after="120"/>
        <w:ind w:left="1418" w:hanging="567"/>
        <w:jc w:val="both"/>
        <w:rPr>
          <w:rFonts w:eastAsia="Calibri"/>
          <w:noProof/>
          <w:szCs w:val="22"/>
        </w:rPr>
      </w:pPr>
      <w:r w:rsidRPr="00E86AF3">
        <w:t>b)</w:t>
      </w:r>
      <w:r w:rsidRPr="00E86AF3">
        <w:rPr>
          <w:b/>
          <w:i/>
        </w:rPr>
        <w:tab/>
      </w:r>
      <w:r w:rsidRPr="00E86AF3">
        <w:t>siekiant apsaugoti konfidencialią informaciją, įskaitant komercines paslaptis ar turinį, apsaugotą intelektinės nuosavybės teisėmis, informacija buvo pakeista, agreguota ar apdorota bet kuriuo kitu duomenų atskleidimo kontrolės metodu;</w:t>
      </w:r>
    </w:p>
    <w:p w:rsidR="005B2EB9" w:rsidRPr="00E86AF3" w:rsidRDefault="005B2EB9" w:rsidP="005B2EB9">
      <w:pPr>
        <w:widowControl/>
        <w:spacing w:before="120" w:after="120"/>
        <w:ind w:left="1418" w:hanging="567"/>
        <w:jc w:val="both"/>
        <w:rPr>
          <w:rFonts w:eastAsia="Calibri"/>
          <w:noProof/>
          <w:szCs w:val="22"/>
        </w:rPr>
      </w:pPr>
      <w:r w:rsidRPr="00E86AF3">
        <w:rPr>
          <w:b/>
          <w:i/>
        </w:rPr>
        <w:t>c)</w:t>
      </w:r>
      <w:r w:rsidRPr="00E86AF3">
        <w:rPr>
          <w:b/>
          <w:i/>
        </w:rPr>
        <w:tab/>
        <w:t>šalys, kurioms suteikta prieiga, įrodė, kad jos turi reikiamas technines priemones konfidencialiai informacijai apsaugoti, t. y. jos turi priemonių, kuriomis galima visapusiškai užtikrinti privatumo ir konfidencialumo apsaugą.</w:t>
      </w:r>
    </w:p>
    <w:p w:rsidR="005B2EB9" w:rsidRPr="00E86AF3" w:rsidRDefault="005B2EB9" w:rsidP="005B2EB9">
      <w:pPr>
        <w:widowControl/>
        <w:spacing w:before="120" w:after="120"/>
        <w:ind w:left="851"/>
        <w:jc w:val="both"/>
        <w:rPr>
          <w:noProof/>
          <w:szCs w:val="22"/>
        </w:rPr>
      </w:pPr>
      <w:r w:rsidRPr="00E86AF3">
        <w:t>Informacija, gauta iš kitos institucijos,</w:t>
      </w:r>
      <w:r w:rsidRPr="00E86AF3">
        <w:rPr>
          <w:b/>
          <w:i/>
        </w:rPr>
        <w:t xml:space="preserve"> šiuo pagrindu</w:t>
      </w:r>
      <w:r w:rsidRPr="00E86AF3">
        <w:t xml:space="preserve"> dalijamasi tik susitarus su institucija, kuri pirmoji gavo tą informaciją.</w:t>
      </w:r>
    </w:p>
    <w:p w:rsidR="005B2EB9" w:rsidRPr="00E86AF3" w:rsidRDefault="005B2EB9" w:rsidP="005B2EB9">
      <w:pPr>
        <w:widowControl/>
        <w:spacing w:before="120" w:after="120"/>
        <w:ind w:left="851" w:hanging="851"/>
        <w:jc w:val="both"/>
        <w:rPr>
          <w:rFonts w:eastAsia="Calibri"/>
          <w:b/>
          <w:i/>
          <w:noProof/>
          <w:szCs w:val="22"/>
        </w:rPr>
      </w:pPr>
      <w:r w:rsidRPr="00E86AF3">
        <w:rPr>
          <w:b/>
          <w:i/>
        </w:rPr>
        <w:t>7a.</w:t>
      </w:r>
      <w:r w:rsidRPr="00E86AF3">
        <w:rPr>
          <w:b/>
          <w:i/>
        </w:rPr>
        <w:tab/>
        <w:t>Ne vėliau kaip ... [vieni metai nuo šio iš dalies keičiančio reglamento įsigaliojimo dienos] Institucija ir kompetentingos institucijos praneša Komisijai apie sektorių teisės aktuose iškilusias teisines kliūtis, kurios kokiu nors būdu trukdo joms keistis informacija su kitomis institucijomis ar kitais subjektais. Ataskaitoje taip pat gali būti nagrinėjami nereikšmingi, nebeaktualūs, besidubliuojantys ar kitu požiūriu nereikalingi atskaitomybės reikalavimai ir pateikti pasiūlymai, kaip užtikrinti finansų ir ne finansų bendrovių atskaitomybės reikalavimų nuoseklumą.</w:t>
      </w:r>
    </w:p>
    <w:p w:rsidR="005B2EB9" w:rsidRPr="00E86AF3" w:rsidRDefault="005B2EB9" w:rsidP="005B2EB9">
      <w:pPr>
        <w:widowControl/>
        <w:spacing w:before="120" w:after="120"/>
        <w:ind w:left="851"/>
        <w:jc w:val="both"/>
        <w:rPr>
          <w:rFonts w:eastAsia="Calibri"/>
          <w:noProof/>
          <w:szCs w:val="22"/>
        </w:rPr>
      </w:pPr>
      <w:r w:rsidRPr="00E86AF3">
        <w:rPr>
          <w:b/>
          <w:i/>
        </w:rPr>
        <w:t>Remdamasi ta ataskaita ir deramai atsižvelgdama į intelektinės nuosavybės teisių apsaugą, pareigą saugoti profesinę paslaptį ir užtikrinti duomenų apsaugą, Komisija, kai tikslinga, ne vėliau kaip ... [2 metai nuo šio iš dalies keičiančio reglamento įsigaliojimo dienos] Europos Parlamentui ir Tarybai pateikia pasiūlymą dėl teisėkūros procedūra priimamo akto, kuriuo siekiama pašalinti tokias teisines kliūtis sektorių teisės aktuose, kad būtų skatinamas keitimasis informacija tarp institucijų ir su kitais subjektais.</w:t>
      </w:r>
      <w:r w:rsidR="00365E66">
        <w:t>“;</w:t>
      </w:r>
    </w:p>
    <w:p w:rsidR="005B2EB9" w:rsidRPr="00E86AF3" w:rsidRDefault="005B2EB9" w:rsidP="00365E66">
      <w:pPr>
        <w:widowControl/>
        <w:spacing w:before="120" w:after="120"/>
        <w:ind w:left="851" w:hanging="851"/>
        <w:jc w:val="both"/>
        <w:rPr>
          <w:rFonts w:eastAsia="Calibri"/>
          <w:b/>
          <w:i/>
          <w:szCs w:val="22"/>
        </w:rPr>
      </w:pPr>
      <w:r w:rsidRPr="00E86AF3">
        <w:rPr>
          <w:b/>
          <w:i/>
        </w:rPr>
        <w:t>4a.</w:t>
      </w:r>
      <w:r w:rsidRPr="00E86AF3">
        <w:rPr>
          <w:b/>
          <w:i/>
        </w:rPr>
        <w:tab/>
        <w:t>įterpiamas šis straipsnis:</w:t>
      </w:r>
    </w:p>
    <w:p w:rsidR="005B2EB9" w:rsidRPr="00E86AF3" w:rsidRDefault="005B2EB9" w:rsidP="005B2EB9">
      <w:pPr>
        <w:widowControl/>
        <w:spacing w:before="120" w:after="120"/>
        <w:ind w:left="851"/>
        <w:rPr>
          <w:rFonts w:eastAsia="Calibri"/>
          <w:b/>
          <w:i/>
          <w:noProof/>
          <w:szCs w:val="22"/>
        </w:rPr>
      </w:pPr>
      <w:r w:rsidRPr="00E86AF3">
        <w:rPr>
          <w:b/>
          <w:i/>
        </w:rPr>
        <w:t>„35b straipsnis</w:t>
      </w:r>
    </w:p>
    <w:p w:rsidR="005B2EB9" w:rsidRPr="00E86AF3" w:rsidRDefault="005B2EB9" w:rsidP="005B2EB9">
      <w:pPr>
        <w:widowControl/>
        <w:spacing w:before="120" w:after="120"/>
        <w:ind w:left="851"/>
        <w:rPr>
          <w:rFonts w:eastAsia="Calibri"/>
          <w:b/>
          <w:i/>
          <w:noProof/>
          <w:szCs w:val="22"/>
        </w:rPr>
      </w:pPr>
      <w:r w:rsidRPr="00E86AF3">
        <w:rPr>
          <w:b/>
          <w:i/>
        </w:rPr>
        <w:t>Bendros integruotos ataskaitų teikimo sistemos sukūrimas</w:t>
      </w:r>
    </w:p>
    <w:p w:rsidR="005B2EB9" w:rsidRPr="00E86AF3" w:rsidRDefault="005B2EB9" w:rsidP="005B2EB9">
      <w:pPr>
        <w:widowControl/>
        <w:spacing w:before="120" w:after="120"/>
        <w:ind w:left="851"/>
        <w:jc w:val="both"/>
        <w:rPr>
          <w:rFonts w:eastAsia="Calibri"/>
          <w:b/>
          <w:i/>
          <w:noProof/>
          <w:szCs w:val="22"/>
        </w:rPr>
      </w:pPr>
      <w:r w:rsidRPr="00E86AF3">
        <w:rPr>
          <w:b/>
          <w:i/>
        </w:rPr>
        <w:t>1.</w:t>
      </w:r>
      <w:r w:rsidRPr="00E86AF3">
        <w:rPr>
          <w:b/>
          <w:i/>
        </w:rPr>
        <w:tab/>
        <w:t xml:space="preserve">Ne vėliau kaip ... [2 metai nuo šio iš dalies keičiančio reglamento įsigaliojimo dienos] Institucija, glaudžiai bendradarbiaudama su kitomis institucijomis ir ECBS, parengia ataskaitą dėl bendros integruotos ataskaitų teikimo sistemos sukūrimo techninės informacijos, taip pat veiksmų gaires, grindžiamas EPI ataskaitų </w:t>
      </w:r>
      <w:r w:rsidRPr="00E86AF3">
        <w:rPr>
          <w:b/>
          <w:i/>
        </w:rPr>
        <w:lastRenderedPageBreak/>
        <w:t>integravimo jų sektoriuose darbu, ir įtraukia sąnaudų ir naudos vertinimą. Tos ataskaitos tikslais bendra integruota ataskaitų teikimo sistema apima:</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bendrą duomenų žodyną, kad būtų užtikrintas atskaitomybės reikalavimų nuoseklumas ir aiškumas bei duomenų standartizavimas;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bendrą atskaitomybės ir informacijos atskleidimo reikalavimų, surinktų duomenų ir juos turinčių institucijų aprašymų saugyklą;</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centrinę duomenų erdvę, įskaitant techninį projektą, skirtą informacijai rinkti ir ja keistis, ir</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nuolatinį vieną bendrą kontaktinį punktą subjektams, kad jie galėtų nurodyti dvigubo ataskaitų teikimo, perteklinių ar nebeaktualių ataskaitų arba informacijos atskleidimo reikalavimų atvejus.</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Glaudžiai bendradarbiaujant su Komisija, prie ataskaitos pridedamas bendro finansinio poveikio įvertinimas. </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Kai tikslinga, ne vėliau kaip ... [3 metai nuo šio iš dalies keičiančio reglamento įsigaliojimo dienos] Komisija pateikia Europos Parlamentui ir Tarybai pasiūlymą dėl teisėkūros procedūra priimamo akto, kuriuo siekiama užtikrinti bendros integruotos ataskaitų teikimo sistemos kūrimui reikalingus finansinius, žmogiškuosius ir IT išteklius. </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Ne vėliau kaip ... [3 metai nuo šio iš dalies keičiančio reglamento įsigaliojimo dienos] Institucija drauge su kitomis institucijomis sukuria bendrą integruotą ataskaitų teikimo sistemą.“; </w:t>
      </w:r>
    </w:p>
    <w:p w:rsidR="005B2EB9" w:rsidRPr="00E86AF3" w:rsidRDefault="005B2EB9" w:rsidP="00365E66">
      <w:pPr>
        <w:widowControl/>
        <w:spacing w:before="120" w:after="120"/>
        <w:ind w:left="851" w:hanging="851"/>
        <w:jc w:val="both"/>
        <w:rPr>
          <w:rFonts w:eastAsia="Calibri"/>
          <w:b/>
          <w:i/>
          <w:szCs w:val="22"/>
        </w:rPr>
      </w:pPr>
      <w:r w:rsidRPr="00E86AF3">
        <w:rPr>
          <w:b/>
          <w:i/>
        </w:rPr>
        <w:t>4b.</w:t>
      </w:r>
      <w:r w:rsidRPr="00E86AF3">
        <w:rPr>
          <w:b/>
          <w:i/>
        </w:rPr>
        <w:tab/>
        <w:t>36 straipsnio 2 dalis pakeičiama taip:</w:t>
      </w:r>
    </w:p>
    <w:p w:rsidR="005B2EB9" w:rsidRPr="00E86AF3" w:rsidRDefault="005B2EB9" w:rsidP="005B2EB9">
      <w:pPr>
        <w:widowControl/>
        <w:spacing w:before="120" w:after="120"/>
        <w:ind w:left="1985" w:hanging="567"/>
        <w:jc w:val="both"/>
        <w:rPr>
          <w:rFonts w:eastAsia="Calibri"/>
          <w:b/>
          <w:i/>
          <w:noProof/>
          <w:szCs w:val="22"/>
        </w:rPr>
      </w:pPr>
      <w:r w:rsidRPr="00E86AF3">
        <w:t>„2.</w:t>
      </w:r>
      <w:r w:rsidRPr="00E86AF3">
        <w:rPr>
          <w:b/>
          <w:i/>
        </w:rPr>
        <w:tab/>
        <w:t>Institucija drauge su Europos centrinių bankų sistema (ECBS), Komisija, nacionalinėmis kompetentingomis institucijomis ir nacionalinėmis statistikos institucijomis glaudžiai bendradarbiauja su ESRV – dalijasi informacija ir analize, reikalinga jų užduotims atlikti.</w:t>
      </w:r>
    </w:p>
    <w:p w:rsidR="005B2EB9" w:rsidRPr="00E86AF3" w:rsidRDefault="005B2EB9" w:rsidP="005B2EB9">
      <w:pPr>
        <w:widowControl/>
        <w:spacing w:before="120" w:after="120"/>
        <w:ind w:left="1985"/>
        <w:jc w:val="both"/>
        <w:rPr>
          <w:rFonts w:eastAsia="Calibri"/>
          <w:b/>
          <w:i/>
          <w:noProof/>
          <w:szCs w:val="22"/>
        </w:rPr>
      </w:pPr>
      <w:r w:rsidRPr="00E86AF3">
        <w:rPr>
          <w:b/>
          <w:i/>
        </w:rPr>
        <w:t>Institucija drauge su ESRV ir ECB koordinuoja savo pastangas, kad nustatytų sisteminę riziką finansiniam stabilumui, ją stebėtų, užkirstų jai kelią ir ją sumažintų.</w:t>
      </w:r>
    </w:p>
    <w:p w:rsidR="005B2EB9" w:rsidRPr="00E86AF3" w:rsidRDefault="005B2EB9" w:rsidP="005B2EB9">
      <w:pPr>
        <w:widowControl/>
        <w:spacing w:before="120" w:after="120"/>
        <w:ind w:left="1985"/>
        <w:jc w:val="both"/>
        <w:rPr>
          <w:rFonts w:eastAsia="Calibri"/>
          <w:b/>
          <w:i/>
          <w:noProof/>
          <w:szCs w:val="22"/>
        </w:rPr>
      </w:pPr>
      <w:r w:rsidRPr="00E86AF3">
        <w:rPr>
          <w:b/>
          <w:i/>
        </w:rPr>
        <w:t>Pagal Reglamento (ES) Nr. 1092/2010 15 straipsnio 1–5 dalis Institucija laikosi išdėstytų dalijimosi duomenimis nuostatų.</w:t>
      </w:r>
    </w:p>
    <w:p w:rsidR="005B2EB9" w:rsidRPr="00E86AF3" w:rsidRDefault="005B2EB9" w:rsidP="005B2EB9">
      <w:pPr>
        <w:widowControl/>
        <w:spacing w:before="120" w:after="120"/>
        <w:ind w:left="1985"/>
        <w:jc w:val="both"/>
        <w:rPr>
          <w:rFonts w:eastAsia="Calibri"/>
          <w:b/>
          <w:i/>
          <w:noProof/>
          <w:szCs w:val="22"/>
        </w:rPr>
      </w:pPr>
      <w:r w:rsidRPr="00E86AF3">
        <w:rPr>
          <w:b/>
          <w:i/>
        </w:rPr>
        <w:t>Institucija, bendradarbiaudama su ESRV, parengia konfidencialios informacijos, visų pirma informacijos apie atskiras finansų įstaigas, perdavimo tin</w:t>
      </w:r>
      <w:r w:rsidR="00365E66">
        <w:rPr>
          <w:b/>
          <w:i/>
        </w:rPr>
        <w:t>kamas vidaus procedūras.“;</w:t>
      </w:r>
    </w:p>
    <w:p w:rsidR="005B2EB9" w:rsidRPr="00E86AF3" w:rsidRDefault="005B2EB9" w:rsidP="00365E66">
      <w:pPr>
        <w:widowControl/>
        <w:spacing w:before="120" w:after="120"/>
        <w:ind w:left="851" w:hanging="851"/>
        <w:jc w:val="both"/>
        <w:rPr>
          <w:rFonts w:eastAsia="Calibri"/>
          <w:noProof/>
          <w:szCs w:val="22"/>
        </w:rPr>
      </w:pPr>
      <w:r w:rsidRPr="00E86AF3">
        <w:t>5.</w:t>
      </w:r>
      <w:r w:rsidRPr="00E86AF3">
        <w:tab/>
        <w:t>54 straipsnio</w:t>
      </w:r>
      <w:r w:rsidR="00365E66">
        <w:t xml:space="preserve"> 2 dalis papildoma šia įtrauka:</w:t>
      </w:r>
    </w:p>
    <w:p w:rsidR="005B2EB9" w:rsidRPr="00E86AF3" w:rsidRDefault="005B2EB9" w:rsidP="005B2EB9">
      <w:pPr>
        <w:widowControl/>
        <w:spacing w:before="120" w:after="120"/>
        <w:ind w:left="2552" w:hanging="567"/>
        <w:jc w:val="both"/>
        <w:rPr>
          <w:rFonts w:eastAsia="Calibri"/>
          <w:noProof/>
          <w:szCs w:val="22"/>
        </w:rPr>
      </w:pPr>
      <w:r w:rsidRPr="00E86AF3">
        <w:t xml:space="preserve">„— atskaitomybės </w:t>
      </w:r>
      <w:r w:rsidRPr="00E86AF3">
        <w:rPr>
          <w:b/>
          <w:i/>
        </w:rPr>
        <w:t>ir informacijos atskleidimo</w:t>
      </w:r>
      <w:r w:rsidRPr="00E86AF3">
        <w:t xml:space="preserve"> reikalavimais ir informacijos rinkimu iš finansų rinkų dalyvių.“; </w:t>
      </w:r>
    </w:p>
    <w:p w:rsidR="005B2EB9" w:rsidRPr="00E86AF3" w:rsidRDefault="005B2EB9" w:rsidP="00365E66">
      <w:pPr>
        <w:widowControl/>
        <w:spacing w:before="120" w:after="120"/>
        <w:ind w:left="851" w:hanging="851"/>
        <w:jc w:val="both"/>
        <w:rPr>
          <w:rFonts w:eastAsia="Calibri"/>
          <w:noProof/>
          <w:szCs w:val="22"/>
        </w:rPr>
      </w:pPr>
      <w:r w:rsidRPr="00E86AF3">
        <w:t>6.</w:t>
      </w:r>
      <w:r w:rsidRPr="00E86AF3">
        <w:tab/>
        <w:t>70 straipsnio 3 dalis pakeičiama taip: </w:t>
      </w:r>
    </w:p>
    <w:p w:rsidR="005B2EB9" w:rsidRPr="00E86AF3" w:rsidRDefault="005B2EB9" w:rsidP="005B2EB9">
      <w:pPr>
        <w:widowControl/>
        <w:spacing w:before="120" w:after="120"/>
        <w:ind w:left="2552" w:hanging="567"/>
        <w:jc w:val="both"/>
        <w:rPr>
          <w:rFonts w:eastAsia="Calibri"/>
          <w:szCs w:val="24"/>
        </w:rPr>
      </w:pPr>
      <w:r w:rsidRPr="00E86AF3">
        <w:t>„3.</w:t>
      </w:r>
      <w:r w:rsidRPr="00E86AF3">
        <w:tab/>
        <w:t xml:space="preserve">1 ir 2 dalių nuostatomis Institucijai netrukdoma keistis informacija su </w:t>
      </w:r>
      <w:r w:rsidRPr="00E86AF3">
        <w:rPr>
          <w:b/>
          <w:i/>
        </w:rPr>
        <w:t>kitomis institucijomis, nurodytomis 35a straipsnio 1b dalyje,</w:t>
      </w:r>
      <w:r w:rsidRPr="00E86AF3">
        <w:t xml:space="preserve"> pagal šį reglamentą ir kitus finansų rinkų dalyviams taikomus Sąjungos teisės aktus.“. </w:t>
      </w:r>
    </w:p>
    <w:p w:rsidR="005B2EB9" w:rsidRPr="00E86AF3" w:rsidRDefault="005B2EB9" w:rsidP="005B2EB9">
      <w:pPr>
        <w:keepNext/>
        <w:widowControl/>
        <w:spacing w:before="360" w:after="120"/>
        <w:jc w:val="center"/>
        <w:rPr>
          <w:rFonts w:eastAsia="Calibri"/>
          <w:b/>
          <w:i/>
          <w:noProof/>
          <w:szCs w:val="22"/>
        </w:rPr>
      </w:pPr>
      <w:r w:rsidRPr="00E86AF3">
        <w:rPr>
          <w:b/>
          <w:i/>
        </w:rPr>
        <w:lastRenderedPageBreak/>
        <w:t>4a straipsnis</w:t>
      </w:r>
    </w:p>
    <w:p w:rsidR="005B2EB9" w:rsidRPr="00E86AF3" w:rsidRDefault="005B2EB9" w:rsidP="005B2EB9">
      <w:pPr>
        <w:widowControl/>
        <w:spacing w:before="120" w:after="120"/>
        <w:jc w:val="center"/>
        <w:rPr>
          <w:rFonts w:eastAsia="Calibri"/>
          <w:b/>
          <w:bCs/>
          <w:i/>
          <w:noProof/>
          <w:szCs w:val="22"/>
        </w:rPr>
      </w:pPr>
      <w:r w:rsidRPr="00E86AF3">
        <w:rPr>
          <w:b/>
          <w:i/>
        </w:rPr>
        <w:t>Daliniai Reglamento (ES) Nr. 806/2014 pakeitimai</w:t>
      </w:r>
    </w:p>
    <w:p w:rsidR="005B2EB9" w:rsidRPr="00E86AF3" w:rsidRDefault="005B2EB9" w:rsidP="00365E66">
      <w:pPr>
        <w:widowControl/>
        <w:spacing w:before="120" w:after="120"/>
        <w:jc w:val="both"/>
        <w:rPr>
          <w:rFonts w:eastAsia="Calibri"/>
          <w:b/>
          <w:i/>
          <w:szCs w:val="22"/>
        </w:rPr>
      </w:pPr>
      <w:r w:rsidRPr="00E86AF3">
        <w:rPr>
          <w:b/>
          <w:i/>
        </w:rPr>
        <w:t>Reglament</w:t>
      </w:r>
      <w:r w:rsidR="00365E66">
        <w:rPr>
          <w:b/>
          <w:i/>
        </w:rPr>
        <w:t>e</w:t>
      </w:r>
      <w:r w:rsidRPr="00E86AF3">
        <w:rPr>
          <w:b/>
          <w:i/>
        </w:rPr>
        <w:t xml:space="preserve"> (ES) Nr. 806/2014 įterpiami šie straipsniai:</w:t>
      </w:r>
    </w:p>
    <w:p w:rsidR="005B2EB9" w:rsidRPr="00E86AF3" w:rsidRDefault="005B2EB9" w:rsidP="005B2EB9">
      <w:pPr>
        <w:widowControl/>
        <w:spacing w:before="120" w:after="120"/>
        <w:rPr>
          <w:rFonts w:eastAsia="Calibri"/>
          <w:b/>
          <w:i/>
          <w:noProof/>
          <w:szCs w:val="22"/>
        </w:rPr>
      </w:pPr>
      <w:r w:rsidRPr="00E86AF3">
        <w:rPr>
          <w:b/>
          <w:i/>
        </w:rPr>
        <w:t>„34a straipsnis</w:t>
      </w:r>
    </w:p>
    <w:p w:rsidR="005B2EB9" w:rsidRPr="00E86AF3" w:rsidRDefault="005B2EB9" w:rsidP="005B2EB9">
      <w:pPr>
        <w:widowControl/>
        <w:spacing w:before="120" w:after="120"/>
        <w:rPr>
          <w:rFonts w:eastAsia="Calibri"/>
          <w:b/>
          <w:i/>
          <w:noProof/>
          <w:szCs w:val="22"/>
        </w:rPr>
      </w:pPr>
      <w:r w:rsidRPr="00E86AF3">
        <w:rPr>
          <w:b/>
          <w:i/>
        </w:rPr>
        <w:t>Informacijos mainai tarp institucijų ir su kitais subjektais</w:t>
      </w:r>
    </w:p>
    <w:p w:rsidR="005B2EB9" w:rsidRPr="00E86AF3" w:rsidRDefault="005B2EB9" w:rsidP="005B2EB9">
      <w:pPr>
        <w:widowControl/>
        <w:spacing w:before="120" w:after="120"/>
        <w:ind w:left="851" w:hanging="851"/>
        <w:jc w:val="both"/>
        <w:rPr>
          <w:rFonts w:eastAsia="Calibri"/>
          <w:b/>
          <w:i/>
          <w:noProof/>
          <w:szCs w:val="22"/>
        </w:rPr>
      </w:pPr>
      <w:r w:rsidRPr="00E86AF3">
        <w:rPr>
          <w:b/>
          <w:i/>
        </w:rPr>
        <w:t>1.</w:t>
      </w:r>
      <w:r w:rsidRPr="00E86AF3">
        <w:rPr>
          <w:b/>
          <w:i/>
        </w:rPr>
        <w:tab/>
        <w:t>Valdyba ir nacionalinės pertvarkymo institucijos kiekvienu konkrečiu atveju arba reguliariai dalijasi su kitomis institucijomis informacija, kurią jos gavo iš finansų įstaigų ar kitų kompetentingų institucijų, kai prašančioji institucija turi teisę gauti tą informaciją atsižvelgiant į jos misiją, tikslus, užduotis ir įgaliojimus arba pagal atitinkamą Sąjungos teisę.</w:t>
      </w:r>
    </w:p>
    <w:p w:rsidR="005B2EB9" w:rsidRPr="00E86AF3" w:rsidRDefault="005B2EB9" w:rsidP="005B2EB9">
      <w:pPr>
        <w:widowControl/>
        <w:spacing w:before="120" w:after="120"/>
        <w:ind w:left="851"/>
        <w:jc w:val="both"/>
        <w:rPr>
          <w:rFonts w:eastAsia="Calibri"/>
          <w:b/>
          <w:i/>
          <w:noProof/>
          <w:szCs w:val="22"/>
        </w:rPr>
      </w:pPr>
      <w:r w:rsidRPr="00E86AF3">
        <w:rPr>
          <w:b/>
          <w:i/>
        </w:rPr>
        <w:t>Šios dalies pirmoje pastraipoje nurodytos informacijos dalijimosi tikslais Valdyba arba nacionalinė pertvarkymo institucija naudoja 34b straipsnyje nurodytą bendrą integruotą ataskaitų teikimo sistemą, kai ji bus sukurta.</w:t>
      </w:r>
    </w:p>
    <w:p w:rsidR="005B2EB9" w:rsidRPr="00E86AF3" w:rsidRDefault="005B2EB9" w:rsidP="005B2EB9">
      <w:pPr>
        <w:widowControl/>
        <w:spacing w:before="120" w:after="120"/>
        <w:ind w:left="851" w:hanging="851"/>
        <w:jc w:val="both"/>
        <w:rPr>
          <w:rFonts w:eastAsia="Calibri"/>
          <w:b/>
          <w:i/>
          <w:noProof/>
          <w:szCs w:val="22"/>
        </w:rPr>
      </w:pPr>
      <w:r w:rsidRPr="00E86AF3">
        <w:rPr>
          <w:b/>
          <w:i/>
        </w:rPr>
        <w:t>2.</w:t>
      </w:r>
      <w:r w:rsidRPr="00E86AF3">
        <w:rPr>
          <w:b/>
          <w:i/>
        </w:rPr>
        <w:tab/>
        <w:t>Valdyba ir nacionalinės pertvarkymo institucijos prašo kitų institucijų pateikti informaciją, kurios kitu atveju jos prašytų iš finansų įstaigų ar kitų kompetentingų institucijų, jei tenkinamos abi šios sąlygos:</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jos turi teisę gauti tą informaciją atsižvelgiant į jų misiją, tikslus, užduotis ir įgaliojimus arba pagal atitinkamą Sąjungos teisę;</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tą informaciją yra gavusi bent viena iš tų kitų institucijų.</w:t>
      </w:r>
    </w:p>
    <w:p w:rsidR="005B2EB9" w:rsidRPr="00E86AF3" w:rsidRDefault="005B2EB9" w:rsidP="005B2EB9">
      <w:pPr>
        <w:widowControl/>
        <w:spacing w:before="120" w:after="120"/>
        <w:ind w:left="851"/>
        <w:jc w:val="both"/>
        <w:rPr>
          <w:rFonts w:eastAsia="Calibri"/>
          <w:b/>
          <w:i/>
          <w:noProof/>
          <w:szCs w:val="22"/>
        </w:rPr>
      </w:pPr>
      <w:r w:rsidRPr="00E86AF3">
        <w:rPr>
          <w:b/>
          <w:i/>
        </w:rPr>
        <w:t>Pirma pastraipa nedaro poveikio Valdybos ir nacionalinių pertvarkymo institucijų galimybei gauti prašomą informaciją iš finansų įstaigų ar kitų kompetentingų institucijų, kai dėl veikimo priežasčių kita institucija negali dalytis duomenimis.</w:t>
      </w:r>
    </w:p>
    <w:p w:rsidR="005B2EB9" w:rsidRPr="00E86AF3" w:rsidRDefault="005B2EB9" w:rsidP="005B2EB9">
      <w:pPr>
        <w:widowControl/>
        <w:spacing w:before="120" w:after="120"/>
        <w:ind w:left="851"/>
        <w:jc w:val="both"/>
        <w:rPr>
          <w:rFonts w:eastAsia="Calibri"/>
          <w:b/>
          <w:i/>
          <w:noProof/>
          <w:szCs w:val="22"/>
        </w:rPr>
      </w:pPr>
      <w:r w:rsidRPr="00E86AF3">
        <w:rPr>
          <w:b/>
          <w:i/>
        </w:rPr>
        <w:t>Siekdama nustatyti, ar įvykdyta pirmos pastraipos b punkte nurodyta sąlyga, Valdyba naudoja 34b straipsnyje nurodytą bendrą integruotą ataskaitų teikimo sistemą, kai ji bus sukurta.</w:t>
      </w:r>
    </w:p>
    <w:p w:rsidR="005B2EB9" w:rsidRPr="00E86AF3" w:rsidRDefault="005B2EB9" w:rsidP="005B2EB9">
      <w:pPr>
        <w:widowControl/>
        <w:spacing w:before="120" w:after="120"/>
        <w:ind w:left="851" w:hanging="851"/>
        <w:jc w:val="both"/>
        <w:rPr>
          <w:rFonts w:eastAsia="Calibri"/>
          <w:b/>
          <w:i/>
          <w:noProof/>
          <w:szCs w:val="22"/>
        </w:rPr>
      </w:pPr>
      <w:r w:rsidRPr="00E86AF3">
        <w:rPr>
          <w:b/>
          <w:i/>
        </w:rPr>
        <w:t>3.</w:t>
      </w:r>
      <w:r w:rsidRPr="00E86AF3">
        <w:rPr>
          <w:b/>
          <w:i/>
        </w:rPr>
        <w:tab/>
        <w:t>Šiame straipsnyje ir 34b straipsnyje „kitos institucijos“ – tai bet kuri iš šių institucijų:</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Europos priežiūros institucijos;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ESRV;</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kompetentingos institucijos, kaip apibrėžta Reglamento (ES) Nr. 1093/2010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kompetentingos institucijos, kaip apibrėžta Reglamento (ES) Nr. 1094/2010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e)</w:t>
      </w:r>
      <w:r w:rsidRPr="00E86AF3">
        <w:rPr>
          <w:b/>
          <w:i/>
        </w:rPr>
        <w:tab/>
        <w:t>kompetentingos institucijos, kaip apibrėžta Reglamento (ES) Nr. 1095/2010 4 straipsnio 3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f)</w:t>
      </w:r>
      <w:r w:rsidRPr="00E86AF3">
        <w:rPr>
          <w:b/>
          <w:i/>
        </w:rPr>
        <w:tab/>
        <w:t>AMLA, įsteigta Europos Parlamento ir Tarybos reglamentu (ES) .../...</w:t>
      </w:r>
      <w:r w:rsidR="00BA57EE">
        <w:rPr>
          <w:rStyle w:val="FootnoteReference"/>
          <w:b/>
          <w:i/>
        </w:rPr>
        <w:footnoteReference w:customMarkFollows="1" w:id="21"/>
        <w:t>+</w:t>
      </w:r>
      <w:r w:rsidRPr="00E86AF3">
        <w:rPr>
          <w:b/>
          <w:i/>
        </w:rPr>
        <w:t>;</w:t>
      </w:r>
    </w:p>
    <w:p w:rsidR="005B2EB9" w:rsidRPr="00E86AF3" w:rsidRDefault="005B2EB9" w:rsidP="005B2EB9">
      <w:pPr>
        <w:widowControl/>
        <w:spacing w:before="120" w:after="120"/>
        <w:ind w:left="1418" w:hanging="567"/>
        <w:jc w:val="both"/>
        <w:rPr>
          <w:rFonts w:eastAsia="Calibri"/>
          <w:b/>
          <w:i/>
          <w:noProof/>
          <w:szCs w:val="22"/>
        </w:rPr>
      </w:pPr>
      <w:r w:rsidRPr="00E86AF3">
        <w:rPr>
          <w:b/>
          <w:i/>
        </w:rPr>
        <w:lastRenderedPageBreak/>
        <w:t>g)</w:t>
      </w:r>
      <w:r w:rsidRPr="00E86AF3">
        <w:rPr>
          <w:b/>
          <w:i/>
        </w:rPr>
        <w:tab/>
        <w:t>institucijos, kaip apibrėžta Europos Parlamento ir Tarybos direktyvos (ES) .../...</w:t>
      </w:r>
      <w:r w:rsidR="00BA57EE">
        <w:rPr>
          <w:rStyle w:val="FootnoteReference"/>
          <w:b/>
          <w:i/>
        </w:rPr>
        <w:footnoteReference w:customMarkFollows="1" w:id="22"/>
        <w:t>++</w:t>
      </w:r>
      <w:r w:rsidRPr="00E86AF3">
        <w:rPr>
          <w:b/>
          <w:i/>
        </w:rPr>
        <w:t xml:space="preserve"> 2 straipsnio 1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h)</w:t>
      </w:r>
      <w:r w:rsidRPr="00E86AF3">
        <w:rPr>
          <w:b/>
          <w:i/>
        </w:rPr>
        <w:tab/>
        <w:t>BPM, kaip apibrėžta Reglamento (ES) Nr. 1024/2013 2 straipsnio 9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i)</w:t>
      </w:r>
      <w:r w:rsidRPr="00E86AF3">
        <w:rPr>
          <w:b/>
          <w:i/>
        </w:rPr>
        <w:tab/>
        <w:t xml:space="preserve"> nacionalinės pertvarkymo institucijos, kaip apibrėžta 3 straipsnio 3 punkte.</w:t>
      </w:r>
    </w:p>
    <w:p w:rsidR="005B2EB9" w:rsidRPr="00E86AF3" w:rsidRDefault="005B2EB9" w:rsidP="005B2EB9">
      <w:pPr>
        <w:widowControl/>
        <w:spacing w:before="120" w:after="120"/>
        <w:ind w:left="851"/>
        <w:jc w:val="both"/>
        <w:rPr>
          <w:rFonts w:eastAsia="Calibri"/>
          <w:b/>
          <w:i/>
          <w:noProof/>
          <w:szCs w:val="22"/>
        </w:rPr>
      </w:pPr>
      <w:r w:rsidRPr="00E86AF3">
        <w:rPr>
          <w:b/>
          <w:i/>
        </w:rPr>
        <w:t>Šiame straipsnyje finansų įstaiga – finansų įstaiga, kaip apibrėžta Reglamento (ES) Nr. 1092/2010 2 straipsnio a punkte.</w:t>
      </w:r>
    </w:p>
    <w:p w:rsidR="005B2EB9" w:rsidRPr="00E86AF3" w:rsidRDefault="005B2EB9" w:rsidP="005B2EB9">
      <w:pPr>
        <w:widowControl/>
        <w:spacing w:before="120" w:after="120"/>
        <w:ind w:left="851" w:hanging="851"/>
        <w:jc w:val="both"/>
        <w:rPr>
          <w:rFonts w:eastAsia="Calibri"/>
          <w:b/>
          <w:i/>
          <w:noProof/>
          <w:szCs w:val="22"/>
        </w:rPr>
      </w:pPr>
      <w:r w:rsidRPr="00E86AF3">
        <w:rPr>
          <w:b/>
          <w:i/>
        </w:rPr>
        <w:t>4.</w:t>
      </w:r>
      <w:r w:rsidRPr="00E86AF3">
        <w:rPr>
          <w:b/>
          <w:i/>
        </w:rPr>
        <w:tab/>
        <w:t>Prašyme keistis informacija tinkamai nurodomas teisinis pagrindas pagal Sąjungos teisę, suteikiantis teisę prašančiajai institucijai gauti informaciją iš finansų įstaigų ar kitų kompetentingų institucijų. Prašančioji institucija ir teikiančioji institucija turi pareigą saugoti profesinę paslaptį ir laikytis duomenų apsaugos nuostatų, nustatytų 88 ir 89 straipsniuose ir sektorių teisės aktuose, taikytinuose finansų įstaigos ir prašančiosios institucijos duomenų dalijimuisi, taip pat finansų įstaigos ir teikiančiosios institucijos duomenų dalijimuisi. Teikiančioji institucija nepagrįstai nedelsdama informuoja kiekvieną atitinkamą finansų įstaigą apie tokį keitimąsi informacija, jei informacija nebuvo anonimizuota, pakeista, apibendrinta ar tvarkoma bet kuriuo kitu informacijos atskleidimo kontrolės būdu, siekiant apsaugoti konfidencialią informaciją.</w:t>
      </w:r>
    </w:p>
    <w:p w:rsidR="005B2EB9" w:rsidRPr="00E86AF3" w:rsidRDefault="005B2EB9" w:rsidP="005B2EB9">
      <w:pPr>
        <w:widowControl/>
        <w:spacing w:before="120" w:after="120"/>
        <w:ind w:left="851" w:hanging="851"/>
        <w:jc w:val="both"/>
        <w:rPr>
          <w:rFonts w:eastAsia="Calibri"/>
          <w:b/>
          <w:i/>
          <w:noProof/>
          <w:szCs w:val="22"/>
        </w:rPr>
      </w:pPr>
      <w:r w:rsidRPr="00E86AF3">
        <w:rPr>
          <w:b/>
          <w:i/>
        </w:rPr>
        <w:t>5.</w:t>
      </w:r>
      <w:r w:rsidRPr="00E86AF3">
        <w:rPr>
          <w:b/>
          <w:i/>
        </w:rPr>
        <w:tab/>
        <w:t>1, 2 ir 4 dalys taip pat taikomos informacijai, kurią teikiančioji institucija yra gavusi iš finansų įstaigos ar kitų institucijų ir kurios kokybės patikrą teikiančioji institucija yra po to atlikusi ar kurią ji yra kitaip tvarkiusi.</w:t>
      </w:r>
    </w:p>
    <w:p w:rsidR="005B2EB9" w:rsidRPr="00E86AF3" w:rsidRDefault="005B2EB9" w:rsidP="005B2EB9">
      <w:pPr>
        <w:widowControl/>
        <w:spacing w:before="120" w:after="120"/>
        <w:ind w:left="851" w:hanging="851"/>
        <w:jc w:val="both"/>
        <w:rPr>
          <w:rFonts w:eastAsia="Calibri"/>
          <w:b/>
          <w:i/>
          <w:noProof/>
          <w:szCs w:val="22"/>
        </w:rPr>
      </w:pPr>
      <w:r w:rsidRPr="00E86AF3">
        <w:rPr>
          <w:b/>
          <w:i/>
        </w:rPr>
        <w:t>6.</w:t>
      </w:r>
      <w:r w:rsidRPr="00E86AF3">
        <w:rPr>
          <w:b/>
          <w:i/>
        </w:rPr>
        <w:tab/>
        <w:t>Norėdamos dalytis informacija, kaip nurodyta 1, 2, 4 ir 5 dalyse, Valdyba ir kitos institucijos sudaro susitarimo memorandumus ir juose nustato informacijos mainų tvarką. Jos taip pat nustato išteklių, reikalingų tokiems duomenims, kuriais dalijamasi, rinkti ir tvarkyti, dalijimosi tvarką, jei taikant tokius susitarimus laikomasi taikytinų duomenų apsaugos, intelektinės nuosavybės ir profesinės paslapties taisyklių. Visoms susijusioms institucijoms sutarus, susitarimo memorandumai turi būti paprasto ir standartizuoto formato, kuris, prireikus, pritaikomas pagal specialias veikimo sąlygas, kurios gali būti taikomos konkrečioms institucijoms.</w:t>
      </w:r>
    </w:p>
    <w:p w:rsidR="005B2EB9" w:rsidRPr="00E86AF3" w:rsidRDefault="005B2EB9" w:rsidP="005B2EB9">
      <w:pPr>
        <w:widowControl/>
        <w:spacing w:before="120" w:after="120"/>
        <w:ind w:left="851" w:hanging="851"/>
        <w:jc w:val="both"/>
        <w:rPr>
          <w:rFonts w:eastAsia="Calibri"/>
          <w:b/>
          <w:i/>
          <w:noProof/>
          <w:szCs w:val="22"/>
        </w:rPr>
      </w:pPr>
      <w:r w:rsidRPr="00E86AF3">
        <w:rPr>
          <w:b/>
          <w:i/>
        </w:rPr>
        <w:t>7.</w:t>
      </w:r>
      <w:r w:rsidRPr="00E86AF3">
        <w:rPr>
          <w:b/>
          <w:i/>
        </w:rPr>
        <w:tab/>
        <w:t>1–6 dalys nedaro poveikio intelektinės nuosavybės teisių apsaugai ir netrukdo Valdybai ir kitoms institucijoms keistis informacija pagal kitų Sąjungos teisės aktų nuostatas ir to keitimosi neriboja. Jei šio straipsnio nuostatos prieštarauja šio reglamento ir kitų Sąjungos teisės aktų nuostatoms, kuriomis reglamentuojami kitų institucijų informacijos mainai, tų kitų Sąjungos teisės aktų nuostatos turi viršenybę.</w:t>
      </w:r>
    </w:p>
    <w:p w:rsidR="005B2EB9" w:rsidRPr="00E86AF3" w:rsidRDefault="005B2EB9" w:rsidP="005B2EB9">
      <w:pPr>
        <w:widowControl/>
        <w:spacing w:before="120" w:after="120"/>
        <w:ind w:left="851" w:hanging="851"/>
        <w:jc w:val="both"/>
        <w:rPr>
          <w:rFonts w:eastAsia="Calibri"/>
          <w:b/>
          <w:i/>
          <w:noProof/>
          <w:szCs w:val="22"/>
        </w:rPr>
      </w:pPr>
      <w:r w:rsidRPr="00E86AF3">
        <w:rPr>
          <w:b/>
          <w:i/>
        </w:rPr>
        <w:t>8.</w:t>
      </w:r>
      <w:r w:rsidRPr="00E86AF3">
        <w:rPr>
          <w:b/>
          <w:i/>
        </w:rPr>
        <w:tab/>
        <w:t>Nedarant poveikio kitoms Sąjungos teisėje nustatytoms pareigoms dėl dalijimosi informacija, Valdyba ir nacionalinės pertvarkymo institucijos, gavusios pagrįstą prašymą, gali kiekvienu konkrečiu atveju dalytis su Komisija informacija, kurią finansų įstaigos joms pateikė vykdydamos savo pareigas pagal Sąjungos teisę, tokia forma, kuri neleidžia identifikuoti atskirų subjektų ir neapima asmens duomenų. Tokią informaciją pateikusios institucijos tinkamai informuojamos apie dalijimąsi šia informacija.</w:t>
      </w:r>
    </w:p>
    <w:p w:rsidR="005B2EB9" w:rsidRPr="00E86AF3" w:rsidRDefault="005B2EB9" w:rsidP="005B2EB9">
      <w:pPr>
        <w:widowControl/>
        <w:spacing w:before="120" w:after="120"/>
        <w:ind w:left="851" w:hanging="851"/>
        <w:jc w:val="both"/>
        <w:rPr>
          <w:rFonts w:eastAsia="Calibri"/>
          <w:b/>
          <w:i/>
          <w:noProof/>
          <w:szCs w:val="22"/>
        </w:rPr>
      </w:pPr>
      <w:r w:rsidRPr="00E86AF3">
        <w:rPr>
          <w:b/>
          <w:i/>
        </w:rPr>
        <w:lastRenderedPageBreak/>
        <w:t>9.</w:t>
      </w:r>
      <w:r w:rsidRPr="00E86AF3">
        <w:rPr>
          <w:b/>
          <w:i/>
        </w:rPr>
        <w:tab/>
        <w:t>Valdyba ir nacionalinės pertvarkymo institucijos gali leisti pakartotinai naudoti informaciją, kurią jos yra gavusios vykdydamos savo pareigas, finansų įstaigoms, mokslininkams ir kitiems subjektams, turintiems teisėtą interesą naudoti tokią informaciją mokslinių tyrimų ir inovacijų tikslais, jeigu Institucija užtikrino, kad įvykdytos visos šios sąlygos:</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informacija yra anonimizuota taip, kad identifikuoti duomenų subjekto ar finansų įstaigos neįmanoma ar nebeįmanoma;</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siekiant apsaugoti konfidencialią informaciją, įskaitant komercines paslaptis ar turinį, apsaugotą intelektinės nuosavybės teisėmis, informacija buvo pakeista, agreguota ar apdorota bet kuriuo kitu duomenų atskleidimo kontrolės metodu;</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šalys, kurioms suteikta prieiga, įrodė, kad jos turi reikiamas technines priemones konfidencialiai informacijai apsaugoti, t. y. jos turi priemonių, kuriomis galima visapusiškai užtikrinti privatumo ir konfidencialumo apsaugą.</w:t>
      </w:r>
    </w:p>
    <w:p w:rsidR="005B2EB9" w:rsidRPr="00E86AF3" w:rsidRDefault="005B2EB9" w:rsidP="005B2EB9">
      <w:pPr>
        <w:widowControl/>
        <w:spacing w:before="120" w:after="120"/>
        <w:ind w:left="851"/>
        <w:jc w:val="both"/>
        <w:rPr>
          <w:rFonts w:eastAsia="Calibri"/>
          <w:b/>
          <w:i/>
          <w:noProof/>
          <w:szCs w:val="22"/>
        </w:rPr>
      </w:pPr>
      <w:r w:rsidRPr="00E86AF3">
        <w:rPr>
          <w:b/>
          <w:i/>
        </w:rPr>
        <w:t>Informacija, gauta iš kitos institucijos, šiuo pagrindu dalijamasi tik susitarus su institucija, kuri pirmoji gavo tą informaciją.</w:t>
      </w:r>
    </w:p>
    <w:p w:rsidR="005B2EB9" w:rsidRPr="00E86AF3" w:rsidRDefault="005B2EB9" w:rsidP="005B2EB9">
      <w:pPr>
        <w:widowControl/>
        <w:spacing w:before="120" w:after="120"/>
        <w:ind w:left="851" w:hanging="851"/>
        <w:jc w:val="both"/>
        <w:rPr>
          <w:rFonts w:eastAsia="Calibri"/>
          <w:b/>
          <w:i/>
          <w:noProof/>
          <w:szCs w:val="22"/>
        </w:rPr>
      </w:pPr>
      <w:r w:rsidRPr="00E86AF3">
        <w:rPr>
          <w:b/>
          <w:i/>
        </w:rPr>
        <w:t>10.</w:t>
      </w:r>
      <w:r w:rsidRPr="00E86AF3">
        <w:rPr>
          <w:b/>
          <w:i/>
        </w:rPr>
        <w:tab/>
        <w:t>Ne vėliau kaip ... [vieni metai nuo šio iš dalies keičiančio reglamento įsigaliojimo dienos] Valdyba ir nacionalinės pertvarkymo institucijos praneša Komisijai apie sektorių teisės aktuose iškilusias teisines kliūtis, kurios kokiu nors būdu trukdo joms keistis informacija su kitomis institucijomis ar kitais subjektais. Ataskaitoje taip pat gali būti nagrinėjami nereikšmingi, nebeaktualūs, besidubliuojantys ar kitu požiūriu nereikalingi atskaitomybės reikalavimai ir pateikti pasiūlymai, kaip užtikrinti finansų ir ne finansų bendrovių atskaitomybės reikalavimų nuoseklumą.</w:t>
      </w:r>
    </w:p>
    <w:p w:rsidR="005B2EB9" w:rsidRPr="00E86AF3" w:rsidRDefault="005B2EB9" w:rsidP="005B2EB9">
      <w:pPr>
        <w:widowControl/>
        <w:spacing w:before="120" w:after="120"/>
        <w:ind w:left="851"/>
        <w:jc w:val="both"/>
        <w:rPr>
          <w:rFonts w:eastAsia="Calibri"/>
          <w:b/>
          <w:i/>
          <w:noProof/>
          <w:szCs w:val="22"/>
        </w:rPr>
      </w:pPr>
      <w:r w:rsidRPr="00E86AF3">
        <w:rPr>
          <w:b/>
          <w:i/>
        </w:rPr>
        <w:t>Remdamasi ta ataskaita ir deramai atsižvelgdama į intelektinės nuosavybės teisių apsaugą, pareigą saugoti profesinę paslaptį ir užtikrinti duomenų apsaugą, Komisija, kai tikslinga, ne vėliau kaip ... [2 metai nuo šio iš dalies keičiančio reglamento įsigaliojimo dienos] Europos Parlamentui ir Tarybai pateikia pasiūlymą dėl teisėkūros procedūra priimamo akto, kuriuo siekiama pašalinti tokias teisines kliūtis sektorių teisės aktuose, kad būtų skatinamas keitimasis informacija tarp institucijų ir su kitais subjektais.</w:t>
      </w:r>
    </w:p>
    <w:p w:rsidR="005B2EB9" w:rsidRPr="00E86AF3" w:rsidRDefault="005B2EB9" w:rsidP="005B2EB9">
      <w:pPr>
        <w:widowControl/>
        <w:spacing w:before="120" w:after="120"/>
        <w:jc w:val="center"/>
        <w:rPr>
          <w:rFonts w:eastAsia="Calibri"/>
          <w:b/>
          <w:i/>
          <w:noProof/>
          <w:szCs w:val="22"/>
          <w:lang w:eastAsia="en-US"/>
        </w:rPr>
      </w:pPr>
    </w:p>
    <w:p w:rsidR="005B2EB9" w:rsidRPr="00E86AF3" w:rsidRDefault="005B2EB9" w:rsidP="005B2EB9">
      <w:pPr>
        <w:widowControl/>
        <w:spacing w:before="120" w:after="120"/>
        <w:jc w:val="center"/>
        <w:rPr>
          <w:rFonts w:eastAsia="Calibri"/>
          <w:b/>
          <w:i/>
          <w:noProof/>
          <w:szCs w:val="22"/>
        </w:rPr>
      </w:pPr>
      <w:r w:rsidRPr="00E86AF3">
        <w:rPr>
          <w:b/>
          <w:i/>
        </w:rPr>
        <w:t>34b straipsnis</w:t>
      </w:r>
    </w:p>
    <w:p w:rsidR="005B2EB9" w:rsidRPr="00E86AF3" w:rsidRDefault="005B2EB9" w:rsidP="005B2EB9">
      <w:pPr>
        <w:widowControl/>
        <w:spacing w:before="120" w:after="120"/>
        <w:jc w:val="center"/>
        <w:rPr>
          <w:rFonts w:eastAsia="Calibri"/>
          <w:b/>
          <w:i/>
          <w:noProof/>
          <w:szCs w:val="22"/>
        </w:rPr>
      </w:pPr>
      <w:r w:rsidRPr="00E86AF3">
        <w:rPr>
          <w:b/>
          <w:i/>
        </w:rPr>
        <w:t>Bendros integruotos ataskaitų teikimo sistemos sukūrimas</w:t>
      </w:r>
    </w:p>
    <w:p w:rsidR="005B2EB9" w:rsidRPr="00E86AF3" w:rsidRDefault="005B2EB9" w:rsidP="005B2EB9">
      <w:pPr>
        <w:widowControl/>
        <w:spacing w:before="120" w:after="120"/>
        <w:ind w:left="851" w:hanging="851"/>
        <w:jc w:val="both"/>
        <w:rPr>
          <w:rFonts w:eastAsia="Calibri"/>
          <w:b/>
          <w:i/>
          <w:noProof/>
          <w:szCs w:val="22"/>
        </w:rPr>
      </w:pPr>
      <w:r w:rsidRPr="00E86AF3">
        <w:rPr>
          <w:b/>
          <w:i/>
        </w:rPr>
        <w:t>1.</w:t>
      </w:r>
      <w:r w:rsidRPr="00E86AF3">
        <w:rPr>
          <w:b/>
          <w:i/>
        </w:rPr>
        <w:tab/>
        <w:t>Ne vėliau kaip ... [2 metai nuo šio iš dalies keičiančio reglamento įsigaliojimo dienos] Valdyba, glaudžiai bendradarbiaudama su kitomis institucijomis, parengia ataskaitą dėl bendros integruotos ataskaitų teikimo sistemos sukūrimo techninės informacijos, taip pat veiksmų gaires, grindžiamas EPI ataskaitų integravimo jų sektoriuose darbu, ir įtraukia sąnaudų ir naudos vertinimą. Tos ataskaitos tikslais bendra integruota ataskaitų teikimo sistema apima:</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bendrą duomenų žodyną, kad būtų užtikrintas atskaitomybės reikalavimų nuoseklumas ir aiškumas bei duomenų standartizavimas;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bendrą atskaitomybės ir informacijos atskleidimo reikalavimų, surinktų duomenų ir juos turinčių institucijų aprašymų saugyklą;</w:t>
      </w:r>
    </w:p>
    <w:p w:rsidR="005B2EB9" w:rsidRPr="00E86AF3" w:rsidRDefault="005B2EB9" w:rsidP="005B2EB9">
      <w:pPr>
        <w:widowControl/>
        <w:spacing w:before="120" w:after="120"/>
        <w:ind w:left="1418" w:hanging="567"/>
        <w:jc w:val="both"/>
        <w:rPr>
          <w:rFonts w:eastAsia="Calibri"/>
          <w:b/>
          <w:i/>
          <w:noProof/>
          <w:szCs w:val="22"/>
        </w:rPr>
      </w:pPr>
      <w:r w:rsidRPr="00E86AF3">
        <w:rPr>
          <w:b/>
          <w:i/>
        </w:rPr>
        <w:lastRenderedPageBreak/>
        <w:t>c)</w:t>
      </w:r>
      <w:r w:rsidRPr="00E86AF3">
        <w:rPr>
          <w:b/>
          <w:i/>
        </w:rPr>
        <w:tab/>
        <w:t>centrinę duomenų erdvę, įskaitant techninį projektą, skirtą informacijai rinkti ir ja keistis, ir</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nuolatinį vieną bendrą kontaktinį punktą subjektams, kad jie galėtų nurodyti dvigubo ataskaitų teikimo, perteklinių ar nebeaktualių ataskaitų arba informacijos atskleidimo reikalavimų atvejus.</w:t>
      </w:r>
    </w:p>
    <w:p w:rsidR="005B2EB9" w:rsidRPr="00E86AF3" w:rsidRDefault="005B2EB9" w:rsidP="005B2EB9">
      <w:pPr>
        <w:widowControl/>
        <w:spacing w:before="120" w:after="120"/>
        <w:ind w:left="1418" w:hanging="1418"/>
        <w:jc w:val="both"/>
        <w:rPr>
          <w:rFonts w:eastAsia="Calibri"/>
          <w:b/>
          <w:i/>
          <w:noProof/>
          <w:szCs w:val="22"/>
        </w:rPr>
      </w:pPr>
      <w:r w:rsidRPr="00E86AF3">
        <w:rPr>
          <w:b/>
          <w:i/>
        </w:rPr>
        <w:t>2.</w:t>
      </w:r>
      <w:r w:rsidRPr="00E86AF3">
        <w:rPr>
          <w:b/>
          <w:i/>
        </w:rPr>
        <w:tab/>
        <w:t xml:space="preserve">Glaudžiai bendradarbiaujant su Komisija, prie ataskaitos pridedamas bendro finansinio poveikio įvertinimas. </w:t>
      </w:r>
    </w:p>
    <w:p w:rsidR="005B2EB9" w:rsidRPr="00E86AF3" w:rsidRDefault="005B2EB9" w:rsidP="003A328D">
      <w:pPr>
        <w:widowControl/>
        <w:spacing w:before="120" w:after="120"/>
        <w:ind w:left="1418"/>
        <w:jc w:val="both"/>
        <w:rPr>
          <w:rFonts w:eastAsia="Calibri"/>
          <w:b/>
          <w:i/>
          <w:noProof/>
          <w:szCs w:val="22"/>
        </w:rPr>
      </w:pPr>
      <w:r w:rsidRPr="00E86AF3">
        <w:rPr>
          <w:b/>
          <w:i/>
        </w:rPr>
        <w:t xml:space="preserve">Kai tikslinga, ne vėliau kaip ... [3 metai nuo šio iš dalies keičiančio reglamento įsigaliojimo dienos] Komisija pateikia Europos Parlamentui ir Tarybai pasiūlymą dėl teisėkūros procedūra priimamo akto, kuriuo siekiama užtikrinti bendros integruotos ataskaitų teikimo sistemos kūrimui reikalingus finansinius, žmogiškuosius ir IT išteklius. </w:t>
      </w:r>
    </w:p>
    <w:p w:rsidR="005B2EB9" w:rsidRPr="00E86AF3" w:rsidRDefault="005B2EB9" w:rsidP="003A328D">
      <w:pPr>
        <w:widowControl/>
        <w:spacing w:before="120" w:after="120"/>
        <w:ind w:left="1418"/>
        <w:jc w:val="both"/>
        <w:rPr>
          <w:rFonts w:eastAsia="Calibri"/>
          <w:b/>
          <w:i/>
          <w:noProof/>
          <w:szCs w:val="22"/>
        </w:rPr>
      </w:pPr>
      <w:r w:rsidRPr="00E86AF3">
        <w:rPr>
          <w:b/>
          <w:i/>
        </w:rPr>
        <w:t>Ne vėliau kaip ... [3 metai nuo šio iš dalies keičiančio reglamento įsigaliojimo dienos] Valdyba drauge su kitomis institucijomis sukuria bendrą integruotą ataskaitų teikimo sistemą.</w:t>
      </w:r>
      <w:r w:rsidR="003A328D">
        <w:rPr>
          <w:b/>
          <w:i/>
        </w:rPr>
        <w:t>“;</w:t>
      </w:r>
    </w:p>
    <w:p w:rsidR="005B2EB9" w:rsidRPr="00E86AF3" w:rsidRDefault="005B2EB9" w:rsidP="005B2EB9">
      <w:pPr>
        <w:keepNext/>
        <w:widowControl/>
        <w:spacing w:before="360" w:after="120"/>
        <w:jc w:val="center"/>
        <w:rPr>
          <w:rFonts w:eastAsia="Calibri"/>
          <w:b/>
          <w:i/>
          <w:noProof/>
          <w:szCs w:val="22"/>
        </w:rPr>
      </w:pPr>
      <w:r w:rsidRPr="00E86AF3">
        <w:rPr>
          <w:b/>
          <w:i/>
        </w:rPr>
        <w:t>4b straipsnis</w:t>
      </w:r>
    </w:p>
    <w:p w:rsidR="005B2EB9" w:rsidRPr="00E86AF3" w:rsidRDefault="005B2EB9" w:rsidP="005B2EB9">
      <w:pPr>
        <w:widowControl/>
        <w:spacing w:before="120" w:after="120"/>
        <w:jc w:val="center"/>
        <w:rPr>
          <w:rFonts w:eastAsia="Calibri"/>
          <w:b/>
          <w:bCs/>
          <w:i/>
          <w:noProof/>
          <w:szCs w:val="22"/>
        </w:rPr>
      </w:pPr>
      <w:r w:rsidRPr="00E86AF3">
        <w:rPr>
          <w:b/>
          <w:i/>
        </w:rPr>
        <w:t>Daliniai Reglamento (ES) .../..., kuriuo įsteigiama Kovos su pinigų plovimu institucija, pakeitimai</w:t>
      </w:r>
    </w:p>
    <w:p w:rsidR="005B2EB9" w:rsidRPr="00E86AF3" w:rsidRDefault="005B2EB9" w:rsidP="005B2EB9">
      <w:pPr>
        <w:widowControl/>
        <w:spacing w:before="120" w:after="120"/>
        <w:jc w:val="both"/>
        <w:rPr>
          <w:rFonts w:eastAsia="Calibri"/>
          <w:b/>
          <w:i/>
          <w:noProof/>
          <w:szCs w:val="22"/>
        </w:rPr>
      </w:pPr>
      <w:r w:rsidRPr="00E86AF3">
        <w:rPr>
          <w:b/>
          <w:i/>
        </w:rPr>
        <w:t>Reglamentas (ES) .../...</w:t>
      </w:r>
      <w:r w:rsidR="00BA57EE">
        <w:rPr>
          <w:rStyle w:val="FootnoteReference"/>
          <w:b/>
          <w:i/>
        </w:rPr>
        <w:footnoteReference w:customMarkFollows="1" w:id="23"/>
        <w:t>+</w:t>
      </w:r>
      <w:r w:rsidRPr="00E86AF3">
        <w:rPr>
          <w:b/>
          <w:i/>
        </w:rPr>
        <w:t xml:space="preserve"> iš dalies keičiamas taip:</w:t>
      </w:r>
    </w:p>
    <w:p w:rsidR="005B2EB9" w:rsidRPr="00E86AF3" w:rsidRDefault="005B2EB9" w:rsidP="005B2EB9">
      <w:pPr>
        <w:widowControl/>
        <w:spacing w:before="120" w:after="120"/>
        <w:ind w:left="850" w:hanging="850"/>
        <w:jc w:val="both"/>
        <w:rPr>
          <w:rFonts w:eastAsia="Calibri"/>
          <w:b/>
          <w:i/>
          <w:szCs w:val="22"/>
        </w:rPr>
      </w:pPr>
      <w:r w:rsidRPr="00E86AF3">
        <w:rPr>
          <w:b/>
          <w:i/>
        </w:rPr>
        <w:t>1.</w:t>
      </w:r>
      <w:r w:rsidRPr="00E86AF3">
        <w:rPr>
          <w:b/>
          <w:i/>
        </w:rPr>
        <w:tab/>
        <w:t>10 straipsnio 2 dalis papildoma d punktu:</w:t>
      </w:r>
    </w:p>
    <w:p w:rsidR="005B2EB9" w:rsidRPr="00E86AF3" w:rsidRDefault="005B2EB9" w:rsidP="005B2EB9">
      <w:pPr>
        <w:widowControl/>
        <w:spacing w:before="120" w:after="120"/>
        <w:ind w:left="851"/>
        <w:jc w:val="both"/>
        <w:rPr>
          <w:rFonts w:eastAsia="Calibri"/>
          <w:b/>
          <w:i/>
          <w:szCs w:val="22"/>
        </w:rPr>
      </w:pPr>
      <w:r w:rsidRPr="00E86AF3">
        <w:rPr>
          <w:b/>
          <w:i/>
        </w:rPr>
        <w:t>„d)</w:t>
      </w:r>
      <w:r w:rsidRPr="00E86AF3">
        <w:rPr>
          <w:b/>
          <w:i/>
        </w:rPr>
        <w:tab/>
        <w:t>peržiūri atitinkamų Komisijos priimtų techninių reguliavimo ir įgyvendinimo standartų, Institucijos paskelbtų gairių ir rekomendacijų taikymą ir prireikus siūlo pakeitimus, išlaikant galimybes panaudoti duomenis ir jų kokybę, siekiant:</w:t>
      </w:r>
    </w:p>
    <w:p w:rsidR="005B2EB9" w:rsidRPr="00E86AF3" w:rsidRDefault="005B2EB9" w:rsidP="005B2EB9">
      <w:pPr>
        <w:widowControl/>
        <w:spacing w:before="120" w:after="120"/>
        <w:ind w:left="720"/>
        <w:jc w:val="both"/>
        <w:rPr>
          <w:rFonts w:eastAsia="Calibri"/>
          <w:b/>
          <w:i/>
          <w:szCs w:val="22"/>
        </w:rPr>
      </w:pPr>
      <w:r w:rsidRPr="00E86AF3">
        <w:rPr>
          <w:b/>
          <w:bCs/>
          <w:i/>
          <w:iCs/>
        </w:rPr>
        <w:t>–</w:t>
      </w:r>
      <w:r w:rsidRPr="00E86AF3">
        <w:rPr>
          <w:b/>
          <w:i/>
        </w:rPr>
        <w:t xml:space="preserve"> panaikinti perteklinius ar nebeaktualius atskaitomybės ir informacijos atskleidimo reikalavimus;</w:t>
      </w:r>
    </w:p>
    <w:p w:rsidR="005B2EB9" w:rsidRPr="00E86AF3" w:rsidRDefault="005B2EB9" w:rsidP="005B2EB9">
      <w:pPr>
        <w:widowControl/>
        <w:spacing w:before="120" w:after="120"/>
        <w:ind w:left="720"/>
        <w:jc w:val="both"/>
        <w:rPr>
          <w:rFonts w:eastAsia="Calibri"/>
          <w:b/>
          <w:i/>
          <w:noProof/>
          <w:szCs w:val="22"/>
        </w:rPr>
      </w:pPr>
      <w:r w:rsidRPr="00E86AF3">
        <w:rPr>
          <w:b/>
          <w:bCs/>
          <w:i/>
          <w:iCs/>
        </w:rPr>
        <w:t>–</w:t>
      </w:r>
      <w:r w:rsidRPr="00E86AF3">
        <w:rPr>
          <w:b/>
          <w:i/>
        </w:rPr>
        <w:t xml:space="preserve"> užtikrinti proporcingus ir standartizuotus atskaitomybės ir informacijos atskleidimo reikalavimus;</w:t>
      </w:r>
    </w:p>
    <w:p w:rsidR="005B2EB9" w:rsidRPr="00E86AF3" w:rsidRDefault="005B2EB9" w:rsidP="005B2EB9">
      <w:pPr>
        <w:widowControl/>
        <w:spacing w:before="120" w:after="120"/>
        <w:ind w:firstLine="720"/>
        <w:jc w:val="both"/>
        <w:rPr>
          <w:rFonts w:eastAsia="Calibri"/>
          <w:b/>
          <w:i/>
          <w:szCs w:val="22"/>
        </w:rPr>
      </w:pPr>
      <w:r w:rsidRPr="00E86AF3">
        <w:rPr>
          <w:b/>
          <w:bCs/>
          <w:i/>
          <w:iCs/>
        </w:rPr>
        <w:t>–</w:t>
      </w:r>
      <w:r w:rsidRPr="00E86AF3">
        <w:rPr>
          <w:b/>
          <w:i/>
        </w:rPr>
        <w:t xml:space="preserve"> kuo labiau sumažinti sąnaudas;</w:t>
      </w:r>
    </w:p>
    <w:p w:rsidR="005B2EB9" w:rsidRPr="00E86AF3" w:rsidRDefault="005B2EB9" w:rsidP="005B2EB9">
      <w:pPr>
        <w:widowControl/>
        <w:spacing w:before="120" w:after="120"/>
        <w:ind w:firstLine="720"/>
        <w:jc w:val="both"/>
        <w:rPr>
          <w:rFonts w:eastAsia="Calibri"/>
          <w:b/>
          <w:i/>
          <w:noProof/>
          <w:szCs w:val="22"/>
        </w:rPr>
      </w:pPr>
      <w:r w:rsidRPr="00E86AF3">
        <w:rPr>
          <w:b/>
          <w:bCs/>
          <w:i/>
          <w:iCs/>
        </w:rPr>
        <w:t>–</w:t>
      </w:r>
      <w:r w:rsidRPr="00E86AF3">
        <w:rPr>
          <w:b/>
          <w:i/>
        </w:rPr>
        <w:t xml:space="preserve"> panaikinti reglamentavimo spragas.“;</w:t>
      </w:r>
    </w:p>
    <w:p w:rsidR="005B2EB9" w:rsidRPr="00E86AF3" w:rsidRDefault="005B2EB9" w:rsidP="005B2EB9">
      <w:pPr>
        <w:widowControl/>
        <w:spacing w:before="120" w:after="120"/>
        <w:ind w:left="850" w:hanging="850"/>
        <w:jc w:val="both"/>
        <w:rPr>
          <w:rFonts w:eastAsia="Calibri"/>
          <w:b/>
          <w:i/>
          <w:szCs w:val="22"/>
        </w:rPr>
      </w:pPr>
      <w:r w:rsidRPr="00E86AF3">
        <w:rPr>
          <w:b/>
          <w:i/>
        </w:rPr>
        <w:t>2.</w:t>
      </w:r>
      <w:r w:rsidRPr="00E86AF3">
        <w:rPr>
          <w:b/>
          <w:i/>
        </w:rPr>
        <w:tab/>
        <w:t>16 straipsnis papildomas šia dalimi:</w:t>
      </w:r>
    </w:p>
    <w:p w:rsidR="005B2EB9" w:rsidRPr="00E86AF3" w:rsidRDefault="005B2EB9" w:rsidP="005B2EB9">
      <w:pPr>
        <w:widowControl/>
        <w:spacing w:before="120" w:after="120"/>
        <w:ind w:left="851"/>
        <w:jc w:val="both"/>
        <w:rPr>
          <w:rFonts w:eastAsia="Calibri"/>
          <w:b/>
          <w:i/>
          <w:noProof/>
          <w:szCs w:val="22"/>
        </w:rPr>
      </w:pPr>
      <w:r w:rsidRPr="00E86AF3">
        <w:rPr>
          <w:b/>
          <w:i/>
        </w:rPr>
        <w:t xml:space="preserve">„3a. </w:t>
      </w:r>
      <w:r w:rsidRPr="00E86AF3">
        <w:rPr>
          <w:b/>
          <w:i/>
        </w:rPr>
        <w:tab/>
        <w:t>Prieš pateikdama prašymą dėl informacijos suteikimo pagal šį straipsnį ir siekdama užtikrinti, kad nebūtų atskaitomybės ir informacijos atskleidimo pareigų dubliavimo, Institucija atsižvelgia į 16a straipsnio 3 dalyje nurodytų kitų institucijų surinktą informaciją ir į atitinkamus turimus statistinius duomenis, surinktus ir išplatintus pagal Europos statistikos sistemą bei Europos centrinių bankų sistemą.“;</w:t>
      </w:r>
    </w:p>
    <w:p w:rsidR="005B2EB9" w:rsidRPr="00E86AF3" w:rsidRDefault="005B2EB9" w:rsidP="005B2EB9">
      <w:pPr>
        <w:widowControl/>
        <w:spacing w:before="120" w:after="120"/>
        <w:jc w:val="both"/>
        <w:rPr>
          <w:rFonts w:eastAsia="Calibri"/>
          <w:b/>
          <w:i/>
          <w:noProof/>
          <w:szCs w:val="22"/>
          <w:lang w:eastAsia="en-US"/>
        </w:rPr>
      </w:pPr>
    </w:p>
    <w:p w:rsidR="005B2EB9" w:rsidRPr="00E86AF3" w:rsidRDefault="005B2EB9" w:rsidP="005B2EB9">
      <w:pPr>
        <w:widowControl/>
        <w:spacing w:before="120" w:after="120"/>
        <w:ind w:left="850" w:hanging="850"/>
        <w:jc w:val="both"/>
        <w:rPr>
          <w:rFonts w:eastAsia="Calibri"/>
          <w:b/>
          <w:i/>
          <w:szCs w:val="22"/>
        </w:rPr>
      </w:pPr>
      <w:r w:rsidRPr="00E86AF3">
        <w:rPr>
          <w:b/>
          <w:i/>
        </w:rPr>
        <w:t>3.</w:t>
      </w:r>
      <w:r w:rsidRPr="00E86AF3">
        <w:rPr>
          <w:b/>
          <w:i/>
        </w:rPr>
        <w:tab/>
        <w:t>įterpiamas šis straipsnis:</w:t>
      </w:r>
    </w:p>
    <w:p w:rsidR="005B2EB9" w:rsidRPr="00E86AF3" w:rsidRDefault="005B2EB9" w:rsidP="005B2EB9">
      <w:pPr>
        <w:widowControl/>
        <w:spacing w:before="120" w:after="120"/>
        <w:jc w:val="center"/>
        <w:rPr>
          <w:rFonts w:eastAsia="Calibri"/>
          <w:b/>
          <w:i/>
          <w:noProof/>
          <w:szCs w:val="22"/>
        </w:rPr>
      </w:pPr>
      <w:r w:rsidRPr="00E86AF3">
        <w:rPr>
          <w:b/>
          <w:i/>
        </w:rPr>
        <w:lastRenderedPageBreak/>
        <w:t>„16a straipsnis</w:t>
      </w:r>
    </w:p>
    <w:p w:rsidR="005B2EB9" w:rsidRPr="00E86AF3" w:rsidRDefault="005B2EB9" w:rsidP="005B2EB9">
      <w:pPr>
        <w:widowControl/>
        <w:spacing w:before="120" w:after="120"/>
        <w:jc w:val="center"/>
        <w:rPr>
          <w:rFonts w:eastAsia="Calibri"/>
          <w:b/>
          <w:bCs/>
          <w:i/>
          <w:noProof/>
          <w:szCs w:val="22"/>
        </w:rPr>
      </w:pPr>
      <w:r w:rsidRPr="00E86AF3">
        <w:rPr>
          <w:b/>
          <w:i/>
        </w:rPr>
        <w:t>Informacijos mainai tarp institucijų ir su kitais subjektais</w:t>
      </w:r>
    </w:p>
    <w:p w:rsidR="005B2EB9" w:rsidRPr="00E86AF3" w:rsidRDefault="005B2EB9" w:rsidP="005B2EB9">
      <w:pPr>
        <w:widowControl/>
        <w:spacing w:before="120" w:after="120"/>
        <w:ind w:left="851" w:hanging="851"/>
        <w:jc w:val="both"/>
        <w:rPr>
          <w:rFonts w:eastAsia="Calibri"/>
          <w:b/>
          <w:i/>
          <w:noProof/>
          <w:szCs w:val="22"/>
        </w:rPr>
      </w:pPr>
      <w:r w:rsidRPr="00E86AF3">
        <w:rPr>
          <w:b/>
          <w:i/>
        </w:rPr>
        <w:t>1.</w:t>
      </w:r>
      <w:r w:rsidRPr="00E86AF3">
        <w:rPr>
          <w:b/>
          <w:i/>
        </w:rPr>
        <w:tab/>
        <w:t>Institucija ir priežiūros institucijos kiekvienu konkrečiu atveju arba reguliariai dalijasi su kitomis institucijomis informacija, kurią jos gavo iš įpareigotųjų subjektų ar kitų kompetentingų institucijų, kai prašančioji institucija turi teisę gauti tą informaciją atsižvelgiant į jos misiją, tikslus, užduotis ir įgaliojimus arba pagal atitinkamą Sąjungos teisę.</w:t>
      </w:r>
    </w:p>
    <w:p w:rsidR="005B2EB9" w:rsidRPr="00E86AF3" w:rsidRDefault="005B2EB9" w:rsidP="005B2EB9">
      <w:pPr>
        <w:widowControl/>
        <w:spacing w:before="120" w:after="120"/>
        <w:ind w:left="851"/>
        <w:jc w:val="both"/>
        <w:rPr>
          <w:rFonts w:eastAsia="Calibri"/>
          <w:b/>
          <w:i/>
          <w:noProof/>
          <w:szCs w:val="22"/>
        </w:rPr>
      </w:pPr>
      <w:r w:rsidRPr="00E86AF3">
        <w:rPr>
          <w:b/>
          <w:i/>
        </w:rPr>
        <w:t>Šios dalies pirmoje pastraipoje nurodytos informacijos dalijimosi tikslais Institucija arba priežiūros institucija naudoja 16b straipsnyje nurodytą bendrą integruotą ataskaitų teikimo sistemą, kai ji bus sukurta.</w:t>
      </w:r>
    </w:p>
    <w:p w:rsidR="005B2EB9" w:rsidRPr="00E86AF3" w:rsidRDefault="005B2EB9" w:rsidP="005B2EB9">
      <w:pPr>
        <w:widowControl/>
        <w:spacing w:before="120" w:after="120"/>
        <w:ind w:left="851" w:hanging="851"/>
        <w:jc w:val="both"/>
        <w:rPr>
          <w:rFonts w:eastAsia="Calibri"/>
          <w:b/>
          <w:i/>
          <w:noProof/>
          <w:szCs w:val="22"/>
        </w:rPr>
      </w:pPr>
      <w:r w:rsidRPr="00E86AF3">
        <w:rPr>
          <w:b/>
          <w:i/>
        </w:rPr>
        <w:t>2.</w:t>
      </w:r>
      <w:r w:rsidRPr="00E86AF3">
        <w:rPr>
          <w:b/>
          <w:i/>
        </w:rPr>
        <w:tab/>
        <w:t>Institucija ir priežiūros institucijos kiekviena prašo kitų institucijų pateikti informaciją, kurios kitu atveju jos prašytų iš įpareigotųjų subjektų ar kitų kompetentingų institucijų, jei tenkinamos abi šios sąlygos:</w:t>
      </w:r>
    </w:p>
    <w:p w:rsidR="005B2EB9" w:rsidRPr="00E86AF3" w:rsidRDefault="005B2EB9" w:rsidP="005B2EB9">
      <w:pPr>
        <w:widowControl/>
        <w:spacing w:before="120" w:after="120"/>
        <w:ind w:left="851"/>
        <w:jc w:val="both"/>
        <w:rPr>
          <w:rFonts w:eastAsia="Calibri"/>
          <w:b/>
          <w:i/>
          <w:noProof/>
          <w:szCs w:val="22"/>
        </w:rPr>
      </w:pPr>
      <w:r w:rsidRPr="00E86AF3">
        <w:rPr>
          <w:b/>
          <w:i/>
        </w:rPr>
        <w:t>a)</w:t>
      </w:r>
      <w:r w:rsidRPr="00E86AF3">
        <w:rPr>
          <w:b/>
          <w:i/>
        </w:rPr>
        <w:tab/>
        <w:t>jos turi teisę gauti tą informaciją atsižvelgiant į jų misiją, tikslus, užduotis ir įgaliojimus arba pagal atitinkamą Sąjungos teisę;</w:t>
      </w:r>
    </w:p>
    <w:p w:rsidR="005B2EB9" w:rsidRPr="00E86AF3" w:rsidRDefault="005B2EB9" w:rsidP="005B2EB9">
      <w:pPr>
        <w:widowControl/>
        <w:spacing w:before="120" w:after="120"/>
        <w:ind w:left="851"/>
        <w:jc w:val="both"/>
        <w:rPr>
          <w:rFonts w:eastAsia="Calibri"/>
          <w:b/>
          <w:i/>
          <w:noProof/>
          <w:szCs w:val="22"/>
        </w:rPr>
      </w:pPr>
      <w:r w:rsidRPr="00E86AF3">
        <w:rPr>
          <w:b/>
          <w:i/>
        </w:rPr>
        <w:t>b)</w:t>
      </w:r>
      <w:r w:rsidRPr="00E86AF3">
        <w:rPr>
          <w:b/>
          <w:i/>
        </w:rPr>
        <w:tab/>
        <w:t>tą informaciją yra gavusi bent viena iš tų kitų institucijų.</w:t>
      </w:r>
    </w:p>
    <w:p w:rsidR="005B2EB9" w:rsidRPr="00E86AF3" w:rsidRDefault="005B2EB9" w:rsidP="005B2EB9">
      <w:pPr>
        <w:widowControl/>
        <w:spacing w:before="120" w:after="120"/>
        <w:ind w:left="851"/>
        <w:jc w:val="both"/>
        <w:rPr>
          <w:rFonts w:eastAsia="Calibri"/>
          <w:b/>
          <w:i/>
          <w:noProof/>
          <w:szCs w:val="22"/>
        </w:rPr>
      </w:pPr>
      <w:r w:rsidRPr="00E86AF3">
        <w:rPr>
          <w:b/>
          <w:i/>
        </w:rPr>
        <w:t>Pirma pastraipa nedaro poveikio Institucijos ir kompetentingų institucijų galimybei gauti tą informaciją iš finansų įstaigų ar kitų kompetentingų institucijų, kai dėl veikimo priežasčių kita institucija negali dalytis duomenimis.</w:t>
      </w:r>
    </w:p>
    <w:p w:rsidR="005B2EB9" w:rsidRPr="00E86AF3" w:rsidRDefault="005B2EB9" w:rsidP="005B2EB9">
      <w:pPr>
        <w:widowControl/>
        <w:spacing w:before="120" w:after="120"/>
        <w:ind w:left="851"/>
        <w:jc w:val="both"/>
        <w:rPr>
          <w:rFonts w:eastAsia="Calibri"/>
          <w:b/>
          <w:i/>
          <w:noProof/>
          <w:szCs w:val="22"/>
        </w:rPr>
      </w:pPr>
      <w:r w:rsidRPr="00E86AF3">
        <w:rPr>
          <w:b/>
          <w:i/>
        </w:rPr>
        <w:t>Siekdamos nustatyti, ar įvykdyta pirmos pastraipos b punkte nurodyta sąlyga, Institucija ir priežiūros institucijos naudoja 16b straipsnyje nurodytą bendrą integruotą ataskaitų teikimo sistemą, kai ji bus sukurta.</w:t>
      </w:r>
    </w:p>
    <w:p w:rsidR="005B2EB9" w:rsidRPr="00E86AF3" w:rsidRDefault="005B2EB9" w:rsidP="005B2EB9">
      <w:pPr>
        <w:widowControl/>
        <w:spacing w:before="120" w:after="120"/>
        <w:ind w:left="851" w:hanging="851"/>
        <w:jc w:val="both"/>
        <w:rPr>
          <w:rFonts w:eastAsia="Calibri"/>
          <w:b/>
          <w:i/>
          <w:noProof/>
          <w:szCs w:val="22"/>
        </w:rPr>
      </w:pPr>
      <w:r w:rsidRPr="00E86AF3">
        <w:rPr>
          <w:b/>
          <w:i/>
        </w:rPr>
        <w:t>3.</w:t>
      </w:r>
      <w:r w:rsidRPr="00E86AF3">
        <w:rPr>
          <w:b/>
          <w:i/>
        </w:rPr>
        <w:tab/>
        <w:t>Šiame straipsnyje, 16 straipsnio 3a dalyje ir 16b straipsnyje „kitos institucijos“ – tai bet kuri iš šių institucijų:</w:t>
      </w:r>
    </w:p>
    <w:p w:rsidR="005B2EB9" w:rsidRPr="00E86AF3" w:rsidRDefault="005B2EB9" w:rsidP="005B2EB9">
      <w:pPr>
        <w:widowControl/>
        <w:spacing w:before="120" w:after="120"/>
        <w:ind w:left="1418" w:hanging="567"/>
        <w:jc w:val="both"/>
        <w:rPr>
          <w:rFonts w:eastAsia="Calibri"/>
          <w:b/>
          <w:i/>
          <w:noProof/>
          <w:szCs w:val="22"/>
        </w:rPr>
      </w:pPr>
      <w:r w:rsidRPr="00E86AF3">
        <w:rPr>
          <w:b/>
          <w:i/>
        </w:rPr>
        <w:t>a)</w:t>
      </w:r>
      <w:r w:rsidRPr="00E86AF3">
        <w:rPr>
          <w:b/>
          <w:i/>
        </w:rPr>
        <w:tab/>
        <w:t>Europos priežiūros institucijos;</w:t>
      </w:r>
    </w:p>
    <w:p w:rsidR="005B2EB9" w:rsidRPr="00E86AF3" w:rsidRDefault="005B2EB9" w:rsidP="005B2EB9">
      <w:pPr>
        <w:widowControl/>
        <w:spacing w:before="120" w:after="120"/>
        <w:ind w:left="1418" w:hanging="567"/>
        <w:jc w:val="both"/>
        <w:rPr>
          <w:rFonts w:eastAsia="Calibri"/>
          <w:b/>
          <w:i/>
          <w:noProof/>
          <w:szCs w:val="22"/>
        </w:rPr>
      </w:pPr>
      <w:r w:rsidRPr="00E86AF3">
        <w:rPr>
          <w:b/>
          <w:i/>
        </w:rPr>
        <w:t>b)</w:t>
      </w:r>
      <w:r w:rsidRPr="00E86AF3">
        <w:rPr>
          <w:b/>
          <w:i/>
        </w:rPr>
        <w:tab/>
        <w:t>ESRV;</w:t>
      </w:r>
    </w:p>
    <w:p w:rsidR="005B2EB9" w:rsidRPr="00E86AF3" w:rsidRDefault="005B2EB9" w:rsidP="005B2EB9">
      <w:pPr>
        <w:widowControl/>
        <w:spacing w:before="120" w:after="120"/>
        <w:ind w:left="1418" w:hanging="567"/>
        <w:jc w:val="both"/>
        <w:rPr>
          <w:rFonts w:eastAsia="Calibri"/>
          <w:b/>
          <w:i/>
          <w:noProof/>
          <w:szCs w:val="22"/>
        </w:rPr>
      </w:pPr>
      <w:r w:rsidRPr="00E86AF3">
        <w:rPr>
          <w:b/>
          <w:i/>
        </w:rPr>
        <w:t>c)</w:t>
      </w:r>
      <w:r w:rsidRPr="00E86AF3">
        <w:rPr>
          <w:b/>
          <w:i/>
        </w:rPr>
        <w:tab/>
        <w:t>kompetentingos institucijos, kaip apibrėžta Reglamento (ES) Nr. 1093/2010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d)</w:t>
      </w:r>
      <w:r w:rsidRPr="00E86AF3">
        <w:rPr>
          <w:b/>
          <w:i/>
        </w:rPr>
        <w:tab/>
        <w:t>kompetentingos institucijos, kaip apibrėžta Reglamento (ES) Nr. 1094/2010 4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e)</w:t>
      </w:r>
      <w:r w:rsidRPr="00E86AF3">
        <w:rPr>
          <w:b/>
          <w:i/>
        </w:rPr>
        <w:tab/>
        <w:t>kompetentingos institucijos, kaip apibrėžta Reglamento (ES) Nr. 1095/2010 4 straipsnio 3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f)</w:t>
      </w:r>
      <w:r w:rsidRPr="00E86AF3">
        <w:rPr>
          <w:b/>
          <w:i/>
        </w:rPr>
        <w:tab/>
        <w:t>institucijos, kaip apibrėžta Europos Parlamento ir Tarybos direktyvos (ES) .../...</w:t>
      </w:r>
      <w:r w:rsidR="00BA57EE">
        <w:rPr>
          <w:rStyle w:val="FootnoteReference"/>
          <w:b/>
          <w:i/>
        </w:rPr>
        <w:footnoteReference w:customMarkFollows="1" w:id="24"/>
        <w:t>+</w:t>
      </w:r>
      <w:r w:rsidRPr="00E86AF3">
        <w:rPr>
          <w:b/>
          <w:i/>
        </w:rPr>
        <w:t xml:space="preserve"> 2 straipsnio 1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g)</w:t>
      </w:r>
      <w:r w:rsidRPr="00E86AF3">
        <w:rPr>
          <w:b/>
          <w:i/>
        </w:rPr>
        <w:tab/>
        <w:t>nacionalinės kompetentingos institucijos, kaip apibrėžta Reglamento (ES) Nr. 575/2013 2 straipsnio 2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h)</w:t>
      </w:r>
      <w:r w:rsidRPr="00E86AF3">
        <w:rPr>
          <w:b/>
          <w:i/>
        </w:rPr>
        <w:tab/>
        <w:t>BPV;</w:t>
      </w:r>
    </w:p>
    <w:p w:rsidR="005B2EB9" w:rsidRPr="00E86AF3" w:rsidRDefault="005B2EB9" w:rsidP="005B2EB9">
      <w:pPr>
        <w:widowControl/>
        <w:spacing w:before="120" w:after="120"/>
        <w:ind w:left="1418" w:hanging="567"/>
        <w:jc w:val="both"/>
        <w:rPr>
          <w:rFonts w:eastAsia="Calibri"/>
          <w:b/>
          <w:i/>
          <w:noProof/>
          <w:szCs w:val="22"/>
        </w:rPr>
      </w:pPr>
      <w:r w:rsidRPr="00E86AF3">
        <w:rPr>
          <w:b/>
          <w:i/>
        </w:rPr>
        <w:lastRenderedPageBreak/>
        <w:t>i)</w:t>
      </w:r>
      <w:r w:rsidRPr="00E86AF3">
        <w:rPr>
          <w:b/>
          <w:i/>
        </w:rPr>
        <w:tab/>
        <w:t>nacionalinės pertvarkymo institucijos, kaip apibrėžta Reglamento (ES) Nr. 806/2014 3 straipsnio 3 punkte;</w:t>
      </w:r>
    </w:p>
    <w:p w:rsidR="005B2EB9" w:rsidRPr="00E86AF3" w:rsidRDefault="005B2EB9" w:rsidP="005B2EB9">
      <w:pPr>
        <w:widowControl/>
        <w:spacing w:before="120" w:after="120"/>
        <w:ind w:left="1418" w:hanging="567"/>
        <w:jc w:val="both"/>
        <w:rPr>
          <w:rFonts w:eastAsia="Calibri"/>
          <w:b/>
          <w:i/>
          <w:noProof/>
          <w:szCs w:val="22"/>
        </w:rPr>
      </w:pPr>
      <w:r w:rsidRPr="00E86AF3">
        <w:rPr>
          <w:b/>
          <w:i/>
        </w:rPr>
        <w:t>j)</w:t>
      </w:r>
      <w:r w:rsidRPr="00E86AF3">
        <w:rPr>
          <w:b/>
          <w:i/>
        </w:rPr>
        <w:tab/>
        <w:t>BPM, kaip apibrėžta Reglamento (ES) Nr. 1024/2013 2 straipsnio 9 punkte.</w:t>
      </w:r>
    </w:p>
    <w:p w:rsidR="005B2EB9" w:rsidRPr="00E86AF3" w:rsidRDefault="005B2EB9" w:rsidP="005B2EB9">
      <w:pPr>
        <w:widowControl/>
        <w:spacing w:before="120" w:after="120"/>
        <w:ind w:left="851"/>
        <w:jc w:val="both"/>
        <w:rPr>
          <w:rFonts w:eastAsia="Calibri"/>
          <w:b/>
          <w:i/>
          <w:noProof/>
          <w:szCs w:val="22"/>
        </w:rPr>
      </w:pPr>
      <w:r w:rsidRPr="00E86AF3">
        <w:rPr>
          <w:b/>
          <w:i/>
        </w:rPr>
        <w:t>Šiame straipsnyje finansų įstaiga – finansų įstaiga, kaip apibrėžta Reglamento (ES) Nr. 1092/2010 2 straipsnio a punkte.</w:t>
      </w:r>
    </w:p>
    <w:p w:rsidR="005B2EB9" w:rsidRPr="00E86AF3" w:rsidRDefault="005B2EB9" w:rsidP="005B2EB9">
      <w:pPr>
        <w:widowControl/>
        <w:spacing w:before="120" w:after="120"/>
        <w:ind w:left="851" w:hanging="851"/>
        <w:jc w:val="both"/>
        <w:rPr>
          <w:rFonts w:eastAsia="Calibri"/>
          <w:b/>
          <w:i/>
          <w:noProof/>
          <w:szCs w:val="22"/>
        </w:rPr>
      </w:pPr>
      <w:r w:rsidRPr="00E86AF3">
        <w:rPr>
          <w:b/>
          <w:i/>
        </w:rPr>
        <w:t>4.</w:t>
      </w:r>
      <w:r w:rsidRPr="00E86AF3">
        <w:rPr>
          <w:b/>
          <w:i/>
        </w:rPr>
        <w:tab/>
        <w:t>Prašyme keistis informacija tinkamai nurodomas teisinis pagrindas pagal Sąjungos teisę, suteikiantis teisę prašančiajai institucijai gauti informaciją iš įpareigotųjų subjektų ar kitų kompetentingų institucijų. Prašančioji institucija ir teikiančioji institucija turi pareigą saugoti profesinę paslaptį ir laikytis duomenų apsaugos nuostatų, nustatytų 75 ir 84 straipsniuose ir sektorių teisės aktuose, taikytinuose įpareigotojo subjekto ir prašančiosios institucijos duomenų dalijimuisi, taip pat įpareigotojo subjekto ir teikiančiosios institucijos duomenų dalijimuisi. Teikiančioji institucija nepagrįstai nedelsdama informuoja kiekvieną atitinkamą įpareigotąjį subjektą apie tokį keitimąsi informacija, jei informacija nebuvo anonimizuota, pakeista, apibendrinta ar tvarkoma bet kuriuo kitu informacijos atskleidimo kontrolės būdu, siekiant apsaugoti konfidencialią informaciją.</w:t>
      </w:r>
    </w:p>
    <w:p w:rsidR="005B2EB9" w:rsidRPr="00E86AF3" w:rsidRDefault="005B2EB9" w:rsidP="005B2EB9">
      <w:pPr>
        <w:widowControl/>
        <w:spacing w:before="120" w:after="120"/>
        <w:ind w:left="851" w:hanging="851"/>
        <w:jc w:val="both"/>
        <w:rPr>
          <w:rFonts w:eastAsia="Calibri"/>
          <w:b/>
          <w:i/>
          <w:noProof/>
          <w:szCs w:val="22"/>
        </w:rPr>
      </w:pPr>
      <w:r w:rsidRPr="00E86AF3">
        <w:rPr>
          <w:b/>
          <w:i/>
        </w:rPr>
        <w:t>5.</w:t>
      </w:r>
      <w:r w:rsidRPr="00E86AF3">
        <w:rPr>
          <w:b/>
          <w:i/>
        </w:rPr>
        <w:tab/>
        <w:t>1, 2 ir 4 dalys taip pat taikomos informacijai, kurią teikiančioji institucija yra gavusi iš įpareigotojo subjekto ar kitų institucijų ir kurios kokybės patikrą teikiančioji institucija yra po to atlikusi ar kurią ji yra kitaip tvarkiusi.</w:t>
      </w:r>
    </w:p>
    <w:p w:rsidR="005B2EB9" w:rsidRPr="00E86AF3" w:rsidRDefault="005B2EB9" w:rsidP="005B2EB9">
      <w:pPr>
        <w:widowControl/>
        <w:spacing w:before="120" w:after="120"/>
        <w:ind w:left="851" w:hanging="851"/>
        <w:jc w:val="both"/>
        <w:rPr>
          <w:rFonts w:eastAsia="Calibri"/>
          <w:b/>
          <w:i/>
          <w:noProof/>
          <w:szCs w:val="22"/>
        </w:rPr>
      </w:pPr>
      <w:r w:rsidRPr="00E86AF3">
        <w:rPr>
          <w:b/>
          <w:i/>
        </w:rPr>
        <w:t>6.</w:t>
      </w:r>
      <w:r w:rsidRPr="00E86AF3">
        <w:rPr>
          <w:b/>
          <w:i/>
        </w:rPr>
        <w:tab/>
        <w:t>Norėdamos dalytis informacija, kaip nurodyta 1, 2, 4 ir 5 dalyse, Institucija ir kitos institucijos sudaro susitarimo memorandumus ir juose nustato informacijos mainų tvarką. Jos taip pat nustato išteklių, reikalingų tokiems duomenims, kuriais dalijamasi, rinkti ir tvarkyti, dalijimosi tvarką, jei taikant tokius susitarimus laikomasi taikytinų duomenų apsaugos, intelektinės nuosavybės ir profesinės paslapties taisyklių</w:t>
      </w:r>
      <w:r w:rsidRPr="00E86AF3">
        <w:t>.</w:t>
      </w:r>
      <w:r w:rsidRPr="00E86AF3">
        <w:rPr>
          <w:b/>
          <w:i/>
        </w:rPr>
        <w:t xml:space="preserve"> Visoms susijusioms institucijoms sutarus, susitarimo memorandumai turi būti paprasto ir standartizuoto formato, kuris, prireikus, pritaikomas pagal specialias veikimo sąlygas, kurios gali būti taikomos konkrečioms institucijoms.</w:t>
      </w:r>
    </w:p>
    <w:p w:rsidR="005B2EB9" w:rsidRPr="00E86AF3" w:rsidRDefault="005B2EB9" w:rsidP="005B2EB9">
      <w:pPr>
        <w:widowControl/>
        <w:spacing w:before="120" w:after="120"/>
        <w:ind w:left="851" w:hanging="851"/>
        <w:jc w:val="both"/>
        <w:rPr>
          <w:rFonts w:eastAsia="Calibri"/>
          <w:b/>
          <w:i/>
          <w:noProof/>
          <w:szCs w:val="22"/>
        </w:rPr>
      </w:pPr>
      <w:r w:rsidRPr="00E86AF3">
        <w:rPr>
          <w:b/>
          <w:i/>
        </w:rPr>
        <w:t>7.</w:t>
      </w:r>
      <w:r w:rsidRPr="00E86AF3">
        <w:rPr>
          <w:b/>
          <w:i/>
        </w:rPr>
        <w:tab/>
        <w:t>1–6 dalys nedaro poveikio intelektinės nuosavybės teisių apsaugai ir netrukdo Institucijai ir kitoms institucijoms keistis informacija pagal kitų Sąjungos teisės aktų nuostatas ir to keitimosi neriboja. Jei šio straipsnio nuostatos prieštarauja šio reglamento ir kitų Sąjungos teisės aktų nuostatoms, kuriomis reglamentuojami kitų institucijų informacijos mainai, tų kitų Sąjungos teisės aktų nuostatos turi viršenybę.</w:t>
      </w:r>
    </w:p>
    <w:p w:rsidR="005B2EB9" w:rsidRPr="00E86AF3" w:rsidRDefault="005B2EB9" w:rsidP="005B2EB9">
      <w:pPr>
        <w:widowControl/>
        <w:spacing w:before="120" w:after="120"/>
        <w:ind w:left="851" w:hanging="851"/>
        <w:jc w:val="both"/>
        <w:rPr>
          <w:rFonts w:eastAsia="Calibri"/>
          <w:b/>
          <w:i/>
          <w:noProof/>
          <w:szCs w:val="22"/>
        </w:rPr>
      </w:pPr>
      <w:r w:rsidRPr="00E86AF3">
        <w:rPr>
          <w:b/>
          <w:i/>
        </w:rPr>
        <w:t>8.</w:t>
      </w:r>
      <w:r w:rsidRPr="00E86AF3">
        <w:rPr>
          <w:b/>
          <w:i/>
        </w:rPr>
        <w:tab/>
        <w:t>Nedarant poveikio kitoms Sąjungos teisėje nustatytoms pareigoms dėl dalijimosi informacija, Institucija ir priežiūros institucijos, gavusios pagrįstą prašymą, gali kiekvienu konkrečiu atveju dalytis su Komisija informacija, kurią įpareigotieji subjektai joms pateikė vykdydami savo pareigas pagal Sąjungos teisę, tokia forma, kad nebūtų galima nustatyti atskirų subjektų ir nebūtų asmens duomenų. Tokią informaciją pateikusios institucijos tinkamai informuojamos apie dalijimąsi šia informacija.</w:t>
      </w:r>
    </w:p>
    <w:p w:rsidR="005B2EB9" w:rsidRPr="00E86AF3" w:rsidRDefault="005B2EB9" w:rsidP="005B2EB9">
      <w:pPr>
        <w:widowControl/>
        <w:spacing w:before="120" w:after="120"/>
        <w:ind w:left="851" w:hanging="851"/>
        <w:jc w:val="both"/>
        <w:rPr>
          <w:rFonts w:eastAsia="Calibri"/>
          <w:b/>
          <w:i/>
          <w:noProof/>
          <w:szCs w:val="22"/>
        </w:rPr>
      </w:pPr>
      <w:r w:rsidRPr="00E86AF3">
        <w:rPr>
          <w:b/>
          <w:i/>
        </w:rPr>
        <w:t>9.</w:t>
      </w:r>
      <w:r w:rsidRPr="00E86AF3">
        <w:rPr>
          <w:b/>
          <w:i/>
        </w:rPr>
        <w:tab/>
        <w:t>Institucija ir priežiūros institucijos gali leisti pakartotinai naudoti informaciją, kurią jos yra gavusios vykdydamos savo pareigas, įpareigotiesiems subjektams, mokslininkams ir kitiems subjektams, turintiems teisėtą interesą naudoti tokią informaciją mokslinių tyrimų ir inovacijų tikslais, jeigu Institucija ar priežiūros institucijos užtikrino, kad būtų įvykdytos visos šios sąlygos:</w:t>
      </w:r>
    </w:p>
    <w:p w:rsidR="005B2EB9" w:rsidRPr="00E86AF3" w:rsidRDefault="005B2EB9" w:rsidP="005B2EB9">
      <w:pPr>
        <w:widowControl/>
        <w:spacing w:before="120" w:after="120"/>
        <w:ind w:left="851"/>
        <w:jc w:val="both"/>
        <w:rPr>
          <w:rFonts w:eastAsia="Calibri"/>
          <w:b/>
          <w:i/>
          <w:noProof/>
          <w:szCs w:val="22"/>
        </w:rPr>
      </w:pPr>
      <w:r w:rsidRPr="00E86AF3">
        <w:rPr>
          <w:b/>
          <w:i/>
        </w:rPr>
        <w:lastRenderedPageBreak/>
        <w:t>a)</w:t>
      </w:r>
      <w:r w:rsidRPr="00E86AF3">
        <w:rPr>
          <w:b/>
          <w:i/>
        </w:rPr>
        <w:tab/>
        <w:t>informacija būtų anonimizuota taip, kad identifikuoti duomenų subjekto ar įpareigotojo subjekto neįmanoma ar nebeįmanoma;</w:t>
      </w:r>
    </w:p>
    <w:p w:rsidR="005B2EB9" w:rsidRPr="00E86AF3" w:rsidRDefault="005B2EB9" w:rsidP="005B2EB9">
      <w:pPr>
        <w:widowControl/>
        <w:spacing w:before="120" w:after="120"/>
        <w:ind w:left="851"/>
        <w:jc w:val="both"/>
        <w:rPr>
          <w:rFonts w:eastAsia="Calibri"/>
          <w:b/>
          <w:i/>
          <w:noProof/>
          <w:szCs w:val="22"/>
        </w:rPr>
      </w:pPr>
      <w:r w:rsidRPr="00E86AF3">
        <w:rPr>
          <w:b/>
          <w:i/>
        </w:rPr>
        <w:t>b)</w:t>
      </w:r>
      <w:r w:rsidRPr="00E86AF3">
        <w:rPr>
          <w:b/>
          <w:i/>
        </w:rPr>
        <w:tab/>
        <w:t>siekiant apsaugoti konfidencialią informaciją, įskaitant komercines paslaptis ar turinį, apsaugotą intelektinės nuosavybės teisėmis, informacija buvo pakeista, agreguota ar apdorota bet kuriuo kitu duomenų atskleidimo kontrolės metodu;</w:t>
      </w:r>
    </w:p>
    <w:p w:rsidR="005B2EB9" w:rsidRPr="00E86AF3" w:rsidRDefault="005B2EB9" w:rsidP="005B2EB9">
      <w:pPr>
        <w:widowControl/>
        <w:spacing w:before="120" w:after="120"/>
        <w:ind w:left="851"/>
        <w:jc w:val="both"/>
        <w:rPr>
          <w:rFonts w:eastAsia="Calibri"/>
          <w:b/>
          <w:i/>
          <w:szCs w:val="22"/>
        </w:rPr>
      </w:pPr>
      <w:r w:rsidRPr="00E86AF3">
        <w:rPr>
          <w:b/>
          <w:i/>
        </w:rPr>
        <w:t>c)</w:t>
      </w:r>
      <w:r w:rsidRPr="00E86AF3">
        <w:rPr>
          <w:b/>
          <w:i/>
        </w:rPr>
        <w:tab/>
        <w:t>šalys, kurioms suteikta prieiga, įrodė, kad jos turi reikiamas technines priemones konfidencialiai informacijai apsaugoti, t. y. jos turi priemonių, kuriomis galima visapusiškai užtikrinti privatumo ir konfidencialumo apsaugą.</w:t>
      </w:r>
    </w:p>
    <w:p w:rsidR="005B2EB9" w:rsidRPr="00E86AF3" w:rsidRDefault="005B2EB9" w:rsidP="005B2EB9">
      <w:pPr>
        <w:widowControl/>
        <w:spacing w:before="120" w:after="120"/>
        <w:ind w:left="851"/>
        <w:jc w:val="both"/>
        <w:rPr>
          <w:rFonts w:eastAsia="Calibri"/>
          <w:b/>
          <w:i/>
          <w:noProof/>
          <w:szCs w:val="22"/>
        </w:rPr>
      </w:pPr>
      <w:r w:rsidRPr="00E86AF3">
        <w:rPr>
          <w:b/>
          <w:i/>
        </w:rPr>
        <w:t>Informacija, gauta iš kitos institucijos, šiuo pagrindu dalijamasi tik susitarus su institucija, kuri pirmoji gavo tą informaciją.</w:t>
      </w:r>
    </w:p>
    <w:p w:rsidR="005B2EB9" w:rsidRPr="00E86AF3" w:rsidRDefault="005B2EB9" w:rsidP="005B2EB9">
      <w:pPr>
        <w:widowControl/>
        <w:spacing w:before="120" w:after="120"/>
        <w:ind w:left="851" w:hanging="851"/>
        <w:jc w:val="both"/>
        <w:rPr>
          <w:rFonts w:eastAsia="Calibri"/>
          <w:b/>
          <w:i/>
          <w:noProof/>
          <w:szCs w:val="22"/>
        </w:rPr>
      </w:pPr>
      <w:r w:rsidRPr="00E86AF3">
        <w:rPr>
          <w:b/>
          <w:i/>
        </w:rPr>
        <w:t>10.</w:t>
      </w:r>
      <w:r w:rsidRPr="00E86AF3">
        <w:rPr>
          <w:b/>
          <w:i/>
        </w:rPr>
        <w:tab/>
        <w:t>Ne vėliau kaip ... [vieni metai nuo šio iš dalies keičiančio reglamento įsigaliojimo dienos] Institucija ir priežiūros institucijos praneša Komisijai apie sektorių teisės aktuose iškilusias teisines kliūtis, kurios kokiu nors būdu trukdo joms keistis informacija su kitomis institucijomis ar kitais subjektais. Ataskaitoje taip pat gali būti nagrinėjami nereikšmingi, nebeaktualūs, besidubliuojantys ar kitu požiūriu nereikalingi atskaitomybės reikalavimai ir pateikti pasiūlymai, kaip užtikrinti finansų ir ne finansų bendrovių atskaitomybės reikalavimų nuoseklumą.</w:t>
      </w:r>
    </w:p>
    <w:p w:rsidR="005B2EB9" w:rsidRPr="00E86AF3" w:rsidRDefault="005B2EB9" w:rsidP="005B2EB9">
      <w:pPr>
        <w:widowControl/>
        <w:spacing w:before="120" w:after="120"/>
        <w:ind w:left="851"/>
        <w:jc w:val="both"/>
        <w:rPr>
          <w:rFonts w:eastAsia="Calibri"/>
          <w:b/>
          <w:i/>
          <w:noProof/>
          <w:szCs w:val="22"/>
        </w:rPr>
      </w:pPr>
      <w:r w:rsidRPr="00E86AF3">
        <w:rPr>
          <w:b/>
          <w:i/>
        </w:rPr>
        <w:t>Remdamasi ta ataskaita ir deramai atsižvelgdama į intelektinės nuosavybės teisių apsaugą, pareigą saugoti profesinę paslaptį ir užtikrinti duomenų apsaugą, Komisija, kai tikslinga, ne vėliau kaip ... [2 metai nuo šio iš dalies keičiančio reglamento įsigaliojimo dienos] Europos Parlamentui ir Tarybai pateikia pasiūlymą dėl teisėkūros procedūra priimamo akto, kuriuo siekiama pašalinti tokias teisines kliūtis sektorių teisės aktuose, kad būtų skatinamas keitimasis informacija tarp institucijų ir su kitais subjektais.“;</w:t>
      </w:r>
    </w:p>
    <w:p w:rsidR="005B2EB9" w:rsidRPr="00E86AF3" w:rsidRDefault="005B2EB9" w:rsidP="003A328D">
      <w:pPr>
        <w:widowControl/>
        <w:spacing w:before="120" w:after="120"/>
        <w:ind w:left="851" w:hanging="851"/>
        <w:rPr>
          <w:rFonts w:eastAsia="Calibri"/>
          <w:b/>
          <w:i/>
          <w:szCs w:val="22"/>
        </w:rPr>
      </w:pPr>
      <w:r w:rsidRPr="00E86AF3">
        <w:rPr>
          <w:b/>
          <w:i/>
        </w:rPr>
        <w:t>4.</w:t>
      </w:r>
      <w:r w:rsidRPr="00E86AF3">
        <w:rPr>
          <w:b/>
          <w:i/>
        </w:rPr>
        <w:tab/>
        <w:t>įterpiamas šis straipsnis:</w:t>
      </w:r>
    </w:p>
    <w:p w:rsidR="005B2EB9" w:rsidRPr="00E86AF3" w:rsidRDefault="005B2EB9" w:rsidP="005B2EB9">
      <w:pPr>
        <w:widowControl/>
        <w:spacing w:before="120" w:after="120"/>
        <w:ind w:left="851"/>
        <w:rPr>
          <w:rFonts w:eastAsia="Calibri"/>
          <w:b/>
          <w:i/>
          <w:noProof/>
          <w:szCs w:val="22"/>
        </w:rPr>
      </w:pPr>
      <w:r w:rsidRPr="00E86AF3">
        <w:rPr>
          <w:b/>
          <w:i/>
        </w:rPr>
        <w:t>„16b straipsnis</w:t>
      </w:r>
    </w:p>
    <w:p w:rsidR="005B2EB9" w:rsidRPr="00E86AF3" w:rsidRDefault="005B2EB9" w:rsidP="005B2EB9">
      <w:pPr>
        <w:widowControl/>
        <w:spacing w:before="120" w:after="120"/>
        <w:ind w:left="851"/>
        <w:rPr>
          <w:rFonts w:eastAsia="Calibri"/>
          <w:b/>
          <w:bCs/>
          <w:i/>
          <w:noProof/>
          <w:szCs w:val="22"/>
        </w:rPr>
      </w:pPr>
      <w:r w:rsidRPr="00E86AF3">
        <w:rPr>
          <w:b/>
          <w:i/>
        </w:rPr>
        <w:t>Bendros integruotos ataskaitų teikimo sistemos sukūrimas</w:t>
      </w:r>
    </w:p>
    <w:p w:rsidR="005B2EB9" w:rsidRPr="00E86AF3" w:rsidRDefault="005B2EB9" w:rsidP="005B2EB9">
      <w:pPr>
        <w:widowControl/>
        <w:spacing w:before="120" w:after="120"/>
        <w:ind w:left="851"/>
        <w:jc w:val="both"/>
        <w:rPr>
          <w:rFonts w:eastAsia="Calibri"/>
          <w:b/>
          <w:i/>
          <w:noProof/>
          <w:szCs w:val="22"/>
        </w:rPr>
      </w:pPr>
      <w:r w:rsidRPr="00E86AF3">
        <w:rPr>
          <w:b/>
          <w:i/>
        </w:rPr>
        <w:t>1.</w:t>
      </w:r>
      <w:r w:rsidRPr="00E86AF3">
        <w:rPr>
          <w:b/>
          <w:i/>
        </w:rPr>
        <w:tab/>
        <w:t>Ne vėliau kaip ... [2 metai nuo šio iš dalies keičiančio reglamento įsigaliojimo dienos] Institucija ir priežiūros institucijos, glaudžiai bendradarbiaudamos su kitomis institucijomis ir ECBS, parengia ataskaitą dėl bendros integruotos ataskaitų teikimo sistemos sukūrimo techninės informacijos, taip pat veiksmų gaires, grindžiamas EPI ataskaitų integravimo jų sektoriuose darbu, ir įtraukia sąnaudų ir naudos vertinimą. Tos ataskaitos tikslais bendra integruota ataskaitų teikimo sistema apima:</w:t>
      </w:r>
    </w:p>
    <w:p w:rsidR="005B2EB9" w:rsidRPr="00E86AF3" w:rsidRDefault="005B2EB9" w:rsidP="005B2EB9">
      <w:pPr>
        <w:widowControl/>
        <w:spacing w:before="120" w:after="120"/>
        <w:ind w:left="851"/>
        <w:jc w:val="both"/>
        <w:rPr>
          <w:rFonts w:eastAsia="Calibri"/>
          <w:b/>
          <w:i/>
          <w:noProof/>
          <w:szCs w:val="22"/>
        </w:rPr>
      </w:pPr>
      <w:r w:rsidRPr="00E86AF3">
        <w:rPr>
          <w:b/>
          <w:i/>
        </w:rPr>
        <w:t>a)</w:t>
      </w:r>
      <w:r w:rsidRPr="00E86AF3">
        <w:rPr>
          <w:b/>
          <w:i/>
        </w:rPr>
        <w:tab/>
        <w:t>bendrą duomenų žodyną, kad būtų užtikrintas atskaitomybės reikalavimų nuoseklumas ir aiškumas bei duomenų standartizavimas;</w:t>
      </w:r>
    </w:p>
    <w:p w:rsidR="005B2EB9" w:rsidRPr="00E86AF3" w:rsidRDefault="005B2EB9" w:rsidP="005B2EB9">
      <w:pPr>
        <w:widowControl/>
        <w:spacing w:before="120" w:after="120"/>
        <w:ind w:left="851"/>
        <w:jc w:val="both"/>
        <w:rPr>
          <w:rFonts w:eastAsia="Calibri"/>
          <w:b/>
          <w:i/>
          <w:noProof/>
          <w:szCs w:val="22"/>
        </w:rPr>
      </w:pPr>
      <w:r w:rsidRPr="00E86AF3">
        <w:rPr>
          <w:b/>
          <w:i/>
        </w:rPr>
        <w:t>b)</w:t>
      </w:r>
      <w:r w:rsidRPr="00E86AF3">
        <w:rPr>
          <w:b/>
          <w:i/>
        </w:rPr>
        <w:tab/>
        <w:t>bendrą atskaitomybės ir informacijos atskleidimo reikalavimų, surinktų duomenų ir juos turinčių institucijų aprašymų saugyklą;</w:t>
      </w:r>
    </w:p>
    <w:p w:rsidR="005B2EB9" w:rsidRPr="00E86AF3" w:rsidRDefault="005B2EB9" w:rsidP="005B2EB9">
      <w:pPr>
        <w:widowControl/>
        <w:spacing w:before="120" w:after="120"/>
        <w:ind w:left="851"/>
        <w:jc w:val="both"/>
        <w:rPr>
          <w:rFonts w:eastAsia="Calibri"/>
          <w:b/>
          <w:i/>
          <w:noProof/>
          <w:szCs w:val="22"/>
        </w:rPr>
      </w:pPr>
      <w:r w:rsidRPr="00E86AF3">
        <w:rPr>
          <w:b/>
          <w:i/>
        </w:rPr>
        <w:t>c)</w:t>
      </w:r>
      <w:r w:rsidRPr="00E86AF3">
        <w:rPr>
          <w:b/>
          <w:i/>
        </w:rPr>
        <w:tab/>
        <w:t xml:space="preserve">centrinę duomenų erdvę, įskaitant techninį projektą, skirtą informacijai rinkti ir ja keistis, ir </w:t>
      </w:r>
    </w:p>
    <w:p w:rsidR="005B2EB9" w:rsidRPr="00E86AF3" w:rsidRDefault="005B2EB9" w:rsidP="005B2EB9">
      <w:pPr>
        <w:widowControl/>
        <w:spacing w:before="120" w:after="120"/>
        <w:ind w:left="851"/>
        <w:jc w:val="both"/>
        <w:rPr>
          <w:rFonts w:eastAsia="Calibri"/>
          <w:b/>
          <w:i/>
          <w:noProof/>
          <w:szCs w:val="22"/>
        </w:rPr>
      </w:pPr>
      <w:r w:rsidRPr="00E86AF3">
        <w:rPr>
          <w:b/>
          <w:i/>
        </w:rPr>
        <w:t>d)</w:t>
      </w:r>
      <w:r w:rsidRPr="00E86AF3">
        <w:rPr>
          <w:b/>
          <w:i/>
        </w:rPr>
        <w:tab/>
        <w:t xml:space="preserve">nuolatinį vieną bendrą kontaktinį punktą subjektams, kad jie galėtų nurodyti dvigubo ataskaitų teikimo, perteklinių ar nebeaktualių ataskaitų arba informacijos atskleidimo reikalavimų atvejus. </w:t>
      </w:r>
    </w:p>
    <w:p w:rsidR="005B2EB9" w:rsidRPr="00E86AF3" w:rsidRDefault="005B2EB9" w:rsidP="003A328D">
      <w:pPr>
        <w:widowControl/>
        <w:spacing w:before="120" w:after="120"/>
        <w:ind w:left="851"/>
        <w:jc w:val="both"/>
        <w:rPr>
          <w:rFonts w:eastAsia="Calibri"/>
          <w:b/>
          <w:i/>
          <w:noProof/>
          <w:szCs w:val="22"/>
        </w:rPr>
      </w:pPr>
      <w:r w:rsidRPr="00E86AF3">
        <w:rPr>
          <w:b/>
          <w:i/>
        </w:rPr>
        <w:lastRenderedPageBreak/>
        <w:t>2.</w:t>
      </w:r>
      <w:r w:rsidRPr="00E86AF3">
        <w:rPr>
          <w:b/>
          <w:i/>
        </w:rPr>
        <w:tab/>
        <w:t xml:space="preserve">Glaudžiai bendradarbiaujant su Komisija, prie ataskaitos pridedamas bendro finansinio poveikio įvertinimas. </w:t>
      </w:r>
    </w:p>
    <w:p w:rsidR="005B2EB9" w:rsidRPr="00E86AF3" w:rsidRDefault="005B2EB9" w:rsidP="003A328D">
      <w:pPr>
        <w:widowControl/>
        <w:spacing w:before="120" w:after="120"/>
        <w:ind w:left="851"/>
        <w:jc w:val="both"/>
        <w:rPr>
          <w:rFonts w:eastAsia="Calibri"/>
          <w:b/>
          <w:i/>
          <w:noProof/>
          <w:szCs w:val="22"/>
        </w:rPr>
      </w:pPr>
      <w:r w:rsidRPr="00E86AF3">
        <w:rPr>
          <w:b/>
          <w:i/>
        </w:rPr>
        <w:t xml:space="preserve">Kai tikslinga, ne vėliau kaip ... [3 metai nuo šio iš dalies keičiančio reglamento įsigaliojimo dienos] Komisija pateikia Europos Parlamentui ir Tarybai pasiūlymą dėl teisėkūros procedūra priimamo akto, kuriuo siekiama užtikrinti bendros integruotos ataskaitų teikimo sistemos kūrimui reikalingus finansinius, žmogiškuosius ir IT išteklius. </w:t>
      </w:r>
    </w:p>
    <w:p w:rsidR="005B2EB9" w:rsidRPr="00E86AF3" w:rsidRDefault="005B2EB9" w:rsidP="003A328D">
      <w:pPr>
        <w:widowControl/>
        <w:spacing w:before="120" w:after="120"/>
        <w:ind w:left="851"/>
        <w:jc w:val="both"/>
        <w:rPr>
          <w:rFonts w:eastAsia="Calibri"/>
          <w:b/>
          <w:i/>
          <w:noProof/>
          <w:szCs w:val="22"/>
        </w:rPr>
      </w:pPr>
      <w:r w:rsidRPr="00E86AF3">
        <w:rPr>
          <w:b/>
          <w:i/>
        </w:rPr>
        <w:t>Ne vėliau kaip ... [3 metai nuo šio iš dalies keičiančio reglamento įsigaliojimo dienos] Institucija drauge su kitomis institucijomis sukuria bendrą integruotą ataskaitų teikimo sistemą.“;</w:t>
      </w:r>
    </w:p>
    <w:p w:rsidR="005B2EB9" w:rsidRPr="00E86AF3" w:rsidRDefault="005B2EB9" w:rsidP="005B2EB9">
      <w:pPr>
        <w:widowControl/>
        <w:spacing w:before="120" w:after="120"/>
        <w:ind w:left="850" w:hanging="850"/>
        <w:jc w:val="both"/>
        <w:rPr>
          <w:rFonts w:eastAsia="Calibri"/>
          <w:b/>
          <w:i/>
          <w:szCs w:val="22"/>
        </w:rPr>
      </w:pPr>
      <w:r w:rsidRPr="00E86AF3">
        <w:rPr>
          <w:b/>
          <w:i/>
        </w:rPr>
        <w:t>5.</w:t>
      </w:r>
      <w:r w:rsidRPr="00E86AF3">
        <w:rPr>
          <w:b/>
          <w:i/>
        </w:rPr>
        <w:tab/>
        <w:t>44 straipsnio 1 dalis papildoma šia pastraipa:</w:t>
      </w:r>
    </w:p>
    <w:p w:rsidR="005B2EB9" w:rsidRPr="00E86AF3" w:rsidRDefault="005B2EB9" w:rsidP="005B2EB9">
      <w:pPr>
        <w:widowControl/>
        <w:spacing w:before="120" w:after="120"/>
        <w:jc w:val="both"/>
        <w:rPr>
          <w:rFonts w:eastAsia="Calibri"/>
          <w:b/>
          <w:i/>
          <w:noProof/>
          <w:szCs w:val="22"/>
        </w:rPr>
      </w:pPr>
      <w:r w:rsidRPr="00E86AF3">
        <w:rPr>
          <w:b/>
          <w:i/>
        </w:rPr>
        <w:t>„Institucijos nuomonės neapsiriboja vykstančiomis teisėkūros procedūromis. Institucija savo nuomonėse prireikus taip pat gali siūlyti galiojančių teisės aktų pakeitimus, įskaitant pakeitimus:</w:t>
      </w:r>
    </w:p>
    <w:p w:rsidR="005B2EB9" w:rsidRPr="00E86AF3" w:rsidRDefault="005B2EB9" w:rsidP="005B2EB9">
      <w:pPr>
        <w:widowControl/>
        <w:spacing w:before="120" w:after="120"/>
        <w:jc w:val="both"/>
        <w:rPr>
          <w:rFonts w:eastAsia="Calibri"/>
          <w:b/>
          <w:i/>
          <w:noProof/>
          <w:szCs w:val="22"/>
        </w:rPr>
      </w:pPr>
      <w:r w:rsidRPr="00E86AF3">
        <w:rPr>
          <w:b/>
          <w:i/>
        </w:rPr>
        <w:t>a)</w:t>
      </w:r>
      <w:r w:rsidRPr="00E86AF3">
        <w:rPr>
          <w:b/>
          <w:i/>
        </w:rPr>
        <w:tab/>
        <w:t>panaikinti nereikalingus arba nebeaktualius atskaitomybės ir informacijos atskleidimo reikalavimus, susijusius su Sąjungos teise arba Sąjungos teisės perkėlimu į nacionalinę teisę valstybėse narėse;</w:t>
      </w:r>
    </w:p>
    <w:p w:rsidR="005B2EB9" w:rsidRPr="00E86AF3" w:rsidRDefault="005B2EB9" w:rsidP="005B2EB9">
      <w:pPr>
        <w:widowControl/>
        <w:spacing w:before="120" w:after="120"/>
        <w:jc w:val="both"/>
        <w:rPr>
          <w:rFonts w:eastAsia="Calibri"/>
          <w:b/>
          <w:i/>
          <w:noProof/>
          <w:szCs w:val="22"/>
        </w:rPr>
      </w:pPr>
      <w:r w:rsidRPr="00E86AF3">
        <w:rPr>
          <w:b/>
          <w:i/>
        </w:rPr>
        <w:t>b)</w:t>
      </w:r>
      <w:r w:rsidRPr="00E86AF3">
        <w:rPr>
          <w:b/>
          <w:i/>
        </w:rPr>
        <w:tab/>
        <w:t>užtikrinti nuoseklius atskaitomybės ir informacijos atskleidimo reikalavimus visuose konkretiems ir įvairiems sektoriams taikomuose teisės aktuose;</w:t>
      </w:r>
    </w:p>
    <w:p w:rsidR="005B2EB9" w:rsidRPr="00E86AF3" w:rsidRDefault="005B2EB9" w:rsidP="005B2EB9">
      <w:pPr>
        <w:widowControl/>
        <w:spacing w:before="120" w:after="120"/>
        <w:jc w:val="both"/>
        <w:rPr>
          <w:rFonts w:eastAsia="Calibri"/>
          <w:b/>
          <w:i/>
          <w:noProof/>
          <w:szCs w:val="22"/>
        </w:rPr>
      </w:pPr>
      <w:r w:rsidRPr="00E86AF3">
        <w:rPr>
          <w:b/>
          <w:i/>
        </w:rPr>
        <w:t>c)</w:t>
      </w:r>
      <w:r w:rsidRPr="00E86AF3">
        <w:rPr>
          <w:b/>
          <w:i/>
        </w:rPr>
        <w:tab/>
        <w:t>užtikrinti atskaitomybės ir informacijos atskleidimo reikalavimų proporcingumą, atsižvelgiant į informaciją teikiančio subjekto pobūdį, dydį ir sudėtingumą;</w:t>
      </w:r>
    </w:p>
    <w:p w:rsidR="005B2EB9" w:rsidRPr="00E86AF3" w:rsidRDefault="005B2EB9" w:rsidP="005B2EB9">
      <w:pPr>
        <w:widowControl/>
        <w:spacing w:before="120" w:after="120"/>
        <w:jc w:val="both"/>
        <w:rPr>
          <w:rFonts w:eastAsia="Calibri"/>
          <w:b/>
          <w:bCs/>
          <w:i/>
          <w:iCs/>
          <w:szCs w:val="22"/>
        </w:rPr>
      </w:pPr>
      <w:r w:rsidRPr="00E86AF3">
        <w:rPr>
          <w:b/>
          <w:i/>
        </w:rPr>
        <w:t>d)</w:t>
      </w:r>
      <w:r w:rsidRPr="00E86AF3">
        <w:rPr>
          <w:b/>
          <w:i/>
        </w:rPr>
        <w:tab/>
        <w:t>užtikrinti, kad atskaitomybės ir informacijos atskleidimo reikalavimų laikymasis suteiktų pridėtinę vertę Institucijai įgyvendinant savo užduotis ir tikslus.</w:t>
      </w:r>
    </w:p>
    <w:p w:rsidR="005B2EB9" w:rsidRPr="00E86AF3" w:rsidRDefault="005B2EB9" w:rsidP="005B2EB9">
      <w:pPr>
        <w:widowControl/>
        <w:spacing w:before="120" w:after="120"/>
        <w:jc w:val="both"/>
        <w:rPr>
          <w:rFonts w:eastAsia="Calibri"/>
          <w:b/>
          <w:i/>
          <w:noProof/>
          <w:szCs w:val="22"/>
        </w:rPr>
      </w:pPr>
      <w:r w:rsidRPr="00E86AF3">
        <w:rPr>
          <w:b/>
          <w:i/>
        </w:rPr>
        <w:t>Rengdama pirmoje pastraipoje nurodytas nuomones dėl galiojančių teisėkūros procedūra priimamų aktų, Institucija tinkamai atsižvelgia į visų atitinkamų suinteresuotųjų subjektų pastabas, pateiktas per specialias konsultacijas. Remdamasi tomis nuomonėmis, Komisija, jei tikslinga, Europos Parlamentui ir Tarybai pateikia pasiūlymą dėl teisėkūros procedūra priimamo akto.“.</w:t>
      </w:r>
    </w:p>
    <w:p w:rsidR="005B2EB9" w:rsidRPr="00E86AF3" w:rsidRDefault="005B2EB9" w:rsidP="005B2EB9">
      <w:pPr>
        <w:keepNext/>
        <w:widowControl/>
        <w:spacing w:before="360" w:after="120"/>
        <w:ind w:left="720"/>
        <w:jc w:val="center"/>
        <w:rPr>
          <w:rFonts w:eastAsia="Calibri"/>
          <w:i/>
          <w:noProof/>
          <w:szCs w:val="22"/>
        </w:rPr>
      </w:pPr>
      <w:r w:rsidRPr="00E86AF3">
        <w:rPr>
          <w:i/>
        </w:rPr>
        <w:t>5 straipsnis</w:t>
      </w:r>
    </w:p>
    <w:p w:rsidR="005B2EB9" w:rsidRPr="00E86AF3" w:rsidRDefault="005B2EB9" w:rsidP="005B2EB9">
      <w:pPr>
        <w:widowControl/>
        <w:spacing w:before="120" w:after="120"/>
        <w:jc w:val="center"/>
        <w:rPr>
          <w:rFonts w:eastAsia="Calibri"/>
          <w:b/>
          <w:bCs/>
          <w:noProof/>
          <w:szCs w:val="22"/>
        </w:rPr>
      </w:pPr>
      <w:r w:rsidRPr="00E86AF3">
        <w:rPr>
          <w:b/>
        </w:rPr>
        <w:t>Daliniai Reglamento (ES) 2021/523 pakeitimai</w:t>
      </w:r>
    </w:p>
    <w:p w:rsidR="005B2EB9" w:rsidRPr="00E86AF3" w:rsidRDefault="005B2EB9" w:rsidP="005B2EB9">
      <w:pPr>
        <w:rPr>
          <w:b/>
          <w:i/>
        </w:rPr>
      </w:pPr>
      <w:r w:rsidRPr="00E86AF3">
        <w:t>Reglamentas (ES) Nr. 2021/523 iš dalies keičiamas taip:</w:t>
      </w:r>
    </w:p>
    <w:p w:rsidR="005B2EB9" w:rsidRPr="00E86AF3" w:rsidRDefault="005B2EB9" w:rsidP="005B2EB9">
      <w:pPr>
        <w:rPr>
          <w:b/>
          <w:i/>
        </w:rPr>
      </w:pPr>
    </w:p>
    <w:p w:rsidR="005B2EB9" w:rsidRPr="00E86AF3" w:rsidRDefault="005B2EB9" w:rsidP="005B2EB9">
      <w:pPr>
        <w:rPr>
          <w:b/>
          <w:i/>
        </w:rPr>
      </w:pPr>
      <w:r w:rsidRPr="00E86AF3">
        <w:rPr>
          <w:b/>
          <w:i/>
        </w:rPr>
        <w:t>-1.</w:t>
      </w:r>
      <w:r w:rsidRPr="00E86AF3">
        <w:rPr>
          <w:b/>
          <w:i/>
        </w:rPr>
        <w:tab/>
        <w:t>8 straipsnio 6 dalies įžanginė dalis pakeičiama taip:</w:t>
      </w:r>
    </w:p>
    <w:p w:rsidR="005B2EB9" w:rsidRPr="00E86AF3" w:rsidRDefault="005B2EB9" w:rsidP="005B2EB9">
      <w:pPr>
        <w:rPr>
          <w:b/>
          <w:i/>
        </w:rPr>
      </w:pPr>
    </w:p>
    <w:p w:rsidR="005B2EB9" w:rsidRPr="00E86AF3" w:rsidRDefault="005B2EB9" w:rsidP="005B2EB9">
      <w:pPr>
        <w:ind w:left="851"/>
        <w:jc w:val="both"/>
        <w:rPr>
          <w:b/>
          <w:i/>
          <w:noProof/>
        </w:rPr>
      </w:pPr>
      <w:r w:rsidRPr="00E86AF3">
        <w:rPr>
          <w:b/>
          <w:i/>
        </w:rPr>
        <w:t>„Komisija parengia tvarumo gaires, kurios, laikantis Sąjungos aplinkos ir socialinės politikos tikslų ir standartų bei deramai atsižvelgiant į reikšmingos žalos nedarymo principą ir į įvairių rūšių infrastruktūros projektų skirtumus, suteikia galimybę:“</w:t>
      </w:r>
      <w:r w:rsidR="003A328D">
        <w:rPr>
          <w:b/>
          <w:i/>
        </w:rPr>
        <w:t>;</w:t>
      </w:r>
    </w:p>
    <w:p w:rsidR="005B2EB9" w:rsidRPr="00E86AF3" w:rsidRDefault="005B2EB9" w:rsidP="005B2EB9">
      <w:pPr>
        <w:jc w:val="both"/>
        <w:rPr>
          <w:b/>
          <w:i/>
          <w:noProof/>
        </w:rPr>
      </w:pPr>
    </w:p>
    <w:p w:rsidR="005B2EB9" w:rsidRPr="00E86AF3" w:rsidRDefault="005B2EB9" w:rsidP="005B2EB9">
      <w:pPr>
        <w:jc w:val="both"/>
        <w:rPr>
          <w:b/>
          <w:i/>
        </w:rPr>
      </w:pPr>
      <w:r w:rsidRPr="00E86AF3">
        <w:rPr>
          <w:b/>
          <w:i/>
        </w:rPr>
        <w:t>-1a.</w:t>
      </w:r>
      <w:r w:rsidRPr="00E86AF3">
        <w:rPr>
          <w:b/>
          <w:i/>
        </w:rPr>
        <w:tab/>
        <w:t>13 straipsnio 7 dalies 2 pastraipa pakeičiama taip:</w:t>
      </w:r>
    </w:p>
    <w:p w:rsidR="005B2EB9" w:rsidRPr="00E86AF3" w:rsidRDefault="005B2EB9" w:rsidP="005B2EB9">
      <w:pPr>
        <w:jc w:val="both"/>
        <w:rPr>
          <w:b/>
          <w:i/>
          <w:noProof/>
        </w:rPr>
      </w:pPr>
    </w:p>
    <w:p w:rsidR="005B2EB9" w:rsidRPr="00E86AF3" w:rsidRDefault="005B2EB9" w:rsidP="005B2EB9">
      <w:pPr>
        <w:ind w:left="851"/>
        <w:jc w:val="both"/>
        <w:rPr>
          <w:b/>
          <w:i/>
          <w:noProof/>
        </w:rPr>
      </w:pPr>
      <w:r w:rsidRPr="00E86AF3">
        <w:rPr>
          <w:b/>
          <w:i/>
        </w:rPr>
        <w:t xml:space="preserve">„Įgyvendinančiojo partnerio ir galutinio gavėjo, finansų tarpininko ar bet kurio kito subjekto, nurodyto 16 straipsnio 1 dalies a punkte, sutartys, kurioms taikoma 4 straipsnio 2 dalies pirmoje pastraipoje nurodyta ES garantija, pasirašomos ne vėliau kaip 2026 m. rugpjūčio 31 d. Kitais atvejais įgyvendinančiojo partnerio ir </w:t>
      </w:r>
      <w:r w:rsidRPr="00E86AF3">
        <w:rPr>
          <w:b/>
          <w:i/>
        </w:rPr>
        <w:lastRenderedPageBreak/>
        <w:t>galutinio gavėjo, finansų tarpininko ar bet kurio kito subjekto, nurodyto 16 straipsnio 1 dalies a punkte, sudaromos sutartys pasirašomos ne vėliau kaip 2028 m. gruodžio 31 d.“;</w:t>
      </w:r>
    </w:p>
    <w:p w:rsidR="005B2EB9" w:rsidRPr="00E86AF3" w:rsidRDefault="005B2EB9" w:rsidP="005B2EB9">
      <w:pPr>
        <w:jc w:val="both"/>
        <w:rPr>
          <w:b/>
          <w:i/>
          <w:noProof/>
        </w:rPr>
      </w:pPr>
    </w:p>
    <w:p w:rsidR="005B2EB9" w:rsidRPr="00E86AF3" w:rsidRDefault="005B2EB9" w:rsidP="005B2EB9">
      <w:pPr>
        <w:jc w:val="both"/>
        <w:rPr>
          <w:b/>
          <w:i/>
        </w:rPr>
      </w:pPr>
      <w:r w:rsidRPr="00E86AF3">
        <w:rPr>
          <w:b/>
          <w:i/>
        </w:rPr>
        <w:t>-1b.</w:t>
      </w:r>
      <w:r w:rsidRPr="00E86AF3">
        <w:rPr>
          <w:b/>
          <w:i/>
        </w:rPr>
        <w:tab/>
        <w:t>17 straipsnio 2 dalies h punktas pakeičiamas taip:</w:t>
      </w:r>
    </w:p>
    <w:p w:rsidR="005B2EB9" w:rsidRPr="00E86AF3" w:rsidRDefault="005B2EB9" w:rsidP="005B2EB9">
      <w:pPr>
        <w:ind w:left="851"/>
        <w:jc w:val="both"/>
        <w:rPr>
          <w:b/>
          <w:i/>
        </w:rPr>
      </w:pPr>
      <w:r w:rsidRPr="00E86AF3">
        <w:rPr>
          <w:b/>
          <w:i/>
        </w:rPr>
        <w:t xml:space="preserve">„h) </w:t>
      </w:r>
      <w:r w:rsidRPr="00E86AF3">
        <w:rPr>
          <w:b/>
          <w:i/>
        </w:rPr>
        <w:tab/>
        <w:t>nuostatos dėl finansinių ir veiklos ataskaitų teikimo ir su ES garantija vykdomų finansavimo ir investavimo operacijų stebėsenos, užtikrinant ataskaitų teikimo ir stebėsenos reikalavimų proporcingumą, taip pat mažinant jų išlaidas visiems suinteresuotiesiems subjektams bei galutiniams naudos gavėjams ir nepakenkiant atitinkamiems programos „InvestEU“ tikslams.“;</w:t>
      </w:r>
    </w:p>
    <w:p w:rsidR="005B2EB9" w:rsidRPr="00E86AF3" w:rsidRDefault="005B2EB9" w:rsidP="005B2EB9">
      <w:pPr>
        <w:widowControl/>
        <w:spacing w:before="120" w:after="120"/>
        <w:jc w:val="both"/>
        <w:rPr>
          <w:rFonts w:eastAsia="Calibri"/>
          <w:b/>
          <w:i/>
          <w:noProof/>
          <w:szCs w:val="22"/>
          <w:lang w:eastAsia="en-US"/>
        </w:rPr>
      </w:pPr>
    </w:p>
    <w:p w:rsidR="005B2EB9" w:rsidRPr="00E86AF3" w:rsidRDefault="005B2EB9" w:rsidP="005B2EB9">
      <w:pPr>
        <w:widowControl/>
        <w:spacing w:before="120" w:after="120"/>
        <w:jc w:val="both"/>
        <w:rPr>
          <w:rFonts w:eastAsia="Calibri"/>
          <w:noProof/>
          <w:szCs w:val="22"/>
        </w:rPr>
      </w:pPr>
      <w:r w:rsidRPr="00E86AF3">
        <w:rPr>
          <w:b/>
          <w:i/>
        </w:rPr>
        <w:t>1.</w:t>
      </w:r>
      <w:r w:rsidRPr="00E86AF3">
        <w:tab/>
        <w:t>28 straipsnio 4 dalis pakeičiama taip:  </w:t>
      </w:r>
    </w:p>
    <w:p w:rsidR="005B2EB9" w:rsidRPr="00E86AF3" w:rsidRDefault="005B2EB9" w:rsidP="005B2EB9">
      <w:pPr>
        <w:widowControl/>
        <w:spacing w:before="120" w:after="120"/>
        <w:jc w:val="both"/>
        <w:rPr>
          <w:rFonts w:eastAsia="Calibri"/>
          <w:noProof/>
          <w:szCs w:val="22"/>
        </w:rPr>
      </w:pPr>
      <w:r w:rsidRPr="00E86AF3">
        <w:t>„4.</w:t>
      </w:r>
      <w:r w:rsidRPr="00E86AF3">
        <w:rPr>
          <w:b/>
          <w:i/>
        </w:rPr>
        <w:tab/>
      </w:r>
      <w:r w:rsidRPr="00E86AF3">
        <w:t>Kiekvienas įgyvendinantysis partneris kartą per metus Komisijai pateikia ataskaitą dėl finansavimo ir investavimo operacijų, kurioms taikomas šis reglamentas, suskirstytą atitinkamai pagal ES skyrių ir valstybių narių skyrių. Kiekvienas įgyvendinantysis partneris taip pat pateikia informaciją apie valstybės narės skyrių valstybei narei, kurios skyriui jis teikia paslaugas. Ataskaitoje įvertinama atitiktis ES garantijos naudojimo reikalavimams ir pagrindiniams veiklos rezultatų rodikliams, nustatytiems šio reglamento III priede. Ataskaitoje taip pat pateikiami veiklos, statistiniai, finansiniai ar apskaitos duomenys, susiję su kiekviena finansavimo ar investavimo operacija, ir numatomų pinigų srautų įvertinimas skyriaus, politikos linijos ir „InvestEU“ fondo lygmeniu. Į EIB grupės ir prireikus kitų įgyvendinančiųjų partnerių teikiamą ataskaitą taip pat įtraukiama informacija apie investavimo kliūtis, su kuriomis susidurta vykdant finansavimo ir investavimo operacijas, kurioms taikomas šis reglamentas. Ataskaitose pateikiama informacija, kurią įgyvendinantieji partneriai turi pateikti pagal Finansinio reglamento 155 </w:t>
      </w:r>
      <w:r w:rsidR="003A328D">
        <w:t>straipsnio 1 dalies a punktą.“.</w:t>
      </w:r>
    </w:p>
    <w:p w:rsidR="005B2EB9" w:rsidRPr="00E86AF3" w:rsidRDefault="005B2EB9" w:rsidP="005B2EB9">
      <w:pPr>
        <w:keepNext/>
        <w:widowControl/>
        <w:spacing w:before="360" w:after="120"/>
        <w:jc w:val="center"/>
        <w:rPr>
          <w:rFonts w:eastAsia="Calibri"/>
          <w:b/>
          <w:i/>
          <w:noProof/>
          <w:szCs w:val="22"/>
        </w:rPr>
      </w:pPr>
      <w:r w:rsidRPr="00E86AF3">
        <w:rPr>
          <w:b/>
          <w:i/>
        </w:rPr>
        <w:t>5a straipsnis</w:t>
      </w:r>
    </w:p>
    <w:p w:rsidR="005B2EB9" w:rsidRPr="00E86AF3" w:rsidRDefault="005B2EB9" w:rsidP="005B2EB9">
      <w:pPr>
        <w:widowControl/>
        <w:spacing w:before="120" w:after="120"/>
        <w:jc w:val="center"/>
        <w:rPr>
          <w:rFonts w:eastAsia="Calibri"/>
          <w:b/>
          <w:bCs/>
          <w:noProof/>
          <w:szCs w:val="22"/>
        </w:rPr>
      </w:pPr>
      <w:r w:rsidRPr="00E86AF3">
        <w:rPr>
          <w:b/>
        </w:rPr>
        <w:t>Suderinimas su Tarybos reglamentu (ES) Nr. 1024/2013</w:t>
      </w:r>
    </w:p>
    <w:p w:rsidR="005B2EB9" w:rsidRPr="00E86AF3" w:rsidRDefault="005B2EB9" w:rsidP="005B2EB9">
      <w:pPr>
        <w:widowControl/>
        <w:jc w:val="both"/>
        <w:rPr>
          <w:rFonts w:eastAsia="Calibri"/>
          <w:szCs w:val="24"/>
        </w:rPr>
      </w:pPr>
      <w:r w:rsidRPr="00E86AF3">
        <w:rPr>
          <w:b/>
          <w:i/>
        </w:rPr>
        <w:t>Ne vėliau kaip ... [trys mėnesiai nuo šio iš dalies keičiančio reglamento įsigaliojimo dienos] Komisija, kai tikslinga, pateikia Tarybai pasiūlymą dėl teisėkūros procedūra priimamo akto, kuriuo šiame reglamente pateikti reglamentų (ES) Nr. 1092/2010, (ES) Nr. 1093/2010, (ES) Nr. 1094/2010, (ES) Nr. 1095/2010, (ES) Nr. 806/2014 ir (ES) .../...</w:t>
      </w:r>
      <w:r w:rsidR="00BA57EE">
        <w:rPr>
          <w:rStyle w:val="FootnoteReference"/>
          <w:b/>
          <w:i/>
        </w:rPr>
        <w:footnoteReference w:customMarkFollows="1" w:id="25"/>
        <w:t>+</w:t>
      </w:r>
      <w:r w:rsidRPr="00E86AF3">
        <w:rPr>
          <w:b/>
          <w:i/>
        </w:rPr>
        <w:t xml:space="preserve"> pakeitimai suderinami su Tarybos reglamentu (ES) Nr. 1024/2013.</w:t>
      </w:r>
    </w:p>
    <w:p w:rsidR="005B2EB9" w:rsidRPr="00E86AF3" w:rsidRDefault="005B2EB9" w:rsidP="005B2EB9">
      <w:pPr>
        <w:widowControl/>
        <w:spacing w:before="120" w:after="120"/>
        <w:jc w:val="both"/>
        <w:rPr>
          <w:rFonts w:eastAsia="Calibri"/>
          <w:noProof/>
          <w:szCs w:val="22"/>
          <w:lang w:eastAsia="en-US"/>
        </w:rPr>
      </w:pPr>
    </w:p>
    <w:p w:rsidR="005B2EB9" w:rsidRPr="00E86AF3" w:rsidRDefault="005B2EB9" w:rsidP="005B2EB9">
      <w:pPr>
        <w:keepNext/>
        <w:widowControl/>
        <w:spacing w:before="360" w:after="120"/>
        <w:jc w:val="center"/>
        <w:rPr>
          <w:rFonts w:eastAsia="Calibri"/>
          <w:i/>
          <w:noProof/>
          <w:szCs w:val="22"/>
        </w:rPr>
      </w:pPr>
      <w:r w:rsidRPr="00E86AF3">
        <w:rPr>
          <w:i/>
        </w:rPr>
        <w:t>6 straipsnis</w:t>
      </w:r>
    </w:p>
    <w:p w:rsidR="005B2EB9" w:rsidRPr="00E86AF3" w:rsidRDefault="005B2EB9" w:rsidP="005B2EB9">
      <w:pPr>
        <w:widowControl/>
        <w:spacing w:before="120" w:after="120"/>
        <w:jc w:val="center"/>
        <w:rPr>
          <w:rFonts w:eastAsia="Calibri"/>
          <w:b/>
          <w:bCs/>
          <w:noProof/>
          <w:szCs w:val="22"/>
        </w:rPr>
      </w:pPr>
      <w:r w:rsidRPr="00E86AF3">
        <w:rPr>
          <w:b/>
        </w:rPr>
        <w:t>Įsigaliojimas</w:t>
      </w:r>
    </w:p>
    <w:p w:rsidR="005B2EB9" w:rsidRPr="00E86AF3" w:rsidRDefault="005B2EB9" w:rsidP="005B2EB9">
      <w:pPr>
        <w:widowControl/>
        <w:spacing w:before="120" w:after="120"/>
        <w:jc w:val="both"/>
        <w:rPr>
          <w:rFonts w:eastAsia="Calibri"/>
          <w:noProof/>
          <w:szCs w:val="22"/>
          <w:lang w:eastAsia="en-US"/>
        </w:rPr>
      </w:pPr>
    </w:p>
    <w:p w:rsidR="005B2EB9" w:rsidRPr="00E86AF3" w:rsidRDefault="005B2EB9" w:rsidP="005B2EB9">
      <w:pPr>
        <w:widowControl/>
        <w:spacing w:before="120" w:after="120"/>
        <w:jc w:val="both"/>
        <w:rPr>
          <w:rFonts w:eastAsia="Calibri"/>
          <w:noProof/>
          <w:szCs w:val="22"/>
        </w:rPr>
      </w:pPr>
      <w:r w:rsidRPr="00E86AF3">
        <w:t xml:space="preserve">Šis reglamentas įsigalioja dvidešimtą dieną po jo paskelbimo </w:t>
      </w:r>
      <w:r w:rsidRPr="00E86AF3">
        <w:rPr>
          <w:i/>
        </w:rPr>
        <w:t>Europos Sąjungos oficialiajame leidinyje</w:t>
      </w:r>
      <w:r w:rsidRPr="00E86AF3">
        <w:t>.</w:t>
      </w:r>
    </w:p>
    <w:p w:rsidR="005B2EB9" w:rsidRPr="00E86AF3" w:rsidRDefault="005B2EB9" w:rsidP="005B2EB9">
      <w:pPr>
        <w:widowControl/>
        <w:spacing w:before="480" w:after="120"/>
        <w:jc w:val="both"/>
        <w:rPr>
          <w:rFonts w:eastAsia="Calibri"/>
          <w:noProof/>
          <w:szCs w:val="22"/>
        </w:rPr>
      </w:pPr>
      <w:r w:rsidRPr="00E86AF3">
        <w:lastRenderedPageBreak/>
        <w:t>Šis reglamentas privalomas visas ir tiesiogiai taikomas visose valstybėse narėse.</w:t>
      </w:r>
    </w:p>
    <w:p w:rsidR="005B2EB9" w:rsidRPr="00E86AF3" w:rsidRDefault="005B2EB9" w:rsidP="005B2EB9">
      <w:pPr>
        <w:keepNext/>
        <w:widowControl/>
        <w:spacing w:before="120"/>
        <w:jc w:val="both"/>
        <w:rPr>
          <w:rFonts w:eastAsia="Calibri"/>
          <w:noProof/>
          <w:szCs w:val="22"/>
        </w:rPr>
      </w:pPr>
      <w:r w:rsidRPr="00E86AF3">
        <w:t xml:space="preserve">Priimta </w:t>
      </w:r>
      <w:r w:rsidR="00BA57EE">
        <w:t>…</w:t>
      </w:r>
    </w:p>
    <w:p w:rsidR="005B2EB9" w:rsidRPr="00E86AF3" w:rsidRDefault="005B2EB9" w:rsidP="005B2EB9">
      <w:pPr>
        <w:keepNext/>
        <w:widowControl/>
        <w:tabs>
          <w:tab w:val="left" w:pos="4252"/>
        </w:tabs>
        <w:spacing w:before="720"/>
        <w:jc w:val="both"/>
        <w:rPr>
          <w:rFonts w:eastAsia="Calibri"/>
          <w:i/>
          <w:noProof/>
          <w:szCs w:val="22"/>
        </w:rPr>
      </w:pPr>
      <w:r w:rsidRPr="00E86AF3">
        <w:rPr>
          <w:i/>
        </w:rPr>
        <w:t>Europos Parlamento vardu</w:t>
      </w:r>
      <w:r w:rsidRPr="00E86AF3">
        <w:rPr>
          <w:i/>
        </w:rPr>
        <w:tab/>
        <w:t>Tarybos vardu</w:t>
      </w:r>
    </w:p>
    <w:p w:rsidR="005B2EB9" w:rsidRPr="00E86AF3" w:rsidRDefault="005B2EB9" w:rsidP="005B2EB9">
      <w:pPr>
        <w:widowControl/>
        <w:tabs>
          <w:tab w:val="left" w:pos="4252"/>
        </w:tabs>
        <w:rPr>
          <w:rFonts w:eastAsia="Calibri"/>
          <w:i/>
          <w:noProof/>
          <w:szCs w:val="22"/>
        </w:rPr>
      </w:pPr>
      <w:r w:rsidRPr="00E86AF3">
        <w:rPr>
          <w:i/>
        </w:rPr>
        <w:t>Pirmininkė</w:t>
      </w:r>
      <w:r w:rsidRPr="00E86AF3">
        <w:rPr>
          <w:i/>
        </w:rPr>
        <w:tab/>
        <w:t>Pirmininkas / Pirmininkė</w:t>
      </w:r>
    </w:p>
    <w:p w:rsidR="005B2EB9" w:rsidRPr="00E86AF3" w:rsidRDefault="005B2EB9" w:rsidP="005B2EB9"/>
    <w:p w:rsidR="00E365E1" w:rsidRPr="00E86AF3" w:rsidRDefault="00E365E1" w:rsidP="00D57104">
      <w:bookmarkStart w:id="10" w:name="TextBodyEnd"/>
      <w:bookmarkEnd w:id="10"/>
    </w:p>
    <w:sectPr w:rsidR="00E365E1" w:rsidRPr="00E86AF3" w:rsidSect="00E86A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E66" w:rsidRPr="00E86AF3" w:rsidRDefault="00365E66">
      <w:r w:rsidRPr="00E86AF3">
        <w:separator/>
      </w:r>
    </w:p>
  </w:endnote>
  <w:endnote w:type="continuationSeparator" w:id="0">
    <w:p w:rsidR="00365E66" w:rsidRPr="00E86AF3" w:rsidRDefault="00365E66">
      <w:r w:rsidRPr="00E86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66" w:rsidRPr="00E86AF3" w:rsidRDefault="00365E6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66" w:rsidRPr="00E86AF3" w:rsidRDefault="00365E6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66" w:rsidRPr="00E86AF3" w:rsidRDefault="00365E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E66" w:rsidRPr="00E86AF3" w:rsidRDefault="00365E66">
      <w:r w:rsidRPr="00E86AF3">
        <w:separator/>
      </w:r>
    </w:p>
  </w:footnote>
  <w:footnote w:type="continuationSeparator" w:id="0">
    <w:p w:rsidR="00365E66" w:rsidRPr="00E86AF3" w:rsidRDefault="00365E66">
      <w:r w:rsidRPr="00E86AF3">
        <w:continuationSeparator/>
      </w:r>
    </w:p>
  </w:footnote>
  <w:footnote w:id="1">
    <w:p w:rsidR="00365E66" w:rsidRPr="00BB545E" w:rsidRDefault="00365E66" w:rsidP="00BB545E">
      <w:pPr>
        <w:pStyle w:val="FootnoteText"/>
        <w:ind w:left="567" w:hanging="567"/>
        <w:rPr>
          <w:sz w:val="24"/>
          <w:szCs w:val="24"/>
          <w:lang w:val="lt-LT"/>
        </w:rPr>
      </w:pPr>
      <w:r w:rsidRPr="00BB545E">
        <w:rPr>
          <w:rStyle w:val="FootnoteReference"/>
          <w:sz w:val="24"/>
          <w:szCs w:val="24"/>
        </w:rPr>
        <w:footnoteRef/>
      </w:r>
      <w:r w:rsidRPr="00BB545E">
        <w:rPr>
          <w:sz w:val="24"/>
          <w:szCs w:val="24"/>
        </w:rPr>
        <w:t xml:space="preserve"> </w:t>
      </w:r>
      <w:r w:rsidRPr="00BB545E">
        <w:rPr>
          <w:sz w:val="24"/>
          <w:szCs w:val="24"/>
          <w:lang w:val="lt-LT"/>
        </w:rPr>
        <w:tab/>
        <w:t>Dar nepaskelbta Oficialiajame leidinyje.</w:t>
      </w:r>
    </w:p>
  </w:footnote>
  <w:footnote w:id="2">
    <w:p w:rsidR="00365E66" w:rsidRPr="00ED33B0" w:rsidRDefault="00365E66" w:rsidP="00365E66">
      <w:pPr>
        <w:pStyle w:val="FootnoteText"/>
        <w:ind w:left="567" w:hanging="567"/>
        <w:rPr>
          <w:sz w:val="24"/>
          <w:lang w:val="lt-LT"/>
        </w:rPr>
      </w:pPr>
      <w:r w:rsidRPr="00ED33B0">
        <w:rPr>
          <w:rStyle w:val="FootnoteReference"/>
          <w:sz w:val="24"/>
          <w:lang w:val="lt-LT"/>
        </w:rPr>
        <w:t>*</w:t>
      </w:r>
      <w:r w:rsidRPr="00ED33B0">
        <w:rPr>
          <w:sz w:val="24"/>
          <w:lang w:val="lt-LT"/>
        </w:rPr>
        <w:t xml:space="preserve"> </w:t>
      </w:r>
      <w:r w:rsidRPr="00ED33B0">
        <w:rPr>
          <w:sz w:val="24"/>
          <w:lang w:val="lt-LT"/>
        </w:rPr>
        <w:tab/>
      </w:r>
      <w:r w:rsidRPr="00E22DDE">
        <w:rPr>
          <w:sz w:val="24"/>
          <w:lang w:val="lt-LT"/>
        </w:rPr>
        <w:t>Visame tekste padarytų pakeitimų pagrindas – 1 pakeitimo priėmimas</w:t>
      </w:r>
      <w:r>
        <w:rPr>
          <w:sz w:val="24"/>
          <w:lang w:val="lt-LT"/>
        </w:rPr>
        <w:t>.</w:t>
      </w:r>
      <w:r w:rsidRPr="00ED33B0">
        <w:rPr>
          <w:sz w:val="24"/>
          <w:lang w:val="lt-LT"/>
        </w:rPr>
        <w:t xml:space="preserve"> </w:t>
      </w:r>
      <w:r>
        <w:rPr>
          <w:sz w:val="24"/>
          <w:lang w:val="lt-LT"/>
        </w:rPr>
        <w:t>N</w:t>
      </w:r>
      <w:r w:rsidRPr="00ED33B0">
        <w:rPr>
          <w:sz w:val="24"/>
          <w:lang w:val="lt-LT"/>
        </w:rPr>
        <w:t>aujos arba iš dalies pakeistos teksto dalys žymimos pusjuodžiu kursyvu; išbrauktas tekstas nurodomas simboliu ▌.</w:t>
      </w:r>
    </w:p>
  </w:footnote>
  <w:footnote w:id="3">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OL C […], […], p. […].</w:t>
      </w:r>
    </w:p>
  </w:footnote>
  <w:footnote w:id="4">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OL C […], […], p. […].</w:t>
      </w:r>
    </w:p>
  </w:footnote>
  <w:footnote w:id="5">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2021 m. kovo 24 d. Europos Parlamento ir Tarybos reglamentas (ES) 2021/523, kuriuo nustatoma programa „InvestEU“ ir iš dalies keičiamas Reglamentas (ES) 2015/1017 (OL L 107, 2021 3 26, p. 30).</w:t>
      </w:r>
    </w:p>
  </w:footnote>
  <w:footnote w:id="6">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2010 m. lapkričio 24 d. Europos Parlamento ir Tarybos reglamentas (ES) Nr. 1092/2010 dėl Europos Sąjungos finansų sistemos makrolygio rizikos ribojimo priežiūros ir Europos sisteminės rizikos valdybos įsteigimo (OL L 331, 2010 12 15, p. 1).</w:t>
      </w:r>
    </w:p>
  </w:footnote>
  <w:footnote w:id="7">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w:t>
      </w:r>
    </w:p>
  </w:footnote>
  <w:footnote w:id="8">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2010 m. lapkričio 24 d. Europos Parlamento ir Tarybos reglamentas (ES) Nr. 1094/2010, kuriuo įsteigiama Europos priežiūros institucija (Europos draudimo ir profesinių pensijų institucija), iš dalies keičiamas Sprendimas Nr. 716/2009/EB ir panaikinamas Komisijos sprendimas 2009/79/EB (OL L 331, 2010 12 15, p. 48).</w:t>
      </w:r>
    </w:p>
  </w:footnote>
  <w:footnote w:id="9">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2010 m. lapkričio 24 d. Europos Parlamento ir Tarybos reglamentas (ES) Nr. 1095/2010, kuriuo įsteigiama Europos priežiūros institucija (Europos vertybinių popierių ir rinkų institucija) ir iš dalies keičiamas Sprendimas Nr. 716/2009/EB bei panaikinamas Komisijos sprendimas 2009/77/EB (OL L 331, 2010 12 15, p. 84).</w:t>
      </w:r>
    </w:p>
  </w:footnote>
  <w:footnote w:id="10">
    <w:p w:rsidR="00BA57EE" w:rsidRPr="00BA57EE" w:rsidRDefault="00BA57EE" w:rsidP="00BA57EE">
      <w:pPr>
        <w:pStyle w:val="FootnoteText"/>
        <w:ind w:left="567" w:hanging="567"/>
        <w:rPr>
          <w:lang w:val="lt-LT"/>
        </w:rPr>
      </w:pPr>
      <w:r>
        <w:rPr>
          <w:rStyle w:val="FootnoteReference"/>
        </w:rPr>
        <w:footnoteRef/>
      </w:r>
      <w:r w:rsidRPr="00BA57EE">
        <w:rPr>
          <w:lang w:val="lt-LT"/>
        </w:rPr>
        <w:t xml:space="preserve"> </w:t>
      </w:r>
      <w:r w:rsidRPr="00E86AF3">
        <w:rPr>
          <w:sz w:val="24"/>
          <w:lang w:val="lt-LT"/>
        </w:rPr>
        <w:tab/>
      </w:r>
      <w:r w:rsidRPr="00E86AF3">
        <w:rPr>
          <w:b/>
          <w:i/>
          <w:sz w:val="24"/>
          <w:lang w:val="lt-LT"/>
        </w:rPr>
        <w:t>2014 m. liepos 15 d. Europos Parlamento ir Tarybos reglamentas (ES) Nr. 806/2014, kuriuo nustatomos kredito įstaigų ir tam tikrų investicinių įmonių pertvarkymo vienodos taisyklės ir vienoda procedūra, kiek tai susiję su bendru pertvarkymo mechanizmu ir Bendru pertvarkymo fondu, ir iš dalies keičiamas Reglamentas (ES) Nr. 1093/2010 (</w:t>
      </w:r>
      <w:proofErr w:type="spellStart"/>
      <w:r w:rsidRPr="00E86AF3">
        <w:rPr>
          <w:b/>
          <w:i/>
          <w:sz w:val="24"/>
          <w:lang w:val="lt-LT"/>
        </w:rPr>
        <w:t>OL</w:t>
      </w:r>
      <w:proofErr w:type="spellEnd"/>
      <w:r w:rsidRPr="00E86AF3">
        <w:rPr>
          <w:b/>
          <w:i/>
          <w:sz w:val="24"/>
          <w:lang w:val="lt-LT"/>
        </w:rPr>
        <w:t> L 225, 2014 7 30, p. 1).</w:t>
      </w:r>
    </w:p>
  </w:footnote>
  <w:footnote w:id="11">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12">
    <w:p w:rsidR="00BA57EE" w:rsidRPr="00E86AF3" w:rsidRDefault="00BA57EE" w:rsidP="00E86AF3">
      <w:pPr>
        <w:pStyle w:val="FootnoteText"/>
        <w:ind w:left="567" w:hanging="567"/>
        <w:rPr>
          <w:sz w:val="24"/>
          <w:szCs w:val="24"/>
          <w:lang w:val="lt-LT"/>
        </w:rPr>
      </w:pPr>
      <w:r>
        <w:rPr>
          <w:rStyle w:val="FootnoteReference"/>
        </w:rPr>
        <w:footnoteRef/>
      </w:r>
      <w:r w:rsidRPr="00E86AF3">
        <w:rPr>
          <w:sz w:val="24"/>
          <w:lang w:val="lt-LT"/>
        </w:rPr>
        <w:t xml:space="preserve"> </w:t>
      </w:r>
      <w:r w:rsidRPr="00E86AF3">
        <w:rPr>
          <w:sz w:val="24"/>
          <w:lang w:val="lt-LT"/>
        </w:rPr>
        <w:tab/>
      </w:r>
      <w:r w:rsidRPr="00E86AF3">
        <w:rPr>
          <w:b/>
          <w:i/>
          <w:sz w:val="24"/>
          <w:lang w:val="lt-LT"/>
        </w:rPr>
        <w:t>2013 m. spalio 15 d. Tarybos reglamentas (ES) Nr. 1024/2013, kuriuo Europos Centriniam Bankui pavedami specialūs uždaviniai, susiję su rizikos ribojimu pagrįstos kredito įstaigų priežiūros politika (</w:t>
      </w:r>
      <w:proofErr w:type="spellStart"/>
      <w:r w:rsidRPr="00E86AF3">
        <w:rPr>
          <w:b/>
          <w:i/>
          <w:sz w:val="24"/>
          <w:lang w:val="lt-LT"/>
        </w:rPr>
        <w:t>OL</w:t>
      </w:r>
      <w:proofErr w:type="spellEnd"/>
      <w:r w:rsidRPr="00E86AF3">
        <w:rPr>
          <w:b/>
          <w:i/>
          <w:sz w:val="24"/>
          <w:lang w:val="lt-LT"/>
        </w:rPr>
        <w:t xml:space="preserve"> L 287, 2013 10 29, p. 63).</w:t>
      </w:r>
    </w:p>
  </w:footnote>
  <w:footnote w:id="13">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r>
      <w:proofErr w:type="spellStart"/>
      <w:r w:rsidRPr="00E86AF3">
        <w:rPr>
          <w:sz w:val="24"/>
          <w:lang w:val="lt-LT"/>
        </w:rPr>
        <w:t>COM</w:t>
      </w:r>
      <w:proofErr w:type="spellEnd"/>
      <w:r w:rsidRPr="00E86AF3">
        <w:rPr>
          <w:sz w:val="24"/>
          <w:lang w:val="lt-LT"/>
        </w:rPr>
        <w:t>(2023)168.</w:t>
      </w:r>
    </w:p>
  </w:footnote>
  <w:footnote w:id="14">
    <w:p w:rsidR="00365E66" w:rsidRPr="00E86AF3" w:rsidRDefault="00365E66" w:rsidP="00E86AF3">
      <w:pPr>
        <w:pStyle w:val="FootnoteText"/>
        <w:ind w:left="567" w:hanging="567"/>
        <w:rPr>
          <w:sz w:val="24"/>
          <w:szCs w:val="24"/>
          <w:lang w:val="lt-LT"/>
        </w:rPr>
      </w:pPr>
      <w:r w:rsidRPr="00E86AF3">
        <w:rPr>
          <w:rStyle w:val="FootnoteReference"/>
          <w:sz w:val="24"/>
          <w:szCs w:val="24"/>
          <w:lang w:val="lt-LT"/>
        </w:rPr>
        <w:footnoteRef/>
      </w:r>
      <w:r w:rsidRPr="00E86AF3">
        <w:rPr>
          <w:sz w:val="24"/>
          <w:lang w:val="lt-LT"/>
        </w:rPr>
        <w:t xml:space="preserve"> </w:t>
      </w:r>
      <w:r w:rsidRPr="00E86AF3">
        <w:rPr>
          <w:sz w:val="24"/>
          <w:lang w:val="lt-LT"/>
        </w:rPr>
        <w:tab/>
        <w:t>2022 m. gegužės 30 d. Europos Parlamento ir Tarybos reglamentas (ES) 2022/868 dėl Europos duomenų valdymo, kuriuo iš dalies keičiamas Reglamentas (ES) 2018/1724 (Duomenų valdymo aktas) (OL L 152, 2022 6 3, p. 1).</w:t>
      </w:r>
    </w:p>
  </w:footnote>
  <w:footnote w:id="15">
    <w:p w:rsidR="00BA57EE" w:rsidRPr="00E86AF3" w:rsidRDefault="00BA57EE" w:rsidP="00E86AF3">
      <w:pPr>
        <w:pStyle w:val="FootnoteText"/>
        <w:ind w:left="567" w:hanging="567"/>
        <w:rPr>
          <w:sz w:val="24"/>
          <w:szCs w:val="24"/>
          <w:lang w:val="lt-LT"/>
        </w:rPr>
      </w:pPr>
      <w:r w:rsidRPr="00BA57EE">
        <w:rPr>
          <w:rStyle w:val="FootnoteReference"/>
          <w:lang w:val="lt-LT"/>
        </w:rPr>
        <w:t>+</w:t>
      </w:r>
      <w:r w:rsidRPr="00894193">
        <w:rPr>
          <w:b/>
          <w:i/>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16">
    <w:p w:rsidR="00BA57EE" w:rsidRPr="00E86AF3" w:rsidRDefault="00BA57EE" w:rsidP="00E86AF3">
      <w:pPr>
        <w:pStyle w:val="FootnoteText"/>
        <w:ind w:left="567" w:hanging="567"/>
        <w:rPr>
          <w:sz w:val="24"/>
          <w:szCs w:val="24"/>
          <w:lang w:val="lt-LT"/>
        </w:rPr>
      </w:pPr>
      <w:r w:rsidRPr="00BA57EE">
        <w:rPr>
          <w:rStyle w:val="FootnoteReference"/>
          <w:lang w:val="lt-LT"/>
        </w:rPr>
        <w:t>++</w:t>
      </w:r>
      <w:r w:rsidRPr="00894193">
        <w:rPr>
          <w:b/>
          <w:i/>
          <w:sz w:val="24"/>
          <w:lang w:val="lt-LT"/>
        </w:rPr>
        <w:t xml:space="preserve"> </w:t>
      </w:r>
      <w:r w:rsidRPr="00E86AF3">
        <w:rPr>
          <w:sz w:val="24"/>
          <w:lang w:val="lt-LT"/>
        </w:rPr>
        <w:tab/>
      </w:r>
      <w:r w:rsidRPr="00E86AF3">
        <w:rPr>
          <w:b/>
          <w:i/>
          <w:sz w:val="24"/>
          <w:lang w:val="lt-LT"/>
        </w:rPr>
        <w:t xml:space="preserve">prašom tekste įrašyti dokumente 2021/0250(COD) (Pasiūlyme dėl Šeštosios kovos su pinigų plovimu direktyvos, </w:t>
      </w:r>
      <w:proofErr w:type="spellStart"/>
      <w:r w:rsidRPr="00E86AF3">
        <w:rPr>
          <w:b/>
          <w:i/>
          <w:sz w:val="24"/>
          <w:lang w:val="lt-LT"/>
        </w:rPr>
        <w:t>COM</w:t>
      </w:r>
      <w:proofErr w:type="spellEnd"/>
      <w:r w:rsidRPr="00E86AF3">
        <w:rPr>
          <w:b/>
          <w:i/>
          <w:sz w:val="24"/>
          <w:lang w:val="lt-LT"/>
        </w:rPr>
        <w:t>/2021/423 </w:t>
      </w:r>
      <w:proofErr w:type="spellStart"/>
      <w:r w:rsidRPr="00E86AF3">
        <w:rPr>
          <w:b/>
          <w:i/>
          <w:sz w:val="24"/>
          <w:lang w:val="lt-LT"/>
        </w:rPr>
        <w:t>final</w:t>
      </w:r>
      <w:proofErr w:type="spellEnd"/>
      <w:r w:rsidRPr="00E86AF3">
        <w:rPr>
          <w:b/>
          <w:i/>
          <w:sz w:val="24"/>
          <w:lang w:val="lt-LT"/>
        </w:rPr>
        <w:t xml:space="preserve">) pateiktos direktyvos numerį, o išnašoje – tos direktyvos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17">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18">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r w:rsidRPr="00E86AF3">
        <w:rPr>
          <w:b/>
          <w:i/>
          <w:sz w:val="24"/>
          <w:lang w:val="lt-LT"/>
        </w:rPr>
        <w:t xml:space="preserve">prašom tekste įrašyti dokumente 2021/0250(COD) (Pasiūlyme dėl Šeštosios kovos su pinigų plovimu direktyvos, </w:t>
      </w:r>
      <w:proofErr w:type="spellStart"/>
      <w:r w:rsidRPr="00E86AF3">
        <w:rPr>
          <w:b/>
          <w:i/>
          <w:sz w:val="24"/>
          <w:lang w:val="lt-LT"/>
        </w:rPr>
        <w:t>COM</w:t>
      </w:r>
      <w:proofErr w:type="spellEnd"/>
      <w:r w:rsidRPr="00E86AF3">
        <w:rPr>
          <w:b/>
          <w:i/>
          <w:sz w:val="24"/>
          <w:lang w:val="lt-LT"/>
        </w:rPr>
        <w:t>/2021/423 </w:t>
      </w:r>
      <w:proofErr w:type="spellStart"/>
      <w:r w:rsidRPr="00E86AF3">
        <w:rPr>
          <w:b/>
          <w:i/>
          <w:sz w:val="24"/>
          <w:lang w:val="lt-LT"/>
        </w:rPr>
        <w:t>final</w:t>
      </w:r>
      <w:proofErr w:type="spellEnd"/>
      <w:r w:rsidRPr="00E86AF3">
        <w:rPr>
          <w:b/>
          <w:i/>
          <w:sz w:val="24"/>
          <w:lang w:val="lt-LT"/>
        </w:rPr>
        <w:t xml:space="preserve">) pateiktos direktyvos numerį, o išnašoje – tos direktyvos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19">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20">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2021/0250(COD) (Pasiūlyme dėl Šeštosios kovos su pinigų plovimu direktyvos, </w:t>
      </w:r>
      <w:proofErr w:type="spellStart"/>
      <w:r w:rsidRPr="00E86AF3">
        <w:rPr>
          <w:b/>
          <w:i/>
          <w:sz w:val="24"/>
          <w:lang w:val="lt-LT"/>
        </w:rPr>
        <w:t>COM</w:t>
      </w:r>
      <w:proofErr w:type="spellEnd"/>
      <w:r w:rsidRPr="00E86AF3">
        <w:rPr>
          <w:b/>
          <w:i/>
          <w:sz w:val="24"/>
          <w:lang w:val="lt-LT"/>
        </w:rPr>
        <w:t>/2021/423 </w:t>
      </w:r>
      <w:proofErr w:type="spellStart"/>
      <w:r w:rsidRPr="00E86AF3">
        <w:rPr>
          <w:b/>
          <w:i/>
          <w:sz w:val="24"/>
          <w:lang w:val="lt-LT"/>
        </w:rPr>
        <w:t>final</w:t>
      </w:r>
      <w:proofErr w:type="spellEnd"/>
      <w:r w:rsidRPr="00E86AF3">
        <w:rPr>
          <w:b/>
          <w:i/>
          <w:sz w:val="24"/>
          <w:lang w:val="lt-LT"/>
        </w:rPr>
        <w:t xml:space="preserve">) pateiktos direktyvos numerį, o išnašoje – tos direktyvos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21">
    <w:p w:rsidR="00BA57EE" w:rsidRPr="00E86AF3" w:rsidRDefault="00BA57EE" w:rsidP="00E86AF3">
      <w:pPr>
        <w:pStyle w:val="FootnoteText"/>
        <w:ind w:left="567" w:hanging="567"/>
        <w:rPr>
          <w:b/>
          <w:i/>
          <w:sz w:val="24"/>
          <w:szCs w:val="24"/>
          <w:lang w:val="lt-LT"/>
        </w:rPr>
      </w:pPr>
      <w:r w:rsidRPr="00BA57EE">
        <w:rPr>
          <w:rStyle w:val="FootnoteReference"/>
          <w:lang w:val="lt-LT"/>
        </w:rPr>
        <w:t>+</w:t>
      </w:r>
      <w:r w:rsidRPr="00365E66">
        <w:rPr>
          <w:b/>
          <w:i/>
          <w:sz w:val="24"/>
          <w:lang w:val="lt-LT"/>
        </w:rPr>
        <w:t xml:space="preserve"> </w:t>
      </w:r>
      <w:r w:rsidRPr="00365E66">
        <w:rPr>
          <w:b/>
          <w:i/>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22">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2021/0250(COD) (Pasiūlyme dėl Šeštosios kovos su pinigų plovimu direktyvos, </w:t>
      </w:r>
      <w:proofErr w:type="spellStart"/>
      <w:r w:rsidRPr="00E86AF3">
        <w:rPr>
          <w:b/>
          <w:i/>
          <w:sz w:val="24"/>
          <w:lang w:val="lt-LT"/>
        </w:rPr>
        <w:t>COM</w:t>
      </w:r>
      <w:proofErr w:type="spellEnd"/>
      <w:r w:rsidRPr="00E86AF3">
        <w:rPr>
          <w:b/>
          <w:i/>
          <w:sz w:val="24"/>
          <w:lang w:val="lt-LT"/>
        </w:rPr>
        <w:t>/2021/423 </w:t>
      </w:r>
      <w:proofErr w:type="spellStart"/>
      <w:r w:rsidRPr="00E86AF3">
        <w:rPr>
          <w:b/>
          <w:i/>
          <w:sz w:val="24"/>
          <w:lang w:val="lt-LT"/>
        </w:rPr>
        <w:t>final</w:t>
      </w:r>
      <w:proofErr w:type="spellEnd"/>
      <w:r w:rsidRPr="00E86AF3">
        <w:rPr>
          <w:b/>
          <w:i/>
          <w:sz w:val="24"/>
          <w:lang w:val="lt-LT"/>
        </w:rPr>
        <w:t xml:space="preserve">) pateiktos direktyvos numerį, o išnašoje – tos direktyvos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23">
    <w:p w:rsidR="00BA57EE" w:rsidRPr="00E86AF3" w:rsidRDefault="00BA57EE" w:rsidP="00E86AF3">
      <w:pPr>
        <w:pStyle w:val="FootnoteText"/>
        <w:ind w:left="567" w:hanging="567"/>
        <w:rPr>
          <w:b/>
          <w:i/>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 w:id="24">
    <w:p w:rsidR="00BA57EE" w:rsidRPr="00E86AF3" w:rsidRDefault="00BA57EE" w:rsidP="00E86AF3">
      <w:pPr>
        <w:pStyle w:val="FootnoteText"/>
        <w:ind w:left="567" w:hanging="567"/>
        <w:rPr>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2021/0250(COD) (Pasiūlyme dėl Šeštosios kovos su pinigų plovimu direktyvos, </w:t>
      </w:r>
      <w:proofErr w:type="spellStart"/>
      <w:r w:rsidRPr="00E86AF3">
        <w:rPr>
          <w:b/>
          <w:i/>
          <w:sz w:val="24"/>
          <w:lang w:val="lt-LT"/>
        </w:rPr>
        <w:t>COM</w:t>
      </w:r>
      <w:proofErr w:type="spellEnd"/>
      <w:r w:rsidRPr="00E86AF3">
        <w:rPr>
          <w:b/>
          <w:i/>
          <w:sz w:val="24"/>
          <w:lang w:val="lt-LT"/>
        </w:rPr>
        <w:t>/2021/423 </w:t>
      </w:r>
      <w:proofErr w:type="spellStart"/>
      <w:r w:rsidRPr="00E86AF3">
        <w:rPr>
          <w:b/>
          <w:i/>
          <w:sz w:val="24"/>
          <w:lang w:val="lt-LT"/>
        </w:rPr>
        <w:t>final</w:t>
      </w:r>
      <w:proofErr w:type="spellEnd"/>
      <w:r w:rsidRPr="00E86AF3">
        <w:rPr>
          <w:b/>
          <w:i/>
          <w:sz w:val="24"/>
          <w:lang w:val="lt-LT"/>
        </w:rPr>
        <w:t xml:space="preserve">) pateiktos direktyvos numerį, o išnašoje – tos direktyvos numerį, datą, pavadinimą ir </w:t>
      </w:r>
      <w:proofErr w:type="spellStart"/>
      <w:r w:rsidRPr="00E86AF3">
        <w:rPr>
          <w:b/>
          <w:i/>
          <w:sz w:val="24"/>
          <w:lang w:val="lt-LT"/>
        </w:rPr>
        <w:t>OL</w:t>
      </w:r>
      <w:proofErr w:type="spellEnd"/>
      <w:r w:rsidRPr="00E86AF3">
        <w:rPr>
          <w:b/>
          <w:i/>
          <w:sz w:val="24"/>
          <w:lang w:val="lt-LT"/>
        </w:rPr>
        <w:t xml:space="preserve"> nuorodą.</w:t>
      </w:r>
      <w:bookmarkStart w:id="9" w:name="_GoBack"/>
      <w:bookmarkEnd w:id="9"/>
    </w:p>
  </w:footnote>
  <w:footnote w:id="25">
    <w:p w:rsidR="00BA57EE" w:rsidRPr="00E86AF3" w:rsidRDefault="00BA57EE" w:rsidP="00E86AF3">
      <w:pPr>
        <w:pStyle w:val="FootnoteText"/>
        <w:ind w:left="567" w:hanging="567"/>
        <w:rPr>
          <w:b/>
          <w:i/>
          <w:sz w:val="24"/>
          <w:szCs w:val="24"/>
          <w:lang w:val="lt-LT"/>
        </w:rPr>
      </w:pPr>
      <w:r w:rsidRPr="00BA57EE">
        <w:rPr>
          <w:rStyle w:val="FootnoteReference"/>
          <w:lang w:val="lt-LT"/>
        </w:rPr>
        <w:t>+</w:t>
      </w:r>
      <w:r w:rsidRPr="00E86AF3">
        <w:rPr>
          <w:sz w:val="24"/>
          <w:lang w:val="lt-LT"/>
        </w:rPr>
        <w:t xml:space="preserve"> </w:t>
      </w:r>
      <w:r w:rsidRPr="00E86AF3">
        <w:rPr>
          <w:sz w:val="24"/>
          <w:lang w:val="lt-LT"/>
        </w:rPr>
        <w:tab/>
      </w:r>
      <w:proofErr w:type="spellStart"/>
      <w:r w:rsidRPr="00E86AF3">
        <w:rPr>
          <w:b/>
          <w:i/>
          <w:sz w:val="24"/>
          <w:lang w:val="lt-LT"/>
        </w:rPr>
        <w:t>OL</w:t>
      </w:r>
      <w:proofErr w:type="spellEnd"/>
      <w:r w:rsidRPr="00E86AF3">
        <w:rPr>
          <w:b/>
          <w:i/>
          <w:sz w:val="24"/>
          <w:lang w:val="lt-LT"/>
        </w:rPr>
        <w:t xml:space="preserve">: prašom tekste įrašyti dokumente 2021/0240(COD) (pasiūlymas dėl reglamento, kuriuo įsteigiama Kovos su pinigų plovimu ir terorizmo finansavimu institucija, </w:t>
      </w:r>
      <w:proofErr w:type="spellStart"/>
      <w:r w:rsidRPr="00E86AF3">
        <w:rPr>
          <w:b/>
          <w:i/>
          <w:sz w:val="24"/>
          <w:lang w:val="lt-LT"/>
        </w:rPr>
        <w:t>COM</w:t>
      </w:r>
      <w:proofErr w:type="spellEnd"/>
      <w:r w:rsidRPr="00E86AF3">
        <w:rPr>
          <w:b/>
          <w:i/>
          <w:sz w:val="24"/>
          <w:lang w:val="lt-LT"/>
        </w:rPr>
        <w:t>/2021/421 </w:t>
      </w:r>
      <w:proofErr w:type="spellStart"/>
      <w:r w:rsidRPr="00E86AF3">
        <w:rPr>
          <w:b/>
          <w:i/>
          <w:sz w:val="24"/>
          <w:lang w:val="lt-LT"/>
        </w:rPr>
        <w:t>final</w:t>
      </w:r>
      <w:proofErr w:type="spellEnd"/>
      <w:r w:rsidRPr="00E86AF3">
        <w:rPr>
          <w:b/>
          <w:i/>
          <w:sz w:val="24"/>
          <w:lang w:val="lt-LT"/>
        </w:rPr>
        <w:t xml:space="preserve">) pateikto reglamento numerį, o išnašoje – to reglamento numerį, datą, pavadinimą ir </w:t>
      </w:r>
      <w:proofErr w:type="spellStart"/>
      <w:r w:rsidRPr="00E86AF3">
        <w:rPr>
          <w:b/>
          <w:i/>
          <w:sz w:val="24"/>
          <w:lang w:val="lt-LT"/>
        </w:rPr>
        <w:t>OL</w:t>
      </w:r>
      <w:proofErr w:type="spellEnd"/>
      <w:r w:rsidRPr="00E86AF3">
        <w:rPr>
          <w:b/>
          <w:i/>
          <w:sz w:val="24"/>
          <w:lang w:val="lt-LT"/>
        </w:rPr>
        <w:t xml:space="preserve"> nuorodą.</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66" w:rsidRPr="00E86AF3" w:rsidRDefault="00365E6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66" w:rsidRPr="00E86AF3" w:rsidRDefault="00365E6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66" w:rsidRPr="00E86AF3" w:rsidRDefault="00365E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LT"/>
    <w:docVar w:name="dvnumam" w:val="0"/>
    <w:docVar w:name="dvpe" w:val="757.366"/>
    <w:docVar w:name="dvrapporteur" w:val="Pranešėjas: "/>
    <w:docVar w:name="dvstar" w:val="***I"/>
    <w:docVar w:name="dvtitre" w:val="Europos Parlamento teisėkūros rezoliucija dėl pasiūlymo dėl Europos Parlamento ir Tarybos reglamento, kuriuo dėl tam tikrų atskaitomybės reikalavimų, susijusių su finansinėmis paslaugomis ir parama investicijoms, iš dalies keičiami reglamentai (ES) Nr. 1092/2010, (ES) Nr. 1093/2010, (ES) Nr. 1094/2010, (ES) Nr. 1095/2010 ir (ES) 2021/523(COM(2023)0593 – C9-0383/2023 – 2023/0363(COD))"/>
  </w:docVars>
  <w:rsids>
    <w:rsidRoot w:val="00D57104"/>
    <w:rsid w:val="00002272"/>
    <w:rsid w:val="00016A54"/>
    <w:rsid w:val="00020CB0"/>
    <w:rsid w:val="00064002"/>
    <w:rsid w:val="000677B9"/>
    <w:rsid w:val="000831BA"/>
    <w:rsid w:val="000A42CC"/>
    <w:rsid w:val="000E7DD9"/>
    <w:rsid w:val="0010095E"/>
    <w:rsid w:val="00125B37"/>
    <w:rsid w:val="00137D06"/>
    <w:rsid w:val="00187494"/>
    <w:rsid w:val="001F32AE"/>
    <w:rsid w:val="002767FF"/>
    <w:rsid w:val="002B18FE"/>
    <w:rsid w:val="002B5493"/>
    <w:rsid w:val="00343214"/>
    <w:rsid w:val="00361C00"/>
    <w:rsid w:val="00365E66"/>
    <w:rsid w:val="00395FA1"/>
    <w:rsid w:val="003A328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EB9"/>
    <w:rsid w:val="005C2568"/>
    <w:rsid w:val="006037C0"/>
    <w:rsid w:val="006631B6"/>
    <w:rsid w:val="00680577"/>
    <w:rsid w:val="006F74FA"/>
    <w:rsid w:val="00731ADD"/>
    <w:rsid w:val="00734777"/>
    <w:rsid w:val="00745538"/>
    <w:rsid w:val="00747932"/>
    <w:rsid w:val="00751A4A"/>
    <w:rsid w:val="00756632"/>
    <w:rsid w:val="00762C74"/>
    <w:rsid w:val="00786EC0"/>
    <w:rsid w:val="007D1690"/>
    <w:rsid w:val="007E22AD"/>
    <w:rsid w:val="00817416"/>
    <w:rsid w:val="00842779"/>
    <w:rsid w:val="00865F67"/>
    <w:rsid w:val="00881A7B"/>
    <w:rsid w:val="008840E5"/>
    <w:rsid w:val="00887B3E"/>
    <w:rsid w:val="00894193"/>
    <w:rsid w:val="008C2AC6"/>
    <w:rsid w:val="008E2895"/>
    <w:rsid w:val="00930C23"/>
    <w:rsid w:val="0093193B"/>
    <w:rsid w:val="009509D8"/>
    <w:rsid w:val="00950B64"/>
    <w:rsid w:val="00981893"/>
    <w:rsid w:val="00A1687D"/>
    <w:rsid w:val="00A43E52"/>
    <w:rsid w:val="00A4678D"/>
    <w:rsid w:val="00A778C7"/>
    <w:rsid w:val="00AB441E"/>
    <w:rsid w:val="00AB6293"/>
    <w:rsid w:val="00AE0928"/>
    <w:rsid w:val="00AF3B82"/>
    <w:rsid w:val="00B0539C"/>
    <w:rsid w:val="00B12E95"/>
    <w:rsid w:val="00B22876"/>
    <w:rsid w:val="00B558F0"/>
    <w:rsid w:val="00BA57EE"/>
    <w:rsid w:val="00BB545E"/>
    <w:rsid w:val="00BD48FE"/>
    <w:rsid w:val="00BD7BD8"/>
    <w:rsid w:val="00BE6ADC"/>
    <w:rsid w:val="00C02782"/>
    <w:rsid w:val="00C05BFE"/>
    <w:rsid w:val="00C07E94"/>
    <w:rsid w:val="00C23CD4"/>
    <w:rsid w:val="00C61C0C"/>
    <w:rsid w:val="00C941CB"/>
    <w:rsid w:val="00CC2357"/>
    <w:rsid w:val="00CF071A"/>
    <w:rsid w:val="00D058B8"/>
    <w:rsid w:val="00D56C11"/>
    <w:rsid w:val="00D57104"/>
    <w:rsid w:val="00D834A0"/>
    <w:rsid w:val="00D872DF"/>
    <w:rsid w:val="00D91E21"/>
    <w:rsid w:val="00DA7FCD"/>
    <w:rsid w:val="00E365E1"/>
    <w:rsid w:val="00E820A4"/>
    <w:rsid w:val="00E86AF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F67D0"/>
  <w15:chartTrackingRefBased/>
  <w15:docId w15:val="{6D9DBC34-E53E-4421-BD13-A2508364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B2EB9"/>
    <w:rPr>
      <w:b/>
    </w:rPr>
  </w:style>
  <w:style w:type="paragraph" w:customStyle="1" w:styleId="NormalHanging12a">
    <w:name w:val="NormalHanging12a"/>
    <w:basedOn w:val="Normal"/>
    <w:rsid w:val="005B2EB9"/>
    <w:pPr>
      <w:spacing w:after="240"/>
      <w:ind w:left="567" w:hanging="567"/>
    </w:pPr>
  </w:style>
  <w:style w:type="paragraph" w:customStyle="1" w:styleId="AmNumberTabs">
    <w:name w:val="AmNumberTabs"/>
    <w:basedOn w:val="Normal"/>
    <w:rsid w:val="005B2E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B2EB9"/>
    <w:pPr>
      <w:spacing w:before="480" w:after="240"/>
    </w:pPr>
  </w:style>
  <w:style w:type="character" w:customStyle="1" w:styleId="NormalBoldChar">
    <w:name w:val="NormalBold Char"/>
    <w:link w:val="NormalBold"/>
    <w:locked/>
    <w:rsid w:val="005B2EB9"/>
    <w:rPr>
      <w:b/>
      <w:sz w:val="24"/>
      <w:lang w:val="lt-LT"/>
    </w:rPr>
  </w:style>
  <w:style w:type="paragraph" w:customStyle="1" w:styleId="NormalCenter12a">
    <w:name w:val="NormalCenter12a"/>
    <w:basedOn w:val="Normal"/>
    <w:rsid w:val="005B2EB9"/>
    <w:pPr>
      <w:spacing w:after="240"/>
      <w:jc w:val="center"/>
    </w:pPr>
  </w:style>
  <w:style w:type="paragraph" w:customStyle="1" w:styleId="AmHeadingConsam">
    <w:name w:val="AmHeadingConsam"/>
    <w:basedOn w:val="Normal"/>
    <w:next w:val="NormalCenter12a"/>
    <w:rsid w:val="005B2EB9"/>
    <w:pPr>
      <w:spacing w:before="720" w:after="240"/>
      <w:jc w:val="center"/>
    </w:pPr>
  </w:style>
  <w:style w:type="paragraph" w:customStyle="1" w:styleId="ManualConsidrant">
    <w:name w:val="Manual Considérant"/>
    <w:basedOn w:val="Normal"/>
    <w:rsid w:val="005B2EB9"/>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B0539C"/>
    <w:rPr>
      <w:rFonts w:ascii="Segoe UI" w:hAnsi="Segoe UI" w:cs="Segoe UI"/>
      <w:sz w:val="18"/>
      <w:szCs w:val="18"/>
    </w:rPr>
  </w:style>
  <w:style w:type="character" w:customStyle="1" w:styleId="BalloonTextChar">
    <w:name w:val="Balloon Text Char"/>
    <w:basedOn w:val="DefaultParagraphFont"/>
    <w:link w:val="BalloonText"/>
    <w:rsid w:val="00B0539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35C65-FFA8-4184-8E3F-8441E85B1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10706</Words>
  <Characters>76137</Characters>
  <Application>Microsoft Office Word</Application>
  <DocSecurity>0</DocSecurity>
  <Lines>634</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LUKSITE Marija</cp:lastModifiedBy>
  <cp:revision>2</cp:revision>
  <cp:lastPrinted>2004-11-19T15:42:00Z</cp:lastPrinted>
  <dcterms:created xsi:type="dcterms:W3CDTF">2024-10-09T08:34:00Z</dcterms:created>
  <dcterms:modified xsi:type="dcterms:W3CDTF">2024-10-09T08:34:00Z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A9-0026/2024</vt:lpwstr>
  </property>
  <property fmtid="{D5CDD505-2E9C-101B-9397-08002B2CF9AE}" pid="4" name="&lt;Type&gt;">
    <vt:lpwstr>RR</vt:lpwstr>
  </property>
</Properties>
</file>