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6F62" w:rsidTr="0010095E">
        <w:trPr>
          <w:trHeight w:hRule="exact" w:val="1418"/>
        </w:trPr>
        <w:tc>
          <w:tcPr>
            <w:tcW w:w="6804" w:type="dxa"/>
            <w:shd w:val="clear" w:color="auto" w:fill="auto"/>
            <w:vAlign w:val="center"/>
          </w:tcPr>
          <w:p w:rsidR="00751A4A" w:rsidRPr="002D6F62" w:rsidRDefault="00AB56E4" w:rsidP="0010095E">
            <w:pPr>
              <w:pStyle w:val="EPName"/>
            </w:pPr>
            <w:r w:rsidRPr="002D6F62">
              <w:t>Eiropas Parlaments</w:t>
            </w:r>
          </w:p>
          <w:p w:rsidR="00751A4A" w:rsidRPr="002D6F62" w:rsidRDefault="00817416" w:rsidP="00756632">
            <w:pPr>
              <w:pStyle w:val="EPTerm"/>
              <w:rPr>
                <w:rStyle w:val="HideTWBExt"/>
                <w:noProof w:val="0"/>
                <w:vanish w:val="0"/>
                <w:color w:val="auto"/>
              </w:rPr>
            </w:pPr>
            <w:r w:rsidRPr="002D6F62">
              <w:t>2019-2024</w:t>
            </w:r>
          </w:p>
        </w:tc>
        <w:tc>
          <w:tcPr>
            <w:tcW w:w="2268" w:type="dxa"/>
            <w:shd w:val="clear" w:color="auto" w:fill="auto"/>
          </w:tcPr>
          <w:p w:rsidR="00751A4A" w:rsidRPr="002D6F62" w:rsidRDefault="00187494" w:rsidP="0010095E">
            <w:pPr>
              <w:pStyle w:val="EPLogo"/>
            </w:pPr>
            <w:r w:rsidRPr="002D6F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6F62" w:rsidRDefault="00D058B8" w:rsidP="004C5D52">
      <w:pPr>
        <w:pStyle w:val="LineTop"/>
      </w:pPr>
    </w:p>
    <w:p w:rsidR="00680577" w:rsidRPr="002D6F62" w:rsidRDefault="00AB56E4" w:rsidP="00680577">
      <w:pPr>
        <w:pStyle w:val="EPBodyTA1"/>
      </w:pPr>
      <w:r w:rsidRPr="002D6F62">
        <w:t>PIEŅEMTIE TEKSTI</w:t>
      </w:r>
    </w:p>
    <w:p w:rsidR="00D058B8" w:rsidRPr="002D6F62" w:rsidRDefault="00D058B8" w:rsidP="00D058B8">
      <w:pPr>
        <w:pStyle w:val="LineBottom"/>
      </w:pPr>
    </w:p>
    <w:p w:rsidR="00AB56E4" w:rsidRPr="002D6F62" w:rsidRDefault="00AB56E4" w:rsidP="00AB56E4">
      <w:pPr>
        <w:pStyle w:val="ATHeading1"/>
      </w:pPr>
      <w:bookmarkStart w:id="0" w:name="TANumber"/>
      <w:r w:rsidRPr="002D6F62">
        <w:t>P9_TA(2024)0</w:t>
      </w:r>
      <w:r w:rsidR="00730A56" w:rsidRPr="002D6F62">
        <w:t>128</w:t>
      </w:r>
      <w:bookmarkEnd w:id="0"/>
    </w:p>
    <w:p w:rsidR="00AB56E4" w:rsidRPr="002D6F62" w:rsidRDefault="00660C1F" w:rsidP="00AB56E4">
      <w:pPr>
        <w:pStyle w:val="ATHeading2"/>
      </w:pPr>
      <w:bookmarkStart w:id="1" w:name="title"/>
      <w:r w:rsidRPr="002D6F62">
        <w:t>Konkrētu regulu attiecībā uz dažām ziņošanas prasībām finanšu pakalpojumu un ieguldījumu atbalsta jomā grozīšana</w:t>
      </w:r>
      <w:bookmarkEnd w:id="1"/>
    </w:p>
    <w:p w:rsidR="00AB56E4" w:rsidRPr="002D6F62" w:rsidRDefault="00AB56E4" w:rsidP="00AB56E4">
      <w:pPr>
        <w:rPr>
          <w:i/>
          <w:vanish/>
        </w:rPr>
      </w:pPr>
      <w:r w:rsidRPr="002D6F62">
        <w:rPr>
          <w:i/>
        </w:rPr>
        <w:fldChar w:fldCharType="begin"/>
      </w:r>
      <w:r w:rsidRPr="002D6F62">
        <w:rPr>
          <w:i/>
        </w:rPr>
        <w:instrText xml:space="preserve"> TC"(</w:instrText>
      </w:r>
      <w:bookmarkStart w:id="2" w:name="DocNumber"/>
      <w:r w:rsidRPr="002D6F62">
        <w:rPr>
          <w:i/>
        </w:rPr>
        <w:instrText>A9-0026/2024</w:instrText>
      </w:r>
      <w:bookmarkEnd w:id="2"/>
      <w:r w:rsidRPr="002D6F62">
        <w:rPr>
          <w:i/>
        </w:rPr>
        <w:instrText xml:space="preserve"> - Referents: Othmar Karas)"\l3 \n&gt; \* MERGEFORMAT </w:instrText>
      </w:r>
      <w:r w:rsidRPr="002D6F62">
        <w:rPr>
          <w:i/>
        </w:rPr>
        <w:fldChar w:fldCharType="end"/>
      </w:r>
    </w:p>
    <w:p w:rsidR="00AB56E4" w:rsidRPr="002D6F62" w:rsidRDefault="00AB56E4" w:rsidP="00AB56E4">
      <w:pPr>
        <w:rPr>
          <w:vanish/>
        </w:rPr>
      </w:pPr>
      <w:bookmarkStart w:id="3" w:name="Commission"/>
      <w:r w:rsidRPr="002D6F62">
        <w:rPr>
          <w:vanish/>
        </w:rPr>
        <w:t>Ekonomikas un monetārā komiteja</w:t>
      </w:r>
      <w:bookmarkEnd w:id="3"/>
    </w:p>
    <w:p w:rsidR="00AB56E4" w:rsidRPr="002D6F62" w:rsidRDefault="00AB56E4" w:rsidP="00AB56E4">
      <w:pPr>
        <w:rPr>
          <w:vanish/>
        </w:rPr>
      </w:pPr>
      <w:bookmarkStart w:id="4" w:name="PE"/>
      <w:r w:rsidRPr="002D6F62">
        <w:rPr>
          <w:vanish/>
        </w:rPr>
        <w:t>PE757.366</w:t>
      </w:r>
      <w:bookmarkEnd w:id="4"/>
    </w:p>
    <w:p w:rsidR="00AB56E4" w:rsidRPr="002D6F62" w:rsidRDefault="00AB56E4" w:rsidP="00AB56E4">
      <w:pPr>
        <w:pStyle w:val="ATHeading3"/>
      </w:pPr>
      <w:bookmarkStart w:id="5" w:name="Sujet"/>
      <w:r w:rsidRPr="002D6F62">
        <w:t xml:space="preserve">Eiropas Parlamenta 2024. gada </w:t>
      </w:r>
      <w:r w:rsidR="00B70143" w:rsidRPr="002D6F62">
        <w:t>12. marta</w:t>
      </w:r>
      <w:r w:rsidRPr="002D6F62">
        <w:t xml:space="preserve"> normatīvā rezolūcija par priekšlikumu Eiropas Parlamenta un Padomes regulai, ar ko Regulas (ES) Nr. 1092/2010, (ES) Nr. 1093/2010, (ES) Nr. 1094/2010, (ES) Nr. 1095/2010 un (ES) 2021/523 groza attiecībā uz dažām ziņošanas prasībām finanšu pakalpojumu un ieguldījumu atbalsta jomā</w:t>
      </w:r>
      <w:bookmarkEnd w:id="5"/>
      <w:r w:rsidRPr="002D6F62">
        <w:t xml:space="preserve"> </w:t>
      </w:r>
      <w:bookmarkStart w:id="6" w:name="References"/>
      <w:r w:rsidRPr="002D6F62">
        <w:t>(COM(2023)0593 – C9-0383/2023 – 2023/0363(COD))</w:t>
      </w:r>
      <w:bookmarkEnd w:id="6"/>
    </w:p>
    <w:p w:rsidR="00F00C2C" w:rsidRPr="002D6F62" w:rsidRDefault="00F00C2C" w:rsidP="00F00C2C">
      <w:pPr>
        <w:pStyle w:val="NormalBold"/>
      </w:pPr>
      <w:bookmarkStart w:id="7" w:name="TextBodyBegin"/>
      <w:bookmarkEnd w:id="7"/>
      <w:r w:rsidRPr="002D6F62">
        <w:t>(Parastā likumdošanas procedūra: pirmais lasījums)</w:t>
      </w:r>
    </w:p>
    <w:p w:rsidR="00F00C2C" w:rsidRPr="002D6F62" w:rsidRDefault="00F00C2C" w:rsidP="00F00C2C">
      <w:pPr>
        <w:pStyle w:val="EPComma"/>
      </w:pPr>
      <w:r w:rsidRPr="002D6F62">
        <w:rPr>
          <w:i/>
        </w:rPr>
        <w:t>Eiropas Parlaments</w:t>
      </w:r>
      <w:r w:rsidRPr="002D6F62">
        <w:t>,</w:t>
      </w:r>
    </w:p>
    <w:p w:rsidR="00F00C2C" w:rsidRPr="002D6F62" w:rsidRDefault="00F00C2C" w:rsidP="00F00C2C">
      <w:pPr>
        <w:pStyle w:val="NormalHanging12a"/>
      </w:pPr>
      <w:r w:rsidRPr="002D6F62">
        <w:t>–</w:t>
      </w:r>
      <w:r w:rsidRPr="002D6F62">
        <w:tab/>
        <w:t>ņemot vērā Komisijas priekšlikumu Eiropas Parlamentam un Padomei (COM(2023)0593),</w:t>
      </w:r>
    </w:p>
    <w:p w:rsidR="00F00C2C" w:rsidRPr="002D6F62" w:rsidRDefault="00F00C2C" w:rsidP="00F00C2C">
      <w:pPr>
        <w:pStyle w:val="NormalHanging12a"/>
      </w:pPr>
      <w:r w:rsidRPr="002D6F62">
        <w:t>–</w:t>
      </w:r>
      <w:r w:rsidRPr="002D6F62">
        <w:tab/>
        <w:t>ņemot vērā Līguma par Eiropas Savienības darbību 294. panta 2. punktu, 114., 173. un 175. pantu, saskaņā ar kuriem Komisija tam ir iesniegusi priekšlikumu (C9</w:t>
      </w:r>
      <w:r w:rsidRPr="002D6F62">
        <w:noBreakHyphen/>
        <w:t>0383/2023),</w:t>
      </w:r>
    </w:p>
    <w:p w:rsidR="00F00C2C" w:rsidRPr="002D6F62" w:rsidRDefault="00F00C2C" w:rsidP="00F00C2C">
      <w:pPr>
        <w:pStyle w:val="NormalHanging12a"/>
      </w:pPr>
      <w:r w:rsidRPr="002D6F62">
        <w:t>–</w:t>
      </w:r>
      <w:r w:rsidRPr="002D6F62">
        <w:tab/>
        <w:t>ņemot vērā Līguma par Eiropas Savienības darbību 294. panta 3. punktu,</w:t>
      </w:r>
    </w:p>
    <w:p w:rsidR="00F00C2C" w:rsidRPr="002D6F62" w:rsidRDefault="00F00C2C" w:rsidP="00F00C2C">
      <w:pPr>
        <w:pStyle w:val="NormalHanging12a"/>
        <w:rPr>
          <w:szCs w:val="24"/>
        </w:rPr>
      </w:pPr>
      <w:r w:rsidRPr="002D6F62">
        <w:t>–</w:t>
      </w:r>
      <w:r w:rsidRPr="002D6F62">
        <w:tab/>
      </w:r>
      <w:r w:rsidR="00226B76" w:rsidRPr="002D6F62">
        <w:t>ņemot vērā</w:t>
      </w:r>
      <w:r w:rsidRPr="002D6F62">
        <w:t xml:space="preserve"> Eiropas Ekonomikas un sociālo lietu komitej</w:t>
      </w:r>
      <w:r w:rsidR="00226B76" w:rsidRPr="002D6F62">
        <w:t>as 2024. gada 14. februāra atzinum</w:t>
      </w:r>
      <w:r w:rsidR="00B70143" w:rsidRPr="002D6F62">
        <w:t>u</w:t>
      </w:r>
      <w:r w:rsidR="00226B76" w:rsidRPr="002D6F62">
        <w:rPr>
          <w:rStyle w:val="FootnoteReference"/>
        </w:rPr>
        <w:footnoteReference w:id="1"/>
      </w:r>
      <w:r w:rsidRPr="002D6F62">
        <w:t>,</w:t>
      </w:r>
    </w:p>
    <w:p w:rsidR="00F00C2C" w:rsidRPr="002D6F62" w:rsidRDefault="00F00C2C" w:rsidP="00F00C2C">
      <w:pPr>
        <w:pStyle w:val="NormalHanging12a"/>
      </w:pPr>
      <w:r w:rsidRPr="002D6F62">
        <w:t>–</w:t>
      </w:r>
      <w:r w:rsidRPr="002D6F62">
        <w:tab/>
      </w:r>
      <w:r w:rsidR="00B70143" w:rsidRPr="002D6F62">
        <w:t xml:space="preserve">pēc apspriešanās ar </w:t>
      </w:r>
      <w:r w:rsidRPr="002D6F62">
        <w:t>Reģionu komitej</w:t>
      </w:r>
      <w:r w:rsidR="00B70143" w:rsidRPr="002D6F62">
        <w:t>u</w:t>
      </w:r>
      <w:r w:rsidRPr="002D6F62">
        <w:t>,</w:t>
      </w:r>
    </w:p>
    <w:p w:rsidR="00F00C2C" w:rsidRPr="002D6F62" w:rsidRDefault="00F00C2C" w:rsidP="00F00C2C">
      <w:pPr>
        <w:pStyle w:val="NormalHanging12a"/>
      </w:pPr>
      <w:r w:rsidRPr="002D6F62">
        <w:t>–</w:t>
      </w:r>
      <w:r w:rsidRPr="002D6F62">
        <w:tab/>
        <w:t>ņemot vērā Reglamenta 59. pantu,</w:t>
      </w:r>
    </w:p>
    <w:p w:rsidR="00F00C2C" w:rsidRPr="002D6F62" w:rsidRDefault="00F00C2C" w:rsidP="00F00C2C">
      <w:pPr>
        <w:pStyle w:val="NormalHanging12a"/>
      </w:pPr>
      <w:r w:rsidRPr="002D6F62">
        <w:t>–</w:t>
      </w:r>
      <w:r w:rsidRPr="002D6F62">
        <w:tab/>
        <w:t>ņemot vērā Ekonomikas un monetārās komitejas ziņojumu (A9-0026/2024),</w:t>
      </w:r>
    </w:p>
    <w:p w:rsidR="00F00C2C" w:rsidRPr="002D6F62" w:rsidRDefault="00F00C2C" w:rsidP="00F00C2C">
      <w:pPr>
        <w:pStyle w:val="NormalHanging12a"/>
      </w:pPr>
      <w:r w:rsidRPr="002D6F62">
        <w:t>1.</w:t>
      </w:r>
      <w:r w:rsidRPr="002D6F62">
        <w:tab/>
        <w:t>pieņem pirmajā lasījumā turpmāk izklāstīto nostāju;</w:t>
      </w:r>
    </w:p>
    <w:p w:rsidR="00F00C2C" w:rsidRPr="002D6F62" w:rsidRDefault="00F00C2C" w:rsidP="00F00C2C">
      <w:pPr>
        <w:pStyle w:val="NormalHanging12a"/>
      </w:pPr>
      <w:r w:rsidRPr="002D6F62">
        <w:t>2.</w:t>
      </w:r>
      <w:r w:rsidRPr="002D6F62">
        <w:tab/>
        <w:t>prasa Komisijai priekšlikumu Parlamentam iesniegt vēlreiz, ja tā savu priekšlikumu aizstāj, būtiski groza vai ir paredzējusi to būtiski grozīt;</w:t>
      </w:r>
    </w:p>
    <w:p w:rsidR="00F00C2C" w:rsidRPr="002D6F62" w:rsidRDefault="00F00C2C" w:rsidP="00F00C2C">
      <w:pPr>
        <w:pStyle w:val="NormalHanging12a"/>
      </w:pPr>
      <w:r w:rsidRPr="002D6F62">
        <w:lastRenderedPageBreak/>
        <w:t>3.</w:t>
      </w:r>
      <w:r w:rsidRPr="002D6F62">
        <w:tab/>
        <w:t>uzdod priekšsēdētājai Parlamenta nostāju nosūtīt Padomei un Komisijai, kā arī dalībvalstu parlamentiem.</w:t>
      </w:r>
    </w:p>
    <w:p w:rsidR="00660C1F" w:rsidRPr="002D6F62" w:rsidRDefault="00660C1F">
      <w:pPr>
        <w:widowControl/>
      </w:pPr>
    </w:p>
    <w:p w:rsidR="002D6F62" w:rsidRPr="002D6F62" w:rsidRDefault="002D6F62" w:rsidP="00F00C2C">
      <w:pPr>
        <w:pStyle w:val="AmNumberTabs"/>
        <w:keepNext/>
        <w:sectPr w:rsidR="002D6F62" w:rsidRPr="002D6F62" w:rsidSect="00107E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D6F62" w:rsidRPr="002D6F62" w:rsidRDefault="002D6F62" w:rsidP="002D6F62">
      <w:pPr>
        <w:pStyle w:val="Normal12Hanging"/>
        <w:tabs>
          <w:tab w:val="left" w:pos="357"/>
        </w:tabs>
        <w:rPr>
          <w:b/>
        </w:rPr>
      </w:pPr>
      <w:r w:rsidRPr="002D6F62">
        <w:rPr>
          <w:b/>
        </w:rPr>
        <w:lastRenderedPageBreak/>
        <w:t>P9_TC1-COD(2023)0363</w:t>
      </w:r>
    </w:p>
    <w:p w:rsidR="002D6F62" w:rsidRDefault="002D6F62" w:rsidP="002D6F62">
      <w:pPr>
        <w:widowControl/>
        <w:spacing w:before="360" w:after="360"/>
        <w:rPr>
          <w:rFonts w:eastAsia="Calibri"/>
          <w:b/>
          <w:noProof/>
          <w:szCs w:val="22"/>
        </w:rPr>
      </w:pPr>
      <w:r w:rsidRPr="002D6F62">
        <w:rPr>
          <w:b/>
        </w:rPr>
        <w:t>Eiropas Parlamenta nostāja, pieņemta pirmajā lasījumā 2024. gada 12. martā, lai pieņemtu Eiropas Parlamenta un Padomes Regulu (ES) 2024/..., ar ko Regulas (ES) Nr. 1092/2010, (ES) Nr. 1093/2010, (ES) Nr. 1094/2010, (ES) Nr. 1095/2010 un (ES) 2021/523 groza attiecībā uz dažām ziņošanas prasībām finanšu pakalpojumu un ieguldījumu atbalsta jomā</w:t>
      </w:r>
      <w:r w:rsidR="00107BF2" w:rsidRPr="00107BF2">
        <w:rPr>
          <w:rStyle w:val="FootnoteReference"/>
          <w:rFonts w:eastAsia="Calibri"/>
          <w:b/>
          <w:noProof/>
          <w:szCs w:val="22"/>
        </w:rPr>
        <w:footnoteReference w:customMarkFollows="1" w:id="2"/>
        <w:sym w:font="Symbol" w:char="F02A"/>
      </w:r>
    </w:p>
    <w:p w:rsidR="002D5168" w:rsidRPr="002D5168" w:rsidRDefault="002D5168" w:rsidP="002D5168">
      <w:pPr>
        <w:widowControl/>
        <w:spacing w:before="360" w:after="360"/>
        <w:jc w:val="center"/>
        <w:rPr>
          <w:rFonts w:eastAsia="Calibri"/>
          <w:bCs/>
          <w:noProof/>
          <w:szCs w:val="22"/>
        </w:rPr>
      </w:pPr>
      <w:r w:rsidRPr="002D5168">
        <w:rPr>
          <w:rFonts w:eastAsia="Calibri"/>
          <w:bCs/>
          <w:noProof/>
          <w:szCs w:val="22"/>
        </w:rPr>
        <w:t>(Dokum</w:t>
      </w:r>
      <w:bookmarkStart w:id="8" w:name="_GoBack"/>
      <w:bookmarkEnd w:id="8"/>
      <w:r w:rsidRPr="002D5168">
        <w:rPr>
          <w:rFonts w:eastAsia="Calibri"/>
          <w:bCs/>
          <w:noProof/>
          <w:szCs w:val="22"/>
        </w:rPr>
        <w:t>ents attiecas uz EEZ.)</w:t>
      </w:r>
    </w:p>
    <w:p w:rsidR="00F00C2C" w:rsidRPr="002D6F62" w:rsidRDefault="00F00C2C" w:rsidP="00F00C2C">
      <w:pPr>
        <w:keepNext/>
        <w:widowControl/>
        <w:spacing w:before="600" w:after="120"/>
        <w:jc w:val="both"/>
        <w:rPr>
          <w:rFonts w:eastAsia="Calibri"/>
          <w:noProof/>
          <w:szCs w:val="22"/>
        </w:rPr>
      </w:pPr>
      <w:r w:rsidRPr="002D6F62">
        <w:t>EIROPAS PARLAMENTS UN EIROPAS SAVIENĪBAS PADOME,</w:t>
      </w:r>
    </w:p>
    <w:p w:rsidR="00F00C2C" w:rsidRPr="002D6F62" w:rsidRDefault="00F00C2C" w:rsidP="00F00C2C">
      <w:pPr>
        <w:widowControl/>
        <w:spacing w:before="120" w:after="120"/>
        <w:jc w:val="both"/>
        <w:rPr>
          <w:rFonts w:eastAsia="Calibri"/>
          <w:noProof/>
          <w:szCs w:val="22"/>
        </w:rPr>
      </w:pPr>
      <w:r w:rsidRPr="002D6F62">
        <w:t xml:space="preserve">ņemot vērā Līgumu par Eiropas Savienības darbību un jo īpaši tā 114., 173. un 175. panta trešo daļu, </w:t>
      </w:r>
    </w:p>
    <w:p w:rsidR="00F00C2C" w:rsidRPr="002D6F62" w:rsidRDefault="00F00C2C" w:rsidP="00F00C2C">
      <w:pPr>
        <w:widowControl/>
        <w:spacing w:before="120" w:after="120"/>
        <w:jc w:val="both"/>
        <w:rPr>
          <w:rFonts w:eastAsia="Calibri"/>
          <w:noProof/>
          <w:szCs w:val="22"/>
        </w:rPr>
      </w:pPr>
      <w:r w:rsidRPr="002D6F62">
        <w:t xml:space="preserve">ņemot vērā Eiropas Komisijas priekšlikumu, </w:t>
      </w:r>
    </w:p>
    <w:p w:rsidR="00F00C2C" w:rsidRPr="002D6F62" w:rsidRDefault="00F00C2C" w:rsidP="00F00C2C">
      <w:pPr>
        <w:widowControl/>
        <w:spacing w:before="120" w:after="120"/>
        <w:jc w:val="both"/>
        <w:rPr>
          <w:rFonts w:eastAsia="Calibri"/>
          <w:noProof/>
          <w:szCs w:val="22"/>
        </w:rPr>
      </w:pPr>
      <w:r w:rsidRPr="002D6F62">
        <w:t xml:space="preserve">pēc leģislatīvā akta projekta nosūtīšanas valstu parlamentiem, </w:t>
      </w:r>
    </w:p>
    <w:p w:rsidR="00F00C2C" w:rsidRPr="002D6F62" w:rsidRDefault="00F00C2C" w:rsidP="00F00C2C">
      <w:pPr>
        <w:widowControl/>
        <w:spacing w:before="120" w:after="120"/>
        <w:jc w:val="both"/>
        <w:rPr>
          <w:rFonts w:eastAsia="Calibri"/>
          <w:noProof/>
          <w:szCs w:val="22"/>
        </w:rPr>
      </w:pPr>
      <w:r w:rsidRPr="002D6F62">
        <w:t>ņemot vērā Eiropas Ekonomikas un sociālo lietu komitejas atzinumu</w:t>
      </w:r>
      <w:r w:rsidRPr="002D6F62">
        <w:rPr>
          <w:rFonts w:eastAsia="Calibri"/>
          <w:noProof/>
          <w:szCs w:val="22"/>
          <w:vertAlign w:val="superscript"/>
          <w:lang w:eastAsia="en-US"/>
        </w:rPr>
        <w:footnoteReference w:id="3"/>
      </w:r>
      <w:r w:rsidRPr="002D6F62">
        <w:t xml:space="preserve">, </w:t>
      </w:r>
    </w:p>
    <w:p w:rsidR="00F00C2C" w:rsidRPr="002D6F62" w:rsidRDefault="00F00C2C" w:rsidP="00F00C2C">
      <w:pPr>
        <w:widowControl/>
        <w:spacing w:before="120" w:after="120"/>
        <w:jc w:val="both"/>
        <w:rPr>
          <w:rFonts w:eastAsia="Calibri"/>
          <w:noProof/>
          <w:szCs w:val="22"/>
        </w:rPr>
      </w:pPr>
      <w:r w:rsidRPr="002D6F62">
        <w:t>ņemot vērā Reģionu komitejas atzinumu</w:t>
      </w:r>
      <w:r w:rsidRPr="002D6F62">
        <w:rPr>
          <w:rFonts w:eastAsia="Calibri"/>
          <w:noProof/>
          <w:szCs w:val="22"/>
          <w:vertAlign w:val="superscript"/>
          <w:lang w:eastAsia="en-US"/>
        </w:rPr>
        <w:footnoteReference w:id="4"/>
      </w:r>
      <w:r w:rsidRPr="002D6F62">
        <w:t xml:space="preserve">, </w:t>
      </w:r>
    </w:p>
    <w:p w:rsidR="00F00C2C" w:rsidRPr="002D6F62" w:rsidRDefault="00F00C2C" w:rsidP="00F00C2C">
      <w:pPr>
        <w:widowControl/>
        <w:spacing w:before="120" w:after="120"/>
        <w:jc w:val="both"/>
        <w:rPr>
          <w:rFonts w:eastAsia="Calibri"/>
          <w:noProof/>
          <w:szCs w:val="22"/>
        </w:rPr>
      </w:pPr>
      <w:r w:rsidRPr="002D6F62">
        <w:t xml:space="preserve">saskaņā ar parasto likumdošanas procedūru, </w:t>
      </w:r>
    </w:p>
    <w:p w:rsidR="00F00C2C" w:rsidRPr="002D6F62" w:rsidRDefault="00F00C2C" w:rsidP="00F00C2C">
      <w:pPr>
        <w:widowControl/>
        <w:spacing w:before="120" w:after="120"/>
        <w:jc w:val="both"/>
        <w:rPr>
          <w:rFonts w:eastAsia="Calibri"/>
          <w:noProof/>
          <w:szCs w:val="22"/>
        </w:rPr>
      </w:pPr>
      <w:r w:rsidRPr="002D6F62">
        <w:t>tā kā:</w:t>
      </w:r>
    </w:p>
    <w:p w:rsidR="00F00C2C" w:rsidRPr="002D6F62" w:rsidRDefault="00F00C2C" w:rsidP="00F00C2C">
      <w:pPr>
        <w:pStyle w:val="ManualConsidrant"/>
      </w:pPr>
      <w:r w:rsidRPr="002D6F62">
        <w:t>(1)</w:t>
      </w:r>
      <w:r w:rsidRPr="002D6F62">
        <w:tab/>
        <w:t xml:space="preserve">Ziņošanas </w:t>
      </w:r>
      <w:r w:rsidRPr="002D6F62">
        <w:rPr>
          <w:b/>
          <w:bCs/>
          <w:i/>
          <w:iCs/>
        </w:rPr>
        <w:t>un informācijas atklāšanas</w:t>
      </w:r>
      <w:r w:rsidRPr="002D6F62">
        <w:t xml:space="preserve"> prasībām ir liela nozīme pienācīgas pārraudzības nodrošināšanā un pareizas tiesību aktu izpildes panākšanā. Tomēr, lai nodrošinātu, ka minētās prasības atbilst to paredzētajam mērķim</w:t>
      </w:r>
      <w:r w:rsidRPr="002D6F62">
        <w:rPr>
          <w:b/>
          <w:bCs/>
          <w:i/>
          <w:iCs/>
        </w:rPr>
        <w:t>,</w:t>
      </w:r>
      <w:r w:rsidRPr="002D6F62">
        <w:t xml:space="preserve"> ▌ lai mazinātu administratīvo slogu </w:t>
      </w:r>
      <w:r w:rsidRPr="002D6F62">
        <w:rPr>
          <w:b/>
          <w:bCs/>
          <w:i/>
          <w:iCs/>
        </w:rPr>
        <w:t>un lai izvairītos no nevajadzīgas dublēšanās,</w:t>
      </w:r>
      <w:r w:rsidRPr="002D6F62">
        <w:t xml:space="preserve"> ir svarīgi tās racionalizēt</w:t>
      </w:r>
      <w:r w:rsidRPr="002D6F62">
        <w:rPr>
          <w:b/>
          <w:bCs/>
          <w:i/>
          <w:iCs/>
        </w:rPr>
        <w:t>, kas ir jo īpaši svarīgi mazāko finanšu jurisdikciju regulatīvajām un uzraudzības iestādēm</w:t>
      </w:r>
      <w:r w:rsidRPr="002D6F62">
        <w:t>.</w:t>
      </w:r>
      <w:r w:rsidRPr="002D6F62">
        <w:rPr>
          <w:b/>
        </w:rPr>
        <w:t xml:space="preserve"> </w:t>
      </w:r>
      <w:r w:rsidRPr="002D6F62">
        <w:rPr>
          <w:b/>
          <w:i/>
        </w:rPr>
        <w:t xml:space="preserve">Ziņošanas un informācijas atklāšanas prasības var arī radīt nesamērīgu slogu struktūrām, jo īpaši mazajiem un vidējiem uzņēmumiem vai </w:t>
      </w:r>
      <w:proofErr w:type="spellStart"/>
      <w:r w:rsidRPr="002D6F62">
        <w:rPr>
          <w:b/>
          <w:i/>
        </w:rPr>
        <w:t>mikrouzņēmumiem</w:t>
      </w:r>
      <w:proofErr w:type="spellEnd"/>
      <w:r w:rsidRPr="002D6F62">
        <w:rPr>
          <w:b/>
          <w:i/>
        </w:rPr>
        <w:t>.</w:t>
      </w:r>
    </w:p>
    <w:p w:rsidR="00F00C2C" w:rsidRPr="002D6F62" w:rsidRDefault="00F00C2C" w:rsidP="00F00C2C">
      <w:pPr>
        <w:pStyle w:val="ManualConsidrant"/>
        <w:rPr>
          <w:noProof/>
        </w:rPr>
      </w:pPr>
      <w:r w:rsidRPr="002D6F62">
        <w:t>(2)</w:t>
      </w:r>
      <w:r w:rsidRPr="002D6F62">
        <w:tab/>
        <w:t xml:space="preserve">Tāpēc prioritāte ir racionalizēt ziņošanas pienākumus un samazināt administratīvo slogu, </w:t>
      </w:r>
      <w:r w:rsidRPr="002D6F62">
        <w:rPr>
          <w:b/>
          <w:bCs/>
          <w:i/>
          <w:iCs/>
        </w:rPr>
        <w:t>neatkāpjoties no politiskas mērķiem</w:t>
      </w:r>
      <w:r w:rsidRPr="002D6F62">
        <w:t xml:space="preserve">, tostarp attiecībā uz ziņošanas prasībām finanšu nozarē un ziņošanas biežumu par programmu </w:t>
      </w:r>
      <w:proofErr w:type="spellStart"/>
      <w:r w:rsidRPr="002D6F62">
        <w:rPr>
          <w:i/>
          <w:iCs/>
        </w:rPr>
        <w:t>InvestEU</w:t>
      </w:r>
      <w:proofErr w:type="spellEnd"/>
      <w:r w:rsidRPr="002D6F62">
        <w:t>, kas izveidota saskaņā ar Eiropas Parlamenta un Padomes Regulu (ES) 2021/523</w:t>
      </w:r>
      <w:r w:rsidRPr="002D6F62">
        <w:rPr>
          <w:rStyle w:val="FootnoteReference"/>
          <w:noProof/>
        </w:rPr>
        <w:footnoteReference w:id="5"/>
      </w:r>
      <w:r w:rsidRPr="002D6F62">
        <w:t>.</w:t>
      </w:r>
    </w:p>
    <w:p w:rsidR="00F00C2C" w:rsidRPr="002D6F62" w:rsidRDefault="00F00C2C" w:rsidP="00F00C2C">
      <w:pPr>
        <w:pStyle w:val="ManualConsidrant"/>
        <w:rPr>
          <w:noProof/>
        </w:rPr>
      </w:pPr>
      <w:r w:rsidRPr="002D6F62">
        <w:lastRenderedPageBreak/>
        <w:t>(3)</w:t>
      </w:r>
      <w:r w:rsidRPr="002D6F62">
        <w:tab/>
        <w:t>Eiropas Parlamenta un Padomes Regulās (ES) Nr. 1092/2010</w:t>
      </w:r>
      <w:r w:rsidRPr="002D6F62">
        <w:rPr>
          <w:rStyle w:val="FootnoteReference"/>
          <w:noProof/>
        </w:rPr>
        <w:footnoteReference w:id="6"/>
      </w:r>
      <w:r w:rsidRPr="002D6F62">
        <w:t>, (ES) Nr. 1093/2010</w:t>
      </w:r>
      <w:r w:rsidRPr="002D6F62">
        <w:rPr>
          <w:rStyle w:val="FootnoteReference"/>
          <w:noProof/>
        </w:rPr>
        <w:footnoteReference w:id="7"/>
      </w:r>
      <w:r w:rsidRPr="002D6F62">
        <w:t>, (ES) Nr. 1094/2010</w:t>
      </w:r>
      <w:r w:rsidRPr="002D6F62">
        <w:rPr>
          <w:rStyle w:val="FootnoteReference"/>
          <w:noProof/>
        </w:rPr>
        <w:footnoteReference w:id="8"/>
      </w:r>
      <w:r w:rsidRPr="002D6F62">
        <w:t>, (ES) Nr. 1095/2010</w:t>
      </w:r>
      <w:r w:rsidRPr="002D6F62">
        <w:rPr>
          <w:rStyle w:val="FootnoteReference"/>
          <w:noProof/>
        </w:rPr>
        <w:footnoteReference w:id="9"/>
      </w:r>
      <w:r w:rsidRPr="002D6F62">
        <w:t xml:space="preserve">, </w:t>
      </w:r>
      <w:r w:rsidRPr="002D6F62">
        <w:rPr>
          <w:b/>
          <w:bCs/>
          <w:i/>
          <w:iCs/>
        </w:rPr>
        <w:t>(ES) Nr. 806/2014</w:t>
      </w:r>
      <w:r w:rsidR="006E05C1">
        <w:rPr>
          <w:rStyle w:val="FootnoteReference"/>
          <w:b/>
          <w:bCs/>
          <w:i/>
          <w:iCs/>
        </w:rPr>
        <w:footnoteReference w:id="10"/>
      </w:r>
      <w:r w:rsidRPr="002D6F62">
        <w:rPr>
          <w:b/>
          <w:bCs/>
          <w:i/>
          <w:iCs/>
        </w:rPr>
        <w:t xml:space="preserve"> un (ES) Nr. .../...</w:t>
      </w:r>
      <w:r w:rsidR="006E05C1">
        <w:rPr>
          <w:rStyle w:val="FootnoteReference"/>
          <w:b/>
          <w:bCs/>
          <w:i/>
          <w:iCs/>
        </w:rPr>
        <w:footnoteReference w:customMarkFollows="1" w:id="11"/>
        <w:t>+</w:t>
      </w:r>
      <w:r w:rsidRPr="002D6F62">
        <w:t xml:space="preserve">, </w:t>
      </w:r>
      <w:r w:rsidRPr="002D6F62">
        <w:rPr>
          <w:b/>
          <w:bCs/>
          <w:i/>
          <w:iCs/>
        </w:rPr>
        <w:t>Padomes Regulā (ES) Nr. 1024/2013</w:t>
      </w:r>
      <w:r w:rsidR="006E05C1">
        <w:rPr>
          <w:rStyle w:val="FootnoteReference"/>
          <w:b/>
          <w:bCs/>
          <w:i/>
          <w:iCs/>
        </w:rPr>
        <w:footnoteReference w:id="12"/>
      </w:r>
      <w:r w:rsidRPr="002D6F62">
        <w:t xml:space="preserve"> un Regulā (ES) 2021/523 ir ietvertas vairākas ziņošanas un </w:t>
      </w:r>
      <w:r w:rsidRPr="002D6F62">
        <w:rPr>
          <w:b/>
          <w:bCs/>
          <w:i/>
          <w:iCs/>
        </w:rPr>
        <w:t>informācijas atklāšanas</w:t>
      </w:r>
      <w:r w:rsidRPr="002D6F62">
        <w:t xml:space="preserve"> prasības, kuras saskaņā ar Komisijas paziņojumu “ES ilgtermiņa konkurētspēja: skatījums pēc 2030. gada”</w:t>
      </w:r>
      <w:r w:rsidRPr="002D6F62">
        <w:rPr>
          <w:rStyle w:val="FootnoteReference"/>
          <w:noProof/>
        </w:rPr>
        <w:footnoteReference w:id="13"/>
      </w:r>
      <w:r w:rsidRPr="002D6F62">
        <w:t xml:space="preserve"> būtu jāvienkāršo </w:t>
      </w:r>
      <w:r w:rsidRPr="002D6F62">
        <w:rPr>
          <w:b/>
          <w:bCs/>
          <w:i/>
          <w:iCs/>
        </w:rPr>
        <w:t>drīzāk kvalitatīvi, nevis kvantitatīvi</w:t>
      </w:r>
      <w:r w:rsidRPr="002D6F62">
        <w:t>.</w:t>
      </w:r>
    </w:p>
    <w:p w:rsidR="00F00C2C" w:rsidRPr="002D6F62" w:rsidRDefault="00F00C2C" w:rsidP="00F00C2C">
      <w:pPr>
        <w:pStyle w:val="ManualConsidrant"/>
      </w:pPr>
      <w:r w:rsidRPr="002D6F62">
        <w:rPr>
          <w:b/>
          <w:i/>
        </w:rPr>
        <w:t>(3a)</w:t>
      </w:r>
      <w:r w:rsidRPr="002D6F62">
        <w:rPr>
          <w:b/>
          <w:i/>
        </w:rPr>
        <w:tab/>
        <w:t>Šī kvalitatīvā pasākuma mērķis nav mazināt kādu ES politikas sasniegumu nozīmi, bet gan atzīt pieaugošo pieprasījumu pēc datiem, kas vajadzīgi, lai sasniegtu ar ilgtspējīga finansējuma programmu saistīto leģislatīvo aktu mērķus. Tomēr tiesiskā regulējuma konsekvence un standartizācija dažādās jurisdikcijās un laika periodos var padarīt prasības izpildāmākas, neietekmējot ziņošanas standartu faktisko saturu.</w:t>
      </w:r>
    </w:p>
    <w:p w:rsidR="00F00C2C" w:rsidRPr="002D6F62" w:rsidRDefault="00F00C2C" w:rsidP="00F00C2C">
      <w:pPr>
        <w:pStyle w:val="ManualConsidrant"/>
        <w:rPr>
          <w:b/>
          <w:i/>
        </w:rPr>
      </w:pPr>
      <w:r w:rsidRPr="002D6F62">
        <w:rPr>
          <w:b/>
          <w:i/>
        </w:rPr>
        <w:t>(3b)</w:t>
      </w:r>
      <w:r w:rsidRPr="002D6F62">
        <w:rPr>
          <w:b/>
          <w:i/>
        </w:rPr>
        <w:tab/>
        <w:t xml:space="preserve">Kvalitatīvi būtu jāanalizē arī datu atšķirības starp dalībvalstīm. Atsevišķi Savienības tiesību akti to juridiskā pamata dēļ ir īpaši paredzēti tam, lai veiktu daļēju vai minimālu saskaņošanu. Turklāt daži ziņošanas standarti ir brīvprātīgi piemērojami vai paredz izvēles režīmu. Dalībvalstis var arī izstrādāt </w:t>
      </w:r>
      <w:proofErr w:type="spellStart"/>
      <w:r w:rsidRPr="002D6F62">
        <w:rPr>
          <w:b/>
          <w:i/>
        </w:rPr>
        <w:t>paraugpraksi</w:t>
      </w:r>
      <w:proofErr w:type="spellEnd"/>
      <w:r w:rsidRPr="002D6F62">
        <w:rPr>
          <w:b/>
          <w:i/>
        </w:rPr>
        <w:t xml:space="preserve"> vai ieņemt vadošo vietu ziņošanas prasību izpildes jomā, ja vien tās ievēro Savienības tiesību aktu prasības.</w:t>
      </w:r>
    </w:p>
    <w:p w:rsidR="00F00C2C" w:rsidRPr="002D6F62" w:rsidRDefault="00F00C2C" w:rsidP="00F00C2C">
      <w:pPr>
        <w:pStyle w:val="ManualConsidrant"/>
        <w:rPr>
          <w:b/>
          <w:i/>
        </w:rPr>
      </w:pPr>
      <w:r w:rsidRPr="002D6F62">
        <w:t>(4)</w:t>
      </w:r>
      <w:r w:rsidRPr="002D6F62">
        <w:tab/>
        <w:t xml:space="preserve">Finanšu iestādēm un citām struktūrām, kas darbojas finanšu tirgos, ir pienākums ziņot plaša klāsta informāciju, lai Savienības un valstu iestādes, kas pārrauga finanšu sistēmu, varētu uzraudzīt riskus, nodrošināt finanšu stabilitāti un tirgus integritāti un aizsargāt ieguldītājus un finanšu pakalpojumu patērētājus Savienībā. Eiropas uzraudzības iestādēm </w:t>
      </w:r>
      <w:r w:rsidRPr="002D6F62">
        <w:rPr>
          <w:b/>
          <w:bCs/>
          <w:i/>
          <w:iCs/>
        </w:rPr>
        <w:t>un Eiropas Iestādei nelikumīgi iegūtu līdzekļu legalizēšanas novēršanai</w:t>
      </w:r>
      <w:r w:rsidRPr="002D6F62">
        <w:t xml:space="preserve"> </w:t>
      </w:r>
      <w:r w:rsidRPr="002D6F62">
        <w:lastRenderedPageBreak/>
        <w:t xml:space="preserve">būtu regulāri jāpārskata ziņošanas </w:t>
      </w:r>
      <w:r w:rsidRPr="002D6F62">
        <w:rPr>
          <w:b/>
          <w:bCs/>
          <w:i/>
          <w:iCs/>
        </w:rPr>
        <w:t>un informācijas atklāšanas</w:t>
      </w:r>
      <w:r w:rsidRPr="002D6F62">
        <w:t xml:space="preserve"> prasības un vajadzības gadījumā jāierosina </w:t>
      </w:r>
      <w:r w:rsidRPr="002D6F62">
        <w:rPr>
          <w:b/>
          <w:bCs/>
          <w:i/>
          <w:iCs/>
        </w:rPr>
        <w:t>attiecīgajos regulatīvajos un īstenošanas tehniskajos standartos</w:t>
      </w:r>
      <w:r w:rsidRPr="002D6F62">
        <w:t xml:space="preserve"> racionalizēt un atcelt nevajadzīgas</w:t>
      </w:r>
      <w:r w:rsidRPr="002D6F62">
        <w:rPr>
          <w:b/>
          <w:bCs/>
          <w:i/>
          <w:iCs/>
        </w:rPr>
        <w:t>,</w:t>
      </w:r>
      <w:r w:rsidRPr="002D6F62">
        <w:t xml:space="preserve"> ▌novecojušas </w:t>
      </w:r>
      <w:r w:rsidRPr="002D6F62">
        <w:rPr>
          <w:b/>
          <w:bCs/>
          <w:i/>
          <w:iCs/>
        </w:rPr>
        <w:t>vai nesamērīgas</w:t>
      </w:r>
      <w:r w:rsidRPr="002D6F62">
        <w:t xml:space="preserve"> prasības. </w:t>
      </w:r>
      <w:r w:rsidRPr="002D6F62">
        <w:rPr>
          <w:b/>
          <w:bCs/>
          <w:i/>
          <w:iCs/>
        </w:rPr>
        <w:t>Eiropas uzraudzības iestādēm</w:t>
      </w:r>
      <w:r w:rsidRPr="002D6F62">
        <w:t xml:space="preserve"> ▌būtu jākoordinē šis darbs ar Eiropas uzraudzības iestāžu apvienotās komitejas starpniecību. </w:t>
      </w:r>
      <w:r w:rsidRPr="002D6F62">
        <w:rPr>
          <w:b/>
          <w:bCs/>
        </w:rPr>
        <w:t>▌</w:t>
      </w:r>
      <w:r w:rsidRPr="002D6F62">
        <w:rPr>
          <w:b/>
          <w:bCs/>
          <w:i/>
          <w:iCs/>
        </w:rPr>
        <w:t>Turklāt, lai uzlabotu minēto prasību efektivitāti un konverģences pakāpi, būtu jāveic arī kompetento iestāžu salīdzinošā izvērtēšana.</w:t>
      </w:r>
      <w:r w:rsidRPr="002D6F62">
        <w:rPr>
          <w:b/>
          <w:i/>
        </w:rPr>
        <w:t xml:space="preserve"> Gan kopējās uzraudzības kultūras, gan salīdzinošās izvērtēšanas uzdevumi būtu jāveic pastāvīgi, un vajadzības gadījumā to izpildei būtu jāpiešķir vairāk cilvēkresursu un materiālo resursu.</w:t>
      </w:r>
    </w:p>
    <w:p w:rsidR="00F00C2C" w:rsidRPr="002D6F62" w:rsidRDefault="00F00C2C" w:rsidP="00F00C2C">
      <w:pPr>
        <w:pStyle w:val="ManualConsidrant"/>
        <w:rPr>
          <w:b/>
          <w:i/>
        </w:rPr>
      </w:pPr>
      <w:r w:rsidRPr="002D6F62">
        <w:rPr>
          <w:b/>
          <w:i/>
        </w:rPr>
        <w:t>(4a)</w:t>
      </w:r>
      <w:r w:rsidRPr="002D6F62">
        <w:rPr>
          <w:b/>
          <w:i/>
        </w:rPr>
        <w:tab/>
        <w:t xml:space="preserve">Liela daļa nevajadzīgu, novecojušu vai nesamērīgu ziņošanas un informācijas atklāšanas prasību izriet no dalībvalstu prasību un Savienības prasību vertikālajām neatbilstībām (pārmērīga reglamentēšana) un horizontālajām neatbilstībām nozaru un starpnozaru tiesību aktos, kā arī no attiecīgo prasību proporcionalitātes trūkuma. Tādēļ Eiropas uzraudzības iestādēm un Eiropas Iestādei nelikumīgi iegūtu līdzekļu legalizēšanas novēršanai būtu ne tikai jāpārskata regulatīvie un īstenošanas tehniskie standarti, bet arī jāsniedz atzinumi par īstenotajām parastajām likumdošanas procedūrām un jau spēkā esošajiem tiesību aktiem. </w:t>
      </w:r>
    </w:p>
    <w:p w:rsidR="00F00C2C" w:rsidRPr="002D6F62" w:rsidRDefault="00F00C2C" w:rsidP="00F00C2C">
      <w:pPr>
        <w:pStyle w:val="ManualConsidrant"/>
        <w:rPr>
          <w:b/>
          <w:i/>
        </w:rPr>
      </w:pPr>
      <w:r w:rsidRPr="002D6F62">
        <w:rPr>
          <w:b/>
          <w:i/>
        </w:rPr>
        <w:t>(4b)</w:t>
      </w:r>
      <w:r w:rsidRPr="002D6F62">
        <w:rPr>
          <w:b/>
          <w:i/>
        </w:rPr>
        <w:tab/>
        <w:t xml:space="preserve">Tam, ka tiek atvieglota iestāžu, kas atbild par finanšu nozares uzraudzību, savāktās informācijas kopīgošana un </w:t>
      </w:r>
      <w:proofErr w:type="spellStart"/>
      <w:r w:rsidRPr="002D6F62">
        <w:rPr>
          <w:b/>
          <w:i/>
        </w:rPr>
        <w:t>atkalizmantošana</w:t>
      </w:r>
      <w:proofErr w:type="spellEnd"/>
      <w:r w:rsidRPr="002D6F62">
        <w:rPr>
          <w:b/>
          <w:i/>
        </w:rPr>
        <w:t xml:space="preserve">, vienlaikus nodrošinot datu aizsardzību un aizsargājot dienesta noslēpumu un intelektuālo īpašumu, atbilstoši Komisijas Savienības finanšu pakalpojumu uzraudzības datu stratēģijai izskaužot dubultus pieprasījumus, būtu jāsamazina pārskatu sniedzēju struktūru un iestāžu slogs. Informācijas apmaiņai būtu arī jāveicina labāka uzraudzības darbību koordinācija un uzraudzības konverģence. </w:t>
      </w:r>
    </w:p>
    <w:p w:rsidR="00F00C2C" w:rsidRPr="002D6F62" w:rsidRDefault="00F00C2C" w:rsidP="00F00C2C">
      <w:pPr>
        <w:pStyle w:val="ManualConsidrant"/>
        <w:rPr>
          <w:b/>
          <w:i/>
          <w:noProof/>
        </w:rPr>
      </w:pPr>
      <w:r w:rsidRPr="002D6F62">
        <w:rPr>
          <w:b/>
          <w:i/>
        </w:rPr>
        <w:t>(4c)</w:t>
      </w:r>
      <w:r w:rsidRPr="002D6F62">
        <w:rPr>
          <w:b/>
          <w:i/>
        </w:rPr>
        <w:tab/>
        <w:t xml:space="preserve">Lai veicinātu informācijas apmaiņu visā finanšu nozarē, visas iestādes, kas atbild par finanšu nozares uzraudzību, tostarp ESRK, Eiropas uzraudzības iestādes, AMLA, VUM, VNV, kā arī visas attiecīgās kompetentās uzraudzības un noregulējuma iestādes dalībvalstīs būtu jāiekļauj šīs grozījumu regulas darbības jomā.  </w:t>
      </w:r>
    </w:p>
    <w:p w:rsidR="00F00C2C" w:rsidRPr="002D6F62" w:rsidRDefault="00F00C2C" w:rsidP="00F00C2C">
      <w:pPr>
        <w:pStyle w:val="ManualConsidrant"/>
        <w:rPr>
          <w:noProof/>
        </w:rPr>
      </w:pPr>
      <w:r w:rsidRPr="002D6F62">
        <w:t>(5)</w:t>
      </w:r>
      <w:r w:rsidRPr="002D6F62">
        <w:tab/>
        <w:t xml:space="preserve">Šajā nolūkā </w:t>
      </w:r>
      <w:r w:rsidRPr="002D6F62">
        <w:rPr>
          <w:b/>
          <w:bCs/>
          <w:i/>
          <w:iCs/>
        </w:rPr>
        <w:t>Savienībā būtu konsekventāk jāpiemēro princips “ziņo vienreiz”</w:t>
      </w:r>
      <w:r w:rsidRPr="002D6F62">
        <w:t>.</w:t>
      </w:r>
      <w:r w:rsidRPr="002D6F62">
        <w:rPr>
          <w:b/>
          <w:i/>
        </w:rPr>
        <w:t xml:space="preserve"> </w:t>
      </w:r>
      <w:r w:rsidRPr="002D6F62">
        <w:rPr>
          <w:b/>
          <w:bCs/>
          <w:i/>
          <w:iCs/>
        </w:rPr>
        <w:t>Visām</w:t>
      </w:r>
      <w:r w:rsidRPr="002D6F62">
        <w:t xml:space="preserve"> ▌ iestādēm</w:t>
      </w:r>
      <w:r w:rsidRPr="002D6F62">
        <w:rPr>
          <w:b/>
          <w:bCs/>
          <w:i/>
          <w:iCs/>
        </w:rPr>
        <w:t>, kas atbild par finanšu nozares uzraudzību, būtu jāpieprasa</w:t>
      </w:r>
      <w:r w:rsidRPr="002D6F62">
        <w:t xml:space="preserve"> ▌ informācija no finanšu iestādēm vai citām pārskatu sniedzējām struktūrām, </w:t>
      </w:r>
      <w:r w:rsidRPr="002D6F62">
        <w:rPr>
          <w:b/>
          <w:bCs/>
          <w:i/>
          <w:iCs/>
        </w:rPr>
        <w:t>ja tās attiecīgo informāciju jau nav paziņojušas citām iestādēm</w:t>
      </w:r>
      <w:r w:rsidRPr="002D6F62">
        <w:t>.</w:t>
      </w:r>
      <w:r w:rsidRPr="002D6F62">
        <w:rPr>
          <w:b/>
          <w:i/>
        </w:rPr>
        <w:t xml:space="preserve"> </w:t>
      </w:r>
      <w:r w:rsidRPr="002D6F62">
        <w:rPr>
          <w:b/>
          <w:bCs/>
          <w:i/>
          <w:iCs/>
        </w:rPr>
        <w:t>Ja informācija jau ir paziņota kādai iestādei</w:t>
      </w:r>
      <w:r w:rsidRPr="002D6F62">
        <w:t xml:space="preserve">,▌ </w:t>
      </w:r>
      <w:r w:rsidRPr="002D6F62">
        <w:rPr>
          <w:b/>
          <w:bCs/>
          <w:i/>
          <w:iCs/>
        </w:rPr>
        <w:t>citām iestādēm</w:t>
      </w:r>
      <w:r w:rsidRPr="002D6F62">
        <w:t xml:space="preserve"> ▌ vajadzētu būt iespējai </w:t>
      </w:r>
      <w:r w:rsidRPr="002D6F62">
        <w:rPr>
          <w:b/>
          <w:bCs/>
          <w:i/>
          <w:iCs/>
        </w:rPr>
        <w:t xml:space="preserve">attiecīgo informāciju pieprasīt tieši no minētās iestādes▌ </w:t>
      </w:r>
      <w:r w:rsidRPr="002D6F62">
        <w:t xml:space="preserve">, </w:t>
      </w:r>
      <w:r w:rsidRPr="002D6F62">
        <w:rPr>
          <w:b/>
          <w:bCs/>
          <w:i/>
          <w:iCs/>
        </w:rPr>
        <w:t>nevis vēlreiz vākt to pašu informāciju — tā varētu izbeigt tā dēvēto dubulto</w:t>
      </w:r>
      <w:r w:rsidRPr="002D6F62">
        <w:t xml:space="preserve"> ▌ ziņošanu▌ . Tā paša mērķa nolūkos, proti, uzlabot informācijas vākšanas, apstrādes un izmantošanas efektivitāti, iestādēm, kas uzlabo informāciju, attīrot vai bagātinot to, vajadzētu būt iespējai kopīgot šādu uzlabotu informāciju. </w:t>
      </w:r>
    </w:p>
    <w:p w:rsidR="00F00C2C" w:rsidRPr="002D6F62" w:rsidRDefault="00F00C2C" w:rsidP="00F00C2C">
      <w:pPr>
        <w:pStyle w:val="ManualConsidrant"/>
        <w:rPr>
          <w:b/>
          <w:i/>
        </w:rPr>
      </w:pPr>
      <w:r w:rsidRPr="002D6F62">
        <w:rPr>
          <w:b/>
          <w:i/>
        </w:rPr>
        <w:t>(5a)</w:t>
      </w:r>
      <w:r w:rsidRPr="002D6F62">
        <w:rPr>
          <w:b/>
          <w:i/>
        </w:rPr>
        <w:tab/>
        <w:t xml:space="preserve">Savienības ziņošanas sistēmā joprojām netiek atspoguļoti daži datu elementi, kas finanšu iestādēm ir vajadzīgi no uzņēmumiem, lai izpildītu savus ziņošanas pienākumus, un tie ir jāpievieno. Tāpēc vajadzētu novērst ne vien nevajadzīgās, dublējošās vai novecojušās ziņošanas prasības, bet arī regulējuma nepilnības. Tāpēc ir vēl svarīgāk nodrošināt konsekvenci starp finanšu un </w:t>
      </w:r>
      <w:proofErr w:type="spellStart"/>
      <w:r w:rsidRPr="002D6F62">
        <w:rPr>
          <w:b/>
          <w:i/>
        </w:rPr>
        <w:t>nefinanšu</w:t>
      </w:r>
      <w:proofErr w:type="spellEnd"/>
      <w:r w:rsidRPr="002D6F62">
        <w:rPr>
          <w:b/>
          <w:i/>
        </w:rPr>
        <w:t xml:space="preserve"> pārskatu sniegšanas prasībām. </w:t>
      </w:r>
    </w:p>
    <w:p w:rsidR="00F00C2C" w:rsidRPr="002D6F62" w:rsidRDefault="00F00C2C" w:rsidP="00F00C2C">
      <w:pPr>
        <w:pStyle w:val="ManualConsidrant"/>
        <w:rPr>
          <w:b/>
          <w:i/>
        </w:rPr>
      </w:pPr>
      <w:r w:rsidRPr="002D6F62">
        <w:rPr>
          <w:b/>
          <w:i/>
        </w:rPr>
        <w:t>(5b)</w:t>
      </w:r>
      <w:r w:rsidRPr="002D6F62">
        <w:rPr>
          <w:b/>
          <w:i/>
        </w:rPr>
        <w:tab/>
        <w:t>Attiecīgā gadījumā finanšu iestādēm vajadzētu būt iespējai paļauties uz secīgu pieeju, proti, tām vajadzētu būt iespējai atsaukties uz informāciju, ko uzņēmumi jau ir publicējuši savā vērtības ķēdē.</w:t>
      </w:r>
    </w:p>
    <w:p w:rsidR="00F00C2C" w:rsidRPr="002D6F62" w:rsidRDefault="00F00C2C" w:rsidP="00F00C2C">
      <w:pPr>
        <w:pStyle w:val="ManualConsidrant"/>
        <w:rPr>
          <w:noProof/>
        </w:rPr>
      </w:pPr>
      <w:r w:rsidRPr="002D6F62">
        <w:rPr>
          <w:b/>
          <w:i/>
        </w:rPr>
        <w:lastRenderedPageBreak/>
        <w:t>(5c)</w:t>
      </w:r>
      <w:r w:rsidRPr="002D6F62">
        <w:rPr>
          <w:b/>
          <w:i/>
        </w:rPr>
        <w:tab/>
        <w:t xml:space="preserve">Lai veicinātu sistēmisku risku, kas apdraud finanšu stabilitāti, atklāšanu, uzraudzību, novēršanu un mazināšanu, ESRK vajadzētu būt iespējai pēc noklusējuma piekļūt attiecīgajai informācijai, kas ir Eiropas uzraudzības iestāžu un ECB rīcībā. Tā varētu efektīvāk atklāt sistēmiskos riskus </w:t>
      </w:r>
      <w:proofErr w:type="spellStart"/>
      <w:r w:rsidRPr="002D6F62">
        <w:rPr>
          <w:b/>
          <w:i/>
        </w:rPr>
        <w:t>ex</w:t>
      </w:r>
      <w:proofErr w:type="spellEnd"/>
      <w:r w:rsidRPr="002D6F62">
        <w:rPr>
          <w:b/>
          <w:i/>
        </w:rPr>
        <w:t> </w:t>
      </w:r>
      <w:proofErr w:type="spellStart"/>
      <w:r w:rsidRPr="002D6F62">
        <w:rPr>
          <w:b/>
          <w:i/>
        </w:rPr>
        <w:t>ante</w:t>
      </w:r>
      <w:proofErr w:type="spellEnd"/>
      <w:r w:rsidRPr="002D6F62">
        <w:rPr>
          <w:b/>
          <w:i/>
        </w:rPr>
        <w:t xml:space="preserve">, nevis </w:t>
      </w:r>
      <w:proofErr w:type="spellStart"/>
      <w:r w:rsidRPr="002D6F62">
        <w:rPr>
          <w:b/>
          <w:i/>
        </w:rPr>
        <w:t>ex</w:t>
      </w:r>
      <w:proofErr w:type="spellEnd"/>
      <w:r w:rsidRPr="002D6F62">
        <w:rPr>
          <w:b/>
          <w:i/>
        </w:rPr>
        <w:t xml:space="preserve"> post kārtībā, jo tiktu īstenotas stingrākas informācijas pieprasīšanas un kopīgošanas procedūras. </w:t>
      </w:r>
      <w:r w:rsidRPr="002D6F62">
        <w:t xml:space="preserve"> </w:t>
      </w:r>
    </w:p>
    <w:p w:rsidR="00F00C2C" w:rsidRPr="002D6F62" w:rsidRDefault="00F00C2C" w:rsidP="00F00C2C">
      <w:pPr>
        <w:pStyle w:val="ManualConsidrant"/>
        <w:rPr>
          <w:noProof/>
        </w:rPr>
      </w:pPr>
      <w:r w:rsidRPr="002D6F62">
        <w:t>(6)</w:t>
      </w:r>
      <w:r w:rsidRPr="002D6F62">
        <w:tab/>
        <w:t>Šādai informācijas kopīgošanai būtu jāpapildina esošās informācijas apmaiņas iespējas, kas paredzētas Savienības tiesību aktos, un nekādā gadījumā nevajadzētu ierobežot šīs pastāvošās iespējas.</w:t>
      </w:r>
    </w:p>
    <w:p w:rsidR="00F00C2C" w:rsidRPr="002D6F62" w:rsidRDefault="00F00C2C" w:rsidP="00F00C2C">
      <w:pPr>
        <w:pStyle w:val="ManualConsidrant"/>
        <w:rPr>
          <w:b/>
          <w:i/>
        </w:rPr>
      </w:pPr>
      <w:r w:rsidRPr="002D6F62">
        <w:rPr>
          <w:b/>
          <w:i/>
        </w:rPr>
        <w:t>(6a)</w:t>
      </w:r>
      <w:r w:rsidRPr="002D6F62">
        <w:rPr>
          <w:b/>
          <w:i/>
        </w:rPr>
        <w:tab/>
        <w:t xml:space="preserve">Eiropas uzraudzības iestādēm būtu jāizvērtē politikas risinājumi, lai vēl vairāk integrētu ziņošanas procesus no procesuālā un satura viedokļa. Eiropas uzraudzības iestādēm būtu pienācīgi jāizvērtē iespējas, ko sniedz digitālo tehnoloģiju plašāka izmantošana, lai veicinātu tādu efektīvu un lietderīgu formātu izmantošanu, kuros ietverti rādītāji, metodes un parametri finanšu sektora konkurētspējas uzlabošanai. </w:t>
      </w:r>
    </w:p>
    <w:p w:rsidR="00F00C2C" w:rsidRPr="002D6F62" w:rsidRDefault="00F00C2C" w:rsidP="00F00C2C">
      <w:pPr>
        <w:pStyle w:val="ManualConsidrant"/>
        <w:rPr>
          <w:b/>
          <w:i/>
        </w:rPr>
      </w:pPr>
      <w:r w:rsidRPr="002D6F62">
        <w:rPr>
          <w:b/>
          <w:i/>
        </w:rPr>
        <w:t>(6b)</w:t>
      </w:r>
      <w:r w:rsidRPr="002D6F62">
        <w:rPr>
          <w:b/>
          <w:i/>
        </w:rPr>
        <w:tab/>
        <w:t xml:space="preserve">Tādēļ dažos pēdējos gados Komisija un Eiropas uzraudzības iestādes ir guvušas ievērojamus panākumus jaunu iespēju meklēšanā integrētas ziņošanas sistēmas izveides jomā. Šādas inovatīvas ziņošanas sistēmas ir vajadzīgas tam, lai varētu izmantot ieguvumus, ko sniedz plašāka datu kopīgošana starp iestādēm, kuras atbild par finanšu nozares uzraudzību. Tādēļ visām par finanšu nozares uzraudzību atbildīgajām iestādēm Savienībā būtu jāizveido vienota integrēta ziņošanas sistēma. Šādā sistēmā būtu jāiekļauj kopēja datu vārdnīca, kas nodrošina ziņošanas prasību un datu standartizācijas saskaņotību un skaidrību, kopīgs pieprasīto un iegūto datu repozitorijs, centrālā datu telpa datu efektīvai vākšanai un apmaiņai ar tiem, kā arī pastāvīgs vienotais kontaktpunkts, kur struktūras var norādīt dubultas, novecojušas vai nevajadzīgas ziņošanas un informācijas atklāšanas prasības. </w:t>
      </w:r>
    </w:p>
    <w:p w:rsidR="00F00C2C" w:rsidRPr="002D6F62" w:rsidRDefault="00F00C2C" w:rsidP="00F00C2C">
      <w:pPr>
        <w:pStyle w:val="ManualConsidrant"/>
        <w:rPr>
          <w:noProof/>
        </w:rPr>
      </w:pPr>
      <w:r w:rsidRPr="002D6F62">
        <w:rPr>
          <w:b/>
          <w:i/>
        </w:rPr>
        <w:t>(6c)</w:t>
      </w:r>
      <w:r w:rsidRPr="002D6F62">
        <w:rPr>
          <w:b/>
          <w:i/>
        </w:rPr>
        <w:tab/>
        <w:t xml:space="preserve">Juridiskie šķēršļi nozaru noteikumos reizēm liedz iestādēm apmainīties ar svarīgu informāciju. Tādēļ attiecīgajām iestādēm būtu par šādiem juridiskajiem šķēršļiem jāziņo Komisijai, un tai būtu atbilstošā gadījumā jāierosina šādus šķēršļus novērst, vienlaikus ievērojot intelektuālā īpašuma tiesības, aizsargājot dienesta noslēpumu un datus. </w:t>
      </w:r>
    </w:p>
    <w:p w:rsidR="00F00C2C" w:rsidRPr="002D6F62" w:rsidRDefault="00F00C2C" w:rsidP="00F00C2C">
      <w:pPr>
        <w:pStyle w:val="ManualConsidrant"/>
        <w:rPr>
          <w:noProof/>
        </w:rPr>
      </w:pPr>
      <w:r w:rsidRPr="002D6F62">
        <w:t>(7)</w:t>
      </w:r>
      <w:r w:rsidRPr="002D6F62">
        <w:tab/>
        <w:t xml:space="preserve">Komisijai ir vajadzīga precīza un visaptveroša informācija, lai izstrādātu politiku, izvērtētu spēkā esošos tiesību aktus un novērtētu iespējamo leģislatīvo un neleģislatīvo iniciatīvu ietekmi, tostarp sarunās par tiesību aktu priekšlikumiem. Tam, ka iestādes kopīgo ar Komisiju informāciju, ko finanšu iestādes vai citas struktūras minētajām iestādēm ir sniegušas, izpildot to saistības saskaņā ar Savienības tiesību aktiem, būtu jāpalīdz nodrošināt uz pierādījumiem balstītu pamatu Savienības politikas formulēšanai un novērtēšanai. Šajā nolūkā šādai informācijai vajadzētu būt tādai, kas neļauj identificēt atsevišķas struktūras un nesatur personas datus. Arī </w:t>
      </w:r>
      <w:proofErr w:type="spellStart"/>
      <w:r w:rsidRPr="002D6F62">
        <w:t>anonimizēti</w:t>
      </w:r>
      <w:proofErr w:type="spellEnd"/>
      <w:r w:rsidRPr="002D6F62">
        <w:t xml:space="preserve"> dati var būt noderīgi iestādēm, un tādēļ, ja tas ir nepieciešams to uzdevumu izpildei, tām šāda informācija būtu savstarpēji jākopīgo.</w:t>
      </w:r>
    </w:p>
    <w:p w:rsidR="00F00C2C" w:rsidRPr="002D6F62" w:rsidRDefault="00F00C2C" w:rsidP="00F00C2C">
      <w:pPr>
        <w:pStyle w:val="ManualConsidrant"/>
        <w:rPr>
          <w:rFonts w:eastAsia="Calibri"/>
          <w:noProof/>
          <w:szCs w:val="24"/>
        </w:rPr>
      </w:pPr>
      <w:r w:rsidRPr="002D6F62">
        <w:t>(8)</w:t>
      </w:r>
      <w:r w:rsidRPr="002D6F62">
        <w:tab/>
        <w:t xml:space="preserve">Inovācijas cikli finanšu nozarē paātrinās, kļūst atvērtāki un </w:t>
      </w:r>
      <w:proofErr w:type="spellStart"/>
      <w:r w:rsidRPr="002D6F62">
        <w:t>sadarbīgāki</w:t>
      </w:r>
      <w:proofErr w:type="spellEnd"/>
      <w:r w:rsidRPr="002D6F62">
        <w:t xml:space="preserve">. Šajā nolūkā iestādēm vajadzētu būt iespējai pētniecības un inovācijas nolūkos informāciju kopīgot ar finanšu iestādēm, pētniekiem un citām struktūrām, pārsniedzot sākotnējo mērķi, kādam informācija tika vākta. Šādas iestāžu rīcībā esošās informācijas kopīgošanai būtu jāuzlabo tās lietderība, paplašinot finanšu sektora pētniecībai pieejamo informāciju, un jāsniedz vairāk iespēju pārbaudīt produktus un uzņēmējdarbības modeļus, kā arī jānodrošina lielāka sadarbība starp dažādiem finanšu tirgus dalībniekiem, tostarp finanšu tehnoloģiju </w:t>
      </w:r>
      <w:proofErr w:type="spellStart"/>
      <w:r w:rsidRPr="002D6F62">
        <w:t>jaunuzņēmumiem</w:t>
      </w:r>
      <w:proofErr w:type="spellEnd"/>
      <w:r w:rsidRPr="002D6F62">
        <w:t xml:space="preserve"> un vēsturiskajām finanšu iestādēm.  Kompetentās iestādes kopīgoto datu </w:t>
      </w:r>
      <w:proofErr w:type="spellStart"/>
      <w:r w:rsidRPr="002D6F62">
        <w:t>atkalizmantošanu</w:t>
      </w:r>
      <w:proofErr w:type="spellEnd"/>
      <w:r w:rsidRPr="002D6F62">
        <w:t xml:space="preserve"> reglamentē vispārējais datu </w:t>
      </w:r>
      <w:proofErr w:type="spellStart"/>
      <w:r w:rsidRPr="002D6F62">
        <w:t>atkalizmantošanas</w:t>
      </w:r>
      <w:proofErr w:type="spellEnd"/>
      <w:r w:rsidRPr="002D6F62">
        <w:t xml:space="preserve"> </w:t>
      </w:r>
      <w:r w:rsidRPr="002D6F62">
        <w:lastRenderedPageBreak/>
        <w:t>regulējums, kas noteikts Eiropas Parlamenta un Padomes Regulas (ES) 2022/868</w:t>
      </w:r>
      <w:r w:rsidRPr="002D6F62">
        <w:rPr>
          <w:rStyle w:val="FootnoteReference"/>
          <w:noProof/>
        </w:rPr>
        <w:footnoteReference w:id="14"/>
      </w:r>
      <w:r w:rsidRPr="002D6F62">
        <w:t xml:space="preserve"> II sadaļā. Tomēr, ņemot vērā to, cik </w:t>
      </w:r>
      <w:proofErr w:type="spellStart"/>
      <w:r w:rsidRPr="002D6F62">
        <w:t>sensitīvi</w:t>
      </w:r>
      <w:proofErr w:type="spellEnd"/>
      <w:r w:rsidRPr="002D6F62">
        <w:t xml:space="preserve"> ir dati, ko finanšu nozares iestādes saņem uzraudzības nolūkā, būtu jāievieš īpaši obligāti nosacījumi šo datu </w:t>
      </w:r>
      <w:proofErr w:type="spellStart"/>
      <w:r w:rsidRPr="002D6F62">
        <w:t>atkalizmantošanai</w:t>
      </w:r>
      <w:proofErr w:type="spellEnd"/>
      <w:r w:rsidRPr="002D6F62">
        <w:t xml:space="preserve">, tostarp </w:t>
      </w:r>
      <w:proofErr w:type="spellStart"/>
      <w:r w:rsidRPr="002D6F62">
        <w:t>persondatu</w:t>
      </w:r>
      <w:proofErr w:type="spellEnd"/>
      <w:r w:rsidRPr="002D6F62">
        <w:t xml:space="preserve"> un </w:t>
      </w:r>
      <w:proofErr w:type="spellStart"/>
      <w:r w:rsidRPr="002D6F62">
        <w:t>nepersondatu</w:t>
      </w:r>
      <w:proofErr w:type="spellEnd"/>
      <w:r w:rsidRPr="002D6F62">
        <w:t xml:space="preserve"> </w:t>
      </w:r>
      <w:proofErr w:type="spellStart"/>
      <w:r w:rsidRPr="002D6F62">
        <w:t>anonimizācijai</w:t>
      </w:r>
      <w:proofErr w:type="spellEnd"/>
      <w:r w:rsidRPr="002D6F62">
        <w:t>, kas neļautu identificēt atsevišķas finanšu iestādes un aizsargāt konfidenciālu informāciju.</w:t>
      </w:r>
      <w:r w:rsidRPr="002D6F62">
        <w:rPr>
          <w:b/>
          <w:i/>
        </w:rPr>
        <w:t xml:space="preserve"> No tā izriet, ka uz visām datu vākšanas, standartizācijas, </w:t>
      </w:r>
      <w:proofErr w:type="spellStart"/>
      <w:r w:rsidRPr="002D6F62">
        <w:rPr>
          <w:b/>
          <w:i/>
        </w:rPr>
        <w:t>anonimizācijas</w:t>
      </w:r>
      <w:proofErr w:type="spellEnd"/>
      <w:r w:rsidRPr="002D6F62">
        <w:rPr>
          <w:b/>
          <w:i/>
        </w:rPr>
        <w:t xml:space="preserve">, glabāšanas un kopīgošanas procedūrām un posmiem pastāvīgi attieksies jaunākie </w:t>
      </w:r>
      <w:proofErr w:type="spellStart"/>
      <w:r w:rsidRPr="002D6F62">
        <w:rPr>
          <w:b/>
          <w:i/>
        </w:rPr>
        <w:t>kiberdrošības</w:t>
      </w:r>
      <w:proofErr w:type="spellEnd"/>
      <w:r w:rsidRPr="002D6F62">
        <w:rPr>
          <w:b/>
          <w:i/>
        </w:rPr>
        <w:t xml:space="preserve"> pasākumi, kas paredzēti Savienības tiesību aktos.</w:t>
      </w:r>
    </w:p>
    <w:p w:rsidR="00F00C2C" w:rsidRPr="002D6F62" w:rsidRDefault="00F00C2C" w:rsidP="00F00C2C">
      <w:pPr>
        <w:pStyle w:val="ManualConsidrant"/>
        <w:rPr>
          <w:noProof/>
        </w:rPr>
      </w:pPr>
      <w:r w:rsidRPr="002D6F62">
        <w:t>(9)</w:t>
      </w:r>
      <w:r w:rsidRPr="002D6F62">
        <w:tab/>
        <w:t xml:space="preserve">Tam, ka īstenošanas partneriem ziņošanas par programmu </w:t>
      </w:r>
      <w:proofErr w:type="spellStart"/>
      <w:r w:rsidRPr="002D6F62">
        <w:rPr>
          <w:i/>
          <w:iCs/>
        </w:rPr>
        <w:t>InvestEU</w:t>
      </w:r>
      <w:proofErr w:type="spellEnd"/>
      <w:r w:rsidRPr="002D6F62">
        <w:t xml:space="preserve"> biežums tiktu samazināts no divām reizēm gadā uz vienu, būtu jāsamazina īstenošanas partneru, finanšu starpnieku, MVU un citu uzņēmumu darba slodze, nemainot nevienu no būtiskajiem Regulas (ES) 2021/523 elementiem. </w:t>
      </w:r>
    </w:p>
    <w:p w:rsidR="00F00C2C" w:rsidRPr="002D6F62" w:rsidRDefault="00F00C2C" w:rsidP="00F00C2C">
      <w:pPr>
        <w:pStyle w:val="ManualConsidrant"/>
        <w:rPr>
          <w:noProof/>
        </w:rPr>
      </w:pPr>
      <w:r w:rsidRPr="002D6F62">
        <w:t>(10)</w:t>
      </w:r>
      <w:r w:rsidRPr="002D6F62">
        <w:tab/>
        <w:t>Tāpēc Regulas (ES) Nr. 1092/2010, (ES) Nr. 1093/2010, (ES) Nr. 1094/2010, (ES) Nr. 1095/2010 un (ES) Nr. 2021/523 būtu attiecīgi jāgroza,</w:t>
      </w:r>
    </w:p>
    <w:p w:rsidR="00F00C2C" w:rsidRPr="002D6F62" w:rsidRDefault="00F00C2C" w:rsidP="00F00C2C">
      <w:pPr>
        <w:widowControl/>
        <w:spacing w:before="120" w:after="120"/>
        <w:ind w:left="709" w:hanging="709"/>
        <w:jc w:val="both"/>
        <w:rPr>
          <w:rFonts w:eastAsia="Calibri"/>
          <w:noProof/>
          <w:szCs w:val="22"/>
          <w:lang w:eastAsia="en-US"/>
        </w:rPr>
      </w:pPr>
    </w:p>
    <w:p w:rsidR="00F00C2C" w:rsidRPr="002D6F62" w:rsidRDefault="00F00C2C" w:rsidP="00F00C2C">
      <w:pPr>
        <w:keepNext/>
        <w:widowControl/>
        <w:spacing w:before="120" w:after="120"/>
        <w:jc w:val="both"/>
        <w:rPr>
          <w:rFonts w:eastAsia="Calibri"/>
          <w:noProof/>
          <w:szCs w:val="22"/>
        </w:rPr>
      </w:pPr>
      <w:r w:rsidRPr="002D6F62">
        <w:t>IR PIEŅĒMUŠI ŠO REGULU.</w:t>
      </w:r>
    </w:p>
    <w:p w:rsidR="00F00C2C" w:rsidRPr="002D6F62" w:rsidRDefault="00F00C2C" w:rsidP="00F00C2C">
      <w:pPr>
        <w:keepNext/>
        <w:widowControl/>
        <w:spacing w:before="360" w:after="120"/>
        <w:jc w:val="center"/>
        <w:rPr>
          <w:rFonts w:eastAsia="Calibri"/>
          <w:i/>
          <w:noProof/>
          <w:szCs w:val="22"/>
        </w:rPr>
      </w:pPr>
      <w:r w:rsidRPr="002D6F62">
        <w:rPr>
          <w:i/>
        </w:rPr>
        <w:t>1. pants</w:t>
      </w:r>
    </w:p>
    <w:p w:rsidR="00F00C2C" w:rsidRPr="002D6F62" w:rsidRDefault="00F00C2C" w:rsidP="00F00C2C">
      <w:pPr>
        <w:widowControl/>
        <w:spacing w:before="120" w:after="120"/>
        <w:jc w:val="center"/>
        <w:rPr>
          <w:rFonts w:eastAsia="Calibri"/>
          <w:noProof/>
          <w:szCs w:val="22"/>
        </w:rPr>
      </w:pPr>
      <w:r w:rsidRPr="002D6F62">
        <w:rPr>
          <w:b/>
        </w:rPr>
        <w:t>Grozījumi Regulā (ES) Nr. 1092/2010</w:t>
      </w:r>
    </w:p>
    <w:p w:rsidR="00F00C2C" w:rsidRPr="002D6F62" w:rsidRDefault="00F00C2C" w:rsidP="00F00C2C">
      <w:pPr>
        <w:widowControl/>
        <w:spacing w:before="120" w:after="120"/>
        <w:jc w:val="both"/>
        <w:rPr>
          <w:rFonts w:eastAsia="Calibri"/>
          <w:noProof/>
          <w:szCs w:val="22"/>
        </w:rPr>
      </w:pPr>
      <w:r w:rsidRPr="002D6F62">
        <w:t>Regulu (ES) Nr. 1092/2010 groza šādi:</w:t>
      </w:r>
    </w:p>
    <w:p w:rsidR="00F00C2C" w:rsidRPr="002D6F62" w:rsidRDefault="00F00C2C" w:rsidP="00F00C2C">
      <w:pPr>
        <w:widowControl/>
        <w:spacing w:before="120" w:after="120"/>
        <w:ind w:left="850" w:hanging="850"/>
        <w:jc w:val="both"/>
        <w:rPr>
          <w:rFonts w:eastAsia="Calibri"/>
          <w:noProof/>
          <w:szCs w:val="22"/>
        </w:rPr>
      </w:pPr>
      <w:r w:rsidRPr="002D6F62">
        <w:t>1.</w:t>
      </w:r>
      <w:r w:rsidRPr="002D6F62">
        <w:tab/>
        <w:t>regulas 8. panta 3. punktu aizstāj ar šādu: </w:t>
      </w:r>
    </w:p>
    <w:p w:rsidR="00F00C2C" w:rsidRPr="002D6F62" w:rsidRDefault="00F00C2C" w:rsidP="00F00C2C">
      <w:pPr>
        <w:widowControl/>
        <w:spacing w:before="120" w:after="120"/>
        <w:ind w:left="1418" w:hanging="567"/>
        <w:jc w:val="both"/>
        <w:rPr>
          <w:rFonts w:eastAsia="Calibri"/>
          <w:noProof/>
          <w:szCs w:val="22"/>
        </w:rPr>
      </w:pPr>
      <w:r w:rsidRPr="002D6F62">
        <w:t xml:space="preserve">“3. </w:t>
      </w:r>
      <w:r w:rsidRPr="002D6F62">
        <w:tab/>
        <w:t>Neskarot 15. un 16. pantu un krimināltiesību piemērošanu, nekādu konfidenciālu informāciju, ko 1. punktā minētās personas saņem, pildot savus pienākumus, neizpauž nevienai personai vai iestādei, izņemot pārskata vai apkopojuma formā tā, ka nav iespējams atpazīt konkrētas finanšu iestādes.”;</w:t>
      </w:r>
    </w:p>
    <w:p w:rsidR="00F00C2C" w:rsidRPr="002D6F62" w:rsidRDefault="00F00C2C" w:rsidP="00F00C2C">
      <w:pPr>
        <w:widowControl/>
        <w:spacing w:before="120" w:after="120"/>
        <w:ind w:left="850" w:hanging="850"/>
        <w:jc w:val="both"/>
        <w:rPr>
          <w:rFonts w:eastAsia="Calibri"/>
          <w:b/>
          <w:i/>
          <w:szCs w:val="22"/>
        </w:rPr>
      </w:pPr>
      <w:r w:rsidRPr="002D6F62">
        <w:rPr>
          <w:b/>
          <w:i/>
        </w:rPr>
        <w:t>1.a</w:t>
      </w:r>
      <w:r w:rsidRPr="002D6F62">
        <w:rPr>
          <w:b/>
          <w:i/>
        </w:rPr>
        <w:tab/>
        <w:t>regulas 15. panta 1. līdz 7. punktu aizstāj ar šādiem:</w:t>
      </w:r>
    </w:p>
    <w:p w:rsidR="00F00C2C" w:rsidRPr="002D6F62" w:rsidRDefault="002D6F62" w:rsidP="00F00C2C">
      <w:pPr>
        <w:widowControl/>
        <w:spacing w:before="120" w:after="120"/>
        <w:ind w:left="1418" w:hanging="567"/>
        <w:jc w:val="both"/>
        <w:rPr>
          <w:b/>
          <w:i/>
        </w:rPr>
      </w:pPr>
      <w:r w:rsidRPr="002D6F62">
        <w:rPr>
          <w:b/>
          <w:i/>
        </w:rPr>
        <w:t>“</w:t>
      </w:r>
      <w:r w:rsidR="00F00C2C" w:rsidRPr="002D6F62">
        <w:rPr>
          <w:b/>
          <w:i/>
        </w:rPr>
        <w:t xml:space="preserve">1. </w:t>
      </w:r>
      <w:r w:rsidR="00F00C2C" w:rsidRPr="002D6F62">
        <w:rPr>
          <w:b/>
          <w:i/>
        </w:rPr>
        <w:tab/>
        <w:t>EUI, Eiropas Centrālo banku sistēma (ECBS), Komisija, valsts uzraudzības iestādes un valsts statistikas iestādes cieši sadarbojas ar ESRK, kopīgojot informāciju un veikto analīzi, kas vajadzīga to uzdevumu veikšanai.</w:t>
      </w:r>
    </w:p>
    <w:p w:rsidR="00F00C2C" w:rsidRPr="002D6F62" w:rsidRDefault="00F00C2C" w:rsidP="00F00C2C">
      <w:pPr>
        <w:widowControl/>
        <w:spacing w:before="120" w:after="120"/>
        <w:ind w:left="1418" w:hanging="567"/>
        <w:jc w:val="both"/>
        <w:rPr>
          <w:rFonts w:eastAsia="Calibri"/>
          <w:b/>
          <w:i/>
          <w:szCs w:val="22"/>
        </w:rPr>
      </w:pPr>
      <w:r w:rsidRPr="002D6F62">
        <w:rPr>
          <w:rFonts w:ascii="k" w:hAnsi="k"/>
          <w:b/>
          <w:i/>
        </w:rPr>
        <w:t>2.</w:t>
      </w:r>
      <w:r w:rsidRPr="002D6F62">
        <w:rPr>
          <w:b/>
          <w:i/>
        </w:rPr>
        <w:t xml:space="preserve"> </w:t>
      </w:r>
      <w:r w:rsidRPr="002D6F62">
        <w:rPr>
          <w:b/>
          <w:i/>
        </w:rPr>
        <w:tab/>
        <w:t xml:space="preserve">ESRK, EUR un ECB saskaņo savus centienus, lai atklātu, uzraudzītu, novērstu un mazinātu sistēmiskos riskus, kas apdraud finanšu stabilitāti. Neskarot citus noteikumus par uzraudzības un statistikas datu kopīgošanu, kas paredzēti šajā pantā un citos Savienības tiesību aktos, EUI un ECB bez liekas kavēšanās kopīgo ar ESRK visu būtisko informāciju, tiklīdz tā ir pieejama, tostarp uzraudzības un statistikas datus, kā arī to veiktās šādas informācijas analīzes rezultātus, kas vajadzīgi tās misijas, mērķu un uzdevumu īstenošanai. </w:t>
      </w:r>
    </w:p>
    <w:p w:rsidR="00F00C2C" w:rsidRPr="002D6F62" w:rsidRDefault="00F00C2C" w:rsidP="00F00C2C">
      <w:pPr>
        <w:widowControl/>
        <w:spacing w:before="120" w:after="120"/>
        <w:ind w:left="1418"/>
        <w:jc w:val="both"/>
        <w:rPr>
          <w:rFonts w:eastAsia="Calibri"/>
          <w:b/>
          <w:i/>
          <w:szCs w:val="22"/>
        </w:rPr>
      </w:pPr>
      <w:r w:rsidRPr="002D6F62">
        <w:rPr>
          <w:b/>
          <w:i/>
        </w:rPr>
        <w:t xml:space="preserve">Pēc 15.a pantā minētās vienotās integrētās ziņošanas sistēmas izveides EUI un ECB to izmanto minētās informācijas kopīgošanai. </w:t>
      </w:r>
    </w:p>
    <w:p w:rsidR="00F00C2C" w:rsidRPr="002D6F62" w:rsidRDefault="00F00C2C" w:rsidP="00F00C2C">
      <w:pPr>
        <w:widowControl/>
        <w:spacing w:before="120" w:after="120"/>
        <w:ind w:left="1418" w:hanging="567"/>
        <w:jc w:val="both"/>
        <w:rPr>
          <w:rFonts w:eastAsia="Calibri"/>
          <w:b/>
          <w:i/>
          <w:szCs w:val="22"/>
        </w:rPr>
      </w:pPr>
      <w:r w:rsidRPr="002D6F62">
        <w:rPr>
          <w:b/>
          <w:i/>
        </w:rPr>
        <w:lastRenderedPageBreak/>
        <w:t xml:space="preserve">3. </w:t>
      </w:r>
      <w:r w:rsidRPr="002D6F62">
        <w:rPr>
          <w:b/>
          <w:i/>
        </w:rPr>
        <w:tab/>
        <w:t>Ja esošā informācija, kas pieejama ESRK no EUI, ECB un Eiropas Statistikas sistēmā, nav pietiekama vai tai nevar laikus piekļūt, ESRK saskaņā ar šo pantu pieprasa informāciju, kas tai vajadzīga savu pilnvaru īstenošanai, no valstu centrālajām bankām, valstu uzraudzības iestādēm un valstu statistikas iestādēm. Ja informācija joprojām nav pieejama, ESRK var to pieprasīt no attiecīgās dalībvalsts, neskarot attiecīgi Padomei, Komisijai (</w:t>
      </w:r>
      <w:proofErr w:type="spellStart"/>
      <w:r w:rsidRPr="002D6F62">
        <w:rPr>
          <w:b/>
          <w:i/>
        </w:rPr>
        <w:t>Eurostat</w:t>
      </w:r>
      <w:proofErr w:type="spellEnd"/>
      <w:r w:rsidRPr="002D6F62">
        <w:rPr>
          <w:b/>
          <w:i/>
        </w:rPr>
        <w:t xml:space="preserve">), ECB, </w:t>
      </w:r>
      <w:proofErr w:type="spellStart"/>
      <w:r w:rsidRPr="002D6F62">
        <w:rPr>
          <w:b/>
          <w:i/>
        </w:rPr>
        <w:t>Eurosistēmai</w:t>
      </w:r>
      <w:proofErr w:type="spellEnd"/>
      <w:r w:rsidRPr="002D6F62">
        <w:rPr>
          <w:b/>
          <w:i/>
        </w:rPr>
        <w:t xml:space="preserve"> un ECBS noteiktās prerogatīvas statistikas un datu vākšanas jomā.</w:t>
      </w:r>
    </w:p>
    <w:p w:rsidR="00F00C2C" w:rsidRPr="002D6F62" w:rsidRDefault="00F00C2C" w:rsidP="00F00C2C">
      <w:pPr>
        <w:widowControl/>
        <w:spacing w:before="120" w:after="120"/>
        <w:ind w:left="1418" w:hanging="567"/>
        <w:jc w:val="both"/>
        <w:rPr>
          <w:rFonts w:eastAsia="Calibri"/>
          <w:b/>
          <w:i/>
          <w:szCs w:val="22"/>
        </w:rPr>
      </w:pPr>
      <w:r w:rsidRPr="002D6F62">
        <w:rPr>
          <w:b/>
          <w:i/>
        </w:rPr>
        <w:t xml:space="preserve">4. </w:t>
      </w:r>
      <w:r w:rsidRPr="002D6F62">
        <w:rPr>
          <w:b/>
          <w:i/>
        </w:rPr>
        <w:tab/>
        <w:t>Ja ESRK saskaņā ar 3. punktu pieprasa informāciju, kas nav sniegta pārskata vai apkopojuma veidā, tā savā pieprasījumā pamatoto, kāpēc dati par attiecīgo atsevišķo finanšu iestādi tiek uzskatīti par sistēmiski svarīgiem un ir vajadzīgi, ņemot vērā situāciju tirgū.</w:t>
      </w:r>
    </w:p>
    <w:p w:rsidR="00F00C2C" w:rsidRPr="002D6F62" w:rsidRDefault="00F00C2C" w:rsidP="00F00C2C">
      <w:pPr>
        <w:widowControl/>
        <w:spacing w:before="120" w:after="120"/>
        <w:ind w:left="1418" w:hanging="567"/>
        <w:jc w:val="both"/>
        <w:rPr>
          <w:rFonts w:eastAsia="Calibri"/>
          <w:b/>
          <w:i/>
          <w:szCs w:val="22"/>
        </w:rPr>
      </w:pPr>
      <w:r w:rsidRPr="002D6F62">
        <w:rPr>
          <w:b/>
          <w:i/>
        </w:rPr>
        <w:t>5.</w:t>
      </w:r>
      <w:r w:rsidRPr="002D6F62">
        <w:rPr>
          <w:b/>
          <w:i/>
        </w:rPr>
        <w:tab/>
        <w:t xml:space="preserve"> Ja ESRK pieprasa uzraudzības informāciju saskaņā ar 3. punktu, kas nav pieejama pārskata vai apkopojuma veidā, tā katru reizi pirms tam pienācīgi apspriežas ar atbilstīgajām EUI, lai nodrošinātu, ka pieprasījums ir pamatots un samērīgs. Ja atbilstīgā EUI neuzskata, ka pieprasījums ir pamatots un samērīgs, tā to nekavējoties </w:t>
      </w:r>
      <w:proofErr w:type="spellStart"/>
      <w:r w:rsidRPr="002D6F62">
        <w:rPr>
          <w:b/>
          <w:i/>
        </w:rPr>
        <w:t>nosūta</w:t>
      </w:r>
      <w:proofErr w:type="spellEnd"/>
      <w:r w:rsidRPr="002D6F62">
        <w:rPr>
          <w:b/>
          <w:i/>
        </w:rPr>
        <w:t xml:space="preserve"> atpakaļ ESRK un pieprasa papildu pamatojumu. Pēc tam, kad ESRK ir sniegusi atbilstīgajai EUI šādu papildu pamatojumu, pieprasījuma adresāti pieprasīto informāciju </w:t>
      </w:r>
      <w:proofErr w:type="spellStart"/>
      <w:r w:rsidRPr="002D6F62">
        <w:rPr>
          <w:b/>
          <w:i/>
        </w:rPr>
        <w:t>nosūta</w:t>
      </w:r>
      <w:proofErr w:type="spellEnd"/>
      <w:r w:rsidRPr="002D6F62">
        <w:rPr>
          <w:b/>
          <w:i/>
        </w:rPr>
        <w:t xml:space="preserve"> ESRK, ja vien tiem ir likumīga piekļuve attiecīgajai informācijai.</w:t>
      </w:r>
      <w:r w:rsidR="002D6F62" w:rsidRPr="002D6F62">
        <w:rPr>
          <w:b/>
          <w:i/>
        </w:rPr>
        <w:t>”;</w:t>
      </w:r>
    </w:p>
    <w:p w:rsidR="00F00C2C" w:rsidRPr="002D6F62" w:rsidRDefault="00F00C2C" w:rsidP="00F00C2C">
      <w:pPr>
        <w:widowControl/>
        <w:spacing w:before="120" w:after="120"/>
        <w:ind w:left="850" w:hanging="850"/>
        <w:jc w:val="both"/>
        <w:rPr>
          <w:rFonts w:eastAsia="Calibri"/>
          <w:noProof/>
          <w:szCs w:val="22"/>
        </w:rPr>
      </w:pPr>
      <w:r w:rsidRPr="002D6F62">
        <w:t>2.</w:t>
      </w:r>
      <w:r w:rsidRPr="002D6F62">
        <w:tab/>
        <w:t>regulas 15. pantā pievieno šādus punktus: </w:t>
      </w:r>
    </w:p>
    <w:p w:rsidR="00F00C2C" w:rsidRPr="002D6F62" w:rsidRDefault="00F00C2C" w:rsidP="00F00C2C">
      <w:pPr>
        <w:ind w:left="1418" w:hanging="567"/>
        <w:jc w:val="both"/>
        <w:rPr>
          <w:rFonts w:eastAsia="Calibri"/>
          <w:szCs w:val="22"/>
        </w:rPr>
      </w:pPr>
      <w:r w:rsidRPr="002D6F62">
        <w:t xml:space="preserve">“8. </w:t>
      </w:r>
      <w:r w:rsidRPr="002D6F62">
        <w:rPr>
          <w:b/>
          <w:i/>
        </w:rPr>
        <w:tab/>
      </w:r>
      <w:r w:rsidRPr="002D6F62">
        <w:t xml:space="preserve">ESRK katrā atsevišķā gadījumā vai regulāri kopīgo </w:t>
      </w:r>
      <w:r w:rsidRPr="002D6F62">
        <w:rPr>
          <w:b/>
          <w:bCs/>
          <w:i/>
          <w:iCs/>
        </w:rPr>
        <w:t>ar citu 1. punktā minēto iestādi, citu EFUS dalībiestādi vai citām iestādēm</w:t>
      </w:r>
      <w:r w:rsidRPr="002D6F62">
        <w:t xml:space="preserve"> informāciju, ko tā, veicot savus pienākumus, ieguvusi no ▌ </w:t>
      </w:r>
      <w:r w:rsidRPr="002D6F62">
        <w:rPr>
          <w:b/>
          <w:bCs/>
          <w:i/>
          <w:iCs/>
        </w:rPr>
        <w:t>kādas citas no minētajām iestādēm vai citām iestādēm</w:t>
      </w:r>
      <w:r w:rsidRPr="002D6F62">
        <w:t>, ja</w:t>
      </w:r>
      <w:r w:rsidRPr="002D6F62">
        <w:rPr>
          <w:b/>
          <w:i/>
        </w:rPr>
        <w:t xml:space="preserve"> </w:t>
      </w:r>
      <w:r w:rsidRPr="002D6F62">
        <w:t xml:space="preserve">▌ pieprasījuma iesniedzējai iestādei ▌ </w:t>
      </w:r>
      <w:r w:rsidRPr="002D6F62">
        <w:rPr>
          <w:b/>
          <w:bCs/>
          <w:i/>
          <w:iCs/>
        </w:rPr>
        <w:t>atbilstīgi tās misijai, mērķiem, uzdevumiem un pilnvarām vai saskaņā ar attiecīgajiem Savienības tiesību aktiem</w:t>
      </w:r>
      <w:r w:rsidRPr="002D6F62">
        <w:t xml:space="preserve"> </w:t>
      </w:r>
      <w:r w:rsidRPr="002D6F62">
        <w:rPr>
          <w:b/>
          <w:bCs/>
          <w:i/>
          <w:iCs/>
        </w:rPr>
        <w:t>ir tiesības</w:t>
      </w:r>
      <w:r w:rsidRPr="002D6F62">
        <w:t xml:space="preserve"> </w:t>
      </w:r>
      <w:r w:rsidRPr="002D6F62">
        <w:rPr>
          <w:b/>
          <w:bCs/>
          <w:i/>
          <w:iCs/>
        </w:rPr>
        <w:t>šādu informāciju iegūt</w:t>
      </w:r>
      <w:r w:rsidRPr="002D6F62">
        <w:t>.</w:t>
      </w:r>
    </w:p>
    <w:p w:rsidR="00F00C2C" w:rsidRPr="002D6F62" w:rsidRDefault="00F00C2C" w:rsidP="00F00C2C">
      <w:pPr>
        <w:widowControl/>
        <w:spacing w:before="120" w:after="120"/>
        <w:ind w:left="1418"/>
        <w:jc w:val="both"/>
        <w:rPr>
          <w:rFonts w:eastAsia="Calibri"/>
          <w:b/>
          <w:i/>
          <w:szCs w:val="22"/>
        </w:rPr>
      </w:pPr>
      <w:r w:rsidRPr="002D6F62">
        <w:rPr>
          <w:b/>
          <w:i/>
        </w:rPr>
        <w:t xml:space="preserve">Pēc 15.a pantā minētās vienotās integrētās ziņošanas sistēmas izveides ESRK to izmanto šā punkta pirmajā daļā minētās informācijas kopīgošanai. </w:t>
      </w:r>
    </w:p>
    <w:p w:rsidR="00F00C2C" w:rsidRPr="002D6F62" w:rsidRDefault="00F00C2C" w:rsidP="00F00C2C">
      <w:pPr>
        <w:widowControl/>
        <w:spacing w:before="120" w:after="120"/>
        <w:ind w:left="1418" w:hanging="567"/>
        <w:jc w:val="both"/>
        <w:rPr>
          <w:rFonts w:eastAsia="Calibri"/>
          <w:b/>
          <w:i/>
          <w:szCs w:val="22"/>
        </w:rPr>
      </w:pPr>
      <w:r w:rsidRPr="002D6F62">
        <w:rPr>
          <w:b/>
          <w:i/>
        </w:rPr>
        <w:t>8.a</w:t>
      </w:r>
      <w:r w:rsidRPr="002D6F62">
        <w:rPr>
          <w:b/>
          <w:i/>
        </w:rPr>
        <w:tab/>
        <w:t>ESRK pieprasa no citām iestādēm informāciju, ko tā citkārt pieprasītu finanšu iestādēm vai citām kompetentajām iestādēm, ja ir izpildīti abi šādi nosacījumi:</w:t>
      </w:r>
    </w:p>
    <w:p w:rsidR="00F00C2C" w:rsidRPr="002D6F62" w:rsidRDefault="00F00C2C" w:rsidP="00F00C2C">
      <w:pPr>
        <w:widowControl/>
        <w:spacing w:before="120" w:after="120"/>
        <w:ind w:left="1418"/>
        <w:jc w:val="both"/>
        <w:rPr>
          <w:rFonts w:eastAsia="Calibri"/>
          <w:b/>
          <w:i/>
          <w:szCs w:val="22"/>
        </w:rPr>
      </w:pPr>
      <w:r w:rsidRPr="002D6F62">
        <w:rPr>
          <w:b/>
          <w:i/>
        </w:rPr>
        <w:t>a)</w:t>
      </w:r>
      <w:r w:rsidRPr="002D6F62">
        <w:rPr>
          <w:b/>
          <w:i/>
        </w:rPr>
        <w:tab/>
        <w:t xml:space="preserve"> ESRK ir tiesības iegūt attiecīgo informāciju saskaņā ar tās misiju, mērķiem, uzdevumiem un pilnvarām vai saskaņā ar attiecīgajiem Savienības tiesību aktiem;</w:t>
      </w:r>
    </w:p>
    <w:p w:rsidR="00F00C2C" w:rsidRPr="002D6F62" w:rsidRDefault="00F00C2C" w:rsidP="00F00C2C">
      <w:pPr>
        <w:widowControl/>
        <w:spacing w:before="120" w:after="120"/>
        <w:ind w:left="1418"/>
        <w:jc w:val="both"/>
        <w:rPr>
          <w:rFonts w:eastAsia="Calibri"/>
          <w:b/>
          <w:i/>
          <w:szCs w:val="22"/>
        </w:rPr>
      </w:pPr>
      <w:r w:rsidRPr="002D6F62">
        <w:rPr>
          <w:b/>
          <w:i/>
        </w:rPr>
        <w:t xml:space="preserve">b) </w:t>
      </w:r>
      <w:r w:rsidRPr="002D6F62">
        <w:rPr>
          <w:b/>
          <w:i/>
        </w:rPr>
        <w:tab/>
        <w:t>attiecīgo informāciju ir ieguvusi vismaz viena no citām iestādēm.</w:t>
      </w:r>
    </w:p>
    <w:p w:rsidR="00F00C2C" w:rsidRPr="002D6F62" w:rsidRDefault="00F00C2C" w:rsidP="00F00C2C">
      <w:pPr>
        <w:widowControl/>
        <w:spacing w:before="120" w:after="120"/>
        <w:ind w:left="1418"/>
        <w:jc w:val="both"/>
        <w:rPr>
          <w:rFonts w:eastAsia="Calibri"/>
          <w:b/>
          <w:i/>
          <w:szCs w:val="22"/>
        </w:rPr>
      </w:pPr>
      <w:r w:rsidRPr="002D6F62">
        <w:rPr>
          <w:b/>
          <w:i/>
        </w:rPr>
        <w:t>Šī panta pirmā daļa neskar ESRK iespēju iegūt pieprasīto informāciju no finanšu iestādēm vai citām kompetentām iestādēm, ja operatīvu iemeslu dēļ cita iestāde nespēj šādus datus sniegt.</w:t>
      </w:r>
    </w:p>
    <w:p w:rsidR="00F00C2C" w:rsidRPr="002D6F62" w:rsidRDefault="00F00C2C" w:rsidP="002D6F62">
      <w:pPr>
        <w:widowControl/>
        <w:spacing w:before="120" w:after="120"/>
        <w:ind w:left="1418"/>
        <w:jc w:val="both"/>
        <w:rPr>
          <w:rFonts w:eastAsia="Calibri"/>
          <w:b/>
          <w:i/>
          <w:szCs w:val="22"/>
        </w:rPr>
      </w:pPr>
      <w:r w:rsidRPr="002D6F62">
        <w:rPr>
          <w:b/>
          <w:i/>
        </w:rPr>
        <w:t>Pēc 15.a pantā minētās vienotās integrētās ziņošanas sistēmas izveides ESRK to izmanto, lai noteiktu, vai ir izpildīts pirmās daļas b) apakšpunktā izklāstītais nosacījums.</w:t>
      </w:r>
    </w:p>
    <w:p w:rsidR="00F00C2C" w:rsidRPr="002D6F62" w:rsidRDefault="00F00C2C" w:rsidP="00F00C2C">
      <w:pPr>
        <w:widowControl/>
        <w:spacing w:before="120" w:after="120"/>
        <w:ind w:left="1418" w:hanging="567"/>
        <w:jc w:val="both"/>
        <w:rPr>
          <w:rFonts w:eastAsia="Calibri"/>
          <w:b/>
          <w:i/>
          <w:szCs w:val="22"/>
        </w:rPr>
      </w:pPr>
      <w:r w:rsidRPr="002D6F62">
        <w:rPr>
          <w:b/>
          <w:i/>
        </w:rPr>
        <w:t>8.b</w:t>
      </w:r>
      <w:r w:rsidRPr="002D6F62">
        <w:rPr>
          <w:b/>
          <w:i/>
        </w:rPr>
        <w:tab/>
        <w:t>Šā panta un 15.a panta piemērošanas nolūkā “citas iestādes” ir jebkura no šīm iestādēm:</w:t>
      </w:r>
    </w:p>
    <w:p w:rsidR="00F00C2C" w:rsidRPr="002D6F62" w:rsidRDefault="00F00C2C" w:rsidP="00F00C2C">
      <w:pPr>
        <w:widowControl/>
        <w:spacing w:before="120" w:after="120"/>
        <w:ind w:left="1985" w:hanging="567"/>
        <w:jc w:val="both"/>
        <w:rPr>
          <w:rFonts w:eastAsia="Calibri"/>
          <w:b/>
          <w:i/>
          <w:szCs w:val="22"/>
        </w:rPr>
      </w:pPr>
      <w:r w:rsidRPr="002D6F62">
        <w:rPr>
          <w:b/>
          <w:i/>
        </w:rPr>
        <w:t xml:space="preserve">a) </w:t>
      </w:r>
      <w:r w:rsidRPr="002D6F62">
        <w:rPr>
          <w:b/>
          <w:i/>
        </w:rPr>
        <w:tab/>
        <w:t>Eiropas uzraudzības iestādes;</w:t>
      </w:r>
    </w:p>
    <w:p w:rsidR="00F00C2C" w:rsidRPr="002D6F62" w:rsidRDefault="00F00C2C" w:rsidP="00F00C2C">
      <w:pPr>
        <w:widowControl/>
        <w:spacing w:before="120" w:after="120"/>
        <w:ind w:left="1985" w:hanging="567"/>
        <w:jc w:val="both"/>
        <w:rPr>
          <w:rFonts w:eastAsia="Calibri"/>
          <w:b/>
          <w:i/>
          <w:szCs w:val="22"/>
        </w:rPr>
      </w:pPr>
      <w:r w:rsidRPr="002D6F62">
        <w:rPr>
          <w:b/>
          <w:i/>
        </w:rPr>
        <w:lastRenderedPageBreak/>
        <w:t>b)</w:t>
      </w:r>
      <w:r w:rsidRPr="002D6F62">
        <w:rPr>
          <w:b/>
          <w:i/>
        </w:rPr>
        <w:tab/>
        <w:t>kompetentās iestādes, kā definēts Regulas (ES) Nr. 1093/2010 4. panta 2. punktā;</w:t>
      </w:r>
    </w:p>
    <w:p w:rsidR="00F00C2C" w:rsidRPr="002D6F62" w:rsidRDefault="00F00C2C" w:rsidP="00F00C2C">
      <w:pPr>
        <w:widowControl/>
        <w:spacing w:before="120" w:after="120"/>
        <w:ind w:left="1985" w:hanging="567"/>
        <w:jc w:val="both"/>
        <w:rPr>
          <w:rFonts w:eastAsia="Calibri"/>
          <w:b/>
          <w:i/>
          <w:szCs w:val="22"/>
        </w:rPr>
      </w:pPr>
      <w:r w:rsidRPr="002D6F62">
        <w:rPr>
          <w:b/>
          <w:i/>
        </w:rPr>
        <w:t xml:space="preserve">c) </w:t>
      </w:r>
      <w:r w:rsidRPr="002D6F62">
        <w:rPr>
          <w:b/>
          <w:i/>
        </w:rPr>
        <w:tab/>
        <w:t>kompetentās iestādes, kā definēts Regulas (ES) Nr. 1094/2010 4. panta 2. punktā;</w:t>
      </w:r>
    </w:p>
    <w:p w:rsidR="00F00C2C" w:rsidRPr="002D6F62" w:rsidRDefault="00F00C2C" w:rsidP="00F00C2C">
      <w:pPr>
        <w:widowControl/>
        <w:spacing w:before="120" w:after="120"/>
        <w:ind w:left="1985" w:hanging="567"/>
        <w:jc w:val="both"/>
        <w:rPr>
          <w:rFonts w:eastAsia="Calibri"/>
          <w:b/>
          <w:i/>
          <w:szCs w:val="22"/>
        </w:rPr>
      </w:pPr>
      <w:r w:rsidRPr="002D6F62">
        <w:rPr>
          <w:b/>
          <w:i/>
        </w:rPr>
        <w:t>d)</w:t>
      </w:r>
      <w:r w:rsidRPr="002D6F62">
        <w:rPr>
          <w:b/>
          <w:i/>
        </w:rPr>
        <w:tab/>
        <w:t xml:space="preserve"> kompetentās iestādes, kā definēts Regulas (ES) Nr. 1095/2010 4. panta 3. punktā;</w:t>
      </w:r>
    </w:p>
    <w:p w:rsidR="00F00C2C" w:rsidRPr="002D6F62" w:rsidRDefault="00F00C2C" w:rsidP="00F00C2C">
      <w:pPr>
        <w:widowControl/>
        <w:spacing w:before="120" w:after="120"/>
        <w:ind w:left="1985" w:hanging="567"/>
        <w:jc w:val="both"/>
        <w:rPr>
          <w:rFonts w:eastAsia="Calibri"/>
          <w:b/>
          <w:i/>
          <w:szCs w:val="22"/>
        </w:rPr>
      </w:pPr>
      <w:r w:rsidRPr="002D6F62">
        <w:rPr>
          <w:b/>
          <w:i/>
        </w:rPr>
        <w:t xml:space="preserve">e) </w:t>
      </w:r>
      <w:r w:rsidRPr="002D6F62">
        <w:rPr>
          <w:b/>
          <w:i/>
        </w:rPr>
        <w:tab/>
        <w:t>AMLA, kas izveidota ar Eiropas Parlamenta un Padomes Regulu (ES) .../...</w:t>
      </w:r>
      <w:r w:rsidR="006E05C1">
        <w:rPr>
          <w:rStyle w:val="FootnoteReference"/>
          <w:b/>
          <w:bCs/>
          <w:i/>
          <w:iCs/>
        </w:rPr>
        <w:footnoteReference w:customMarkFollows="1" w:id="15"/>
        <w:t>+</w:t>
      </w:r>
      <w:r w:rsidRPr="002D6F62">
        <w:rPr>
          <w:b/>
          <w:i/>
        </w:rPr>
        <w:t>;</w:t>
      </w:r>
    </w:p>
    <w:p w:rsidR="00F00C2C" w:rsidRPr="002D6F62" w:rsidRDefault="00F00C2C" w:rsidP="00F00C2C">
      <w:pPr>
        <w:widowControl/>
        <w:spacing w:before="120" w:after="120"/>
        <w:ind w:left="1985" w:hanging="567"/>
        <w:jc w:val="both"/>
        <w:rPr>
          <w:rFonts w:eastAsia="Calibri"/>
          <w:b/>
          <w:i/>
          <w:szCs w:val="22"/>
        </w:rPr>
      </w:pPr>
      <w:r w:rsidRPr="002D6F62">
        <w:rPr>
          <w:b/>
          <w:i/>
        </w:rPr>
        <w:t xml:space="preserve">f) </w:t>
      </w:r>
      <w:r w:rsidRPr="002D6F62">
        <w:rPr>
          <w:b/>
          <w:i/>
        </w:rPr>
        <w:tab/>
        <w:t>iestādes, kā definēts Eiropas Parlamenta un Padomes Direktīvas (ES) .../...</w:t>
      </w:r>
      <w:r w:rsidR="006E05C1">
        <w:rPr>
          <w:rStyle w:val="FootnoteReference"/>
          <w:b/>
          <w:i/>
        </w:rPr>
        <w:footnoteReference w:customMarkFollows="1" w:id="16"/>
        <w:t>++</w:t>
      </w:r>
      <w:r w:rsidRPr="002D6F62">
        <w:rPr>
          <w:b/>
          <w:i/>
        </w:rPr>
        <w:t xml:space="preserve"> 2. panta 1. punktā;</w:t>
      </w:r>
    </w:p>
    <w:p w:rsidR="00F00C2C" w:rsidRPr="002D6F62" w:rsidRDefault="00F00C2C" w:rsidP="00F00C2C">
      <w:pPr>
        <w:widowControl/>
        <w:spacing w:before="120" w:after="120"/>
        <w:ind w:left="1985" w:hanging="567"/>
        <w:jc w:val="both"/>
        <w:rPr>
          <w:rFonts w:eastAsia="Calibri"/>
          <w:b/>
          <w:i/>
          <w:szCs w:val="22"/>
        </w:rPr>
      </w:pPr>
      <w:r w:rsidRPr="002D6F62">
        <w:rPr>
          <w:b/>
          <w:i/>
        </w:rPr>
        <w:t>g)</w:t>
      </w:r>
      <w:r w:rsidRPr="002D6F62">
        <w:rPr>
          <w:b/>
          <w:i/>
        </w:rPr>
        <w:tab/>
        <w:t xml:space="preserve"> VUM, kā definēts Regulas (ES) Nr. 1024/2013 2. panta 9. punktā;</w:t>
      </w:r>
    </w:p>
    <w:p w:rsidR="00F00C2C" w:rsidRPr="002D6F62" w:rsidRDefault="00F00C2C" w:rsidP="00F00C2C">
      <w:pPr>
        <w:widowControl/>
        <w:spacing w:before="120" w:after="120"/>
        <w:ind w:left="1985" w:hanging="567"/>
        <w:jc w:val="both"/>
        <w:rPr>
          <w:rFonts w:eastAsia="Calibri"/>
          <w:b/>
          <w:i/>
          <w:szCs w:val="22"/>
        </w:rPr>
      </w:pPr>
      <w:r w:rsidRPr="002D6F62">
        <w:rPr>
          <w:b/>
          <w:i/>
        </w:rPr>
        <w:t xml:space="preserve">h) </w:t>
      </w:r>
      <w:r w:rsidRPr="002D6F62">
        <w:rPr>
          <w:b/>
          <w:i/>
        </w:rPr>
        <w:tab/>
        <w:t>VNV;</w:t>
      </w:r>
    </w:p>
    <w:p w:rsidR="00F00C2C" w:rsidRPr="002D6F62" w:rsidRDefault="00F00C2C" w:rsidP="00F00C2C">
      <w:pPr>
        <w:widowControl/>
        <w:spacing w:before="120" w:after="120"/>
        <w:ind w:left="1985" w:hanging="567"/>
        <w:jc w:val="both"/>
        <w:rPr>
          <w:rFonts w:eastAsia="Calibri"/>
          <w:szCs w:val="22"/>
        </w:rPr>
      </w:pPr>
      <w:r w:rsidRPr="002D6F62">
        <w:rPr>
          <w:b/>
          <w:i/>
        </w:rPr>
        <w:t xml:space="preserve">i) </w:t>
      </w:r>
      <w:r w:rsidRPr="002D6F62">
        <w:rPr>
          <w:b/>
          <w:i/>
        </w:rPr>
        <w:tab/>
        <w:t xml:space="preserve">valsts noregulējuma iestādes, kā definēts Regulas (ES) Nr. 806/2014 3. panta 3. punktā. </w:t>
      </w:r>
    </w:p>
    <w:p w:rsidR="00F00C2C" w:rsidRPr="002D6F62" w:rsidRDefault="00F00C2C" w:rsidP="00F00C2C">
      <w:pPr>
        <w:widowControl/>
        <w:spacing w:before="120" w:after="120"/>
        <w:ind w:left="1418" w:hanging="567"/>
        <w:jc w:val="both"/>
        <w:rPr>
          <w:rFonts w:eastAsia="Calibri"/>
          <w:szCs w:val="22"/>
        </w:rPr>
      </w:pPr>
      <w:r w:rsidRPr="002D6F62">
        <w:t xml:space="preserve">9. </w:t>
      </w:r>
      <w:r w:rsidRPr="002D6F62">
        <w:rPr>
          <w:b/>
          <w:i/>
        </w:rPr>
        <w:tab/>
      </w:r>
      <w:r w:rsidRPr="002D6F62">
        <w:t xml:space="preserve">Šā panta 8. punktā minētajā informācijas apmaiņas pieprasījumā pienācīgi norāda juridisko pamatu saskaņā ar Savienības tiesību aktiem, kas pieprasījuma iesniedzējai iestādei ļauj iegūt informāciju no finanšu iestādēm vai citas minētajā punktā norādītās iestādes. Pieprasījuma iesniedzējai iestādei un ESRK ir pienākums glabāt dienesta noslēpumu un ievērot 8. pantā un nozaru tiesību aktos paredzētos datu aizsardzības noteikumus, kurus piemēro datu kopīgošanai starp finanšu iestādi vai citu 8. punktā minēto iestādi un pieprasījuma iesniedzēju iestādi, kā arī datu kopīgošanai starp citu attiecīgajā punktā minēto iestādi un ESRK. ESRK bez liekas kavēšanās informē katru attiecīgo iestādi, kurai uzticēts pienākums, par šādu informācijas apmaiņu, </w:t>
      </w:r>
      <w:r w:rsidRPr="002D6F62">
        <w:rPr>
          <w:b/>
          <w:bCs/>
          <w:i/>
          <w:iCs/>
        </w:rPr>
        <w:t xml:space="preserve">ja vien informācija nav </w:t>
      </w:r>
      <w:proofErr w:type="spellStart"/>
      <w:r w:rsidRPr="002D6F62">
        <w:rPr>
          <w:b/>
          <w:bCs/>
          <w:i/>
          <w:iCs/>
        </w:rPr>
        <w:t>anonimizēta</w:t>
      </w:r>
      <w:proofErr w:type="spellEnd"/>
      <w:r w:rsidRPr="002D6F62">
        <w:rPr>
          <w:b/>
          <w:bCs/>
          <w:i/>
          <w:iCs/>
        </w:rPr>
        <w:t>, izmainīta, apkopota vai apstrādāta, izmantojot kādu citu informācijas izpaušanas kontroles metodi, lai aizsargātu konfidenciālu informāciju</w:t>
      </w:r>
      <w:r w:rsidRPr="002D6F62">
        <w:t>. </w:t>
      </w:r>
    </w:p>
    <w:p w:rsidR="00F00C2C" w:rsidRPr="002D6F62" w:rsidRDefault="00F00C2C" w:rsidP="00F00C2C">
      <w:pPr>
        <w:ind w:left="1418" w:hanging="567"/>
        <w:jc w:val="both"/>
        <w:rPr>
          <w:noProof/>
        </w:rPr>
      </w:pPr>
      <w:r w:rsidRPr="002D6F62">
        <w:t xml:space="preserve">10. </w:t>
      </w:r>
      <w:r w:rsidRPr="002D6F62">
        <w:rPr>
          <w:b/>
          <w:i/>
        </w:rPr>
        <w:tab/>
      </w:r>
      <w:r w:rsidRPr="002D6F62">
        <w:t>Šā panta 8.</w:t>
      </w:r>
      <w:r w:rsidRPr="002D6F62">
        <w:rPr>
          <w:b/>
          <w:bCs/>
          <w:i/>
          <w:iCs/>
        </w:rPr>
        <w:t>, 8.a</w:t>
      </w:r>
      <w:r w:rsidRPr="002D6F62">
        <w:t xml:space="preserve"> un 9. punktu piemēro arī informācijai, kuru ESRK ir saņēmusi </w:t>
      </w:r>
      <w:r w:rsidRPr="002D6F62">
        <w:rPr>
          <w:b/>
          <w:bCs/>
          <w:i/>
          <w:iCs/>
        </w:rPr>
        <w:t>no citām iestādēm</w:t>
      </w:r>
      <w:r w:rsidRPr="002D6F62">
        <w:t xml:space="preserve"> un kurai ESRK pēc tam ir veikusi kvalitātes pārbaudes vai kuru ESRK ir citādi apstrādājusi. </w:t>
      </w:r>
    </w:p>
    <w:p w:rsidR="00F00C2C" w:rsidRPr="002D6F62" w:rsidRDefault="00F00C2C" w:rsidP="00F00C2C">
      <w:pPr>
        <w:widowControl/>
        <w:spacing w:before="120" w:after="120"/>
        <w:ind w:left="1418" w:hanging="567"/>
        <w:jc w:val="both"/>
        <w:rPr>
          <w:rFonts w:eastAsia="Calibri"/>
          <w:szCs w:val="22"/>
        </w:rPr>
      </w:pPr>
      <w:r w:rsidRPr="002D6F62">
        <w:t xml:space="preserve">11. </w:t>
      </w:r>
      <w:r w:rsidRPr="002D6F62">
        <w:rPr>
          <w:b/>
          <w:i/>
        </w:rPr>
        <w:tab/>
      </w:r>
      <w:r w:rsidRPr="002D6F62">
        <w:t xml:space="preserve">Lai kopīgotu 8., </w:t>
      </w:r>
      <w:r w:rsidRPr="002D6F62">
        <w:rPr>
          <w:b/>
          <w:bCs/>
          <w:i/>
          <w:iCs/>
        </w:rPr>
        <w:t>8.a,</w:t>
      </w:r>
      <w:r w:rsidRPr="002D6F62">
        <w:t xml:space="preserve"> 9. un 10. punktā minēto informāciju, </w:t>
      </w:r>
      <w:r w:rsidRPr="002D6F62">
        <w:rPr>
          <w:b/>
          <w:bCs/>
          <w:i/>
          <w:iCs/>
        </w:rPr>
        <w:t>ESRK un citas</w:t>
      </w:r>
      <w:r w:rsidRPr="002D6F62">
        <w:t xml:space="preserve"> iestādes noslēdz saprašanās memorandus, kuros precizē informācijas apmaiņas kārtību. Tās arī </w:t>
      </w:r>
      <w:r w:rsidRPr="002D6F62">
        <w:rPr>
          <w:b/>
          <w:bCs/>
          <w:i/>
          <w:iCs/>
        </w:rPr>
        <w:t>nosaka</w:t>
      </w:r>
      <w:r w:rsidRPr="002D6F62">
        <w:t xml:space="preserve"> kārtību, kādā tiek kopīgoti resursi šādu kopīgotu datu vākšanai un apstrādei</w:t>
      </w:r>
      <w:r w:rsidRPr="002D6F62">
        <w:rPr>
          <w:b/>
          <w:bCs/>
          <w:i/>
          <w:iCs/>
        </w:rPr>
        <w:t>, ja tie atbilst piemērojamiem noteikumiem par datu aizsardzību, intelektuālo īpašumu un dienesta noslēpumu</w:t>
      </w:r>
      <w:r w:rsidRPr="002D6F62">
        <w:t>.</w:t>
      </w:r>
      <w:r w:rsidRPr="002D6F62">
        <w:rPr>
          <w:b/>
          <w:i/>
        </w:rPr>
        <w:t xml:space="preserve"> Saprašanās memorandi, kuri noslēgti, visām attiecīgajām iestādēm vienojoties, atbilst </w:t>
      </w:r>
      <w:r w:rsidRPr="002D6F62">
        <w:rPr>
          <w:b/>
          <w:i/>
        </w:rPr>
        <w:lastRenderedPageBreak/>
        <w:t>vienkāršam un standartizētam formātam, kas vajadzības gadījumā pielāgots kādiem īpašiem darbības nosacījumiem, kurus piemēro konkrētām iestādēm.</w:t>
      </w:r>
      <w:r w:rsidRPr="002D6F62">
        <w:t> </w:t>
      </w:r>
    </w:p>
    <w:p w:rsidR="00F00C2C" w:rsidRPr="002D6F62" w:rsidRDefault="00F00C2C" w:rsidP="00F00C2C">
      <w:pPr>
        <w:widowControl/>
        <w:spacing w:before="120" w:after="120"/>
        <w:ind w:left="1418" w:hanging="567"/>
        <w:jc w:val="both"/>
        <w:rPr>
          <w:rFonts w:eastAsia="Calibri"/>
          <w:szCs w:val="22"/>
        </w:rPr>
      </w:pPr>
      <w:r w:rsidRPr="002D6F62">
        <w:t xml:space="preserve">12. </w:t>
      </w:r>
      <w:r w:rsidRPr="002D6F62">
        <w:rPr>
          <w:b/>
          <w:i/>
        </w:rPr>
        <w:tab/>
      </w:r>
      <w:r w:rsidRPr="002D6F62">
        <w:t>Šā panta 8.</w:t>
      </w:r>
      <w:r w:rsidRPr="002D6F62">
        <w:rPr>
          <w:b/>
          <w:bCs/>
          <w:i/>
          <w:iCs/>
        </w:rPr>
        <w:t>, 9. un</w:t>
      </w:r>
      <w:r w:rsidRPr="002D6F62">
        <w:t xml:space="preserve"> 10. punkts neskar intelektuālā īpašuma tiesību aizsardzību un nedz liedz, nedz arī ierobežo citos Savienības tiesību aktu noteikumos paredzētu informācijas apmaiņu starp </w:t>
      </w:r>
      <w:r w:rsidRPr="002D6F62">
        <w:rPr>
          <w:b/>
          <w:bCs/>
          <w:i/>
          <w:iCs/>
        </w:rPr>
        <w:t>ESRK un citām</w:t>
      </w:r>
      <w:r w:rsidRPr="002D6F62">
        <w:t xml:space="preserve"> iestādēm. Ja 8.</w:t>
      </w:r>
      <w:r w:rsidRPr="002D6F62">
        <w:rPr>
          <w:b/>
          <w:bCs/>
          <w:i/>
          <w:iCs/>
        </w:rPr>
        <w:t>, 9. vai</w:t>
      </w:r>
      <w:r w:rsidRPr="002D6F62">
        <w:t xml:space="preserve"> 10. punkts ir pretrunā citu Savienības tiesību aktu noteikumiem, kas reglamentē informācijas apmaiņu starp</w:t>
      </w:r>
      <w:r w:rsidRPr="002D6F62">
        <w:rPr>
          <w:b/>
          <w:i/>
        </w:rPr>
        <w:t xml:space="preserve"> </w:t>
      </w:r>
      <w:r w:rsidRPr="002D6F62">
        <w:t>▌</w:t>
      </w:r>
      <w:r w:rsidRPr="002D6F62">
        <w:rPr>
          <w:b/>
          <w:bCs/>
          <w:i/>
          <w:iCs/>
        </w:rPr>
        <w:t>citām</w:t>
      </w:r>
      <w:r w:rsidRPr="002D6F62">
        <w:t xml:space="preserve"> iestādēm, noteicošie ir šādu citu Savienības tiesību aktu noteikumi. </w:t>
      </w:r>
    </w:p>
    <w:p w:rsidR="00F00C2C" w:rsidRPr="002D6F62" w:rsidRDefault="00F00C2C" w:rsidP="00F00C2C">
      <w:pPr>
        <w:widowControl/>
        <w:spacing w:before="120" w:after="120"/>
        <w:ind w:left="1418" w:hanging="567"/>
        <w:jc w:val="both"/>
        <w:rPr>
          <w:rFonts w:eastAsia="Calibri"/>
          <w:szCs w:val="22"/>
        </w:rPr>
      </w:pPr>
      <w:r w:rsidRPr="002D6F62">
        <w:t xml:space="preserve">13. </w:t>
      </w:r>
      <w:r w:rsidRPr="002D6F62">
        <w:rPr>
          <w:b/>
          <w:i/>
        </w:rPr>
        <w:tab/>
      </w:r>
      <w:r w:rsidRPr="002D6F62">
        <w:t xml:space="preserve">Neskarot citus Savienības tiesību aktos noteiktos pienākumus attiecībā uz informācijas apmaiņu, ESRK pēc pamatota pieprasījuma un izskatot katru gadījumu atsevišķi, </w:t>
      </w:r>
      <w:r w:rsidRPr="002D6F62">
        <w:rPr>
          <w:b/>
          <w:bCs/>
          <w:i/>
          <w:iCs/>
        </w:rPr>
        <w:t>var sniegt</w:t>
      </w:r>
      <w:r w:rsidRPr="002D6F62">
        <w:t xml:space="preserve"> Komisijai ▌ informāciju, ko citas iestādes tai ir sniegušas saskaņā ar Savienības tiesību aktos noteiktajiem pienākumiem,</w:t>
      </w:r>
      <w:r w:rsidRPr="002D6F62">
        <w:rPr>
          <w:b/>
          <w:i/>
        </w:rPr>
        <w:t xml:space="preserve"> </w:t>
      </w:r>
      <w:r w:rsidRPr="002D6F62">
        <w:t xml:space="preserve">▌ veidā, kas neļauj identificēt atsevišķas struktūras un nesatur </w:t>
      </w:r>
      <w:proofErr w:type="spellStart"/>
      <w:r w:rsidRPr="002D6F62">
        <w:t>persondatus</w:t>
      </w:r>
      <w:proofErr w:type="spellEnd"/>
      <w:r w:rsidRPr="002D6F62">
        <w:t xml:space="preserve">. </w:t>
      </w:r>
      <w:r w:rsidRPr="002D6F62">
        <w:rPr>
          <w:b/>
          <w:i/>
        </w:rPr>
        <w:t>Iestādes, kas iesniegušas šādu informāciju, tiek pienācīgi informētas par notikušo informācijas apmaiņu.</w:t>
      </w:r>
    </w:p>
    <w:p w:rsidR="00F00C2C" w:rsidRPr="002D6F62" w:rsidRDefault="00F00C2C" w:rsidP="00F00C2C">
      <w:pPr>
        <w:widowControl/>
        <w:spacing w:before="120" w:after="120"/>
        <w:ind w:left="1418" w:hanging="567"/>
        <w:jc w:val="both"/>
        <w:rPr>
          <w:rFonts w:eastAsia="Calibri"/>
          <w:szCs w:val="22"/>
        </w:rPr>
      </w:pPr>
      <w:r w:rsidRPr="002D6F62">
        <w:t xml:space="preserve">14. </w:t>
      </w:r>
      <w:r w:rsidRPr="002D6F62">
        <w:rPr>
          <w:b/>
          <w:i/>
        </w:rPr>
        <w:tab/>
      </w:r>
      <w:r w:rsidRPr="002D6F62">
        <w:t xml:space="preserve">ESRK var piešķirt piekļuvi tās pienākumu veikšanas ietvaros iegūtai informācijai, lai finanšu iestādes, pētnieki un citas struktūras, kurām ir likumīgas intereses šādu informāciju izmantot pētniecības un inovācijas nolūkos, varētu to </w:t>
      </w:r>
      <w:proofErr w:type="spellStart"/>
      <w:r w:rsidRPr="002D6F62">
        <w:t>atkalizmantot</w:t>
      </w:r>
      <w:proofErr w:type="spellEnd"/>
      <w:r w:rsidRPr="002D6F62">
        <w:t xml:space="preserve">, ar nosacījumu, ka ESRK ir nodrošinājusi visu turpmāk minēto nosacījumu ievērošanu: </w:t>
      </w:r>
    </w:p>
    <w:p w:rsidR="00F00C2C" w:rsidRPr="002D6F62" w:rsidRDefault="00F00C2C" w:rsidP="00F00C2C">
      <w:pPr>
        <w:widowControl/>
        <w:spacing w:before="120" w:after="120"/>
        <w:ind w:left="1985" w:hanging="567"/>
        <w:jc w:val="both"/>
        <w:rPr>
          <w:rFonts w:eastAsia="Calibri"/>
          <w:szCs w:val="22"/>
        </w:rPr>
      </w:pPr>
      <w:r w:rsidRPr="002D6F62">
        <w:t>a)</w:t>
      </w:r>
      <w:r w:rsidRPr="002D6F62">
        <w:rPr>
          <w:b/>
          <w:i/>
        </w:rPr>
        <w:tab/>
      </w:r>
      <w:r w:rsidRPr="002D6F62">
        <w:t xml:space="preserve"> informācija ir </w:t>
      </w:r>
      <w:proofErr w:type="spellStart"/>
      <w:r w:rsidRPr="002D6F62">
        <w:t>anonimizēta</w:t>
      </w:r>
      <w:proofErr w:type="spellEnd"/>
      <w:r w:rsidRPr="002D6F62">
        <w:t xml:space="preserve"> tādā veidā, ka datu subjekts vai finanšu iestāde nav vai vairs nav identificējama;</w:t>
      </w:r>
    </w:p>
    <w:p w:rsidR="00F00C2C" w:rsidRPr="002D6F62" w:rsidRDefault="00F00C2C" w:rsidP="00F00C2C">
      <w:pPr>
        <w:widowControl/>
        <w:spacing w:before="120" w:after="120"/>
        <w:ind w:left="1985" w:hanging="567"/>
        <w:jc w:val="both"/>
        <w:rPr>
          <w:rFonts w:eastAsia="Calibri"/>
          <w:szCs w:val="22"/>
        </w:rPr>
      </w:pPr>
      <w:r w:rsidRPr="002D6F62">
        <w:t xml:space="preserve">b) </w:t>
      </w:r>
      <w:r w:rsidRPr="002D6F62">
        <w:rPr>
          <w:b/>
          <w:i/>
        </w:rPr>
        <w:tab/>
      </w:r>
      <w:r w:rsidRPr="002D6F62">
        <w:t>konfidenciālas informācijas, tostarp komercnoslēpumu vai ar intelektuālā īpašuma tiesībām aizsargāta satura, aizsardzībai informācija ir grozīta, apkopota vai apstrādāta, izmantojot jebkuru citu izpaušanas kontroles metodi;</w:t>
      </w:r>
    </w:p>
    <w:p w:rsidR="00F00C2C" w:rsidRPr="002D6F62" w:rsidRDefault="00F00C2C" w:rsidP="00F00C2C">
      <w:pPr>
        <w:widowControl/>
        <w:spacing w:before="120" w:after="120"/>
        <w:ind w:left="1985" w:hanging="567"/>
        <w:jc w:val="both"/>
        <w:rPr>
          <w:rFonts w:eastAsia="Calibri"/>
          <w:b/>
          <w:i/>
          <w:szCs w:val="22"/>
        </w:rPr>
      </w:pPr>
      <w:r w:rsidRPr="002D6F62">
        <w:rPr>
          <w:b/>
          <w:i/>
        </w:rPr>
        <w:t>c)</w:t>
      </w:r>
      <w:r w:rsidRPr="002D6F62">
        <w:rPr>
          <w:b/>
          <w:i/>
        </w:rPr>
        <w:tab/>
      </w:r>
      <w:r w:rsidRPr="002D6F62">
        <w:rPr>
          <w:b/>
          <w:bCs/>
          <w:i/>
          <w:iCs/>
        </w:rPr>
        <w:t>puses, kurām ir piešķirta piekļuve, ir pierādījušas, ka tām ir konfidenciālas informācijas aizsardzībai nepieciešamie tehniskie līdzekļi, proti, ka to rīcībā ir rīki, kuri var nodrošināt pilnīgu privātuma un konfidencialitātes aizsardzību.</w:t>
      </w:r>
    </w:p>
    <w:p w:rsidR="00F00C2C" w:rsidRPr="002D6F62" w:rsidRDefault="00F00C2C" w:rsidP="002D6F62">
      <w:pPr>
        <w:widowControl/>
        <w:spacing w:before="120" w:after="120"/>
        <w:ind w:left="1418"/>
        <w:jc w:val="both"/>
        <w:rPr>
          <w:rFonts w:eastAsia="Calibri"/>
          <w:szCs w:val="22"/>
        </w:rPr>
      </w:pPr>
      <w:r w:rsidRPr="002D6F62">
        <w:t xml:space="preserve">Informāciju, kas saņemta no citas iestādes, var kopīgot tikai </w:t>
      </w:r>
      <w:r w:rsidRPr="002D6F62">
        <w:rPr>
          <w:b/>
          <w:bCs/>
          <w:i/>
          <w:iCs/>
        </w:rPr>
        <w:t>uz šāda pamata un</w:t>
      </w:r>
      <w:r w:rsidRPr="002D6F62">
        <w:t xml:space="preserve"> ar tās iestādes piekrišanu, kura informāciju sākotnēji ieguvusi.</w:t>
      </w:r>
    </w:p>
    <w:p w:rsidR="00F00C2C" w:rsidRPr="002D6F62" w:rsidRDefault="00F00C2C" w:rsidP="00F00C2C">
      <w:pPr>
        <w:widowControl/>
        <w:spacing w:before="120" w:after="120"/>
        <w:ind w:left="1418" w:hanging="567"/>
        <w:jc w:val="both"/>
        <w:rPr>
          <w:rFonts w:eastAsia="Calibri"/>
          <w:b/>
          <w:i/>
          <w:szCs w:val="22"/>
        </w:rPr>
      </w:pPr>
      <w:r w:rsidRPr="002D6F62">
        <w:rPr>
          <w:b/>
          <w:i/>
        </w:rPr>
        <w:t>14.a</w:t>
      </w:r>
      <w:r w:rsidRPr="002D6F62">
        <w:rPr>
          <w:b/>
          <w:i/>
        </w:rPr>
        <w:tab/>
        <w:t>ESRK līdz ... [viens gads no šīs grozošās regulas spēkā stāšanās dienas] ziņo Komisijai par visiem juridiskajiem šķēršļiem nozaru noteikumos, kas jebkādā veidā traucē ESRK kopīgot informāciju ar citām iestādēm vai struktūrām. Ziņojumā var arī norādīt nebūtiskas, novecojušas, dublējošas vai citādi nebūtiskas ziņošanas prasības.</w:t>
      </w:r>
    </w:p>
    <w:p w:rsidR="00F00C2C" w:rsidRPr="002D6F62" w:rsidRDefault="00F00C2C" w:rsidP="00F00C2C">
      <w:pPr>
        <w:widowControl/>
        <w:spacing w:before="120" w:after="120"/>
        <w:ind w:left="1418"/>
        <w:jc w:val="both"/>
        <w:rPr>
          <w:rFonts w:eastAsia="Calibri"/>
          <w:b/>
          <w:i/>
          <w:szCs w:val="22"/>
        </w:rPr>
      </w:pPr>
      <w:r w:rsidRPr="002D6F62">
        <w:rPr>
          <w:b/>
          <w:i/>
        </w:rPr>
        <w:t xml:space="preserve">Pamatojoties uz minēto ziņojumu un pienācīgi ņemot vērā nepieciešamību aizsargāt intelektuālā īpašuma tiesības, dienesta noslēpumu un datus, Komisija attiecīgā gadījumā iesniedz Eiropas Parlamentam un Padomei tiesību akta priekšlikumu, lai novērstu šādus juridiskos šķēršļus nozaru tiesību aktos nolūkā veicināt informācijas apmaiņu starp iestādēm un citām struktūrām līdz ... [divi gadi no šīs grozošās regulas spēkā stāšanās dienas]. </w:t>
      </w:r>
      <w:r w:rsidR="002D6F62" w:rsidRPr="002D6F62">
        <w:rPr>
          <w:b/>
          <w:i/>
        </w:rPr>
        <w:t>“;</w:t>
      </w:r>
    </w:p>
    <w:p w:rsidR="00F00C2C" w:rsidRPr="002D6F62" w:rsidRDefault="00F00C2C" w:rsidP="00F00C2C">
      <w:pPr>
        <w:widowControl/>
        <w:rPr>
          <w:rFonts w:eastAsia="Calibri"/>
          <w:szCs w:val="24"/>
        </w:rPr>
      </w:pPr>
      <w:r w:rsidRPr="002D6F62">
        <w:rPr>
          <w:b/>
          <w:i/>
        </w:rPr>
        <w:t>2.a</w:t>
      </w:r>
      <w:r w:rsidRPr="002D6F62">
        <w:rPr>
          <w:b/>
          <w:i/>
        </w:rPr>
        <w:tab/>
        <w:t>iekļauj šādu pantu:</w:t>
      </w:r>
      <w:r w:rsidRPr="002D6F62">
        <w:t xml:space="preserve"> </w:t>
      </w:r>
    </w:p>
    <w:p w:rsidR="00F00C2C" w:rsidRPr="002D6F62" w:rsidRDefault="00F00C2C" w:rsidP="00F00C2C">
      <w:pPr>
        <w:widowControl/>
        <w:spacing w:before="120" w:after="120"/>
        <w:rPr>
          <w:rFonts w:eastAsia="Calibri"/>
          <w:b/>
          <w:i/>
          <w:szCs w:val="22"/>
        </w:rPr>
      </w:pPr>
      <w:r w:rsidRPr="002D6F62">
        <w:rPr>
          <w:b/>
          <w:i/>
        </w:rPr>
        <w:t xml:space="preserve"> “15.a pants</w:t>
      </w:r>
    </w:p>
    <w:p w:rsidR="00F00C2C" w:rsidRPr="002D6F62" w:rsidRDefault="00F00C2C" w:rsidP="00F00C2C">
      <w:pPr>
        <w:widowControl/>
        <w:spacing w:before="120" w:after="120"/>
        <w:rPr>
          <w:rFonts w:eastAsia="Calibri"/>
          <w:b/>
          <w:i/>
          <w:szCs w:val="22"/>
        </w:rPr>
      </w:pPr>
      <w:r w:rsidRPr="002D6F62">
        <w:rPr>
          <w:b/>
          <w:i/>
        </w:rPr>
        <w:lastRenderedPageBreak/>
        <w:t>Vienotas integrētās ziņošanas sistēmas izveide</w:t>
      </w:r>
    </w:p>
    <w:p w:rsidR="00F00C2C" w:rsidRPr="002D6F62" w:rsidRDefault="00F00C2C" w:rsidP="00F00C2C">
      <w:pPr>
        <w:widowControl/>
        <w:spacing w:before="120" w:after="120"/>
        <w:ind w:left="851" w:hanging="851"/>
        <w:jc w:val="both"/>
        <w:rPr>
          <w:rFonts w:eastAsia="Calibri"/>
          <w:b/>
          <w:i/>
          <w:szCs w:val="22"/>
        </w:rPr>
      </w:pPr>
      <w:r w:rsidRPr="002D6F62">
        <w:rPr>
          <w:b/>
          <w:i/>
        </w:rPr>
        <w:t xml:space="preserve">1. </w:t>
      </w:r>
      <w:r w:rsidRPr="002D6F62">
        <w:rPr>
          <w:b/>
          <w:i/>
        </w:rPr>
        <w:tab/>
        <w:t>Līdz ... [divi gadi no šīs grozošās regulas spēkā stāšanās dienas] ESRK ciešā sadarbībā ar citām iestādēm sagatavo ziņojumu par tehniskajiem aspektiem vienotas integrētās ziņošanas sistēmas izveidei, kā arī ceļvedi, kura pamatā ir darbs pie EUI pārskatu integrēšanas savās nozarēs un kurā ietverts izmaksu un ieguvumu novērtējums. Minētā ziņojuma nolūkā vienotajā integrētajā ziņošanas sistēmā iekļauj:</w:t>
      </w:r>
    </w:p>
    <w:p w:rsidR="00F00C2C" w:rsidRPr="002D6F62" w:rsidRDefault="00F00C2C" w:rsidP="00F00C2C">
      <w:pPr>
        <w:widowControl/>
        <w:spacing w:before="120" w:after="120"/>
        <w:ind w:left="1418" w:hanging="567"/>
        <w:jc w:val="both"/>
        <w:rPr>
          <w:rFonts w:eastAsia="Calibri"/>
          <w:b/>
          <w:i/>
          <w:szCs w:val="22"/>
        </w:rPr>
      </w:pPr>
      <w:r w:rsidRPr="002D6F62">
        <w:rPr>
          <w:b/>
          <w:i/>
        </w:rPr>
        <w:t>a)</w:t>
      </w:r>
      <w:r w:rsidRPr="002D6F62">
        <w:rPr>
          <w:b/>
          <w:i/>
        </w:rPr>
        <w:tab/>
        <w:t xml:space="preserve"> vienotu datu vārdnīcu, lai nodrošinātu ziņošanas prasību un datu standartizācijas konsekvenci un skaidrību;</w:t>
      </w:r>
    </w:p>
    <w:p w:rsidR="00F00C2C" w:rsidRPr="002D6F62" w:rsidRDefault="00F00C2C" w:rsidP="00F00C2C">
      <w:pPr>
        <w:widowControl/>
        <w:spacing w:before="120" w:after="120"/>
        <w:ind w:left="1418" w:hanging="567"/>
        <w:jc w:val="both"/>
        <w:rPr>
          <w:rFonts w:eastAsia="Calibri"/>
          <w:b/>
          <w:i/>
          <w:szCs w:val="22"/>
        </w:rPr>
      </w:pPr>
      <w:r w:rsidRPr="002D6F62">
        <w:rPr>
          <w:b/>
          <w:i/>
        </w:rPr>
        <w:t>b)</w:t>
      </w:r>
      <w:r w:rsidRPr="002D6F62">
        <w:rPr>
          <w:b/>
          <w:i/>
        </w:rPr>
        <w:tab/>
        <w:t xml:space="preserve"> kopīgu ziņošanas un informācijas atklāšanas prasību repozitoriju, savākto datu aprakstu un to rīcībā esošo iestāžu kopējo repozitoriju;</w:t>
      </w:r>
    </w:p>
    <w:p w:rsidR="00F00C2C" w:rsidRPr="002D6F62" w:rsidRDefault="00F00C2C" w:rsidP="00F00C2C">
      <w:pPr>
        <w:widowControl/>
        <w:spacing w:before="120" w:after="120"/>
        <w:ind w:left="1418" w:hanging="567"/>
        <w:jc w:val="both"/>
        <w:rPr>
          <w:rFonts w:eastAsia="Calibri"/>
          <w:b/>
          <w:i/>
          <w:szCs w:val="22"/>
        </w:rPr>
      </w:pPr>
      <w:r w:rsidRPr="002D6F62">
        <w:rPr>
          <w:b/>
          <w:i/>
        </w:rPr>
        <w:t>c)</w:t>
      </w:r>
      <w:r w:rsidRPr="002D6F62">
        <w:rPr>
          <w:b/>
          <w:i/>
        </w:rPr>
        <w:tab/>
        <w:t xml:space="preserve"> centrālo datu telpu, tostarp tehnisko projektu informācijas vākšanai un apmaiņai; kā arī </w:t>
      </w:r>
    </w:p>
    <w:p w:rsidR="00F00C2C" w:rsidRPr="002D6F62" w:rsidRDefault="00F00C2C" w:rsidP="00F00C2C">
      <w:pPr>
        <w:widowControl/>
        <w:spacing w:before="120" w:after="120"/>
        <w:ind w:left="1418" w:hanging="567"/>
        <w:jc w:val="both"/>
        <w:rPr>
          <w:rFonts w:eastAsia="Calibri"/>
          <w:b/>
          <w:i/>
          <w:szCs w:val="22"/>
        </w:rPr>
      </w:pPr>
      <w:r w:rsidRPr="002D6F62">
        <w:rPr>
          <w:b/>
          <w:i/>
        </w:rPr>
        <w:t xml:space="preserve">d) </w:t>
      </w:r>
      <w:r w:rsidRPr="002D6F62">
        <w:rPr>
          <w:b/>
          <w:i/>
        </w:rPr>
        <w:tab/>
        <w:t xml:space="preserve">pastāvīgu vienoto kontaktpunktu, kurā struktūras var norādīt dubultas ziņošanas gadījumus un nevajadzīgas vai novecojušas ziņošanas vai informācijas atklāšanas prasības. </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Ziņojumam pievieno ciešā sadarbībā ar Komisiju tapušo aplēsi par kopējo finansiālo ietekmi. </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Komisija attiecīgā gadījumā iesniedz Eiropas Parlamentam un Padomei tiesību akta priekšlikumu, lai nodrošinātu finanšu resursus, cilvēkresursus un IT resursus, kas vajadzīgi vienotas integrētās ziņošanas sistēmas izveidei līdz ... [trīs gadi no šīs grozošās regulas spēkā stāšanās dienas]. </w:t>
      </w:r>
    </w:p>
    <w:p w:rsidR="00F00C2C" w:rsidRPr="002D6F62" w:rsidRDefault="00F00C2C" w:rsidP="00F00C2C">
      <w:pPr>
        <w:widowControl/>
        <w:spacing w:before="120" w:after="120"/>
        <w:ind w:left="851"/>
        <w:jc w:val="both"/>
        <w:rPr>
          <w:rFonts w:eastAsia="Calibri"/>
          <w:noProof/>
          <w:szCs w:val="22"/>
        </w:rPr>
      </w:pPr>
      <w:r w:rsidRPr="002D6F62">
        <w:rPr>
          <w:b/>
          <w:i/>
        </w:rPr>
        <w:t>ESRK kopā ar citām iestādēm līdz ... [trīs gadi no šīs grozošās regulas spēkā stāšanās dienas] izveido vienotu integrēto ziņošanas sistēmu.”</w:t>
      </w:r>
    </w:p>
    <w:p w:rsidR="00F00C2C" w:rsidRPr="002D6F62" w:rsidRDefault="00F00C2C" w:rsidP="00F00C2C">
      <w:pPr>
        <w:keepNext/>
        <w:widowControl/>
        <w:spacing w:before="360" w:after="120"/>
        <w:jc w:val="center"/>
        <w:rPr>
          <w:rFonts w:eastAsia="Calibri"/>
          <w:i/>
          <w:noProof/>
          <w:szCs w:val="22"/>
        </w:rPr>
      </w:pPr>
      <w:r w:rsidRPr="002D6F62">
        <w:rPr>
          <w:i/>
        </w:rPr>
        <w:t>2. pants</w:t>
      </w:r>
    </w:p>
    <w:p w:rsidR="00F00C2C" w:rsidRPr="002D6F62" w:rsidRDefault="00F00C2C" w:rsidP="00F00C2C">
      <w:pPr>
        <w:widowControl/>
        <w:spacing w:before="120" w:after="120"/>
        <w:jc w:val="center"/>
        <w:rPr>
          <w:rFonts w:eastAsia="Calibri"/>
          <w:noProof/>
          <w:szCs w:val="22"/>
        </w:rPr>
      </w:pPr>
      <w:r w:rsidRPr="002D6F62">
        <w:rPr>
          <w:b/>
        </w:rPr>
        <w:t>Grozījumi Regulā (ES) Nr. 1093/2010</w:t>
      </w:r>
    </w:p>
    <w:p w:rsidR="00F00C2C" w:rsidRPr="002D6F62" w:rsidRDefault="00F00C2C" w:rsidP="00F00C2C">
      <w:pPr>
        <w:widowControl/>
        <w:spacing w:before="120" w:after="120"/>
        <w:jc w:val="both"/>
        <w:rPr>
          <w:rFonts w:eastAsia="Calibri"/>
          <w:noProof/>
          <w:szCs w:val="22"/>
        </w:rPr>
      </w:pPr>
      <w:r w:rsidRPr="002D6F62">
        <w:t>Regulu (ES) Nr. 1093/2010 groza šādi: </w:t>
      </w:r>
    </w:p>
    <w:p w:rsidR="00F00C2C" w:rsidRPr="002D6F62" w:rsidRDefault="00F00C2C" w:rsidP="00F00C2C">
      <w:pPr>
        <w:widowControl/>
        <w:spacing w:before="120" w:after="120"/>
        <w:ind w:left="850" w:hanging="850"/>
        <w:jc w:val="both"/>
        <w:rPr>
          <w:rFonts w:eastAsia="Calibri"/>
          <w:b/>
          <w:i/>
          <w:szCs w:val="22"/>
        </w:rPr>
      </w:pPr>
      <w:r w:rsidRPr="002D6F62">
        <w:rPr>
          <w:b/>
          <w:i/>
        </w:rPr>
        <w:t>-1.</w:t>
      </w:r>
      <w:r w:rsidRPr="002D6F62">
        <w:rPr>
          <w:b/>
          <w:i/>
        </w:rPr>
        <w:tab/>
        <w:t>regulas 16.a panta 1. punktam pievieno šādu daļu:</w:t>
      </w:r>
    </w:p>
    <w:p w:rsidR="00F00C2C" w:rsidRPr="002D6F62" w:rsidRDefault="00F00C2C" w:rsidP="00F00C2C">
      <w:pPr>
        <w:widowControl/>
        <w:spacing w:before="120" w:after="120"/>
        <w:ind w:left="851"/>
        <w:jc w:val="both"/>
        <w:rPr>
          <w:rFonts w:eastAsia="Calibri"/>
          <w:b/>
          <w:i/>
          <w:noProof/>
          <w:szCs w:val="22"/>
        </w:rPr>
      </w:pPr>
      <w:r w:rsidRPr="002D6F62">
        <w:rPr>
          <w:b/>
          <w:i/>
        </w:rPr>
        <w:t>“Iestādes atzinumi attiecas ne tikai uz īstenotajām likumdošanas procedūrām. Iestāde savos atzinumos attiecīgā gadījumā var ierosināt grozījumus spēkā esošajos tiesību aktos, tostarp grozījumus, ar kuriem:</w:t>
      </w:r>
    </w:p>
    <w:p w:rsidR="00F00C2C" w:rsidRPr="002D6F62" w:rsidRDefault="00F00C2C" w:rsidP="00F00C2C">
      <w:pPr>
        <w:widowControl/>
        <w:spacing w:before="120" w:after="120"/>
        <w:ind w:left="1418" w:hanging="567"/>
        <w:jc w:val="both"/>
        <w:rPr>
          <w:rFonts w:eastAsia="Calibri"/>
          <w:b/>
          <w:i/>
          <w:noProof/>
          <w:szCs w:val="22"/>
        </w:rPr>
      </w:pPr>
      <w:r w:rsidRPr="002D6F62">
        <w:rPr>
          <w:b/>
          <w:i/>
        </w:rPr>
        <w:t>a)</w:t>
      </w:r>
      <w:r w:rsidRPr="002D6F62">
        <w:rPr>
          <w:b/>
          <w:i/>
        </w:rPr>
        <w:tab/>
        <w:t xml:space="preserve"> atceļ nevajadzīgas vai novecojušas ziņošanas un informācijas atklāšanas prasības Savienības tiesību aktos vai dalībvalstu transponētajos Savienības tiesību aktos;</w:t>
      </w:r>
    </w:p>
    <w:p w:rsidR="00F00C2C" w:rsidRPr="002D6F62" w:rsidRDefault="00F00C2C" w:rsidP="00F00C2C">
      <w:pPr>
        <w:widowControl/>
        <w:spacing w:before="120" w:after="120"/>
        <w:ind w:left="1418" w:hanging="567"/>
        <w:jc w:val="both"/>
        <w:rPr>
          <w:rFonts w:eastAsia="Calibri"/>
          <w:b/>
          <w:i/>
          <w:noProof/>
          <w:szCs w:val="22"/>
        </w:rPr>
      </w:pPr>
      <w:r w:rsidRPr="002D6F62">
        <w:rPr>
          <w:b/>
          <w:i/>
        </w:rPr>
        <w:t>b)</w:t>
      </w:r>
      <w:r w:rsidRPr="002D6F62">
        <w:rPr>
          <w:b/>
          <w:i/>
        </w:rPr>
        <w:tab/>
        <w:t xml:space="preserve"> nodrošina saskaņotas ziņošanas un informācijas atklāšanas prasības nozaru un starpnozaru tiesību aktos;</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c) </w:t>
      </w:r>
      <w:r w:rsidRPr="002D6F62">
        <w:rPr>
          <w:b/>
          <w:i/>
        </w:rPr>
        <w:tab/>
        <w:t xml:space="preserve">nodrošina ziņošanas un informācijas atklāšanas prasību samērīgumu ar ziņotājas struktūras veidu, lielumu un sarežģītību; </w:t>
      </w:r>
    </w:p>
    <w:p w:rsidR="00F00C2C" w:rsidRPr="002D6F62" w:rsidRDefault="00F00C2C" w:rsidP="00F00C2C">
      <w:pPr>
        <w:widowControl/>
        <w:spacing w:before="120" w:after="120"/>
        <w:ind w:left="1418" w:hanging="567"/>
        <w:jc w:val="both"/>
        <w:rPr>
          <w:rFonts w:eastAsia="Calibri"/>
          <w:b/>
          <w:bCs/>
          <w:i/>
          <w:iCs/>
          <w:szCs w:val="22"/>
        </w:rPr>
      </w:pPr>
      <w:r w:rsidRPr="002D6F62">
        <w:rPr>
          <w:b/>
          <w:i/>
        </w:rPr>
        <w:t xml:space="preserve">d) </w:t>
      </w:r>
      <w:r w:rsidRPr="002D6F62">
        <w:rPr>
          <w:b/>
          <w:i/>
        </w:rPr>
        <w:tab/>
        <w:t>nodrošina, ka ziņošanas un informācijas atklāšanas prasību ievērošana ir samērīga ar iestādes uzdevumu un mērķu izpildes pievienoto vērtību.</w:t>
      </w:r>
    </w:p>
    <w:p w:rsidR="00F00C2C" w:rsidRPr="002D6F62" w:rsidRDefault="00F00C2C" w:rsidP="00F00C2C">
      <w:pPr>
        <w:widowControl/>
        <w:spacing w:before="120" w:after="120"/>
        <w:ind w:left="850" w:firstLine="1"/>
        <w:jc w:val="both"/>
        <w:rPr>
          <w:rFonts w:eastAsia="Calibri"/>
          <w:b/>
          <w:bCs/>
          <w:i/>
          <w:iCs/>
          <w:szCs w:val="22"/>
        </w:rPr>
      </w:pPr>
      <w:r w:rsidRPr="002D6F62">
        <w:rPr>
          <w:b/>
          <w:i/>
        </w:rPr>
        <w:t xml:space="preserve">Lai sniegtu atzinumus par pirmajā daļā minētajiem spēkā esošajiem leģislatīvajiem aktiem, iestāde pēc attiecīgas apspriešanās pienācīgi ņem vērā visu attiecīgo </w:t>
      </w:r>
      <w:r w:rsidRPr="002D6F62">
        <w:rPr>
          <w:b/>
          <w:i/>
        </w:rPr>
        <w:lastRenderedPageBreak/>
        <w:t>ieinteresēto personu ieguldījumu. Pamatojoties uz minētajiem atzinumiem, Komisija attiecīgā gadījumā iesniedz Eiropas Parlamentam un Padomei tiesību akta priekšlikumu.”</w:t>
      </w:r>
      <w:r w:rsidR="002D6F62" w:rsidRPr="002D6F62">
        <w:rPr>
          <w:b/>
          <w:i/>
        </w:rPr>
        <w:t>;</w:t>
      </w:r>
    </w:p>
    <w:p w:rsidR="00F00C2C" w:rsidRPr="002D6F62" w:rsidRDefault="00F00C2C" w:rsidP="00F00C2C">
      <w:pPr>
        <w:widowControl/>
        <w:spacing w:before="120" w:after="120"/>
        <w:ind w:left="850" w:hanging="850"/>
        <w:jc w:val="both"/>
        <w:rPr>
          <w:rFonts w:eastAsia="Calibri"/>
          <w:noProof/>
          <w:szCs w:val="22"/>
        </w:rPr>
      </w:pPr>
      <w:r w:rsidRPr="002D6F62">
        <w:t>1.</w:t>
      </w:r>
      <w:r w:rsidRPr="002D6F62">
        <w:tab/>
        <w:t>regulas 29. panta 1. punkta d) apakšpunktu aizstāj ar šādu: </w:t>
      </w:r>
    </w:p>
    <w:p w:rsidR="00F00C2C" w:rsidRPr="002D6F62" w:rsidRDefault="00F00C2C" w:rsidP="00F00C2C">
      <w:pPr>
        <w:ind w:left="1418" w:hanging="567"/>
        <w:jc w:val="both"/>
        <w:rPr>
          <w:rFonts w:eastAsia="Calibri"/>
          <w:b/>
          <w:i/>
          <w:szCs w:val="22"/>
        </w:rPr>
      </w:pPr>
      <w:r w:rsidRPr="002D6F62">
        <w:t>“d)</w:t>
      </w:r>
      <w:r w:rsidRPr="002D6F62">
        <w:rPr>
          <w:b/>
          <w:i/>
        </w:rPr>
        <w:tab/>
      </w:r>
      <w:r w:rsidRPr="002D6F62">
        <w:t>pārskata Komisijas pieņemto attiecīgo regulatīvo un īstenošanas tehnisko standartu un iestādes sniegto pamatnostādņu un ieteikumu piemērošanu un vajadzības gadījumā ierosina grozījumus</w:t>
      </w:r>
      <w:r w:rsidRPr="002D6F62">
        <w:rPr>
          <w:b/>
          <w:bCs/>
          <w:i/>
          <w:iCs/>
        </w:rPr>
        <w:t>, ar kuriem nemainīgi saglabā datu lietojamību un kvalitāti, nolūkā:</w:t>
      </w:r>
    </w:p>
    <w:p w:rsidR="00F00C2C" w:rsidRPr="002D6F62" w:rsidRDefault="00F00C2C" w:rsidP="00F00C2C">
      <w:pPr>
        <w:widowControl/>
        <w:spacing w:before="120" w:after="120"/>
        <w:ind w:left="1985" w:hanging="567"/>
        <w:jc w:val="both"/>
        <w:rPr>
          <w:rFonts w:eastAsia="Calibri"/>
          <w:b/>
          <w:i/>
          <w:szCs w:val="22"/>
        </w:rPr>
      </w:pPr>
      <w:r w:rsidRPr="002D6F62">
        <w:rPr>
          <w:b/>
          <w:bCs/>
          <w:i/>
          <w:iCs/>
        </w:rPr>
        <w:t>–</w:t>
      </w:r>
      <w:r w:rsidRPr="002D6F62">
        <w:t xml:space="preserve">atcelt nevajadzīgas vai novecojušas ziņošanas </w:t>
      </w:r>
      <w:r w:rsidRPr="002D6F62">
        <w:rPr>
          <w:b/>
          <w:bCs/>
          <w:i/>
          <w:iCs/>
        </w:rPr>
        <w:t>un informācijas atklāšanas</w:t>
      </w:r>
      <w:r w:rsidRPr="002D6F62">
        <w:t xml:space="preserve"> prasības;</w:t>
      </w:r>
    </w:p>
    <w:p w:rsidR="00F00C2C" w:rsidRPr="002D6F62" w:rsidRDefault="00F00C2C" w:rsidP="00F00C2C">
      <w:pPr>
        <w:widowControl/>
        <w:spacing w:before="120" w:after="120"/>
        <w:ind w:left="1985" w:hanging="567"/>
        <w:jc w:val="both"/>
        <w:rPr>
          <w:rFonts w:eastAsia="Calibri"/>
          <w:b/>
          <w:i/>
          <w:noProof/>
          <w:szCs w:val="22"/>
        </w:rPr>
      </w:pPr>
      <w:r w:rsidRPr="002D6F62">
        <w:rPr>
          <w:b/>
          <w:bCs/>
          <w:i/>
          <w:iCs/>
        </w:rPr>
        <w:t>–</w:t>
      </w:r>
      <w:r w:rsidRPr="002D6F62">
        <w:rPr>
          <w:b/>
          <w:i/>
        </w:rPr>
        <w:t xml:space="preserve"> nodrošināt samērīgas un standartizētas ziņošanas un informācijas atklāšanas prasības;</w:t>
      </w:r>
    </w:p>
    <w:p w:rsidR="00F00C2C" w:rsidRPr="002D6F62" w:rsidRDefault="00F00C2C" w:rsidP="00F00C2C">
      <w:pPr>
        <w:widowControl/>
        <w:spacing w:before="120" w:after="120"/>
        <w:ind w:left="1985" w:hanging="567"/>
        <w:jc w:val="both"/>
        <w:rPr>
          <w:rFonts w:eastAsia="Calibri"/>
          <w:b/>
          <w:i/>
          <w:szCs w:val="22"/>
        </w:rPr>
      </w:pPr>
      <w:r w:rsidRPr="002D6F62">
        <w:rPr>
          <w:b/>
          <w:bCs/>
          <w:i/>
          <w:iCs/>
        </w:rPr>
        <w:t>–</w:t>
      </w:r>
      <w:r w:rsidRPr="002D6F62">
        <w:t>līdz minimumam samazināt izmaksas;</w:t>
      </w:r>
    </w:p>
    <w:p w:rsidR="00F00C2C" w:rsidRPr="002D6F62" w:rsidRDefault="00F00C2C" w:rsidP="00F00C2C">
      <w:pPr>
        <w:widowControl/>
        <w:spacing w:before="120" w:after="120"/>
        <w:ind w:left="1985" w:hanging="567"/>
        <w:jc w:val="both"/>
        <w:rPr>
          <w:rFonts w:eastAsia="Calibri"/>
          <w:b/>
          <w:i/>
          <w:szCs w:val="22"/>
        </w:rPr>
      </w:pPr>
      <w:r w:rsidRPr="002D6F62">
        <w:rPr>
          <w:b/>
          <w:bCs/>
          <w:i/>
          <w:iCs/>
        </w:rPr>
        <w:t>–</w:t>
      </w:r>
      <w:r w:rsidRPr="002D6F62">
        <w:rPr>
          <w:b/>
          <w:i/>
        </w:rPr>
        <w:t xml:space="preserve"> novērst tiesību aktu nepilnības;”</w:t>
      </w:r>
      <w:r w:rsidR="002D6F62" w:rsidRPr="002D6F62">
        <w:rPr>
          <w:b/>
          <w:i/>
        </w:rPr>
        <w:t>;</w:t>
      </w:r>
    </w:p>
    <w:p w:rsidR="00F00C2C" w:rsidRPr="002D6F62" w:rsidRDefault="00F00C2C" w:rsidP="00F00C2C">
      <w:pPr>
        <w:widowControl/>
        <w:spacing w:before="120" w:after="120"/>
        <w:ind w:left="851" w:hanging="851"/>
        <w:jc w:val="both"/>
        <w:rPr>
          <w:rFonts w:eastAsia="Calibri"/>
          <w:noProof/>
          <w:szCs w:val="22"/>
        </w:rPr>
      </w:pPr>
      <w:r w:rsidRPr="002D6F62">
        <w:t>2.</w:t>
      </w:r>
      <w:r w:rsidRPr="002D6F62">
        <w:tab/>
        <w:t>regulas 30. panta 3. punktā pievieno šādu e) apakšpunktu: </w:t>
      </w:r>
    </w:p>
    <w:p w:rsidR="00F00C2C" w:rsidRPr="002D6F62" w:rsidRDefault="00F00C2C" w:rsidP="00F00C2C">
      <w:pPr>
        <w:ind w:left="1418" w:hanging="567"/>
        <w:jc w:val="both"/>
        <w:rPr>
          <w:rFonts w:eastAsia="Calibri"/>
          <w:noProof/>
          <w:szCs w:val="22"/>
        </w:rPr>
      </w:pPr>
      <w:r w:rsidRPr="002D6F62">
        <w:t xml:space="preserve">“e) valstu ziņošanas </w:t>
      </w:r>
      <w:r w:rsidRPr="002D6F62">
        <w:rPr>
          <w:b/>
          <w:bCs/>
          <w:i/>
          <w:iCs/>
        </w:rPr>
        <w:t>un informācijas atklāšanas</w:t>
      </w:r>
      <w:r w:rsidRPr="002D6F62">
        <w:t xml:space="preserve"> prasību efektivitāte un šādu prasību konverģences pakāpe ar Savienības tiesību aktos noteiktajām prasībām, </w:t>
      </w:r>
      <w:r w:rsidRPr="002D6F62">
        <w:rPr>
          <w:b/>
          <w:bCs/>
          <w:i/>
          <w:iCs/>
        </w:rPr>
        <w:t xml:space="preserve">kā arī to piemērotība minētajos aktos noteikto standartu ievērošanai, </w:t>
      </w:r>
      <w:proofErr w:type="spellStart"/>
      <w:r w:rsidRPr="002D6F62">
        <w:rPr>
          <w:b/>
          <w:bCs/>
          <w:i/>
          <w:iCs/>
        </w:rPr>
        <w:t>izvērtējumā</w:t>
      </w:r>
      <w:proofErr w:type="spellEnd"/>
      <w:r w:rsidRPr="002D6F62">
        <w:rPr>
          <w:b/>
          <w:bCs/>
          <w:i/>
          <w:iCs/>
        </w:rPr>
        <w:t xml:space="preserve"> ņemot vērā dalībvalstu finanšu jurisdikciju specifiskās īpatnības</w:t>
      </w:r>
      <w:r w:rsidRPr="002D6F62">
        <w:t>.”; </w:t>
      </w:r>
    </w:p>
    <w:p w:rsidR="00F00C2C" w:rsidRPr="002D6F62" w:rsidRDefault="00F00C2C" w:rsidP="00F00C2C">
      <w:pPr>
        <w:widowControl/>
        <w:spacing w:before="120" w:after="120"/>
        <w:ind w:left="851" w:hanging="851"/>
        <w:jc w:val="both"/>
        <w:rPr>
          <w:rFonts w:eastAsia="Calibri"/>
          <w:noProof/>
          <w:szCs w:val="22"/>
        </w:rPr>
      </w:pPr>
      <w:r w:rsidRPr="002D6F62">
        <w:t>3.</w:t>
      </w:r>
      <w:r w:rsidRPr="002D6F62">
        <w:tab/>
        <w:t>regulas 35. panta 4. punktu aizstāj ar šādu: </w:t>
      </w:r>
    </w:p>
    <w:p w:rsidR="00F00C2C" w:rsidRPr="002D6F62" w:rsidRDefault="00F00C2C" w:rsidP="00F00C2C">
      <w:pPr>
        <w:ind w:left="1418" w:hanging="567"/>
        <w:jc w:val="both"/>
        <w:rPr>
          <w:rFonts w:eastAsia="Calibri"/>
          <w:noProof/>
          <w:szCs w:val="22"/>
        </w:rPr>
      </w:pPr>
      <w:r w:rsidRPr="002D6F62">
        <w:t>“4.</w:t>
      </w:r>
      <w:r w:rsidRPr="002D6F62">
        <w:tab/>
        <w:t xml:space="preserve">Pirms informācijas pieprasīšanas saskaņā ar šo pantu un lai </w:t>
      </w:r>
      <w:r w:rsidRPr="002D6F62">
        <w:rPr>
          <w:b/>
          <w:bCs/>
          <w:i/>
          <w:iCs/>
        </w:rPr>
        <w:t>nodrošinātu, ka</w:t>
      </w:r>
      <w:r w:rsidRPr="002D6F62">
        <w:t xml:space="preserve"> ziņošanas </w:t>
      </w:r>
      <w:r w:rsidRPr="002D6F62">
        <w:rPr>
          <w:b/>
          <w:bCs/>
          <w:i/>
          <w:iCs/>
        </w:rPr>
        <w:t>un informācijas atklāšanas</w:t>
      </w:r>
      <w:r w:rsidRPr="002D6F62">
        <w:t xml:space="preserve"> </w:t>
      </w:r>
      <w:r w:rsidRPr="002D6F62">
        <w:rPr>
          <w:b/>
          <w:bCs/>
          <w:i/>
          <w:iCs/>
        </w:rPr>
        <w:t>pienākumi nedublējas</w:t>
      </w:r>
      <w:r w:rsidRPr="002D6F62">
        <w:t xml:space="preserve">, iestāde ņem vērā 35.a panta </w:t>
      </w:r>
      <w:r w:rsidRPr="002D6F62">
        <w:rPr>
          <w:b/>
          <w:bCs/>
          <w:i/>
          <w:iCs/>
        </w:rPr>
        <w:t>1.b</w:t>
      </w:r>
      <w:r w:rsidRPr="002D6F62">
        <w:t> punktā minēto citu iestāžu pieprasīto informāciju un visu attiecīgo esošo statistiku, ko sagatavojusi un izplatījusi Eiropas Statistikas sistēma un Eiropas Centrālo banku sistēma.”; </w:t>
      </w:r>
    </w:p>
    <w:p w:rsidR="00F00C2C" w:rsidRPr="002D6F62" w:rsidRDefault="00F00C2C" w:rsidP="00F00C2C">
      <w:pPr>
        <w:widowControl/>
        <w:tabs>
          <w:tab w:val="left" w:pos="851"/>
        </w:tabs>
        <w:spacing w:before="120" w:after="120"/>
        <w:jc w:val="both"/>
        <w:rPr>
          <w:rFonts w:eastAsia="Calibri"/>
          <w:noProof/>
          <w:szCs w:val="22"/>
        </w:rPr>
      </w:pPr>
      <w:r w:rsidRPr="002D6F62">
        <w:t>4.</w:t>
      </w:r>
      <w:r w:rsidRPr="002D6F62">
        <w:tab/>
        <w:t>regulā iekļauj šādu 35.a pantu: </w:t>
      </w:r>
    </w:p>
    <w:p w:rsidR="00F00C2C" w:rsidRPr="002D6F62" w:rsidRDefault="00F00C2C" w:rsidP="00F00C2C">
      <w:pPr>
        <w:widowControl/>
        <w:spacing w:before="120" w:after="120"/>
        <w:jc w:val="both"/>
        <w:rPr>
          <w:rFonts w:eastAsia="Calibri"/>
          <w:noProof/>
          <w:szCs w:val="22"/>
          <w:lang w:eastAsia="en-US"/>
        </w:rPr>
      </w:pPr>
    </w:p>
    <w:p w:rsidR="00F00C2C" w:rsidRPr="002D6F62" w:rsidRDefault="00F00C2C" w:rsidP="00F00C2C">
      <w:pPr>
        <w:widowControl/>
        <w:spacing w:before="120" w:after="120"/>
        <w:jc w:val="center"/>
        <w:rPr>
          <w:rFonts w:eastAsia="Calibri"/>
          <w:noProof/>
          <w:szCs w:val="22"/>
        </w:rPr>
      </w:pPr>
      <w:r w:rsidRPr="002D6F62">
        <w:t>“35.a pants</w:t>
      </w:r>
    </w:p>
    <w:p w:rsidR="00F00C2C" w:rsidRPr="002D6F62" w:rsidRDefault="00F00C2C" w:rsidP="00F00C2C">
      <w:pPr>
        <w:widowControl/>
        <w:spacing w:before="120" w:after="120"/>
        <w:jc w:val="center"/>
        <w:rPr>
          <w:rFonts w:eastAsia="Calibri"/>
          <w:noProof/>
          <w:szCs w:val="22"/>
        </w:rPr>
      </w:pPr>
      <w:r w:rsidRPr="002D6F62">
        <w:rPr>
          <w:b/>
        </w:rPr>
        <w:t>Informācijas apmaiņa starp iestādēm un ar citām struktūrām</w:t>
      </w:r>
    </w:p>
    <w:p w:rsidR="00F00C2C" w:rsidRPr="002D6F62" w:rsidRDefault="00F00C2C" w:rsidP="00F00C2C">
      <w:pPr>
        <w:widowControl/>
        <w:spacing w:before="120" w:after="120"/>
        <w:ind w:left="851" w:hanging="851"/>
        <w:jc w:val="both"/>
        <w:rPr>
          <w:rFonts w:eastAsia="Calibri"/>
          <w:noProof/>
          <w:szCs w:val="22"/>
        </w:rPr>
      </w:pPr>
      <w:r w:rsidRPr="002D6F62">
        <w:t xml:space="preserve">1. </w:t>
      </w:r>
      <w:r w:rsidRPr="002D6F62">
        <w:rPr>
          <w:b/>
          <w:i/>
        </w:rPr>
        <w:tab/>
      </w:r>
      <w:r w:rsidRPr="002D6F62">
        <w:t>Iestāde un kompetentās iestādes katrā atsevišķā gadījumā vai regulāri kopīgo ar citām iestādēm informāciju, ko tās ieguvušas no finanšu iestādēm vai citām kompetentajām iestādēm</w:t>
      </w:r>
      <w:r w:rsidRPr="002D6F62">
        <w:rPr>
          <w:b/>
          <w:bCs/>
          <w:i/>
          <w:iCs/>
        </w:rPr>
        <w:t>, ja informācijas pieprasītājai iestādei saskaņā ar tās misiju, mērķiem, uzdevumiem un pilnvarām vai attiecīgajiem Savienības tiesību aktiem ir tiesības šādu informāciju saņemt</w:t>
      </w:r>
      <w:r w:rsidRPr="002D6F62">
        <w:t>.</w:t>
      </w:r>
      <w:r w:rsidRPr="002D6F62">
        <w:rPr>
          <w:b/>
          <w:i/>
        </w:rPr>
        <w:t xml:space="preserve"> </w:t>
      </w:r>
    </w:p>
    <w:p w:rsidR="00F00C2C" w:rsidRPr="002D6F62" w:rsidRDefault="00F00C2C" w:rsidP="00F00C2C">
      <w:pPr>
        <w:widowControl/>
        <w:spacing w:before="120" w:after="120"/>
        <w:ind w:left="851" w:hanging="851"/>
        <w:jc w:val="both"/>
        <w:rPr>
          <w:rFonts w:eastAsia="Calibri"/>
          <w:noProof/>
          <w:szCs w:val="22"/>
        </w:rPr>
      </w:pPr>
      <w:r w:rsidRPr="002D6F62">
        <w:t xml:space="preserve">2. </w:t>
      </w:r>
      <w:r w:rsidRPr="002D6F62">
        <w:rPr>
          <w:b/>
          <w:i/>
        </w:rPr>
        <w:tab/>
      </w:r>
      <w:r w:rsidRPr="002D6F62">
        <w:t xml:space="preserve">Informācijas apmaiņas pieprasījumā būtu pienācīgi norāda juridiskais pamats saskaņā ar Savienības tiesību aktiem, kas pieprasījuma iesniedzējai iestādei ļauj iegūt informāciju no finanšu iestādēm vai citām kompetentajām iestādēm. Pieprasījuma iesniedzējai iestādei un kopīgotājai iestādei ir pienākums glabāt dienesta noslēpumu un ievērot 70. un 71. pantā un nozaru tiesību aktos paredzēto datu aizsardzību, kuru piemēro datu kopīgošanai starp finanšu iestādi un pieprasījuma iesniedzēju iestādi, kā arī datu kopīgošanai starp finanšu iestādi un kopīgotāju iestādi. Kopīgotāja iestāde bez liekas kavēšanās informē katru attiecīgo finanšu iestādi ▌ par šādu informācijas apmaiņu, </w:t>
      </w:r>
      <w:r w:rsidRPr="002D6F62">
        <w:rPr>
          <w:b/>
          <w:bCs/>
          <w:i/>
          <w:iCs/>
        </w:rPr>
        <w:t xml:space="preserve">ja vien šāda informācija nav </w:t>
      </w:r>
      <w:proofErr w:type="spellStart"/>
      <w:r w:rsidRPr="002D6F62">
        <w:rPr>
          <w:b/>
          <w:bCs/>
          <w:i/>
          <w:iCs/>
        </w:rPr>
        <w:t>anonimizēta</w:t>
      </w:r>
      <w:proofErr w:type="spellEnd"/>
      <w:r w:rsidRPr="002D6F62">
        <w:rPr>
          <w:b/>
          <w:bCs/>
          <w:i/>
          <w:iCs/>
        </w:rPr>
        <w:t xml:space="preserve">, izmainīta, apkopota vai </w:t>
      </w:r>
      <w:r w:rsidRPr="002D6F62">
        <w:rPr>
          <w:b/>
          <w:bCs/>
          <w:i/>
          <w:iCs/>
        </w:rPr>
        <w:lastRenderedPageBreak/>
        <w:t>apstrādāta, izmantojot kādu citu informācijas izpaušanas kontroles metodi, ar kuru aizsargā konfidenciālu informāciju</w:t>
      </w:r>
      <w:r w:rsidRPr="002D6F62">
        <w:t xml:space="preserve">. </w:t>
      </w:r>
    </w:p>
    <w:p w:rsidR="00F00C2C" w:rsidRPr="002D6F62" w:rsidRDefault="00F00C2C" w:rsidP="00F00C2C">
      <w:pPr>
        <w:widowControl/>
        <w:spacing w:before="120" w:after="120"/>
        <w:ind w:left="851" w:hanging="851"/>
        <w:jc w:val="both"/>
        <w:rPr>
          <w:rFonts w:eastAsia="Calibri"/>
          <w:szCs w:val="22"/>
        </w:rPr>
      </w:pPr>
      <w:r w:rsidRPr="002D6F62">
        <w:t xml:space="preserve">3. </w:t>
      </w:r>
      <w:r w:rsidRPr="002D6F62">
        <w:rPr>
          <w:b/>
          <w:i/>
        </w:rPr>
        <w:tab/>
      </w:r>
      <w:r w:rsidRPr="002D6F62">
        <w:t xml:space="preserve">Šā panta 1., </w:t>
      </w:r>
      <w:r w:rsidRPr="002D6F62">
        <w:rPr>
          <w:b/>
          <w:bCs/>
          <w:i/>
          <w:iCs/>
        </w:rPr>
        <w:t>1.a</w:t>
      </w:r>
      <w:r w:rsidRPr="002D6F62">
        <w:t xml:space="preserve"> un 2. punktu piemēro arī informācijai, </w:t>
      </w:r>
      <w:r w:rsidRPr="002D6F62">
        <w:rPr>
          <w:b/>
          <w:bCs/>
          <w:i/>
          <w:iCs/>
        </w:rPr>
        <w:t>kuru</w:t>
      </w:r>
      <w:r w:rsidRPr="002D6F62">
        <w:t xml:space="preserve"> kopīgotāja iestāde ir saņēmusi no finanšu iestādes </w:t>
      </w:r>
      <w:r w:rsidRPr="002D6F62">
        <w:rPr>
          <w:b/>
          <w:bCs/>
          <w:i/>
          <w:iCs/>
        </w:rPr>
        <w:t>vai citām iestādēm</w:t>
      </w:r>
      <w:r w:rsidRPr="002D6F62">
        <w:t xml:space="preserve"> un saistībā ar kuru kopīgotāja iestāde pēc tam ir veikusi kvalitātes pārbaudes vai kuru kopīgotāja iestāde ir citādi apstrādājusi. </w:t>
      </w:r>
    </w:p>
    <w:p w:rsidR="00F00C2C" w:rsidRPr="002D6F62" w:rsidRDefault="00F00C2C" w:rsidP="00F00C2C">
      <w:pPr>
        <w:widowControl/>
        <w:spacing w:before="120" w:after="120"/>
        <w:ind w:left="851" w:hanging="851"/>
        <w:jc w:val="both"/>
        <w:rPr>
          <w:rFonts w:eastAsia="Calibri"/>
          <w:b/>
          <w:i/>
          <w:szCs w:val="22"/>
        </w:rPr>
      </w:pPr>
      <w:r w:rsidRPr="002D6F62">
        <w:t xml:space="preserve">4. </w:t>
      </w:r>
      <w:r w:rsidRPr="002D6F62">
        <w:rPr>
          <w:b/>
          <w:i/>
        </w:rPr>
        <w:tab/>
      </w:r>
      <w:r w:rsidRPr="002D6F62">
        <w:t xml:space="preserve">Lai kopīgotu 1., </w:t>
      </w:r>
      <w:r w:rsidRPr="002D6F62">
        <w:rPr>
          <w:b/>
          <w:bCs/>
          <w:i/>
          <w:iCs/>
        </w:rPr>
        <w:t>1.a</w:t>
      </w:r>
      <w:r w:rsidRPr="002D6F62">
        <w:t xml:space="preserve">, 2. un 3. punktā minēto informāciju, </w:t>
      </w:r>
      <w:r w:rsidRPr="002D6F62">
        <w:rPr>
          <w:b/>
          <w:bCs/>
          <w:i/>
          <w:iCs/>
        </w:rPr>
        <w:t>iestāde un citas</w:t>
      </w:r>
      <w:r w:rsidRPr="002D6F62">
        <w:t xml:space="preserve"> iestādes </w:t>
      </w:r>
      <w:r w:rsidRPr="002D6F62">
        <w:rPr>
          <w:b/>
          <w:bCs/>
          <w:i/>
          <w:iCs/>
        </w:rPr>
        <w:t>noslēdz</w:t>
      </w:r>
      <w:r w:rsidRPr="002D6F62">
        <w:t xml:space="preserve"> saprašanās memorandus, kuros precizē informācijas apmaiņas kārtību. Tās arī </w:t>
      </w:r>
      <w:r w:rsidRPr="002D6F62">
        <w:rPr>
          <w:b/>
          <w:bCs/>
          <w:i/>
          <w:iCs/>
        </w:rPr>
        <w:t>nosaka</w:t>
      </w:r>
      <w:r w:rsidRPr="002D6F62">
        <w:t xml:space="preserve"> kārtību, kādā tiek kopīgoti resursi šādu kopīgotu datu vākšanai un apstrādei</w:t>
      </w:r>
      <w:r w:rsidRPr="002D6F62">
        <w:rPr>
          <w:b/>
          <w:bCs/>
          <w:i/>
          <w:iCs/>
        </w:rPr>
        <w:t>, ja vien šāda kārtība atbilst piemērojamiem noteikumiem par datu aizsardzību, intelektuālo īpašumu un dienesta noslēpumu</w:t>
      </w:r>
      <w:r w:rsidRPr="002D6F62">
        <w:t>. </w:t>
      </w:r>
      <w:r w:rsidRPr="002D6F62">
        <w:rPr>
          <w:b/>
          <w:i/>
        </w:rPr>
        <w:t>Saprašanās memorandi, kuri noslēgti, visām attiecīgajām iestādēm vienojoties, atbilst vienkāršam un standartizētam formātam, kas vajadzības gadījumā pielāgots kādiem īpašiem darbības nosacījumiem, kurus piemēro konkrētām iestādēm.</w:t>
      </w:r>
    </w:p>
    <w:p w:rsidR="00F00C2C" w:rsidRPr="002D6F62" w:rsidRDefault="00F00C2C" w:rsidP="00F00C2C">
      <w:pPr>
        <w:widowControl/>
        <w:spacing w:before="120" w:after="120"/>
        <w:ind w:left="851" w:hanging="851"/>
        <w:jc w:val="both"/>
        <w:rPr>
          <w:rFonts w:eastAsia="Calibri"/>
          <w:b/>
          <w:i/>
          <w:szCs w:val="22"/>
        </w:rPr>
      </w:pPr>
      <w:r w:rsidRPr="002D6F62">
        <w:t xml:space="preserve">5. </w:t>
      </w:r>
      <w:r w:rsidRPr="002D6F62">
        <w:rPr>
          <w:b/>
          <w:i/>
        </w:rPr>
        <w:tab/>
      </w:r>
      <w:r w:rsidRPr="002D6F62">
        <w:t xml:space="preserve">Šā panta 1. un 4. punkts neskar intelektuālā īpašuma tiesību aizsardzību un neliedz veikt informācijas apmaiņu starp ▌ </w:t>
      </w:r>
      <w:r w:rsidRPr="002D6F62">
        <w:rPr>
          <w:b/>
          <w:bCs/>
          <w:i/>
          <w:iCs/>
        </w:rPr>
        <w:t>iestādi un citām</w:t>
      </w:r>
      <w:r w:rsidRPr="002D6F62">
        <w:t xml:space="preserve"> iestādēm saskaņā ar citu Savienības tiesību aktu noteikumiem, kā arī neierobežo to. Ja šā punkta noteikumi ir pretrunā citu Savienības tiesību aktu noteikumiem, kas reglamentē informācijas apmaiņu starp </w:t>
      </w:r>
      <w:r w:rsidRPr="002D6F62">
        <w:rPr>
          <w:b/>
          <w:bCs/>
          <w:i/>
          <w:iCs/>
        </w:rPr>
        <w:t>citām</w:t>
      </w:r>
      <w:r w:rsidRPr="002D6F62">
        <w:t xml:space="preserve"> iestādēm ▌ , noteicošie ir šādu citu Savienības tiesību aktu noteikumi.</w:t>
      </w:r>
    </w:p>
    <w:p w:rsidR="00F00C2C" w:rsidRPr="002D6F62" w:rsidRDefault="00F00C2C" w:rsidP="00F00C2C">
      <w:pPr>
        <w:widowControl/>
        <w:spacing w:before="120" w:after="120"/>
        <w:ind w:left="851" w:hanging="851"/>
        <w:jc w:val="both"/>
        <w:rPr>
          <w:rFonts w:eastAsia="Calibri"/>
          <w:b/>
          <w:i/>
          <w:szCs w:val="22"/>
        </w:rPr>
      </w:pPr>
      <w:r w:rsidRPr="002D6F62">
        <w:t xml:space="preserve">6. </w:t>
      </w:r>
      <w:r w:rsidRPr="002D6F62">
        <w:rPr>
          <w:b/>
          <w:i/>
        </w:rPr>
        <w:tab/>
      </w:r>
      <w:r w:rsidRPr="002D6F62">
        <w:t xml:space="preserve">Neskarot citus Savienības tiesību aktos noteiktos pienākumus attiecībā uz informācijas kopīgošanu, iestāde un kompetentās iestādes pēc pamatota pieprasījuma un izskatot katru gadījumu atsevišķi, </w:t>
      </w:r>
      <w:r w:rsidRPr="002D6F62">
        <w:rPr>
          <w:b/>
          <w:bCs/>
          <w:i/>
          <w:iCs/>
        </w:rPr>
        <w:t>var kopīgot</w:t>
      </w:r>
      <w:r w:rsidRPr="002D6F62">
        <w:t xml:space="preserve"> ar Komisiju ▌ informāciju, ko finanšu iestādes tām ir sniegušas saskaņā ar Savienības tiesību aktos</w:t>
      </w:r>
      <w:bookmarkStart w:id="9" w:name="_Hlk145611591"/>
      <w:r w:rsidRPr="002D6F62">
        <w:t xml:space="preserve"> noteiktajiem pienākumiem, ▌ veidā, kas neļauj identificēt atsevišķas struktūras un nesatur </w:t>
      </w:r>
      <w:proofErr w:type="spellStart"/>
      <w:r w:rsidRPr="002D6F62">
        <w:t>persondatus</w:t>
      </w:r>
      <w:proofErr w:type="spellEnd"/>
      <w:r w:rsidRPr="002D6F62">
        <w:t xml:space="preserve">. </w:t>
      </w:r>
      <w:r w:rsidRPr="002D6F62">
        <w:rPr>
          <w:b/>
          <w:i/>
        </w:rPr>
        <w:t>Iestādes, kas iesniegušas šādu informāciju, tiek pienācīgi informētas par notikušo informācijas apmaiņu.</w:t>
      </w:r>
    </w:p>
    <w:bookmarkEnd w:id="9"/>
    <w:p w:rsidR="00F00C2C" w:rsidRPr="002D6F62" w:rsidRDefault="00F00C2C" w:rsidP="00F00C2C">
      <w:pPr>
        <w:widowControl/>
        <w:spacing w:before="120" w:after="120"/>
        <w:ind w:left="851" w:hanging="851"/>
        <w:jc w:val="both"/>
        <w:rPr>
          <w:rFonts w:eastAsia="Calibri"/>
          <w:szCs w:val="22"/>
        </w:rPr>
      </w:pPr>
      <w:r w:rsidRPr="002D6F62">
        <w:t xml:space="preserve">7. </w:t>
      </w:r>
      <w:r w:rsidRPr="002D6F62">
        <w:rPr>
          <w:b/>
          <w:i/>
        </w:rPr>
        <w:tab/>
      </w:r>
      <w:r w:rsidRPr="002D6F62">
        <w:t xml:space="preserve">Iestāde un kompetentās iestādes var piešķirt piekļuvi to pienākumu veikšanas ietvaros iegūtai informācijai, lai finanšu iestādes, pētnieki un citas struktūras, kurām ir likumīgas intereses šādu informāciju izmantot pētniecības un inovācijas nolūkos, varētu to </w:t>
      </w:r>
      <w:proofErr w:type="spellStart"/>
      <w:r w:rsidRPr="002D6F62">
        <w:t>atkalizmantot</w:t>
      </w:r>
      <w:proofErr w:type="spellEnd"/>
      <w:r w:rsidRPr="002D6F62">
        <w:t xml:space="preserve">, ar nosacījumu, ka iestāde nodrošinājusi visu turpmāk minēto nosacījumu ievērošanu: </w:t>
      </w:r>
    </w:p>
    <w:p w:rsidR="00F00C2C" w:rsidRPr="002D6F62" w:rsidRDefault="00F00C2C" w:rsidP="00F00C2C">
      <w:pPr>
        <w:widowControl/>
        <w:spacing w:before="120" w:after="120"/>
        <w:ind w:left="1418" w:hanging="567"/>
        <w:jc w:val="both"/>
        <w:rPr>
          <w:rFonts w:eastAsia="Calibri"/>
          <w:szCs w:val="22"/>
        </w:rPr>
      </w:pPr>
      <w:r w:rsidRPr="002D6F62">
        <w:t xml:space="preserve">a) </w:t>
      </w:r>
      <w:r w:rsidRPr="002D6F62">
        <w:rPr>
          <w:b/>
          <w:i/>
        </w:rPr>
        <w:tab/>
      </w:r>
      <w:r w:rsidRPr="002D6F62">
        <w:t xml:space="preserve">informācija ir </w:t>
      </w:r>
      <w:proofErr w:type="spellStart"/>
      <w:r w:rsidRPr="002D6F62">
        <w:t>anonimizēta</w:t>
      </w:r>
      <w:proofErr w:type="spellEnd"/>
      <w:r w:rsidRPr="002D6F62">
        <w:t xml:space="preserve"> tādā veidā, ka datu subjekts vai finanšu iestāde nav vai vairs nav identificējama;</w:t>
      </w:r>
    </w:p>
    <w:p w:rsidR="00F00C2C" w:rsidRPr="002D6F62" w:rsidRDefault="00F00C2C" w:rsidP="00F00C2C">
      <w:pPr>
        <w:widowControl/>
        <w:spacing w:before="120" w:after="120"/>
        <w:ind w:left="1418" w:hanging="567"/>
        <w:jc w:val="both"/>
        <w:rPr>
          <w:rFonts w:eastAsia="Calibri"/>
          <w:szCs w:val="22"/>
        </w:rPr>
      </w:pPr>
      <w:r w:rsidRPr="002D6F62">
        <w:t xml:space="preserve">b) </w:t>
      </w:r>
      <w:r w:rsidRPr="002D6F62">
        <w:rPr>
          <w:b/>
          <w:i/>
        </w:rPr>
        <w:tab/>
      </w:r>
      <w:r w:rsidRPr="002D6F62">
        <w:t xml:space="preserve">konfidenciālas informācijas, tostarp komercnoslēpumu vai ar intelektuālā īpašuma tiesībām aizsargāta satura, aizsardzībai informācija ir grozīta, apkopota vai apstrādāta, izmantojot jebkuru citu izpaušanas kontroles metodi. </w:t>
      </w:r>
    </w:p>
    <w:p w:rsidR="00F00C2C" w:rsidRPr="002D6F62" w:rsidRDefault="00F00C2C" w:rsidP="00F00C2C">
      <w:pPr>
        <w:widowControl/>
        <w:spacing w:before="120" w:after="120"/>
        <w:ind w:left="1418" w:hanging="567"/>
        <w:jc w:val="both"/>
        <w:rPr>
          <w:rFonts w:eastAsia="Calibri"/>
          <w:szCs w:val="22"/>
        </w:rPr>
      </w:pPr>
      <w:r w:rsidRPr="002D6F62">
        <w:t xml:space="preserve">Informāciju, kas saņemta no citas iestādes, var kopīgot tikai </w:t>
      </w:r>
      <w:r w:rsidRPr="002D6F62">
        <w:rPr>
          <w:b/>
          <w:bCs/>
          <w:i/>
          <w:iCs/>
        </w:rPr>
        <w:t>uz šāda pamata un</w:t>
      </w:r>
      <w:r w:rsidRPr="002D6F62">
        <w:t xml:space="preserve"> ar tās iestādes piekrišanu, kura informāciju sākotnēji ieguvusi.</w:t>
      </w:r>
    </w:p>
    <w:p w:rsidR="00F00C2C" w:rsidRPr="002D6F62" w:rsidRDefault="00F00C2C" w:rsidP="00F00C2C">
      <w:pPr>
        <w:widowControl/>
        <w:spacing w:before="120" w:after="120"/>
        <w:ind w:left="851" w:hanging="851"/>
        <w:jc w:val="both"/>
        <w:rPr>
          <w:rFonts w:eastAsia="Calibri"/>
          <w:b/>
          <w:i/>
          <w:szCs w:val="22"/>
        </w:rPr>
      </w:pPr>
      <w:r w:rsidRPr="002D6F62">
        <w:rPr>
          <w:b/>
          <w:i/>
        </w:rPr>
        <w:t>7.a</w:t>
      </w:r>
      <w:r w:rsidRPr="002D6F62">
        <w:rPr>
          <w:b/>
          <w:i/>
        </w:rPr>
        <w:tab/>
        <w:t xml:space="preserve">Iestāde un kompetentās iestādes līdz ... [viens gads no šīs grozošās regulas spēkā stāšanās dienas] ziņo Komisijai par visiem juridiskajiem šķēršļiem nozaru noteikumos, kas jebkādā veidā traucē tām kopīgot informāciju ar citām iestādēm vai struktūrām. Ziņojumā var iekļaut arī nebūtiskas, novecojušas, dublējošas vai citādi nenozīmīgas ziņošanas prasības un ierosinājumus, kā nodrošināt konsekvenci starp finanšu un </w:t>
      </w:r>
      <w:proofErr w:type="spellStart"/>
      <w:r w:rsidRPr="002D6F62">
        <w:rPr>
          <w:b/>
          <w:i/>
        </w:rPr>
        <w:t>nefinanšu</w:t>
      </w:r>
      <w:proofErr w:type="spellEnd"/>
      <w:r w:rsidRPr="002D6F62">
        <w:rPr>
          <w:b/>
          <w:i/>
        </w:rPr>
        <w:t xml:space="preserve"> uzņēmumu ziņošanas prasībām.</w:t>
      </w:r>
    </w:p>
    <w:p w:rsidR="00F00C2C" w:rsidRPr="002D6F62" w:rsidRDefault="00F00C2C" w:rsidP="00F00C2C">
      <w:pPr>
        <w:widowControl/>
        <w:spacing w:before="120" w:after="120"/>
        <w:ind w:left="851"/>
        <w:jc w:val="both"/>
        <w:rPr>
          <w:rFonts w:eastAsia="Calibri"/>
          <w:szCs w:val="22"/>
        </w:rPr>
      </w:pPr>
      <w:r w:rsidRPr="002D6F62">
        <w:rPr>
          <w:b/>
          <w:bCs/>
          <w:i/>
          <w:iCs/>
        </w:rPr>
        <w:lastRenderedPageBreak/>
        <w:t>Pamatojoties uz minēto ziņojumu un pienācīgi ņemot vērā nepieciešamību aizsargāt intelektuālā īpašuma tiesības, dienesta noslēpumu un datus, Komisija attiecīgā gadījumā iesniedz Eiropas Parlamentam un Padomei tiesību akta priekšlikumu, lai novērstu šādus juridiskos šķēršļus nozaru tiesību aktos nolūkā veicināt informācijas apmaiņu starp iestādēm un citām struktūrām līdz ... [divi gadi no šīs grozošās regulas spēkā stāšanās dienas].”;</w:t>
      </w:r>
      <w:r w:rsidRPr="002D6F62">
        <w:t> </w:t>
      </w:r>
    </w:p>
    <w:p w:rsidR="00F00C2C" w:rsidRPr="002D6F62" w:rsidRDefault="00F00C2C" w:rsidP="002D6F62">
      <w:pPr>
        <w:widowControl/>
        <w:spacing w:before="120" w:after="120"/>
        <w:ind w:left="851" w:hanging="851"/>
        <w:jc w:val="both"/>
        <w:rPr>
          <w:rFonts w:eastAsia="Calibri"/>
          <w:szCs w:val="24"/>
        </w:rPr>
      </w:pPr>
      <w:r w:rsidRPr="002D6F62">
        <w:rPr>
          <w:b/>
          <w:i/>
        </w:rPr>
        <w:t>4.a</w:t>
      </w:r>
      <w:r w:rsidRPr="002D6F62">
        <w:rPr>
          <w:b/>
          <w:i/>
        </w:rPr>
        <w:tab/>
        <w:t>iekļauj šādu pantu:</w:t>
      </w:r>
      <w:r w:rsidRPr="002D6F62">
        <w:t xml:space="preserve"> </w:t>
      </w:r>
    </w:p>
    <w:p w:rsidR="00F00C2C" w:rsidRPr="002D6F62" w:rsidRDefault="00F00C2C" w:rsidP="00F00C2C">
      <w:pPr>
        <w:widowControl/>
        <w:spacing w:before="120" w:after="120"/>
        <w:rPr>
          <w:rFonts w:eastAsia="Calibri"/>
          <w:b/>
          <w:i/>
          <w:noProof/>
          <w:szCs w:val="22"/>
        </w:rPr>
      </w:pPr>
      <w:r w:rsidRPr="002D6F62">
        <w:rPr>
          <w:b/>
          <w:i/>
        </w:rPr>
        <w:t>“35.b pants</w:t>
      </w:r>
    </w:p>
    <w:p w:rsidR="00F00C2C" w:rsidRPr="002D6F62" w:rsidRDefault="00F00C2C" w:rsidP="00F00C2C">
      <w:pPr>
        <w:widowControl/>
        <w:spacing w:before="120" w:after="120"/>
        <w:rPr>
          <w:rFonts w:eastAsia="Calibri"/>
          <w:b/>
          <w:i/>
          <w:noProof/>
          <w:szCs w:val="22"/>
        </w:rPr>
      </w:pPr>
      <w:r w:rsidRPr="002D6F62">
        <w:rPr>
          <w:b/>
          <w:i/>
        </w:rPr>
        <w:t>Vienotas integrētās ziņošanas sistēmas izveide</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1. </w:t>
      </w:r>
      <w:r w:rsidRPr="002D6F62">
        <w:rPr>
          <w:b/>
          <w:i/>
        </w:rPr>
        <w:tab/>
        <w:t>Līdz ... [divi gadi no šīs grozošās regulas spēkā stāšanās dienas] iestāde ciešā sadarbībā ar citām iestādēm un ESRK sagatavo ziņojumu par vienotas integrētās ziņošanas sistēmas izveides tehniskajiem aspektiem, kā arī ceļvedi, kura pamatā ir darbs pie EUI pārskatu integrēšanas attiecīgajās nozarēs un kurā ietverts izmaksu un ieguvumu novērtējums. Minētā ziņojuma nolūkā vienotajā integrētajā ziņošanas sistēmā iekļauj:</w:t>
      </w:r>
    </w:p>
    <w:p w:rsidR="00F00C2C" w:rsidRPr="002D6F62" w:rsidRDefault="00F00C2C" w:rsidP="00F00C2C">
      <w:pPr>
        <w:widowControl/>
        <w:spacing w:before="120" w:after="120"/>
        <w:ind w:left="1418" w:hanging="567"/>
        <w:jc w:val="both"/>
        <w:rPr>
          <w:rFonts w:eastAsia="Calibri"/>
          <w:b/>
          <w:i/>
          <w:noProof/>
          <w:szCs w:val="22"/>
        </w:rPr>
      </w:pPr>
      <w:r w:rsidRPr="002D6F62">
        <w:rPr>
          <w:b/>
          <w:i/>
        </w:rPr>
        <w:t>a)</w:t>
      </w:r>
      <w:r w:rsidRPr="002D6F62">
        <w:rPr>
          <w:b/>
          <w:i/>
        </w:rPr>
        <w:tab/>
        <w:t xml:space="preserve"> vienotu datu vārdnīcu, lai nodrošinātu ziņošanas prasību un datu standartizācijas konsekvenci un skaidrību;</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b) </w:t>
      </w:r>
      <w:r w:rsidRPr="002D6F62">
        <w:rPr>
          <w:b/>
          <w:i/>
        </w:rPr>
        <w:tab/>
        <w:t>kopīgu ziņošanas un informācijas atklāšanas prasību repozitoriju, savākto datu aprakstu un to rīcībā esošo iestāžu kopējo repozitoriju;</w:t>
      </w:r>
    </w:p>
    <w:p w:rsidR="00F00C2C" w:rsidRPr="002D6F62" w:rsidRDefault="00F00C2C" w:rsidP="00F00C2C">
      <w:pPr>
        <w:widowControl/>
        <w:spacing w:before="120" w:after="120"/>
        <w:ind w:left="1418" w:hanging="567"/>
        <w:jc w:val="both"/>
        <w:rPr>
          <w:rFonts w:eastAsia="Calibri"/>
          <w:b/>
          <w:i/>
          <w:noProof/>
          <w:szCs w:val="22"/>
        </w:rPr>
      </w:pPr>
      <w:r w:rsidRPr="002D6F62">
        <w:rPr>
          <w:b/>
          <w:i/>
        </w:rPr>
        <w:t>c)</w:t>
      </w:r>
      <w:r w:rsidRPr="002D6F62">
        <w:rPr>
          <w:b/>
          <w:i/>
        </w:rPr>
        <w:tab/>
        <w:t xml:space="preserve"> centrālo datu telpu, tostarp tehnisko projektu informācijas vākšanai un apmaiņai; un</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d) </w:t>
      </w:r>
      <w:r w:rsidRPr="002D6F62">
        <w:rPr>
          <w:b/>
          <w:i/>
        </w:rPr>
        <w:tab/>
        <w:t>pastāvīgu vienoto kontaktpunktu, kurā struktūras var norādīt dubultas ziņošanas gadījumus un nevajadzīgas vai novecojušas ziņošanas vai informācijas atklāšanas prasības.</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Ziņojumam pievieno ciešā sadarbībā ar Komisiju tapušo aplēsi par kopējo finansiālo ietekmi. </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Komisija attiecīgā gadījumā iesniedz Eiropas Parlamentam un Padomei tiesību akta priekšlikumu, lai nodrošinātu finanšu resursus, cilvēkresursus un IT resursus, kas vajadzīgi vienotas integrētās ziņošanas sistēmas izveidei līdz ... [trīs gadi no šīs grozošās regulas spēkā stāšanās dienas]. </w:t>
      </w:r>
    </w:p>
    <w:p w:rsidR="00F00C2C" w:rsidRPr="002D6F62" w:rsidRDefault="00F00C2C" w:rsidP="00F00C2C">
      <w:pPr>
        <w:widowControl/>
        <w:spacing w:before="120" w:after="120"/>
        <w:ind w:left="851"/>
        <w:jc w:val="both"/>
        <w:rPr>
          <w:rFonts w:eastAsia="Calibri"/>
          <w:b/>
          <w:i/>
          <w:noProof/>
          <w:szCs w:val="22"/>
        </w:rPr>
      </w:pPr>
      <w:r w:rsidRPr="002D6F62">
        <w:rPr>
          <w:b/>
          <w:i/>
        </w:rPr>
        <w:t>Iestāde kopā ar citām iestādēm līdz ... [trīs gadi no šīs grozošās regulas spēkā stāšanās dienas] izveido vienotu integrēto ziņošanas sistēmu.”</w:t>
      </w:r>
      <w:r w:rsidR="002D6F62" w:rsidRPr="002D6F62">
        <w:rPr>
          <w:b/>
          <w:i/>
        </w:rPr>
        <w:t>;</w:t>
      </w:r>
    </w:p>
    <w:p w:rsidR="00F00C2C" w:rsidRPr="002D6F62" w:rsidRDefault="00F00C2C" w:rsidP="00F00C2C">
      <w:pPr>
        <w:widowControl/>
        <w:spacing w:before="120" w:after="120"/>
        <w:ind w:left="850" w:hanging="850"/>
        <w:jc w:val="both"/>
        <w:rPr>
          <w:rFonts w:eastAsia="Calibri"/>
          <w:b/>
          <w:i/>
          <w:szCs w:val="22"/>
        </w:rPr>
      </w:pPr>
      <w:r w:rsidRPr="002D6F62">
        <w:rPr>
          <w:b/>
          <w:i/>
        </w:rPr>
        <w:t>4.b</w:t>
      </w:r>
      <w:r w:rsidRPr="002D6F62">
        <w:rPr>
          <w:b/>
          <w:i/>
        </w:rPr>
        <w:tab/>
        <w:t>regulas 36. panta 2. punktu aizstāj ar šādu:</w:t>
      </w:r>
    </w:p>
    <w:p w:rsidR="00F00C2C" w:rsidRPr="002D6F62" w:rsidRDefault="002D6F62" w:rsidP="00F00C2C">
      <w:pPr>
        <w:widowControl/>
        <w:spacing w:before="120" w:after="120"/>
        <w:ind w:left="1418" w:hanging="567"/>
        <w:jc w:val="both"/>
        <w:rPr>
          <w:rFonts w:eastAsia="Calibri"/>
          <w:b/>
          <w:i/>
          <w:noProof/>
          <w:szCs w:val="22"/>
        </w:rPr>
      </w:pPr>
      <w:r w:rsidRPr="002D6F62">
        <w:t>“</w:t>
      </w:r>
      <w:r w:rsidR="00F00C2C" w:rsidRPr="002D6F62">
        <w:t xml:space="preserve">2. </w:t>
      </w:r>
      <w:r w:rsidR="00F00C2C" w:rsidRPr="002D6F62">
        <w:rPr>
          <w:b/>
          <w:i/>
        </w:rPr>
        <w:tab/>
        <w:t>Iestāde, kā arī Eiropas Centrālo banku sistēma (ECBS), Komisija, valstu kompetentās iestādes un valsts statistikas iestādes cieši sadarbojas ar ESRK, kopīgojot informāciju un veiktās analīzes rezultātus, kas nepieciešami to uzdevumu izpildei.</w:t>
      </w:r>
    </w:p>
    <w:p w:rsidR="00F00C2C" w:rsidRPr="002D6F62" w:rsidRDefault="00F00C2C" w:rsidP="00F00C2C">
      <w:pPr>
        <w:widowControl/>
        <w:spacing w:before="120" w:after="120"/>
        <w:ind w:left="1418"/>
        <w:jc w:val="both"/>
        <w:rPr>
          <w:rFonts w:eastAsia="Calibri"/>
          <w:b/>
          <w:i/>
          <w:noProof/>
          <w:szCs w:val="22"/>
        </w:rPr>
      </w:pPr>
      <w:r w:rsidRPr="002D6F62">
        <w:rPr>
          <w:b/>
          <w:i/>
        </w:rPr>
        <w:t>Iestāde savus centienus atklāt, uzraudzīt, novērst un mazināt sistēmiskos riskus, kas apdraud finanšu stabilitāti, koordinē ar ESRK un ECB.</w:t>
      </w:r>
    </w:p>
    <w:p w:rsidR="00F00C2C" w:rsidRPr="002D6F62" w:rsidRDefault="00F00C2C" w:rsidP="00F00C2C">
      <w:pPr>
        <w:widowControl/>
        <w:spacing w:before="120" w:after="120"/>
        <w:ind w:left="1418"/>
        <w:jc w:val="both"/>
        <w:rPr>
          <w:rFonts w:eastAsia="Calibri"/>
          <w:b/>
          <w:i/>
          <w:noProof/>
          <w:szCs w:val="22"/>
        </w:rPr>
      </w:pPr>
      <w:r w:rsidRPr="002D6F62">
        <w:rPr>
          <w:b/>
          <w:i/>
        </w:rPr>
        <w:t>Iestāde saskaņā ar Regulas (ES) Nr. 1092/2010 15. panta 1. līdz 5. punktu izpilda konkrētos datu kopīgošanas noteikumus.</w:t>
      </w:r>
    </w:p>
    <w:p w:rsidR="00F00C2C" w:rsidRPr="002D6F62" w:rsidRDefault="00F00C2C" w:rsidP="00F00C2C">
      <w:pPr>
        <w:widowControl/>
        <w:spacing w:before="120" w:after="120"/>
        <w:ind w:left="1418"/>
        <w:jc w:val="both"/>
        <w:rPr>
          <w:rFonts w:eastAsia="Calibri"/>
          <w:b/>
          <w:i/>
          <w:noProof/>
          <w:szCs w:val="22"/>
        </w:rPr>
      </w:pPr>
      <w:r w:rsidRPr="002D6F62">
        <w:rPr>
          <w:b/>
          <w:i/>
        </w:rPr>
        <w:lastRenderedPageBreak/>
        <w:t xml:space="preserve">Iestāde sadarbībā ar ESRK ir ieviesusi atbilstīgas iekšējās procedūras konfidenciālas informācijas, galvenokārt informācijas par atsevišķām </w:t>
      </w:r>
      <w:r w:rsidR="002D6F62" w:rsidRPr="002D6F62">
        <w:rPr>
          <w:b/>
          <w:i/>
        </w:rPr>
        <w:t>finanšu iestādēm, nosūtīšanai.”;</w:t>
      </w:r>
    </w:p>
    <w:p w:rsidR="00F00C2C" w:rsidRPr="002D6F62" w:rsidRDefault="00F00C2C" w:rsidP="002D6F62">
      <w:pPr>
        <w:widowControl/>
        <w:spacing w:before="120" w:after="120"/>
        <w:ind w:left="851" w:hanging="851"/>
        <w:jc w:val="both"/>
        <w:rPr>
          <w:rFonts w:eastAsia="Calibri"/>
          <w:noProof/>
          <w:szCs w:val="22"/>
        </w:rPr>
      </w:pPr>
      <w:r w:rsidRPr="002D6F62">
        <w:t>5.</w:t>
      </w:r>
      <w:r w:rsidRPr="002D6F62">
        <w:tab/>
        <w:t>regulas 54. panta 2. punktu papildina ar šādu ievilkumu: </w:t>
      </w:r>
    </w:p>
    <w:p w:rsidR="00F00C2C" w:rsidRPr="002D6F62" w:rsidRDefault="00F00C2C" w:rsidP="002D6F62">
      <w:pPr>
        <w:widowControl/>
        <w:spacing w:before="120" w:after="120"/>
        <w:ind w:left="1418" w:hanging="567"/>
        <w:jc w:val="both"/>
        <w:rPr>
          <w:rFonts w:eastAsia="Calibri"/>
          <w:noProof/>
          <w:szCs w:val="22"/>
        </w:rPr>
      </w:pPr>
      <w:r w:rsidRPr="002D6F62">
        <w:t xml:space="preserve">“ —ziņošanas </w:t>
      </w:r>
      <w:r w:rsidRPr="002D6F62">
        <w:rPr>
          <w:b/>
          <w:bCs/>
          <w:i/>
          <w:iCs/>
        </w:rPr>
        <w:t>un informācijas atklāšanas</w:t>
      </w:r>
      <w:r w:rsidRPr="002D6F62">
        <w:t xml:space="preserve"> prasībām un informācijas vākšanu no finanšu iestādēm.”; </w:t>
      </w:r>
    </w:p>
    <w:p w:rsidR="00F00C2C" w:rsidRPr="002D6F62" w:rsidRDefault="00F00C2C" w:rsidP="002D6F62">
      <w:pPr>
        <w:widowControl/>
        <w:spacing w:before="120" w:after="120"/>
        <w:ind w:left="851" w:hanging="851"/>
        <w:jc w:val="both"/>
        <w:rPr>
          <w:rFonts w:eastAsia="Calibri"/>
          <w:noProof/>
          <w:szCs w:val="22"/>
        </w:rPr>
      </w:pPr>
      <w:r w:rsidRPr="002D6F62">
        <w:t>6.</w:t>
      </w:r>
      <w:r w:rsidRPr="002D6F62">
        <w:tab/>
        <w:t>regulas 70. panta 3. punktu aizstāj ar šādu: </w:t>
      </w:r>
    </w:p>
    <w:p w:rsidR="00F00C2C" w:rsidRPr="002D6F62" w:rsidRDefault="00F00C2C" w:rsidP="002D6F62">
      <w:pPr>
        <w:widowControl/>
        <w:spacing w:before="120" w:after="120"/>
        <w:ind w:left="1418" w:hanging="567"/>
        <w:jc w:val="both"/>
        <w:rPr>
          <w:rFonts w:eastAsia="Calibri"/>
          <w:szCs w:val="24"/>
        </w:rPr>
      </w:pPr>
      <w:r w:rsidRPr="002D6F62">
        <w:t xml:space="preserve">“3. </w:t>
      </w:r>
      <w:r w:rsidR="002D6F62" w:rsidRPr="002D6F62">
        <w:tab/>
      </w:r>
      <w:r w:rsidRPr="002D6F62">
        <w:t xml:space="preserve">Panta 1. un 2. punkts neliedz iestādei apmainīties ar informāciju ar </w:t>
      </w:r>
      <w:r w:rsidRPr="002D6F62">
        <w:rPr>
          <w:b/>
          <w:bCs/>
          <w:i/>
          <w:iCs/>
        </w:rPr>
        <w:t>citām iestādēm, kas norādītas 35.a panta 1.b punktā</w:t>
      </w:r>
      <w:r w:rsidRPr="002D6F62">
        <w:t xml:space="preserve"> saskaņā ar šo regulu un citiem finanšu iestādēm piemērojamajiem Savienības tiesību aktiem.  </w:t>
      </w:r>
    </w:p>
    <w:p w:rsidR="00F00C2C" w:rsidRPr="002D6F62" w:rsidRDefault="00F00C2C" w:rsidP="00F00C2C">
      <w:pPr>
        <w:keepNext/>
        <w:widowControl/>
        <w:spacing w:before="360" w:after="120"/>
        <w:ind w:left="720"/>
        <w:jc w:val="center"/>
        <w:rPr>
          <w:rFonts w:eastAsia="Calibri"/>
          <w:i/>
          <w:noProof/>
          <w:szCs w:val="22"/>
        </w:rPr>
      </w:pPr>
      <w:r w:rsidRPr="002D6F62">
        <w:rPr>
          <w:i/>
        </w:rPr>
        <w:t>3. pants</w:t>
      </w:r>
    </w:p>
    <w:p w:rsidR="00F00C2C" w:rsidRPr="002D6F62" w:rsidRDefault="00F00C2C" w:rsidP="00F00C2C">
      <w:pPr>
        <w:widowControl/>
        <w:spacing w:before="120" w:after="120"/>
        <w:jc w:val="center"/>
        <w:rPr>
          <w:rFonts w:eastAsia="Calibri"/>
          <w:noProof/>
          <w:szCs w:val="22"/>
        </w:rPr>
      </w:pPr>
      <w:r w:rsidRPr="002D6F62">
        <w:rPr>
          <w:b/>
        </w:rPr>
        <w:t>Grozījumi Regulā (ES) Nr. 1094/2010</w:t>
      </w:r>
    </w:p>
    <w:p w:rsidR="00F00C2C" w:rsidRPr="002D6F62" w:rsidRDefault="00F00C2C" w:rsidP="00F00C2C">
      <w:pPr>
        <w:widowControl/>
        <w:spacing w:before="120" w:after="120"/>
        <w:jc w:val="both"/>
        <w:rPr>
          <w:rFonts w:eastAsia="Calibri"/>
          <w:noProof/>
          <w:szCs w:val="22"/>
        </w:rPr>
      </w:pPr>
      <w:r w:rsidRPr="002D6F62">
        <w:t>Regulu (ES) Nr. 1094/2010 groza šādi: </w:t>
      </w:r>
    </w:p>
    <w:p w:rsidR="00F00C2C" w:rsidRPr="002D6F62" w:rsidRDefault="00F00C2C" w:rsidP="00F00C2C">
      <w:pPr>
        <w:widowControl/>
        <w:spacing w:before="120" w:after="120"/>
        <w:ind w:left="850" w:hanging="850"/>
        <w:jc w:val="both"/>
        <w:rPr>
          <w:rFonts w:eastAsia="Calibri"/>
          <w:b/>
          <w:i/>
          <w:szCs w:val="22"/>
        </w:rPr>
      </w:pPr>
      <w:r w:rsidRPr="002D6F62">
        <w:rPr>
          <w:b/>
          <w:i/>
        </w:rPr>
        <w:t>-1.</w:t>
      </w:r>
      <w:r w:rsidRPr="002D6F62">
        <w:rPr>
          <w:b/>
          <w:i/>
        </w:rPr>
        <w:tab/>
        <w:t>regulas 16.a panta 1. punktam pievieno šādu daļu:</w:t>
      </w:r>
    </w:p>
    <w:p w:rsidR="00F00C2C" w:rsidRPr="002D6F62" w:rsidRDefault="00F00C2C" w:rsidP="00F00C2C">
      <w:pPr>
        <w:widowControl/>
        <w:spacing w:before="120" w:after="120"/>
        <w:ind w:left="851"/>
        <w:jc w:val="both"/>
        <w:rPr>
          <w:rFonts w:eastAsia="Calibri"/>
          <w:b/>
          <w:i/>
          <w:noProof/>
          <w:szCs w:val="22"/>
        </w:rPr>
      </w:pPr>
      <w:r w:rsidRPr="002D6F62">
        <w:rPr>
          <w:b/>
          <w:i/>
        </w:rPr>
        <w:t>“Iestādes atzinumi attiecas ne tikai uz īstenotajām likumdošanas procedūrām. Iestāde savos atzinumos attiecīgā gadījumā var ierosināt grozījumus spēkā esošajos tiesību aktos, tostarp grozījumus, ar kuriem:</w:t>
      </w:r>
    </w:p>
    <w:p w:rsidR="00F00C2C" w:rsidRPr="002D6F62" w:rsidRDefault="00F00C2C" w:rsidP="00F00C2C">
      <w:pPr>
        <w:widowControl/>
        <w:spacing w:before="120" w:after="120"/>
        <w:ind w:left="1418" w:hanging="567"/>
        <w:jc w:val="both"/>
        <w:rPr>
          <w:rFonts w:eastAsia="Calibri"/>
          <w:b/>
          <w:i/>
          <w:noProof/>
          <w:szCs w:val="22"/>
        </w:rPr>
      </w:pPr>
      <w:r w:rsidRPr="002D6F62">
        <w:rPr>
          <w:b/>
          <w:i/>
        </w:rPr>
        <w:t>a)</w:t>
      </w:r>
      <w:r w:rsidRPr="002D6F62">
        <w:rPr>
          <w:b/>
          <w:i/>
        </w:rPr>
        <w:tab/>
        <w:t xml:space="preserve"> atceļ nevajadzīgas vai novecojušas ziņošanas un informācijas atklāšanas prasības Savienības tiesību aktos vai dalībvalstu transponētajos Savienības tiesību aktos;</w:t>
      </w:r>
    </w:p>
    <w:p w:rsidR="00F00C2C" w:rsidRPr="002D6F62" w:rsidRDefault="00F00C2C" w:rsidP="00F00C2C">
      <w:pPr>
        <w:widowControl/>
        <w:spacing w:before="120" w:after="120"/>
        <w:ind w:left="1418" w:hanging="567"/>
        <w:jc w:val="both"/>
        <w:rPr>
          <w:rFonts w:eastAsia="Calibri"/>
          <w:b/>
          <w:i/>
          <w:noProof/>
          <w:szCs w:val="22"/>
        </w:rPr>
      </w:pPr>
      <w:r w:rsidRPr="002D6F62">
        <w:rPr>
          <w:b/>
          <w:i/>
        </w:rPr>
        <w:t>b)</w:t>
      </w:r>
      <w:r w:rsidRPr="002D6F62">
        <w:rPr>
          <w:b/>
          <w:i/>
        </w:rPr>
        <w:tab/>
        <w:t xml:space="preserve"> nodrošina saskaņotas ziņošanas un informācijas atklāšanas prasības nozaru un starpnozaru tiesību aktos;</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c) </w:t>
      </w:r>
      <w:r w:rsidRPr="002D6F62">
        <w:rPr>
          <w:b/>
          <w:i/>
        </w:rPr>
        <w:tab/>
        <w:t>nodrošina ziņošanas un informācijas atklāšanas prasību samērīgumu ar ziņotājas struktūras veidu, lielumu un sarežģītību;</w:t>
      </w:r>
    </w:p>
    <w:p w:rsidR="00F00C2C" w:rsidRPr="002D6F62" w:rsidRDefault="00F00C2C" w:rsidP="00F00C2C">
      <w:pPr>
        <w:widowControl/>
        <w:spacing w:before="120" w:after="120"/>
        <w:ind w:left="1418" w:hanging="567"/>
        <w:jc w:val="both"/>
        <w:rPr>
          <w:rFonts w:eastAsia="Calibri"/>
          <w:b/>
          <w:bCs/>
          <w:i/>
          <w:iCs/>
          <w:szCs w:val="22"/>
        </w:rPr>
      </w:pPr>
      <w:r w:rsidRPr="002D6F62">
        <w:rPr>
          <w:b/>
          <w:i/>
        </w:rPr>
        <w:t xml:space="preserve">d) </w:t>
      </w:r>
      <w:r w:rsidRPr="002D6F62">
        <w:rPr>
          <w:b/>
          <w:i/>
        </w:rPr>
        <w:tab/>
        <w:t>nodrošina, ka ziņošanas un informācijas atklāšanas prasību ievērošana ir samērīga ar iestādes uzdevumu un mērķu izpildes pievienoto vērtību.</w:t>
      </w:r>
    </w:p>
    <w:p w:rsidR="00F00C2C" w:rsidRPr="002D6F62" w:rsidRDefault="00F00C2C" w:rsidP="00F00C2C">
      <w:pPr>
        <w:widowControl/>
        <w:spacing w:before="120" w:after="120"/>
        <w:ind w:left="851"/>
        <w:jc w:val="both"/>
        <w:rPr>
          <w:rFonts w:eastAsia="Calibri"/>
          <w:b/>
          <w:i/>
          <w:szCs w:val="22"/>
        </w:rPr>
      </w:pPr>
      <w:r w:rsidRPr="002D6F62">
        <w:rPr>
          <w:b/>
          <w:i/>
        </w:rPr>
        <w:t>Lai sniegtu atzinumus par pirmajā daļā minētajiem spēkā esošajiem leģislatīvajiem aktiem, iestāde pēc attiecīgas apspriešanās pienācīgi ņem vērā visu attiecīgo ieinteresēto personu ieguldījumu. Pamatojoties uz minētajiem atzinumiem, Komisija attiecīgā gadījumā iesniedz Eiropas Parlamentam un Padomei tiesību akta priekšlikumu.</w:t>
      </w:r>
      <w:r w:rsidR="002D6F62" w:rsidRPr="002D6F62">
        <w:rPr>
          <w:b/>
          <w:i/>
        </w:rPr>
        <w:t>”;</w:t>
      </w:r>
    </w:p>
    <w:p w:rsidR="00F00C2C" w:rsidRPr="002D6F62" w:rsidRDefault="00F00C2C" w:rsidP="00F00C2C">
      <w:pPr>
        <w:widowControl/>
        <w:spacing w:before="120" w:after="120"/>
        <w:ind w:left="850" w:hanging="850"/>
        <w:jc w:val="both"/>
        <w:rPr>
          <w:rFonts w:eastAsia="Calibri"/>
          <w:noProof/>
          <w:szCs w:val="22"/>
        </w:rPr>
      </w:pPr>
      <w:r w:rsidRPr="002D6F62">
        <w:t>1.</w:t>
      </w:r>
      <w:r w:rsidRPr="002D6F62">
        <w:tab/>
        <w:t>regulas 29. panta 1. punkta d) apakšpunktu aizstāj ar šādu: </w:t>
      </w:r>
    </w:p>
    <w:p w:rsidR="00F00C2C" w:rsidRPr="002D6F62" w:rsidRDefault="00F00C2C" w:rsidP="00F00C2C">
      <w:pPr>
        <w:widowControl/>
        <w:spacing w:before="120" w:after="120"/>
        <w:ind w:left="851"/>
        <w:jc w:val="both"/>
        <w:rPr>
          <w:rFonts w:eastAsia="Calibri"/>
          <w:b/>
          <w:i/>
          <w:szCs w:val="22"/>
        </w:rPr>
      </w:pPr>
      <w:r w:rsidRPr="002D6F62">
        <w:t>“d)</w:t>
      </w:r>
      <w:r w:rsidRPr="002D6F62">
        <w:rPr>
          <w:b/>
          <w:i/>
        </w:rPr>
        <w:tab/>
      </w:r>
      <w:r w:rsidRPr="002D6F62">
        <w:t xml:space="preserve"> pārskata Komisijas pieņemto attiecīgo regulatīvo un īstenošanas tehnisko standartu un iestādes sniegto pamatnostādņu un ieteikumu piemērošanu un vajadzības gadījumā ierosina grozījumus</w:t>
      </w:r>
      <w:r w:rsidRPr="002D6F62">
        <w:rPr>
          <w:b/>
          <w:bCs/>
          <w:i/>
          <w:iCs/>
        </w:rPr>
        <w:t>, ar kuriem nemainīgi saglabā datu lietojamību un kvalitāti, nolūkā:</w:t>
      </w:r>
    </w:p>
    <w:p w:rsidR="00F00C2C" w:rsidRPr="002D6F62" w:rsidRDefault="00F00C2C" w:rsidP="00F00C2C">
      <w:pPr>
        <w:widowControl/>
        <w:spacing w:before="120" w:after="120"/>
        <w:ind w:left="720"/>
        <w:jc w:val="both"/>
        <w:rPr>
          <w:rFonts w:eastAsia="Calibri"/>
          <w:b/>
          <w:i/>
          <w:szCs w:val="22"/>
        </w:rPr>
      </w:pPr>
      <w:r w:rsidRPr="002D6F62">
        <w:rPr>
          <w:b/>
          <w:bCs/>
          <w:i/>
          <w:iCs/>
        </w:rPr>
        <w:t>–</w:t>
      </w:r>
      <w:r w:rsidRPr="002D6F62">
        <w:t xml:space="preserve">atcelt nevajadzīgas vai novecojušas ziņošanas </w:t>
      </w:r>
      <w:r w:rsidRPr="002D6F62">
        <w:rPr>
          <w:b/>
          <w:bCs/>
          <w:i/>
          <w:iCs/>
        </w:rPr>
        <w:t>un informācijas atklāšanas</w:t>
      </w:r>
      <w:r w:rsidRPr="002D6F62">
        <w:t xml:space="preserve"> prasības</w:t>
      </w:r>
      <w:r w:rsidRPr="002D6F62">
        <w:rPr>
          <w:b/>
          <w:bCs/>
          <w:i/>
          <w:iCs/>
        </w:rPr>
        <w:t>;</w:t>
      </w:r>
    </w:p>
    <w:p w:rsidR="00F00C2C" w:rsidRPr="002D6F62" w:rsidRDefault="00F00C2C" w:rsidP="00F00C2C">
      <w:pPr>
        <w:widowControl/>
        <w:spacing w:before="120" w:after="120"/>
        <w:ind w:left="720"/>
        <w:jc w:val="both"/>
        <w:rPr>
          <w:rFonts w:eastAsia="Calibri"/>
          <w:b/>
          <w:i/>
          <w:noProof/>
          <w:szCs w:val="22"/>
        </w:rPr>
      </w:pPr>
      <w:r w:rsidRPr="002D6F62">
        <w:rPr>
          <w:b/>
          <w:bCs/>
          <w:i/>
          <w:iCs/>
        </w:rPr>
        <w:t>–</w:t>
      </w:r>
      <w:r w:rsidRPr="002D6F62">
        <w:rPr>
          <w:b/>
          <w:i/>
        </w:rPr>
        <w:t xml:space="preserve"> nodrošināt samērīgas un standartizētas ziņošanas un informācijas atklāšanas prasības;</w:t>
      </w:r>
    </w:p>
    <w:p w:rsidR="00F00C2C" w:rsidRPr="002D6F62" w:rsidRDefault="00F00C2C" w:rsidP="00F00C2C">
      <w:pPr>
        <w:widowControl/>
        <w:spacing w:before="120" w:after="120"/>
        <w:ind w:firstLine="720"/>
        <w:jc w:val="both"/>
        <w:rPr>
          <w:rFonts w:eastAsia="Calibri"/>
          <w:b/>
          <w:i/>
          <w:szCs w:val="22"/>
        </w:rPr>
      </w:pPr>
      <w:r w:rsidRPr="002D6F62">
        <w:rPr>
          <w:b/>
          <w:bCs/>
          <w:i/>
          <w:iCs/>
        </w:rPr>
        <w:t>–</w:t>
      </w:r>
      <w:r w:rsidRPr="002D6F62">
        <w:t xml:space="preserve"> līdz minimumam samazināt izmaksas</w:t>
      </w:r>
      <w:r w:rsidRPr="002D6F62">
        <w:rPr>
          <w:b/>
          <w:bCs/>
          <w:i/>
          <w:iCs/>
        </w:rPr>
        <w:t>;</w:t>
      </w:r>
    </w:p>
    <w:p w:rsidR="00F00C2C" w:rsidRPr="002D6F62" w:rsidRDefault="00F00C2C" w:rsidP="00F00C2C">
      <w:pPr>
        <w:widowControl/>
        <w:spacing w:before="120" w:after="120"/>
        <w:ind w:firstLine="720"/>
        <w:jc w:val="both"/>
        <w:rPr>
          <w:rFonts w:eastAsia="Calibri"/>
          <w:b/>
          <w:i/>
          <w:szCs w:val="22"/>
        </w:rPr>
      </w:pPr>
      <w:r w:rsidRPr="002D6F62">
        <w:rPr>
          <w:b/>
          <w:bCs/>
          <w:i/>
          <w:iCs/>
        </w:rPr>
        <w:t>–</w:t>
      </w:r>
      <w:r w:rsidRPr="002D6F62">
        <w:rPr>
          <w:b/>
          <w:i/>
        </w:rPr>
        <w:t xml:space="preserve"> novērst tiesību aktu nepilnības;”</w:t>
      </w:r>
      <w:r w:rsidR="002D6F62" w:rsidRPr="002D6F62">
        <w:rPr>
          <w:b/>
          <w:i/>
        </w:rPr>
        <w:t>;</w:t>
      </w:r>
    </w:p>
    <w:p w:rsidR="00F00C2C" w:rsidRPr="002D6F62" w:rsidRDefault="00F00C2C" w:rsidP="00F00C2C">
      <w:pPr>
        <w:widowControl/>
        <w:spacing w:before="120" w:after="120"/>
        <w:ind w:left="851" w:hanging="851"/>
        <w:jc w:val="both"/>
        <w:rPr>
          <w:rFonts w:eastAsia="Calibri"/>
          <w:noProof/>
          <w:szCs w:val="22"/>
        </w:rPr>
      </w:pPr>
      <w:r w:rsidRPr="002D6F62">
        <w:lastRenderedPageBreak/>
        <w:t>2.</w:t>
      </w:r>
      <w:r w:rsidRPr="002D6F62">
        <w:tab/>
        <w:t>regulas 30. panta 3. punktā pievieno šādu e) apakšpunktu: </w:t>
      </w:r>
    </w:p>
    <w:p w:rsidR="00F00C2C" w:rsidRPr="002D6F62" w:rsidRDefault="00F00C2C" w:rsidP="00F00C2C">
      <w:pPr>
        <w:widowControl/>
        <w:spacing w:before="120" w:after="120"/>
        <w:ind w:left="851"/>
        <w:jc w:val="both"/>
        <w:rPr>
          <w:rFonts w:eastAsia="Calibri"/>
          <w:noProof/>
          <w:szCs w:val="22"/>
        </w:rPr>
      </w:pPr>
      <w:r w:rsidRPr="002D6F62">
        <w:t xml:space="preserve">“e) valstu ziņošanas </w:t>
      </w:r>
      <w:r w:rsidRPr="002D6F62">
        <w:rPr>
          <w:b/>
          <w:bCs/>
          <w:i/>
          <w:iCs/>
        </w:rPr>
        <w:t>un informācijas atklāšanas</w:t>
      </w:r>
      <w:r w:rsidRPr="002D6F62">
        <w:t xml:space="preserve"> prasību efektivitāte un šādu prasību konverģences pakāpe ar Savienības tiesību aktos noteiktajām prasībām</w:t>
      </w:r>
      <w:r w:rsidRPr="002D6F62">
        <w:rPr>
          <w:b/>
          <w:bCs/>
          <w:i/>
          <w:iCs/>
        </w:rPr>
        <w:t xml:space="preserve">, kā arī to piemērotība minētajos aktos noteikto standartu ievērošanai, </w:t>
      </w:r>
      <w:proofErr w:type="spellStart"/>
      <w:r w:rsidRPr="002D6F62">
        <w:rPr>
          <w:b/>
          <w:bCs/>
          <w:i/>
          <w:iCs/>
        </w:rPr>
        <w:t>izvērtējumā</w:t>
      </w:r>
      <w:proofErr w:type="spellEnd"/>
      <w:r w:rsidRPr="002D6F62">
        <w:rPr>
          <w:b/>
          <w:bCs/>
          <w:i/>
          <w:iCs/>
        </w:rPr>
        <w:t xml:space="preserve"> ņemot vērā dalībvalstu finanšu jurisdikciju specifiskās īpatnības</w:t>
      </w:r>
      <w:r w:rsidRPr="002D6F62">
        <w:t>.”; </w:t>
      </w:r>
    </w:p>
    <w:p w:rsidR="00F00C2C" w:rsidRPr="002D6F62" w:rsidRDefault="00F00C2C" w:rsidP="00F00C2C">
      <w:pPr>
        <w:widowControl/>
        <w:spacing w:before="120" w:after="120"/>
        <w:ind w:left="850" w:hanging="850"/>
        <w:jc w:val="both"/>
        <w:rPr>
          <w:rFonts w:eastAsia="Calibri"/>
          <w:noProof/>
          <w:szCs w:val="22"/>
        </w:rPr>
      </w:pPr>
      <w:r w:rsidRPr="002D6F62">
        <w:t>3.</w:t>
      </w:r>
      <w:r w:rsidRPr="002D6F62">
        <w:tab/>
        <w:t>regulas 35. panta 4. punktu aizstāj ar šādu: </w:t>
      </w:r>
    </w:p>
    <w:p w:rsidR="00F00C2C" w:rsidRPr="002D6F62" w:rsidRDefault="00F00C2C" w:rsidP="00F00C2C">
      <w:pPr>
        <w:widowControl/>
        <w:spacing w:before="120" w:after="120"/>
        <w:ind w:left="851"/>
        <w:jc w:val="both"/>
        <w:rPr>
          <w:rFonts w:eastAsia="Calibri"/>
          <w:noProof/>
          <w:szCs w:val="22"/>
        </w:rPr>
      </w:pPr>
      <w:r w:rsidRPr="002D6F62">
        <w:t xml:space="preserve">“4.  Pirms informācijas pieprasīšanas saskaņā ar šo pantu un lai </w:t>
      </w:r>
      <w:r w:rsidRPr="002D6F62">
        <w:rPr>
          <w:b/>
          <w:bCs/>
          <w:i/>
          <w:iCs/>
        </w:rPr>
        <w:t>nodrošinātu, ka</w:t>
      </w:r>
      <w:r w:rsidRPr="002D6F62">
        <w:t xml:space="preserve"> ziņošanas un informācijas atklāšanas </w:t>
      </w:r>
      <w:r w:rsidRPr="002D6F62">
        <w:rPr>
          <w:b/>
          <w:bCs/>
          <w:i/>
          <w:iCs/>
        </w:rPr>
        <w:t>pienākumi nedublējas</w:t>
      </w:r>
      <w:r w:rsidRPr="002D6F62">
        <w:t xml:space="preserve">, iestāde ņem vērā 35.a panta </w:t>
      </w:r>
      <w:r w:rsidRPr="002D6F62">
        <w:rPr>
          <w:b/>
          <w:bCs/>
          <w:i/>
          <w:iCs/>
        </w:rPr>
        <w:t>1.b</w:t>
      </w:r>
      <w:r w:rsidRPr="002D6F62">
        <w:t> punktā minēto citu iestāžu pieprasīto informāciju un visu attiecīgo esošo statistiku, ko sagatavojusi un izplatījusi Eiropas Statistikas sistēma un Eiropas Centrālo banku sistēma.”; </w:t>
      </w:r>
    </w:p>
    <w:p w:rsidR="00F00C2C" w:rsidRPr="002D6F62" w:rsidRDefault="00F00C2C" w:rsidP="00F00C2C">
      <w:pPr>
        <w:widowControl/>
        <w:spacing w:before="120" w:after="120"/>
        <w:jc w:val="both"/>
        <w:rPr>
          <w:rFonts w:eastAsia="Calibri"/>
          <w:noProof/>
          <w:szCs w:val="22"/>
        </w:rPr>
      </w:pPr>
      <w:r w:rsidRPr="002D6F62">
        <w:t>4.</w:t>
      </w:r>
      <w:r w:rsidRPr="002D6F62">
        <w:tab/>
        <w:t>regulā iekļauj šādu 35.a pantu: </w:t>
      </w:r>
    </w:p>
    <w:p w:rsidR="00F00C2C" w:rsidRPr="002D6F62" w:rsidRDefault="00F00C2C" w:rsidP="00F00C2C">
      <w:pPr>
        <w:widowControl/>
        <w:spacing w:before="120" w:after="120"/>
        <w:rPr>
          <w:rFonts w:eastAsia="Calibri"/>
          <w:noProof/>
          <w:szCs w:val="22"/>
        </w:rPr>
      </w:pPr>
      <w:r w:rsidRPr="002D6F62">
        <w:t>“35.a pants</w:t>
      </w:r>
    </w:p>
    <w:p w:rsidR="00F00C2C" w:rsidRPr="002D6F62" w:rsidRDefault="00F00C2C" w:rsidP="00F00C2C">
      <w:pPr>
        <w:widowControl/>
        <w:spacing w:before="120" w:after="120"/>
        <w:rPr>
          <w:rFonts w:eastAsia="Calibri"/>
          <w:noProof/>
          <w:szCs w:val="22"/>
        </w:rPr>
      </w:pPr>
      <w:r w:rsidRPr="002D6F62">
        <w:rPr>
          <w:b/>
        </w:rPr>
        <w:t>Informācijas apmaiņa starp iestādēm un ar citām struktūrām</w:t>
      </w:r>
    </w:p>
    <w:p w:rsidR="00F00C2C" w:rsidRPr="002D6F62" w:rsidRDefault="00F00C2C" w:rsidP="00F00C2C">
      <w:pPr>
        <w:widowControl/>
        <w:spacing w:before="120" w:after="120"/>
        <w:ind w:left="851" w:hanging="851"/>
        <w:jc w:val="both"/>
        <w:rPr>
          <w:rFonts w:eastAsia="Calibri"/>
          <w:b/>
          <w:i/>
          <w:szCs w:val="22"/>
        </w:rPr>
      </w:pPr>
      <w:r w:rsidRPr="002D6F62">
        <w:t xml:space="preserve">1. </w:t>
      </w:r>
      <w:r w:rsidRPr="002D6F62">
        <w:rPr>
          <w:b/>
          <w:i/>
        </w:rPr>
        <w:tab/>
      </w:r>
      <w:r w:rsidRPr="002D6F62">
        <w:t>Iestāde un kompetentās iestādes katrā atsevišķā gadījumā vai regulāri kopīgo ar citām iestādēm informāciju, ko tās ieguvušas no finanšu iestādēm vai citām kompetentajām iestādēm</w:t>
      </w:r>
      <w:r w:rsidRPr="002D6F62">
        <w:rPr>
          <w:b/>
          <w:bCs/>
          <w:i/>
          <w:iCs/>
        </w:rPr>
        <w:t>, ja informācijas pieprasītājai iestādei saskaņā ar tās misiju, mērķiem, uzdevumiem un pilnvarām vai attiecīgajiem Savienības tiesību aktiem ir tiesības šādu informāciju iegūt</w:t>
      </w:r>
      <w:r w:rsidRPr="002D6F62">
        <w:t>.</w:t>
      </w:r>
      <w:r w:rsidRPr="002D6F62">
        <w:rPr>
          <w:b/>
          <w:i/>
        </w:rPr>
        <w:t xml:space="preserve"> </w:t>
      </w:r>
    </w:p>
    <w:p w:rsidR="00F00C2C" w:rsidRPr="002D6F62" w:rsidRDefault="00F00C2C" w:rsidP="00F00C2C">
      <w:pPr>
        <w:widowControl/>
        <w:spacing w:before="120" w:after="120"/>
        <w:ind w:left="851"/>
        <w:jc w:val="both"/>
        <w:rPr>
          <w:rFonts w:eastAsia="Calibri"/>
          <w:b/>
          <w:i/>
          <w:szCs w:val="22"/>
        </w:rPr>
      </w:pPr>
      <w:r w:rsidRPr="002D6F62">
        <w:rPr>
          <w:b/>
          <w:i/>
        </w:rPr>
        <w:t xml:space="preserve">Pēc 35.b pantā minētās vienotās integrētās ziņošanas sistēmas izveides iestāde vai kompetentā iestāde to izmanto šā punkta pirmajā daļā minētās informācijas kopīgošanas nolūkā. </w:t>
      </w:r>
    </w:p>
    <w:p w:rsidR="00F00C2C" w:rsidRPr="002D6F62" w:rsidRDefault="00F00C2C" w:rsidP="00F00C2C">
      <w:pPr>
        <w:widowControl/>
        <w:spacing w:before="120" w:after="120"/>
        <w:ind w:left="851" w:hanging="851"/>
        <w:jc w:val="both"/>
        <w:rPr>
          <w:rFonts w:eastAsia="Calibri"/>
          <w:b/>
          <w:i/>
          <w:noProof/>
          <w:szCs w:val="22"/>
        </w:rPr>
      </w:pPr>
      <w:r w:rsidRPr="002D6F62">
        <w:rPr>
          <w:b/>
          <w:i/>
        </w:rPr>
        <w:t>1.a</w:t>
      </w:r>
      <w:r w:rsidRPr="002D6F62">
        <w:rPr>
          <w:b/>
          <w:i/>
        </w:rPr>
        <w:tab/>
        <w:t>Gan iestāde, gan katra kompetentā iestāde pieprasa no citām iestādēm informāciju, ko tās citkārt pieprasītu finanšu iestādēm vai citām kompetentajām iestādēm, ja ir izpildīti abi šie nosacījumi:</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a) </w:t>
      </w:r>
      <w:r w:rsidRPr="002D6F62">
        <w:rPr>
          <w:b/>
          <w:i/>
        </w:rPr>
        <w:tab/>
        <w:t>tām ir tiesības iegūt attiecīgo informāciju saskaņā ar savu misiju, mērķiem, uzdevumiem un pilnvarām vai saskaņā ar attiecīgajiem Savienības tiesību aktiem;</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b) </w:t>
      </w:r>
      <w:r w:rsidRPr="002D6F62">
        <w:rPr>
          <w:b/>
          <w:i/>
        </w:rPr>
        <w:tab/>
        <w:t>attiecīgo informāciju ir ieguvusi vismaz vēl viena cita iestāde.</w:t>
      </w:r>
    </w:p>
    <w:p w:rsidR="00F00C2C" w:rsidRPr="002D6F62" w:rsidRDefault="00F00C2C" w:rsidP="00F00C2C">
      <w:pPr>
        <w:widowControl/>
        <w:spacing w:before="120" w:after="120"/>
        <w:ind w:left="851"/>
        <w:jc w:val="both"/>
        <w:rPr>
          <w:rFonts w:eastAsia="Calibri"/>
          <w:b/>
          <w:i/>
          <w:noProof/>
          <w:szCs w:val="22"/>
        </w:rPr>
      </w:pPr>
      <w:r w:rsidRPr="002D6F62">
        <w:rPr>
          <w:b/>
          <w:i/>
        </w:rPr>
        <w:t>Šī panta pirmā daļa neskar iestādes un kompetento iestāžu iespēju iegūt pieprasīto informāciju no finanšu iestādēm vai citām kompetentām iestādēm, ja operatīvu iemeslu dēļ kāda cita iestāde datus sniegt nespēj.</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Pēc 35.b pantā minētās vienotās integrētās ziņošanas sistēmas izveides iestāde vai kompetentās iestādes to izmanto, lai noteiktu, vai ir izpildīts pirmās daļas b) apakšpunktā izklāstītais nosacījums. </w:t>
      </w:r>
    </w:p>
    <w:p w:rsidR="00F00C2C" w:rsidRPr="002D6F62" w:rsidRDefault="00F00C2C" w:rsidP="00F00C2C">
      <w:pPr>
        <w:widowControl/>
        <w:spacing w:before="120" w:after="120"/>
        <w:ind w:left="851" w:hanging="851"/>
        <w:jc w:val="both"/>
        <w:rPr>
          <w:rFonts w:eastAsia="Calibri"/>
          <w:b/>
          <w:i/>
          <w:noProof/>
          <w:szCs w:val="22"/>
        </w:rPr>
      </w:pPr>
      <w:r w:rsidRPr="002D6F62">
        <w:rPr>
          <w:b/>
          <w:i/>
        </w:rPr>
        <w:t>1.b</w:t>
      </w:r>
      <w:r w:rsidRPr="002D6F62">
        <w:rPr>
          <w:b/>
          <w:i/>
        </w:rPr>
        <w:tab/>
        <w:t>Šā panta, 35.b panta un 70. panta 3. punkta piemērošanas nolūkā “citas iestādes” ir jebkura no šīm iestādēm:</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a) </w:t>
      </w:r>
      <w:r w:rsidRPr="002D6F62">
        <w:rPr>
          <w:b/>
          <w:i/>
        </w:rPr>
        <w:tab/>
        <w:t>citas Eiropas uzraudzības iestādes;</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b) </w:t>
      </w:r>
      <w:r w:rsidRPr="002D6F62">
        <w:rPr>
          <w:b/>
          <w:i/>
        </w:rPr>
        <w:tab/>
        <w:t>ESRK;</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c) </w:t>
      </w:r>
      <w:r w:rsidRPr="002D6F62">
        <w:rPr>
          <w:b/>
          <w:i/>
        </w:rPr>
        <w:tab/>
        <w:t>kompetentās iestādes, kā definēts šīs regulas 4. panta 2.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d) </w:t>
      </w:r>
      <w:r w:rsidRPr="002D6F62">
        <w:rPr>
          <w:b/>
          <w:i/>
        </w:rPr>
        <w:tab/>
        <w:t>kompetentās iestādes, kā definēts Regulas (ES) Nr. 1094/2010 4. panta 2.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lastRenderedPageBreak/>
        <w:t xml:space="preserve">e) </w:t>
      </w:r>
      <w:r w:rsidRPr="002D6F62">
        <w:rPr>
          <w:b/>
          <w:i/>
        </w:rPr>
        <w:tab/>
        <w:t>kompetentās iestādes, kā definēts Regulas (ES) Nr. 1095/2010 4. panta 3.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f) </w:t>
      </w:r>
      <w:r w:rsidRPr="002D6F62">
        <w:rPr>
          <w:b/>
          <w:i/>
        </w:rPr>
        <w:tab/>
        <w:t>AMLA, kas izveidota ar Eiropas Parlamenta un Padomes Regulu (ES) .../...</w:t>
      </w:r>
      <w:r w:rsidR="006E05C1">
        <w:rPr>
          <w:rStyle w:val="FootnoteReference"/>
          <w:b/>
          <w:bCs/>
          <w:i/>
          <w:iCs/>
        </w:rPr>
        <w:footnoteReference w:customMarkFollows="1" w:id="17"/>
        <w:t>+</w:t>
      </w:r>
      <w:r w:rsidRPr="002D6F62">
        <w:rPr>
          <w:b/>
          <w:i/>
        </w:rPr>
        <w:t>;</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g) </w:t>
      </w:r>
      <w:r w:rsidRPr="002D6F62">
        <w:rPr>
          <w:b/>
          <w:i/>
        </w:rPr>
        <w:tab/>
        <w:t>iestādes, kā definēts Eiropas Parlamenta un Padomes Direktīvas (ES) .../...</w:t>
      </w:r>
      <w:r w:rsidR="006E05C1">
        <w:rPr>
          <w:rStyle w:val="FootnoteReference"/>
          <w:b/>
          <w:i/>
        </w:rPr>
        <w:footnoteReference w:customMarkFollows="1" w:id="18"/>
        <w:t>++</w:t>
      </w:r>
      <w:r w:rsidRPr="002D6F62">
        <w:rPr>
          <w:b/>
          <w:i/>
        </w:rPr>
        <w:t xml:space="preserve"> 2. panta 1.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h) </w:t>
      </w:r>
      <w:r w:rsidRPr="002D6F62">
        <w:rPr>
          <w:b/>
          <w:i/>
        </w:rPr>
        <w:tab/>
        <w:t>VUM, kā definēts Regulas (ES) Nr. 1024/2013 2. panta 9.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i) VNV;</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j) </w:t>
      </w:r>
      <w:r w:rsidRPr="002D6F62">
        <w:rPr>
          <w:b/>
          <w:i/>
        </w:rPr>
        <w:tab/>
        <w:t>valsts noregulējuma iestādes, kā definēts Regulas (ES) Nr. 806/2014 3. panta 3. punktā.</w:t>
      </w:r>
    </w:p>
    <w:p w:rsidR="00F00C2C" w:rsidRPr="002D6F62" w:rsidRDefault="00F00C2C" w:rsidP="00F00C2C">
      <w:pPr>
        <w:widowControl/>
        <w:spacing w:before="120" w:after="120"/>
        <w:ind w:left="851"/>
        <w:jc w:val="both"/>
        <w:rPr>
          <w:rFonts w:eastAsia="Calibri"/>
          <w:b/>
          <w:i/>
          <w:noProof/>
          <w:szCs w:val="22"/>
        </w:rPr>
      </w:pPr>
      <w:r w:rsidRPr="002D6F62">
        <w:rPr>
          <w:b/>
          <w:i/>
        </w:rPr>
        <w:t>Šajā pantā “finanšu iestāde” ir “finanšu iestāde” saskaņā ar definīciju Regulas (ES) Nr. 1092/2010 2. panta a) punktā.</w:t>
      </w:r>
    </w:p>
    <w:p w:rsidR="00F00C2C" w:rsidRPr="002D6F62" w:rsidRDefault="00F00C2C" w:rsidP="00F00C2C">
      <w:pPr>
        <w:widowControl/>
        <w:spacing w:before="120" w:after="120"/>
        <w:ind w:left="851" w:hanging="851"/>
        <w:jc w:val="both"/>
        <w:rPr>
          <w:rFonts w:eastAsia="Calibri"/>
          <w:noProof/>
          <w:szCs w:val="22"/>
        </w:rPr>
      </w:pPr>
      <w:r w:rsidRPr="002D6F62">
        <w:t xml:space="preserve">2. </w:t>
      </w:r>
      <w:r w:rsidRPr="002D6F62">
        <w:rPr>
          <w:b/>
          <w:i/>
        </w:rPr>
        <w:tab/>
      </w:r>
      <w:r w:rsidRPr="002D6F62">
        <w:t>Informācijas apmaiņas pieprasījumā būtu pienācīgi norāda juridiskais pamats saskaņā ar Savienības tiesību aktiem, kas pieprasījuma iesniedzējai iestādei ļauj iegūt informāciju no finanšu iestādēm vai citām kompetentajām iestādēm. Pieprasījuma iesniedzējai iestādei un kopīgotājai iestādei ir pienākums glabāt dienesta noslēpumu un ievērot 70. un 71. pantā un nozaru tiesību aktos paredzēto datu aizsardzību, kuru piemēro datu kopīgošanai starp finanšu iestādi un pieprasījuma iesniedzēju iestādi, kā arī datu kopīgošanai starp finanšu iestādi un kopīgotāju iestādi. Kopīgotāja iestāde bez liekas kavēšanās informē katru attiecīgo finanšu iestādi ▌ par šādu informācijas apmaiņu</w:t>
      </w:r>
      <w:r w:rsidRPr="002D6F62">
        <w:rPr>
          <w:b/>
          <w:bCs/>
          <w:i/>
          <w:iCs/>
        </w:rPr>
        <w:t xml:space="preserve">, ja vien šāda informācija nav </w:t>
      </w:r>
      <w:proofErr w:type="spellStart"/>
      <w:r w:rsidRPr="002D6F62">
        <w:rPr>
          <w:b/>
          <w:bCs/>
          <w:i/>
          <w:iCs/>
        </w:rPr>
        <w:t>anonimizēta</w:t>
      </w:r>
      <w:proofErr w:type="spellEnd"/>
      <w:r w:rsidRPr="002D6F62">
        <w:rPr>
          <w:b/>
          <w:bCs/>
          <w:i/>
          <w:iCs/>
        </w:rPr>
        <w:t>, izmainīta, apkopota vai apstrādāta, izmantojot kādu citu informācijas izpaušanas kontroles metodi, ar kuru aizsargā konfidenciālu informāciju</w:t>
      </w:r>
      <w:r w:rsidRPr="002D6F62">
        <w:t xml:space="preserve">. </w:t>
      </w:r>
    </w:p>
    <w:p w:rsidR="00F00C2C" w:rsidRPr="002D6F62" w:rsidRDefault="00F00C2C" w:rsidP="00F00C2C">
      <w:pPr>
        <w:widowControl/>
        <w:spacing w:before="120" w:after="120"/>
        <w:ind w:left="851" w:hanging="851"/>
        <w:jc w:val="both"/>
        <w:rPr>
          <w:rFonts w:eastAsia="Calibri"/>
          <w:noProof/>
          <w:szCs w:val="22"/>
        </w:rPr>
      </w:pPr>
      <w:r w:rsidRPr="002D6F62">
        <w:t xml:space="preserve">3. </w:t>
      </w:r>
      <w:r w:rsidRPr="002D6F62">
        <w:rPr>
          <w:b/>
          <w:i/>
        </w:rPr>
        <w:tab/>
      </w:r>
      <w:r w:rsidRPr="002D6F62">
        <w:t xml:space="preserve">Šā panta 1., </w:t>
      </w:r>
      <w:r w:rsidRPr="002D6F62">
        <w:rPr>
          <w:b/>
          <w:bCs/>
          <w:i/>
          <w:iCs/>
        </w:rPr>
        <w:t>1.a un</w:t>
      </w:r>
      <w:r w:rsidRPr="002D6F62">
        <w:t xml:space="preserve"> 2. punktu piemēro arī informācijai, ko kopīgotāja iestāde ir saņēmusi no finanšu iestādes </w:t>
      </w:r>
      <w:r w:rsidRPr="002D6F62">
        <w:rPr>
          <w:b/>
          <w:bCs/>
          <w:i/>
          <w:iCs/>
        </w:rPr>
        <w:t>vai citām iestādēm</w:t>
      </w:r>
      <w:r w:rsidRPr="002D6F62">
        <w:t xml:space="preserve">, un saistībā ar kuru kopīgotāja iestāde pēc tam ir veikusi kvalitātes pārbaudes, vai kuru kopīgotāja iestāde ir citādi apstrādājusi. </w:t>
      </w:r>
    </w:p>
    <w:p w:rsidR="00F00C2C" w:rsidRPr="002D6F62" w:rsidRDefault="00F00C2C" w:rsidP="00F00C2C">
      <w:pPr>
        <w:widowControl/>
        <w:spacing w:before="120" w:after="120"/>
        <w:ind w:left="851" w:hanging="851"/>
        <w:jc w:val="both"/>
        <w:rPr>
          <w:rFonts w:eastAsia="Calibri"/>
          <w:noProof/>
          <w:szCs w:val="22"/>
        </w:rPr>
      </w:pPr>
      <w:r w:rsidRPr="002D6F62">
        <w:t xml:space="preserve">4. </w:t>
      </w:r>
      <w:r w:rsidRPr="002D6F62">
        <w:rPr>
          <w:b/>
          <w:i/>
        </w:rPr>
        <w:tab/>
      </w:r>
      <w:r w:rsidRPr="002D6F62">
        <w:t xml:space="preserve">Lai kopīgotu 1., </w:t>
      </w:r>
      <w:r w:rsidRPr="002D6F62">
        <w:rPr>
          <w:b/>
          <w:bCs/>
          <w:i/>
          <w:iCs/>
        </w:rPr>
        <w:t>1.a</w:t>
      </w:r>
      <w:r w:rsidRPr="002D6F62">
        <w:t xml:space="preserve">, 2. un 3. punktā minēto informāciju, </w:t>
      </w:r>
      <w:r w:rsidRPr="002D6F62">
        <w:rPr>
          <w:b/>
          <w:bCs/>
          <w:i/>
          <w:iCs/>
        </w:rPr>
        <w:t>Iestāde un citas</w:t>
      </w:r>
      <w:r w:rsidRPr="002D6F62">
        <w:t xml:space="preserve"> iestādes </w:t>
      </w:r>
      <w:r w:rsidRPr="002D6F62">
        <w:rPr>
          <w:b/>
          <w:bCs/>
          <w:i/>
          <w:iCs/>
        </w:rPr>
        <w:t>noslēdz</w:t>
      </w:r>
      <w:r w:rsidRPr="002D6F62">
        <w:t xml:space="preserve"> saprašanās memorandus, kuros precizē informācijas apmaiņas kārtību. Tās arī </w:t>
      </w:r>
      <w:r w:rsidRPr="002D6F62">
        <w:rPr>
          <w:b/>
          <w:bCs/>
          <w:i/>
          <w:iCs/>
        </w:rPr>
        <w:t>nosaka</w:t>
      </w:r>
      <w:r w:rsidRPr="002D6F62">
        <w:t xml:space="preserve"> kārtību, kādā tiek kopīgoti resursi šādu kopīgotu datu vākšanai un apstrādei. </w:t>
      </w:r>
      <w:r w:rsidRPr="002D6F62">
        <w:rPr>
          <w:b/>
          <w:i/>
        </w:rPr>
        <w:t>Saprašanās memorandi, kuri noslēgti, visām attiecīgajām iestādēm vienojoties, atbilst vienkāršam un standartizētam formātam, kas vajadzības gadījumā pielāgots kādiem īpašiem darbības nosacījumiem, kurus piemēro konkrētām iestādēm.</w:t>
      </w:r>
    </w:p>
    <w:p w:rsidR="00F00C2C" w:rsidRPr="002D6F62" w:rsidRDefault="00F00C2C" w:rsidP="00F00C2C">
      <w:pPr>
        <w:widowControl/>
        <w:spacing w:before="120" w:after="120"/>
        <w:ind w:left="851" w:hanging="851"/>
        <w:jc w:val="both"/>
        <w:rPr>
          <w:rFonts w:eastAsia="Calibri"/>
          <w:noProof/>
          <w:szCs w:val="22"/>
        </w:rPr>
      </w:pPr>
      <w:r w:rsidRPr="002D6F62">
        <w:t xml:space="preserve">5. </w:t>
      </w:r>
      <w:r w:rsidRPr="002D6F62">
        <w:rPr>
          <w:b/>
          <w:i/>
        </w:rPr>
        <w:tab/>
      </w:r>
      <w:r w:rsidRPr="002D6F62">
        <w:t xml:space="preserve">Šā panta 1. un 4. punkts neskar intelektuālā īpašuma tiesību aizsardzību un neliedz veikt informācijas apmaiņu starp ▌ </w:t>
      </w:r>
      <w:r w:rsidRPr="002D6F62">
        <w:rPr>
          <w:b/>
          <w:bCs/>
          <w:i/>
          <w:iCs/>
        </w:rPr>
        <w:t>iestādi un citām</w:t>
      </w:r>
      <w:r w:rsidRPr="002D6F62">
        <w:t xml:space="preserve"> iestādēm saskaņā ar citu Savienības tiesību aktu noteikumiem, kā arī neierobežo to. Ja šā punkta noteikumi ir pretrunā citu Savienības tiesību aktu noteikumiem, kas reglamentē informācijas </w:t>
      </w:r>
      <w:r w:rsidRPr="002D6F62">
        <w:lastRenderedPageBreak/>
        <w:t xml:space="preserve">apmaiņu starp </w:t>
      </w:r>
      <w:r w:rsidRPr="002D6F62">
        <w:rPr>
          <w:b/>
          <w:bCs/>
          <w:i/>
          <w:iCs/>
        </w:rPr>
        <w:t>citām</w:t>
      </w:r>
      <w:r w:rsidRPr="002D6F62">
        <w:t xml:space="preserve"> iestādēm ▌, noteicošie ir šādu citu Savienības tiesību aktu noteikumi. </w:t>
      </w:r>
    </w:p>
    <w:p w:rsidR="00F00C2C" w:rsidRPr="002D6F62" w:rsidRDefault="00F00C2C" w:rsidP="00F00C2C">
      <w:pPr>
        <w:widowControl/>
        <w:spacing w:before="120" w:after="120"/>
        <w:ind w:left="851" w:hanging="851"/>
        <w:jc w:val="both"/>
        <w:rPr>
          <w:rFonts w:eastAsia="Calibri"/>
          <w:noProof/>
          <w:szCs w:val="22"/>
        </w:rPr>
      </w:pPr>
      <w:r w:rsidRPr="002D6F62">
        <w:t xml:space="preserve">6. </w:t>
      </w:r>
      <w:r w:rsidRPr="002D6F62">
        <w:rPr>
          <w:b/>
          <w:i/>
        </w:rPr>
        <w:tab/>
      </w:r>
      <w:r w:rsidRPr="002D6F62">
        <w:t xml:space="preserve">Neskarot citus Savienības tiesību aktos noteiktos pienākumus attiecībā uz informācijas kopīgošanu, iestāde un kompetentās iestādes pēc pamatota pieprasījuma un izskatot katru gadījumu atsevišķi, </w:t>
      </w:r>
      <w:r w:rsidRPr="002D6F62">
        <w:rPr>
          <w:b/>
          <w:bCs/>
          <w:i/>
          <w:iCs/>
        </w:rPr>
        <w:t>var kopīgot</w:t>
      </w:r>
      <w:r w:rsidRPr="002D6F62">
        <w:t xml:space="preserve"> ar Komisiju ▌ informāciju, ko finanšu iestādes tām ir sniegušas saskaņā ar Savienības tiesību aktos noteiktajiem pienākumiem, ▌ veidā, kas neļauj identificēt atsevišķas struktūras un nesatur </w:t>
      </w:r>
      <w:proofErr w:type="spellStart"/>
      <w:r w:rsidRPr="002D6F62">
        <w:t>persondatus</w:t>
      </w:r>
      <w:proofErr w:type="spellEnd"/>
      <w:r w:rsidRPr="002D6F62">
        <w:t>.</w:t>
      </w:r>
    </w:p>
    <w:p w:rsidR="00F00C2C" w:rsidRPr="002D6F62" w:rsidRDefault="00F00C2C" w:rsidP="00F00C2C">
      <w:pPr>
        <w:widowControl/>
        <w:spacing w:before="120" w:after="120"/>
        <w:ind w:left="851" w:hanging="851"/>
        <w:jc w:val="both"/>
        <w:rPr>
          <w:rFonts w:eastAsia="Calibri"/>
          <w:noProof/>
          <w:szCs w:val="22"/>
        </w:rPr>
      </w:pPr>
      <w:r w:rsidRPr="002D6F62">
        <w:t xml:space="preserve">7. </w:t>
      </w:r>
      <w:r w:rsidRPr="002D6F62">
        <w:tab/>
        <w:t xml:space="preserve">Iestāde un kompetentās iestādes var piešķirt piekļuvi to pienākumu veikšanas ietvaros iegūtai informācijai, lai finanšu iestādes, pētnieki un citas struktūras, kurām ir likumīgas intereses šādu informāciju izmantot pētniecības un inovācijas nolūkos, varētu to </w:t>
      </w:r>
      <w:proofErr w:type="spellStart"/>
      <w:r w:rsidRPr="002D6F62">
        <w:t>atkalizmantot</w:t>
      </w:r>
      <w:proofErr w:type="spellEnd"/>
      <w:r w:rsidRPr="002D6F62">
        <w:t xml:space="preserve">, ar nosacījumu, ka iestāde nodrošinājusi visu turpmāk minēto nosacījumu ievērošanu: </w:t>
      </w:r>
    </w:p>
    <w:p w:rsidR="00F00C2C" w:rsidRPr="002D6F62" w:rsidRDefault="00F00C2C" w:rsidP="00F00C2C">
      <w:pPr>
        <w:widowControl/>
        <w:spacing w:before="120" w:after="120"/>
        <w:ind w:left="851"/>
        <w:jc w:val="both"/>
        <w:rPr>
          <w:rFonts w:eastAsia="Calibri"/>
          <w:noProof/>
          <w:szCs w:val="22"/>
        </w:rPr>
      </w:pPr>
      <w:r w:rsidRPr="002D6F62">
        <w:t xml:space="preserve">a) </w:t>
      </w:r>
      <w:r w:rsidRPr="002D6F62">
        <w:rPr>
          <w:b/>
          <w:i/>
        </w:rPr>
        <w:tab/>
      </w:r>
      <w:r w:rsidRPr="002D6F62">
        <w:t xml:space="preserve">informācija ir </w:t>
      </w:r>
      <w:proofErr w:type="spellStart"/>
      <w:r w:rsidRPr="002D6F62">
        <w:t>anonimizēta</w:t>
      </w:r>
      <w:proofErr w:type="spellEnd"/>
      <w:r w:rsidRPr="002D6F62">
        <w:t xml:space="preserve"> tādā veidā, ka datu subjekts vai finanšu iestāde nav vai vairs nav identificējama;</w:t>
      </w:r>
    </w:p>
    <w:p w:rsidR="00F00C2C" w:rsidRPr="002D6F62" w:rsidRDefault="00F00C2C" w:rsidP="00F00C2C">
      <w:pPr>
        <w:widowControl/>
        <w:spacing w:before="120" w:after="120"/>
        <w:ind w:left="851"/>
        <w:jc w:val="both"/>
        <w:rPr>
          <w:rFonts w:eastAsia="Calibri"/>
          <w:noProof/>
          <w:szCs w:val="22"/>
        </w:rPr>
      </w:pPr>
      <w:r w:rsidRPr="002D6F62">
        <w:t xml:space="preserve">b) </w:t>
      </w:r>
      <w:r w:rsidRPr="002D6F62">
        <w:rPr>
          <w:b/>
          <w:i/>
        </w:rPr>
        <w:tab/>
      </w:r>
      <w:r w:rsidRPr="002D6F62">
        <w:t xml:space="preserve">konfidenciālas informācijas, tostarp komercnoslēpumu vai ar intelektuālā īpašuma tiesībām aizsargāta satura, aizsardzībai informācija ir grozīta, apkopota vai apstrādāta, izmantojot jebkuru citu izpaušanas kontroles metodi. </w:t>
      </w:r>
    </w:p>
    <w:p w:rsidR="00F00C2C" w:rsidRPr="002D6F62" w:rsidRDefault="00F00C2C" w:rsidP="00F00C2C">
      <w:pPr>
        <w:widowControl/>
        <w:spacing w:before="120" w:after="120"/>
        <w:ind w:left="851"/>
        <w:jc w:val="both"/>
        <w:rPr>
          <w:noProof/>
          <w:szCs w:val="22"/>
        </w:rPr>
      </w:pPr>
      <w:r w:rsidRPr="002D6F62">
        <w:t xml:space="preserve">Informāciju, kas saņemta no citas iestādes, var kopīgot tikai </w:t>
      </w:r>
      <w:r w:rsidRPr="002D6F62">
        <w:rPr>
          <w:b/>
          <w:bCs/>
          <w:i/>
          <w:iCs/>
        </w:rPr>
        <w:t>uz šāda pamata un</w:t>
      </w:r>
      <w:r w:rsidRPr="002D6F62">
        <w:t xml:space="preserve"> ar tās iestādes piekrišanu, kura informāciju sākotnēji ieguvusi.”;</w:t>
      </w:r>
    </w:p>
    <w:p w:rsidR="00F00C2C" w:rsidRPr="002D6F62" w:rsidRDefault="00F00C2C" w:rsidP="00F00C2C">
      <w:pPr>
        <w:widowControl/>
        <w:spacing w:before="120" w:after="120"/>
        <w:ind w:left="851" w:hanging="851"/>
        <w:jc w:val="both"/>
        <w:rPr>
          <w:rFonts w:eastAsia="Calibri"/>
          <w:b/>
          <w:i/>
          <w:noProof/>
          <w:szCs w:val="22"/>
        </w:rPr>
      </w:pPr>
      <w:r w:rsidRPr="002D6F62">
        <w:rPr>
          <w:b/>
          <w:i/>
        </w:rPr>
        <w:t>7.a</w:t>
      </w:r>
      <w:r w:rsidRPr="002D6F62">
        <w:rPr>
          <w:b/>
          <w:i/>
        </w:rPr>
        <w:tab/>
        <w:t xml:space="preserve">Iestāde un kompetentās iestādes līdz ... [viens gads no šīs grozošās regulas spēkā stāšanās dienas] ziņo Komisijai par visiem juridiskajiem šķēršļiem nozaru noteikumos, kas jebkādā veidā traucē tām kopīgot informāciju ar citām iestādēm vai struktūrām. Ziņojumā var norādīt arī nebūtiskas, novecojušas, dublējošas vai citādi nenozīmīgas ziņošanas prasības un ierosinājumus, kā nodrošināt konsekvenci starp finanšu un </w:t>
      </w:r>
      <w:proofErr w:type="spellStart"/>
      <w:r w:rsidRPr="002D6F62">
        <w:rPr>
          <w:b/>
          <w:i/>
        </w:rPr>
        <w:t>nefinanšu</w:t>
      </w:r>
      <w:proofErr w:type="spellEnd"/>
      <w:r w:rsidRPr="002D6F62">
        <w:rPr>
          <w:b/>
          <w:i/>
        </w:rPr>
        <w:t xml:space="preserve"> uzņēmumu ziņošanas prasībām.</w:t>
      </w:r>
    </w:p>
    <w:p w:rsidR="00F00C2C" w:rsidRPr="002D6F62" w:rsidRDefault="00F00C2C" w:rsidP="00F00C2C">
      <w:pPr>
        <w:widowControl/>
        <w:spacing w:before="120" w:after="120"/>
        <w:ind w:left="851"/>
        <w:jc w:val="both"/>
        <w:rPr>
          <w:rFonts w:eastAsia="Calibri"/>
          <w:noProof/>
          <w:szCs w:val="22"/>
        </w:rPr>
      </w:pPr>
      <w:r w:rsidRPr="002D6F62">
        <w:rPr>
          <w:b/>
          <w:bCs/>
          <w:i/>
          <w:iCs/>
        </w:rPr>
        <w:t>Pamatojoties uz minēto ziņojumu un pienācīgi ņemot vērā nepieciešamību aizsargāt intelektuālā īpašuma tiesības, dienesta noslēpumu un datus, Komisija attiecīgā gadījumā iesniedz Eiropas Parlamentam un Padomei tiesību akta priekšlikumu, lai novērstu šādus juridiskos šķēršļus nozaru tiesību aktos nolūkā veicināt informācijas apmaiņu starp iestādēm un citām struktūrām līdz ... [divi gadi pēc šīs grozošās regulas spēkā stāšanās dienas].”;</w:t>
      </w:r>
      <w:r w:rsidRPr="002D6F62">
        <w:t> </w:t>
      </w:r>
    </w:p>
    <w:p w:rsidR="00F00C2C" w:rsidRPr="002D6F62" w:rsidRDefault="00F00C2C" w:rsidP="002D6F62">
      <w:pPr>
        <w:widowControl/>
        <w:spacing w:before="120" w:after="120"/>
        <w:ind w:left="851" w:hanging="851"/>
        <w:jc w:val="both"/>
        <w:rPr>
          <w:rFonts w:eastAsia="Calibri"/>
          <w:b/>
          <w:i/>
          <w:szCs w:val="22"/>
        </w:rPr>
      </w:pPr>
      <w:r w:rsidRPr="002D6F62">
        <w:rPr>
          <w:b/>
          <w:i/>
        </w:rPr>
        <w:t>4.a</w:t>
      </w:r>
      <w:r w:rsidRPr="002D6F62">
        <w:rPr>
          <w:b/>
          <w:i/>
        </w:rPr>
        <w:tab/>
        <w:t>iekļauj šādu pantu:</w:t>
      </w:r>
    </w:p>
    <w:p w:rsidR="00F00C2C" w:rsidRPr="002D6F62" w:rsidRDefault="00F00C2C" w:rsidP="00F00C2C">
      <w:pPr>
        <w:widowControl/>
        <w:spacing w:before="120" w:after="120"/>
        <w:ind w:left="851"/>
        <w:rPr>
          <w:rFonts w:eastAsia="Calibri"/>
          <w:b/>
          <w:i/>
          <w:noProof/>
          <w:szCs w:val="22"/>
        </w:rPr>
      </w:pPr>
      <w:r w:rsidRPr="002D6F62">
        <w:rPr>
          <w:b/>
          <w:i/>
        </w:rPr>
        <w:t>“35.b pants</w:t>
      </w:r>
    </w:p>
    <w:p w:rsidR="00F00C2C" w:rsidRPr="002D6F62" w:rsidRDefault="00F00C2C" w:rsidP="00F00C2C">
      <w:pPr>
        <w:widowControl/>
        <w:spacing w:before="120" w:after="120"/>
        <w:ind w:left="851"/>
        <w:rPr>
          <w:rFonts w:eastAsia="Calibri"/>
          <w:b/>
          <w:i/>
          <w:noProof/>
          <w:szCs w:val="22"/>
        </w:rPr>
      </w:pPr>
      <w:r w:rsidRPr="002D6F62">
        <w:rPr>
          <w:b/>
          <w:i/>
        </w:rPr>
        <w:t>Vienotas integrētās ziņošanas sistēmas izveide</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1. </w:t>
      </w:r>
      <w:r w:rsidRPr="002D6F62">
        <w:rPr>
          <w:b/>
          <w:i/>
        </w:rPr>
        <w:tab/>
        <w:t>Līdz ... [divi gadi no šīs grozošās regulas spēkā stāšanās dienas] iestāde ciešā sadarbībā ar citām iestādēm un ESRK sagatavo ziņojumu par vienotas integrētās ziņošanas sistēmas izveides tehniskajiem aspektiem, kā arī ceļvedi, kura pamatā ir darbs pie EUI pārskatu integrēšanas attiecīgajās nozarēs un kurā ietverts izmaksu un ieguvumu novērtējums. Minētā ziņojuma nolūkā vienotajā integrētajā ziņošanas sistēmā iekļauj:</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a) </w:t>
      </w:r>
      <w:r w:rsidRPr="002D6F62">
        <w:rPr>
          <w:b/>
          <w:i/>
        </w:rPr>
        <w:tab/>
        <w:t>vienotu datu vārdnīcu, lai nodrošinātu ziņošanas prasību un datu standartizācijas konsekvenci un skaidrību;</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b) </w:t>
      </w:r>
      <w:r w:rsidRPr="002D6F62">
        <w:rPr>
          <w:b/>
          <w:i/>
        </w:rPr>
        <w:tab/>
        <w:t>kopīgu ziņošanas un informācijas atklāšanas prasību repozitoriju, savākto datu aprakstu un to rīcībā esošo iestāžu kopējo repozitoriju;</w:t>
      </w:r>
    </w:p>
    <w:p w:rsidR="00F00C2C" w:rsidRPr="002D6F62" w:rsidRDefault="00F00C2C" w:rsidP="00F00C2C">
      <w:pPr>
        <w:widowControl/>
        <w:spacing w:before="120" w:after="120"/>
        <w:ind w:left="1418" w:hanging="567"/>
        <w:jc w:val="both"/>
        <w:rPr>
          <w:rFonts w:eastAsia="Calibri"/>
          <w:b/>
          <w:i/>
          <w:noProof/>
          <w:szCs w:val="22"/>
        </w:rPr>
      </w:pPr>
      <w:r w:rsidRPr="002D6F62">
        <w:rPr>
          <w:b/>
          <w:i/>
        </w:rPr>
        <w:lastRenderedPageBreak/>
        <w:t xml:space="preserve">c) </w:t>
      </w:r>
      <w:r w:rsidRPr="002D6F62">
        <w:rPr>
          <w:b/>
          <w:i/>
        </w:rPr>
        <w:tab/>
        <w:t>centrālo datu telpu, tostarp tehnisko projektu informācijas vākšanai un apmaiņai; un</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d) </w:t>
      </w:r>
      <w:r w:rsidRPr="002D6F62">
        <w:rPr>
          <w:b/>
          <w:i/>
        </w:rPr>
        <w:tab/>
        <w:t>pastāvīgu vienoto kontaktpunktu, kurā struktūras var norādīt dubultas ziņošanas gadījumus un nevajadzīgas vai novecojušas ziņošanas vai informācijas atklāšanas prasības.</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Ziņojumam pievieno ciešā sadarbībā ar Komisiju tapušo aplēsi par kopējo finansiālo ietekmi. </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Komisija attiecīgā gadījumā iesniedz Eiropas Parlamentam un Padomei tiesību akta priekšlikumu, lai nodrošinātu finanšu resursus, cilvēkresursus un IT resursus, kas vajadzīgi vienotas integrētās ziņošanas sistēmas izveidei līdz ... [trīs gadi no šīs grozošās regulas spēkā stāšanās dienas]. </w:t>
      </w:r>
    </w:p>
    <w:p w:rsidR="00F00C2C" w:rsidRPr="002D6F62" w:rsidRDefault="00F00C2C" w:rsidP="00F00C2C">
      <w:pPr>
        <w:widowControl/>
        <w:spacing w:before="120" w:after="120"/>
        <w:ind w:left="851"/>
        <w:jc w:val="both"/>
        <w:rPr>
          <w:rFonts w:eastAsia="Calibri"/>
          <w:b/>
          <w:i/>
          <w:noProof/>
          <w:szCs w:val="22"/>
        </w:rPr>
      </w:pPr>
      <w:r w:rsidRPr="002D6F62">
        <w:rPr>
          <w:b/>
          <w:i/>
        </w:rPr>
        <w:t>Iestāde kopā ar citām iestādēm līdz ... [trīs gadi no šīs grozošās regulas spēkā stāšanās dienas] izveido vienotu integrēto ziņošanas sistēmu.”</w:t>
      </w:r>
      <w:r w:rsidR="002D6F62" w:rsidRPr="002D6F62">
        <w:rPr>
          <w:b/>
          <w:i/>
        </w:rPr>
        <w:t>;</w:t>
      </w:r>
    </w:p>
    <w:p w:rsidR="00F00C2C" w:rsidRPr="002D6F62" w:rsidRDefault="00F00C2C" w:rsidP="002D6F62">
      <w:pPr>
        <w:widowControl/>
        <w:spacing w:before="120" w:after="120"/>
        <w:ind w:left="851" w:hanging="851"/>
        <w:jc w:val="both"/>
        <w:rPr>
          <w:rFonts w:eastAsia="Calibri"/>
          <w:b/>
          <w:i/>
          <w:szCs w:val="22"/>
        </w:rPr>
      </w:pPr>
      <w:r w:rsidRPr="002D6F62">
        <w:rPr>
          <w:b/>
          <w:i/>
        </w:rPr>
        <w:t>4.b</w:t>
      </w:r>
      <w:r w:rsidRPr="002D6F62">
        <w:rPr>
          <w:b/>
          <w:i/>
        </w:rPr>
        <w:tab/>
        <w:t>regulas 36. panta 2. punktu aizstāj ar šādu:</w:t>
      </w:r>
    </w:p>
    <w:p w:rsidR="00F00C2C" w:rsidRPr="002D6F62" w:rsidRDefault="002D6F62" w:rsidP="00F00C2C">
      <w:pPr>
        <w:widowControl/>
        <w:spacing w:before="120" w:after="120"/>
        <w:ind w:left="851"/>
        <w:jc w:val="both"/>
        <w:rPr>
          <w:rFonts w:eastAsia="Calibri"/>
          <w:b/>
          <w:i/>
          <w:noProof/>
          <w:szCs w:val="22"/>
        </w:rPr>
      </w:pPr>
      <w:r w:rsidRPr="002D6F62">
        <w:t>“</w:t>
      </w:r>
      <w:r w:rsidR="00F00C2C" w:rsidRPr="002D6F62">
        <w:t xml:space="preserve">2. </w:t>
      </w:r>
      <w:r w:rsidR="00F00C2C" w:rsidRPr="002D6F62">
        <w:rPr>
          <w:b/>
          <w:i/>
        </w:rPr>
        <w:tab/>
        <w:t>Iestāde, kā arī Eiropas Centrālo banku sistēma (ECBS), Komisija, valstu kompetentās iestādes un valsts statistikas iestādes cieši sadarbojas ar ESRK, kopīgojot informāciju un veiktās analīzes rezultātus, kas nepieciešami to uzdevumu izpildei.</w:t>
      </w:r>
    </w:p>
    <w:p w:rsidR="00F00C2C" w:rsidRPr="002D6F62" w:rsidRDefault="00F00C2C" w:rsidP="00F00C2C">
      <w:pPr>
        <w:widowControl/>
        <w:spacing w:before="120" w:after="120"/>
        <w:ind w:left="851"/>
        <w:jc w:val="both"/>
        <w:rPr>
          <w:rFonts w:eastAsia="Calibri"/>
          <w:b/>
          <w:i/>
          <w:noProof/>
          <w:szCs w:val="22"/>
        </w:rPr>
      </w:pPr>
      <w:r w:rsidRPr="002D6F62">
        <w:rPr>
          <w:b/>
          <w:i/>
        </w:rPr>
        <w:t>Iestāde savus centienus atklāt, uzraudzīt, novērst un mazināt sistēmiskos riskus, kas apdraud finanšu stabilitāti, koordinē ar ESRK un ECB.</w:t>
      </w:r>
    </w:p>
    <w:p w:rsidR="00F00C2C" w:rsidRPr="002D6F62" w:rsidRDefault="00F00C2C" w:rsidP="00F00C2C">
      <w:pPr>
        <w:widowControl/>
        <w:tabs>
          <w:tab w:val="left" w:pos="709"/>
        </w:tabs>
        <w:spacing w:before="120" w:after="120"/>
        <w:ind w:left="851"/>
        <w:jc w:val="both"/>
        <w:rPr>
          <w:rFonts w:eastAsia="Calibri"/>
          <w:b/>
          <w:i/>
          <w:noProof/>
          <w:szCs w:val="22"/>
        </w:rPr>
      </w:pPr>
      <w:r w:rsidRPr="002D6F62">
        <w:rPr>
          <w:b/>
          <w:i/>
        </w:rPr>
        <w:t>Iestāde saskaņā ar Regulas (ES) Nr. 1092/2010 15. panta 1. līdz 5. punktu izpilda konkrētos datu kopīgošanas noteikumus.</w:t>
      </w:r>
    </w:p>
    <w:p w:rsidR="00F00C2C" w:rsidRPr="002D6F62" w:rsidRDefault="00F00C2C" w:rsidP="00F00C2C">
      <w:pPr>
        <w:widowControl/>
        <w:tabs>
          <w:tab w:val="left" w:pos="709"/>
        </w:tabs>
        <w:spacing w:before="120" w:after="120"/>
        <w:ind w:left="851"/>
        <w:jc w:val="both"/>
        <w:rPr>
          <w:rFonts w:eastAsia="Calibri"/>
          <w:b/>
          <w:i/>
          <w:noProof/>
          <w:szCs w:val="22"/>
        </w:rPr>
      </w:pPr>
      <w:r w:rsidRPr="002D6F62">
        <w:rPr>
          <w:b/>
          <w:i/>
        </w:rPr>
        <w:t xml:space="preserve">Iestāde sadarbībā ar ESRK ir ieviesusi atbilstīgas iekšējās procedūras konfidenciālas informācijas, galvenokārt informācijas par atsevišķām </w:t>
      </w:r>
      <w:r w:rsidR="002D6F62" w:rsidRPr="002D6F62">
        <w:rPr>
          <w:b/>
          <w:i/>
        </w:rPr>
        <w:t>finanšu iestādēm, nosūtīšanai.”;</w:t>
      </w:r>
    </w:p>
    <w:p w:rsidR="00F00C2C" w:rsidRPr="002D6F62" w:rsidRDefault="00F00C2C" w:rsidP="00F00C2C">
      <w:pPr>
        <w:widowControl/>
        <w:spacing w:before="120" w:after="120"/>
        <w:ind w:left="851"/>
        <w:jc w:val="both"/>
        <w:rPr>
          <w:rFonts w:eastAsia="Calibri"/>
          <w:noProof/>
          <w:szCs w:val="22"/>
        </w:rPr>
      </w:pPr>
      <w:r w:rsidRPr="002D6F62">
        <w:t>5.</w:t>
      </w:r>
      <w:r w:rsidRPr="002D6F62">
        <w:tab/>
        <w:t>regulas 54. panta 2. punktu papildina ar šādu ievilkumu: </w:t>
      </w:r>
    </w:p>
    <w:p w:rsidR="00F00C2C" w:rsidRPr="002D6F62" w:rsidRDefault="00F00C2C" w:rsidP="00F00C2C">
      <w:pPr>
        <w:widowControl/>
        <w:spacing w:before="120" w:after="120"/>
        <w:ind w:left="851"/>
        <w:jc w:val="both"/>
        <w:rPr>
          <w:rFonts w:eastAsia="Calibri"/>
          <w:noProof/>
          <w:szCs w:val="22"/>
        </w:rPr>
      </w:pPr>
      <w:r w:rsidRPr="002D6F62">
        <w:t xml:space="preserve">“ —ziņošanas </w:t>
      </w:r>
      <w:r w:rsidRPr="002D6F62">
        <w:rPr>
          <w:b/>
          <w:bCs/>
          <w:i/>
          <w:iCs/>
        </w:rPr>
        <w:t>un informācijas atklāšanas</w:t>
      </w:r>
      <w:r w:rsidRPr="002D6F62">
        <w:t xml:space="preserve"> prasībām un informācijas vākšanu no finanšu iestādēm.”; </w:t>
      </w:r>
    </w:p>
    <w:p w:rsidR="00F00C2C" w:rsidRPr="002D6F62" w:rsidRDefault="00F00C2C" w:rsidP="00F00C2C">
      <w:pPr>
        <w:widowControl/>
        <w:spacing w:before="120" w:after="120"/>
        <w:ind w:left="851"/>
        <w:jc w:val="both"/>
        <w:rPr>
          <w:rFonts w:eastAsia="Calibri"/>
          <w:noProof/>
          <w:szCs w:val="22"/>
        </w:rPr>
      </w:pPr>
      <w:r w:rsidRPr="002D6F62">
        <w:t>6.</w:t>
      </w:r>
      <w:r w:rsidRPr="002D6F62">
        <w:tab/>
        <w:t>regulas 70. panta 3. punktu aizstāj ar šādu: </w:t>
      </w:r>
    </w:p>
    <w:p w:rsidR="00F00C2C" w:rsidRPr="002D6F62" w:rsidRDefault="00F00C2C" w:rsidP="00F00C2C">
      <w:pPr>
        <w:widowControl/>
        <w:spacing w:before="120" w:after="120"/>
        <w:ind w:left="851"/>
        <w:jc w:val="both"/>
        <w:rPr>
          <w:rFonts w:eastAsia="Calibri"/>
          <w:szCs w:val="24"/>
        </w:rPr>
      </w:pPr>
      <w:r w:rsidRPr="002D6F62">
        <w:t xml:space="preserve">“3. Panta 1. un 2. punkts neliedz iestādei apmainīties ar informāciju ar </w:t>
      </w:r>
      <w:r w:rsidRPr="002D6F62">
        <w:rPr>
          <w:b/>
          <w:bCs/>
          <w:i/>
          <w:iCs/>
        </w:rPr>
        <w:t>citām iestādēm, kas norādītas 35.a panta 1.b punktā</w:t>
      </w:r>
      <w:r w:rsidRPr="002D6F62">
        <w:t xml:space="preserve"> saskaņā ar šo regulu un citiem finanšu iestādēm piemērojamajiem Savienības tiesību aktiem.</w:t>
      </w:r>
    </w:p>
    <w:p w:rsidR="00F00C2C" w:rsidRPr="002D6F62" w:rsidRDefault="00F00C2C" w:rsidP="00F00C2C">
      <w:pPr>
        <w:keepNext/>
        <w:widowControl/>
        <w:spacing w:before="360" w:after="120"/>
        <w:ind w:left="720"/>
        <w:jc w:val="center"/>
        <w:rPr>
          <w:rFonts w:eastAsia="Calibri"/>
          <w:i/>
          <w:noProof/>
          <w:szCs w:val="22"/>
        </w:rPr>
      </w:pPr>
      <w:r w:rsidRPr="002D6F62">
        <w:rPr>
          <w:i/>
        </w:rPr>
        <w:t>4. pants</w:t>
      </w:r>
    </w:p>
    <w:p w:rsidR="00F00C2C" w:rsidRPr="002D6F62" w:rsidRDefault="00F00C2C" w:rsidP="00F00C2C">
      <w:pPr>
        <w:widowControl/>
        <w:spacing w:before="120" w:after="120"/>
        <w:jc w:val="center"/>
        <w:rPr>
          <w:rFonts w:eastAsia="Calibri"/>
          <w:noProof/>
          <w:szCs w:val="22"/>
        </w:rPr>
      </w:pPr>
      <w:r w:rsidRPr="002D6F62">
        <w:rPr>
          <w:b/>
        </w:rPr>
        <w:t>Grozījumi Regulā (ES) Nr. 1095/2010</w:t>
      </w:r>
    </w:p>
    <w:p w:rsidR="00F00C2C" w:rsidRPr="002D6F62" w:rsidRDefault="00F00C2C" w:rsidP="00F00C2C">
      <w:pPr>
        <w:widowControl/>
        <w:spacing w:before="120" w:after="120"/>
        <w:jc w:val="both"/>
        <w:rPr>
          <w:rFonts w:eastAsia="Calibri"/>
          <w:noProof/>
          <w:szCs w:val="22"/>
        </w:rPr>
      </w:pPr>
      <w:r w:rsidRPr="002D6F62">
        <w:t>Regulu (ES) Nr. 1095/2010 groza šādi: </w:t>
      </w:r>
    </w:p>
    <w:p w:rsidR="00F00C2C" w:rsidRPr="002D6F62" w:rsidRDefault="00F00C2C" w:rsidP="00F00C2C">
      <w:pPr>
        <w:widowControl/>
        <w:spacing w:before="120" w:after="120"/>
        <w:ind w:left="850" w:hanging="850"/>
        <w:jc w:val="both"/>
        <w:rPr>
          <w:rFonts w:eastAsia="Calibri"/>
          <w:b/>
          <w:i/>
          <w:szCs w:val="22"/>
        </w:rPr>
      </w:pPr>
      <w:r w:rsidRPr="002D6F62">
        <w:rPr>
          <w:b/>
          <w:i/>
        </w:rPr>
        <w:t>-1.</w:t>
      </w:r>
      <w:r w:rsidRPr="002D6F62">
        <w:rPr>
          <w:b/>
          <w:i/>
        </w:rPr>
        <w:tab/>
        <w:t>regulas 16.a panta 1. punktam pievieno šādu daļu:</w:t>
      </w:r>
    </w:p>
    <w:p w:rsidR="00F00C2C" w:rsidRPr="002D6F62" w:rsidRDefault="00F00C2C" w:rsidP="00F00C2C">
      <w:pPr>
        <w:widowControl/>
        <w:spacing w:before="120" w:after="120"/>
        <w:ind w:left="851"/>
        <w:jc w:val="both"/>
        <w:rPr>
          <w:rFonts w:eastAsia="Calibri"/>
          <w:b/>
          <w:i/>
          <w:noProof/>
          <w:szCs w:val="22"/>
        </w:rPr>
      </w:pPr>
      <w:r w:rsidRPr="002D6F62">
        <w:rPr>
          <w:b/>
          <w:i/>
        </w:rPr>
        <w:t>“Iestādes atzinumi attiecas ne tikai uz īstenotajām likumdošanas procedūrām. Iestāde savos atzinumos attiecīgā gadījumā var ierosināt grozījumus spēkā esošajos tiesību aktos, tostarp grozījumus, ar kuriem:</w:t>
      </w:r>
    </w:p>
    <w:p w:rsidR="00F00C2C" w:rsidRPr="002D6F62" w:rsidRDefault="00F00C2C" w:rsidP="00F00C2C">
      <w:pPr>
        <w:widowControl/>
        <w:spacing w:before="120" w:after="120"/>
        <w:ind w:left="1418" w:hanging="567"/>
        <w:jc w:val="both"/>
        <w:rPr>
          <w:rFonts w:eastAsia="Calibri"/>
          <w:b/>
          <w:i/>
          <w:noProof/>
          <w:szCs w:val="22"/>
        </w:rPr>
      </w:pPr>
      <w:r w:rsidRPr="002D6F62">
        <w:rPr>
          <w:b/>
          <w:i/>
        </w:rPr>
        <w:lastRenderedPageBreak/>
        <w:t xml:space="preserve">a) </w:t>
      </w:r>
      <w:r w:rsidRPr="002D6F62">
        <w:rPr>
          <w:b/>
          <w:i/>
        </w:rPr>
        <w:tab/>
        <w:t>atceļ nevajadzīgas vai novecojušas ziņošanas un informācijas atklāšanas prasības Savienības tiesību aktos vai dalībvalstu transponētajos Savienības tiesību aktos;</w:t>
      </w:r>
    </w:p>
    <w:p w:rsidR="00F00C2C" w:rsidRPr="002D6F62" w:rsidRDefault="00F00C2C" w:rsidP="00F00C2C">
      <w:pPr>
        <w:widowControl/>
        <w:spacing w:before="120" w:after="120"/>
        <w:ind w:left="1418" w:hanging="567"/>
        <w:jc w:val="both"/>
        <w:rPr>
          <w:rFonts w:eastAsia="Calibri"/>
          <w:b/>
          <w:i/>
          <w:noProof/>
          <w:szCs w:val="22"/>
        </w:rPr>
      </w:pPr>
      <w:r w:rsidRPr="002D6F62">
        <w:rPr>
          <w:b/>
          <w:i/>
        </w:rPr>
        <w:t>b)</w:t>
      </w:r>
      <w:r w:rsidRPr="002D6F62">
        <w:rPr>
          <w:b/>
          <w:i/>
        </w:rPr>
        <w:tab/>
        <w:t xml:space="preserve"> nodrošina saskaņotas ziņošanas un informācijas atklāšanas prasības nozaru un starpnozaru tiesību aktos;</w:t>
      </w:r>
    </w:p>
    <w:p w:rsidR="00F00C2C" w:rsidRPr="002D6F62" w:rsidRDefault="00F00C2C" w:rsidP="00F00C2C">
      <w:pPr>
        <w:widowControl/>
        <w:spacing w:before="120" w:after="120"/>
        <w:ind w:left="1418" w:hanging="567"/>
        <w:jc w:val="both"/>
        <w:rPr>
          <w:rFonts w:eastAsia="Calibri"/>
          <w:b/>
          <w:i/>
          <w:noProof/>
          <w:szCs w:val="22"/>
        </w:rPr>
      </w:pPr>
      <w:r w:rsidRPr="002D6F62">
        <w:rPr>
          <w:b/>
          <w:i/>
        </w:rPr>
        <w:t>c)</w:t>
      </w:r>
      <w:r w:rsidRPr="002D6F62">
        <w:rPr>
          <w:b/>
          <w:i/>
        </w:rPr>
        <w:tab/>
        <w:t xml:space="preserve"> nodrošina ziņošanas un informācijas atklāšanas prasību samērīgumu ar ziņotājas struktūras veidu, lielumu un sarežģītību;</w:t>
      </w:r>
    </w:p>
    <w:p w:rsidR="00F00C2C" w:rsidRPr="002D6F62" w:rsidRDefault="00F00C2C" w:rsidP="00F00C2C">
      <w:pPr>
        <w:widowControl/>
        <w:spacing w:before="120" w:after="120"/>
        <w:ind w:left="1418" w:hanging="567"/>
        <w:jc w:val="both"/>
        <w:rPr>
          <w:rFonts w:eastAsia="Calibri"/>
          <w:b/>
          <w:bCs/>
          <w:i/>
          <w:iCs/>
          <w:szCs w:val="22"/>
        </w:rPr>
      </w:pPr>
      <w:r w:rsidRPr="002D6F62">
        <w:rPr>
          <w:b/>
          <w:i/>
        </w:rPr>
        <w:t xml:space="preserve">d) </w:t>
      </w:r>
      <w:r w:rsidRPr="002D6F62">
        <w:rPr>
          <w:b/>
          <w:i/>
        </w:rPr>
        <w:tab/>
        <w:t>nodrošina, ka ziņošanas un informācijas atklāšanas prasību ievērošana ir samērīga ar iestādes uzdevumu un mērķu izpildes pievienoto vērtību.</w:t>
      </w:r>
    </w:p>
    <w:p w:rsidR="00F00C2C" w:rsidRPr="002D6F62" w:rsidRDefault="00F00C2C" w:rsidP="00F00C2C">
      <w:pPr>
        <w:widowControl/>
        <w:spacing w:before="120" w:after="120"/>
        <w:ind w:left="851"/>
        <w:jc w:val="both"/>
        <w:rPr>
          <w:rFonts w:eastAsia="Calibri"/>
          <w:b/>
          <w:bCs/>
          <w:i/>
          <w:iCs/>
          <w:szCs w:val="22"/>
        </w:rPr>
      </w:pPr>
      <w:r w:rsidRPr="002D6F62">
        <w:rPr>
          <w:b/>
          <w:i/>
        </w:rPr>
        <w:t>Lai sniegtu atzinumus par pirmajā daļā minētajiem spēkā esošajiem leģislatīvajiem aktiem, iestāde pēc attiecīgas apspriešanā pienācīgi ņem vērā visu attiecīgo ieinteresēto personu ieguldījumu. Pamatojoties uz minētajiem atzinumiem, Komisija attiecīgā gadījumā iesniedz Eiropas Parlamentam un Pado</w:t>
      </w:r>
      <w:r w:rsidR="002D6F62" w:rsidRPr="002D6F62">
        <w:rPr>
          <w:b/>
          <w:i/>
        </w:rPr>
        <w:t>mei tiesību akta priekšlikumu.”;</w:t>
      </w:r>
    </w:p>
    <w:p w:rsidR="00F00C2C" w:rsidRPr="002D6F62" w:rsidRDefault="00F00C2C" w:rsidP="00F00C2C">
      <w:pPr>
        <w:widowControl/>
        <w:spacing w:before="120" w:after="120"/>
        <w:ind w:left="850" w:hanging="850"/>
        <w:jc w:val="both"/>
        <w:rPr>
          <w:rFonts w:eastAsia="Calibri"/>
          <w:noProof/>
          <w:szCs w:val="22"/>
        </w:rPr>
      </w:pPr>
      <w:r w:rsidRPr="002D6F62">
        <w:t>1.</w:t>
      </w:r>
      <w:r w:rsidRPr="002D6F62">
        <w:tab/>
        <w:t>regulas 29. panta 1. punkta d) apakšpunktu aizstāj ar šādu: </w:t>
      </w:r>
    </w:p>
    <w:p w:rsidR="00F00C2C" w:rsidRPr="002D6F62" w:rsidRDefault="00F00C2C" w:rsidP="00F00C2C">
      <w:pPr>
        <w:widowControl/>
        <w:spacing w:before="120" w:after="120"/>
        <w:ind w:left="851"/>
        <w:jc w:val="both"/>
        <w:rPr>
          <w:rFonts w:eastAsia="Calibri"/>
          <w:b/>
          <w:i/>
          <w:szCs w:val="22"/>
        </w:rPr>
      </w:pPr>
      <w:r w:rsidRPr="002D6F62">
        <w:t>pārskata Komisijas pieņemto attiecīgo regulatīvo un īstenošanas tehnisko standartu un iestādes sniegto pamatnostādņu un ieteikumu piemērošanu un vajadzības gadījumā ierosina grozījumus</w:t>
      </w:r>
      <w:r w:rsidRPr="002D6F62">
        <w:rPr>
          <w:b/>
          <w:bCs/>
          <w:i/>
          <w:iCs/>
        </w:rPr>
        <w:t>, ar kuriem nemainīgi saglabā datu lietojamību un kvalitāti, nolūkā:</w:t>
      </w:r>
    </w:p>
    <w:p w:rsidR="00F00C2C" w:rsidRPr="002D6F62" w:rsidRDefault="00F00C2C" w:rsidP="00F00C2C">
      <w:pPr>
        <w:widowControl/>
        <w:spacing w:before="120" w:after="120"/>
        <w:ind w:left="720"/>
        <w:jc w:val="both"/>
        <w:rPr>
          <w:rFonts w:eastAsia="Calibri"/>
          <w:b/>
          <w:i/>
          <w:szCs w:val="22"/>
        </w:rPr>
      </w:pPr>
      <w:r w:rsidRPr="002D6F62">
        <w:rPr>
          <w:b/>
          <w:bCs/>
          <w:i/>
          <w:iCs/>
        </w:rPr>
        <w:t>–</w:t>
      </w:r>
      <w:r w:rsidRPr="002D6F62">
        <w:t xml:space="preserve">atcelt nevajadzīgas vai novecojušas ziņošanas </w:t>
      </w:r>
      <w:r w:rsidRPr="002D6F62">
        <w:rPr>
          <w:b/>
          <w:bCs/>
          <w:i/>
          <w:iCs/>
        </w:rPr>
        <w:t>un informācijas atklāšanas</w:t>
      </w:r>
      <w:r w:rsidRPr="002D6F62">
        <w:t xml:space="preserve"> prasības;</w:t>
      </w:r>
    </w:p>
    <w:p w:rsidR="00F00C2C" w:rsidRPr="002D6F62" w:rsidRDefault="00F00C2C" w:rsidP="00F00C2C">
      <w:pPr>
        <w:widowControl/>
        <w:spacing w:before="120" w:after="120"/>
        <w:ind w:left="720"/>
        <w:jc w:val="both"/>
        <w:rPr>
          <w:rFonts w:eastAsia="Calibri"/>
          <w:b/>
          <w:i/>
          <w:noProof/>
          <w:szCs w:val="22"/>
        </w:rPr>
      </w:pPr>
      <w:r w:rsidRPr="002D6F62">
        <w:rPr>
          <w:b/>
          <w:bCs/>
          <w:i/>
          <w:iCs/>
        </w:rPr>
        <w:t>–</w:t>
      </w:r>
      <w:r w:rsidRPr="002D6F62">
        <w:rPr>
          <w:b/>
          <w:i/>
        </w:rPr>
        <w:t xml:space="preserve"> nodrošināt samērīgas un standartizētas ziņošanas un informācijas atklāšanas prasības;</w:t>
      </w:r>
    </w:p>
    <w:p w:rsidR="00F00C2C" w:rsidRPr="002D6F62" w:rsidRDefault="00F00C2C" w:rsidP="00F00C2C">
      <w:pPr>
        <w:widowControl/>
        <w:spacing w:before="120" w:after="120"/>
        <w:ind w:firstLine="720"/>
        <w:jc w:val="both"/>
        <w:rPr>
          <w:rFonts w:eastAsia="Calibri"/>
          <w:b/>
          <w:i/>
          <w:szCs w:val="22"/>
        </w:rPr>
      </w:pPr>
      <w:r w:rsidRPr="002D6F62">
        <w:rPr>
          <w:b/>
          <w:bCs/>
          <w:i/>
          <w:iCs/>
        </w:rPr>
        <w:t>–</w:t>
      </w:r>
      <w:r w:rsidRPr="002D6F62">
        <w:t>līdz minimumam samazināt izmaksas</w:t>
      </w:r>
      <w:r w:rsidRPr="002D6F62">
        <w:rPr>
          <w:b/>
          <w:bCs/>
          <w:i/>
          <w:iCs/>
        </w:rPr>
        <w:t>;</w:t>
      </w:r>
    </w:p>
    <w:p w:rsidR="00F00C2C" w:rsidRPr="002D6F62" w:rsidRDefault="00F00C2C" w:rsidP="00F00C2C">
      <w:pPr>
        <w:widowControl/>
        <w:spacing w:before="120" w:after="120"/>
        <w:ind w:firstLine="720"/>
        <w:jc w:val="both"/>
        <w:rPr>
          <w:rFonts w:eastAsia="Calibri"/>
          <w:b/>
          <w:i/>
          <w:szCs w:val="22"/>
        </w:rPr>
      </w:pPr>
      <w:r w:rsidRPr="002D6F62">
        <w:rPr>
          <w:b/>
          <w:bCs/>
          <w:i/>
          <w:iCs/>
        </w:rPr>
        <w:t>–</w:t>
      </w:r>
      <w:r w:rsidRPr="002D6F62">
        <w:rPr>
          <w:b/>
          <w:i/>
        </w:rPr>
        <w:t xml:space="preserve"> novērst tiesību aktu nepilnības;”</w:t>
      </w:r>
    </w:p>
    <w:p w:rsidR="00F00C2C" w:rsidRPr="002D6F62" w:rsidRDefault="00F00C2C" w:rsidP="00F00C2C">
      <w:pPr>
        <w:widowControl/>
        <w:spacing w:before="120" w:after="120"/>
        <w:ind w:left="850" w:hanging="850"/>
        <w:jc w:val="both"/>
        <w:rPr>
          <w:rFonts w:eastAsia="Calibri"/>
          <w:noProof/>
          <w:szCs w:val="22"/>
        </w:rPr>
      </w:pPr>
      <w:r w:rsidRPr="002D6F62">
        <w:t>2.</w:t>
      </w:r>
      <w:r w:rsidRPr="002D6F62">
        <w:tab/>
        <w:t>regulas 30. panta 3. punktā pievieno šādu e) apakšpunktu: </w:t>
      </w:r>
    </w:p>
    <w:p w:rsidR="00F00C2C" w:rsidRPr="002D6F62" w:rsidRDefault="00F00C2C" w:rsidP="00F00C2C">
      <w:pPr>
        <w:widowControl/>
        <w:spacing w:before="120" w:after="120"/>
        <w:ind w:left="851"/>
        <w:jc w:val="both"/>
        <w:rPr>
          <w:rFonts w:eastAsia="Calibri"/>
          <w:noProof/>
          <w:szCs w:val="22"/>
        </w:rPr>
      </w:pPr>
      <w:r w:rsidRPr="002D6F62">
        <w:t xml:space="preserve">“e) valstu ziņošanas </w:t>
      </w:r>
      <w:r w:rsidRPr="002D6F62">
        <w:rPr>
          <w:b/>
          <w:bCs/>
          <w:i/>
          <w:iCs/>
        </w:rPr>
        <w:t>un informācijas atklāšanas</w:t>
      </w:r>
      <w:r w:rsidRPr="002D6F62">
        <w:t xml:space="preserve"> prasību efektivitāte un šādu prasību konverģences pakāpe ar Savienības tiesību aktos noteiktajām prasībām</w:t>
      </w:r>
      <w:r w:rsidRPr="002D6F62">
        <w:rPr>
          <w:b/>
          <w:bCs/>
          <w:i/>
          <w:iCs/>
        </w:rPr>
        <w:t>, kā arī to piemērotība minētajos aktos noteikto standartu ievērošanai, vienlaikus ņemot vērā dalībvalstu finanšu jurisdikciju specifiskās īpatnības</w:t>
      </w:r>
      <w:r w:rsidRPr="002D6F62">
        <w:t>.”; </w:t>
      </w:r>
    </w:p>
    <w:p w:rsidR="00F00C2C" w:rsidRPr="002D6F62" w:rsidRDefault="00F00C2C" w:rsidP="00F00C2C">
      <w:pPr>
        <w:widowControl/>
        <w:spacing w:before="120" w:after="120"/>
        <w:ind w:left="850" w:hanging="850"/>
        <w:jc w:val="both"/>
        <w:rPr>
          <w:rFonts w:eastAsia="Calibri"/>
          <w:noProof/>
          <w:szCs w:val="22"/>
        </w:rPr>
      </w:pPr>
      <w:r w:rsidRPr="002D6F62">
        <w:t>3.</w:t>
      </w:r>
      <w:r w:rsidRPr="002D6F62">
        <w:tab/>
        <w:t>regulas 35. panta 4. punktu aizstāj ar šādu: </w:t>
      </w:r>
    </w:p>
    <w:p w:rsidR="00F00C2C" w:rsidRPr="002D6F62" w:rsidRDefault="00F00C2C" w:rsidP="00F00C2C">
      <w:pPr>
        <w:widowControl/>
        <w:spacing w:before="120" w:after="120"/>
        <w:ind w:left="851"/>
        <w:jc w:val="both"/>
        <w:rPr>
          <w:rFonts w:eastAsia="Calibri"/>
          <w:noProof/>
          <w:szCs w:val="22"/>
        </w:rPr>
      </w:pPr>
      <w:r w:rsidRPr="002D6F62">
        <w:t>“4.</w:t>
      </w:r>
      <w:r w:rsidRPr="002D6F62">
        <w:rPr>
          <w:b/>
          <w:i/>
        </w:rPr>
        <w:tab/>
      </w:r>
      <w:r w:rsidRPr="002D6F62">
        <w:t xml:space="preserve">Pirms informācijas pieprasīšanas saskaņā ar šo pantu un lai </w:t>
      </w:r>
      <w:r w:rsidRPr="002D6F62">
        <w:rPr>
          <w:b/>
          <w:bCs/>
          <w:i/>
          <w:iCs/>
        </w:rPr>
        <w:t>nodrošinātu, ka</w:t>
      </w:r>
      <w:r w:rsidRPr="002D6F62">
        <w:t xml:space="preserve"> ziņošanas un informācijas atklāšanas </w:t>
      </w:r>
      <w:r w:rsidRPr="002D6F62">
        <w:rPr>
          <w:b/>
          <w:bCs/>
          <w:i/>
          <w:iCs/>
        </w:rPr>
        <w:t>pienākumi nedublējas</w:t>
      </w:r>
      <w:r w:rsidRPr="002D6F62">
        <w:t xml:space="preserve">, iestāde ņem vērā 35.a panta </w:t>
      </w:r>
      <w:r w:rsidRPr="002D6F62">
        <w:rPr>
          <w:b/>
          <w:bCs/>
          <w:i/>
          <w:iCs/>
        </w:rPr>
        <w:t>1.b</w:t>
      </w:r>
      <w:r w:rsidRPr="002D6F62">
        <w:t> punktā minēto citu iestāžu pieprasīto informāciju un visu attiecīgo esošo statistiku, ko sagatavojusi un izplatījusi Eiropas Statistikas sistēma un Eiropas Centrālo banku sistēma.”; </w:t>
      </w:r>
    </w:p>
    <w:p w:rsidR="00F00C2C" w:rsidRPr="002D6F62" w:rsidRDefault="00F00C2C" w:rsidP="00F00C2C">
      <w:pPr>
        <w:widowControl/>
        <w:spacing w:before="120" w:after="120"/>
        <w:jc w:val="both"/>
        <w:rPr>
          <w:rFonts w:eastAsia="Calibri"/>
          <w:noProof/>
          <w:szCs w:val="22"/>
        </w:rPr>
      </w:pPr>
      <w:r w:rsidRPr="002D6F62">
        <w:t>4.</w:t>
      </w:r>
      <w:r w:rsidRPr="002D6F62">
        <w:tab/>
        <w:t>regulā iekļauj šādu 35.a pantu: </w:t>
      </w:r>
    </w:p>
    <w:p w:rsidR="00F00C2C" w:rsidRPr="002D6F62" w:rsidRDefault="00F00C2C" w:rsidP="00F00C2C">
      <w:pPr>
        <w:widowControl/>
        <w:spacing w:before="120" w:after="120"/>
        <w:jc w:val="center"/>
        <w:rPr>
          <w:rFonts w:eastAsia="Calibri"/>
          <w:noProof/>
          <w:szCs w:val="22"/>
        </w:rPr>
      </w:pPr>
      <w:r w:rsidRPr="002D6F62">
        <w:t>“35.a pants</w:t>
      </w:r>
    </w:p>
    <w:p w:rsidR="00F00C2C" w:rsidRPr="002D6F62" w:rsidRDefault="00F00C2C" w:rsidP="00F00C2C">
      <w:pPr>
        <w:widowControl/>
        <w:spacing w:before="120" w:after="120"/>
        <w:jc w:val="center"/>
        <w:rPr>
          <w:rFonts w:eastAsia="Calibri"/>
          <w:noProof/>
          <w:szCs w:val="22"/>
        </w:rPr>
      </w:pPr>
      <w:r w:rsidRPr="002D6F62">
        <w:rPr>
          <w:b/>
        </w:rPr>
        <w:t>Informācijas apmaiņa starp iestādēm un ar citām struktūrām </w:t>
      </w:r>
      <w:r w:rsidRPr="002D6F62">
        <w:t> </w:t>
      </w:r>
    </w:p>
    <w:p w:rsidR="00F00C2C" w:rsidRPr="002D6F62" w:rsidRDefault="00F00C2C" w:rsidP="00F00C2C">
      <w:pPr>
        <w:widowControl/>
        <w:spacing w:before="120" w:after="120"/>
        <w:ind w:left="851" w:hanging="851"/>
        <w:jc w:val="both"/>
        <w:rPr>
          <w:rFonts w:eastAsia="Calibri"/>
          <w:b/>
          <w:i/>
          <w:szCs w:val="22"/>
        </w:rPr>
      </w:pPr>
      <w:r w:rsidRPr="002D6F62">
        <w:t xml:space="preserve">1. </w:t>
      </w:r>
      <w:r w:rsidRPr="002D6F62">
        <w:rPr>
          <w:b/>
          <w:i/>
        </w:rPr>
        <w:tab/>
      </w:r>
      <w:r w:rsidRPr="002D6F62">
        <w:t>Iestāde un kompetentās iestādes katrā atsevišķā gadījumā vai regulāri kopīgo ar citām iestādēm informāciju, ko tās ieguvušas no finanšu iestādēm vai citām kompetentajām iestādēm</w:t>
      </w:r>
      <w:r w:rsidRPr="002D6F62">
        <w:rPr>
          <w:b/>
          <w:bCs/>
          <w:i/>
          <w:iCs/>
        </w:rPr>
        <w:t xml:space="preserve">, ja informācijas pieprasītājai iestādei saskaņā ar tās misiju, mērķiem, </w:t>
      </w:r>
      <w:r w:rsidRPr="002D6F62">
        <w:rPr>
          <w:b/>
          <w:bCs/>
          <w:i/>
          <w:iCs/>
        </w:rPr>
        <w:lastRenderedPageBreak/>
        <w:t>uzdevumiem un pilnvarām vai attiecīgajiem Savienības tiesību aktiem ir tiesības šādu informāciju iegūt</w:t>
      </w:r>
      <w:r w:rsidRPr="002D6F62">
        <w:t xml:space="preserve">. </w:t>
      </w:r>
    </w:p>
    <w:p w:rsidR="00F00C2C" w:rsidRPr="002D6F62" w:rsidRDefault="00F00C2C" w:rsidP="00F00C2C">
      <w:pPr>
        <w:widowControl/>
        <w:spacing w:before="120" w:after="120"/>
        <w:ind w:left="851"/>
        <w:jc w:val="both"/>
        <w:rPr>
          <w:rFonts w:eastAsia="Calibri"/>
          <w:b/>
          <w:i/>
          <w:szCs w:val="22"/>
        </w:rPr>
      </w:pPr>
      <w:r w:rsidRPr="002D6F62">
        <w:rPr>
          <w:b/>
          <w:i/>
        </w:rPr>
        <w:t xml:space="preserve">Pēc 35.b pantā minētās vienotās integrētās ziņošanas sistēmas izveides iestāde vai kompetentā iestāde to izmanto šā punkta pirmajā daļā minētās informācijas kopīgošanas nolūkā. </w:t>
      </w:r>
    </w:p>
    <w:p w:rsidR="00F00C2C" w:rsidRPr="002D6F62" w:rsidRDefault="00F00C2C" w:rsidP="00F00C2C">
      <w:pPr>
        <w:widowControl/>
        <w:spacing w:before="120" w:after="120"/>
        <w:ind w:left="851" w:hanging="851"/>
        <w:jc w:val="both"/>
        <w:rPr>
          <w:rFonts w:eastAsia="Calibri"/>
          <w:b/>
          <w:i/>
          <w:noProof/>
          <w:szCs w:val="22"/>
        </w:rPr>
      </w:pPr>
      <w:r w:rsidRPr="002D6F62">
        <w:rPr>
          <w:b/>
          <w:i/>
        </w:rPr>
        <w:t>1.a</w:t>
      </w:r>
      <w:r w:rsidRPr="002D6F62">
        <w:rPr>
          <w:b/>
          <w:i/>
        </w:rPr>
        <w:tab/>
        <w:t>Gan iestāde, gan katra kompetentā iestāde pieprasa no citām iestādēm informāciju, ko tās citkārt pieprasītu finanšu iestādēm vai citām kompetentajām iestādēm, ja ir izpildīti abi šie nosacījumi:</w:t>
      </w:r>
    </w:p>
    <w:p w:rsidR="00F00C2C" w:rsidRPr="002D6F62" w:rsidRDefault="00F00C2C" w:rsidP="00F00C2C">
      <w:pPr>
        <w:widowControl/>
        <w:spacing w:before="120" w:after="120"/>
        <w:ind w:left="1418" w:hanging="567"/>
        <w:jc w:val="both"/>
        <w:rPr>
          <w:rFonts w:eastAsia="Calibri"/>
          <w:b/>
          <w:i/>
          <w:noProof/>
          <w:szCs w:val="22"/>
        </w:rPr>
      </w:pPr>
      <w:r w:rsidRPr="002D6F62">
        <w:rPr>
          <w:b/>
          <w:i/>
        </w:rPr>
        <w:t>a)</w:t>
      </w:r>
      <w:r w:rsidRPr="002D6F62">
        <w:rPr>
          <w:b/>
          <w:i/>
        </w:rPr>
        <w:tab/>
        <w:t xml:space="preserve"> tām ir tiesības iegūt attiecīgo informāciju saskaņā ar savu misiju, mērķiem, uzdevumiem un pilnvarām vai saskaņā ar attiecīgajiem Savienības tiesību aktiem;</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b) </w:t>
      </w:r>
      <w:r w:rsidRPr="002D6F62">
        <w:rPr>
          <w:b/>
          <w:i/>
        </w:rPr>
        <w:tab/>
        <w:t>attiecīgo informāciju ir ieguvusi vismaz vēl viena cita iestāde.</w:t>
      </w:r>
    </w:p>
    <w:p w:rsidR="00F00C2C" w:rsidRPr="002D6F62" w:rsidRDefault="00F00C2C" w:rsidP="00F00C2C">
      <w:pPr>
        <w:widowControl/>
        <w:spacing w:before="120" w:after="120"/>
        <w:ind w:left="851"/>
        <w:jc w:val="both"/>
        <w:rPr>
          <w:rFonts w:eastAsia="Calibri"/>
          <w:b/>
          <w:i/>
          <w:noProof/>
          <w:szCs w:val="22"/>
        </w:rPr>
      </w:pPr>
      <w:r w:rsidRPr="002D6F62">
        <w:rPr>
          <w:b/>
          <w:i/>
        </w:rPr>
        <w:t>Šī panta pirmā daļa neskar iestādes un kompetento iestāžu iespēju iegūt pieprasīto informāciju no finanšu iestādēm vai citām kompetentām iestādēm, ja operatīvu iemeslu dēļ kāda cita iestāde nespēj šādus datus sniegt.</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Pēc 35.b pantā minētās vienotās integrētās ziņošanas sistēmas izveides iestāde vai kompetentās iestādes to izmanto, lai noteiktu, vai ir izpildīts pirmās daļas b) apakšpunktā izklāstītais nosacījums.  </w:t>
      </w:r>
    </w:p>
    <w:p w:rsidR="00F00C2C" w:rsidRPr="002D6F62" w:rsidRDefault="00F00C2C" w:rsidP="00F00C2C">
      <w:pPr>
        <w:widowControl/>
        <w:spacing w:before="120" w:after="120"/>
        <w:ind w:left="851" w:hanging="851"/>
        <w:jc w:val="both"/>
        <w:rPr>
          <w:rFonts w:eastAsia="Calibri"/>
          <w:b/>
          <w:i/>
          <w:noProof/>
          <w:szCs w:val="22"/>
        </w:rPr>
      </w:pPr>
      <w:r w:rsidRPr="002D6F62">
        <w:rPr>
          <w:b/>
          <w:i/>
        </w:rPr>
        <w:t>1.b</w:t>
      </w:r>
      <w:r w:rsidRPr="002D6F62">
        <w:rPr>
          <w:b/>
          <w:i/>
        </w:rPr>
        <w:tab/>
        <w:t>Šā panta, 35.b panta un 70. panta 3. punkta piemērošanas nolūkā “citas iestādes” ir jebkura no šīm iestādēm:</w:t>
      </w:r>
    </w:p>
    <w:p w:rsidR="00F00C2C" w:rsidRPr="002D6F62" w:rsidRDefault="00F00C2C" w:rsidP="00F00C2C">
      <w:pPr>
        <w:widowControl/>
        <w:spacing w:before="120" w:after="120"/>
        <w:ind w:left="1418" w:hanging="567"/>
        <w:jc w:val="both"/>
        <w:rPr>
          <w:rFonts w:eastAsia="Calibri"/>
          <w:b/>
          <w:i/>
          <w:noProof/>
          <w:szCs w:val="22"/>
        </w:rPr>
      </w:pPr>
      <w:r w:rsidRPr="002D6F62">
        <w:rPr>
          <w:b/>
          <w:i/>
        </w:rPr>
        <w:t>a)</w:t>
      </w:r>
      <w:r w:rsidRPr="002D6F62">
        <w:rPr>
          <w:b/>
          <w:i/>
        </w:rPr>
        <w:tab/>
        <w:t xml:space="preserve"> citas Eiropas uzraudzības iestādes;</w:t>
      </w:r>
    </w:p>
    <w:p w:rsidR="00F00C2C" w:rsidRPr="002D6F62" w:rsidRDefault="00F00C2C" w:rsidP="00F00C2C">
      <w:pPr>
        <w:widowControl/>
        <w:spacing w:before="120" w:after="120"/>
        <w:ind w:left="1418" w:hanging="567"/>
        <w:jc w:val="both"/>
        <w:rPr>
          <w:rFonts w:eastAsia="Calibri"/>
          <w:b/>
          <w:i/>
          <w:noProof/>
          <w:szCs w:val="22"/>
        </w:rPr>
      </w:pPr>
      <w:r w:rsidRPr="002D6F62">
        <w:rPr>
          <w:b/>
          <w:i/>
        </w:rPr>
        <w:t>b)</w:t>
      </w:r>
      <w:r w:rsidRPr="002D6F62">
        <w:rPr>
          <w:b/>
          <w:i/>
        </w:rPr>
        <w:tab/>
        <w:t xml:space="preserve"> ESRK;</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c) </w:t>
      </w:r>
      <w:r w:rsidRPr="002D6F62">
        <w:rPr>
          <w:b/>
          <w:i/>
        </w:rPr>
        <w:tab/>
        <w:t>kompetentās iestādes, kā definēts šīs regulas 4. panta 2.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d) </w:t>
      </w:r>
      <w:r w:rsidRPr="002D6F62">
        <w:rPr>
          <w:b/>
          <w:i/>
        </w:rPr>
        <w:tab/>
        <w:t>kompetentās iestādes, kā definēts Regulas (ES) Nr. 1094/2010 4. panta 2.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e) kompetentās iestādes, kā definēts Regulas (ES) Nr. 1095/2010 4. panta 3.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f) </w:t>
      </w:r>
      <w:r w:rsidRPr="002D6F62">
        <w:rPr>
          <w:b/>
          <w:i/>
        </w:rPr>
        <w:tab/>
        <w:t>AMLA, kas izveidota ar Eiropas Parlamenta un Padomes Regulu (ES) .../...</w:t>
      </w:r>
      <w:r w:rsidR="006E05C1">
        <w:rPr>
          <w:rStyle w:val="FootnoteReference"/>
          <w:b/>
          <w:bCs/>
          <w:i/>
          <w:iCs/>
        </w:rPr>
        <w:footnoteReference w:customMarkFollows="1" w:id="19"/>
        <w:t>+</w:t>
      </w:r>
      <w:r w:rsidRPr="002D6F62">
        <w:rPr>
          <w:b/>
          <w:i/>
        </w:rPr>
        <w:t>;</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g) </w:t>
      </w:r>
      <w:r w:rsidRPr="002D6F62">
        <w:rPr>
          <w:b/>
          <w:i/>
        </w:rPr>
        <w:tab/>
        <w:t>iestādes, kā definēts Eiropas Parlamenta un Padomes Direktīvas (ES) .../...</w:t>
      </w:r>
      <w:r w:rsidR="006E05C1">
        <w:rPr>
          <w:rStyle w:val="FootnoteReference"/>
          <w:b/>
          <w:i/>
        </w:rPr>
        <w:footnoteReference w:customMarkFollows="1" w:id="20"/>
        <w:t>++</w:t>
      </w:r>
      <w:r w:rsidRPr="002D6F62">
        <w:rPr>
          <w:b/>
          <w:i/>
        </w:rPr>
        <w:t xml:space="preserve"> 2. panta 1.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h)</w:t>
      </w:r>
      <w:r w:rsidRPr="002D6F62">
        <w:rPr>
          <w:b/>
          <w:i/>
        </w:rPr>
        <w:tab/>
        <w:t xml:space="preserve"> VUM, kā definēts Regulas (ES) Nr. 1024/2013 2. panta 9.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i) </w:t>
      </w:r>
      <w:r w:rsidRPr="002D6F62">
        <w:rPr>
          <w:b/>
          <w:i/>
        </w:rPr>
        <w:tab/>
        <w:t>VNV;</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j) </w:t>
      </w:r>
      <w:r w:rsidRPr="002D6F62">
        <w:rPr>
          <w:b/>
          <w:i/>
        </w:rPr>
        <w:tab/>
        <w:t>valsts noregulējuma iestādes, kā definēts Regulas (ES) Nr. 806/2014 3. panta 3. punktā.</w:t>
      </w:r>
    </w:p>
    <w:p w:rsidR="00F00C2C" w:rsidRPr="002D6F62" w:rsidRDefault="00F00C2C" w:rsidP="00F00C2C">
      <w:pPr>
        <w:widowControl/>
        <w:spacing w:before="120" w:after="120"/>
        <w:ind w:left="851"/>
        <w:jc w:val="both"/>
        <w:rPr>
          <w:rFonts w:eastAsia="Calibri"/>
          <w:b/>
          <w:i/>
          <w:noProof/>
          <w:szCs w:val="22"/>
        </w:rPr>
      </w:pPr>
      <w:r w:rsidRPr="002D6F62">
        <w:rPr>
          <w:b/>
          <w:i/>
        </w:rPr>
        <w:lastRenderedPageBreak/>
        <w:t xml:space="preserve">Šajā pantā “finanšu iestāde” ir “finanšu iestāde” saskaņā ar definīciju Regulas (ES) Nr. 1092/2010 2. panta a) punktā.  </w:t>
      </w:r>
    </w:p>
    <w:p w:rsidR="00F00C2C" w:rsidRPr="002D6F62" w:rsidRDefault="00F00C2C" w:rsidP="00F00C2C">
      <w:pPr>
        <w:widowControl/>
        <w:spacing w:before="120" w:after="120"/>
        <w:ind w:left="851" w:hanging="851"/>
        <w:jc w:val="both"/>
        <w:rPr>
          <w:rFonts w:eastAsia="Calibri"/>
          <w:noProof/>
          <w:szCs w:val="22"/>
        </w:rPr>
      </w:pPr>
      <w:r w:rsidRPr="002D6F62">
        <w:t xml:space="preserve">2. </w:t>
      </w:r>
      <w:r w:rsidRPr="002D6F62">
        <w:rPr>
          <w:b/>
          <w:i/>
        </w:rPr>
        <w:tab/>
      </w:r>
      <w:r w:rsidRPr="002D6F62">
        <w:t xml:space="preserve">Informācijas apmaiņas pieprasījumā  pienācīgi norāda juridisko pamatu saskaņā ar Savienības tiesību aktiem, kas pieprasījuma iesniedzējai iestādei ļauj iegūt informāciju no finanšu iestādēm vai citām kompetentajām iestādēm. Pieprasījuma iesniedzējai iestādei un kopīgotājai iestādei ir pienākums glabāt dienesta noslēpumu un ievērot 70. un 71. pantā un nozaru tiesību aktos paredzēto datu aizsardzību, kuru piemēro datu kopīgošanai starp finanšu iestādi un pieprasījuma iesniedzēju iestādi, kā arī datu kopīgošanai starp finanšu iestādi un kopīgotāju iestādi. Kopīgotāja iestāde bez liekas kavēšanās informē katru attiecīgo finanšu iestādi par šādu informācijas apmaiņu, </w:t>
      </w:r>
      <w:r w:rsidRPr="002D6F62">
        <w:rPr>
          <w:b/>
          <w:bCs/>
          <w:i/>
          <w:iCs/>
        </w:rPr>
        <w:t xml:space="preserve">ja vien informācija nav </w:t>
      </w:r>
      <w:proofErr w:type="spellStart"/>
      <w:r w:rsidRPr="002D6F62">
        <w:rPr>
          <w:b/>
          <w:bCs/>
          <w:i/>
          <w:iCs/>
        </w:rPr>
        <w:t>anonimizēta</w:t>
      </w:r>
      <w:proofErr w:type="spellEnd"/>
      <w:r w:rsidRPr="002D6F62">
        <w:t xml:space="preserve">, izmainīta, apkopota vai apstrādāta, izmantojot kādu citu informācijas izpaušanas kontroles metodi, lai aizsargātu </w:t>
      </w:r>
      <w:r w:rsidRPr="002D6F62">
        <w:rPr>
          <w:b/>
          <w:bCs/>
          <w:i/>
          <w:iCs/>
        </w:rPr>
        <w:t>konfidenciālu informāciju</w:t>
      </w:r>
      <w:r w:rsidRPr="002D6F62">
        <w:t xml:space="preserve">. </w:t>
      </w:r>
    </w:p>
    <w:p w:rsidR="00F00C2C" w:rsidRPr="002D6F62" w:rsidRDefault="00F00C2C" w:rsidP="00F00C2C">
      <w:pPr>
        <w:widowControl/>
        <w:spacing w:before="120" w:after="120"/>
        <w:ind w:left="851" w:hanging="851"/>
        <w:jc w:val="both"/>
        <w:rPr>
          <w:rFonts w:eastAsia="Calibri"/>
          <w:noProof/>
          <w:szCs w:val="22"/>
        </w:rPr>
      </w:pPr>
      <w:r w:rsidRPr="002D6F62">
        <w:t xml:space="preserve">3. </w:t>
      </w:r>
      <w:r w:rsidRPr="002D6F62">
        <w:tab/>
        <w:t xml:space="preserve">Šā panta 1., 1.a un 2. punktu piemēro arī informācijai, </w:t>
      </w:r>
      <w:r w:rsidRPr="002D6F62">
        <w:rPr>
          <w:b/>
          <w:bCs/>
          <w:i/>
          <w:iCs/>
        </w:rPr>
        <w:t>kuru</w:t>
      </w:r>
      <w:r w:rsidRPr="002D6F62">
        <w:t xml:space="preserve"> kopīgotāja iestāde ir saņēmusi no finanšu iestādes vai citām iestādēm un saistībā ar kuru kopīgotāja iestāde pēc tam ir veikusi kvalitātes pārbaudes vai kuru kopīgotāja iestāde ir citādi apstrādājusi. </w:t>
      </w:r>
    </w:p>
    <w:p w:rsidR="00F00C2C" w:rsidRPr="002D6F62" w:rsidRDefault="00F00C2C" w:rsidP="00F00C2C">
      <w:pPr>
        <w:widowControl/>
        <w:spacing w:before="120" w:after="120"/>
        <w:ind w:left="851" w:hanging="851"/>
        <w:jc w:val="both"/>
        <w:rPr>
          <w:rFonts w:eastAsia="Calibri"/>
          <w:b/>
          <w:i/>
          <w:noProof/>
          <w:szCs w:val="22"/>
        </w:rPr>
      </w:pPr>
      <w:r w:rsidRPr="002D6F62">
        <w:t xml:space="preserve">4. </w:t>
      </w:r>
      <w:r w:rsidRPr="002D6F62">
        <w:tab/>
        <w:t>Lai kopīgotu 1., 1.a, 2. un 3. punktā minēto informāciju, Iestāde un citas iestādes noslēdz saprašanās memorandus, kuros precizē informācijas apmaiņas kārtību. Tās arī nosaka kārtību, kādā tiek kopīgoti resursi šādu kopīgotu datu vākšanai un apstrādei</w:t>
      </w:r>
      <w:r w:rsidRPr="002D6F62">
        <w:rPr>
          <w:b/>
          <w:bCs/>
          <w:i/>
          <w:iCs/>
        </w:rPr>
        <w:t xml:space="preserve"> ar nosacījumu, ka šāda kārtība atbilst piemērojamiem noteikumiem par datu aizsardzību, intelektuālo īpašumu un dienesta noslēpumu</w:t>
      </w:r>
      <w:r w:rsidRPr="002D6F62">
        <w:t>.</w:t>
      </w:r>
      <w:r w:rsidRPr="002D6F62">
        <w:rPr>
          <w:b/>
          <w:i/>
        </w:rPr>
        <w:t xml:space="preserve"> Saprašanās memorandi, kuri noslēgti, visām attiecīgajām iestādēm vienojoties, atbilst vienkāršam un standartizētam formātam, kas vajadzības gadījumā pielāgots kādiem īpašiem darbības nosacījumiem, kurus piemēro konkrētām iestādēm. </w:t>
      </w:r>
    </w:p>
    <w:p w:rsidR="00F00C2C" w:rsidRPr="002D6F62" w:rsidRDefault="00F00C2C" w:rsidP="00F00C2C">
      <w:pPr>
        <w:widowControl/>
        <w:spacing w:before="120" w:after="120"/>
        <w:ind w:left="851" w:hanging="851"/>
        <w:jc w:val="both"/>
        <w:rPr>
          <w:rFonts w:eastAsia="Calibri"/>
          <w:noProof/>
          <w:szCs w:val="22"/>
        </w:rPr>
      </w:pPr>
      <w:r w:rsidRPr="002D6F62">
        <w:t xml:space="preserve">5. </w:t>
      </w:r>
      <w:r w:rsidRPr="002D6F62">
        <w:tab/>
        <w:t>Šā panta 1. un 4. punkts neskar intelektuālā īpašuma tiesību aizsardzību un neliedz veikt informācijas apmaiņu starp ▌ iestādi un citām iestādēm saskaņā ar citu Savienības tiesību aktu noteikumiem, kā arī neierobežo to. Ja šā punkta noteikumi ir pretrunā citu Savienības tiesību aktu noteikumiem, kas reglamentē informācijas apmaiņu starp citām iestādēm ▌, noteicošie ir šādu citu Savienības tiesību aktu noteikumi.</w:t>
      </w:r>
    </w:p>
    <w:p w:rsidR="00F00C2C" w:rsidRPr="002D6F62" w:rsidRDefault="00F00C2C" w:rsidP="00F00C2C">
      <w:pPr>
        <w:widowControl/>
        <w:spacing w:before="120" w:after="120"/>
        <w:ind w:left="851" w:hanging="851"/>
        <w:jc w:val="both"/>
        <w:rPr>
          <w:rFonts w:eastAsia="Calibri"/>
          <w:noProof/>
          <w:szCs w:val="22"/>
        </w:rPr>
      </w:pPr>
      <w:r w:rsidRPr="002D6F62">
        <w:t xml:space="preserve">6. </w:t>
      </w:r>
      <w:r w:rsidRPr="002D6F62">
        <w:tab/>
        <w:t xml:space="preserve">Neskarot citus Savienības tiesību aktos noteiktos pienākumus attiecībā uz informācijas kopīgošanu, iestāde un kompetentās iestādes pēc pamatota pieprasījuma un izskatot katru gadījumu atsevišķi, var kopīgot ar Komisiju ▌ informāciju, ko finanšu iestādes tām ir sniegušas saskaņā ar Savienības tiesību aktos noteiktajiem pienākumiem ▌, veidā, kas neļauj identificēt atsevišķas struktūras un nesatur </w:t>
      </w:r>
      <w:proofErr w:type="spellStart"/>
      <w:r w:rsidRPr="002D6F62">
        <w:t>persondatus</w:t>
      </w:r>
      <w:proofErr w:type="spellEnd"/>
      <w:r w:rsidRPr="002D6F62">
        <w:t xml:space="preserve">. </w:t>
      </w:r>
      <w:r w:rsidRPr="002D6F62">
        <w:rPr>
          <w:b/>
          <w:i/>
        </w:rPr>
        <w:t>Iestādes, kas iesniegušas šādu informāciju, tiek pienācīgi informētas par notikušo informācijas apmaiņu.</w:t>
      </w:r>
    </w:p>
    <w:p w:rsidR="00F00C2C" w:rsidRPr="002D6F62" w:rsidRDefault="00F00C2C" w:rsidP="00F00C2C">
      <w:pPr>
        <w:widowControl/>
        <w:spacing w:before="120" w:after="120"/>
        <w:ind w:left="851" w:hanging="851"/>
        <w:jc w:val="both"/>
        <w:rPr>
          <w:rFonts w:eastAsia="Calibri"/>
          <w:noProof/>
          <w:szCs w:val="22"/>
        </w:rPr>
      </w:pPr>
      <w:r w:rsidRPr="002D6F62">
        <w:t xml:space="preserve">7. </w:t>
      </w:r>
      <w:r w:rsidRPr="002D6F62">
        <w:tab/>
        <w:t xml:space="preserve">Iestāde un kompetentās iestādes var piešķirt piekļuvi to pienākumu veikšanas ietvaros iegūtai informācijai, lai finanšu iestādes, pētnieki un citas struktūras, kurām ir likumīgas intereses šādu informāciju izmantot pētniecības un inovācijas nolūkos, varētu to </w:t>
      </w:r>
      <w:proofErr w:type="spellStart"/>
      <w:r w:rsidRPr="002D6F62">
        <w:t>atkalizmantot</w:t>
      </w:r>
      <w:proofErr w:type="spellEnd"/>
      <w:r w:rsidRPr="002D6F62">
        <w:t xml:space="preserve">, ar nosacījumu, ka iestāde nodrošinājusi visu turpmāk minēto nosacījumu ievērošanu: </w:t>
      </w:r>
    </w:p>
    <w:p w:rsidR="00F00C2C" w:rsidRPr="002D6F62" w:rsidRDefault="00F00C2C" w:rsidP="00F00C2C">
      <w:pPr>
        <w:widowControl/>
        <w:spacing w:before="120" w:after="120"/>
        <w:ind w:left="1418" w:hanging="567"/>
        <w:jc w:val="both"/>
        <w:rPr>
          <w:rFonts w:eastAsia="Calibri"/>
          <w:noProof/>
          <w:szCs w:val="22"/>
        </w:rPr>
      </w:pPr>
      <w:r w:rsidRPr="002D6F62">
        <w:t xml:space="preserve">a) </w:t>
      </w:r>
      <w:r w:rsidRPr="002D6F62">
        <w:rPr>
          <w:b/>
          <w:i/>
        </w:rPr>
        <w:tab/>
      </w:r>
      <w:r w:rsidRPr="002D6F62">
        <w:t xml:space="preserve">informācija ir </w:t>
      </w:r>
      <w:proofErr w:type="spellStart"/>
      <w:r w:rsidRPr="002D6F62">
        <w:t>anonimizēta</w:t>
      </w:r>
      <w:proofErr w:type="spellEnd"/>
      <w:r w:rsidRPr="002D6F62">
        <w:t xml:space="preserve"> tādā veidā, ka datu subjekts vai finanšu iestāde nav vai vairs nav identificējama;</w:t>
      </w:r>
    </w:p>
    <w:p w:rsidR="00F00C2C" w:rsidRPr="002D6F62" w:rsidRDefault="00F00C2C" w:rsidP="00F00C2C">
      <w:pPr>
        <w:widowControl/>
        <w:spacing w:before="120" w:after="120"/>
        <w:ind w:left="1418" w:hanging="567"/>
        <w:jc w:val="both"/>
        <w:rPr>
          <w:rFonts w:eastAsia="Calibri"/>
          <w:noProof/>
          <w:szCs w:val="22"/>
        </w:rPr>
      </w:pPr>
      <w:r w:rsidRPr="002D6F62">
        <w:lastRenderedPageBreak/>
        <w:t>b)</w:t>
      </w:r>
      <w:r w:rsidRPr="002D6F62">
        <w:rPr>
          <w:b/>
          <w:i/>
        </w:rPr>
        <w:tab/>
      </w:r>
      <w:r w:rsidRPr="002D6F62">
        <w:t xml:space="preserve"> konfidenciālas informācijas, tostarp komercnoslēpumu vai ar intelektuālā īpašuma tiesībām aizsargāta satura, aizsardzībai informācija ir grozīta, apkopota vai apstrādāta, izmantojot jebkuru citu izpaušanas kontroles metodi;</w:t>
      </w:r>
    </w:p>
    <w:p w:rsidR="00F00C2C" w:rsidRPr="002D6F62" w:rsidRDefault="00F00C2C" w:rsidP="00F00C2C">
      <w:pPr>
        <w:widowControl/>
        <w:spacing w:before="120" w:after="120"/>
        <w:ind w:left="1418" w:hanging="567"/>
        <w:jc w:val="both"/>
        <w:rPr>
          <w:rFonts w:eastAsia="Calibri"/>
          <w:noProof/>
          <w:szCs w:val="22"/>
        </w:rPr>
      </w:pPr>
      <w:r w:rsidRPr="002D6F62">
        <w:rPr>
          <w:b/>
          <w:i/>
        </w:rPr>
        <w:t>c)</w:t>
      </w:r>
      <w:r w:rsidRPr="002D6F62">
        <w:rPr>
          <w:b/>
          <w:i/>
        </w:rPr>
        <w:tab/>
      </w:r>
      <w:r w:rsidRPr="002D6F62">
        <w:rPr>
          <w:b/>
          <w:bCs/>
          <w:i/>
          <w:iCs/>
        </w:rPr>
        <w:t>puses, kurām ir piešķirta piekļuve, ir pierādījušas, ka tām ir konfidenciālas informācijas aizsardzībai nepieciešamie tehniskie līdzekļi, proti, ka to rīcībā ir rīki, kuri var nodrošināt pilnīgu privātuma un konfidencialitātes aizsardzību.</w:t>
      </w:r>
    </w:p>
    <w:p w:rsidR="00F00C2C" w:rsidRPr="002D6F62" w:rsidRDefault="00F00C2C" w:rsidP="00F00C2C">
      <w:pPr>
        <w:widowControl/>
        <w:spacing w:before="120" w:after="120"/>
        <w:ind w:left="851"/>
        <w:jc w:val="both"/>
        <w:rPr>
          <w:noProof/>
          <w:szCs w:val="22"/>
        </w:rPr>
      </w:pPr>
      <w:r w:rsidRPr="002D6F62">
        <w:t xml:space="preserve">Informāciju, kas saņemta no citas iestādes, var kopīgot tikai </w:t>
      </w:r>
      <w:r w:rsidRPr="002D6F62">
        <w:rPr>
          <w:b/>
          <w:bCs/>
          <w:i/>
          <w:iCs/>
        </w:rPr>
        <w:t>uz šāda pamata un</w:t>
      </w:r>
      <w:r w:rsidRPr="002D6F62">
        <w:t xml:space="preserve"> ar tās iestādes piekrišanu, kura i</w:t>
      </w:r>
      <w:r w:rsidR="002D6F62" w:rsidRPr="002D6F62">
        <w:t>nformāciju sākotnēji ieguvusi.</w:t>
      </w:r>
    </w:p>
    <w:p w:rsidR="00F00C2C" w:rsidRPr="002D6F62" w:rsidRDefault="00F00C2C" w:rsidP="00F00C2C">
      <w:pPr>
        <w:widowControl/>
        <w:spacing w:before="120" w:after="120"/>
        <w:ind w:left="851" w:hanging="851"/>
        <w:jc w:val="both"/>
        <w:rPr>
          <w:rFonts w:eastAsia="Calibri"/>
          <w:b/>
          <w:i/>
          <w:noProof/>
          <w:szCs w:val="22"/>
        </w:rPr>
      </w:pPr>
      <w:r w:rsidRPr="002D6F62">
        <w:rPr>
          <w:b/>
          <w:i/>
        </w:rPr>
        <w:t>7.a</w:t>
      </w:r>
      <w:r w:rsidRPr="002D6F62">
        <w:rPr>
          <w:b/>
          <w:i/>
        </w:rPr>
        <w:tab/>
        <w:t xml:space="preserve">Iestāde un kompetentās iestādes līdz ... [viens gads no šīs grozošās regulas spēkā stāšanās dienas] ziņo Komisijai par visiem juridiskajiem šķēršļiem nozaru noteikumos, kas jebkādā veidā traucē tām kopīgot informāciju ar citām iestādēm vai struktūrām. Ziņojumā var norādīt arī nebūtiskas, novecojušas, dublējošas vai citādi nenozīmīgas ziņošanas prasības un ierosinājumus, kā nodrošināt konsekvenci starp finanšu un </w:t>
      </w:r>
      <w:proofErr w:type="spellStart"/>
      <w:r w:rsidRPr="002D6F62">
        <w:rPr>
          <w:b/>
          <w:i/>
        </w:rPr>
        <w:t>nefinanšu</w:t>
      </w:r>
      <w:proofErr w:type="spellEnd"/>
      <w:r w:rsidRPr="002D6F62">
        <w:rPr>
          <w:b/>
          <w:i/>
        </w:rPr>
        <w:t xml:space="preserve"> uzņēmumu ziņošanas prasībām.</w:t>
      </w:r>
    </w:p>
    <w:p w:rsidR="00F00C2C" w:rsidRPr="002D6F62" w:rsidRDefault="00F00C2C" w:rsidP="00F00C2C">
      <w:pPr>
        <w:widowControl/>
        <w:spacing w:before="120" w:after="120"/>
        <w:ind w:left="851"/>
        <w:jc w:val="both"/>
        <w:rPr>
          <w:rFonts w:eastAsia="Calibri"/>
          <w:noProof/>
          <w:szCs w:val="22"/>
        </w:rPr>
      </w:pPr>
      <w:r w:rsidRPr="002D6F62">
        <w:rPr>
          <w:b/>
          <w:bCs/>
          <w:i/>
          <w:iCs/>
        </w:rPr>
        <w:t>Pamatojoties uz minēto ziņojumu un pienācīgi ņemot vērā nepieciešamību aizsargāt intelektuālā īpašuma tiesības, dienesta noslēpumu un datus, Komisija attiecīgā gadījumā iesniedz Eiropas Parlamentam un Padomei tiesību akta priekšlikumu, lai novērstu šādus juridiskos šķēršļus nozaru tiesību aktos nolūkā veicināt informācijas apmaiņu starp iestādēm un citām struktūrām līdz ... [divi gadi no šīs grozošās regulas spēkā stāšanās dienas].”;</w:t>
      </w:r>
      <w:r w:rsidRPr="002D6F62">
        <w:t> </w:t>
      </w:r>
    </w:p>
    <w:p w:rsidR="00F00C2C" w:rsidRPr="002D6F62" w:rsidRDefault="00F00C2C" w:rsidP="002D6F62">
      <w:pPr>
        <w:widowControl/>
        <w:spacing w:before="120" w:after="120"/>
        <w:ind w:left="851" w:hanging="851"/>
        <w:jc w:val="both"/>
        <w:rPr>
          <w:rFonts w:eastAsia="Calibri"/>
          <w:b/>
          <w:i/>
          <w:szCs w:val="22"/>
        </w:rPr>
      </w:pPr>
      <w:r w:rsidRPr="002D6F62">
        <w:rPr>
          <w:b/>
          <w:i/>
        </w:rPr>
        <w:t>4.a</w:t>
      </w:r>
      <w:r w:rsidRPr="002D6F62">
        <w:rPr>
          <w:b/>
          <w:i/>
        </w:rPr>
        <w:tab/>
        <w:t>iekļauj šādu pantu:</w:t>
      </w:r>
    </w:p>
    <w:p w:rsidR="00F00C2C" w:rsidRPr="002D6F62" w:rsidRDefault="00F00C2C" w:rsidP="00F00C2C">
      <w:pPr>
        <w:widowControl/>
        <w:spacing w:before="120" w:after="120"/>
        <w:ind w:left="851"/>
        <w:rPr>
          <w:rFonts w:eastAsia="Calibri"/>
          <w:b/>
          <w:i/>
          <w:noProof/>
          <w:szCs w:val="22"/>
        </w:rPr>
      </w:pPr>
      <w:r w:rsidRPr="002D6F62">
        <w:rPr>
          <w:b/>
          <w:i/>
        </w:rPr>
        <w:t>“35.b pants</w:t>
      </w:r>
    </w:p>
    <w:p w:rsidR="00F00C2C" w:rsidRPr="002D6F62" w:rsidRDefault="00F00C2C" w:rsidP="00F00C2C">
      <w:pPr>
        <w:widowControl/>
        <w:spacing w:before="120" w:after="120"/>
        <w:ind w:left="851"/>
        <w:rPr>
          <w:rFonts w:eastAsia="Calibri"/>
          <w:b/>
          <w:i/>
          <w:noProof/>
          <w:szCs w:val="22"/>
        </w:rPr>
      </w:pPr>
      <w:r w:rsidRPr="002D6F62">
        <w:rPr>
          <w:b/>
          <w:i/>
        </w:rPr>
        <w:t>Vienotas integrētās ziņošanas sistēmas izveide</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1. </w:t>
      </w:r>
      <w:r w:rsidRPr="002D6F62">
        <w:rPr>
          <w:b/>
          <w:i/>
        </w:rPr>
        <w:tab/>
        <w:t>Līdz ... [divi gadi no šīs grozošās regulas spēkā stāšanās dienas] iestāde ciešā sadarbībā ar citām iestādēm un ESRK sagatavo ziņojumu par vienotas integrētās ziņošanas sistēmas izveides tehniskajiem aspektiem, kā arī ceļvedi, kura pamatā ir darbs pie EUI pārskatu integrēšanas attiecīgajās nozarēs un kurā ietverts izmaksu un ieguvumu novērtējums. Minētā ziņojuma nolūkā vienotajā integrētajā ziņošanas sistēmā iekļauj:</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a) </w:t>
      </w:r>
      <w:r w:rsidRPr="002D6F62">
        <w:rPr>
          <w:b/>
          <w:i/>
        </w:rPr>
        <w:tab/>
        <w:t>vienotu datu vārdnīcu, lai nodrošinātu ziņošanas prasību un datu standartizācijas konsekvenci un skaidrību;</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b) </w:t>
      </w:r>
      <w:r w:rsidRPr="002D6F62">
        <w:rPr>
          <w:b/>
          <w:i/>
        </w:rPr>
        <w:tab/>
        <w:t>kopīgu ziņošanas un informācijas atklāšanas prasību repozitoriju, savākto datu aprakstu un to rīcībā esošo iestāžu kopējo repozitoriju;</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c) </w:t>
      </w:r>
      <w:r w:rsidRPr="002D6F62">
        <w:rPr>
          <w:b/>
          <w:i/>
        </w:rPr>
        <w:tab/>
        <w:t>centrālo datu telpu, tostarp tehnisko projektu informācijas vākšanai un apmaiņai; un</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d) </w:t>
      </w:r>
      <w:r w:rsidRPr="002D6F62">
        <w:rPr>
          <w:b/>
          <w:i/>
        </w:rPr>
        <w:tab/>
        <w:t>pastāvīgu vienoto kontaktpunktu, kurā struktūras var norādīt dubultas ziņošanas gadījumus un nevajadzīgas vai novecojušas ziņošanas vai informācijas atklāšanas prasības.</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Ziņojumam pievieno ciešā sadarbībā ar Komisiju tapušo aplēsi par kopējo finansiālo ietekmi. </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Komisija attiecīgā gadījumā iesniedz Eiropas Parlamentam un Padomei tiesību akta priekšlikumu, lai nodrošinātu finanšu resursus, cilvēkresursus un IT resursus, kas vajadzīgi vienotas integrētās ziņošanas sistēmas izveidei līdz ... [trīs gadi no šīs grozošās regulas spēkā stāšanās dienas]. </w:t>
      </w:r>
    </w:p>
    <w:p w:rsidR="00F00C2C" w:rsidRPr="002D6F62" w:rsidRDefault="00F00C2C" w:rsidP="00F00C2C">
      <w:pPr>
        <w:widowControl/>
        <w:spacing w:before="120" w:after="120"/>
        <w:ind w:left="851"/>
        <w:jc w:val="both"/>
        <w:rPr>
          <w:rFonts w:eastAsia="Calibri"/>
          <w:b/>
          <w:i/>
          <w:noProof/>
          <w:szCs w:val="22"/>
        </w:rPr>
      </w:pPr>
      <w:r w:rsidRPr="002D6F62">
        <w:rPr>
          <w:b/>
          <w:i/>
        </w:rPr>
        <w:lastRenderedPageBreak/>
        <w:t>Iestāde kopā ar citām iestādēm līdz ... [trīs gadi no šīs grozošās regulas spēkā stāšanās dienas] izveido vienot</w:t>
      </w:r>
      <w:r w:rsidR="002D6F62" w:rsidRPr="002D6F62">
        <w:rPr>
          <w:b/>
          <w:i/>
        </w:rPr>
        <w:t>u integrēto ziņošanas sistēmu.”;</w:t>
      </w:r>
    </w:p>
    <w:p w:rsidR="00F00C2C" w:rsidRPr="002D6F62" w:rsidRDefault="00F00C2C" w:rsidP="002D6F62">
      <w:pPr>
        <w:widowControl/>
        <w:spacing w:before="120" w:after="120"/>
        <w:ind w:left="851" w:hanging="851"/>
        <w:jc w:val="both"/>
        <w:rPr>
          <w:b/>
          <w:i/>
        </w:rPr>
      </w:pPr>
      <w:r w:rsidRPr="002D6F62">
        <w:rPr>
          <w:b/>
          <w:i/>
        </w:rPr>
        <w:t>4.b</w:t>
      </w:r>
      <w:r w:rsidRPr="002D6F62">
        <w:rPr>
          <w:b/>
          <w:i/>
        </w:rPr>
        <w:tab/>
        <w:t>regulas 36. panta 2. punktu aizstāj ar šādu:</w:t>
      </w:r>
    </w:p>
    <w:p w:rsidR="00F00C2C" w:rsidRPr="002D6F62" w:rsidRDefault="002D6F62" w:rsidP="00F00C2C">
      <w:pPr>
        <w:widowControl/>
        <w:spacing w:before="120" w:after="120"/>
        <w:ind w:left="1985" w:hanging="567"/>
        <w:jc w:val="both"/>
        <w:rPr>
          <w:rFonts w:eastAsia="Calibri"/>
          <w:b/>
          <w:i/>
          <w:noProof/>
          <w:szCs w:val="22"/>
        </w:rPr>
      </w:pPr>
      <w:r w:rsidRPr="002D6F62">
        <w:t>“</w:t>
      </w:r>
      <w:r w:rsidR="00F00C2C" w:rsidRPr="002D6F62">
        <w:t xml:space="preserve">2. </w:t>
      </w:r>
      <w:r w:rsidR="00F00C2C" w:rsidRPr="002D6F62">
        <w:rPr>
          <w:b/>
          <w:i/>
        </w:rPr>
        <w:tab/>
        <w:t>Iestāde, kā arī Eiropas Centrālo banku sistēma (ECBS), Komisija, valstu kompetentās iestādes un valsts statistikas iestādes cieši sadarbojas ar ESRK, kopīgojot informāciju un veiktās analīzes rezultātus, kas nepieciešami to uzdevumu izpildei.</w:t>
      </w:r>
    </w:p>
    <w:p w:rsidR="00F00C2C" w:rsidRPr="002D6F62" w:rsidRDefault="00F00C2C" w:rsidP="00F00C2C">
      <w:pPr>
        <w:widowControl/>
        <w:spacing w:before="120" w:after="120"/>
        <w:ind w:left="1985"/>
        <w:jc w:val="both"/>
        <w:rPr>
          <w:rFonts w:eastAsia="Calibri"/>
          <w:b/>
          <w:i/>
          <w:noProof/>
          <w:szCs w:val="22"/>
        </w:rPr>
      </w:pPr>
      <w:r w:rsidRPr="002D6F62">
        <w:rPr>
          <w:b/>
          <w:i/>
        </w:rPr>
        <w:t>Iestāde savus centienus atklāt, uzraudzīt, novērst un mazināt sistēmiskos riskus, kas apdraud finanšu stabilitāti, koordinē ar ESRK un ECB.</w:t>
      </w:r>
    </w:p>
    <w:p w:rsidR="00F00C2C" w:rsidRPr="002D6F62" w:rsidRDefault="00F00C2C" w:rsidP="00F00C2C">
      <w:pPr>
        <w:widowControl/>
        <w:spacing w:before="120" w:after="120"/>
        <w:ind w:left="1985"/>
        <w:jc w:val="both"/>
        <w:rPr>
          <w:rFonts w:eastAsia="Calibri"/>
          <w:b/>
          <w:i/>
          <w:noProof/>
          <w:szCs w:val="22"/>
        </w:rPr>
      </w:pPr>
      <w:r w:rsidRPr="002D6F62">
        <w:rPr>
          <w:b/>
          <w:i/>
        </w:rPr>
        <w:t>Iestāde saskaņā ar Regulas (ES) Nr. 1092/2010 15. panta 1. līdz 5. punktu izpilda konkrētos datu kopīgošanas noteikumus.</w:t>
      </w:r>
    </w:p>
    <w:p w:rsidR="00F00C2C" w:rsidRPr="002D6F62" w:rsidRDefault="00F00C2C" w:rsidP="00F00C2C">
      <w:pPr>
        <w:widowControl/>
        <w:spacing w:before="120" w:after="120"/>
        <w:ind w:left="1985"/>
        <w:jc w:val="both"/>
        <w:rPr>
          <w:rFonts w:eastAsia="Calibri"/>
          <w:b/>
          <w:i/>
          <w:noProof/>
          <w:szCs w:val="22"/>
        </w:rPr>
      </w:pPr>
      <w:r w:rsidRPr="002D6F62">
        <w:rPr>
          <w:b/>
          <w:i/>
        </w:rPr>
        <w:t xml:space="preserve">Iestāde sadarbībā ar ESRK ir ieviesusi atbilstīgas iekšējās procedūras konfidenciālas informācijas, galvenokārt informācijas par atsevišķām </w:t>
      </w:r>
      <w:r w:rsidR="002D6F62" w:rsidRPr="002D6F62">
        <w:rPr>
          <w:b/>
          <w:i/>
        </w:rPr>
        <w:t>finanšu iestādēm, nosūtīšanai.”;</w:t>
      </w:r>
    </w:p>
    <w:p w:rsidR="00F00C2C" w:rsidRPr="002D6F62" w:rsidRDefault="00F00C2C" w:rsidP="002D6F62">
      <w:pPr>
        <w:widowControl/>
        <w:spacing w:before="120" w:after="120"/>
        <w:ind w:left="851" w:hanging="851"/>
        <w:jc w:val="both"/>
        <w:rPr>
          <w:rFonts w:eastAsia="Calibri"/>
          <w:noProof/>
          <w:szCs w:val="22"/>
        </w:rPr>
      </w:pPr>
      <w:r w:rsidRPr="002D6F62">
        <w:t>5.</w:t>
      </w:r>
      <w:r w:rsidRPr="002D6F62">
        <w:tab/>
        <w:t>regulas 54. panta 2. punktu papildina ar šādu ievilkumu: </w:t>
      </w:r>
    </w:p>
    <w:p w:rsidR="00F00C2C" w:rsidRPr="002D6F62" w:rsidRDefault="00F00C2C" w:rsidP="00F00C2C">
      <w:pPr>
        <w:widowControl/>
        <w:spacing w:before="120" w:after="120"/>
        <w:ind w:left="2552" w:hanging="567"/>
        <w:jc w:val="both"/>
        <w:rPr>
          <w:rFonts w:eastAsia="Calibri"/>
          <w:noProof/>
          <w:szCs w:val="22"/>
        </w:rPr>
      </w:pPr>
      <w:r w:rsidRPr="002D6F62">
        <w:t xml:space="preserve">“– ziņošanas </w:t>
      </w:r>
      <w:r w:rsidRPr="002D6F62">
        <w:rPr>
          <w:b/>
          <w:bCs/>
          <w:i/>
          <w:iCs/>
        </w:rPr>
        <w:t>un informācijas atklāšanas</w:t>
      </w:r>
      <w:r w:rsidRPr="002D6F62">
        <w:t xml:space="preserve"> prasībām un informācijas vākšanu no finanšu iestādēm.”; </w:t>
      </w:r>
    </w:p>
    <w:p w:rsidR="00F00C2C" w:rsidRPr="002D6F62" w:rsidRDefault="00F00C2C" w:rsidP="002D6F62">
      <w:pPr>
        <w:widowControl/>
        <w:spacing w:before="120" w:after="120"/>
        <w:ind w:left="851" w:hanging="851"/>
        <w:jc w:val="both"/>
        <w:rPr>
          <w:rFonts w:eastAsia="Calibri"/>
          <w:noProof/>
          <w:szCs w:val="22"/>
        </w:rPr>
      </w:pPr>
      <w:r w:rsidRPr="002D6F62">
        <w:t>6.</w:t>
      </w:r>
      <w:r w:rsidRPr="002D6F62">
        <w:tab/>
        <w:t>regulas 70. panta 3. punktu aizstāj ar šādu: </w:t>
      </w:r>
    </w:p>
    <w:p w:rsidR="00F00C2C" w:rsidRPr="002D6F62" w:rsidRDefault="00F00C2C" w:rsidP="00F00C2C">
      <w:pPr>
        <w:widowControl/>
        <w:spacing w:before="120" w:after="120"/>
        <w:ind w:left="2552" w:hanging="567"/>
        <w:jc w:val="both"/>
        <w:rPr>
          <w:rFonts w:eastAsia="Calibri"/>
          <w:szCs w:val="24"/>
        </w:rPr>
      </w:pPr>
      <w:r w:rsidRPr="002D6F62">
        <w:t xml:space="preserve">“3. </w:t>
      </w:r>
      <w:r w:rsidRPr="002D6F62">
        <w:rPr>
          <w:b/>
          <w:i/>
        </w:rPr>
        <w:tab/>
      </w:r>
      <w:r w:rsidRPr="002D6F62">
        <w:t xml:space="preserve">Panta 1. un 2. punkts neliedz iestādei apmainīties ar informāciju ar </w:t>
      </w:r>
      <w:r w:rsidRPr="002D6F62">
        <w:rPr>
          <w:b/>
          <w:bCs/>
          <w:i/>
          <w:iCs/>
        </w:rPr>
        <w:t>citām iestādēm, kas norādītas 35.a panta 1.b punktā</w:t>
      </w:r>
      <w:r w:rsidRPr="002D6F62">
        <w:t xml:space="preserve"> saskaņā ar šo regulu un citiem Savienības tiesību aktiem, kas piemērojami finanšu tirgus dalībniekiem.</w:t>
      </w:r>
      <w:r w:rsidR="002D6F62" w:rsidRPr="002D6F62">
        <w:t>”.</w:t>
      </w:r>
      <w:r w:rsidRPr="002D6F62">
        <w:t xml:space="preserve"> </w:t>
      </w:r>
    </w:p>
    <w:p w:rsidR="00F00C2C" w:rsidRPr="002D6F62" w:rsidRDefault="00F00C2C" w:rsidP="00F00C2C">
      <w:pPr>
        <w:keepNext/>
        <w:widowControl/>
        <w:spacing w:before="360" w:after="120"/>
        <w:jc w:val="center"/>
        <w:rPr>
          <w:rFonts w:eastAsia="Calibri"/>
          <w:b/>
          <w:i/>
          <w:noProof/>
          <w:szCs w:val="22"/>
        </w:rPr>
      </w:pPr>
      <w:r w:rsidRPr="002D6F62">
        <w:rPr>
          <w:b/>
          <w:i/>
        </w:rPr>
        <w:t>4.a pants</w:t>
      </w:r>
    </w:p>
    <w:p w:rsidR="00F00C2C" w:rsidRPr="002D6F62" w:rsidRDefault="00F00C2C" w:rsidP="00F00C2C">
      <w:pPr>
        <w:widowControl/>
        <w:spacing w:before="120" w:after="120"/>
        <w:jc w:val="center"/>
        <w:rPr>
          <w:rFonts w:eastAsia="Calibri"/>
          <w:b/>
          <w:bCs/>
          <w:i/>
          <w:noProof/>
          <w:szCs w:val="22"/>
        </w:rPr>
      </w:pPr>
      <w:r w:rsidRPr="002D6F62">
        <w:rPr>
          <w:b/>
          <w:i/>
        </w:rPr>
        <w:t>Grozījumi Regulā (ES) Nr. 806/2014</w:t>
      </w:r>
    </w:p>
    <w:p w:rsidR="00F00C2C" w:rsidRPr="002D6F62" w:rsidRDefault="00F00C2C" w:rsidP="00F00C2C">
      <w:pPr>
        <w:widowControl/>
        <w:spacing w:before="120" w:after="120"/>
        <w:jc w:val="both"/>
        <w:rPr>
          <w:rFonts w:eastAsia="Calibri"/>
          <w:b/>
          <w:i/>
          <w:noProof/>
          <w:szCs w:val="22"/>
        </w:rPr>
      </w:pPr>
      <w:r w:rsidRPr="002D6F62">
        <w:rPr>
          <w:b/>
          <w:i/>
        </w:rPr>
        <w:t>Regul</w:t>
      </w:r>
      <w:r w:rsidR="002D6F62" w:rsidRPr="002D6F62">
        <w:rPr>
          <w:b/>
          <w:i/>
        </w:rPr>
        <w:t>ā</w:t>
      </w:r>
      <w:r w:rsidRPr="002D6F62">
        <w:rPr>
          <w:b/>
          <w:i/>
        </w:rPr>
        <w:t xml:space="preserve"> (ES) Nr. 806/2014 </w:t>
      </w:r>
      <w:r w:rsidR="002D6F62" w:rsidRPr="002D6F62">
        <w:rPr>
          <w:b/>
          <w:i/>
        </w:rPr>
        <w:t>iekļauj šādus pantus</w:t>
      </w:r>
      <w:r w:rsidRPr="002D6F62">
        <w:rPr>
          <w:b/>
          <w:i/>
        </w:rPr>
        <w:t>:</w:t>
      </w:r>
    </w:p>
    <w:p w:rsidR="00F00C2C" w:rsidRPr="002D6F62" w:rsidRDefault="00F00C2C" w:rsidP="00F00C2C">
      <w:pPr>
        <w:widowControl/>
        <w:spacing w:before="120" w:after="120"/>
        <w:rPr>
          <w:rFonts w:eastAsia="Calibri"/>
          <w:b/>
          <w:i/>
          <w:noProof/>
          <w:szCs w:val="22"/>
        </w:rPr>
      </w:pPr>
      <w:r w:rsidRPr="002D6F62">
        <w:rPr>
          <w:b/>
          <w:i/>
        </w:rPr>
        <w:t>“34.a pants</w:t>
      </w:r>
    </w:p>
    <w:p w:rsidR="00F00C2C" w:rsidRPr="002D6F62" w:rsidRDefault="00F00C2C" w:rsidP="00F00C2C">
      <w:pPr>
        <w:widowControl/>
        <w:spacing w:before="120" w:after="120"/>
        <w:rPr>
          <w:rFonts w:eastAsia="Calibri"/>
          <w:b/>
          <w:i/>
          <w:noProof/>
          <w:szCs w:val="22"/>
        </w:rPr>
      </w:pPr>
      <w:r w:rsidRPr="002D6F62">
        <w:rPr>
          <w:b/>
          <w:i/>
        </w:rPr>
        <w:t>Informācijas apmaiņa starp iestādēm un ar citām struktūrām</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1. </w:t>
      </w:r>
      <w:r w:rsidRPr="002D6F62">
        <w:rPr>
          <w:b/>
          <w:i/>
        </w:rPr>
        <w:tab/>
        <w:t>Valde un valsts noregulējuma iestādes katrā atsevišķā gadījumā vai regulāri kopīgo ar citām iestādēm informāciju, ko tās ieguvušas no finanšu iestādēm vai citām kompetentajām iestādēm, ja informācijas pieprasītājai iestādei saskaņā ar tās misiju, mērķiem, uzdevumiem un pilnvarām vai attiecīgajiem Savienības tiesību aktiem ir tiesības šādu informāciju iegūt.</w:t>
      </w:r>
    </w:p>
    <w:p w:rsidR="00F00C2C" w:rsidRPr="002D6F62" w:rsidRDefault="00F00C2C" w:rsidP="00F00C2C">
      <w:pPr>
        <w:widowControl/>
        <w:spacing w:before="120" w:after="120"/>
        <w:ind w:left="851"/>
        <w:jc w:val="both"/>
        <w:rPr>
          <w:rFonts w:eastAsia="Calibri"/>
          <w:b/>
          <w:i/>
          <w:noProof/>
          <w:szCs w:val="22"/>
        </w:rPr>
      </w:pPr>
      <w:r w:rsidRPr="002D6F62">
        <w:rPr>
          <w:b/>
          <w:i/>
        </w:rPr>
        <w:t>Pēc 34.b pantā minētās vienotās integrētās ziņošanas sistēmas izveides Valde vai valsts noregulējuma iestāde to izmanto šā punkta pirmajā daļā minētās informācijas kopīgošanas nolūkā.</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2. </w:t>
      </w:r>
      <w:r w:rsidRPr="002D6F62">
        <w:rPr>
          <w:b/>
          <w:i/>
        </w:rPr>
        <w:tab/>
        <w:t>Valde un valsts noregulējuma iestādes pieprasa no citām iestādēm informāciju, ko tās citkārt pieprasītu finanšu iestādēm vai citām kompetentajām iestādēm, ja ir izpildīti abi šie nosacījumi:</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a) </w:t>
      </w:r>
      <w:r w:rsidRPr="002D6F62">
        <w:rPr>
          <w:b/>
          <w:i/>
        </w:rPr>
        <w:tab/>
        <w:t>tām ir tiesības iegūt attiecīgo informāciju saskaņā ar to misiju, mērķiem, uzdevumiem un pilnvarām vai saskaņā ar attiecīgajiem Savienības tiesību aktiem;</w:t>
      </w:r>
    </w:p>
    <w:p w:rsidR="00F00C2C" w:rsidRPr="002D6F62" w:rsidRDefault="00F00C2C" w:rsidP="00F00C2C">
      <w:pPr>
        <w:widowControl/>
        <w:spacing w:before="120" w:after="120"/>
        <w:ind w:left="1418" w:hanging="567"/>
        <w:jc w:val="both"/>
        <w:rPr>
          <w:rFonts w:eastAsia="Calibri"/>
          <w:b/>
          <w:i/>
          <w:noProof/>
          <w:szCs w:val="22"/>
        </w:rPr>
      </w:pPr>
      <w:r w:rsidRPr="002D6F62">
        <w:rPr>
          <w:b/>
          <w:i/>
        </w:rPr>
        <w:lastRenderedPageBreak/>
        <w:t xml:space="preserve">b) </w:t>
      </w:r>
      <w:r w:rsidRPr="002D6F62">
        <w:rPr>
          <w:b/>
          <w:i/>
        </w:rPr>
        <w:tab/>
        <w:t>attiecīgo informāciju ir ieguvusi vismaz vēl viena cita iestāde.</w:t>
      </w:r>
    </w:p>
    <w:p w:rsidR="00F00C2C" w:rsidRPr="002D6F62" w:rsidRDefault="00F00C2C" w:rsidP="00F00C2C">
      <w:pPr>
        <w:widowControl/>
        <w:spacing w:before="120" w:after="120"/>
        <w:ind w:left="851"/>
        <w:jc w:val="both"/>
        <w:rPr>
          <w:rFonts w:eastAsia="Calibri"/>
          <w:b/>
          <w:i/>
          <w:noProof/>
          <w:szCs w:val="22"/>
        </w:rPr>
      </w:pPr>
      <w:r w:rsidRPr="002D6F62">
        <w:rPr>
          <w:b/>
          <w:i/>
        </w:rPr>
        <w:t>Pirmā daļa neskar Valdes un valsts noregulējuma iestāžu iespēju iegūt pieprasīto informāciju no finanšu iestādēm vai citām kompetentām iestādēm, ja operatīvu iemeslu dēļ kāda cita iestāde šādus datus sniegt nespēj.</w:t>
      </w:r>
    </w:p>
    <w:p w:rsidR="00F00C2C" w:rsidRPr="002D6F62" w:rsidRDefault="00F00C2C" w:rsidP="00F00C2C">
      <w:pPr>
        <w:widowControl/>
        <w:spacing w:before="120" w:after="120"/>
        <w:ind w:left="851"/>
        <w:jc w:val="both"/>
        <w:rPr>
          <w:rFonts w:eastAsia="Calibri"/>
          <w:b/>
          <w:i/>
          <w:noProof/>
          <w:szCs w:val="22"/>
        </w:rPr>
      </w:pPr>
      <w:r w:rsidRPr="002D6F62">
        <w:rPr>
          <w:b/>
          <w:i/>
        </w:rPr>
        <w:t>Pēc 34.b pantā minētās vienotās integrētās ziņošanas sistēmas izveides Valde to izmanto, lai noteiktu, vai ir izpildīts pirmās daļas b) apakšpunktā izklāstītais nosacījums.</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3. </w:t>
      </w:r>
      <w:r w:rsidRPr="002D6F62">
        <w:rPr>
          <w:b/>
          <w:i/>
        </w:rPr>
        <w:tab/>
        <w:t>Šā panta un 34.b panta piemērošanas nolūkā “citas iestādes” ir jebkura no šīm iestādēm:</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a) </w:t>
      </w:r>
      <w:r w:rsidRPr="002D6F62">
        <w:rPr>
          <w:b/>
          <w:i/>
        </w:rPr>
        <w:tab/>
        <w:t>Eiropas uzraudzības iestādes;</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b) </w:t>
      </w:r>
      <w:r w:rsidRPr="002D6F62">
        <w:rPr>
          <w:b/>
          <w:i/>
        </w:rPr>
        <w:tab/>
        <w:t>ESRK;</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c) </w:t>
      </w:r>
      <w:r w:rsidRPr="002D6F62">
        <w:rPr>
          <w:b/>
          <w:i/>
        </w:rPr>
        <w:tab/>
        <w:t>kompetentās iestādes, kā definēts Regulas (ES) Nr. 1093/2010 4. panta 2.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d) </w:t>
      </w:r>
      <w:r w:rsidRPr="002D6F62">
        <w:rPr>
          <w:b/>
          <w:i/>
        </w:rPr>
        <w:tab/>
        <w:t>kompetentās iestādes, kā definēts Regulas (ES) Nr. 1094/2010 4. panta 2.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e) </w:t>
      </w:r>
      <w:r w:rsidRPr="002D6F62">
        <w:rPr>
          <w:b/>
          <w:i/>
        </w:rPr>
        <w:tab/>
        <w:t>kompetentās iestādes, kā definēts Regulas (ES) Nr. 1095/2010 4. panta 3.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f) </w:t>
      </w:r>
      <w:r w:rsidRPr="002D6F62">
        <w:rPr>
          <w:b/>
          <w:i/>
        </w:rPr>
        <w:tab/>
        <w:t>AMLA, kas izveidota ar Eiropas Parlamenta un Padomes Regulu (ES) .../...</w:t>
      </w:r>
      <w:r w:rsidR="006E05C1">
        <w:rPr>
          <w:rStyle w:val="FootnoteReference"/>
          <w:b/>
          <w:bCs/>
          <w:i/>
          <w:iCs/>
        </w:rPr>
        <w:footnoteReference w:customMarkFollows="1" w:id="21"/>
        <w:t>+</w:t>
      </w:r>
      <w:r w:rsidRPr="002D6F62">
        <w:rPr>
          <w:b/>
          <w:i/>
        </w:rPr>
        <w:t>;</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g) </w:t>
      </w:r>
      <w:r w:rsidRPr="002D6F62">
        <w:rPr>
          <w:b/>
          <w:i/>
        </w:rPr>
        <w:tab/>
        <w:t>iestādes, kā definēts Eiropas Parlamenta un Padomes Direktīvas (ES) .../...</w:t>
      </w:r>
      <w:r w:rsidR="006E05C1">
        <w:rPr>
          <w:rStyle w:val="FootnoteReference"/>
          <w:b/>
          <w:i/>
        </w:rPr>
        <w:footnoteReference w:customMarkFollows="1" w:id="22"/>
        <w:t>++</w:t>
      </w:r>
      <w:r w:rsidRPr="002D6F62">
        <w:rPr>
          <w:b/>
          <w:i/>
        </w:rPr>
        <w:t xml:space="preserve"> 2. panta 1.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h) </w:t>
      </w:r>
      <w:r w:rsidRPr="002D6F62">
        <w:rPr>
          <w:b/>
          <w:i/>
        </w:rPr>
        <w:tab/>
        <w:t>VUM, kā definēts Regulas (ES) Nr. 1024/2013 2. panta 9.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i)</w:t>
      </w:r>
      <w:r w:rsidRPr="002D6F62">
        <w:rPr>
          <w:b/>
          <w:i/>
        </w:rPr>
        <w:tab/>
        <w:t xml:space="preserve"> valsts noregulējuma iestādes, kā definēts 3. panta 3. punktā.</w:t>
      </w:r>
    </w:p>
    <w:p w:rsidR="00F00C2C" w:rsidRPr="002D6F62" w:rsidRDefault="00F00C2C" w:rsidP="00F00C2C">
      <w:pPr>
        <w:widowControl/>
        <w:spacing w:before="120" w:after="120"/>
        <w:ind w:left="851"/>
        <w:jc w:val="both"/>
        <w:rPr>
          <w:rFonts w:eastAsia="Calibri"/>
          <w:b/>
          <w:i/>
          <w:noProof/>
          <w:szCs w:val="22"/>
        </w:rPr>
      </w:pPr>
      <w:r w:rsidRPr="002D6F62">
        <w:rPr>
          <w:b/>
          <w:i/>
        </w:rPr>
        <w:t>Šajā pantā “finanšu iestāde” ir “finanšu iestāde” saskaņā ar definīciju Regulas (ES) Nr. 1092/2010 2. panta a) punktā.</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4. </w:t>
      </w:r>
      <w:r w:rsidRPr="002D6F62">
        <w:rPr>
          <w:b/>
          <w:i/>
        </w:rPr>
        <w:tab/>
        <w:t xml:space="preserve">Informācijas apmaiņas pieprasījumā pienācīgi norāda juridisko pamatu saskaņā ar Savienības tiesību aktiem, kas pieprasījuma iesniedzējai iestādei ļauj iegūt informāciju no finanšu iestādēm vai citām kompetentajām iestādēm. Pieprasījuma iesniedzējai iestādei un kopīgotājai iestādei ir pienākums glabāt dienesta noslēpumu un ievērot 88. un 89. pantā un nozaru tiesību aktos paredzēto datu aizsardzību, kuru piemēro datu kopīgošanai starp finanšu iestādi un pieprasījuma iesniedzēju iestādi, kā arī datu kopīgošanai starp finanšu iestādi un kopīgotāju iestādi. Kopīgotāja iestāde bez liekas kavēšanās informē katru attiecīgo finanšu iestādi par šādu informācijas apmaiņu, ja vien informācija nav </w:t>
      </w:r>
      <w:proofErr w:type="spellStart"/>
      <w:r w:rsidRPr="002D6F62">
        <w:rPr>
          <w:b/>
          <w:i/>
        </w:rPr>
        <w:t>anonimizēta</w:t>
      </w:r>
      <w:proofErr w:type="spellEnd"/>
      <w:r w:rsidRPr="002D6F62">
        <w:rPr>
          <w:b/>
          <w:i/>
        </w:rPr>
        <w:t>, izmainīta, apkopota vai apstrādāta, izmantojot kādu citu informācijas izpaušanas kontroles metodi, lai aizsargātu konfidenciālu informāciju.</w:t>
      </w:r>
    </w:p>
    <w:p w:rsidR="00F00C2C" w:rsidRPr="002D6F62" w:rsidRDefault="00F00C2C" w:rsidP="00F00C2C">
      <w:pPr>
        <w:widowControl/>
        <w:spacing w:before="120" w:after="120"/>
        <w:ind w:left="851" w:hanging="851"/>
        <w:jc w:val="both"/>
        <w:rPr>
          <w:rFonts w:eastAsia="Calibri"/>
          <w:b/>
          <w:i/>
          <w:noProof/>
          <w:szCs w:val="22"/>
        </w:rPr>
      </w:pPr>
      <w:r w:rsidRPr="002D6F62">
        <w:rPr>
          <w:b/>
          <w:i/>
        </w:rPr>
        <w:lastRenderedPageBreak/>
        <w:t xml:space="preserve">5. </w:t>
      </w:r>
      <w:r w:rsidRPr="002D6F62">
        <w:rPr>
          <w:b/>
          <w:i/>
        </w:rPr>
        <w:tab/>
        <w:t>Šā panta 1., 2. un 4. punktu piemēro arī informācijai, kuru kopīgotāja iestāde ir saņēmusi no finanšu iestādes vai citām iestādēm un saistībā ar kuru kopīgotāja iestāde pēc tam ir veikusi kvalitātes pārbaudes vai kuru kopīgotāja iestāde ir citādi apstrādājusi.</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6. </w:t>
      </w:r>
      <w:r w:rsidRPr="002D6F62">
        <w:rPr>
          <w:b/>
          <w:i/>
        </w:rPr>
        <w:tab/>
        <w:t xml:space="preserve">Lai kopīgotu 1., 2., 4. un 5. punktā minēto informāciju, Valde un citas iestādes noslēdz saprašanās memorandus, kuros precizē informācijas apmaiņas kārtību. </w:t>
      </w:r>
      <w:r w:rsidRPr="002D6F62">
        <w:rPr>
          <w:b/>
          <w:bCs/>
          <w:i/>
          <w:iCs/>
        </w:rPr>
        <w:t>Tās arī nosaka kārtību, kādā tiek kopīgoti resursi šādu kopīgotu datu vākšanai un apstrādei ar nosacījumu, ka šāda kārtība atbilst piemērojamiem noteikumiem par datu aizsardzību, intelektuālo īpašumu un dienesta noslēpumu</w:t>
      </w:r>
      <w:r w:rsidRPr="002D6F62">
        <w:t>.</w:t>
      </w:r>
      <w:r w:rsidRPr="002D6F62">
        <w:rPr>
          <w:b/>
          <w:i/>
        </w:rPr>
        <w:t xml:space="preserve"> Saprašanās memorandi, kuri noslēgti, visām attiecīgajām iestādēm vienojoties, atbilst vienkāršam un standartizētam formātam, kas vajadzības gadījumā pielāgots kādiem īpašiem darbības nosacījumiem, kurus piemēro konkrētām iestādēm.</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7. </w:t>
      </w:r>
      <w:r w:rsidRPr="002D6F62">
        <w:rPr>
          <w:b/>
          <w:i/>
        </w:rPr>
        <w:tab/>
        <w:t>Šā panta 1. līdz 6. punkts neskar intelektuālā īpašuma tiesību aizsardzību un neliedz veikt informācijas apmaiņu starp Valdi un citām iestādēm saskaņā ar citu Savienības tiesību aktu noteikumiem, kā arī neierobežo to. Ja šā punkta noteikumi ir pretrunā šīs regulas vai citu Savienības tiesību aktu noteikumiem, kas reglamentē informācijas apmaiņu starp citām iestādēm, noteicošie ir šādu citu Savienības tiesību aktu noteikumi.</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8. </w:t>
      </w:r>
      <w:r w:rsidRPr="002D6F62">
        <w:rPr>
          <w:b/>
          <w:i/>
        </w:rPr>
        <w:tab/>
        <w:t xml:space="preserve">Neskarot citus Savienības tiesību aktos noteiktos pienākumus attiecībā uz informācijas kopīgošanu, Valde un valsts noregulējuma iestādes pēc pamatota pieprasījuma un izskatot katru gadījumu atsevišķi, var kopīgot ar Komisiju informāciju, ko finanšu iestādes tām ir sniegušas saskaņā ar Savienības tiesību aktos noteiktajiem pienākumiem, veidā, kas neļauj identificēt atsevišķas struktūras un nesatur </w:t>
      </w:r>
      <w:proofErr w:type="spellStart"/>
      <w:r w:rsidRPr="002D6F62">
        <w:rPr>
          <w:b/>
          <w:i/>
        </w:rPr>
        <w:t>persondatus</w:t>
      </w:r>
      <w:proofErr w:type="spellEnd"/>
      <w:r w:rsidRPr="002D6F62">
        <w:rPr>
          <w:b/>
          <w:i/>
        </w:rPr>
        <w:t>. Iestādes, kas iesniegušas šādu informāciju, tiek pienācīgi informētas par notikušo informācijas apmaiņu.</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9. </w:t>
      </w:r>
      <w:r w:rsidRPr="002D6F62">
        <w:rPr>
          <w:b/>
          <w:i/>
        </w:rPr>
        <w:tab/>
        <w:t xml:space="preserve">Valde un valsts noregulējuma iestādes var piešķirt piekļuvi informācijai, ko tās ieguvušas savu pienākumu veikšanas ietvaros, lai finanšu iestādes, pētnieki un citas struktūras, kurām ir likumīgas intereses šādu informāciju izmantot pētniecības un inovācijas nolūkos, varētu to </w:t>
      </w:r>
      <w:proofErr w:type="spellStart"/>
      <w:r w:rsidRPr="002D6F62">
        <w:rPr>
          <w:b/>
          <w:i/>
        </w:rPr>
        <w:t>atkalizmantot</w:t>
      </w:r>
      <w:proofErr w:type="spellEnd"/>
      <w:r w:rsidRPr="002D6F62">
        <w:rPr>
          <w:b/>
          <w:i/>
        </w:rPr>
        <w:t xml:space="preserve"> ar nosacījumu, ka Valde nodrošinājusi visu turpmāk minēto nosacījumu ievērošanu:</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a) </w:t>
      </w:r>
      <w:r w:rsidRPr="002D6F62">
        <w:rPr>
          <w:b/>
          <w:i/>
        </w:rPr>
        <w:tab/>
        <w:t xml:space="preserve">informācija ir </w:t>
      </w:r>
      <w:proofErr w:type="spellStart"/>
      <w:r w:rsidRPr="002D6F62">
        <w:rPr>
          <w:b/>
          <w:i/>
        </w:rPr>
        <w:t>anonimizēta</w:t>
      </w:r>
      <w:proofErr w:type="spellEnd"/>
      <w:r w:rsidRPr="002D6F62">
        <w:rPr>
          <w:b/>
          <w:i/>
        </w:rPr>
        <w:t xml:space="preserve"> tādā veidā, ka datu subjekts vai finanšu iestāde nav vai vairs nav identificējama;</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b) </w:t>
      </w:r>
      <w:r w:rsidRPr="002D6F62">
        <w:rPr>
          <w:b/>
          <w:i/>
        </w:rPr>
        <w:tab/>
        <w:t>konfidenciālas informācijas, tostarp komercnoslēpumu vai ar intelektuālā īpašuma tiesībām aizsargāta satura, aizsardzībai informācija ir grozīta, apkopota vai apstrādāta, izmantojot jebkuru citu izpaušanas kontroles metodi;</w:t>
      </w:r>
    </w:p>
    <w:p w:rsidR="00F00C2C" w:rsidRPr="002D6F62" w:rsidRDefault="00F00C2C" w:rsidP="00F00C2C">
      <w:pPr>
        <w:widowControl/>
        <w:spacing w:before="120" w:after="120"/>
        <w:ind w:left="1418" w:hanging="567"/>
        <w:jc w:val="both"/>
        <w:rPr>
          <w:rFonts w:eastAsia="Calibri"/>
          <w:b/>
          <w:i/>
          <w:noProof/>
          <w:szCs w:val="22"/>
        </w:rPr>
      </w:pPr>
      <w:r w:rsidRPr="002D6F62">
        <w:rPr>
          <w:b/>
          <w:i/>
        </w:rPr>
        <w:t>c)</w:t>
      </w:r>
      <w:r w:rsidRPr="002D6F62">
        <w:rPr>
          <w:b/>
          <w:i/>
        </w:rPr>
        <w:tab/>
      </w:r>
      <w:r w:rsidRPr="002D6F62">
        <w:rPr>
          <w:b/>
          <w:bCs/>
          <w:i/>
          <w:iCs/>
        </w:rPr>
        <w:t>puses, kurām ir piešķirta piekļuve, ir pierādījušas, ka tām ir konfidenciālas informācijas aizsardzībai nepieciešamie tehniskie līdzekļi, proti, ka to rīcībā ir rīki, kuri var nodrošināt pilnīgu privātuma un konfidencialitātes aizsardzību.</w:t>
      </w:r>
    </w:p>
    <w:p w:rsidR="00F00C2C" w:rsidRPr="002D6F62" w:rsidRDefault="00F00C2C" w:rsidP="00F00C2C">
      <w:pPr>
        <w:widowControl/>
        <w:spacing w:before="120" w:after="120"/>
        <w:ind w:left="851"/>
        <w:jc w:val="both"/>
        <w:rPr>
          <w:rFonts w:eastAsia="Calibri"/>
          <w:b/>
          <w:i/>
          <w:noProof/>
          <w:szCs w:val="22"/>
        </w:rPr>
      </w:pPr>
      <w:r w:rsidRPr="002D6F62">
        <w:rPr>
          <w:b/>
          <w:i/>
        </w:rPr>
        <w:t>Informāciju, kas saņemta no citas iestādes, var kopīgot tikai uz šāda pamata un ar tās iestādes piekrišanu, kura informāciju sākotnēji ieguvusi.</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10. </w:t>
      </w:r>
      <w:r w:rsidRPr="002D6F62">
        <w:rPr>
          <w:b/>
          <w:i/>
        </w:rPr>
        <w:tab/>
        <w:t xml:space="preserve">Valde un valsts noregulējuma iestādes līdz ... [viens gads no šīs grozošās regulas spēkā stāšanās dienas] ziņo Komisijai par visiem juridiskajiem šķēršļiem nozaru noteikumos, kas jebkādā veidā traucē Valdei kopīgot informāciju ar citām iestādēm vai struktūrām. Ziņojumā var norādīt arī nebūtiskas, novecojušas, dublējošas vai citādi nenozīmīgas ziņošanas prasības un ierosinājumus, kā nodrošināt konsekvenci starp finanšu un </w:t>
      </w:r>
      <w:proofErr w:type="spellStart"/>
      <w:r w:rsidRPr="002D6F62">
        <w:rPr>
          <w:b/>
          <w:i/>
        </w:rPr>
        <w:t>nefinanšu</w:t>
      </w:r>
      <w:proofErr w:type="spellEnd"/>
      <w:r w:rsidRPr="002D6F62">
        <w:rPr>
          <w:b/>
          <w:i/>
        </w:rPr>
        <w:t xml:space="preserve"> uzņēmumu ziņošanas prasībām.</w:t>
      </w:r>
    </w:p>
    <w:p w:rsidR="00F00C2C" w:rsidRPr="002D6F62" w:rsidRDefault="00F00C2C" w:rsidP="00F00C2C">
      <w:pPr>
        <w:widowControl/>
        <w:spacing w:before="120" w:after="120"/>
        <w:ind w:left="851"/>
        <w:jc w:val="both"/>
        <w:rPr>
          <w:rFonts w:eastAsia="Calibri"/>
          <w:b/>
          <w:i/>
          <w:noProof/>
          <w:szCs w:val="22"/>
        </w:rPr>
      </w:pPr>
      <w:r w:rsidRPr="002D6F62">
        <w:rPr>
          <w:b/>
          <w:i/>
        </w:rPr>
        <w:lastRenderedPageBreak/>
        <w:t>Pamatojoties uz minēto ziņojumu un pienācīgi ņemot vērā nepieciešamību aizsargāt intelektuālā īpašuma tiesības, dienesta noslēpumu un datus, Komisija attiecīgā gadījumā iesniedz Eiropas Parlamentam un Padomei tiesību akta priekšlikumu, lai novērstu šādus juridiskos šķēršļus nozaru tiesību aktos nolūkā veicināt informācijas apmaiņu starp iestādēm un citām struktūrām līdz ... [divi gadi no šīs grozošās regulas spēkā stāšanās dienas].</w:t>
      </w:r>
    </w:p>
    <w:p w:rsidR="00F00C2C" w:rsidRPr="002D6F62" w:rsidRDefault="00F00C2C" w:rsidP="00F00C2C">
      <w:pPr>
        <w:widowControl/>
        <w:spacing w:before="120" w:after="120"/>
        <w:jc w:val="center"/>
        <w:rPr>
          <w:rFonts w:eastAsia="Calibri"/>
          <w:b/>
          <w:i/>
          <w:noProof/>
          <w:szCs w:val="22"/>
        </w:rPr>
      </w:pPr>
      <w:r w:rsidRPr="002D6F62">
        <w:rPr>
          <w:b/>
          <w:i/>
        </w:rPr>
        <w:t>34.b pants</w:t>
      </w:r>
    </w:p>
    <w:p w:rsidR="00F00C2C" w:rsidRPr="002D6F62" w:rsidRDefault="00F00C2C" w:rsidP="00F00C2C">
      <w:pPr>
        <w:widowControl/>
        <w:spacing w:before="120" w:after="120"/>
        <w:jc w:val="center"/>
        <w:rPr>
          <w:rFonts w:eastAsia="Calibri"/>
          <w:b/>
          <w:i/>
          <w:noProof/>
          <w:szCs w:val="22"/>
        </w:rPr>
      </w:pPr>
      <w:r w:rsidRPr="002D6F62">
        <w:rPr>
          <w:b/>
          <w:i/>
        </w:rPr>
        <w:t>Vienotas integrētās ziņošanas sistēmas izveide</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1. </w:t>
      </w:r>
      <w:r w:rsidRPr="002D6F62">
        <w:rPr>
          <w:b/>
          <w:i/>
        </w:rPr>
        <w:tab/>
        <w:t>Līdz ... [divi gadi no šīs grozošās regulas spēkā stāšanās dienas] Valde ciešā sadarbībā ar citām iestādēm sagatavo ziņojumu par vienotas integrētās ziņošanas sistēmas izveides tehniskajiem aspektiem, kā arī ceļvedi, kura pamatā ir darbs pie EUI pārskatu integrēšanas attiecīgajās nozarēs un kurā ietverts izmaksu un ieguvumu novērtējums. Minētā ziņojuma nolūkā vienotajā integrētajā ziņošanas sistēmā iekļauj:</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a) </w:t>
      </w:r>
      <w:r w:rsidRPr="002D6F62">
        <w:rPr>
          <w:b/>
          <w:i/>
        </w:rPr>
        <w:tab/>
        <w:t>vienotu datu vārdnīcu, lai nodrošinātu ziņošanas prasību un datu standartizācijas konsekvenci un skaidrību;</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b) </w:t>
      </w:r>
      <w:r w:rsidRPr="002D6F62">
        <w:rPr>
          <w:b/>
          <w:i/>
        </w:rPr>
        <w:tab/>
        <w:t>kopīgu ziņošanas un informācijas atklāšanas prasību repozitoriju, savākto datu aprakstu un to rīcībā esošo iestāžu kopējo repozitoriju;</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c) </w:t>
      </w:r>
      <w:r w:rsidRPr="002D6F62">
        <w:rPr>
          <w:b/>
          <w:i/>
        </w:rPr>
        <w:tab/>
        <w:t>centrālo datu telpu, tostarp tehnisko projektu informācijas vākšanai un apmaiņai; un</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d) </w:t>
      </w:r>
      <w:r w:rsidRPr="002D6F62">
        <w:rPr>
          <w:b/>
          <w:i/>
        </w:rPr>
        <w:tab/>
        <w:t>pastāvīgu vienoto kontaktpunktu, kurā struktūras var norādīt dubultas ziņošanas gadījumus un nevajadzīgas vai novecojušas ziņošanas vai informācijas atklāšanas prasības.</w:t>
      </w:r>
    </w:p>
    <w:p w:rsidR="00F00C2C" w:rsidRPr="002D6F62" w:rsidRDefault="00F00C2C" w:rsidP="00F00C2C">
      <w:pPr>
        <w:widowControl/>
        <w:spacing w:before="120" w:after="120"/>
        <w:ind w:left="1418" w:hanging="1418"/>
        <w:jc w:val="both"/>
        <w:rPr>
          <w:rFonts w:eastAsia="Calibri"/>
          <w:b/>
          <w:i/>
          <w:noProof/>
          <w:szCs w:val="22"/>
        </w:rPr>
      </w:pPr>
      <w:r w:rsidRPr="002D6F62">
        <w:rPr>
          <w:b/>
          <w:i/>
        </w:rPr>
        <w:t xml:space="preserve">2. </w:t>
      </w:r>
      <w:r w:rsidRPr="002D6F62">
        <w:rPr>
          <w:b/>
          <w:i/>
        </w:rPr>
        <w:tab/>
        <w:t xml:space="preserve">Ziņojumam pievieno ciešā sadarbībā ar Komisiju tapušo aplēsi par kopējo finansiālo ietekmi. </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Komisija attiecīgā gadījumā iesniedz Eiropas Parlamentam un Padomei tiesību akta priekšlikumu, lai nodrošinātu finanšu resursus, cilvēkresursus un IT resursus, kas vajadzīgi vienotas integrētās ziņošanas sistēmas izveidei līdz ... [trīs gadi no šīs grozošās regulas spēkā stāšanās dienas]. </w:t>
      </w:r>
    </w:p>
    <w:p w:rsidR="00F00C2C" w:rsidRPr="002D6F62" w:rsidRDefault="00F00C2C" w:rsidP="00F00C2C">
      <w:pPr>
        <w:widowControl/>
        <w:spacing w:before="120" w:after="120"/>
        <w:ind w:left="1418" w:hanging="567"/>
        <w:jc w:val="both"/>
        <w:rPr>
          <w:rFonts w:eastAsia="Calibri"/>
          <w:b/>
          <w:i/>
          <w:noProof/>
          <w:szCs w:val="22"/>
        </w:rPr>
      </w:pPr>
      <w:r w:rsidRPr="002D6F62">
        <w:rPr>
          <w:b/>
          <w:i/>
        </w:rPr>
        <w:t>Valde kopā ar citām iestādēm līdz ... [trīs gadi no šīs grozošās regulas spēkā stāšanās dienas] izveido vienotu integrēto ziņošanas sistēmu.”</w:t>
      </w:r>
      <w:r w:rsidR="002D6F62" w:rsidRPr="002D6F62">
        <w:rPr>
          <w:b/>
          <w:i/>
        </w:rPr>
        <w:t>;</w:t>
      </w:r>
    </w:p>
    <w:p w:rsidR="00F00C2C" w:rsidRPr="002D6F62" w:rsidRDefault="00F00C2C" w:rsidP="00F00C2C">
      <w:pPr>
        <w:keepNext/>
        <w:widowControl/>
        <w:spacing w:before="360" w:after="120"/>
        <w:jc w:val="center"/>
        <w:rPr>
          <w:rFonts w:eastAsia="Calibri"/>
          <w:b/>
          <w:i/>
          <w:noProof/>
          <w:szCs w:val="22"/>
        </w:rPr>
      </w:pPr>
      <w:r w:rsidRPr="002D6F62">
        <w:rPr>
          <w:b/>
          <w:i/>
        </w:rPr>
        <w:t>4.b pants</w:t>
      </w:r>
    </w:p>
    <w:p w:rsidR="00F00C2C" w:rsidRPr="002D6F62" w:rsidRDefault="00F00C2C" w:rsidP="00F00C2C">
      <w:pPr>
        <w:widowControl/>
        <w:spacing w:before="120" w:after="120"/>
        <w:jc w:val="center"/>
        <w:rPr>
          <w:rFonts w:eastAsia="Calibri"/>
          <w:b/>
          <w:bCs/>
          <w:i/>
          <w:noProof/>
          <w:szCs w:val="22"/>
        </w:rPr>
      </w:pPr>
      <w:r w:rsidRPr="002D6F62">
        <w:rPr>
          <w:b/>
          <w:i/>
        </w:rPr>
        <w:t>Grozījumi Regulā (ES) .../..., ar ko izveido Iestādi nelikumīgi iegūtu līdzekļu legalizēšanas novēršanai</w:t>
      </w:r>
    </w:p>
    <w:p w:rsidR="00F00C2C" w:rsidRPr="002D6F62" w:rsidRDefault="00F00C2C" w:rsidP="00F00C2C">
      <w:pPr>
        <w:widowControl/>
        <w:spacing w:before="120" w:after="120"/>
        <w:jc w:val="both"/>
        <w:rPr>
          <w:rFonts w:eastAsia="Calibri"/>
          <w:b/>
          <w:i/>
          <w:noProof/>
          <w:szCs w:val="22"/>
        </w:rPr>
      </w:pPr>
      <w:r w:rsidRPr="002D6F62">
        <w:rPr>
          <w:b/>
          <w:i/>
        </w:rPr>
        <w:t>Regulu (ES) Nr. …/...</w:t>
      </w:r>
      <w:r w:rsidR="006E05C1">
        <w:rPr>
          <w:rStyle w:val="FootnoteReference"/>
          <w:b/>
          <w:bCs/>
          <w:i/>
          <w:iCs/>
        </w:rPr>
        <w:footnoteReference w:customMarkFollows="1" w:id="23"/>
        <w:t>+</w:t>
      </w:r>
      <w:r w:rsidRPr="002D6F62">
        <w:rPr>
          <w:b/>
          <w:i/>
        </w:rPr>
        <w:t xml:space="preserve"> groza šādi:</w:t>
      </w:r>
    </w:p>
    <w:p w:rsidR="00F00C2C" w:rsidRPr="002D6F62" w:rsidRDefault="00F00C2C" w:rsidP="00F00C2C">
      <w:pPr>
        <w:widowControl/>
        <w:spacing w:before="120" w:after="120"/>
        <w:ind w:left="850" w:hanging="850"/>
        <w:jc w:val="both"/>
        <w:rPr>
          <w:rFonts w:eastAsia="Calibri"/>
          <w:b/>
          <w:i/>
          <w:szCs w:val="22"/>
        </w:rPr>
      </w:pPr>
      <w:r w:rsidRPr="002D6F62">
        <w:rPr>
          <w:b/>
          <w:i/>
        </w:rPr>
        <w:t xml:space="preserve">1. </w:t>
      </w:r>
      <w:r w:rsidRPr="002D6F62">
        <w:rPr>
          <w:b/>
          <w:i/>
        </w:rPr>
        <w:tab/>
        <w:t>regulas 10. panta 2. punktam pievieno šādu d) apakšpunktu:</w:t>
      </w:r>
    </w:p>
    <w:p w:rsidR="00F00C2C" w:rsidRPr="002D6F62" w:rsidRDefault="00F00C2C" w:rsidP="00F00C2C">
      <w:pPr>
        <w:widowControl/>
        <w:spacing w:before="120" w:after="120"/>
        <w:ind w:left="851"/>
        <w:jc w:val="both"/>
        <w:rPr>
          <w:rFonts w:eastAsia="Calibri"/>
          <w:b/>
          <w:i/>
          <w:szCs w:val="22"/>
        </w:rPr>
      </w:pPr>
      <w:r w:rsidRPr="002D6F62">
        <w:rPr>
          <w:b/>
          <w:i/>
        </w:rPr>
        <w:t xml:space="preserve">“d) </w:t>
      </w:r>
      <w:r w:rsidRPr="002D6F62">
        <w:rPr>
          <w:b/>
          <w:i/>
        </w:rPr>
        <w:tab/>
        <w:t xml:space="preserve">pārskata Komisijas pieņemto attiecīgo regulatīvo un īstenošanas tehnisko standartu un iestādes sniegto pamatnostādņu un ieteikumu piemērošanu un </w:t>
      </w:r>
      <w:r w:rsidRPr="002D6F62">
        <w:rPr>
          <w:b/>
          <w:i/>
        </w:rPr>
        <w:lastRenderedPageBreak/>
        <w:t>vajadzības gadījumā ierosina grozījumus, ar kuriem nemainīgi saglabā datu lietojamību un kvalitāti, nolūkā:</w:t>
      </w:r>
    </w:p>
    <w:p w:rsidR="00F00C2C" w:rsidRPr="002D6F62" w:rsidRDefault="00F00C2C" w:rsidP="00F00C2C">
      <w:pPr>
        <w:widowControl/>
        <w:spacing w:before="120" w:after="120"/>
        <w:ind w:left="720"/>
        <w:jc w:val="both"/>
        <w:rPr>
          <w:rFonts w:eastAsia="Calibri"/>
          <w:b/>
          <w:i/>
          <w:szCs w:val="22"/>
        </w:rPr>
      </w:pPr>
      <w:r w:rsidRPr="002D6F62">
        <w:rPr>
          <w:b/>
          <w:bCs/>
          <w:i/>
          <w:iCs/>
        </w:rPr>
        <w:t>–</w:t>
      </w:r>
      <w:r w:rsidRPr="002D6F62">
        <w:rPr>
          <w:b/>
          <w:i/>
        </w:rPr>
        <w:t xml:space="preserve"> atcelt nevajadzīgas vai novecojušas ziņošanas un informācijas atklāšanas prasības;</w:t>
      </w:r>
    </w:p>
    <w:p w:rsidR="00F00C2C" w:rsidRPr="002D6F62" w:rsidRDefault="00F00C2C" w:rsidP="00F00C2C">
      <w:pPr>
        <w:widowControl/>
        <w:spacing w:before="120" w:after="120"/>
        <w:ind w:left="720"/>
        <w:jc w:val="both"/>
        <w:rPr>
          <w:rFonts w:eastAsia="Calibri"/>
          <w:b/>
          <w:i/>
          <w:noProof/>
          <w:szCs w:val="22"/>
        </w:rPr>
      </w:pPr>
      <w:r w:rsidRPr="002D6F62">
        <w:rPr>
          <w:b/>
          <w:bCs/>
          <w:i/>
          <w:iCs/>
        </w:rPr>
        <w:t>–</w:t>
      </w:r>
      <w:r w:rsidRPr="002D6F62">
        <w:rPr>
          <w:b/>
          <w:i/>
        </w:rPr>
        <w:t xml:space="preserve"> nodrošināt samērīgas un standartizētas ziņošanas un informācijas atklāšanas prasības;</w:t>
      </w:r>
    </w:p>
    <w:p w:rsidR="00F00C2C" w:rsidRPr="002D6F62" w:rsidRDefault="00F00C2C" w:rsidP="00F00C2C">
      <w:pPr>
        <w:widowControl/>
        <w:spacing w:before="120" w:after="120"/>
        <w:ind w:firstLine="720"/>
        <w:jc w:val="both"/>
        <w:rPr>
          <w:rFonts w:eastAsia="Calibri"/>
          <w:b/>
          <w:i/>
          <w:szCs w:val="22"/>
        </w:rPr>
      </w:pPr>
      <w:r w:rsidRPr="002D6F62">
        <w:rPr>
          <w:b/>
          <w:bCs/>
          <w:i/>
          <w:iCs/>
        </w:rPr>
        <w:t>–</w:t>
      </w:r>
      <w:r w:rsidRPr="002D6F62">
        <w:rPr>
          <w:b/>
          <w:i/>
        </w:rPr>
        <w:t xml:space="preserve"> līdz minimumam samazināt izmaksas;</w:t>
      </w:r>
    </w:p>
    <w:p w:rsidR="00F00C2C" w:rsidRPr="002D6F62" w:rsidRDefault="00F00C2C" w:rsidP="00F00C2C">
      <w:pPr>
        <w:widowControl/>
        <w:spacing w:before="120" w:after="120"/>
        <w:ind w:firstLine="720"/>
        <w:jc w:val="both"/>
        <w:rPr>
          <w:rFonts w:eastAsia="Calibri"/>
          <w:b/>
          <w:i/>
          <w:noProof/>
          <w:szCs w:val="22"/>
        </w:rPr>
      </w:pPr>
      <w:r w:rsidRPr="002D6F62">
        <w:rPr>
          <w:b/>
          <w:bCs/>
          <w:i/>
          <w:iCs/>
        </w:rPr>
        <w:t>–</w:t>
      </w:r>
      <w:r w:rsidRPr="002D6F62">
        <w:rPr>
          <w:b/>
          <w:i/>
        </w:rPr>
        <w:t xml:space="preserve"> novērst tiesību aktu nepilnības;”</w:t>
      </w:r>
      <w:r w:rsidR="002D6F62" w:rsidRPr="002D6F62">
        <w:rPr>
          <w:b/>
          <w:i/>
        </w:rPr>
        <w:t>;</w:t>
      </w:r>
    </w:p>
    <w:p w:rsidR="00F00C2C" w:rsidRPr="002D6F62" w:rsidRDefault="00F00C2C" w:rsidP="00F00C2C">
      <w:pPr>
        <w:widowControl/>
        <w:spacing w:before="120" w:after="120"/>
        <w:ind w:left="850" w:hanging="850"/>
        <w:jc w:val="both"/>
        <w:rPr>
          <w:rFonts w:eastAsia="Calibri"/>
          <w:b/>
          <w:i/>
          <w:szCs w:val="22"/>
        </w:rPr>
      </w:pPr>
      <w:r w:rsidRPr="002D6F62">
        <w:rPr>
          <w:b/>
          <w:i/>
        </w:rPr>
        <w:t xml:space="preserve">2. </w:t>
      </w:r>
      <w:r w:rsidRPr="002D6F62">
        <w:rPr>
          <w:b/>
          <w:i/>
        </w:rPr>
        <w:tab/>
        <w:t>regulas 16. pantam pievieno šādu punktu:</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“3.a </w:t>
      </w:r>
      <w:r w:rsidRPr="002D6F62">
        <w:rPr>
          <w:b/>
          <w:i/>
        </w:rPr>
        <w:tab/>
        <w:t>Pirms informācijas pieprasīšanas saskaņā ar šo pantu un lai izvairītos no ziņošanas un informācijas atklāšanas pienākuma dublēšanās, iestāde ņem vērā 16.a panta 3. punktā minēto citu iestāžu pieprasīto informāciju un visu attiecīgo esošo statistiku, ko sagatavojusi un izplatījusi Eiropas Statistikas sistēma un Eiropas Centrālo banku sistēma.”;</w:t>
      </w:r>
    </w:p>
    <w:p w:rsidR="00F00C2C" w:rsidRPr="002D6F62" w:rsidRDefault="00F00C2C" w:rsidP="00F00C2C">
      <w:pPr>
        <w:widowControl/>
        <w:spacing w:before="120" w:after="120"/>
        <w:ind w:left="850" w:hanging="850"/>
        <w:jc w:val="both"/>
        <w:rPr>
          <w:rFonts w:eastAsia="Calibri"/>
          <w:b/>
          <w:i/>
          <w:szCs w:val="22"/>
        </w:rPr>
      </w:pPr>
      <w:r w:rsidRPr="002D6F62">
        <w:rPr>
          <w:b/>
          <w:i/>
        </w:rPr>
        <w:t xml:space="preserve">3. </w:t>
      </w:r>
      <w:r w:rsidRPr="002D6F62">
        <w:rPr>
          <w:b/>
          <w:i/>
        </w:rPr>
        <w:tab/>
        <w:t>iekļauj šādu pantu:</w:t>
      </w:r>
    </w:p>
    <w:p w:rsidR="00F00C2C" w:rsidRPr="002D6F62" w:rsidRDefault="00F00C2C" w:rsidP="00F00C2C">
      <w:pPr>
        <w:widowControl/>
        <w:spacing w:before="120" w:after="120"/>
        <w:jc w:val="center"/>
        <w:rPr>
          <w:rFonts w:eastAsia="Calibri"/>
          <w:b/>
          <w:i/>
          <w:noProof/>
          <w:szCs w:val="22"/>
        </w:rPr>
      </w:pPr>
      <w:r w:rsidRPr="002D6F62">
        <w:rPr>
          <w:b/>
          <w:i/>
        </w:rPr>
        <w:t>“16.a pants</w:t>
      </w:r>
    </w:p>
    <w:p w:rsidR="00F00C2C" w:rsidRPr="002D6F62" w:rsidRDefault="00F00C2C" w:rsidP="00F00C2C">
      <w:pPr>
        <w:widowControl/>
        <w:spacing w:before="120" w:after="120"/>
        <w:jc w:val="center"/>
        <w:rPr>
          <w:rFonts w:eastAsia="Calibri"/>
          <w:b/>
          <w:bCs/>
          <w:i/>
          <w:noProof/>
          <w:szCs w:val="22"/>
        </w:rPr>
      </w:pPr>
      <w:r w:rsidRPr="002D6F62">
        <w:rPr>
          <w:b/>
          <w:i/>
        </w:rPr>
        <w:t>Informācijas apmaiņa starp iestādēm un ar citām struktūrām</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1. </w:t>
      </w:r>
      <w:r w:rsidRPr="002D6F62">
        <w:rPr>
          <w:b/>
          <w:i/>
        </w:rPr>
        <w:tab/>
        <w:t>Iestāde un uzraudzības iestādes katrā atsevišķā gadījumā vai regulāri kopīgo ar citām iestādēm informāciju, ko tās ieguvušas no iestādēm, kurām uzticēts pienākums, vai citām kompetentajām iestādēm, ja informācijas pieprasītājai iestādei saskaņā ar tās misiju, mērķiem, uzdevumiem un pilnvarām vai attiecīgajiem Savienības tiesību aktiem ir tiesības iegūt šo informāciju.</w:t>
      </w:r>
    </w:p>
    <w:p w:rsidR="00F00C2C" w:rsidRPr="002D6F62" w:rsidRDefault="00F00C2C" w:rsidP="00F00C2C">
      <w:pPr>
        <w:widowControl/>
        <w:spacing w:before="120" w:after="120"/>
        <w:ind w:left="851"/>
        <w:jc w:val="both"/>
        <w:rPr>
          <w:rFonts w:eastAsia="Calibri"/>
          <w:b/>
          <w:i/>
          <w:noProof/>
          <w:szCs w:val="22"/>
        </w:rPr>
      </w:pPr>
      <w:r w:rsidRPr="002D6F62">
        <w:rPr>
          <w:b/>
          <w:i/>
        </w:rPr>
        <w:t>Pēc 16.b pantā minētās vienotās integrētās ziņošanas sistēmas izveides Iestāde vai uzraudzības iestāde to izmanto šā punkta pirmajā daļā minētās informācijas kopīgošanas nolūkā.</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2. </w:t>
      </w:r>
      <w:r w:rsidRPr="002D6F62">
        <w:rPr>
          <w:b/>
          <w:i/>
        </w:rPr>
        <w:tab/>
        <w:t>Iestāde un uzraudzības iestādes pieprasa no citām iestādēm informāciju, ko tās citkārt pieprasītu iestādēm, kurām uzticēts pienākums, vai citām kompetentajām iestādēm, ja ir izpildīti abi šādi nosacījumi:</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a) </w:t>
      </w:r>
      <w:r w:rsidRPr="002D6F62">
        <w:rPr>
          <w:b/>
          <w:i/>
        </w:rPr>
        <w:tab/>
        <w:t>tām ir tiesības iegūt attiecīgo informāciju saskaņā ar to misiju, mērķiem, uzdevumiem un pilnvarām vai saskaņā ar attiecīgajiem Savienības tiesību aktiem;</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b) </w:t>
      </w:r>
      <w:r w:rsidRPr="002D6F62">
        <w:rPr>
          <w:b/>
          <w:i/>
        </w:rPr>
        <w:tab/>
        <w:t>attiecīgo informāciju ir ieguvusi vismaz vēl viena cita iestāde.</w:t>
      </w:r>
    </w:p>
    <w:p w:rsidR="00F00C2C" w:rsidRPr="002D6F62" w:rsidRDefault="00F00C2C" w:rsidP="00F00C2C">
      <w:pPr>
        <w:widowControl/>
        <w:spacing w:before="120" w:after="120"/>
        <w:ind w:left="851"/>
        <w:jc w:val="both"/>
        <w:rPr>
          <w:rFonts w:eastAsia="Calibri"/>
          <w:b/>
          <w:i/>
          <w:noProof/>
          <w:szCs w:val="22"/>
        </w:rPr>
      </w:pPr>
      <w:r w:rsidRPr="002D6F62">
        <w:rPr>
          <w:b/>
          <w:i/>
        </w:rPr>
        <w:t>Šī panta pirmā daļa neskar iestādes un kompetento iestāžu iespēju šādu informāciju iegūt no finanšu iestādēm vai citām kompetentām iestādēm, ja operatīvu iemeslu dēļ kāda cita iestāde šādus datus sniegt nespēj.</w:t>
      </w:r>
    </w:p>
    <w:p w:rsidR="00F00C2C" w:rsidRPr="002D6F62" w:rsidRDefault="00F00C2C" w:rsidP="00F00C2C">
      <w:pPr>
        <w:widowControl/>
        <w:spacing w:before="120" w:after="120"/>
        <w:ind w:left="851"/>
        <w:jc w:val="both"/>
        <w:rPr>
          <w:rFonts w:eastAsia="Calibri"/>
          <w:b/>
          <w:i/>
          <w:noProof/>
          <w:szCs w:val="22"/>
        </w:rPr>
      </w:pPr>
      <w:r w:rsidRPr="002D6F62">
        <w:rPr>
          <w:b/>
          <w:i/>
        </w:rPr>
        <w:t>Pēc 16.b pantā minētās vienotās integrētās ziņošanas sistēmas izveides iestāde un uzraudzības iestādes to izmanto, lai noteiktu, vai ir izpildīts pirmās daļas b) apakšpunktā izklāstītais nosacījums.</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3. </w:t>
      </w:r>
      <w:r w:rsidRPr="002D6F62">
        <w:rPr>
          <w:b/>
          <w:i/>
        </w:rPr>
        <w:tab/>
        <w:t>Šā panta, 16. panta 3a) punkta un 16.b panta piemērošanas nolūkā “citas iestādes” ir jebkura no šīm iestādēm:</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a) </w:t>
      </w:r>
      <w:r w:rsidRPr="002D6F62">
        <w:rPr>
          <w:b/>
          <w:i/>
        </w:rPr>
        <w:tab/>
        <w:t>Eiropas uzraudzības iestādes;</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b) </w:t>
      </w:r>
      <w:r w:rsidRPr="002D6F62">
        <w:rPr>
          <w:b/>
          <w:i/>
        </w:rPr>
        <w:tab/>
        <w:t>ESRK;</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c) </w:t>
      </w:r>
      <w:r w:rsidRPr="002D6F62">
        <w:rPr>
          <w:b/>
          <w:i/>
        </w:rPr>
        <w:tab/>
        <w:t>kompetentās iestādes, kā definēts Regulas (ES) Nr. 1093/2010 4. panta 2.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lastRenderedPageBreak/>
        <w:t xml:space="preserve">d) </w:t>
      </w:r>
      <w:r w:rsidRPr="002D6F62">
        <w:rPr>
          <w:b/>
          <w:i/>
        </w:rPr>
        <w:tab/>
        <w:t>kompetentās iestādes, kā definēts Regulas (ES) Nr. 1094/2010 4. panta 2.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e) </w:t>
      </w:r>
      <w:r w:rsidRPr="002D6F62">
        <w:rPr>
          <w:b/>
          <w:i/>
        </w:rPr>
        <w:tab/>
        <w:t>kompetentās iestādes, kā definēts Regulas (ES) Nr. 1095/2010 4. panta 3.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f)</w:t>
      </w:r>
      <w:r w:rsidRPr="002D6F62">
        <w:rPr>
          <w:b/>
          <w:i/>
        </w:rPr>
        <w:tab/>
        <w:t xml:space="preserve"> iestādes, kā definēts Eiropas Parlamenta un Padomes Direktīvas (ES) .../...</w:t>
      </w:r>
      <w:r w:rsidR="006E05C1">
        <w:rPr>
          <w:rStyle w:val="FootnoteReference"/>
          <w:b/>
          <w:i/>
        </w:rPr>
        <w:footnoteReference w:customMarkFollows="1" w:id="24"/>
        <w:t>+</w:t>
      </w:r>
      <w:r w:rsidRPr="002D6F62">
        <w:rPr>
          <w:b/>
          <w:i/>
        </w:rPr>
        <w:t xml:space="preserve"> 2. panta 1.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g) </w:t>
      </w:r>
      <w:r w:rsidRPr="002D6F62">
        <w:rPr>
          <w:b/>
          <w:i/>
        </w:rPr>
        <w:tab/>
        <w:t>valsts kompetentās iestādes, kā definēts Regulas (ES) Nr. 575/2013 2. panta 2.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h) </w:t>
      </w:r>
      <w:r w:rsidRPr="002D6F62">
        <w:rPr>
          <w:b/>
          <w:i/>
        </w:rPr>
        <w:tab/>
        <w:t>VNV;</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i) </w:t>
      </w:r>
      <w:r w:rsidRPr="002D6F62">
        <w:rPr>
          <w:b/>
          <w:i/>
        </w:rPr>
        <w:tab/>
        <w:t>valsts noregulējuma iestādes, kā definēts Regulas (ES) Nr. 806/2014 3. panta 3. punktā.</w:t>
      </w:r>
    </w:p>
    <w:p w:rsidR="00F00C2C" w:rsidRPr="002D6F62" w:rsidRDefault="00F00C2C" w:rsidP="00F00C2C">
      <w:pPr>
        <w:widowControl/>
        <w:spacing w:before="120" w:after="120"/>
        <w:ind w:left="1418" w:hanging="567"/>
        <w:jc w:val="both"/>
        <w:rPr>
          <w:rFonts w:eastAsia="Calibri"/>
          <w:b/>
          <w:i/>
          <w:noProof/>
          <w:szCs w:val="22"/>
        </w:rPr>
      </w:pPr>
      <w:r w:rsidRPr="002D6F62">
        <w:rPr>
          <w:b/>
          <w:i/>
        </w:rPr>
        <w:t xml:space="preserve">j) </w:t>
      </w:r>
      <w:r w:rsidRPr="002D6F62">
        <w:rPr>
          <w:b/>
          <w:i/>
        </w:rPr>
        <w:tab/>
        <w:t>VUM, kā definēts Regulas (ES) Nr. 1024/2013 2. panta 9. punktā;</w:t>
      </w:r>
    </w:p>
    <w:p w:rsidR="00F00C2C" w:rsidRPr="002D6F62" w:rsidRDefault="00F00C2C" w:rsidP="00F00C2C">
      <w:pPr>
        <w:widowControl/>
        <w:spacing w:before="120" w:after="120"/>
        <w:ind w:left="851"/>
        <w:jc w:val="both"/>
        <w:rPr>
          <w:rFonts w:eastAsia="Calibri"/>
          <w:b/>
          <w:i/>
          <w:noProof/>
          <w:szCs w:val="22"/>
        </w:rPr>
      </w:pPr>
      <w:r w:rsidRPr="002D6F62">
        <w:rPr>
          <w:b/>
          <w:i/>
        </w:rPr>
        <w:t>Šajā pantā “finanšu iestāde” ir “finanšu iestāde” saskaņā ar definīciju Regulas (ES) Nr. 1092/2010 2. panta a) punktā.</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4. </w:t>
      </w:r>
      <w:r w:rsidRPr="002D6F62">
        <w:rPr>
          <w:b/>
          <w:i/>
        </w:rPr>
        <w:tab/>
        <w:t xml:space="preserve">Informācijas apmaiņas pieprasījumā pienācīgi norāda juridisko pamatu saskaņā ar Savienības tiesību aktiem, kas pieprasījuma iesniedzējai iestādei ļauj iegūt informāciju no iestādēm, kurām uzticēts pienākums, vai citām kompetentajām iestādēm. Pieprasījuma iesniedzējai iestādei un kopīgotājai iestādei ir pienākums glabāt dienesta noslēpumu un ievērot 75. un 84. pantā un nozaru tiesību aktos paredzēto datu aizsardzību, ko piemēro datu kopīgošanai starp iestādi, kurai uzticēts pienākums, un pieprasījuma iesniedzēju iestādi, kā arī datu kopīgošanai starp iestādi, kurai uzticēts pienākums, un kopīgotāju iestādi. Kopīgotāja iestāde bez liekas kavēšanās informē katru attiecīgo iestādi, kurai uzticēts pienākums, par šādu informācijas apmaiņu, ja vien informācija nav </w:t>
      </w:r>
      <w:proofErr w:type="spellStart"/>
      <w:r w:rsidRPr="002D6F62">
        <w:rPr>
          <w:b/>
          <w:i/>
        </w:rPr>
        <w:t>anonimizēta</w:t>
      </w:r>
      <w:proofErr w:type="spellEnd"/>
      <w:r w:rsidRPr="002D6F62">
        <w:rPr>
          <w:b/>
          <w:i/>
        </w:rPr>
        <w:t>, izmainīta, apkopota vai apstrādāta, izmantojot kādu citu informācijas izpaušanas kontroles metodi, lai aizsargātu konfidenciālu informāciju.</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5. </w:t>
      </w:r>
      <w:r w:rsidRPr="002D6F62">
        <w:rPr>
          <w:b/>
          <w:i/>
        </w:rPr>
        <w:tab/>
        <w:t>Šā panta 1., 2. un 4. punktu piemēro arī informācijai, kuru kopīgotāja iestāde ir saņēmusi no iestādes, kam uzticēts pienākums, vai citām iestādēm un saistībā ar kuru kopīgotāja iestāde pēc tam ir veikusi kvalitātes pārbaudes vai kuru kopīgotāja iestāde ir citādi apstrādājusi.</w:t>
      </w:r>
    </w:p>
    <w:p w:rsidR="00F00C2C" w:rsidRPr="002D6F62" w:rsidRDefault="00F00C2C" w:rsidP="00F00C2C">
      <w:pPr>
        <w:widowControl/>
        <w:spacing w:before="120" w:after="120"/>
        <w:ind w:left="851" w:hanging="851"/>
        <w:jc w:val="both"/>
        <w:rPr>
          <w:rFonts w:eastAsia="Calibri"/>
          <w:b/>
          <w:i/>
          <w:noProof/>
          <w:szCs w:val="22"/>
        </w:rPr>
      </w:pPr>
      <w:r w:rsidRPr="002D6F62">
        <w:rPr>
          <w:b/>
          <w:i/>
        </w:rPr>
        <w:t>6.</w:t>
      </w:r>
      <w:r w:rsidRPr="002D6F62">
        <w:rPr>
          <w:b/>
          <w:i/>
        </w:rPr>
        <w:tab/>
        <w:t xml:space="preserve"> Lai kopīgotu 1., 2., 4. un 5. punktā minēto informāciju, iestāde un citas iestādes noslēdz saprašanās memorandus, kuros precizē informācijas apmaiņas kārtību. </w:t>
      </w:r>
      <w:r w:rsidRPr="002D6F62">
        <w:rPr>
          <w:b/>
          <w:bCs/>
          <w:i/>
          <w:iCs/>
        </w:rPr>
        <w:t>Tās arī nosaka kārtību, kādā tiek kopīgoti resursi šādu kopīgotu datu vākšanai un apstrādei, ar nosacījumu, ka šāda kārtība atbilst piemērojamiem noteikumiem par datu aizsardzību, intelektuālo īpašumu un dienesta noslēpumu.</w:t>
      </w:r>
      <w:r w:rsidRPr="002D6F62">
        <w:rPr>
          <w:b/>
          <w:i/>
        </w:rPr>
        <w:t xml:space="preserve"> Saprašanās memorandi, kuri noslēgti, visām attiecīgajām iestādēm vienojoties, atbilst vienkāršam un standartizētam formātam, kas vajadzības gadījumā pielāgots kādiem īpašiem darbības nosacījumiem, kurus piemēro konkrētām iestādēm.</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7. </w:t>
      </w:r>
      <w:r w:rsidRPr="002D6F62">
        <w:rPr>
          <w:b/>
          <w:i/>
        </w:rPr>
        <w:tab/>
        <w:t xml:space="preserve">Šā panta 1. līdz 6. punkts neskar intelektuālā īpašuma tiesību aizsardzību un neliedz veikt informācijas apmaiņu starp iestādi un citām iestādēm saskaņā ar citu Savienības tiesību aktu noteikumiem, kā arī neierobežo to. Ja šā punkta noteikumi </w:t>
      </w:r>
      <w:r w:rsidRPr="002D6F62">
        <w:rPr>
          <w:b/>
          <w:i/>
        </w:rPr>
        <w:lastRenderedPageBreak/>
        <w:t>ir pretrunā šīs regulas vai citu Savienības tiesību aktu noteikumiem, kas reglamentē informācijas apmaiņu starp citām iestādēm, noteicošie ir šādu citu Savienības tiesību aktu noteikumi.</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8. </w:t>
      </w:r>
      <w:r w:rsidRPr="002D6F62">
        <w:rPr>
          <w:b/>
          <w:i/>
        </w:rPr>
        <w:tab/>
        <w:t xml:space="preserve">Neskarot citus Savienības tiesību aktos noteiktos pienākumus attiecībā uz informācijas kopīgošanu, iestāde un uzraudzības iestādes pēc pamatota pieprasījuma un izskatot katru gadījumu atsevišķi, var kopīgot ar Komisiju informāciju, ko iestādes, kurām uzticēts pienākums, tām ir sniegušas saskaņā ar Savienības tiesību aktos noteiktajiem pienākumiem, veidā, kas neļauj identificēt atsevišķas struktūras un nesatur </w:t>
      </w:r>
      <w:proofErr w:type="spellStart"/>
      <w:r w:rsidRPr="002D6F62">
        <w:rPr>
          <w:b/>
          <w:i/>
        </w:rPr>
        <w:t>persondatus</w:t>
      </w:r>
      <w:proofErr w:type="spellEnd"/>
      <w:r w:rsidRPr="002D6F62">
        <w:rPr>
          <w:b/>
          <w:i/>
        </w:rPr>
        <w:t>. Iestādes, kas iesniegušas šādu informāciju, tiek pienācīgi informētas par notikušo informācijas apmaiņu.</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9. </w:t>
      </w:r>
      <w:r w:rsidRPr="002D6F62">
        <w:rPr>
          <w:b/>
          <w:i/>
        </w:rPr>
        <w:tab/>
        <w:t xml:space="preserve">Iestāde un uzraudzības iestādes var piešķirt piekļuvi informācijai, ko tās ieguvušas savu pienākumu veikšanas ietvaros, lai iestādes, kurām uzticēts pienākums, pētnieki un citas struktūras, kurām ir likumīgas intereses šādu informāciju izmantot pētniecības un inovācijas nolūkos, varētu to </w:t>
      </w:r>
      <w:proofErr w:type="spellStart"/>
      <w:r w:rsidRPr="002D6F62">
        <w:rPr>
          <w:b/>
          <w:i/>
        </w:rPr>
        <w:t>atkalizmantot</w:t>
      </w:r>
      <w:proofErr w:type="spellEnd"/>
      <w:r w:rsidRPr="002D6F62">
        <w:rPr>
          <w:b/>
          <w:i/>
        </w:rPr>
        <w:t xml:space="preserve"> ar nosacījumu, ka iestāde vai uzraudzības iestādes nodrošinājušas visu turpmāk minēto nosacījumu ievērošanu:</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a) </w:t>
      </w:r>
      <w:r w:rsidRPr="002D6F62">
        <w:rPr>
          <w:b/>
          <w:i/>
        </w:rPr>
        <w:tab/>
        <w:t xml:space="preserve">informācija ir </w:t>
      </w:r>
      <w:proofErr w:type="spellStart"/>
      <w:r w:rsidRPr="002D6F62">
        <w:rPr>
          <w:b/>
          <w:i/>
        </w:rPr>
        <w:t>anonimizēta</w:t>
      </w:r>
      <w:proofErr w:type="spellEnd"/>
      <w:r w:rsidRPr="002D6F62">
        <w:rPr>
          <w:b/>
          <w:i/>
        </w:rPr>
        <w:t xml:space="preserve"> tādā veidā, ka datu subjekts vai finanšu iestāde nav vai vairs nav identificējama;</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b) </w:t>
      </w:r>
      <w:r w:rsidRPr="002D6F62">
        <w:rPr>
          <w:b/>
          <w:i/>
        </w:rPr>
        <w:tab/>
        <w:t>konfidenciālas informācijas, tostarp komercnoslēpumu vai ar intelektuālā īpašuma tiesībām aizsargāta satura, aizsardzībai informācija ir grozīta, apkopota vai apstrādāta, izmantojot jebkuru citu izpaušanas kontroles metodi;</w:t>
      </w:r>
    </w:p>
    <w:p w:rsidR="00F00C2C" w:rsidRPr="002D6F62" w:rsidRDefault="00F00C2C" w:rsidP="00F00C2C">
      <w:pPr>
        <w:widowControl/>
        <w:spacing w:before="120" w:after="120"/>
        <w:ind w:left="851"/>
        <w:jc w:val="both"/>
        <w:rPr>
          <w:rFonts w:eastAsia="Calibri"/>
          <w:b/>
          <w:i/>
          <w:szCs w:val="22"/>
        </w:rPr>
      </w:pPr>
      <w:r w:rsidRPr="002D6F62">
        <w:rPr>
          <w:b/>
          <w:i/>
        </w:rPr>
        <w:t>c)</w:t>
      </w:r>
      <w:r w:rsidRPr="002D6F62">
        <w:rPr>
          <w:b/>
          <w:i/>
        </w:rPr>
        <w:tab/>
      </w:r>
      <w:r w:rsidRPr="002D6F62">
        <w:rPr>
          <w:b/>
          <w:bCs/>
          <w:i/>
          <w:iCs/>
        </w:rPr>
        <w:t>puses, kurām ir piešķirta piekļuve, ir pierādījušas, ka tām ir konfidenciālas informācijas aizsardzībai nepieciešamie tehniskie līdzekļi, proti, ka to rīcībā ir rīki, kuri var nodrošināt pilnīgu privātuma un konfidencialitātes aizsardzību.</w:t>
      </w:r>
    </w:p>
    <w:p w:rsidR="00F00C2C" w:rsidRPr="002D6F62" w:rsidRDefault="00F00C2C" w:rsidP="00F00C2C">
      <w:pPr>
        <w:widowControl/>
        <w:spacing w:before="120" w:after="120"/>
        <w:ind w:left="851"/>
        <w:jc w:val="both"/>
        <w:rPr>
          <w:rFonts w:eastAsia="Calibri"/>
          <w:b/>
          <w:i/>
          <w:noProof/>
          <w:szCs w:val="22"/>
        </w:rPr>
      </w:pPr>
      <w:r w:rsidRPr="002D6F62">
        <w:rPr>
          <w:b/>
          <w:i/>
        </w:rPr>
        <w:t>Informāciju, kas saņemta no citas iestādes, var kopīgot tikai uz šāda pamata un ar tās iestādes piekrišanu, kura informāciju sākotnēji ieguvusi.</w:t>
      </w:r>
    </w:p>
    <w:p w:rsidR="00F00C2C" w:rsidRPr="002D6F62" w:rsidRDefault="00F00C2C" w:rsidP="00F00C2C">
      <w:pPr>
        <w:widowControl/>
        <w:spacing w:before="120" w:after="120"/>
        <w:ind w:left="851" w:hanging="851"/>
        <w:jc w:val="both"/>
        <w:rPr>
          <w:rFonts w:eastAsia="Calibri"/>
          <w:b/>
          <w:i/>
          <w:noProof/>
          <w:szCs w:val="22"/>
        </w:rPr>
      </w:pPr>
      <w:r w:rsidRPr="002D6F62">
        <w:rPr>
          <w:b/>
          <w:i/>
        </w:rPr>
        <w:t xml:space="preserve">10. </w:t>
      </w:r>
      <w:r w:rsidRPr="002D6F62">
        <w:rPr>
          <w:b/>
          <w:i/>
        </w:rPr>
        <w:tab/>
        <w:t xml:space="preserve">Iestāde un uzraudzības iestādes līdz ... [viens gads no šīs grozošās regulas spēkā stāšanās dienas] ziņo Komisijai par visiem juridiskajiem šķēršļiem nozaru noteikumos, kas jebkādā veidā traucē tām kopīgot informāciju ar citām iestādēm vai struktūrām. Ziņojumā var norādīt arī nebūtiskas, novecojušas, dublējošas vai citādi nenozīmīgas ziņošanas prasības un ierosinājumus, kā nodrošināt konsekvenci starp finanšu un </w:t>
      </w:r>
      <w:proofErr w:type="spellStart"/>
      <w:r w:rsidRPr="002D6F62">
        <w:rPr>
          <w:b/>
          <w:i/>
        </w:rPr>
        <w:t>nefinanšu</w:t>
      </w:r>
      <w:proofErr w:type="spellEnd"/>
      <w:r w:rsidRPr="002D6F62">
        <w:rPr>
          <w:b/>
          <w:i/>
        </w:rPr>
        <w:t xml:space="preserve"> uzņēmumu ziņošanas prasībām.</w:t>
      </w:r>
    </w:p>
    <w:p w:rsidR="00F00C2C" w:rsidRPr="002D6F62" w:rsidRDefault="00F00C2C" w:rsidP="00F00C2C">
      <w:pPr>
        <w:widowControl/>
        <w:spacing w:before="120" w:after="120"/>
        <w:ind w:left="851"/>
        <w:jc w:val="both"/>
        <w:rPr>
          <w:rFonts w:eastAsia="Calibri"/>
          <w:b/>
          <w:i/>
          <w:noProof/>
          <w:szCs w:val="22"/>
        </w:rPr>
      </w:pPr>
      <w:r w:rsidRPr="002D6F62">
        <w:rPr>
          <w:b/>
          <w:i/>
        </w:rPr>
        <w:t>Pamatojoties uz minēto ziņojumu un pienācīgi ņemot vērā nepieciešamību aizsargāt intelektuālā īpašuma tiesības, dienesta noslēpumu un datus, Komisija attiecīgā gadījumā iesniedz Eiropas Parlamentam un Padomei tiesību akta priekšlikumu, lai novērstu šādus juridiskos šķēršļus nozaru tiesību aktos nolūkā veicināt informācijas apmaiņu starp iestādēm un citām struktūrām līdz ... [divi gadi no šīs grozošās regulas spēkā stāšanās dienas].</w:t>
      </w:r>
      <w:r w:rsidR="002D6F62" w:rsidRPr="002D6F62">
        <w:rPr>
          <w:b/>
          <w:i/>
        </w:rPr>
        <w:t>”;</w:t>
      </w:r>
    </w:p>
    <w:p w:rsidR="00F00C2C" w:rsidRPr="002D6F62" w:rsidRDefault="00F00C2C" w:rsidP="002D6F62">
      <w:pPr>
        <w:widowControl/>
        <w:spacing w:before="120" w:after="120"/>
        <w:ind w:left="851" w:hanging="851"/>
        <w:jc w:val="both"/>
        <w:rPr>
          <w:rFonts w:eastAsia="Calibri"/>
          <w:b/>
          <w:i/>
          <w:szCs w:val="22"/>
        </w:rPr>
      </w:pPr>
      <w:r w:rsidRPr="002D6F62">
        <w:rPr>
          <w:b/>
          <w:i/>
        </w:rPr>
        <w:t xml:space="preserve">4. </w:t>
      </w:r>
      <w:r w:rsidRPr="002D6F62">
        <w:rPr>
          <w:b/>
          <w:i/>
        </w:rPr>
        <w:tab/>
        <w:t>iekļauj šādu pantu:</w:t>
      </w:r>
    </w:p>
    <w:p w:rsidR="00F00C2C" w:rsidRPr="002D6F62" w:rsidRDefault="00F00C2C" w:rsidP="00F00C2C">
      <w:pPr>
        <w:widowControl/>
        <w:spacing w:before="120" w:after="120"/>
        <w:ind w:left="851"/>
        <w:rPr>
          <w:rFonts w:eastAsia="Calibri"/>
          <w:b/>
          <w:i/>
          <w:noProof/>
          <w:szCs w:val="22"/>
        </w:rPr>
      </w:pPr>
      <w:r w:rsidRPr="002D6F62">
        <w:rPr>
          <w:b/>
          <w:i/>
        </w:rPr>
        <w:t>“16.b pants</w:t>
      </w:r>
    </w:p>
    <w:p w:rsidR="00F00C2C" w:rsidRPr="002D6F62" w:rsidRDefault="00F00C2C" w:rsidP="00F00C2C">
      <w:pPr>
        <w:widowControl/>
        <w:spacing w:before="120" w:after="120"/>
        <w:ind w:left="851"/>
        <w:rPr>
          <w:rFonts w:eastAsia="Calibri"/>
          <w:b/>
          <w:bCs/>
          <w:i/>
          <w:noProof/>
          <w:szCs w:val="22"/>
        </w:rPr>
      </w:pPr>
      <w:r w:rsidRPr="002D6F62">
        <w:rPr>
          <w:b/>
          <w:i/>
        </w:rPr>
        <w:t>Vienotas integrētās ziņošanas sistēmas izveide</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1. </w:t>
      </w:r>
      <w:r w:rsidRPr="002D6F62">
        <w:rPr>
          <w:b/>
          <w:i/>
        </w:rPr>
        <w:tab/>
        <w:t xml:space="preserve">Līdz ... [divi gadi no šīs grozošās regulas spēkā stāšanās dienas] iestāde ciešā sadarbībā ar citām iestādēm un ESRK sagatavo ziņojumu par vienotas integrētās ziņošanas sistēmas izveides tehniskajiem aspektiem, kā arī ceļvedi, kura pamatā ir darbs pie EUI pārskatu integrēšanas attiecīgajās nozarēs un kurā ietverts izmaksu </w:t>
      </w:r>
      <w:r w:rsidRPr="002D6F62">
        <w:rPr>
          <w:b/>
          <w:i/>
        </w:rPr>
        <w:lastRenderedPageBreak/>
        <w:t>un ieguvumu novērtējums. Minētā ziņojuma nolūkā vienotajā integrētajā ziņošanas sistēmā iekļauj:</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a) </w:t>
      </w:r>
      <w:r w:rsidRPr="002D6F62">
        <w:rPr>
          <w:b/>
          <w:i/>
        </w:rPr>
        <w:tab/>
        <w:t>vienotu datu vārdnīcu, lai nodrošinātu ziņošanas prasību un datu standartizācijas konsekvenci un skaidrību;</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b) </w:t>
      </w:r>
      <w:r w:rsidRPr="002D6F62">
        <w:rPr>
          <w:b/>
          <w:i/>
        </w:rPr>
        <w:tab/>
        <w:t>kopīgu ziņošanas un informācijas atklāšanas prasību repozitoriju, savākto datu aprakstu un to rīcībā esošo iestāžu kopējo repozitoriju;</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c) </w:t>
      </w:r>
      <w:r w:rsidRPr="002D6F62">
        <w:rPr>
          <w:b/>
          <w:i/>
        </w:rPr>
        <w:tab/>
        <w:t xml:space="preserve">centrālo datu telpu, tostarp tehnisko projektu informācijas vākšanai un apmaiņai; un </w:t>
      </w:r>
    </w:p>
    <w:p w:rsidR="00F00C2C" w:rsidRPr="002D6F62" w:rsidRDefault="00F00C2C" w:rsidP="00F00C2C">
      <w:pPr>
        <w:widowControl/>
        <w:spacing w:before="120" w:after="120"/>
        <w:ind w:left="851"/>
        <w:jc w:val="both"/>
        <w:rPr>
          <w:rFonts w:eastAsia="Calibri"/>
          <w:b/>
          <w:i/>
          <w:noProof/>
          <w:szCs w:val="22"/>
        </w:rPr>
      </w:pPr>
      <w:r w:rsidRPr="002D6F62">
        <w:rPr>
          <w:b/>
          <w:i/>
        </w:rPr>
        <w:t xml:space="preserve">d) </w:t>
      </w:r>
      <w:r w:rsidRPr="002D6F62">
        <w:rPr>
          <w:b/>
          <w:i/>
        </w:rPr>
        <w:tab/>
        <w:t xml:space="preserve">pastāvīgu vienoto kontaktpunktu, kurā struktūras var norādīt dubultas ziņošanas gadījumus un nevajadzīgas vai novecojušas ziņošanas vai informācijas atklāšanas prasības. </w:t>
      </w:r>
    </w:p>
    <w:p w:rsidR="00F00C2C" w:rsidRPr="002D6F62" w:rsidRDefault="00F00C2C" w:rsidP="002D6F62">
      <w:pPr>
        <w:widowControl/>
        <w:spacing w:before="120" w:after="120"/>
        <w:ind w:left="851"/>
        <w:jc w:val="both"/>
        <w:rPr>
          <w:rFonts w:eastAsia="Calibri"/>
          <w:b/>
          <w:i/>
          <w:noProof/>
          <w:szCs w:val="22"/>
        </w:rPr>
      </w:pPr>
      <w:r w:rsidRPr="002D6F62">
        <w:rPr>
          <w:b/>
          <w:i/>
        </w:rPr>
        <w:t xml:space="preserve">2. </w:t>
      </w:r>
      <w:r w:rsidRPr="002D6F62">
        <w:rPr>
          <w:b/>
          <w:i/>
        </w:rPr>
        <w:tab/>
        <w:t xml:space="preserve">Ziņojumam pievieno ciešā sadarbībā ar Komisiju tapušo aplēsi par kopējo finansiālo ietekmi. </w:t>
      </w:r>
    </w:p>
    <w:p w:rsidR="00F00C2C" w:rsidRPr="002D6F62" w:rsidRDefault="00F00C2C" w:rsidP="002D6F62">
      <w:pPr>
        <w:widowControl/>
        <w:spacing w:before="120" w:after="120"/>
        <w:ind w:left="851"/>
        <w:jc w:val="both"/>
        <w:rPr>
          <w:rFonts w:eastAsia="Calibri"/>
          <w:b/>
          <w:i/>
          <w:noProof/>
          <w:szCs w:val="22"/>
        </w:rPr>
      </w:pPr>
      <w:r w:rsidRPr="002D6F62">
        <w:rPr>
          <w:b/>
          <w:i/>
        </w:rPr>
        <w:t xml:space="preserve">Komisija attiecīgā gadījumā iesniedz Eiropas Parlamentam un Padomei tiesību akta priekšlikumu, lai nodrošinātu finanšu resursus, cilvēkresursus un IT resursus, kas vajadzīgi vienotas integrētās ziņošanas sistēmas izveidei līdz ... [trīs gadi no šīs grozošās regulas spēkā stāšanās dienas]. </w:t>
      </w:r>
    </w:p>
    <w:p w:rsidR="00F00C2C" w:rsidRPr="002D6F62" w:rsidRDefault="00F00C2C" w:rsidP="002D6F62">
      <w:pPr>
        <w:widowControl/>
        <w:spacing w:before="120" w:after="120"/>
        <w:ind w:left="851"/>
        <w:jc w:val="both"/>
        <w:rPr>
          <w:rFonts w:eastAsia="Calibri"/>
          <w:b/>
          <w:i/>
          <w:noProof/>
          <w:szCs w:val="22"/>
        </w:rPr>
      </w:pPr>
      <w:r w:rsidRPr="002D6F62">
        <w:rPr>
          <w:b/>
          <w:i/>
        </w:rPr>
        <w:t>Iestāde kopā ar citām iestādēm līdz ... [trīs gadi no šīs grozošās regulas spēkā stāšanās dienas] izveido vienotu integrēto ziņošanas sistēmu.”</w:t>
      </w:r>
      <w:r w:rsidR="002D6F62" w:rsidRPr="002D6F62">
        <w:rPr>
          <w:b/>
          <w:i/>
        </w:rPr>
        <w:t>;</w:t>
      </w:r>
    </w:p>
    <w:p w:rsidR="00F00C2C" w:rsidRPr="002D6F62" w:rsidRDefault="00F00C2C" w:rsidP="00F00C2C">
      <w:pPr>
        <w:widowControl/>
        <w:spacing w:before="120" w:after="120"/>
        <w:ind w:left="850" w:hanging="850"/>
        <w:jc w:val="both"/>
        <w:rPr>
          <w:rFonts w:eastAsia="Calibri"/>
          <w:b/>
          <w:i/>
          <w:szCs w:val="22"/>
        </w:rPr>
      </w:pPr>
      <w:r w:rsidRPr="002D6F62">
        <w:rPr>
          <w:b/>
          <w:i/>
        </w:rPr>
        <w:t xml:space="preserve">5. </w:t>
      </w:r>
      <w:r w:rsidRPr="002D6F62">
        <w:rPr>
          <w:b/>
          <w:i/>
        </w:rPr>
        <w:tab/>
        <w:t>regulas 44. panta 1. punktam pievieno šādu daļu:</w:t>
      </w:r>
    </w:p>
    <w:p w:rsidR="00F00C2C" w:rsidRPr="002D6F62" w:rsidRDefault="00F00C2C" w:rsidP="00F00C2C">
      <w:pPr>
        <w:widowControl/>
        <w:spacing w:before="120" w:after="120"/>
        <w:jc w:val="both"/>
        <w:rPr>
          <w:rFonts w:eastAsia="Calibri"/>
          <w:b/>
          <w:i/>
          <w:noProof/>
          <w:szCs w:val="22"/>
        </w:rPr>
      </w:pPr>
      <w:r w:rsidRPr="002D6F62">
        <w:rPr>
          <w:b/>
          <w:i/>
        </w:rPr>
        <w:t>“Iestādes atzinumi attiecas plašāku jomu, kas pārsniedz īstenoto likumdošanas procedūru robežas. Iestāde savos atzinumos attiecīgā gadījumā var ierosināt grozījumus spēkā esošajos tiesību aktos, tostarp grozījumus, ar kuriem:</w:t>
      </w:r>
    </w:p>
    <w:p w:rsidR="00F00C2C" w:rsidRPr="002D6F62" w:rsidRDefault="00F00C2C" w:rsidP="00F00C2C">
      <w:pPr>
        <w:widowControl/>
        <w:spacing w:before="120" w:after="120"/>
        <w:jc w:val="both"/>
        <w:rPr>
          <w:rFonts w:eastAsia="Calibri"/>
          <w:b/>
          <w:i/>
          <w:noProof/>
          <w:szCs w:val="22"/>
        </w:rPr>
      </w:pPr>
      <w:r w:rsidRPr="002D6F62">
        <w:rPr>
          <w:b/>
          <w:i/>
        </w:rPr>
        <w:t>a)</w:t>
      </w:r>
      <w:r w:rsidRPr="002D6F62">
        <w:rPr>
          <w:b/>
          <w:i/>
        </w:rPr>
        <w:tab/>
        <w:t xml:space="preserve"> atceļ nevajadzīgas vai novecojušas ziņošanas un informācijas atklāšanas prasības Savienības tiesību aktos vai dalībvalstu transponētajos Savienības tiesību aktos;</w:t>
      </w:r>
    </w:p>
    <w:p w:rsidR="00F00C2C" w:rsidRPr="002D6F62" w:rsidRDefault="00F00C2C" w:rsidP="00F00C2C">
      <w:pPr>
        <w:widowControl/>
        <w:spacing w:before="120" w:after="120"/>
        <w:jc w:val="both"/>
        <w:rPr>
          <w:rFonts w:eastAsia="Calibri"/>
          <w:b/>
          <w:i/>
          <w:noProof/>
          <w:szCs w:val="22"/>
        </w:rPr>
      </w:pPr>
      <w:r w:rsidRPr="002D6F62">
        <w:rPr>
          <w:b/>
          <w:i/>
        </w:rPr>
        <w:t>b)</w:t>
      </w:r>
      <w:r w:rsidRPr="002D6F62">
        <w:rPr>
          <w:b/>
          <w:i/>
        </w:rPr>
        <w:tab/>
        <w:t xml:space="preserve"> nodrošina saskaņotas ziņošanas un informācijas atklāšanas prasības nozaru un starpnozaru tiesību aktos;</w:t>
      </w:r>
    </w:p>
    <w:p w:rsidR="00F00C2C" w:rsidRPr="002D6F62" w:rsidRDefault="00F00C2C" w:rsidP="00F00C2C">
      <w:pPr>
        <w:widowControl/>
        <w:spacing w:before="120" w:after="120"/>
        <w:jc w:val="both"/>
        <w:rPr>
          <w:rFonts w:eastAsia="Calibri"/>
          <w:b/>
          <w:i/>
          <w:noProof/>
          <w:szCs w:val="22"/>
        </w:rPr>
      </w:pPr>
      <w:r w:rsidRPr="002D6F62">
        <w:rPr>
          <w:b/>
          <w:i/>
        </w:rPr>
        <w:t xml:space="preserve">c) </w:t>
      </w:r>
      <w:r w:rsidRPr="002D6F62">
        <w:rPr>
          <w:b/>
          <w:i/>
        </w:rPr>
        <w:tab/>
        <w:t>nodrošina ziņošanas un informācijas atklāšanas prasību samērīgumu ar ziņotājas struktūras veidu, lielumu un sarežģītību;</w:t>
      </w:r>
    </w:p>
    <w:p w:rsidR="00F00C2C" w:rsidRPr="002D6F62" w:rsidRDefault="00F00C2C" w:rsidP="00F00C2C">
      <w:pPr>
        <w:widowControl/>
        <w:spacing w:before="120" w:after="120"/>
        <w:jc w:val="both"/>
        <w:rPr>
          <w:rFonts w:eastAsia="Calibri"/>
          <w:b/>
          <w:bCs/>
          <w:i/>
          <w:iCs/>
          <w:szCs w:val="22"/>
        </w:rPr>
      </w:pPr>
      <w:r w:rsidRPr="002D6F62">
        <w:rPr>
          <w:b/>
          <w:i/>
        </w:rPr>
        <w:t>d) nodrošina, ka ziņošanas un informācijas atklāšanas prasību ievērošana ir samērīga ar iestādes uzdevumu un mērķu izpildes pievienoto vērtību.</w:t>
      </w:r>
    </w:p>
    <w:p w:rsidR="00F00C2C" w:rsidRPr="002D6F62" w:rsidRDefault="00F00C2C" w:rsidP="00F00C2C">
      <w:pPr>
        <w:widowControl/>
        <w:spacing w:before="120" w:after="120"/>
        <w:jc w:val="both"/>
        <w:rPr>
          <w:rFonts w:eastAsia="Calibri"/>
          <w:b/>
          <w:i/>
          <w:noProof/>
          <w:szCs w:val="22"/>
        </w:rPr>
      </w:pPr>
      <w:r w:rsidRPr="002D6F62">
        <w:rPr>
          <w:b/>
          <w:i/>
        </w:rPr>
        <w:t>Lai sniegtu atzinumus par pirmajā daļā minētajiem spēkā esošajiem leģislatīvajiem aktiem, iestāde pēc attiecīgas apspriešanā pienācīgi ņem vērā visu attiecīgo ieinteresēto personu ieguldījumu. Pamatojoties uz minētajiem atzinumiem, Komisija attiecīgā gadījumā iesniedz Eiropas Parlamentam un Padomei tiesību akta priekšlikumu.”</w:t>
      </w:r>
      <w:r w:rsidR="002D6F62" w:rsidRPr="002D6F62">
        <w:rPr>
          <w:b/>
          <w:i/>
        </w:rPr>
        <w:t>.</w:t>
      </w:r>
    </w:p>
    <w:p w:rsidR="00F00C2C" w:rsidRPr="002D6F62" w:rsidRDefault="00F00C2C" w:rsidP="00F00C2C">
      <w:pPr>
        <w:keepNext/>
        <w:widowControl/>
        <w:spacing w:before="360" w:after="120"/>
        <w:ind w:left="720"/>
        <w:jc w:val="center"/>
        <w:rPr>
          <w:rFonts w:eastAsia="Calibri"/>
          <w:i/>
          <w:noProof/>
          <w:szCs w:val="22"/>
        </w:rPr>
      </w:pPr>
      <w:r w:rsidRPr="002D6F62">
        <w:rPr>
          <w:i/>
        </w:rPr>
        <w:t>5. pants</w:t>
      </w:r>
    </w:p>
    <w:p w:rsidR="00F00C2C" w:rsidRPr="002D6F62" w:rsidRDefault="00F00C2C" w:rsidP="00F00C2C">
      <w:pPr>
        <w:widowControl/>
        <w:spacing w:before="120" w:after="120"/>
        <w:jc w:val="center"/>
        <w:rPr>
          <w:rFonts w:eastAsia="Calibri"/>
          <w:b/>
          <w:bCs/>
          <w:noProof/>
          <w:szCs w:val="22"/>
        </w:rPr>
      </w:pPr>
      <w:r w:rsidRPr="002D6F62">
        <w:rPr>
          <w:b/>
        </w:rPr>
        <w:t>Grozījumi Regulā (ES) 2021/523</w:t>
      </w:r>
    </w:p>
    <w:p w:rsidR="00F00C2C" w:rsidRPr="002D6F62" w:rsidRDefault="00F00C2C" w:rsidP="00F00C2C">
      <w:pPr>
        <w:rPr>
          <w:b/>
          <w:i/>
        </w:rPr>
      </w:pPr>
      <w:r w:rsidRPr="002D6F62">
        <w:t>Regulu (ES) Nr. 2021/523 groza šādi:</w:t>
      </w:r>
    </w:p>
    <w:p w:rsidR="00F00C2C" w:rsidRPr="002D6F62" w:rsidRDefault="00F00C2C" w:rsidP="00F00C2C">
      <w:pPr>
        <w:rPr>
          <w:b/>
          <w:i/>
        </w:rPr>
      </w:pPr>
    </w:p>
    <w:p w:rsidR="00F00C2C" w:rsidRPr="002D6F62" w:rsidRDefault="00F00C2C" w:rsidP="00F00C2C">
      <w:pPr>
        <w:rPr>
          <w:b/>
          <w:i/>
        </w:rPr>
      </w:pPr>
      <w:r w:rsidRPr="002D6F62">
        <w:rPr>
          <w:b/>
          <w:i/>
        </w:rPr>
        <w:t>-1.</w:t>
      </w:r>
      <w:r w:rsidRPr="002D6F62">
        <w:rPr>
          <w:b/>
          <w:i/>
        </w:rPr>
        <w:tab/>
        <w:t>Regulas 8. panta 6. punkta ievaddaļu aizstāj ar šādu:</w:t>
      </w:r>
    </w:p>
    <w:p w:rsidR="00F00C2C" w:rsidRPr="002D6F62" w:rsidRDefault="00F00C2C" w:rsidP="00F00C2C">
      <w:pPr>
        <w:rPr>
          <w:b/>
          <w:i/>
        </w:rPr>
      </w:pPr>
    </w:p>
    <w:p w:rsidR="00F00C2C" w:rsidRPr="002D6F62" w:rsidRDefault="00F00C2C" w:rsidP="00F00C2C">
      <w:pPr>
        <w:ind w:left="851"/>
        <w:jc w:val="both"/>
        <w:rPr>
          <w:b/>
          <w:i/>
          <w:noProof/>
        </w:rPr>
      </w:pPr>
      <w:r w:rsidRPr="002D6F62">
        <w:rPr>
          <w:b/>
          <w:i/>
        </w:rPr>
        <w:t xml:space="preserve">“Komisija izstrādā ilgtspējas norādes, kas ir saskaņā ar Savienības vides un </w:t>
      </w:r>
      <w:r w:rsidRPr="002D6F62">
        <w:rPr>
          <w:b/>
          <w:i/>
        </w:rPr>
        <w:lastRenderedPageBreak/>
        <w:t>sociālajiem mērķiem un standartiem, un, pienācīgi ņemot vērā principu “nenodari būtisku kaitējumu” un ievērojot atšķirības starp dažādu viedu infrastruktūras projektiem, ļauj:”</w:t>
      </w:r>
      <w:r w:rsidR="002D6F62" w:rsidRPr="002D6F62">
        <w:rPr>
          <w:b/>
          <w:i/>
        </w:rPr>
        <w:t>;</w:t>
      </w:r>
    </w:p>
    <w:p w:rsidR="00F00C2C" w:rsidRPr="002D6F62" w:rsidRDefault="00F00C2C" w:rsidP="00F00C2C">
      <w:pPr>
        <w:jc w:val="both"/>
        <w:rPr>
          <w:b/>
          <w:i/>
          <w:noProof/>
        </w:rPr>
      </w:pPr>
    </w:p>
    <w:p w:rsidR="00F00C2C" w:rsidRPr="002D6F62" w:rsidRDefault="00F00C2C" w:rsidP="00F00C2C">
      <w:pPr>
        <w:jc w:val="both"/>
        <w:rPr>
          <w:b/>
          <w:i/>
        </w:rPr>
      </w:pPr>
      <w:r w:rsidRPr="002D6F62">
        <w:rPr>
          <w:b/>
          <w:i/>
        </w:rPr>
        <w:t>-1.a</w:t>
      </w:r>
      <w:r w:rsidRPr="002D6F62">
        <w:rPr>
          <w:b/>
          <w:i/>
        </w:rPr>
        <w:tab/>
        <w:t>regulas 13. panta 7. punkta otro daļu aizstāj ar šādu:</w:t>
      </w:r>
    </w:p>
    <w:p w:rsidR="00F00C2C" w:rsidRPr="002D6F62" w:rsidRDefault="00F00C2C" w:rsidP="00F00C2C">
      <w:pPr>
        <w:jc w:val="both"/>
        <w:rPr>
          <w:b/>
          <w:i/>
          <w:noProof/>
        </w:rPr>
      </w:pPr>
    </w:p>
    <w:p w:rsidR="00F00C2C" w:rsidRPr="002D6F62" w:rsidRDefault="00F00C2C" w:rsidP="00F00C2C">
      <w:pPr>
        <w:ind w:left="851"/>
        <w:jc w:val="both"/>
        <w:rPr>
          <w:b/>
          <w:i/>
          <w:noProof/>
        </w:rPr>
      </w:pPr>
      <w:r w:rsidRPr="002D6F62">
        <w:rPr>
          <w:b/>
          <w:i/>
        </w:rPr>
        <w:t xml:space="preserve">“Līgumus starp īstenošanas partneri un </w:t>
      </w:r>
      <w:proofErr w:type="spellStart"/>
      <w:r w:rsidRPr="002D6F62">
        <w:rPr>
          <w:b/>
          <w:i/>
        </w:rPr>
        <w:t>galasaņēmēju</w:t>
      </w:r>
      <w:proofErr w:type="spellEnd"/>
      <w:r w:rsidRPr="002D6F62">
        <w:rPr>
          <w:b/>
          <w:i/>
        </w:rPr>
        <w:t xml:space="preserve"> vai finanšu starpnieku, vai citu subjektu, kurš minēts 16. panta 1. punkta a) apakšpunktā, saskaņā ar ES garantiju, kas minēta 4. panta 2. punkta pirmajā daļā, paraksta līdz 2026. gada 31. augustam. Citos gadījumos līgumus starp īstenošanas partneri un </w:t>
      </w:r>
      <w:proofErr w:type="spellStart"/>
      <w:r w:rsidRPr="002D6F62">
        <w:rPr>
          <w:b/>
          <w:i/>
        </w:rPr>
        <w:t>galasaņēmēju</w:t>
      </w:r>
      <w:proofErr w:type="spellEnd"/>
      <w:r w:rsidRPr="002D6F62">
        <w:rPr>
          <w:b/>
          <w:i/>
        </w:rPr>
        <w:t xml:space="preserve"> vai finanšu starpnieku vai jebkuru citu subjektu, kurš minēts 16. panta 1. punkta a) apakšpunktā, paraksta līdz 2028. gada 31. decembrim.”</w:t>
      </w:r>
      <w:r w:rsidR="002D6F62" w:rsidRPr="002D6F62">
        <w:rPr>
          <w:b/>
          <w:i/>
        </w:rPr>
        <w:t>;</w:t>
      </w:r>
    </w:p>
    <w:p w:rsidR="00F00C2C" w:rsidRPr="002D6F62" w:rsidRDefault="00F00C2C" w:rsidP="00F00C2C">
      <w:pPr>
        <w:jc w:val="both"/>
        <w:rPr>
          <w:b/>
          <w:i/>
          <w:noProof/>
        </w:rPr>
      </w:pPr>
    </w:p>
    <w:p w:rsidR="00F00C2C" w:rsidRPr="002D6F62" w:rsidRDefault="00F00C2C" w:rsidP="00F00C2C">
      <w:pPr>
        <w:jc w:val="both"/>
        <w:rPr>
          <w:b/>
          <w:i/>
        </w:rPr>
      </w:pPr>
      <w:r w:rsidRPr="002D6F62">
        <w:rPr>
          <w:b/>
          <w:i/>
        </w:rPr>
        <w:t>-1.b</w:t>
      </w:r>
      <w:r w:rsidRPr="002D6F62">
        <w:rPr>
          <w:b/>
          <w:i/>
        </w:rPr>
        <w:tab/>
        <w:t>regulas 17. panta 2. punkta h) apakšpunktu aizstāj ar šādu:</w:t>
      </w:r>
    </w:p>
    <w:p w:rsidR="00F00C2C" w:rsidRPr="002D6F62" w:rsidRDefault="00F00C2C" w:rsidP="00F00C2C">
      <w:pPr>
        <w:ind w:left="851"/>
        <w:jc w:val="both"/>
        <w:rPr>
          <w:b/>
          <w:i/>
        </w:rPr>
      </w:pPr>
      <w:r w:rsidRPr="002D6F62">
        <w:rPr>
          <w:b/>
          <w:i/>
        </w:rPr>
        <w:t xml:space="preserve">“h) </w:t>
      </w:r>
      <w:r w:rsidRPr="002D6F62">
        <w:rPr>
          <w:b/>
          <w:i/>
        </w:rPr>
        <w:tab/>
        <w:t xml:space="preserve">finanšu un darbības ziņojumu sniegšana un uzraudzība attiecībā uz finansēšanas un investīciju darbībām saskaņā ar ES garantiju, nodrošinot ziņošanas un uzraudzības prasību samērīgumu, kā arī līdz minimumam samazinot izmaksas visām iesaistītajām personām un </w:t>
      </w:r>
      <w:proofErr w:type="spellStart"/>
      <w:r w:rsidRPr="002D6F62">
        <w:rPr>
          <w:b/>
          <w:i/>
        </w:rPr>
        <w:t>galasaņēmējiem</w:t>
      </w:r>
      <w:proofErr w:type="spellEnd"/>
      <w:r w:rsidRPr="002D6F62">
        <w:rPr>
          <w:b/>
          <w:i/>
        </w:rPr>
        <w:t xml:space="preserve">, taču neapdraudot attiecīgo </w:t>
      </w:r>
      <w:proofErr w:type="spellStart"/>
      <w:r w:rsidRPr="002D6F62">
        <w:rPr>
          <w:b/>
          <w:i/>
        </w:rPr>
        <w:t>InvestEU</w:t>
      </w:r>
      <w:proofErr w:type="spellEnd"/>
      <w:r w:rsidRPr="002D6F62">
        <w:rPr>
          <w:b/>
          <w:i/>
        </w:rPr>
        <w:t xml:space="preserve"> mērķu īstenošanu;”</w:t>
      </w:r>
      <w:r w:rsidR="002D6F62" w:rsidRPr="002D6F62">
        <w:rPr>
          <w:b/>
          <w:i/>
        </w:rPr>
        <w:t>;</w:t>
      </w:r>
    </w:p>
    <w:p w:rsidR="00F00C2C" w:rsidRPr="002D6F62" w:rsidRDefault="00F00C2C" w:rsidP="00F00C2C">
      <w:pPr>
        <w:widowControl/>
        <w:spacing w:before="120" w:after="120"/>
        <w:jc w:val="both"/>
        <w:rPr>
          <w:rFonts w:eastAsia="Calibri"/>
          <w:b/>
          <w:i/>
          <w:noProof/>
          <w:szCs w:val="22"/>
          <w:lang w:eastAsia="en-US"/>
        </w:rPr>
      </w:pPr>
    </w:p>
    <w:p w:rsidR="00F00C2C" w:rsidRPr="002D6F62" w:rsidRDefault="00F00C2C" w:rsidP="00F00C2C">
      <w:pPr>
        <w:widowControl/>
        <w:spacing w:before="120" w:after="120"/>
        <w:jc w:val="both"/>
        <w:rPr>
          <w:rFonts w:eastAsia="Calibri"/>
          <w:noProof/>
          <w:szCs w:val="22"/>
        </w:rPr>
      </w:pPr>
      <w:r w:rsidRPr="002D6F62">
        <w:rPr>
          <w:b/>
          <w:i/>
        </w:rPr>
        <w:t>1.</w:t>
      </w:r>
      <w:r w:rsidRPr="002D6F62">
        <w:t xml:space="preserve"> </w:t>
      </w:r>
      <w:r w:rsidRPr="002D6F62">
        <w:tab/>
        <w:t>regulas 28. panta 4. punktu aizstāj ar šādu:  </w:t>
      </w:r>
    </w:p>
    <w:p w:rsidR="00F00C2C" w:rsidRPr="002D6F62" w:rsidRDefault="00F00C2C" w:rsidP="00F00C2C">
      <w:pPr>
        <w:widowControl/>
        <w:spacing w:before="120" w:after="120"/>
        <w:jc w:val="both"/>
        <w:rPr>
          <w:rFonts w:eastAsia="Calibri"/>
          <w:noProof/>
          <w:szCs w:val="22"/>
        </w:rPr>
      </w:pPr>
      <w:r w:rsidRPr="002D6F62">
        <w:t xml:space="preserve">“4. </w:t>
      </w:r>
      <w:r w:rsidRPr="002D6F62">
        <w:rPr>
          <w:b/>
          <w:i/>
        </w:rPr>
        <w:tab/>
      </w:r>
      <w:r w:rsidRPr="002D6F62">
        <w:t xml:space="preserve">Katrs īstenošanas partneris reizi gadā iesniedz Komisijai ziņojumu par finansēšanas un investīciju darbībām, uz kurām attiecas šī regula, attiecīgi sagrupējot tās pa ES un dalībvalsts nodalījumiem. Katrs īstenošanas partneris informāciju par dalībvalsts nodalījumu iesniedz arī dalībvalstij, kuras nodalījumu tas īsteno. Ziņojumā ietver </w:t>
      </w:r>
      <w:proofErr w:type="spellStart"/>
      <w:r w:rsidRPr="002D6F62">
        <w:t>izvērtējumu</w:t>
      </w:r>
      <w:proofErr w:type="spellEnd"/>
      <w:r w:rsidRPr="002D6F62">
        <w:t xml:space="preserve"> par atbilstību ES garantijas izmantošanas prasībām un šīs regulas III pielikumā minētajiem galvenajiem darbības rādītājiem. Ziņojumā iekļauj arī darbības, statistikas, finanšu un grāmatvedības datus par katru finansēšanas vai investīciju darbību un paredzētās naudas plūsmu aplēses nodalījumu, politikas sadaļu un fonda </w:t>
      </w:r>
      <w:proofErr w:type="spellStart"/>
      <w:r w:rsidRPr="002D6F62">
        <w:rPr>
          <w:i/>
          <w:iCs/>
        </w:rPr>
        <w:t>InvestEU</w:t>
      </w:r>
      <w:proofErr w:type="spellEnd"/>
      <w:r w:rsidRPr="002D6F62">
        <w:t xml:space="preserve"> līmenī. EIB grupas un attiecīgā gadījumā citu īstenošanas partneru ziņojumā iekļauj arī informāciju par šķēršļiem investīcijām, ar kuriem nācies saskarties, veicot finansēšanas un investīciju darbības, uz kurām attiecas šī regula. Ziņojumos iekļauj informāciju, kas īstenošanas partneriem jāsniedz saskaņā ar Finanšu regulas 155. p</w:t>
      </w:r>
      <w:r w:rsidR="002D6F62" w:rsidRPr="002D6F62">
        <w:t>anta 1. punkta a) apakšpunktu.”.</w:t>
      </w:r>
    </w:p>
    <w:p w:rsidR="00F00C2C" w:rsidRPr="002D6F62" w:rsidRDefault="00F00C2C" w:rsidP="00F00C2C">
      <w:pPr>
        <w:keepNext/>
        <w:widowControl/>
        <w:spacing w:before="360" w:after="120"/>
        <w:jc w:val="center"/>
        <w:rPr>
          <w:rFonts w:eastAsia="Calibri"/>
          <w:b/>
          <w:i/>
          <w:noProof/>
          <w:szCs w:val="22"/>
        </w:rPr>
      </w:pPr>
      <w:r w:rsidRPr="002D6F62">
        <w:rPr>
          <w:b/>
          <w:i/>
        </w:rPr>
        <w:t>5.a pants</w:t>
      </w:r>
    </w:p>
    <w:p w:rsidR="00F00C2C" w:rsidRPr="002D6F62" w:rsidRDefault="00F00C2C" w:rsidP="00F00C2C">
      <w:pPr>
        <w:widowControl/>
        <w:spacing w:before="120" w:after="120"/>
        <w:jc w:val="center"/>
        <w:rPr>
          <w:rFonts w:eastAsia="Calibri"/>
          <w:b/>
          <w:bCs/>
          <w:noProof/>
          <w:szCs w:val="22"/>
        </w:rPr>
      </w:pPr>
      <w:r w:rsidRPr="002D6F62">
        <w:rPr>
          <w:b/>
        </w:rPr>
        <w:t>Grozījumi Padomes Regulā (ES) Nr. 1024/2013</w:t>
      </w:r>
    </w:p>
    <w:p w:rsidR="00F00C2C" w:rsidRPr="002D6F62" w:rsidRDefault="00F00C2C" w:rsidP="00F00C2C">
      <w:pPr>
        <w:widowControl/>
        <w:jc w:val="both"/>
        <w:rPr>
          <w:rFonts w:eastAsia="Calibri"/>
          <w:szCs w:val="24"/>
        </w:rPr>
      </w:pPr>
      <w:r w:rsidRPr="002D6F62">
        <w:rPr>
          <w:b/>
          <w:i/>
        </w:rPr>
        <w:t>Līdz .. [trīs mēneši no šīs grozošās regulas spēkā stāšanās dienas] Komisija attiecīgā gadījumā iesniedz Padomei tiesību akta priekšlikumu, lai ar šo regulu Regulā (ES) Nr. 1092/2010, (ES) Nr. 1093/2010, (ES) Nr. 1094/2010, (ES) Nr. 1095/2010, (ES) Nr. 806/2014 un (ES).../...</w:t>
      </w:r>
      <w:r w:rsidR="006E05C1">
        <w:rPr>
          <w:rStyle w:val="FootnoteReference"/>
          <w:b/>
          <w:bCs/>
          <w:i/>
          <w:iCs/>
        </w:rPr>
        <w:footnoteReference w:customMarkFollows="1" w:id="25"/>
        <w:t>+</w:t>
      </w:r>
      <w:r w:rsidRPr="002D6F62">
        <w:rPr>
          <w:b/>
          <w:i/>
        </w:rPr>
        <w:t xml:space="preserve"> izdarītos grozījumus saskaņotu ar Padomes Regulu (ES) Nr. 1024/2013.</w:t>
      </w:r>
    </w:p>
    <w:p w:rsidR="00F00C2C" w:rsidRPr="002D6F62" w:rsidRDefault="00F00C2C" w:rsidP="00F00C2C">
      <w:pPr>
        <w:widowControl/>
        <w:spacing w:before="120" w:after="120"/>
        <w:jc w:val="both"/>
        <w:rPr>
          <w:rFonts w:eastAsia="Calibri"/>
          <w:noProof/>
          <w:szCs w:val="22"/>
          <w:lang w:eastAsia="en-US"/>
        </w:rPr>
      </w:pPr>
    </w:p>
    <w:p w:rsidR="00F00C2C" w:rsidRPr="002D6F62" w:rsidRDefault="00F00C2C" w:rsidP="00F00C2C">
      <w:pPr>
        <w:keepNext/>
        <w:widowControl/>
        <w:spacing w:before="360" w:after="120"/>
        <w:jc w:val="center"/>
        <w:rPr>
          <w:rFonts w:eastAsia="Calibri"/>
          <w:i/>
          <w:noProof/>
          <w:szCs w:val="22"/>
        </w:rPr>
      </w:pPr>
      <w:r w:rsidRPr="002D6F62">
        <w:rPr>
          <w:i/>
        </w:rPr>
        <w:lastRenderedPageBreak/>
        <w:t>6. pants</w:t>
      </w:r>
    </w:p>
    <w:p w:rsidR="00F00C2C" w:rsidRPr="002D6F62" w:rsidRDefault="00F00C2C" w:rsidP="00F00C2C">
      <w:pPr>
        <w:widowControl/>
        <w:spacing w:before="120" w:after="120"/>
        <w:jc w:val="center"/>
        <w:rPr>
          <w:rFonts w:eastAsia="Calibri"/>
          <w:b/>
          <w:bCs/>
          <w:noProof/>
          <w:szCs w:val="22"/>
        </w:rPr>
      </w:pPr>
      <w:r w:rsidRPr="002D6F62">
        <w:rPr>
          <w:b/>
        </w:rPr>
        <w:t>Stāšanās spēkā</w:t>
      </w:r>
    </w:p>
    <w:p w:rsidR="00F00C2C" w:rsidRPr="002D6F62" w:rsidRDefault="00F00C2C" w:rsidP="00F00C2C">
      <w:pPr>
        <w:widowControl/>
        <w:spacing w:before="120" w:after="120"/>
        <w:jc w:val="both"/>
        <w:rPr>
          <w:rFonts w:eastAsia="Calibri"/>
          <w:noProof/>
          <w:szCs w:val="22"/>
          <w:lang w:eastAsia="en-US"/>
        </w:rPr>
      </w:pPr>
    </w:p>
    <w:p w:rsidR="00F00C2C" w:rsidRPr="002D6F62" w:rsidRDefault="00F00C2C" w:rsidP="00F00C2C">
      <w:pPr>
        <w:widowControl/>
        <w:spacing w:before="120" w:after="120"/>
        <w:jc w:val="both"/>
        <w:rPr>
          <w:rFonts w:eastAsia="Calibri"/>
          <w:noProof/>
          <w:szCs w:val="22"/>
        </w:rPr>
      </w:pPr>
      <w:r w:rsidRPr="002D6F62">
        <w:t xml:space="preserve">Šī regula stājas spēkā divdesmitajā dienā pēc tās publicēšanas </w:t>
      </w:r>
      <w:r w:rsidRPr="002D6F62">
        <w:rPr>
          <w:i/>
          <w:iCs/>
        </w:rPr>
        <w:t>Eiropas Savienības Oficiālajā Vēstnesī</w:t>
      </w:r>
      <w:r w:rsidRPr="002D6F62">
        <w:t>.</w:t>
      </w:r>
    </w:p>
    <w:p w:rsidR="00F00C2C" w:rsidRPr="002D6F62" w:rsidRDefault="00F00C2C" w:rsidP="00F00C2C">
      <w:pPr>
        <w:widowControl/>
        <w:spacing w:before="480" w:after="120"/>
        <w:jc w:val="both"/>
        <w:rPr>
          <w:rFonts w:eastAsia="Calibri"/>
          <w:noProof/>
          <w:szCs w:val="22"/>
        </w:rPr>
      </w:pPr>
      <w:r w:rsidRPr="002D6F62">
        <w:t>Šī regula uzliek saistības kopumā un ir tieši piemērojama visās dalībvalstīs.</w:t>
      </w:r>
    </w:p>
    <w:p w:rsidR="00F00C2C" w:rsidRPr="002D6F62" w:rsidRDefault="006E05C1" w:rsidP="00F00C2C">
      <w:pPr>
        <w:keepNext/>
        <w:widowControl/>
        <w:spacing w:before="120"/>
        <w:jc w:val="both"/>
        <w:rPr>
          <w:rFonts w:eastAsia="Calibri"/>
          <w:noProof/>
          <w:szCs w:val="22"/>
        </w:rPr>
      </w:pPr>
      <w:r>
        <w:t>…</w:t>
      </w:r>
      <w:r w:rsidR="00F00C2C" w:rsidRPr="002D6F62">
        <w:t>,</w:t>
      </w:r>
    </w:p>
    <w:p w:rsidR="00F00C2C" w:rsidRPr="002D6F62" w:rsidRDefault="00F00C2C" w:rsidP="00F00C2C">
      <w:pPr>
        <w:keepNext/>
        <w:widowControl/>
        <w:tabs>
          <w:tab w:val="left" w:pos="4252"/>
        </w:tabs>
        <w:spacing w:before="720"/>
        <w:jc w:val="both"/>
        <w:rPr>
          <w:rFonts w:eastAsia="Calibri"/>
          <w:i/>
          <w:noProof/>
          <w:szCs w:val="22"/>
        </w:rPr>
      </w:pPr>
      <w:r w:rsidRPr="002D6F62">
        <w:rPr>
          <w:i/>
        </w:rPr>
        <w:t>Eiropas Parlamenta vārdā –</w:t>
      </w:r>
      <w:r w:rsidRPr="002D6F62">
        <w:rPr>
          <w:i/>
        </w:rPr>
        <w:tab/>
        <w:t>Padomes vārdā –</w:t>
      </w:r>
    </w:p>
    <w:p w:rsidR="00F00C2C" w:rsidRPr="00B74FAB" w:rsidRDefault="00F00C2C" w:rsidP="00F00C2C">
      <w:pPr>
        <w:widowControl/>
        <w:tabs>
          <w:tab w:val="left" w:pos="4252"/>
        </w:tabs>
        <w:rPr>
          <w:rFonts w:eastAsia="Calibri"/>
          <w:i/>
          <w:noProof/>
          <w:szCs w:val="22"/>
        </w:rPr>
      </w:pPr>
      <w:r w:rsidRPr="002D6F62">
        <w:rPr>
          <w:i/>
        </w:rPr>
        <w:t>priekšsēdētāja</w:t>
      </w:r>
      <w:r w:rsidRPr="002D6F62">
        <w:rPr>
          <w:i/>
        </w:rPr>
        <w:tab/>
        <w:t>priekšsēdētājs</w:t>
      </w:r>
      <w:r w:rsidR="00730A56" w:rsidRPr="002D6F62">
        <w:rPr>
          <w:i/>
        </w:rPr>
        <w:t xml:space="preserve"> / priekšsēdētāja</w:t>
      </w:r>
    </w:p>
    <w:p w:rsidR="00F00C2C" w:rsidRPr="00B74FAB" w:rsidRDefault="00F00C2C" w:rsidP="00F00C2C">
      <w:pPr>
        <w:pStyle w:val="Rfrenceinterinstitutionnelle"/>
      </w:pPr>
    </w:p>
    <w:p w:rsidR="00F00C2C" w:rsidRPr="00B74FAB" w:rsidRDefault="00F00C2C" w:rsidP="00F00C2C"/>
    <w:p w:rsidR="00E365E1" w:rsidRPr="00B74FAB" w:rsidRDefault="00E365E1" w:rsidP="00AB56E4">
      <w:bookmarkStart w:id="10" w:name="TextBodyEnd"/>
      <w:bookmarkEnd w:id="10"/>
    </w:p>
    <w:sectPr w:rsidR="00E365E1" w:rsidRPr="00B74FAB" w:rsidSect="00107EA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6E4" w:rsidRPr="00107EAE" w:rsidRDefault="00AB56E4">
      <w:r w:rsidRPr="00107EAE">
        <w:separator/>
      </w:r>
    </w:p>
  </w:endnote>
  <w:endnote w:type="continuationSeparator" w:id="0">
    <w:p w:rsidR="00AB56E4" w:rsidRPr="00107EAE" w:rsidRDefault="00AB56E4">
      <w:r w:rsidRPr="00107E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E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E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E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6E4" w:rsidRPr="00107EAE" w:rsidRDefault="00AB56E4">
      <w:r w:rsidRPr="00107EAE">
        <w:separator/>
      </w:r>
    </w:p>
  </w:footnote>
  <w:footnote w:type="continuationSeparator" w:id="0">
    <w:p w:rsidR="00AB56E4" w:rsidRPr="00107EAE" w:rsidRDefault="00AB56E4">
      <w:r w:rsidRPr="00107EAE">
        <w:continuationSeparator/>
      </w:r>
    </w:p>
  </w:footnote>
  <w:footnote w:id="1">
    <w:p w:rsidR="00226B76" w:rsidRPr="00B74FAB" w:rsidRDefault="00226B76" w:rsidP="00B74FAB">
      <w:pPr>
        <w:pStyle w:val="FootnoteText"/>
        <w:ind w:left="567" w:hanging="567"/>
        <w:rPr>
          <w:sz w:val="24"/>
          <w:szCs w:val="24"/>
          <w:lang w:val="lv-LV"/>
        </w:rPr>
      </w:pPr>
      <w:r w:rsidRPr="00B74FAB">
        <w:rPr>
          <w:rStyle w:val="FootnoteReference"/>
          <w:sz w:val="24"/>
          <w:szCs w:val="24"/>
        </w:rPr>
        <w:footnoteRef/>
      </w:r>
      <w:r w:rsidRPr="00B74FAB">
        <w:rPr>
          <w:sz w:val="24"/>
          <w:szCs w:val="24"/>
          <w:lang w:val="lv-LV"/>
        </w:rPr>
        <w:t xml:space="preserve"> </w:t>
      </w:r>
      <w:r w:rsidRPr="00B74FAB">
        <w:rPr>
          <w:sz w:val="24"/>
          <w:szCs w:val="24"/>
          <w:lang w:val="lv-LV"/>
        </w:rPr>
        <w:tab/>
      </w:r>
      <w:r w:rsidRPr="00B74FAB">
        <w:rPr>
          <w:i/>
          <w:sz w:val="24"/>
          <w:szCs w:val="24"/>
          <w:lang w:val="lv-LV"/>
        </w:rPr>
        <w:t>Oficiālajā Vēstnesī</w:t>
      </w:r>
      <w:r w:rsidRPr="00B74FAB">
        <w:rPr>
          <w:sz w:val="24"/>
          <w:szCs w:val="24"/>
          <w:lang w:val="lv-LV"/>
        </w:rPr>
        <w:t xml:space="preserve"> vēl nav publicēts.</w:t>
      </w:r>
    </w:p>
  </w:footnote>
  <w:footnote w:id="2">
    <w:p w:rsidR="00107BF2" w:rsidRPr="00107BF2" w:rsidRDefault="00107BF2" w:rsidP="00107BF2">
      <w:pPr>
        <w:pStyle w:val="FootnoteText"/>
        <w:ind w:left="567" w:hanging="567"/>
        <w:rPr>
          <w:lang w:val="lv-LV"/>
        </w:rPr>
      </w:pPr>
      <w:r w:rsidRPr="00107BF2">
        <w:rPr>
          <w:rStyle w:val="FootnoteReference"/>
        </w:rPr>
        <w:sym w:font="Symbol" w:char="F02A"/>
      </w:r>
      <w:r w:rsidRPr="00107BF2">
        <w:rPr>
          <w:lang w:val="lv-LV"/>
        </w:rPr>
        <w:t xml:space="preserve"> </w:t>
      </w:r>
      <w:r>
        <w:rPr>
          <w:lang w:val="lt-LT"/>
        </w:rPr>
        <w:tab/>
      </w:r>
      <w:r w:rsidRPr="00107BF2">
        <w:rPr>
          <w:rFonts w:eastAsia="PMingLiU"/>
          <w:sz w:val="24"/>
          <w:szCs w:val="24"/>
          <w:lang w:val="lv-LV" w:eastAsia="zh-TW"/>
        </w:rPr>
        <w:t xml:space="preserve">Izmaiņas visā tekstā izriet no grozījuma </w:t>
      </w:r>
      <w:r w:rsidR="000E6B89">
        <w:rPr>
          <w:rFonts w:eastAsia="PMingLiU"/>
          <w:sz w:val="24"/>
          <w:szCs w:val="24"/>
          <w:lang w:val="lv-LV" w:eastAsia="zh-TW"/>
        </w:rPr>
        <w:t xml:space="preserve">Nr. 1 </w:t>
      </w:r>
      <w:r w:rsidRPr="00107BF2">
        <w:rPr>
          <w:rFonts w:eastAsia="PMingLiU"/>
          <w:sz w:val="24"/>
          <w:szCs w:val="24"/>
          <w:lang w:val="lv-LV" w:eastAsia="zh-TW"/>
        </w:rPr>
        <w:t>pieņemšanas. Jaunais vai grozītais teksts ir izcelts treknā slīprakstā; svītrojumi ir apzīmēti ar simbolu ▌.</w:t>
      </w:r>
    </w:p>
  </w:footnote>
  <w:footnote w:id="3">
    <w:p w:rsidR="00F00C2C" w:rsidRPr="00107EAE" w:rsidRDefault="00F00C2C" w:rsidP="00107EAE">
      <w:pPr>
        <w:pStyle w:val="FootnoteText"/>
        <w:ind w:left="567" w:hanging="567"/>
        <w:rPr>
          <w:sz w:val="24"/>
          <w:szCs w:val="24"/>
          <w:lang w:val="lv-LV"/>
        </w:rPr>
      </w:pPr>
      <w:r w:rsidRPr="00107EAE">
        <w:rPr>
          <w:rStyle w:val="FootnoteReference"/>
          <w:sz w:val="24"/>
          <w:szCs w:val="24"/>
          <w:lang w:val="lv-LV"/>
        </w:rPr>
        <w:footnoteRef/>
      </w:r>
      <w:r w:rsidR="00107EAE" w:rsidRPr="00107EAE">
        <w:rPr>
          <w:sz w:val="24"/>
          <w:lang w:val="lv-LV"/>
        </w:rPr>
        <w:t xml:space="preserve"> </w:t>
      </w:r>
      <w:r w:rsidR="00107EAE" w:rsidRPr="00107EAE">
        <w:rPr>
          <w:sz w:val="24"/>
          <w:lang w:val="lv-LV"/>
        </w:rPr>
        <w:tab/>
      </w:r>
      <w:r w:rsidRPr="00107EAE">
        <w:rPr>
          <w:sz w:val="24"/>
          <w:lang w:val="lv-LV"/>
        </w:rPr>
        <w:t>OV C [...], [...], [...]. lpp.</w:t>
      </w:r>
    </w:p>
  </w:footnote>
  <w:footnote w:id="4">
    <w:p w:rsidR="00F00C2C" w:rsidRPr="00107EAE" w:rsidRDefault="00F00C2C" w:rsidP="00107EAE">
      <w:pPr>
        <w:pStyle w:val="FootnoteText"/>
        <w:ind w:left="567" w:hanging="567"/>
        <w:rPr>
          <w:sz w:val="24"/>
          <w:szCs w:val="24"/>
          <w:lang w:val="lv-LV"/>
        </w:rPr>
      </w:pPr>
      <w:r w:rsidRPr="00107EAE">
        <w:rPr>
          <w:rStyle w:val="FootnoteReference"/>
          <w:sz w:val="24"/>
          <w:szCs w:val="24"/>
          <w:lang w:val="lv-LV"/>
        </w:rPr>
        <w:footnoteRef/>
      </w:r>
      <w:r w:rsidR="00107EAE" w:rsidRPr="00107EAE">
        <w:rPr>
          <w:sz w:val="24"/>
          <w:lang w:val="lv-LV"/>
        </w:rPr>
        <w:t xml:space="preserve"> </w:t>
      </w:r>
      <w:r w:rsidR="00107EAE" w:rsidRPr="00107EAE">
        <w:rPr>
          <w:sz w:val="24"/>
          <w:lang w:val="lv-LV"/>
        </w:rPr>
        <w:tab/>
      </w:r>
      <w:r w:rsidRPr="00107EAE">
        <w:rPr>
          <w:sz w:val="24"/>
          <w:lang w:val="lv-LV"/>
        </w:rPr>
        <w:t>OV C [...], [...], [...]. lpp.</w:t>
      </w:r>
    </w:p>
  </w:footnote>
  <w:footnote w:id="5">
    <w:p w:rsidR="00F00C2C" w:rsidRPr="00107EAE" w:rsidRDefault="00F00C2C" w:rsidP="00107EAE">
      <w:pPr>
        <w:pStyle w:val="FootnoteText"/>
        <w:ind w:left="567" w:hanging="567"/>
        <w:rPr>
          <w:sz w:val="24"/>
          <w:szCs w:val="24"/>
          <w:lang w:val="lv-LV"/>
        </w:rPr>
      </w:pPr>
      <w:r w:rsidRPr="00107EAE">
        <w:rPr>
          <w:rStyle w:val="FootnoteReference"/>
          <w:sz w:val="24"/>
          <w:szCs w:val="24"/>
          <w:lang w:val="lv-LV"/>
        </w:rPr>
        <w:footnoteRef/>
      </w:r>
      <w:r w:rsidR="00107EAE" w:rsidRPr="00107EAE">
        <w:rPr>
          <w:sz w:val="24"/>
          <w:lang w:val="lv-LV"/>
        </w:rPr>
        <w:t xml:space="preserve"> </w:t>
      </w:r>
      <w:r w:rsidR="00107EAE" w:rsidRPr="00107EAE">
        <w:rPr>
          <w:sz w:val="24"/>
          <w:lang w:val="lv-LV"/>
        </w:rPr>
        <w:tab/>
      </w:r>
      <w:r w:rsidRPr="00107EAE">
        <w:rPr>
          <w:sz w:val="24"/>
          <w:lang w:val="lv-LV"/>
        </w:rPr>
        <w:t xml:space="preserve">Eiropas Parlamenta un Padomes Regula (ES) 2021/523 (2021. gada 24. marts), ar ko izveido programmu </w:t>
      </w:r>
      <w:proofErr w:type="spellStart"/>
      <w:r w:rsidRPr="00107EAE">
        <w:rPr>
          <w:i/>
          <w:iCs/>
          <w:sz w:val="24"/>
          <w:lang w:val="lv-LV"/>
        </w:rPr>
        <w:t>InvestEU</w:t>
      </w:r>
      <w:proofErr w:type="spellEnd"/>
      <w:r w:rsidRPr="00107EAE">
        <w:rPr>
          <w:sz w:val="24"/>
          <w:lang w:val="lv-LV"/>
        </w:rPr>
        <w:t xml:space="preserve"> un groza Regulu (ES) 2015/1017 (OV L 107, 26.3.2021., 30. lpp.).</w:t>
      </w:r>
    </w:p>
  </w:footnote>
  <w:footnote w:id="6">
    <w:p w:rsidR="00F00C2C" w:rsidRPr="00107EAE" w:rsidRDefault="00F00C2C" w:rsidP="00107EAE">
      <w:pPr>
        <w:pStyle w:val="FootnoteText"/>
        <w:ind w:left="567" w:hanging="567"/>
        <w:rPr>
          <w:sz w:val="24"/>
          <w:szCs w:val="24"/>
          <w:lang w:val="lv-LV"/>
        </w:rPr>
      </w:pPr>
      <w:r w:rsidRPr="00107EAE">
        <w:rPr>
          <w:rStyle w:val="FootnoteReference"/>
          <w:sz w:val="24"/>
          <w:szCs w:val="24"/>
          <w:lang w:val="lv-LV"/>
        </w:rPr>
        <w:footnoteRef/>
      </w:r>
      <w:r w:rsidR="00107EAE" w:rsidRPr="00107EAE">
        <w:rPr>
          <w:sz w:val="24"/>
          <w:lang w:val="lv-LV"/>
        </w:rPr>
        <w:t xml:space="preserve"> </w:t>
      </w:r>
      <w:r w:rsidR="00107EAE" w:rsidRPr="00107EAE">
        <w:rPr>
          <w:sz w:val="24"/>
          <w:lang w:val="lv-LV"/>
        </w:rPr>
        <w:tab/>
      </w:r>
      <w:r w:rsidRPr="00107EAE">
        <w:rPr>
          <w:sz w:val="24"/>
          <w:lang w:val="lv-LV"/>
        </w:rPr>
        <w:t xml:space="preserve">Eiropas Parlamenta un Padomes Regula (ES) Nr. 1092/2010 (2010. gada 24. novembris) par Eiropas Savienības finanšu sistēmas </w:t>
      </w:r>
      <w:proofErr w:type="spellStart"/>
      <w:r w:rsidRPr="00107EAE">
        <w:rPr>
          <w:sz w:val="24"/>
          <w:lang w:val="lv-LV"/>
        </w:rPr>
        <w:t>makrouzraudzību</w:t>
      </w:r>
      <w:proofErr w:type="spellEnd"/>
      <w:r w:rsidRPr="00107EAE">
        <w:rPr>
          <w:sz w:val="24"/>
          <w:lang w:val="lv-LV"/>
        </w:rPr>
        <w:t xml:space="preserve"> un Eiropas Sistēmisko risku kolēģijas izveidošanu (OV L 331, 15.12.2010., 1. lpp.).</w:t>
      </w:r>
    </w:p>
  </w:footnote>
  <w:footnote w:id="7">
    <w:p w:rsidR="00F00C2C" w:rsidRPr="00107EAE" w:rsidRDefault="00F00C2C" w:rsidP="00107EAE">
      <w:pPr>
        <w:pStyle w:val="FootnoteText"/>
        <w:ind w:left="567" w:hanging="567"/>
        <w:rPr>
          <w:sz w:val="24"/>
          <w:szCs w:val="24"/>
          <w:lang w:val="lv-LV"/>
        </w:rPr>
      </w:pPr>
      <w:r w:rsidRPr="00107EAE">
        <w:rPr>
          <w:rStyle w:val="FootnoteReference"/>
          <w:sz w:val="24"/>
          <w:szCs w:val="24"/>
          <w:lang w:val="lv-LV"/>
        </w:rPr>
        <w:footnoteRef/>
      </w:r>
      <w:r w:rsidR="00107EAE" w:rsidRPr="00107EAE">
        <w:rPr>
          <w:sz w:val="24"/>
          <w:lang w:val="lv-LV"/>
        </w:rPr>
        <w:t xml:space="preserve"> </w:t>
      </w:r>
      <w:r w:rsidR="00107EAE" w:rsidRPr="00107EAE">
        <w:rPr>
          <w:sz w:val="24"/>
          <w:lang w:val="lv-LV"/>
        </w:rPr>
        <w:tab/>
      </w:r>
      <w:r w:rsidRPr="00107EAE">
        <w:rPr>
          <w:sz w:val="24"/>
          <w:lang w:val="lv-LV"/>
        </w:rPr>
        <w:t>Eiropas Parlamenta un Padomes Regula (ES) Nr. 1093/2010 (2010. gada 24. novembris), ar ko izveido Eiropas Uzraudzības iestādi (Eiropas Banku iestādi), groza Lēmumu Nr. 716/2009/EK un atceļ Komisijas Lēmumu 2009/78/EK (OV L 331, 15.12.2010., 12. lpp.).</w:t>
      </w:r>
    </w:p>
  </w:footnote>
  <w:footnote w:id="8">
    <w:p w:rsidR="00F00C2C" w:rsidRPr="00107EAE" w:rsidRDefault="00F00C2C" w:rsidP="00107EAE">
      <w:pPr>
        <w:pStyle w:val="FootnoteText"/>
        <w:ind w:left="567" w:hanging="567"/>
        <w:rPr>
          <w:sz w:val="24"/>
          <w:szCs w:val="24"/>
          <w:lang w:val="lv-LV"/>
        </w:rPr>
      </w:pPr>
      <w:r w:rsidRPr="00107EAE">
        <w:rPr>
          <w:rStyle w:val="FootnoteReference"/>
          <w:sz w:val="24"/>
          <w:szCs w:val="24"/>
          <w:lang w:val="lv-LV"/>
        </w:rPr>
        <w:footnoteRef/>
      </w:r>
      <w:r w:rsidR="00107EAE" w:rsidRPr="00107EAE">
        <w:rPr>
          <w:sz w:val="24"/>
          <w:lang w:val="lv-LV"/>
        </w:rPr>
        <w:t xml:space="preserve"> </w:t>
      </w:r>
      <w:r w:rsidR="00107EAE" w:rsidRPr="00107EAE">
        <w:rPr>
          <w:sz w:val="24"/>
          <w:lang w:val="lv-LV"/>
        </w:rPr>
        <w:tab/>
      </w:r>
      <w:r w:rsidRPr="00107EAE">
        <w:rPr>
          <w:sz w:val="24"/>
          <w:lang w:val="lv-LV"/>
        </w:rPr>
        <w:t>Eiropas Parlamenta un Padomes Regula (ES) Nr. 1094/2010 (2010. gada 24. novembris), ar ko izveido Eiropas Uzraudzības iestādi (Eiropas Apdrošināšanas un aroda pensiju iestādi), groza Lēmumu Nr. 716/2009/EK un atceļ Komisijas Lēmumu 2009/79/EK (OV L 331, 15.12.2010., 48. lpp.).</w:t>
      </w:r>
    </w:p>
  </w:footnote>
  <w:footnote w:id="9">
    <w:p w:rsidR="00F00C2C" w:rsidRPr="00107EAE" w:rsidRDefault="00F00C2C" w:rsidP="00107EAE">
      <w:pPr>
        <w:pStyle w:val="FootnoteText"/>
        <w:ind w:left="567" w:hanging="567"/>
        <w:rPr>
          <w:sz w:val="24"/>
          <w:szCs w:val="24"/>
          <w:lang w:val="lv-LV"/>
        </w:rPr>
      </w:pPr>
      <w:r w:rsidRPr="00107EAE">
        <w:rPr>
          <w:rStyle w:val="FootnoteReference"/>
          <w:sz w:val="24"/>
          <w:szCs w:val="24"/>
          <w:lang w:val="lv-LV"/>
        </w:rPr>
        <w:footnoteRef/>
      </w:r>
      <w:r w:rsidR="00107EAE" w:rsidRPr="00107EAE">
        <w:rPr>
          <w:sz w:val="24"/>
          <w:lang w:val="lv-LV"/>
        </w:rPr>
        <w:t xml:space="preserve"> </w:t>
      </w:r>
      <w:r w:rsidR="00107EAE" w:rsidRPr="00107EAE">
        <w:rPr>
          <w:sz w:val="24"/>
          <w:lang w:val="lv-LV"/>
        </w:rPr>
        <w:tab/>
      </w:r>
      <w:r w:rsidRPr="00107EAE">
        <w:rPr>
          <w:sz w:val="24"/>
          <w:lang w:val="lv-LV"/>
        </w:rPr>
        <w:t>Eiropas Parlamenta un Padomes Regula (ES) Nr. 1095/2010 (2010. gada 24. novembris), ar ko izveido Eiropas Uzraudzības iestādi (Eiropas Vērtspapīru un tirgu iestādi), groza Lēmumu Nr. 716/2009/EK un atceļ Komisijas Lēmumu 2009/77/EK (OV L 331, 15.12.2010., 84. lpp.).</w:t>
      </w:r>
    </w:p>
  </w:footnote>
  <w:footnote w:id="10">
    <w:p w:rsidR="006E05C1" w:rsidRPr="006E05C1" w:rsidRDefault="006E05C1" w:rsidP="006E05C1">
      <w:pPr>
        <w:pStyle w:val="FootnoteText"/>
        <w:ind w:left="567" w:hanging="567"/>
        <w:rPr>
          <w:lang w:val="lv-LV"/>
        </w:rPr>
      </w:pPr>
      <w:r>
        <w:rPr>
          <w:rStyle w:val="FootnoteReference"/>
        </w:rPr>
        <w:footnoteRef/>
      </w:r>
      <w:r w:rsidRPr="006E05C1">
        <w:rPr>
          <w:lang w:val="lv-LV"/>
        </w:rPr>
        <w:t xml:space="preserve"> </w:t>
      </w:r>
      <w:r w:rsidRPr="00107EAE">
        <w:rPr>
          <w:sz w:val="24"/>
          <w:lang w:val="lv-LV"/>
        </w:rPr>
        <w:tab/>
      </w:r>
      <w:r w:rsidRPr="00107EAE">
        <w:rPr>
          <w:b/>
          <w:i/>
          <w:sz w:val="24"/>
          <w:lang w:val="lv-LV"/>
        </w:rPr>
        <w:t>Eiropas Parlamenta un Padomes Regula (ES) Nr. 806/2014 (2014. gada 15. jūlijs), ar ko izveido vienādus noteikumus un vienotu procedūru kredītiestāžu un noteiktu ieguldījumu brokeru sabiedrību noregulējumam, izmantojot vienotu noregulējuma mehānismu un vienotu noregulējuma fondu, un groza Regulu (ES) Nr. 1093/2010 (OV L 225, 30.7.2014., 1. lpp.).</w:t>
      </w:r>
    </w:p>
  </w:footnote>
  <w:footnote w:id="11">
    <w:p w:rsidR="006E05C1" w:rsidRPr="006E05C1" w:rsidRDefault="006E05C1" w:rsidP="006E05C1">
      <w:pPr>
        <w:pStyle w:val="FootnoteText"/>
        <w:ind w:left="567" w:hanging="567"/>
        <w:rPr>
          <w:lang w:val="lv-LV"/>
        </w:rPr>
      </w:pPr>
      <w:r w:rsidRPr="006E05C1">
        <w:rPr>
          <w:rStyle w:val="FootnoteReference"/>
          <w:lang w:val="lv-LV"/>
        </w:rPr>
        <w:t>+</w:t>
      </w:r>
      <w:r w:rsidRPr="006E05C1">
        <w:rPr>
          <w:lang w:val="lv-LV"/>
        </w:rPr>
        <w:t xml:space="preserve"> </w:t>
      </w:r>
      <w:r>
        <w:rPr>
          <w:lang w:val="lv-LV"/>
        </w:rPr>
        <w:tab/>
      </w:r>
      <w:r w:rsidRPr="00107EAE">
        <w:rPr>
          <w:b/>
          <w:i/>
          <w:sz w:val="24"/>
          <w:lang w:val="lv-LV"/>
        </w:rPr>
        <w:t>PB: lūgums tekstā ievietot dokumentā (2021/0240(COD) (priekšlikums Regulai, ar ko izveido Iestādi nelikumīgi iegūtu līdzekļu legalizēšanas un terorisma finansēšanas novēršanai – COM(2021)0421 </w:t>
      </w:r>
      <w:proofErr w:type="spellStart"/>
      <w:r w:rsidRPr="00107EAE">
        <w:rPr>
          <w:b/>
          <w:i/>
          <w:sz w:val="24"/>
          <w:lang w:val="lv-LV"/>
        </w:rPr>
        <w:t>final</w:t>
      </w:r>
      <w:proofErr w:type="spellEnd"/>
      <w:r w:rsidRPr="00107EAE">
        <w:rPr>
          <w:b/>
          <w:i/>
          <w:sz w:val="24"/>
          <w:lang w:val="lv-LV"/>
        </w:rPr>
        <w:t>) ietvertās regulas numuru un zemsvītras piezīmē ievietot minētās regulas numuru, datumu, nosaukumu un OV atsauci.</w:t>
      </w:r>
    </w:p>
  </w:footnote>
  <w:footnote w:id="12">
    <w:p w:rsidR="006E05C1" w:rsidRPr="006E05C1" w:rsidRDefault="006E05C1" w:rsidP="006E05C1">
      <w:pPr>
        <w:pStyle w:val="FootnoteText"/>
        <w:ind w:left="567" w:hanging="567"/>
        <w:rPr>
          <w:lang w:val="lv-LV"/>
        </w:rPr>
      </w:pPr>
      <w:r>
        <w:rPr>
          <w:rStyle w:val="FootnoteReference"/>
        </w:rPr>
        <w:footnoteRef/>
      </w:r>
      <w:r w:rsidRPr="006E05C1">
        <w:rPr>
          <w:lang w:val="lv-LV"/>
        </w:rPr>
        <w:t xml:space="preserve"> </w:t>
      </w:r>
      <w:r>
        <w:rPr>
          <w:lang w:val="lv-LV"/>
        </w:rPr>
        <w:tab/>
      </w:r>
      <w:r w:rsidRPr="00107EAE">
        <w:rPr>
          <w:b/>
          <w:i/>
          <w:sz w:val="24"/>
          <w:lang w:val="lv-LV"/>
        </w:rPr>
        <w:t xml:space="preserve">Padomes Regula (ES) Nr. 1024/2013 (2013. gada 15. oktobris), ar ko Eiropas Centrālajai bankai uztic īpašus uzdevumus saistībā ar politikas nostādnēm, kas attiecas uz kredītiestāžu </w:t>
      </w:r>
      <w:proofErr w:type="spellStart"/>
      <w:r w:rsidRPr="00107EAE">
        <w:rPr>
          <w:b/>
          <w:i/>
          <w:sz w:val="24"/>
          <w:lang w:val="lv-LV"/>
        </w:rPr>
        <w:t>prudenciālo</w:t>
      </w:r>
      <w:proofErr w:type="spellEnd"/>
      <w:r w:rsidRPr="00107EAE">
        <w:rPr>
          <w:b/>
          <w:i/>
          <w:sz w:val="24"/>
          <w:lang w:val="lv-LV"/>
        </w:rPr>
        <w:t xml:space="preserve"> uzraudzību (OV L 287, 29.10.2013., 63. lpp.).</w:t>
      </w:r>
    </w:p>
  </w:footnote>
  <w:footnote w:id="13">
    <w:p w:rsidR="00F00C2C" w:rsidRPr="00107EAE" w:rsidRDefault="00F00C2C" w:rsidP="00107EAE">
      <w:pPr>
        <w:pStyle w:val="FootnoteText"/>
        <w:ind w:left="567" w:hanging="567"/>
        <w:rPr>
          <w:sz w:val="24"/>
          <w:szCs w:val="24"/>
          <w:lang w:val="lv-LV"/>
        </w:rPr>
      </w:pPr>
      <w:r w:rsidRPr="00107EAE">
        <w:rPr>
          <w:rStyle w:val="FootnoteReference"/>
          <w:sz w:val="24"/>
          <w:szCs w:val="24"/>
          <w:lang w:val="lv-LV"/>
        </w:rPr>
        <w:footnoteRef/>
      </w:r>
      <w:r w:rsidR="00107EAE" w:rsidRPr="00107EAE">
        <w:rPr>
          <w:sz w:val="24"/>
          <w:lang w:val="lv-LV"/>
        </w:rPr>
        <w:t xml:space="preserve"> </w:t>
      </w:r>
      <w:r w:rsidR="00107EAE" w:rsidRPr="00107EAE">
        <w:rPr>
          <w:sz w:val="24"/>
          <w:lang w:val="lv-LV"/>
        </w:rPr>
        <w:tab/>
      </w:r>
      <w:r w:rsidRPr="00107EAE">
        <w:rPr>
          <w:sz w:val="24"/>
          <w:lang w:val="lv-LV"/>
        </w:rPr>
        <w:t>COM(2023) 168.</w:t>
      </w:r>
    </w:p>
  </w:footnote>
  <w:footnote w:id="14">
    <w:p w:rsidR="00F00C2C" w:rsidRPr="00107EAE" w:rsidRDefault="00F00C2C" w:rsidP="00107EAE">
      <w:pPr>
        <w:pStyle w:val="FootnoteText"/>
        <w:ind w:left="567" w:hanging="567"/>
        <w:rPr>
          <w:sz w:val="24"/>
          <w:szCs w:val="24"/>
          <w:lang w:val="lv-LV"/>
        </w:rPr>
      </w:pPr>
      <w:r w:rsidRPr="00107EAE">
        <w:rPr>
          <w:rStyle w:val="FootnoteReference"/>
          <w:sz w:val="24"/>
          <w:szCs w:val="24"/>
          <w:lang w:val="lv-LV"/>
        </w:rPr>
        <w:footnoteRef/>
      </w:r>
      <w:r w:rsidR="00107EAE" w:rsidRPr="00107EAE">
        <w:rPr>
          <w:sz w:val="24"/>
          <w:lang w:val="lv-LV"/>
        </w:rPr>
        <w:t xml:space="preserve"> </w:t>
      </w:r>
      <w:r w:rsidR="00107EAE" w:rsidRPr="00107EAE">
        <w:rPr>
          <w:sz w:val="24"/>
          <w:lang w:val="lv-LV"/>
        </w:rPr>
        <w:tab/>
      </w:r>
      <w:r w:rsidRPr="00107EAE">
        <w:rPr>
          <w:sz w:val="24"/>
          <w:lang w:val="lv-LV"/>
        </w:rPr>
        <w:t>Eiropas Parlamenta un Padomes Regula (ES) 2022/868 (2022. gada 30. maijs) par Eiropas datu pārvaldību un ar ko groza Regulu (ES) 2018/1724 (Datu pārvaldības akts) (OV L 152, 3.6.2022., 1. lpp.).</w:t>
      </w:r>
    </w:p>
  </w:footnote>
  <w:footnote w:id="15">
    <w:p w:rsidR="006E05C1" w:rsidRPr="006E05C1" w:rsidRDefault="006E05C1" w:rsidP="006E05C1">
      <w:pPr>
        <w:pStyle w:val="FootnoteText"/>
        <w:ind w:left="567" w:hanging="567"/>
        <w:rPr>
          <w:lang w:val="lv-LV"/>
        </w:rPr>
      </w:pPr>
      <w:r w:rsidRPr="006E05C1">
        <w:rPr>
          <w:rStyle w:val="FootnoteReference"/>
          <w:lang w:val="lv-LV"/>
        </w:rPr>
        <w:t>+</w:t>
      </w:r>
      <w:r w:rsidRPr="006E05C1">
        <w:rPr>
          <w:lang w:val="lv-LV"/>
        </w:rPr>
        <w:t xml:space="preserve"> </w:t>
      </w:r>
      <w:r>
        <w:rPr>
          <w:lang w:val="lv-LV"/>
        </w:rPr>
        <w:tab/>
      </w:r>
      <w:r w:rsidRPr="00107EAE">
        <w:rPr>
          <w:b/>
          <w:i/>
          <w:sz w:val="24"/>
          <w:lang w:val="lv-LV"/>
        </w:rPr>
        <w:t>PB: lūgums tekstā ievietot dokumentā (2021/0240(COD) (priekšlikums Regulai, ar ko izveido Iestādi nelikumīgi iegūtu līdzekļu legalizēšanas un terorisma finansēšanas novēršanai – COM(2021)0421 </w:t>
      </w:r>
      <w:proofErr w:type="spellStart"/>
      <w:r w:rsidRPr="00107EAE">
        <w:rPr>
          <w:b/>
          <w:i/>
          <w:sz w:val="24"/>
          <w:lang w:val="lv-LV"/>
        </w:rPr>
        <w:t>final</w:t>
      </w:r>
      <w:proofErr w:type="spellEnd"/>
      <w:r w:rsidRPr="00107EAE">
        <w:rPr>
          <w:b/>
          <w:i/>
          <w:sz w:val="24"/>
          <w:lang w:val="lv-LV"/>
        </w:rPr>
        <w:t>) ietvertās regulas numuru un zemsvītras piezīmē ievietot minētās regulas numuru, datumu, nosaukumu un OV atsauci.</w:t>
      </w:r>
    </w:p>
  </w:footnote>
  <w:footnote w:id="16">
    <w:p w:rsidR="006E05C1" w:rsidRPr="00107EAE" w:rsidRDefault="006E05C1" w:rsidP="00107EAE">
      <w:pPr>
        <w:pStyle w:val="FootnoteText"/>
        <w:ind w:left="567" w:hanging="567"/>
        <w:rPr>
          <w:sz w:val="24"/>
          <w:szCs w:val="24"/>
          <w:lang w:val="lv-LV"/>
        </w:rPr>
      </w:pPr>
      <w:r w:rsidRPr="006E05C1">
        <w:rPr>
          <w:rStyle w:val="FootnoteReference"/>
          <w:lang w:val="lv-LV"/>
        </w:rPr>
        <w:t>++</w:t>
      </w:r>
      <w:r w:rsidRPr="00107EAE">
        <w:rPr>
          <w:sz w:val="24"/>
          <w:lang w:val="lv-LV"/>
        </w:rPr>
        <w:t xml:space="preserve"> </w:t>
      </w:r>
      <w:r w:rsidRPr="00107EAE">
        <w:rPr>
          <w:sz w:val="24"/>
          <w:lang w:val="lv-LV"/>
        </w:rPr>
        <w:tab/>
      </w:r>
      <w:r w:rsidRPr="00107EAE">
        <w:rPr>
          <w:b/>
          <w:i/>
          <w:sz w:val="24"/>
          <w:lang w:val="lv-LV"/>
        </w:rPr>
        <w:t xml:space="preserve">PB: lūgums tekstā ievietot dokumentā (2021/0250(COD) (priekšlikums Sestajai nelikumīgi iegūtu līdzekļu legalizācijas novēršanas direktīvai — COM/2021/423 </w:t>
      </w:r>
      <w:proofErr w:type="spellStart"/>
      <w:r w:rsidRPr="00107EAE">
        <w:rPr>
          <w:b/>
          <w:i/>
          <w:sz w:val="24"/>
          <w:lang w:val="lv-LV"/>
        </w:rPr>
        <w:t>final</w:t>
      </w:r>
      <w:proofErr w:type="spellEnd"/>
      <w:r w:rsidRPr="00107EAE">
        <w:rPr>
          <w:b/>
          <w:i/>
          <w:sz w:val="24"/>
          <w:lang w:val="lv-LV"/>
        </w:rPr>
        <w:t>) ietvertās direktīvas numuru un zemsvītras piezīmē ievietot minētās direktīvas numuru, datumu, nosaukumu un OV atsauci.</w:t>
      </w:r>
    </w:p>
  </w:footnote>
  <w:footnote w:id="17">
    <w:p w:rsidR="006E05C1" w:rsidRPr="006E05C1" w:rsidRDefault="006E05C1" w:rsidP="006E05C1">
      <w:pPr>
        <w:pStyle w:val="FootnoteText"/>
        <w:ind w:left="567" w:hanging="567"/>
        <w:rPr>
          <w:lang w:val="lv-LV"/>
        </w:rPr>
      </w:pPr>
      <w:r w:rsidRPr="006E05C1">
        <w:rPr>
          <w:rStyle w:val="FootnoteReference"/>
          <w:lang w:val="lv-LV"/>
        </w:rPr>
        <w:t>+</w:t>
      </w:r>
      <w:r w:rsidRPr="006E05C1">
        <w:rPr>
          <w:lang w:val="lv-LV"/>
        </w:rPr>
        <w:t xml:space="preserve"> </w:t>
      </w:r>
      <w:r>
        <w:rPr>
          <w:lang w:val="lv-LV"/>
        </w:rPr>
        <w:tab/>
      </w:r>
      <w:r w:rsidRPr="00107EAE">
        <w:rPr>
          <w:b/>
          <w:i/>
          <w:sz w:val="24"/>
          <w:lang w:val="lv-LV"/>
        </w:rPr>
        <w:t>PB: lūgums tekstā ievietot dokumentā (2021/0240(COD) (priekšlikums Regulai, ar ko izveido Iestādi nelikumīgi iegūtu līdzekļu legalizēšanas un terorisma finansēšanas novēršanai – COM(2021)0421 </w:t>
      </w:r>
      <w:proofErr w:type="spellStart"/>
      <w:r w:rsidRPr="00107EAE">
        <w:rPr>
          <w:b/>
          <w:i/>
          <w:sz w:val="24"/>
          <w:lang w:val="lv-LV"/>
        </w:rPr>
        <w:t>final</w:t>
      </w:r>
      <w:proofErr w:type="spellEnd"/>
      <w:r w:rsidRPr="00107EAE">
        <w:rPr>
          <w:b/>
          <w:i/>
          <w:sz w:val="24"/>
          <w:lang w:val="lv-LV"/>
        </w:rPr>
        <w:t>) ietvertās regulas numuru un zemsvītras piezīmē ievietot minētās regulas numuru, datumu, nosaukumu un OV atsauci.</w:t>
      </w:r>
    </w:p>
  </w:footnote>
  <w:footnote w:id="18">
    <w:p w:rsidR="006E05C1" w:rsidRPr="00107EAE" w:rsidRDefault="006E05C1" w:rsidP="006E05C1">
      <w:pPr>
        <w:pStyle w:val="FootnoteText"/>
        <w:ind w:left="567" w:hanging="567"/>
        <w:rPr>
          <w:sz w:val="24"/>
          <w:szCs w:val="24"/>
          <w:lang w:val="lv-LV"/>
        </w:rPr>
      </w:pPr>
      <w:r w:rsidRPr="006E05C1">
        <w:rPr>
          <w:rStyle w:val="FootnoteReference"/>
          <w:lang w:val="lv-LV"/>
        </w:rPr>
        <w:t>++</w:t>
      </w:r>
      <w:r w:rsidRPr="00107EAE">
        <w:rPr>
          <w:sz w:val="24"/>
          <w:lang w:val="lv-LV"/>
        </w:rPr>
        <w:t xml:space="preserve"> </w:t>
      </w:r>
      <w:r w:rsidRPr="00107EAE">
        <w:rPr>
          <w:sz w:val="24"/>
          <w:lang w:val="lv-LV"/>
        </w:rPr>
        <w:tab/>
      </w:r>
      <w:r w:rsidRPr="00107EAE">
        <w:rPr>
          <w:b/>
          <w:i/>
          <w:sz w:val="24"/>
          <w:lang w:val="lv-LV"/>
        </w:rPr>
        <w:t xml:space="preserve">PB: lūgums tekstā ievietot dokumentā (2021/0250(COD) (priekšlikums Sestajai nelikumīgi iegūtu līdzekļu legalizācijas novēršanas direktīvai — COM/2021/423 </w:t>
      </w:r>
      <w:proofErr w:type="spellStart"/>
      <w:r w:rsidRPr="00107EAE">
        <w:rPr>
          <w:b/>
          <w:i/>
          <w:sz w:val="24"/>
          <w:lang w:val="lv-LV"/>
        </w:rPr>
        <w:t>final</w:t>
      </w:r>
      <w:proofErr w:type="spellEnd"/>
      <w:r w:rsidRPr="00107EAE">
        <w:rPr>
          <w:b/>
          <w:i/>
          <w:sz w:val="24"/>
          <w:lang w:val="lv-LV"/>
        </w:rPr>
        <w:t>) ietvertās direktīvas numuru un zemsvītras piezīmē ievietot minētās direktīvas numuru, datumu, nosaukumu un OV atsauci.</w:t>
      </w:r>
    </w:p>
  </w:footnote>
  <w:footnote w:id="19">
    <w:p w:rsidR="006E05C1" w:rsidRPr="006E05C1" w:rsidRDefault="006E05C1" w:rsidP="006E05C1">
      <w:pPr>
        <w:pStyle w:val="FootnoteText"/>
        <w:ind w:left="567" w:hanging="567"/>
        <w:rPr>
          <w:lang w:val="lv-LV"/>
        </w:rPr>
      </w:pPr>
      <w:r w:rsidRPr="006E05C1">
        <w:rPr>
          <w:rStyle w:val="FootnoteReference"/>
          <w:lang w:val="lv-LV"/>
        </w:rPr>
        <w:t>+</w:t>
      </w:r>
      <w:r w:rsidRPr="006E05C1">
        <w:rPr>
          <w:lang w:val="lv-LV"/>
        </w:rPr>
        <w:t xml:space="preserve"> </w:t>
      </w:r>
      <w:r>
        <w:rPr>
          <w:lang w:val="lv-LV"/>
        </w:rPr>
        <w:tab/>
      </w:r>
      <w:r w:rsidRPr="00107EAE">
        <w:rPr>
          <w:b/>
          <w:i/>
          <w:sz w:val="24"/>
          <w:lang w:val="lv-LV"/>
        </w:rPr>
        <w:t>PB: lūgums tekstā ievietot dokumentā (2021/0240(COD) (priekšlikums Regulai, ar ko izveido Iestādi nelikumīgi iegūtu līdzekļu legalizēšanas un terorisma finansēšanas novēršanai – COM(2021)0421 </w:t>
      </w:r>
      <w:proofErr w:type="spellStart"/>
      <w:r w:rsidRPr="00107EAE">
        <w:rPr>
          <w:b/>
          <w:i/>
          <w:sz w:val="24"/>
          <w:lang w:val="lv-LV"/>
        </w:rPr>
        <w:t>final</w:t>
      </w:r>
      <w:proofErr w:type="spellEnd"/>
      <w:r w:rsidRPr="00107EAE">
        <w:rPr>
          <w:b/>
          <w:i/>
          <w:sz w:val="24"/>
          <w:lang w:val="lv-LV"/>
        </w:rPr>
        <w:t>) ietvertās regulas numuru un zemsvītras piezīmē ievietot minētās regulas numuru, datumu, nosaukumu un OV atsauci.</w:t>
      </w:r>
    </w:p>
  </w:footnote>
  <w:footnote w:id="20">
    <w:p w:rsidR="006E05C1" w:rsidRPr="00107EAE" w:rsidRDefault="006E05C1" w:rsidP="006E05C1">
      <w:pPr>
        <w:pStyle w:val="FootnoteText"/>
        <w:ind w:left="567" w:hanging="567"/>
        <w:rPr>
          <w:sz w:val="24"/>
          <w:szCs w:val="24"/>
          <w:lang w:val="lv-LV"/>
        </w:rPr>
      </w:pPr>
      <w:r w:rsidRPr="006E05C1">
        <w:rPr>
          <w:rStyle w:val="FootnoteReference"/>
          <w:lang w:val="lv-LV"/>
        </w:rPr>
        <w:t>++</w:t>
      </w:r>
      <w:r w:rsidRPr="00107EAE">
        <w:rPr>
          <w:sz w:val="24"/>
          <w:lang w:val="lv-LV"/>
        </w:rPr>
        <w:t xml:space="preserve"> </w:t>
      </w:r>
      <w:r w:rsidRPr="00107EAE">
        <w:rPr>
          <w:sz w:val="24"/>
          <w:lang w:val="lv-LV"/>
        </w:rPr>
        <w:tab/>
      </w:r>
      <w:r w:rsidRPr="00107EAE">
        <w:rPr>
          <w:b/>
          <w:i/>
          <w:sz w:val="24"/>
          <w:lang w:val="lv-LV"/>
        </w:rPr>
        <w:t xml:space="preserve">PB: lūgums tekstā ievietot dokumentā (2021/0250(COD) (priekšlikums Sestajai nelikumīgi iegūtu līdzekļu legalizācijas novēršanas direktīvai — COM/2021/423 </w:t>
      </w:r>
      <w:proofErr w:type="spellStart"/>
      <w:r w:rsidRPr="00107EAE">
        <w:rPr>
          <w:b/>
          <w:i/>
          <w:sz w:val="24"/>
          <w:lang w:val="lv-LV"/>
        </w:rPr>
        <w:t>final</w:t>
      </w:r>
      <w:proofErr w:type="spellEnd"/>
      <w:r w:rsidRPr="00107EAE">
        <w:rPr>
          <w:b/>
          <w:i/>
          <w:sz w:val="24"/>
          <w:lang w:val="lv-LV"/>
        </w:rPr>
        <w:t>) ietvertās direktīvas numuru un zemsvītras piezīmē ievietot minētās direktīvas numuru, datumu, nosaukumu un OV atsauci.</w:t>
      </w:r>
    </w:p>
  </w:footnote>
  <w:footnote w:id="21">
    <w:p w:rsidR="006E05C1" w:rsidRPr="006E05C1" w:rsidRDefault="006E05C1" w:rsidP="006E05C1">
      <w:pPr>
        <w:pStyle w:val="FootnoteText"/>
        <w:ind w:left="567" w:hanging="567"/>
        <w:rPr>
          <w:lang w:val="lv-LV"/>
        </w:rPr>
      </w:pPr>
      <w:r w:rsidRPr="006E05C1">
        <w:rPr>
          <w:rStyle w:val="FootnoteReference"/>
          <w:lang w:val="lv-LV"/>
        </w:rPr>
        <w:t>+</w:t>
      </w:r>
      <w:r w:rsidRPr="006E05C1">
        <w:rPr>
          <w:lang w:val="lv-LV"/>
        </w:rPr>
        <w:t xml:space="preserve"> </w:t>
      </w:r>
      <w:r>
        <w:rPr>
          <w:lang w:val="lv-LV"/>
        </w:rPr>
        <w:tab/>
      </w:r>
      <w:r w:rsidRPr="00107EAE">
        <w:rPr>
          <w:b/>
          <w:i/>
          <w:sz w:val="24"/>
          <w:lang w:val="lv-LV"/>
        </w:rPr>
        <w:t>PB: lūgums tekstā ievietot dokumentā (2021/0240(COD) (priekšlikums Regulai, ar ko izveido Iestādi nelikumīgi iegūtu līdzekļu legalizēšanas un terorisma finansēšanas novēršanai – COM(2021)0421 </w:t>
      </w:r>
      <w:proofErr w:type="spellStart"/>
      <w:r w:rsidRPr="00107EAE">
        <w:rPr>
          <w:b/>
          <w:i/>
          <w:sz w:val="24"/>
          <w:lang w:val="lv-LV"/>
        </w:rPr>
        <w:t>final</w:t>
      </w:r>
      <w:proofErr w:type="spellEnd"/>
      <w:r w:rsidRPr="00107EAE">
        <w:rPr>
          <w:b/>
          <w:i/>
          <w:sz w:val="24"/>
          <w:lang w:val="lv-LV"/>
        </w:rPr>
        <w:t>) ietvertās regulas numuru un zemsvītras piezīmē ievietot minētās regulas numuru, datumu, nosaukumu un OV atsauci.</w:t>
      </w:r>
    </w:p>
  </w:footnote>
  <w:footnote w:id="22">
    <w:p w:rsidR="006E05C1" w:rsidRPr="00107EAE" w:rsidRDefault="006E05C1" w:rsidP="006E05C1">
      <w:pPr>
        <w:pStyle w:val="FootnoteText"/>
        <w:ind w:left="567" w:hanging="567"/>
        <w:rPr>
          <w:sz w:val="24"/>
          <w:szCs w:val="24"/>
          <w:lang w:val="lv-LV"/>
        </w:rPr>
      </w:pPr>
      <w:r w:rsidRPr="006E05C1">
        <w:rPr>
          <w:rStyle w:val="FootnoteReference"/>
          <w:lang w:val="lv-LV"/>
        </w:rPr>
        <w:t>++</w:t>
      </w:r>
      <w:r w:rsidRPr="00107EAE">
        <w:rPr>
          <w:sz w:val="24"/>
          <w:lang w:val="lv-LV"/>
        </w:rPr>
        <w:t xml:space="preserve"> </w:t>
      </w:r>
      <w:r w:rsidRPr="00107EAE">
        <w:rPr>
          <w:sz w:val="24"/>
          <w:lang w:val="lv-LV"/>
        </w:rPr>
        <w:tab/>
      </w:r>
      <w:r w:rsidRPr="00107EAE">
        <w:rPr>
          <w:b/>
          <w:i/>
          <w:sz w:val="24"/>
          <w:lang w:val="lv-LV"/>
        </w:rPr>
        <w:t xml:space="preserve">PB: lūgums tekstā ievietot dokumentā (2021/0250(COD) (priekšlikums Sestajai nelikumīgi iegūtu līdzekļu legalizācijas novēršanas direktīvai — COM/2021/423 </w:t>
      </w:r>
      <w:proofErr w:type="spellStart"/>
      <w:r w:rsidRPr="00107EAE">
        <w:rPr>
          <w:b/>
          <w:i/>
          <w:sz w:val="24"/>
          <w:lang w:val="lv-LV"/>
        </w:rPr>
        <w:t>final</w:t>
      </w:r>
      <w:proofErr w:type="spellEnd"/>
      <w:r w:rsidRPr="00107EAE">
        <w:rPr>
          <w:b/>
          <w:i/>
          <w:sz w:val="24"/>
          <w:lang w:val="lv-LV"/>
        </w:rPr>
        <w:t>) ietvertās direktīvas numuru un zemsvītras piezīmē ievietot minētās direktīvas numuru, datumu, nosaukumu un OV atsauci.</w:t>
      </w:r>
    </w:p>
  </w:footnote>
  <w:footnote w:id="23">
    <w:p w:rsidR="006E05C1" w:rsidRPr="006E05C1" w:rsidRDefault="006E05C1" w:rsidP="006E05C1">
      <w:pPr>
        <w:pStyle w:val="FootnoteText"/>
        <w:ind w:left="567" w:hanging="567"/>
        <w:rPr>
          <w:lang w:val="lv-LV"/>
        </w:rPr>
      </w:pPr>
      <w:r w:rsidRPr="006E05C1">
        <w:rPr>
          <w:rStyle w:val="FootnoteReference"/>
          <w:lang w:val="lv-LV"/>
        </w:rPr>
        <w:t>+</w:t>
      </w:r>
      <w:r w:rsidRPr="006E05C1">
        <w:rPr>
          <w:lang w:val="lv-LV"/>
        </w:rPr>
        <w:t xml:space="preserve"> </w:t>
      </w:r>
      <w:r>
        <w:rPr>
          <w:lang w:val="lv-LV"/>
        </w:rPr>
        <w:tab/>
      </w:r>
      <w:r w:rsidRPr="00107EAE">
        <w:rPr>
          <w:b/>
          <w:i/>
          <w:sz w:val="24"/>
          <w:lang w:val="lv-LV"/>
        </w:rPr>
        <w:t>PB: lūgums tekstā ievietot dokumentā (2021/0240(COD) (priekšlikums Regulai, ar ko izveido Iestādi nelikumīgi iegūtu līdzekļu legalizēšanas un terorisma finansēšanas novēršanai – COM(2021)0421 </w:t>
      </w:r>
      <w:proofErr w:type="spellStart"/>
      <w:r w:rsidRPr="00107EAE">
        <w:rPr>
          <w:b/>
          <w:i/>
          <w:sz w:val="24"/>
          <w:lang w:val="lv-LV"/>
        </w:rPr>
        <w:t>final</w:t>
      </w:r>
      <w:proofErr w:type="spellEnd"/>
      <w:r w:rsidRPr="00107EAE">
        <w:rPr>
          <w:b/>
          <w:i/>
          <w:sz w:val="24"/>
          <w:lang w:val="lv-LV"/>
        </w:rPr>
        <w:t>) ietvertās regulas numuru un zemsvītras piezīmē ievietot minētās regulas numuru, datumu, nosaukumu un OV atsauci.</w:t>
      </w:r>
    </w:p>
  </w:footnote>
  <w:footnote w:id="24">
    <w:p w:rsidR="006E05C1" w:rsidRPr="00107EAE" w:rsidRDefault="006E05C1" w:rsidP="006E05C1">
      <w:pPr>
        <w:pStyle w:val="FootnoteText"/>
        <w:ind w:left="567" w:hanging="567"/>
        <w:rPr>
          <w:sz w:val="24"/>
          <w:szCs w:val="24"/>
          <w:lang w:val="lv-LV"/>
        </w:rPr>
      </w:pPr>
      <w:r w:rsidRPr="006E05C1">
        <w:rPr>
          <w:rStyle w:val="FootnoteReference"/>
          <w:lang w:val="lv-LV"/>
        </w:rPr>
        <w:t>+</w:t>
      </w:r>
      <w:r w:rsidRPr="00107EAE">
        <w:rPr>
          <w:sz w:val="24"/>
          <w:lang w:val="lv-LV"/>
        </w:rPr>
        <w:t xml:space="preserve"> </w:t>
      </w:r>
      <w:r w:rsidRPr="00107EAE">
        <w:rPr>
          <w:sz w:val="24"/>
          <w:lang w:val="lv-LV"/>
        </w:rPr>
        <w:tab/>
      </w:r>
      <w:r w:rsidRPr="00107EAE">
        <w:rPr>
          <w:b/>
          <w:i/>
          <w:sz w:val="24"/>
          <w:lang w:val="lv-LV"/>
        </w:rPr>
        <w:t xml:space="preserve">PB: lūgums tekstā ievietot dokumentā (2021/0250(COD) (priekšlikums Sestajai nelikumīgi iegūtu līdzekļu legalizācijas novēršanas direktīvai — COM/2021/423 </w:t>
      </w:r>
      <w:proofErr w:type="spellStart"/>
      <w:r w:rsidRPr="00107EAE">
        <w:rPr>
          <w:b/>
          <w:i/>
          <w:sz w:val="24"/>
          <w:lang w:val="lv-LV"/>
        </w:rPr>
        <w:t>final</w:t>
      </w:r>
      <w:proofErr w:type="spellEnd"/>
      <w:r w:rsidRPr="00107EAE">
        <w:rPr>
          <w:b/>
          <w:i/>
          <w:sz w:val="24"/>
          <w:lang w:val="lv-LV"/>
        </w:rPr>
        <w:t>) ietvertās direktīvas numuru un zemsvītras piezīmē ievietot minētās direktīvas numuru, datumu, nosaukumu un OV atsauci.</w:t>
      </w:r>
    </w:p>
  </w:footnote>
  <w:footnote w:id="25">
    <w:p w:rsidR="006E05C1" w:rsidRPr="006E05C1" w:rsidRDefault="006E05C1" w:rsidP="006E05C1">
      <w:pPr>
        <w:pStyle w:val="FootnoteText"/>
        <w:ind w:left="567" w:hanging="567"/>
        <w:rPr>
          <w:lang w:val="lv-LV"/>
        </w:rPr>
      </w:pPr>
      <w:r w:rsidRPr="006E05C1">
        <w:rPr>
          <w:rStyle w:val="FootnoteReference"/>
          <w:lang w:val="lv-LV"/>
        </w:rPr>
        <w:t>+</w:t>
      </w:r>
      <w:r w:rsidRPr="006E05C1">
        <w:rPr>
          <w:lang w:val="lv-LV"/>
        </w:rPr>
        <w:t xml:space="preserve"> </w:t>
      </w:r>
      <w:r>
        <w:rPr>
          <w:lang w:val="lv-LV"/>
        </w:rPr>
        <w:tab/>
      </w:r>
      <w:r w:rsidRPr="00107EAE">
        <w:rPr>
          <w:b/>
          <w:i/>
          <w:sz w:val="24"/>
          <w:lang w:val="lv-LV"/>
        </w:rPr>
        <w:t>PB: lūgums tekstā ievietot dokumentā (2021/0240(COD) (priekšlikums Regulai, ar ko izveido Iestādi nelikumīgi iegūtu līdzekļu legalizēšanas un terorisma finansēšanas novēršanai – COM(2021)0421 </w:t>
      </w:r>
      <w:proofErr w:type="spellStart"/>
      <w:r w:rsidRPr="00107EAE">
        <w:rPr>
          <w:b/>
          <w:i/>
          <w:sz w:val="24"/>
          <w:lang w:val="lv-LV"/>
        </w:rPr>
        <w:t>final</w:t>
      </w:r>
      <w:proofErr w:type="spellEnd"/>
      <w:r w:rsidRPr="00107EAE">
        <w:rPr>
          <w:b/>
          <w:i/>
          <w:sz w:val="24"/>
          <w:lang w:val="lv-LV"/>
        </w:rPr>
        <w:t>) ietvertās regulas numuru un zemsvītras piezīmē ievietot minētās regulas numuru, datumu, nosaukumu un OV atsauci.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E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E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E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LV"/>
    <w:docVar w:name="dvnumam" w:val="0"/>
    <w:docVar w:name="dvpe" w:val="757.366"/>
    <w:docVar w:name="dvrapporteur" w:val="Referents: "/>
    <w:docVar w:name="dvstar" w:val="***I"/>
    <w:docVar w:name="dvtitre" w:val="Eiropas Parlamenta 2024. gada XX. XXX normatīvā rezolūcija par priekšlikumu Eiropas Parlamenta un Padomes regulai, ar ko Regulas (ES) Nr. 1092/2010, (ES) Nr. 1093/2010, (ES) Nr. 1094/2010, (ES) Nr. 1095/2010 un (ES) 2021/523 groza attiecībā uz dažām ziņošanas prasībām finanšu pakalpojumu un ieguldījumu atbalsta jomā(COM(2023)0593 – C9-0383/2023 – 2023/0363(COD))"/>
  </w:docVars>
  <w:rsids>
    <w:rsidRoot w:val="00AB56E4"/>
    <w:rsid w:val="00002272"/>
    <w:rsid w:val="00064002"/>
    <w:rsid w:val="000677B9"/>
    <w:rsid w:val="000831BA"/>
    <w:rsid w:val="000A42CC"/>
    <w:rsid w:val="000E6B89"/>
    <w:rsid w:val="000E7DD9"/>
    <w:rsid w:val="0010095E"/>
    <w:rsid w:val="00107BF2"/>
    <w:rsid w:val="00107EAE"/>
    <w:rsid w:val="00125B37"/>
    <w:rsid w:val="00187494"/>
    <w:rsid w:val="001F32AE"/>
    <w:rsid w:val="00226B76"/>
    <w:rsid w:val="002767FF"/>
    <w:rsid w:val="002B18FE"/>
    <w:rsid w:val="002B5493"/>
    <w:rsid w:val="002D5168"/>
    <w:rsid w:val="002D6F62"/>
    <w:rsid w:val="00343214"/>
    <w:rsid w:val="00361C00"/>
    <w:rsid w:val="003836A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0C1F"/>
    <w:rsid w:val="006631B6"/>
    <w:rsid w:val="00680577"/>
    <w:rsid w:val="006E05C1"/>
    <w:rsid w:val="006F74FA"/>
    <w:rsid w:val="00730A5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6E4"/>
    <w:rsid w:val="00AB6293"/>
    <w:rsid w:val="00AE0928"/>
    <w:rsid w:val="00AF3B82"/>
    <w:rsid w:val="00B12E95"/>
    <w:rsid w:val="00B22876"/>
    <w:rsid w:val="00B558F0"/>
    <w:rsid w:val="00B70143"/>
    <w:rsid w:val="00B74FA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0C2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AF9BC"/>
  <w15:chartTrackingRefBased/>
  <w15:docId w15:val="{39CB78F9-C9C5-47B4-A410-B146E3348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0C2C"/>
    <w:pPr>
      <w:spacing w:before="480" w:after="240"/>
    </w:pPr>
  </w:style>
  <w:style w:type="paragraph" w:customStyle="1" w:styleId="NormalBold">
    <w:name w:val="NormalBold"/>
    <w:basedOn w:val="Normal"/>
    <w:rsid w:val="00F00C2C"/>
    <w:rPr>
      <w:b/>
    </w:rPr>
  </w:style>
  <w:style w:type="paragraph" w:customStyle="1" w:styleId="NormalBold12a">
    <w:name w:val="NormalBold12a"/>
    <w:basedOn w:val="Normal"/>
    <w:rsid w:val="00F00C2C"/>
    <w:pPr>
      <w:spacing w:after="240"/>
    </w:pPr>
    <w:rPr>
      <w:b/>
    </w:rPr>
  </w:style>
  <w:style w:type="paragraph" w:customStyle="1" w:styleId="NormalHanging12a">
    <w:name w:val="NormalHanging12a"/>
    <w:basedOn w:val="Normal"/>
    <w:rsid w:val="00F00C2C"/>
    <w:pPr>
      <w:spacing w:after="240"/>
      <w:ind w:left="567" w:hanging="567"/>
    </w:pPr>
  </w:style>
  <w:style w:type="paragraph" w:customStyle="1" w:styleId="NormalCenter12a">
    <w:name w:val="NormalCenter12a"/>
    <w:basedOn w:val="Normal"/>
    <w:rsid w:val="00F00C2C"/>
    <w:pPr>
      <w:spacing w:after="240"/>
      <w:jc w:val="center"/>
    </w:pPr>
  </w:style>
  <w:style w:type="paragraph" w:customStyle="1" w:styleId="AmNumberTabs">
    <w:name w:val="AmNumberTabs"/>
    <w:basedOn w:val="Normal"/>
    <w:rsid w:val="00F00C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00C2C"/>
    <w:pPr>
      <w:spacing w:before="720" w:after="240"/>
      <w:jc w:val="center"/>
    </w:pPr>
  </w:style>
  <w:style w:type="paragraph" w:customStyle="1" w:styleId="ManualConsidrant">
    <w:name w:val="Manual Considérant"/>
    <w:basedOn w:val="Normal"/>
    <w:rsid w:val="00F00C2C"/>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Normal"/>
    <w:rsid w:val="00F00C2C"/>
    <w:pPr>
      <w:widowControl/>
      <w:ind w:left="5103"/>
    </w:pPr>
    <w:rPr>
      <w:rFonts w:eastAsiaTheme="minorHAnsi"/>
      <w:szCs w:val="22"/>
      <w:lang w:eastAsia="en-US"/>
    </w:rPr>
  </w:style>
  <w:style w:type="paragraph" w:styleId="BalloonText">
    <w:name w:val="Balloon Text"/>
    <w:basedOn w:val="Normal"/>
    <w:link w:val="BalloonTextChar"/>
    <w:rsid w:val="00B70143"/>
    <w:rPr>
      <w:rFonts w:ascii="Segoe UI" w:hAnsi="Segoe UI" w:cs="Segoe UI"/>
      <w:sz w:val="18"/>
      <w:szCs w:val="18"/>
    </w:rPr>
  </w:style>
  <w:style w:type="character" w:customStyle="1" w:styleId="BalloonTextChar">
    <w:name w:val="Balloon Text Char"/>
    <w:basedOn w:val="DefaultParagraphFont"/>
    <w:link w:val="BalloonText"/>
    <w:rsid w:val="00B70143"/>
    <w:rPr>
      <w:rFonts w:ascii="Segoe UI" w:hAnsi="Segoe UI" w:cs="Segoe UI"/>
      <w:sz w:val="18"/>
      <w:szCs w:val="18"/>
      <w:lang w:val="lv-LV"/>
    </w:rPr>
  </w:style>
  <w:style w:type="paragraph" w:customStyle="1" w:styleId="Normal12Hanging">
    <w:name w:val="Normal12Hanging"/>
    <w:basedOn w:val="Normal"/>
    <w:link w:val="Normal12HangingChar"/>
    <w:rsid w:val="002D6F62"/>
    <w:pPr>
      <w:spacing w:after="240"/>
      <w:ind w:left="357" w:hanging="357"/>
    </w:pPr>
  </w:style>
  <w:style w:type="character" w:customStyle="1" w:styleId="Normal12HangingChar">
    <w:name w:val="Normal12Hanging Char"/>
    <w:basedOn w:val="DefaultParagraphFont"/>
    <w:link w:val="Normal12Hanging"/>
    <w:rsid w:val="002D6F6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1B3E4-DA29-4292-876C-B255E30C5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10733</Words>
  <Characters>70674</Characters>
  <Application>Microsoft Office Word</Application>
  <DocSecurity>4</DocSecurity>
  <Lines>588</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GOROPECNIK Tina</cp:lastModifiedBy>
  <cp:revision>2</cp:revision>
  <cp:lastPrinted>2004-11-19T15:42:00Z</cp:lastPrinted>
  <dcterms:created xsi:type="dcterms:W3CDTF">2024-11-29T09:16:00Z</dcterms:created>
  <dcterms:modified xsi:type="dcterms:W3CDTF">2024-11-29T09:16:00Z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P9_TA(2024)0128_</vt:lpwstr>
  </property>
  <property fmtid="{D5CDD505-2E9C-101B-9397-08002B2CF9AE}" pid="4" name="&lt;Type&gt;">
    <vt:lpwstr>RR</vt:lpwstr>
  </property>
</Properties>
</file>