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7870ED" w:rsidTr="0010095E">
        <w:trPr>
          <w:trHeight w:hRule="exact" w:val="1418"/>
        </w:trPr>
        <w:tc>
          <w:tcPr>
            <w:tcW w:w="6804" w:type="dxa"/>
            <w:shd w:val="clear" w:color="auto" w:fill="auto"/>
            <w:vAlign w:val="center"/>
          </w:tcPr>
          <w:p w:rsidR="00751A4A" w:rsidRPr="007870ED" w:rsidRDefault="00817E87" w:rsidP="0010095E">
            <w:pPr>
              <w:pStyle w:val="EPName"/>
            </w:pPr>
            <w:bookmarkStart w:id="0" w:name="_GoBack"/>
            <w:bookmarkEnd w:id="0"/>
            <w:r w:rsidRPr="007870ED">
              <w:t>Europees Parlement</w:t>
            </w:r>
          </w:p>
          <w:p w:rsidR="00751A4A" w:rsidRPr="007870ED" w:rsidRDefault="00817416" w:rsidP="00756632">
            <w:pPr>
              <w:pStyle w:val="EPTerm"/>
              <w:rPr>
                <w:rStyle w:val="HideTWBExt"/>
                <w:noProof w:val="0"/>
                <w:vanish w:val="0"/>
                <w:color w:val="auto"/>
              </w:rPr>
            </w:pPr>
            <w:r w:rsidRPr="007870ED">
              <w:t>2019-2024</w:t>
            </w:r>
          </w:p>
        </w:tc>
        <w:tc>
          <w:tcPr>
            <w:tcW w:w="2268" w:type="dxa"/>
            <w:shd w:val="clear" w:color="auto" w:fill="auto"/>
          </w:tcPr>
          <w:p w:rsidR="00751A4A" w:rsidRPr="007870ED" w:rsidRDefault="00187494" w:rsidP="0010095E">
            <w:pPr>
              <w:pStyle w:val="EPLogo"/>
            </w:pPr>
            <w:r w:rsidRPr="007870ED">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7870ED" w:rsidRDefault="00D058B8" w:rsidP="004C5D52">
      <w:pPr>
        <w:pStyle w:val="LineTop"/>
      </w:pPr>
    </w:p>
    <w:p w:rsidR="00680577" w:rsidRPr="007870ED" w:rsidRDefault="00817E87" w:rsidP="00680577">
      <w:pPr>
        <w:pStyle w:val="EPBodyTA1"/>
      </w:pPr>
      <w:r w:rsidRPr="007870ED">
        <w:t>AANGENOMEN TEKSTEN</w:t>
      </w:r>
    </w:p>
    <w:p w:rsidR="00D058B8" w:rsidRPr="007870ED" w:rsidRDefault="00D058B8" w:rsidP="00D058B8">
      <w:pPr>
        <w:pStyle w:val="LineBottom"/>
      </w:pPr>
    </w:p>
    <w:p w:rsidR="00817E87" w:rsidRPr="007870ED" w:rsidRDefault="00817E87" w:rsidP="00817E87">
      <w:pPr>
        <w:pStyle w:val="ATHeading1"/>
      </w:pPr>
      <w:bookmarkStart w:id="1" w:name="TANumber"/>
      <w:r w:rsidRPr="007870ED">
        <w:t>P9_</w:t>
      </w:r>
      <w:proofErr w:type="gramStart"/>
      <w:r w:rsidRPr="007870ED">
        <w:t>TA(</w:t>
      </w:r>
      <w:proofErr w:type="gramEnd"/>
      <w:r w:rsidRPr="007870ED">
        <w:t>2024)0</w:t>
      </w:r>
      <w:r w:rsidR="00EF645F" w:rsidRPr="007870ED">
        <w:t>128</w:t>
      </w:r>
      <w:bookmarkEnd w:id="1"/>
    </w:p>
    <w:p w:rsidR="00817E87" w:rsidRPr="007870ED" w:rsidRDefault="00817E87" w:rsidP="00817E87">
      <w:pPr>
        <w:pStyle w:val="ATHeading2"/>
      </w:pPr>
      <w:bookmarkStart w:id="2" w:name="title"/>
      <w:r w:rsidRPr="007870ED">
        <w:t>Wijziging van bepaalde verordeningen op het gebied van financiële diensten en investeringsondersteuning wat betreft bepaalde verslaggevingsverplichtingen</w:t>
      </w:r>
      <w:bookmarkEnd w:id="2"/>
    </w:p>
    <w:p w:rsidR="00817E87" w:rsidRPr="007870ED" w:rsidRDefault="00817E87" w:rsidP="00817E87">
      <w:pPr>
        <w:rPr>
          <w:i/>
          <w:vanish/>
        </w:rPr>
      </w:pPr>
      <w:r w:rsidRPr="007870ED">
        <w:rPr>
          <w:i/>
        </w:rPr>
        <w:fldChar w:fldCharType="begin"/>
      </w:r>
      <w:r w:rsidRPr="007870ED">
        <w:rPr>
          <w:i/>
        </w:rPr>
        <w:instrText xml:space="preserve"> TC"(</w:instrText>
      </w:r>
      <w:bookmarkStart w:id="3" w:name="DocNumber"/>
      <w:r w:rsidRPr="007870ED">
        <w:rPr>
          <w:i/>
        </w:rPr>
        <w:instrText>A9-0026/2024</w:instrText>
      </w:r>
      <w:bookmarkEnd w:id="3"/>
      <w:r w:rsidRPr="007870ED">
        <w:rPr>
          <w:i/>
        </w:rPr>
        <w:instrText xml:space="preserve"> - Rapporteur: Othmar Karas)"\l3 \n&gt; \* MERGEFORMAT </w:instrText>
      </w:r>
      <w:r w:rsidRPr="007870ED">
        <w:rPr>
          <w:i/>
        </w:rPr>
        <w:fldChar w:fldCharType="end"/>
      </w:r>
    </w:p>
    <w:p w:rsidR="00817E87" w:rsidRPr="007870ED" w:rsidRDefault="00817E87" w:rsidP="00817E87">
      <w:pPr>
        <w:rPr>
          <w:vanish/>
        </w:rPr>
      </w:pPr>
      <w:bookmarkStart w:id="4" w:name="Commission"/>
      <w:r w:rsidRPr="007870ED">
        <w:rPr>
          <w:vanish/>
        </w:rPr>
        <w:t>Commissie economische en monetaire zaken</w:t>
      </w:r>
      <w:bookmarkEnd w:id="4"/>
    </w:p>
    <w:p w:rsidR="00817E87" w:rsidRPr="007870ED" w:rsidRDefault="00817E87" w:rsidP="00817E87">
      <w:pPr>
        <w:rPr>
          <w:vanish/>
        </w:rPr>
      </w:pPr>
      <w:bookmarkStart w:id="5" w:name="PE"/>
      <w:r w:rsidRPr="007870ED">
        <w:rPr>
          <w:vanish/>
        </w:rPr>
        <w:t>PE757.366</w:t>
      </w:r>
      <w:bookmarkEnd w:id="5"/>
    </w:p>
    <w:p w:rsidR="00817E87" w:rsidRPr="007870ED" w:rsidRDefault="00817E87" w:rsidP="00817E87">
      <w:pPr>
        <w:pStyle w:val="ATHeading3"/>
      </w:pPr>
      <w:bookmarkStart w:id="6" w:name="Sujet"/>
      <w:r w:rsidRPr="007870ED">
        <w:t xml:space="preserve">Wetgevingsresolutie van het Europees Parlement van </w:t>
      </w:r>
      <w:r w:rsidR="008E7E71" w:rsidRPr="007870ED">
        <w:t xml:space="preserve">12 </w:t>
      </w:r>
      <w:r w:rsidRPr="007870ED">
        <w:t>maart 2024 over het voorstel voor een verordening van het Europees Parlement en de Raad tot wijziging van de Verordeningen (EU) nr. 1092/2010, (EU) nr. 1093/2010, (EU) nr. 1094/2010, (EU) nr. 1095/2010 en (EU) 2021/523 wat betreft bepaalde verslaggevingsverplichtingen op het gebied van financiële diensten en investeringsondersteuning</w:t>
      </w:r>
      <w:bookmarkEnd w:id="6"/>
      <w:r w:rsidRPr="007870ED">
        <w:t xml:space="preserve"> </w:t>
      </w:r>
      <w:bookmarkStart w:id="7" w:name="References"/>
      <w:r w:rsidRPr="007870ED">
        <w:t>(</w:t>
      </w:r>
      <w:proofErr w:type="gramStart"/>
      <w:r w:rsidRPr="007870ED">
        <w:t>COM(</w:t>
      </w:r>
      <w:proofErr w:type="gramEnd"/>
      <w:r w:rsidRPr="007870ED">
        <w:t>2023)0593 – C9-0383/2023 – 2023/0363(COD))</w:t>
      </w:r>
      <w:bookmarkEnd w:id="7"/>
    </w:p>
    <w:p w:rsidR="007870ED" w:rsidRPr="007870ED" w:rsidRDefault="007870ED" w:rsidP="007870ED">
      <w:pPr>
        <w:rPr>
          <w:lang w:eastAsia="fr-FR"/>
        </w:rPr>
      </w:pPr>
      <w:r w:rsidRPr="007870ED">
        <w:rPr>
          <w:b/>
        </w:rPr>
        <w:t>(Gewone wetgevingsprocedure: eerste lezing)</w:t>
      </w:r>
    </w:p>
    <w:p w:rsidR="0015189C" w:rsidRPr="007870ED" w:rsidRDefault="0015189C" w:rsidP="0015189C">
      <w:pPr>
        <w:pStyle w:val="EPComma"/>
      </w:pPr>
      <w:bookmarkStart w:id="8" w:name="TextBodyBegin"/>
      <w:bookmarkEnd w:id="8"/>
      <w:r w:rsidRPr="007870ED">
        <w:rPr>
          <w:i/>
          <w:iCs/>
        </w:rPr>
        <w:t>Het Europees Parlement</w:t>
      </w:r>
      <w:r w:rsidRPr="007870ED">
        <w:t>,</w:t>
      </w:r>
    </w:p>
    <w:p w:rsidR="0015189C" w:rsidRPr="007870ED" w:rsidRDefault="0015189C" w:rsidP="0015189C">
      <w:pPr>
        <w:pStyle w:val="NormalHanging12a"/>
      </w:pPr>
      <w:r w:rsidRPr="007870ED">
        <w:t>–</w:t>
      </w:r>
      <w:r w:rsidRPr="007870ED">
        <w:tab/>
        <w:t>gezien het voorstel van de Commissie aan het Parlement en de Raad (</w:t>
      </w:r>
      <w:proofErr w:type="gramStart"/>
      <w:r w:rsidRPr="007870ED">
        <w:t>COM(</w:t>
      </w:r>
      <w:proofErr w:type="gramEnd"/>
      <w:r w:rsidRPr="007870ED">
        <w:t>2023)0593),</w:t>
      </w:r>
    </w:p>
    <w:p w:rsidR="0015189C" w:rsidRPr="007870ED" w:rsidRDefault="0015189C" w:rsidP="0015189C">
      <w:pPr>
        <w:pStyle w:val="NormalHanging12a"/>
      </w:pPr>
      <w:r w:rsidRPr="007870ED">
        <w:t>–</w:t>
      </w:r>
      <w:r w:rsidRPr="007870ED">
        <w:tab/>
        <w:t xml:space="preserve">gezien artikel 294, lid 2, </w:t>
      </w:r>
      <w:proofErr w:type="gramStart"/>
      <w:r w:rsidRPr="007870ED">
        <w:t>de</w:t>
      </w:r>
      <w:proofErr w:type="gramEnd"/>
      <w:r w:rsidRPr="007870ED">
        <w:t xml:space="preserve"> artikel 114 en 173 en artikel 175, derde alinea, van het Verdrag betreffende de werking van de Europese Unie, op grond waarvan het voorstel door de Commissie bij het Parlement is ingediend (C9</w:t>
      </w:r>
      <w:r w:rsidRPr="007870ED">
        <w:noBreakHyphen/>
        <w:t>0383/2023),</w:t>
      </w:r>
    </w:p>
    <w:p w:rsidR="0015189C" w:rsidRPr="007870ED" w:rsidRDefault="0015189C" w:rsidP="0015189C">
      <w:pPr>
        <w:pStyle w:val="NormalHanging12a"/>
      </w:pPr>
      <w:r w:rsidRPr="007870ED">
        <w:t>–</w:t>
      </w:r>
      <w:r w:rsidRPr="007870ED">
        <w:tab/>
        <w:t>gezien artikel 294, lid 3, van het Verdrag betreffende de werking van de Europese Unie,</w:t>
      </w:r>
    </w:p>
    <w:p w:rsidR="00721702" w:rsidRPr="007870ED" w:rsidRDefault="00721702" w:rsidP="0015189C">
      <w:pPr>
        <w:pStyle w:val="NormalHanging12a"/>
      </w:pPr>
      <w:r w:rsidRPr="007870ED">
        <w:t>–</w:t>
      </w:r>
      <w:r w:rsidRPr="007870ED">
        <w:tab/>
        <w:t>gezien het advies van het Europees Economisch en Sociaal Comité van 14 februari 2024</w:t>
      </w:r>
      <w:r w:rsidRPr="007870ED">
        <w:rPr>
          <w:rStyle w:val="FootnoteReference"/>
        </w:rPr>
        <w:footnoteReference w:id="1"/>
      </w:r>
      <w:r w:rsidRPr="007870ED">
        <w:t>,</w:t>
      </w:r>
    </w:p>
    <w:p w:rsidR="0015189C" w:rsidRPr="007870ED" w:rsidRDefault="0015189C" w:rsidP="0015189C">
      <w:pPr>
        <w:pStyle w:val="NormalHanging12a"/>
      </w:pPr>
      <w:r w:rsidRPr="007870ED">
        <w:t>–</w:t>
      </w:r>
      <w:r w:rsidRPr="007870ED">
        <w:tab/>
      </w:r>
      <w:r w:rsidR="008E7E71" w:rsidRPr="007870ED">
        <w:t>na raadpleging</w:t>
      </w:r>
      <w:r w:rsidRPr="007870ED">
        <w:t xml:space="preserve"> van het Comité van de Regio’s,</w:t>
      </w:r>
    </w:p>
    <w:p w:rsidR="0015189C" w:rsidRPr="007870ED" w:rsidRDefault="0015189C" w:rsidP="0015189C">
      <w:pPr>
        <w:pStyle w:val="NormalHanging12a"/>
      </w:pPr>
      <w:r w:rsidRPr="007870ED">
        <w:t>–</w:t>
      </w:r>
      <w:r w:rsidRPr="007870ED">
        <w:tab/>
        <w:t>gezien artikel 59 van zijn Reglement,</w:t>
      </w:r>
    </w:p>
    <w:p w:rsidR="0015189C" w:rsidRPr="007870ED" w:rsidRDefault="0015189C" w:rsidP="0015189C">
      <w:pPr>
        <w:pStyle w:val="NormalHanging12a"/>
      </w:pPr>
      <w:r w:rsidRPr="007870ED">
        <w:t>–</w:t>
      </w:r>
      <w:r w:rsidRPr="007870ED">
        <w:tab/>
        <w:t>gezien het verslag van de Commissie economische en monetaire zaken (A9-0026/2024),</w:t>
      </w:r>
    </w:p>
    <w:p w:rsidR="0015189C" w:rsidRPr="007870ED" w:rsidRDefault="0015189C" w:rsidP="0015189C">
      <w:pPr>
        <w:pStyle w:val="NormalHanging12a"/>
      </w:pPr>
      <w:r w:rsidRPr="007870ED">
        <w:t>1.</w:t>
      </w:r>
      <w:r w:rsidRPr="007870ED">
        <w:tab/>
        <w:t>stelt onderstaand standpunt in eerste lezing vast;</w:t>
      </w:r>
    </w:p>
    <w:p w:rsidR="0015189C" w:rsidRPr="007870ED" w:rsidRDefault="0015189C" w:rsidP="0015189C">
      <w:pPr>
        <w:pStyle w:val="NormalHanging12a"/>
      </w:pPr>
      <w:r w:rsidRPr="007870ED">
        <w:t>2.</w:t>
      </w:r>
      <w:r w:rsidRPr="007870ED">
        <w:tab/>
        <w:t xml:space="preserve">verzoekt de Commissie om hernieuwde voorlegging aan het Parlement indien zij haar </w:t>
      </w:r>
      <w:r w:rsidRPr="007870ED">
        <w:lastRenderedPageBreak/>
        <w:t>voorstel vervangt, ingrijpend wijzigt of voornemens is het ingrijpend te wijzigen;</w:t>
      </w:r>
    </w:p>
    <w:p w:rsidR="0015189C" w:rsidRPr="007870ED" w:rsidRDefault="0015189C" w:rsidP="0015189C">
      <w:pPr>
        <w:pStyle w:val="NormalHanging12a"/>
      </w:pPr>
      <w:r w:rsidRPr="007870ED">
        <w:t>3.</w:t>
      </w:r>
      <w:r w:rsidRPr="007870ED">
        <w:tab/>
        <w:t>verzoekt zijn Voorzitter het standpunt van het Parlement te doen toekomen aan de Raad en aan de Commissie alsmede aan de nationale parlementen.</w:t>
      </w:r>
    </w:p>
    <w:p w:rsidR="0015189C" w:rsidRPr="007870ED" w:rsidRDefault="0015189C" w:rsidP="0015189C">
      <w:pPr>
        <w:pStyle w:val="NormalHanging12a"/>
      </w:pPr>
    </w:p>
    <w:p w:rsidR="00B35DA1" w:rsidRPr="007870ED" w:rsidRDefault="00B35DA1">
      <w:pPr>
        <w:widowControl/>
        <w:sectPr w:rsidR="00B35DA1" w:rsidRPr="007870ED" w:rsidSect="007F4B78">
          <w:footnotePr>
            <w:numRestart w:val="eachSect"/>
          </w:footnotePr>
          <w:endnotePr>
            <w:numFmt w:val="decimal"/>
          </w:endnotePr>
          <w:pgSz w:w="11906" w:h="16838" w:code="9"/>
          <w:pgMar w:top="1134" w:right="1418" w:bottom="1418" w:left="1418" w:header="1134" w:footer="567" w:gutter="0"/>
          <w:cols w:space="720"/>
          <w:noEndnote/>
          <w:docGrid w:linePitch="326"/>
        </w:sectPr>
      </w:pPr>
    </w:p>
    <w:p w:rsidR="00C1439F" w:rsidRPr="007870ED" w:rsidRDefault="00C1439F" w:rsidP="00C1439F">
      <w:pPr>
        <w:pStyle w:val="AmNumberTabs"/>
        <w:keepNext/>
      </w:pPr>
      <w:r w:rsidRPr="007870ED">
        <w:lastRenderedPageBreak/>
        <w:t>P9_TC1-</w:t>
      </w:r>
      <w:proofErr w:type="gramStart"/>
      <w:r w:rsidRPr="007870ED">
        <w:t>COD(</w:t>
      </w:r>
      <w:proofErr w:type="gramEnd"/>
      <w:r w:rsidRPr="007870ED">
        <w:t>2023)0363</w:t>
      </w:r>
    </w:p>
    <w:p w:rsidR="0015189C" w:rsidRPr="007870ED" w:rsidRDefault="00C1439F" w:rsidP="00C1439F">
      <w:pPr>
        <w:widowControl/>
        <w:spacing w:before="360" w:after="360"/>
        <w:rPr>
          <w:rFonts w:eastAsia="Calibri"/>
          <w:b/>
          <w:noProof/>
          <w:szCs w:val="22"/>
        </w:rPr>
      </w:pPr>
      <w:r w:rsidRPr="007870ED">
        <w:rPr>
          <w:b/>
        </w:rPr>
        <w:t xml:space="preserve">Standpunt van het Europees Parlement in eerste lezing vastgesteld op 12 maart 2024 met het oog op de vaststelling van Verordening (EU) 2024/... van het Europees Parlement en de Raad </w:t>
      </w:r>
      <w:r w:rsidR="0015189C" w:rsidRPr="007870ED">
        <w:rPr>
          <w:b/>
        </w:rPr>
        <w:t>tot wijziging van de Verordeningen (EU) nr. 1092/2010, (EU) nr. 1093/2010, (EU) nr. 1094/2010, (EU) nr. 1095/2010 en (EU) 2021/523 wat betreft bepaalde verslaggevingsverplichtingen op het gebied van financiële diensten en investeringsondersteuning</w:t>
      </w:r>
      <w:r w:rsidR="003117D7" w:rsidRPr="007870ED">
        <w:rPr>
          <w:rStyle w:val="FootnoteReference"/>
          <w:b/>
        </w:rPr>
        <w:footnoteReference w:customMarkFollows="1" w:id="2"/>
        <w:t>*</w:t>
      </w:r>
    </w:p>
    <w:p w:rsidR="0015189C" w:rsidRPr="007870ED" w:rsidRDefault="0015189C" w:rsidP="0015189C">
      <w:pPr>
        <w:widowControl/>
        <w:spacing w:before="360" w:after="240"/>
        <w:jc w:val="center"/>
        <w:rPr>
          <w:rFonts w:eastAsia="Calibri"/>
          <w:noProof/>
          <w:szCs w:val="22"/>
        </w:rPr>
      </w:pPr>
      <w:r w:rsidRPr="007870ED">
        <w:t xml:space="preserve">(Voor de </w:t>
      </w:r>
      <w:proofErr w:type="gramStart"/>
      <w:r w:rsidRPr="007870ED">
        <w:t>EER</w:t>
      </w:r>
      <w:proofErr w:type="gramEnd"/>
      <w:r w:rsidRPr="007870ED">
        <w:t xml:space="preserve"> relevante tekst)</w:t>
      </w:r>
    </w:p>
    <w:p w:rsidR="0015189C" w:rsidRPr="007870ED" w:rsidRDefault="0015189C" w:rsidP="0015189C">
      <w:pPr>
        <w:keepNext/>
        <w:widowControl/>
        <w:spacing w:before="600" w:after="120"/>
        <w:jc w:val="both"/>
        <w:rPr>
          <w:rFonts w:eastAsia="Calibri"/>
          <w:noProof/>
          <w:szCs w:val="22"/>
        </w:rPr>
      </w:pPr>
      <w:r w:rsidRPr="007870ED">
        <w:t>HET EUROPEES PARLEMENT EN DE RAAD VAN DE EUROPESE UNIE,</w:t>
      </w:r>
    </w:p>
    <w:p w:rsidR="0015189C" w:rsidRPr="007870ED" w:rsidRDefault="0015189C" w:rsidP="0015189C">
      <w:pPr>
        <w:widowControl/>
        <w:spacing w:before="120" w:after="120"/>
        <w:jc w:val="both"/>
        <w:rPr>
          <w:rFonts w:eastAsia="Calibri"/>
          <w:noProof/>
          <w:szCs w:val="22"/>
        </w:rPr>
      </w:pPr>
      <w:r w:rsidRPr="007870ED">
        <w:t xml:space="preserve">Gezien het Verdrag betreffende de werking van de Europese Unie, en met name artikel 114, artikel 173 en artikel 175, derde alinea, </w:t>
      </w:r>
    </w:p>
    <w:p w:rsidR="0015189C" w:rsidRPr="007870ED" w:rsidRDefault="0015189C" w:rsidP="0015189C">
      <w:pPr>
        <w:widowControl/>
        <w:spacing w:before="120" w:after="120"/>
        <w:jc w:val="both"/>
        <w:rPr>
          <w:rFonts w:eastAsia="Calibri"/>
          <w:noProof/>
          <w:szCs w:val="22"/>
        </w:rPr>
      </w:pPr>
      <w:r w:rsidRPr="007870ED">
        <w:t xml:space="preserve">Gezien het voorstel van de Europese Commissie, </w:t>
      </w:r>
    </w:p>
    <w:p w:rsidR="0015189C" w:rsidRPr="007870ED" w:rsidRDefault="0015189C" w:rsidP="0015189C">
      <w:pPr>
        <w:widowControl/>
        <w:spacing w:before="120" w:after="120"/>
        <w:jc w:val="both"/>
        <w:rPr>
          <w:rFonts w:eastAsia="Calibri"/>
          <w:noProof/>
          <w:szCs w:val="22"/>
        </w:rPr>
      </w:pPr>
      <w:r w:rsidRPr="007870ED">
        <w:t xml:space="preserve">Na toezending van het ontwerp van wetgevingshandeling aan de nationale parlementen, </w:t>
      </w:r>
    </w:p>
    <w:p w:rsidR="0015189C" w:rsidRPr="007870ED" w:rsidRDefault="0015189C" w:rsidP="0015189C">
      <w:pPr>
        <w:widowControl/>
        <w:spacing w:before="120" w:after="120"/>
        <w:jc w:val="both"/>
        <w:rPr>
          <w:rFonts w:eastAsia="Calibri"/>
          <w:noProof/>
          <w:szCs w:val="22"/>
        </w:rPr>
      </w:pPr>
      <w:r w:rsidRPr="007870ED">
        <w:t>Gezien het advies van het Europees Economisch en Sociaal Comité</w:t>
      </w:r>
      <w:r w:rsidRPr="007870ED">
        <w:rPr>
          <w:rFonts w:eastAsia="Calibri"/>
          <w:noProof/>
          <w:szCs w:val="22"/>
          <w:vertAlign w:val="superscript"/>
          <w:lang w:eastAsia="en-US"/>
        </w:rPr>
        <w:footnoteReference w:id="3"/>
      </w:r>
      <w:r w:rsidRPr="007870ED">
        <w:t xml:space="preserve">, </w:t>
      </w:r>
    </w:p>
    <w:p w:rsidR="0015189C" w:rsidRPr="007870ED" w:rsidRDefault="0015189C" w:rsidP="0015189C">
      <w:pPr>
        <w:widowControl/>
        <w:spacing w:before="120" w:after="120"/>
        <w:jc w:val="both"/>
        <w:rPr>
          <w:rFonts w:eastAsia="Calibri"/>
          <w:noProof/>
          <w:szCs w:val="22"/>
        </w:rPr>
      </w:pPr>
      <w:r w:rsidRPr="007870ED">
        <w:t>Gezien het advies van het Comité van de Regio’s</w:t>
      </w:r>
      <w:r w:rsidRPr="007870ED">
        <w:rPr>
          <w:rFonts w:eastAsia="Calibri"/>
          <w:noProof/>
          <w:szCs w:val="22"/>
          <w:vertAlign w:val="superscript"/>
          <w:lang w:eastAsia="en-US"/>
        </w:rPr>
        <w:footnoteReference w:id="4"/>
      </w:r>
      <w:r w:rsidRPr="007870ED">
        <w:t xml:space="preserve">, </w:t>
      </w:r>
    </w:p>
    <w:p w:rsidR="0015189C" w:rsidRPr="007870ED" w:rsidRDefault="0015189C" w:rsidP="0015189C">
      <w:pPr>
        <w:widowControl/>
        <w:spacing w:before="120" w:after="120"/>
        <w:jc w:val="both"/>
        <w:rPr>
          <w:rFonts w:eastAsia="Calibri"/>
          <w:noProof/>
          <w:szCs w:val="22"/>
        </w:rPr>
      </w:pPr>
      <w:r w:rsidRPr="007870ED">
        <w:t xml:space="preserve">Handelend volgens de gewone wetgevingsprocedure, </w:t>
      </w:r>
    </w:p>
    <w:p w:rsidR="0015189C" w:rsidRPr="007870ED" w:rsidRDefault="0015189C" w:rsidP="0015189C">
      <w:pPr>
        <w:widowControl/>
        <w:spacing w:before="120" w:after="120"/>
        <w:jc w:val="both"/>
        <w:rPr>
          <w:rFonts w:eastAsia="Calibri"/>
          <w:noProof/>
          <w:szCs w:val="22"/>
        </w:rPr>
      </w:pPr>
      <w:r w:rsidRPr="007870ED">
        <w:t>Overwegende hetgeen volgt:</w:t>
      </w:r>
    </w:p>
    <w:p w:rsidR="0015189C" w:rsidRPr="007870ED" w:rsidRDefault="0015189C" w:rsidP="0015189C">
      <w:pPr>
        <w:pStyle w:val="ManualConsidrant"/>
      </w:pPr>
      <w:r w:rsidRPr="007870ED">
        <w:t>(1)</w:t>
      </w:r>
      <w:r w:rsidRPr="007870ED">
        <w:tab/>
      </w:r>
      <w:r w:rsidRPr="007870ED">
        <w:rPr>
          <w:b/>
          <w:bCs/>
          <w:i/>
          <w:iCs/>
        </w:rPr>
        <w:t>Verslaggevings- en openbaarmakingsvereisten</w:t>
      </w:r>
      <w:r w:rsidRPr="007870ED">
        <w:t xml:space="preserve"> zijn van essentieel belang voor een goede monitoring en correcte handhaving van wetgeving. Het is echter van belang om deze vereisten te stroomlijnen zodat deze beantwoorden aan het daarmee beoogde doel, ▌om de regeldruk te beperken </w:t>
      </w:r>
      <w:r w:rsidRPr="007870ED">
        <w:rPr>
          <w:b/>
          <w:bCs/>
          <w:i/>
          <w:iCs/>
        </w:rPr>
        <w:t>en om onnodige overlappingen te voorkomen, niet in de laatste plaats voor de regelgevende en toezichthoudende autoriteiten van kleinere financiële rechtsgebieden</w:t>
      </w:r>
      <w:r w:rsidRPr="007870ED">
        <w:t>.</w:t>
      </w:r>
      <w:r w:rsidRPr="007870ED">
        <w:rPr>
          <w:b/>
        </w:rPr>
        <w:t xml:space="preserve"> </w:t>
      </w:r>
      <w:r w:rsidRPr="007870ED">
        <w:rPr>
          <w:b/>
          <w:i/>
          <w:iCs/>
        </w:rPr>
        <w:t>Verslaggevings- en openbaarmakingsvereiste</w:t>
      </w:r>
      <w:r w:rsidRPr="007870ED">
        <w:rPr>
          <w:b/>
          <w:i/>
        </w:rPr>
        <w:t>n kunnen entiteiten, in het bijzonder kleine en middelgrote ondernemingen of micro-ondernemingen, ook opzadelen met onevenredige lasten.</w:t>
      </w:r>
    </w:p>
    <w:p w:rsidR="0015189C" w:rsidRPr="007870ED" w:rsidRDefault="0015189C" w:rsidP="0015189C">
      <w:pPr>
        <w:pStyle w:val="ManualConsidrant"/>
        <w:rPr>
          <w:noProof/>
        </w:rPr>
      </w:pPr>
      <w:r w:rsidRPr="007870ED">
        <w:t>(2)</w:t>
      </w:r>
      <w:r w:rsidRPr="007870ED">
        <w:tab/>
        <w:t xml:space="preserve">Daarom </w:t>
      </w:r>
      <w:r w:rsidRPr="007870ED">
        <w:rPr>
          <w:b/>
          <w:bCs/>
          <w:i/>
          <w:iCs/>
        </w:rPr>
        <w:t>zijn</w:t>
      </w:r>
      <w:r w:rsidRPr="007870ED">
        <w:t xml:space="preserve"> de stroomlijning van verslaggevingsverplichtingen en de terugdringing van regeldruk zonder beleidsdoelstellingen te ondermijnen </w:t>
      </w:r>
      <w:r w:rsidRPr="007870ED">
        <w:rPr>
          <w:b/>
          <w:bCs/>
          <w:i/>
          <w:iCs/>
        </w:rPr>
        <w:t>prioriteiten</w:t>
      </w:r>
      <w:r w:rsidRPr="007870ED">
        <w:t>, onder meer wat betreft verslaggevingsverplichtingen in de financiële sector en de verslaggevingsfrequentie voor het op grond van Verordening (EU) 2021/523 van het Europees Parlement en de Raad</w:t>
      </w:r>
      <w:r w:rsidRPr="007870ED">
        <w:rPr>
          <w:rStyle w:val="FootnoteReference"/>
          <w:noProof/>
        </w:rPr>
        <w:footnoteReference w:id="5"/>
      </w:r>
      <w:r w:rsidRPr="007870ED">
        <w:t xml:space="preserve"> ingestelde </w:t>
      </w:r>
      <w:proofErr w:type="spellStart"/>
      <w:r w:rsidRPr="007870ED">
        <w:t>InvestEU</w:t>
      </w:r>
      <w:proofErr w:type="spellEnd"/>
      <w:r w:rsidRPr="007870ED">
        <w:t>-programma.</w:t>
      </w:r>
    </w:p>
    <w:p w:rsidR="0015189C" w:rsidRPr="007870ED" w:rsidRDefault="0015189C" w:rsidP="0015189C">
      <w:pPr>
        <w:pStyle w:val="ManualConsidrant"/>
        <w:rPr>
          <w:noProof/>
        </w:rPr>
      </w:pPr>
      <w:r w:rsidRPr="007870ED">
        <w:rPr>
          <w:lang w:val="sv-SE"/>
        </w:rPr>
        <w:lastRenderedPageBreak/>
        <w:t>(3)</w:t>
      </w:r>
      <w:r w:rsidRPr="007870ED">
        <w:rPr>
          <w:lang w:val="sv-SE"/>
        </w:rPr>
        <w:tab/>
        <w:t xml:space="preserve">De </w:t>
      </w:r>
      <w:proofErr w:type="spellStart"/>
      <w:r w:rsidRPr="007870ED">
        <w:rPr>
          <w:lang w:val="sv-SE"/>
        </w:rPr>
        <w:t>Verordeningen</w:t>
      </w:r>
      <w:proofErr w:type="spellEnd"/>
      <w:r w:rsidRPr="007870ED">
        <w:rPr>
          <w:lang w:val="sv-SE"/>
        </w:rPr>
        <w:t xml:space="preserve"> (EU) nr. 1092/2010</w:t>
      </w:r>
      <w:r w:rsidRPr="007870ED">
        <w:rPr>
          <w:rStyle w:val="FootnoteReference"/>
          <w:noProof/>
        </w:rPr>
        <w:footnoteReference w:id="6"/>
      </w:r>
      <w:r w:rsidRPr="007870ED">
        <w:rPr>
          <w:lang w:val="sv-SE"/>
        </w:rPr>
        <w:t>, (EU) nr. 1093/2010</w:t>
      </w:r>
      <w:r w:rsidRPr="007870ED">
        <w:rPr>
          <w:rStyle w:val="FootnoteReference"/>
          <w:noProof/>
        </w:rPr>
        <w:footnoteReference w:id="7"/>
      </w:r>
      <w:r w:rsidRPr="007870ED">
        <w:rPr>
          <w:lang w:val="sv-SE"/>
        </w:rPr>
        <w:t>, (EU) nr. 1094/2010</w:t>
      </w:r>
      <w:r w:rsidRPr="007870ED">
        <w:rPr>
          <w:rStyle w:val="FootnoteReference"/>
          <w:noProof/>
        </w:rPr>
        <w:footnoteReference w:id="8"/>
      </w:r>
      <w:r w:rsidRPr="007870ED">
        <w:rPr>
          <w:lang w:val="sv-SE"/>
        </w:rPr>
        <w:t>, (EU) nr. 1095/2010</w:t>
      </w:r>
      <w:r w:rsidRPr="007870ED">
        <w:rPr>
          <w:rStyle w:val="FootnoteReference"/>
          <w:noProof/>
        </w:rPr>
        <w:footnoteReference w:id="9"/>
      </w:r>
      <w:r w:rsidRPr="007870ED">
        <w:rPr>
          <w:b/>
          <w:bCs/>
          <w:i/>
          <w:iCs/>
          <w:lang w:val="sv-SE"/>
        </w:rPr>
        <w:t>, (EU) nr. 806/2014</w:t>
      </w:r>
      <w:r w:rsidR="00B35DA1" w:rsidRPr="007870ED">
        <w:rPr>
          <w:rStyle w:val="FootnoteReference"/>
          <w:b/>
          <w:bCs/>
          <w:i/>
          <w:iCs/>
          <w:lang w:val="sv-SE"/>
        </w:rPr>
        <w:footnoteReference w:id="10"/>
      </w:r>
      <w:r w:rsidRPr="007870ED">
        <w:rPr>
          <w:b/>
          <w:bCs/>
          <w:i/>
          <w:iCs/>
          <w:lang w:val="sv-SE"/>
        </w:rPr>
        <w:t xml:space="preserve"> en (EU) …/…</w:t>
      </w:r>
      <w:r w:rsidR="00B35DA1" w:rsidRPr="007870ED">
        <w:rPr>
          <w:rStyle w:val="FootnoteReference"/>
          <w:b/>
          <w:bCs/>
          <w:i/>
          <w:iCs/>
          <w:lang w:val="sv-SE"/>
        </w:rPr>
        <w:footnoteReference w:customMarkFollows="1" w:id="11"/>
        <w:t>+</w:t>
      </w:r>
      <w:r w:rsidRPr="007870ED">
        <w:rPr>
          <w:lang w:val="sv-SE"/>
        </w:rPr>
        <w:t xml:space="preserve"> </w:t>
      </w:r>
      <w:r w:rsidRPr="007870ED">
        <w:t xml:space="preserve">van het Europees Parlement en de Raad, </w:t>
      </w:r>
      <w:r w:rsidRPr="007870ED">
        <w:rPr>
          <w:b/>
          <w:bCs/>
          <w:i/>
          <w:iCs/>
        </w:rPr>
        <w:t>Verordening (EU) nr. 1024/2013 van de Raad</w:t>
      </w:r>
      <w:r w:rsidR="00B35DA1" w:rsidRPr="007870ED">
        <w:rPr>
          <w:rStyle w:val="FootnoteReference"/>
          <w:b/>
          <w:bCs/>
          <w:i/>
          <w:iCs/>
        </w:rPr>
        <w:footnoteReference w:id="12"/>
      </w:r>
      <w:r w:rsidRPr="007870ED">
        <w:t xml:space="preserve"> en Verordening (EU) 2021/523 bevatten een aantal </w:t>
      </w:r>
      <w:r w:rsidRPr="007870ED">
        <w:rPr>
          <w:b/>
          <w:bCs/>
          <w:i/>
          <w:iCs/>
        </w:rPr>
        <w:t>verslaggevings- en openbaarmakingsverplichtingen</w:t>
      </w:r>
      <w:r w:rsidRPr="007870ED">
        <w:t xml:space="preserve"> die</w:t>
      </w:r>
      <w:r w:rsidRPr="007870ED">
        <w:rPr>
          <w:b/>
          <w:bCs/>
          <w:i/>
          <w:iCs/>
        </w:rPr>
        <w:t>, althans kwalitatief eerder dan kwantitatief gezien,</w:t>
      </w:r>
      <w:r w:rsidRPr="007870ED">
        <w:t xml:space="preserve"> moeten worden vereenvoudigd, in lijn met de mededeling van de Commissie “Concurrentievermogen van de EU op lange termijn: blik op de periode na 2030”</w:t>
      </w:r>
      <w:r w:rsidRPr="007870ED">
        <w:rPr>
          <w:rStyle w:val="FootnoteReference"/>
          <w:noProof/>
        </w:rPr>
        <w:footnoteReference w:id="13"/>
      </w:r>
      <w:r w:rsidRPr="007870ED">
        <w:t>.</w:t>
      </w:r>
    </w:p>
    <w:p w:rsidR="0015189C" w:rsidRPr="007870ED" w:rsidRDefault="0015189C" w:rsidP="0015189C">
      <w:pPr>
        <w:pStyle w:val="ManualConsidrant"/>
      </w:pPr>
      <w:r w:rsidRPr="007870ED">
        <w:rPr>
          <w:b/>
          <w:i/>
        </w:rPr>
        <w:t>(3 bis)</w:t>
      </w:r>
      <w:r w:rsidRPr="007870ED">
        <w:rPr>
          <w:b/>
          <w:i/>
        </w:rPr>
        <w:tab/>
        <w:t>Deze kwalitatieve exercitie is niet bedoeld om beleidsresultaten van de Unie te ondermijnen en erkent bovendien de groeiende vraag naar gegevens die nodig zijn om de doelstellingen van de wetgevingshandelingen met betrekking tot de agenda voor duurzame financiering te verwezenlijken. Toch kunnen consistentie en standaardisering in alle rechtskaders en rechtsgebieden en in de loop van de tijd de verplichtingen werkbaarder maken zonder de eigenlijke inhoud van de verslaggevingsnormen aan te tasten.</w:t>
      </w:r>
    </w:p>
    <w:p w:rsidR="0015189C" w:rsidRPr="007870ED" w:rsidRDefault="0015189C" w:rsidP="0015189C">
      <w:pPr>
        <w:pStyle w:val="ManualConsidrant"/>
        <w:rPr>
          <w:b/>
          <w:i/>
        </w:rPr>
      </w:pPr>
      <w:r w:rsidRPr="007870ED">
        <w:rPr>
          <w:b/>
          <w:i/>
        </w:rPr>
        <w:t>(3 ter)</w:t>
      </w:r>
      <w:r w:rsidRPr="007870ED">
        <w:rPr>
          <w:b/>
          <w:i/>
        </w:rPr>
        <w:tab/>
        <w:t xml:space="preserve">De verschillen in gegevens tussen de lidstaten moeten ook op kwalitatieve wijze worden geanalyseerd. In het bijzonder zijn sommige wetgevingshandelingen van de </w:t>
      </w:r>
      <w:r w:rsidRPr="007870ED">
        <w:rPr>
          <w:b/>
          <w:i/>
        </w:rPr>
        <w:lastRenderedPageBreak/>
        <w:t xml:space="preserve">Unie op grond van hun rechtsgrondslag bedoeld om in gedeeltelijke of minimale harmonisering te voorzien. Bovendien zijn sommige verslaggevingsnormen vrijwillig of volgen ze een </w:t>
      </w:r>
      <w:proofErr w:type="spellStart"/>
      <w:r w:rsidRPr="007870ED">
        <w:rPr>
          <w:b/>
          <w:i/>
        </w:rPr>
        <w:t>opt</w:t>
      </w:r>
      <w:proofErr w:type="spellEnd"/>
      <w:r w:rsidRPr="007870ED">
        <w:rPr>
          <w:b/>
          <w:i/>
        </w:rPr>
        <w:t xml:space="preserve">-inregeling. De lidstaten kunnen ook best </w:t>
      </w:r>
      <w:proofErr w:type="spellStart"/>
      <w:r w:rsidRPr="007870ED">
        <w:rPr>
          <w:b/>
          <w:i/>
        </w:rPr>
        <w:t>practices</w:t>
      </w:r>
      <w:proofErr w:type="spellEnd"/>
      <w:r w:rsidRPr="007870ED">
        <w:rPr>
          <w:b/>
          <w:i/>
        </w:rPr>
        <w:t xml:space="preserve"> ontwikkelen of vooroplopen met verslaggevingsverplichtingen, mits zij zich houden aan de vereisten die in de wetgevingshandelingen van de Unie zijn vastgelegd.</w:t>
      </w:r>
    </w:p>
    <w:p w:rsidR="0015189C" w:rsidRPr="007870ED" w:rsidRDefault="0015189C" w:rsidP="0015189C">
      <w:pPr>
        <w:pStyle w:val="ManualConsidrant"/>
        <w:rPr>
          <w:b/>
          <w:i/>
        </w:rPr>
      </w:pPr>
      <w:r w:rsidRPr="007870ED">
        <w:t>(4)</w:t>
      </w:r>
      <w:r w:rsidRPr="007870ED">
        <w:tab/>
        <w:t>Financiële instellingen en andere entiteiten die op financiële markten actief zijn, moeten een breed scala informatie rapporteren zodat de autoriteiten van de Unie en de lidstaten die toezien op het financiële bestel, risico’s kunnen monitoren, de financiële stabiliteit en marktintegriteit kunnen garanderen en beleggers en consumenten van financiële diensten in de Unie kunnen beschermen. De Europese toezichthoudende autoriteiten (</w:t>
      </w:r>
      <w:proofErr w:type="spellStart"/>
      <w:r w:rsidRPr="007870ED">
        <w:t>ESA’s</w:t>
      </w:r>
      <w:proofErr w:type="spellEnd"/>
      <w:r w:rsidRPr="007870ED">
        <w:t xml:space="preserve">) </w:t>
      </w:r>
      <w:r w:rsidRPr="007870ED">
        <w:rPr>
          <w:b/>
          <w:bCs/>
          <w:i/>
          <w:iCs/>
        </w:rPr>
        <w:t>en de Europese Autoriteit voor de bestrijding van witwassen (AMLA)</w:t>
      </w:r>
      <w:r w:rsidRPr="007870ED">
        <w:t xml:space="preserve"> moeten regelmatig de </w:t>
      </w:r>
      <w:r w:rsidRPr="007870ED">
        <w:rPr>
          <w:b/>
          <w:bCs/>
          <w:i/>
          <w:iCs/>
        </w:rPr>
        <w:t>verslaggevings- en openbaarmakingsverplichtingen</w:t>
      </w:r>
      <w:r w:rsidRPr="007870ED">
        <w:t xml:space="preserve"> herzien en in voorkomend geval met voorstellen komen om overbodige</w:t>
      </w:r>
      <w:r w:rsidRPr="007870ED">
        <w:rPr>
          <w:b/>
          <w:bCs/>
          <w:i/>
          <w:iCs/>
        </w:rPr>
        <w:t>,</w:t>
      </w:r>
      <w:r w:rsidRPr="007870ED">
        <w:t xml:space="preserve"> achterhaalde </w:t>
      </w:r>
      <w:r w:rsidRPr="007870ED">
        <w:rPr>
          <w:b/>
          <w:bCs/>
          <w:i/>
          <w:iCs/>
        </w:rPr>
        <w:t>of onevenredige verplichtingen in de desbetreffende technische regelgevings- en uitvoeringsnormen</w:t>
      </w:r>
      <w:r w:rsidRPr="007870ED">
        <w:t xml:space="preserve"> te stroomlijnen en te schrappen. </w:t>
      </w:r>
      <w:r w:rsidRPr="007870ED">
        <w:rPr>
          <w:b/>
          <w:bCs/>
          <w:i/>
          <w:iCs/>
        </w:rPr>
        <w:t>De Europese toezichthoudende autoriteiten</w:t>
      </w:r>
      <w:r w:rsidRPr="007870ED">
        <w:t xml:space="preserve"> moeten deze werkzaamheden coördineren via het Gemengd Comité van de Europese toezichthoudende autoriteiten. ▌</w:t>
      </w:r>
      <w:r w:rsidRPr="007870ED">
        <w:rPr>
          <w:b/>
          <w:i/>
        </w:rPr>
        <w:t xml:space="preserve"> </w:t>
      </w:r>
      <w:r w:rsidRPr="007870ED">
        <w:rPr>
          <w:b/>
          <w:bCs/>
          <w:i/>
          <w:iCs/>
        </w:rPr>
        <w:t>Daarnaast moeten ook collegiale toetsingen van bevoegde autoriteiten worden uitgevoerd om de doeltreffendheid en de mate van convergentie van die verplichtingen te verbeteren.</w:t>
      </w:r>
      <w:r w:rsidRPr="007870ED">
        <w:rPr>
          <w:b/>
          <w:i/>
        </w:rPr>
        <w:t xml:space="preserve"> Zowel de taken in het kader van de gemeenschappelijke toezichtcultuur als de collegiale toetsingen moeten op permanente basis worden uitgevoerd, waarvoor zo nodig meer personele en materiële middelen moeten worden toegewezen.</w:t>
      </w:r>
    </w:p>
    <w:p w:rsidR="0015189C" w:rsidRPr="007870ED" w:rsidRDefault="0015189C" w:rsidP="0015189C">
      <w:pPr>
        <w:pStyle w:val="ManualConsidrant"/>
        <w:rPr>
          <w:b/>
          <w:i/>
        </w:rPr>
      </w:pPr>
      <w:r w:rsidRPr="007870ED">
        <w:rPr>
          <w:b/>
          <w:i/>
        </w:rPr>
        <w:t>(4 bis)</w:t>
      </w:r>
      <w:r w:rsidRPr="007870ED">
        <w:rPr>
          <w:b/>
          <w:i/>
        </w:rPr>
        <w:tab/>
        <w:t xml:space="preserve">Een groot deel van de overbodige, achterhaalde of onevenredige verslaggevings- en openbaarmakingsvereisten komt voort uit verticale inconsistenties tussen de vereisten van de lidstaten en de vereisten van de Unie (“gold-plating”), uit horizontale inconsistenties in sectorspecifieke en </w:t>
      </w:r>
      <w:proofErr w:type="spellStart"/>
      <w:r w:rsidRPr="007870ED">
        <w:rPr>
          <w:b/>
          <w:i/>
        </w:rPr>
        <w:t>sectoroverschrijdende</w:t>
      </w:r>
      <w:proofErr w:type="spellEnd"/>
      <w:r w:rsidRPr="007870ED">
        <w:rPr>
          <w:b/>
          <w:i/>
        </w:rPr>
        <w:t xml:space="preserve"> wetgeving en uit een gebrek aan evenredigheid in de vereisten zelf. De Europese toezichthoudende autoriteiten en de Europese Autoriteit voor de bestrijding van witwassen moeten derhalve niet alleen de technische regulerings- en uitvoeringsnormen beoordelen, maar ook adviezen uitbrengen over lopende gewone wetgevingsprocedures en wetgevingshandelingen die al van kracht zijn. </w:t>
      </w:r>
    </w:p>
    <w:p w:rsidR="0015189C" w:rsidRPr="007870ED" w:rsidRDefault="0015189C" w:rsidP="0015189C">
      <w:pPr>
        <w:pStyle w:val="ManualConsidrant"/>
        <w:rPr>
          <w:b/>
          <w:i/>
        </w:rPr>
      </w:pPr>
      <w:r w:rsidRPr="007870ED">
        <w:rPr>
          <w:b/>
          <w:i/>
        </w:rPr>
        <w:t>(4 ter)</w:t>
      </w:r>
      <w:r w:rsidRPr="007870ED">
        <w:rPr>
          <w:b/>
          <w:i/>
        </w:rPr>
        <w:tab/>
        <w:t xml:space="preserve">Het vergemakkelijken van het delen en hergebruiken van informatie die is verzameld door de autoriteiten die verantwoordelijk zijn voor het toezicht op de financiële sector – met de nodige garanties wat betreft gegevensbescherming, ambtsgeheim en intellectueel eigendom – moet de druk voor de rapporterende entiteiten en voor de autoriteiten verlichten door overlappende verzoeken te vermijden, in lijn met de strategie van de Commissie inzake toezichtgegevens in de </w:t>
      </w:r>
      <w:proofErr w:type="spellStart"/>
      <w:r w:rsidRPr="007870ED">
        <w:rPr>
          <w:b/>
          <w:i/>
        </w:rPr>
        <w:t>financiëledienstensector</w:t>
      </w:r>
      <w:proofErr w:type="spellEnd"/>
      <w:r w:rsidRPr="007870ED">
        <w:rPr>
          <w:b/>
          <w:i/>
        </w:rPr>
        <w:t xml:space="preserve"> in de Unie. Informatie delen moet ook bijdragen tot een betere coördinatie van toezichtwerkzaamheden en convergentie van het toezicht. </w:t>
      </w:r>
    </w:p>
    <w:p w:rsidR="0015189C" w:rsidRPr="007870ED" w:rsidRDefault="0015189C" w:rsidP="0015189C">
      <w:pPr>
        <w:pStyle w:val="ManualConsidrant"/>
        <w:rPr>
          <w:b/>
          <w:i/>
          <w:noProof/>
        </w:rPr>
      </w:pPr>
      <w:r w:rsidRPr="007870ED">
        <w:rPr>
          <w:b/>
          <w:i/>
        </w:rPr>
        <w:t xml:space="preserve">(4 quater) Om de uitwisseling van informatie in de hele financiële sector te bevorderen, moeten alle autoriteiten die verantwoordelijk zijn voor het toezicht op de financiële sector, waaronder het ESRB, de </w:t>
      </w:r>
      <w:proofErr w:type="spellStart"/>
      <w:r w:rsidRPr="007870ED">
        <w:rPr>
          <w:b/>
          <w:i/>
        </w:rPr>
        <w:t>ESA’s</w:t>
      </w:r>
      <w:proofErr w:type="spellEnd"/>
      <w:r w:rsidRPr="007870ED">
        <w:rPr>
          <w:b/>
          <w:i/>
        </w:rPr>
        <w:t xml:space="preserve">, de AMLA, het GTM, de GAR, alsook alle respectieve bevoegde autoriteiten, toezichthoudende autoriteiten en afwikkelingsautoriteiten in de lidstaten, binnen het toepassingsgebied van deze wijzigingsverordening vallen.  </w:t>
      </w:r>
    </w:p>
    <w:p w:rsidR="0015189C" w:rsidRPr="007870ED" w:rsidRDefault="0015189C" w:rsidP="0015189C">
      <w:pPr>
        <w:pStyle w:val="ManualConsidrant"/>
        <w:rPr>
          <w:noProof/>
        </w:rPr>
      </w:pPr>
      <w:r w:rsidRPr="007870ED">
        <w:t>(5)</w:t>
      </w:r>
      <w:r w:rsidRPr="007870ED">
        <w:tab/>
        <w:t xml:space="preserve">Daartoe </w:t>
      </w:r>
      <w:r w:rsidRPr="007870ED">
        <w:rPr>
          <w:b/>
          <w:bCs/>
          <w:i/>
          <w:iCs/>
        </w:rPr>
        <w:t>moet het beginsel “slechts eenmaal rapporteren” in de Unie consequenter worden gehandhaafd</w:t>
      </w:r>
      <w:r w:rsidRPr="007870ED">
        <w:t>.</w:t>
      </w:r>
      <w:r w:rsidRPr="007870ED">
        <w:rPr>
          <w:b/>
          <w:i/>
        </w:rPr>
        <w:t xml:space="preserve"> </w:t>
      </w:r>
      <w:r w:rsidRPr="007870ED">
        <w:rPr>
          <w:b/>
          <w:bCs/>
          <w:i/>
          <w:iCs/>
        </w:rPr>
        <w:t>Alle</w:t>
      </w:r>
      <w:r w:rsidRPr="007870ED">
        <w:t xml:space="preserve"> autoriteiten </w:t>
      </w:r>
      <w:r w:rsidRPr="007870ED">
        <w:rPr>
          <w:b/>
          <w:bCs/>
          <w:i/>
          <w:iCs/>
        </w:rPr>
        <w:t>die verantwoordelijk zijn voor het toezicht op de financiële sector mogen slechts informatie opvragen</w:t>
      </w:r>
      <w:r w:rsidRPr="007870ED">
        <w:t xml:space="preserve"> bij financiële instellingen of andere rapporterende entiteiten </w:t>
      </w:r>
      <w:r w:rsidRPr="007870ED">
        <w:rPr>
          <w:b/>
          <w:bCs/>
          <w:i/>
          <w:iCs/>
        </w:rPr>
        <w:t xml:space="preserve">als deze die informatie nog niet aan andere autoriteiten </w:t>
      </w:r>
      <w:r w:rsidRPr="007870ED">
        <w:rPr>
          <w:b/>
          <w:bCs/>
          <w:i/>
          <w:iCs/>
        </w:rPr>
        <w:lastRenderedPageBreak/>
        <w:t>hebben gerapporteerd</w:t>
      </w:r>
      <w:r w:rsidRPr="007870ED">
        <w:t>.</w:t>
      </w:r>
      <w:r w:rsidRPr="007870ED">
        <w:rPr>
          <w:b/>
          <w:i/>
        </w:rPr>
        <w:t xml:space="preserve"> </w:t>
      </w:r>
      <w:r w:rsidRPr="007870ED">
        <w:rPr>
          <w:b/>
          <w:bCs/>
          <w:i/>
          <w:iCs/>
        </w:rPr>
        <w:t>Als informatie al aan een autoriteit is gerapporteerd, moeten andere autoriteiten die informatie rechtstreeks bij die autoriteit kunnen opvragen</w:t>
      </w:r>
      <w:r w:rsidRPr="007870ED">
        <w:t xml:space="preserve"> in plaats van ▌dezelfde informatie ▌te verzamelen</w:t>
      </w:r>
      <w:r w:rsidRPr="007870ED">
        <w:rPr>
          <w:b/>
          <w:bCs/>
          <w:i/>
          <w:iCs/>
        </w:rPr>
        <w:t>, zodat er een einde wordt gemaakt aan zogenaamde dubbele rapportage</w:t>
      </w:r>
      <w:r w:rsidRPr="007870ED">
        <w:t xml:space="preserve">. Nog steeds met als doel de efficiëntie te verbeteren bij het verzamelen, verwerken en gebruik van informatie, moeten autoriteiten die de kwaliteit van informatie verbeteren door deze op te schonen of te verrijken, ook die verbeterde informatie kunnen delen. </w:t>
      </w:r>
    </w:p>
    <w:p w:rsidR="0015189C" w:rsidRPr="007870ED" w:rsidRDefault="0015189C" w:rsidP="0015189C">
      <w:pPr>
        <w:pStyle w:val="ManualConsidrant"/>
        <w:rPr>
          <w:b/>
          <w:i/>
        </w:rPr>
      </w:pPr>
      <w:r w:rsidRPr="007870ED">
        <w:rPr>
          <w:b/>
          <w:i/>
        </w:rPr>
        <w:t>(5 bis)</w:t>
      </w:r>
      <w:r w:rsidRPr="007870ED">
        <w:rPr>
          <w:b/>
          <w:i/>
        </w:rPr>
        <w:tab/>
        <w:t xml:space="preserve">Sommige gegevenspunten die financiële instellingen van ondernemingen nodig hebben om aan hun verslaggevingsverplichtingen te voldoen, zijn nog steeds niet opgenomen in het rapportagekader van de Unie en moeten worden toegevoegd. Daarom moet niet alleen worden gekeken naar overbodige, dubbele of achterhaalde verslaggevingsvereisten, maar ook naar lacunes in de regelgeving. Dat maakt het nog belangrijker om te zorgen voor consistentie tussen financiële en niet-financiële verslaggevingsvereisten. </w:t>
      </w:r>
    </w:p>
    <w:p w:rsidR="0015189C" w:rsidRPr="007870ED" w:rsidRDefault="0015189C" w:rsidP="0015189C">
      <w:pPr>
        <w:pStyle w:val="ManualConsidrant"/>
        <w:rPr>
          <w:b/>
          <w:i/>
        </w:rPr>
      </w:pPr>
      <w:r w:rsidRPr="007870ED">
        <w:rPr>
          <w:b/>
          <w:i/>
        </w:rPr>
        <w:t>(5 ter)</w:t>
      </w:r>
      <w:r w:rsidRPr="007870ED">
        <w:rPr>
          <w:b/>
          <w:i/>
        </w:rPr>
        <w:tab/>
        <w:t>Waar nodig moeten financiële instellingen kunnen vertrouwen op een sequentiële aanpak, hetgeen betekent dat zij moeten kunnen verwijzen naar informatie die reeds door ondernemingen in hun waardeketen is gepubliceerd.</w:t>
      </w:r>
    </w:p>
    <w:p w:rsidR="0015189C" w:rsidRPr="007870ED" w:rsidRDefault="0015189C" w:rsidP="0015189C">
      <w:pPr>
        <w:pStyle w:val="ManualConsidrant"/>
        <w:rPr>
          <w:noProof/>
        </w:rPr>
      </w:pPr>
      <w:r w:rsidRPr="007870ED">
        <w:rPr>
          <w:b/>
          <w:i/>
        </w:rPr>
        <w:t>(5 quater)</w:t>
      </w:r>
      <w:r w:rsidRPr="007870ED">
        <w:rPr>
          <w:b/>
          <w:i/>
        </w:rPr>
        <w:tab/>
        <w:t xml:space="preserve">Om de detectie, monitoring, preventie en beperking van systeemrisico’s voor de financiële stabiliteit te vergemakkelijken, moet het ESRB standaard toegang hebben tot relevante informatie van de </w:t>
      </w:r>
      <w:proofErr w:type="spellStart"/>
      <w:r w:rsidRPr="007870ED">
        <w:rPr>
          <w:b/>
          <w:i/>
        </w:rPr>
        <w:t>ESA’s</w:t>
      </w:r>
      <w:proofErr w:type="spellEnd"/>
      <w:r w:rsidRPr="007870ED">
        <w:rPr>
          <w:b/>
          <w:i/>
        </w:rPr>
        <w:t xml:space="preserve"> en de ECB. Op die manier zouden systeemrisico’s dankzij striktere verzoek- en uitwisselingsprocedures beter vooraf kunnen worden opgespoord, in plaats van achteraf. </w:t>
      </w:r>
      <w:r w:rsidRPr="007870ED">
        <w:t xml:space="preserve"> </w:t>
      </w:r>
    </w:p>
    <w:p w:rsidR="0015189C" w:rsidRPr="007870ED" w:rsidRDefault="0015189C" w:rsidP="0015189C">
      <w:pPr>
        <w:pStyle w:val="ManualConsidrant"/>
        <w:rPr>
          <w:noProof/>
        </w:rPr>
      </w:pPr>
      <w:r w:rsidRPr="007870ED">
        <w:t>(6)</w:t>
      </w:r>
      <w:r w:rsidRPr="007870ED">
        <w:tab/>
        <w:t>Dit delen van informatie moet complementair zijn aan de bestaande mogelijkheden voor informatie-uitwisseling die in het Unierecht bestaan, en mag onder geen beding een beperking van die bestaande mogelijkheden inhouden.</w:t>
      </w:r>
    </w:p>
    <w:p w:rsidR="0015189C" w:rsidRPr="007870ED" w:rsidRDefault="0015189C" w:rsidP="0015189C">
      <w:pPr>
        <w:pStyle w:val="ManualConsidrant"/>
        <w:rPr>
          <w:b/>
          <w:i/>
        </w:rPr>
      </w:pPr>
      <w:r w:rsidRPr="007870ED">
        <w:rPr>
          <w:b/>
          <w:i/>
        </w:rPr>
        <w:t>(6 bis)</w:t>
      </w:r>
      <w:r w:rsidRPr="007870ED">
        <w:rPr>
          <w:b/>
          <w:i/>
        </w:rPr>
        <w:tab/>
        <w:t xml:space="preserve">De Europese toezichthoudende autoriteiten moeten beleidsopties beoordelen om verslaggevingsprocessen vanuit een procedureel en inhoudelijk perspectief verder te integreren. De Europese toezichthoudende autoriteiten moeten naar behoren beoordelen welke mogelijkheden het toenemende gebruik van digitale technologie biedt om doeltreffende en doelmatige formats met meetgegevens, methoden en parameters te bevorderen, die het concurrentievermogen van de financiële sector zullen bevorderen. </w:t>
      </w:r>
    </w:p>
    <w:p w:rsidR="0015189C" w:rsidRPr="007870ED" w:rsidRDefault="0015189C" w:rsidP="0015189C">
      <w:pPr>
        <w:pStyle w:val="ManualConsidrant"/>
        <w:rPr>
          <w:b/>
          <w:i/>
        </w:rPr>
      </w:pPr>
      <w:r w:rsidRPr="007870ED">
        <w:rPr>
          <w:b/>
          <w:i/>
        </w:rPr>
        <w:t>(6 ter)</w:t>
      </w:r>
      <w:r w:rsidRPr="007870ED">
        <w:rPr>
          <w:b/>
          <w:i/>
        </w:rPr>
        <w:tab/>
        <w:t xml:space="preserve">Met dat doel voor ogen hebben de Commissie en de </w:t>
      </w:r>
      <w:proofErr w:type="spellStart"/>
      <w:r w:rsidRPr="007870ED">
        <w:rPr>
          <w:b/>
          <w:i/>
        </w:rPr>
        <w:t>ETA’s</w:t>
      </w:r>
      <w:proofErr w:type="spellEnd"/>
      <w:r w:rsidRPr="007870ED">
        <w:rPr>
          <w:b/>
          <w:i/>
        </w:rPr>
        <w:t xml:space="preserve"> de afgelopen jaren aanzienlijke vooruitgang geboekt bij het onderzoeken van de mogelijkheden om geïntegreerde rapportagesystemen op te zetten. Dergelijke innovatieve rapportagesystemen zijn nodig om de vruchten te kunnen plukken van de toegenomen uitwisseling van gegevens tussen de autoriteiten die verantwoordelijk zijn voor het toezicht op de financiële sector. Daarom moeten alle autoriteiten die verantwoordelijk zijn voor het toezicht op de financiële sector in de Unie een gemeenschappelijk geïntegreerd rapportagesysteem opzetten. Dat systeem moet een gemeenschappelijke data </w:t>
      </w:r>
      <w:proofErr w:type="spellStart"/>
      <w:r w:rsidRPr="007870ED">
        <w:rPr>
          <w:b/>
          <w:i/>
        </w:rPr>
        <w:t>dictionary</w:t>
      </w:r>
      <w:proofErr w:type="spellEnd"/>
      <w:r w:rsidRPr="007870ED">
        <w:rPr>
          <w:b/>
          <w:i/>
        </w:rPr>
        <w:t xml:space="preserve"> omvatten die de consistentie en duidelijkheid van de rapportagevereisten en de standaardisering van de gegevens waarborgt, een gezamenlijk register van gevraagde en verkregen gegevens, een centrale gegevensruimte voor een efficiënte verzameling en uitwisseling van gegevens, alsook een permanent centraal contactpunt waar entiteiten dubbele, achterhaalde of overbodige rapportage- en openbaarmakingsvereisten kunnen melden. </w:t>
      </w:r>
    </w:p>
    <w:p w:rsidR="0015189C" w:rsidRPr="007870ED" w:rsidRDefault="0015189C" w:rsidP="0015189C">
      <w:pPr>
        <w:pStyle w:val="ManualConsidrant"/>
        <w:rPr>
          <w:noProof/>
        </w:rPr>
      </w:pPr>
      <w:r w:rsidRPr="007870ED">
        <w:rPr>
          <w:b/>
          <w:i/>
        </w:rPr>
        <w:t xml:space="preserve">(6 quater) Juridische hinderpalen in sectorale regelgeving maken het voor autoriteiten soms onmogelijk om relevante informatie uit te wisselen. Daarom moeten die autoriteiten </w:t>
      </w:r>
      <w:r w:rsidRPr="007870ED">
        <w:rPr>
          <w:b/>
          <w:i/>
        </w:rPr>
        <w:lastRenderedPageBreak/>
        <w:t xml:space="preserve">die juridische hinderpalen aan de Commissie melden en moet de Commissie zo nodig voorstellen om die hinderpalen weg te nemen, evenwel met inachtneming van intellectuele-eigendomsrechten, het beroepsgeheim en gegevensbescherming. </w:t>
      </w:r>
    </w:p>
    <w:p w:rsidR="0015189C" w:rsidRPr="007870ED" w:rsidRDefault="0015189C" w:rsidP="0015189C">
      <w:pPr>
        <w:pStyle w:val="ManualConsidrant"/>
        <w:rPr>
          <w:noProof/>
        </w:rPr>
      </w:pPr>
      <w:r w:rsidRPr="007870ED">
        <w:t>(7)</w:t>
      </w:r>
      <w:r w:rsidRPr="007870ED">
        <w:tab/>
        <w:t>De Commissie heeft nauwkeurige en omvattende informatie nodig om beleid te ontwikkelen, bestaande wetgeving te evalueren en de effecten te beoordelen van potentiële wetgevings- en niet-wetgevingsinitiatieven, onder meer tijdens onderhandelingen over wetgevingsvoorstellen. Het feit dat autoriteiten met de Commissie informatie delen die financiële instellingen of andere entiteiten aan die autoriteiten hebben gerapporteerd op grond van hun verplichtingen uit het hoofde van Unierecht, moet helpen om het formuleren en evalueren van Uniebeleid een empirische basis te geven. Daartoe moet die informatie een vorm hebben waarmee geen individuele entiteiten kunnen worden geïdentificeerd, en mag deze informatie geen persoonsgegevens bevatten. Ook autoriteiten kunnen hun voordeel doen met geanonimiseerde data en moeten dus die informatie onderling delen wanneer zulks noodzakelijk is voor de uitoefening van hun taken.</w:t>
      </w:r>
    </w:p>
    <w:p w:rsidR="0015189C" w:rsidRPr="007870ED" w:rsidRDefault="0015189C" w:rsidP="0015189C">
      <w:pPr>
        <w:pStyle w:val="ManualConsidrant"/>
        <w:rPr>
          <w:rFonts w:eastAsia="Calibri"/>
          <w:noProof/>
          <w:szCs w:val="24"/>
        </w:rPr>
      </w:pPr>
      <w:r w:rsidRPr="007870ED">
        <w:t>(8)</w:t>
      </w:r>
      <w:r w:rsidRPr="007870ED">
        <w:tab/>
        <w:t xml:space="preserve">Innovatiecycli in de financiële sectoren gaan steeds sneller, worden opener en worden in toenemende mate collaboratief. Daartoe moeten autoriteiten de mogelijkheid hebben om met financiële instellingen, onderzoekers en andere entiteiten informatie te delen voor andere onderzoeks- en innovatiedoeleinden dan die waarvoor de informatie oorspronkelijk is verzameld. Het delen van die informatie die in het bezit is van autoriteiten, moet de bruikbaarheid ervan vergroten doordat meer informatie beschikbaar komt voor onderzoek in de financiële sector, en moet meer kansen bieden om producten en bedrijfsmodellen te testen, maar moet ook zorgen voor meer samenwerking tussen diverse </w:t>
      </w:r>
      <w:proofErr w:type="spellStart"/>
      <w:r w:rsidRPr="007870ED">
        <w:t>financiëlemarktdeelnemers</w:t>
      </w:r>
      <w:proofErr w:type="spellEnd"/>
      <w:r w:rsidRPr="007870ED">
        <w:t xml:space="preserve">, zoals </w:t>
      </w:r>
      <w:proofErr w:type="spellStart"/>
      <w:r w:rsidRPr="007870ED">
        <w:t>fintech</w:t>
      </w:r>
      <w:proofErr w:type="spellEnd"/>
      <w:r w:rsidRPr="007870ED">
        <w:t xml:space="preserve">, </w:t>
      </w:r>
      <w:proofErr w:type="spellStart"/>
      <w:proofErr w:type="gramStart"/>
      <w:r w:rsidRPr="007870ED">
        <w:t>start-ups</w:t>
      </w:r>
      <w:proofErr w:type="spellEnd"/>
      <w:proofErr w:type="gramEnd"/>
      <w:r w:rsidRPr="007870ED">
        <w:t xml:space="preserve"> en bestaande financiële instellingen.  Het hergebruik van data die door een bevoegde autoriteit worden gedeeld, wordt beregeld door het algemene raamwerk voor het hergebruik van data dat wordt beschreven in hoofdstuk II van Verordening (EU) 2022/868 van het Europees Parlement en de Raad</w:t>
      </w:r>
      <w:r w:rsidRPr="007870ED">
        <w:rPr>
          <w:rStyle w:val="FootnoteReference"/>
          <w:noProof/>
        </w:rPr>
        <w:footnoteReference w:id="14"/>
      </w:r>
      <w:r w:rsidRPr="007870ED">
        <w:t>. Gezien evenwel het gevoelige karakter van de data die de autoriteiten in de financiële sector ontvangen voor toezichtdoeleinden, moeten specifieke verplichte voorwaarden worden ingevoerd voor het hergebruik van deze data, zoals het anonimiseren van persoonsgegevens en niet-persoonsgebonden gegevens zodat de individuele financiële instellingen niet kunnen worden geïdentificeerd en vertrouwelijke informatie beschermd wordt.</w:t>
      </w:r>
      <w:r w:rsidRPr="007870ED">
        <w:rPr>
          <w:b/>
          <w:i/>
        </w:rPr>
        <w:t xml:space="preserve"> Hieruit volgt dat alle procedures en stappen bij het verzamelen, standaardiseren, anonimiseren, opslaan en delen van gegevens voortdurend onderworpen zullen blijven aan de meest recente cyberbeveiligingsmaatregelen die door het Unierecht worden voorgeschreven.</w:t>
      </w:r>
    </w:p>
    <w:p w:rsidR="0015189C" w:rsidRPr="007870ED" w:rsidRDefault="0015189C" w:rsidP="0015189C">
      <w:pPr>
        <w:pStyle w:val="ManualConsidrant"/>
        <w:rPr>
          <w:noProof/>
        </w:rPr>
      </w:pPr>
      <w:r w:rsidRPr="007870ED">
        <w:t>(9)</w:t>
      </w:r>
      <w:r w:rsidRPr="007870ED">
        <w:tab/>
        <w:t xml:space="preserve">De aanpassing van de frequentie van de verslaggeving over het </w:t>
      </w:r>
      <w:proofErr w:type="spellStart"/>
      <w:r w:rsidRPr="007870ED">
        <w:t>InvestEU</w:t>
      </w:r>
      <w:proofErr w:type="spellEnd"/>
      <w:r w:rsidRPr="007870ED">
        <w:t>-programma door uitvoerende partners van halfjaarlijks tot jaarlijks, moet de werkdruk van de uitvoerende partners, de financiële intermediairs, kmo’s en andere ondernemingen verminderen, zonder dat wezenlijke elementen van Verordening (EU) 2021/523 worden gewijzigd. </w:t>
      </w:r>
    </w:p>
    <w:p w:rsidR="0015189C" w:rsidRPr="007870ED" w:rsidRDefault="0015189C" w:rsidP="0015189C">
      <w:pPr>
        <w:pStyle w:val="ManualConsidrant"/>
        <w:rPr>
          <w:noProof/>
        </w:rPr>
      </w:pPr>
      <w:r w:rsidRPr="007870ED">
        <w:t>(10)</w:t>
      </w:r>
      <w:r w:rsidRPr="007870ED">
        <w:tab/>
        <w:t>De Verordeningen (EU) nr. 1092/2010, (EU) nr. 1093/2010, (EU) nr. 1094/2010, (EU) nr. 1095/2010 en (EU) 2021/523 moeten daarom dienovereenkomstig worden gewijzigd,</w:t>
      </w:r>
    </w:p>
    <w:p w:rsidR="0015189C" w:rsidRPr="007870ED" w:rsidRDefault="0015189C" w:rsidP="0015189C">
      <w:pPr>
        <w:widowControl/>
        <w:spacing w:before="120" w:after="120"/>
        <w:ind w:left="709" w:hanging="709"/>
        <w:jc w:val="both"/>
        <w:rPr>
          <w:rFonts w:eastAsia="Calibri"/>
          <w:noProof/>
          <w:szCs w:val="22"/>
          <w:lang w:eastAsia="en-US"/>
        </w:rPr>
      </w:pPr>
    </w:p>
    <w:p w:rsidR="0015189C" w:rsidRPr="007870ED" w:rsidRDefault="0015189C" w:rsidP="0015189C">
      <w:pPr>
        <w:keepNext/>
        <w:widowControl/>
        <w:spacing w:before="120" w:after="120"/>
        <w:jc w:val="both"/>
        <w:rPr>
          <w:rFonts w:eastAsia="Calibri"/>
          <w:noProof/>
          <w:szCs w:val="22"/>
        </w:rPr>
      </w:pPr>
      <w:r w:rsidRPr="007870ED">
        <w:lastRenderedPageBreak/>
        <w:t>HEBBEN DE VOLGENDE VERORDENING VASTGESTELD:</w:t>
      </w:r>
    </w:p>
    <w:p w:rsidR="0015189C" w:rsidRPr="007870ED" w:rsidRDefault="0015189C" w:rsidP="0015189C">
      <w:pPr>
        <w:keepNext/>
        <w:widowControl/>
        <w:spacing w:before="360" w:after="120"/>
        <w:jc w:val="center"/>
        <w:rPr>
          <w:rFonts w:eastAsia="Calibri"/>
          <w:i/>
          <w:noProof/>
          <w:szCs w:val="22"/>
        </w:rPr>
      </w:pPr>
      <w:r w:rsidRPr="007870ED">
        <w:rPr>
          <w:i/>
        </w:rPr>
        <w:t>Artikel 1</w:t>
      </w:r>
    </w:p>
    <w:p w:rsidR="0015189C" w:rsidRPr="007870ED" w:rsidRDefault="0015189C" w:rsidP="0015189C">
      <w:pPr>
        <w:widowControl/>
        <w:spacing w:before="120" w:after="120"/>
        <w:jc w:val="center"/>
        <w:rPr>
          <w:rFonts w:eastAsia="Calibri"/>
          <w:noProof/>
          <w:szCs w:val="22"/>
        </w:rPr>
      </w:pPr>
      <w:r w:rsidRPr="007870ED">
        <w:rPr>
          <w:b/>
        </w:rPr>
        <w:t>Wijzigingen van Verordening (EU) nr. 1092/2010</w:t>
      </w:r>
    </w:p>
    <w:p w:rsidR="0015189C" w:rsidRPr="007870ED" w:rsidRDefault="0015189C" w:rsidP="0015189C">
      <w:pPr>
        <w:widowControl/>
        <w:spacing w:before="120" w:after="120"/>
        <w:jc w:val="both"/>
        <w:rPr>
          <w:rFonts w:eastAsia="Calibri"/>
          <w:noProof/>
          <w:szCs w:val="22"/>
        </w:rPr>
      </w:pPr>
      <w:r w:rsidRPr="007870ED">
        <w:t>Verordening (EU) nr. 1092/2010 wordt als volgt gewijzigd:</w:t>
      </w:r>
    </w:p>
    <w:p w:rsidR="0015189C" w:rsidRPr="007870ED" w:rsidRDefault="0015189C" w:rsidP="0015189C">
      <w:pPr>
        <w:widowControl/>
        <w:spacing w:before="120" w:after="120"/>
        <w:ind w:left="850" w:hanging="850"/>
        <w:jc w:val="both"/>
        <w:rPr>
          <w:rFonts w:eastAsia="Calibri"/>
          <w:noProof/>
          <w:szCs w:val="22"/>
        </w:rPr>
      </w:pPr>
      <w:r w:rsidRPr="007870ED">
        <w:t>1.</w:t>
      </w:r>
      <w:r w:rsidRPr="007870ED">
        <w:tab/>
        <w:t>In artikel 8 wordt lid 3 vervangen door: </w:t>
      </w:r>
    </w:p>
    <w:p w:rsidR="0015189C" w:rsidRPr="007870ED" w:rsidRDefault="0015189C" w:rsidP="0015189C">
      <w:pPr>
        <w:widowControl/>
        <w:spacing w:before="120" w:after="120"/>
        <w:ind w:left="1418" w:hanging="567"/>
        <w:jc w:val="both"/>
        <w:rPr>
          <w:rFonts w:eastAsia="Calibri"/>
          <w:noProof/>
          <w:szCs w:val="22"/>
        </w:rPr>
      </w:pPr>
      <w:r w:rsidRPr="007870ED">
        <w:t xml:space="preserve">“3. </w:t>
      </w:r>
      <w:r w:rsidRPr="007870ED">
        <w:tab/>
        <w:t>Onverminderd de artikelen 15 en 16 en de toepassing van het strafrecht mogen vertrouwelijke gegevens waarvan de in lid 1 bedoelde personen beroepshalve kennis krijgen, aan geen enkele persoon of autoriteit bekend worden gemaakt, behalve in een samengevatte of geaggregeerde vorm zodat individuele financiële instellingen niet kunnen worden geïdentificeerd.”.</w:t>
      </w:r>
    </w:p>
    <w:p w:rsidR="0015189C" w:rsidRPr="007870ED" w:rsidRDefault="0015189C" w:rsidP="0015189C">
      <w:pPr>
        <w:widowControl/>
        <w:spacing w:before="120" w:after="120"/>
        <w:ind w:left="850" w:hanging="850"/>
        <w:jc w:val="both"/>
        <w:rPr>
          <w:rFonts w:eastAsia="Calibri"/>
          <w:b/>
          <w:i/>
          <w:szCs w:val="22"/>
        </w:rPr>
      </w:pPr>
      <w:r w:rsidRPr="007870ED">
        <w:rPr>
          <w:b/>
          <w:i/>
        </w:rPr>
        <w:t>1 bis.</w:t>
      </w:r>
      <w:r w:rsidRPr="007870ED">
        <w:rPr>
          <w:b/>
          <w:i/>
        </w:rPr>
        <w:tab/>
        <w:t>In artikel 15 worden de leden 1 tot en met 7 vervangen door:</w:t>
      </w:r>
    </w:p>
    <w:p w:rsidR="0015189C" w:rsidRPr="007870ED" w:rsidRDefault="00F942BB" w:rsidP="0015189C">
      <w:pPr>
        <w:widowControl/>
        <w:spacing w:before="120" w:after="120"/>
        <w:ind w:left="1418" w:hanging="567"/>
        <w:jc w:val="both"/>
        <w:rPr>
          <w:b/>
          <w:i/>
        </w:rPr>
      </w:pPr>
      <w:r w:rsidRPr="007870ED">
        <w:rPr>
          <w:b/>
          <w:i/>
        </w:rPr>
        <w:t>“</w:t>
      </w:r>
      <w:r w:rsidR="0015189C" w:rsidRPr="007870ED">
        <w:rPr>
          <w:b/>
          <w:i/>
        </w:rPr>
        <w:t xml:space="preserve">1. </w:t>
      </w:r>
      <w:r w:rsidR="0015189C" w:rsidRPr="007870ED">
        <w:rPr>
          <w:b/>
          <w:i/>
        </w:rPr>
        <w:tab/>
        <w:t xml:space="preserve">“De </w:t>
      </w:r>
      <w:proofErr w:type="spellStart"/>
      <w:r w:rsidR="0015189C" w:rsidRPr="007870ED">
        <w:rPr>
          <w:b/>
          <w:i/>
        </w:rPr>
        <w:t>ESA’s</w:t>
      </w:r>
      <w:proofErr w:type="spellEnd"/>
      <w:r w:rsidR="0015189C" w:rsidRPr="007870ED">
        <w:rPr>
          <w:b/>
          <w:i/>
        </w:rPr>
        <w:t>, het Europees Stelsel van centrale banken (ESCB), de Commissie, de nationale toezichthoudende autoriteiten en de nationale statistische autoriteiten werken nauw met het ESRB samen door de informatie en analysen te delen die nodig zijn voor de vervulling van hun taken.</w:t>
      </w:r>
    </w:p>
    <w:p w:rsidR="0015189C" w:rsidRPr="007870ED" w:rsidRDefault="0015189C" w:rsidP="0015189C">
      <w:pPr>
        <w:widowControl/>
        <w:spacing w:before="120" w:after="120"/>
        <w:ind w:left="1418" w:hanging="567"/>
        <w:jc w:val="both"/>
        <w:rPr>
          <w:rFonts w:eastAsia="Calibri"/>
          <w:b/>
          <w:i/>
          <w:szCs w:val="22"/>
        </w:rPr>
      </w:pPr>
      <w:r w:rsidRPr="007870ED">
        <w:rPr>
          <w:b/>
          <w:i/>
        </w:rPr>
        <w:t xml:space="preserve">2. </w:t>
      </w:r>
      <w:r w:rsidRPr="007870ED">
        <w:rPr>
          <w:b/>
          <w:i/>
        </w:rPr>
        <w:tab/>
        <w:t xml:space="preserve">Het ESRB, de </w:t>
      </w:r>
      <w:proofErr w:type="spellStart"/>
      <w:r w:rsidRPr="007870ED">
        <w:rPr>
          <w:b/>
          <w:i/>
        </w:rPr>
        <w:t>ESA’s</w:t>
      </w:r>
      <w:proofErr w:type="spellEnd"/>
      <w:r w:rsidRPr="007870ED">
        <w:rPr>
          <w:b/>
          <w:i/>
        </w:rPr>
        <w:t xml:space="preserve"> en de ECB coördineren hun inspanningen om systeemrisico’s voor de financiële stabiliteit op te sporen, te monitoren, te voorkomen en te beperken. Onverminderd andere bepalingen over het delen van toezicht- en statistische informatie in dit artikel en in andere wetgevingshandelingen van de Unie, delen de </w:t>
      </w:r>
      <w:proofErr w:type="spellStart"/>
      <w:r w:rsidRPr="007870ED">
        <w:rPr>
          <w:b/>
          <w:i/>
        </w:rPr>
        <w:t>ESA’s</w:t>
      </w:r>
      <w:proofErr w:type="spellEnd"/>
      <w:r w:rsidRPr="007870ED">
        <w:rPr>
          <w:b/>
          <w:i/>
        </w:rPr>
        <w:t xml:space="preserve"> en de ECB met het ESRB onverwijld alle relevante informatie zodra deze beschikbaar is, met inbegrip van toezicht- en statistische informatie, alsmede de resultaten van hun analyse van die informatie, die het ESRB nodig heeft voor het verwezenlijken van zijn opdracht, doelstellingen en taken. </w:t>
      </w:r>
    </w:p>
    <w:p w:rsidR="0015189C" w:rsidRPr="007870ED" w:rsidRDefault="0015189C" w:rsidP="0015189C">
      <w:pPr>
        <w:widowControl/>
        <w:spacing w:before="120" w:after="120"/>
        <w:ind w:left="1418"/>
        <w:jc w:val="both"/>
        <w:rPr>
          <w:rFonts w:eastAsia="Calibri"/>
          <w:b/>
          <w:i/>
          <w:szCs w:val="22"/>
        </w:rPr>
      </w:pPr>
      <w:r w:rsidRPr="007870ED">
        <w:rPr>
          <w:b/>
          <w:i/>
        </w:rPr>
        <w:t xml:space="preserve">Voor het delen van die informatie maken de </w:t>
      </w:r>
      <w:proofErr w:type="spellStart"/>
      <w:r w:rsidRPr="007870ED">
        <w:rPr>
          <w:b/>
          <w:i/>
        </w:rPr>
        <w:t>ESA’s</w:t>
      </w:r>
      <w:proofErr w:type="spellEnd"/>
      <w:r w:rsidRPr="007870ED">
        <w:rPr>
          <w:b/>
          <w:i/>
        </w:rPr>
        <w:t xml:space="preserve"> en de </w:t>
      </w:r>
      <w:proofErr w:type="gramStart"/>
      <w:r w:rsidRPr="007870ED">
        <w:rPr>
          <w:b/>
          <w:i/>
        </w:rPr>
        <w:t>ECB gebruik</w:t>
      </w:r>
      <w:proofErr w:type="gramEnd"/>
      <w:r w:rsidRPr="007870ED">
        <w:rPr>
          <w:b/>
          <w:i/>
        </w:rPr>
        <w:t xml:space="preserve"> van het in artikel 15 bis bedoelde gemeenschappelijke geïntegreerde rapportagesysteem zodra dat is opgezet. </w:t>
      </w:r>
    </w:p>
    <w:p w:rsidR="0015189C" w:rsidRPr="007870ED" w:rsidRDefault="0015189C" w:rsidP="0015189C">
      <w:pPr>
        <w:widowControl/>
        <w:spacing w:before="120" w:after="120"/>
        <w:ind w:left="1418" w:hanging="567"/>
        <w:jc w:val="both"/>
        <w:rPr>
          <w:rFonts w:eastAsia="Calibri"/>
          <w:b/>
          <w:i/>
          <w:szCs w:val="22"/>
        </w:rPr>
      </w:pPr>
      <w:r w:rsidRPr="007870ED">
        <w:rPr>
          <w:b/>
          <w:i/>
        </w:rPr>
        <w:t xml:space="preserve">3. </w:t>
      </w:r>
      <w:r w:rsidRPr="007870ED">
        <w:rPr>
          <w:b/>
          <w:i/>
        </w:rPr>
        <w:tab/>
        <w:t xml:space="preserve">Indien de bestaande informatie waarover het ESRB via de </w:t>
      </w:r>
      <w:proofErr w:type="spellStart"/>
      <w:r w:rsidRPr="007870ED">
        <w:rPr>
          <w:b/>
          <w:i/>
        </w:rPr>
        <w:t>ESA’s</w:t>
      </w:r>
      <w:proofErr w:type="spellEnd"/>
      <w:r w:rsidRPr="007870ED">
        <w:rPr>
          <w:b/>
          <w:i/>
        </w:rPr>
        <w:t>, de ECB en het Europees statistisch systeem beschikt, niet voldoende of niet tijdig beschikbaar is, vraagt het ESRB overeenkomstig dit artikel bij de nationale centrale banken, de nationale toezichthoudende autoriteiten en de nationale statistische autoriteiten de informatie op die het nodig heeft om zijn mandaat te vervullen. Als die informatie nog steeds niet beschikbaar is, kan het ESRB de betrokken lidstaat daarom verzoeken, onverminderd de bevoegdheden van respectievelijk de Raad, de Commissie (Eurostat), de ECB, het Eurostelsel en het ESCB op het gebied van statistiek en gegevensvergaring.</w:t>
      </w:r>
    </w:p>
    <w:p w:rsidR="0015189C" w:rsidRPr="007870ED" w:rsidRDefault="0015189C" w:rsidP="0015189C">
      <w:pPr>
        <w:widowControl/>
        <w:spacing w:before="120" w:after="120"/>
        <w:ind w:left="1418" w:hanging="567"/>
        <w:jc w:val="both"/>
        <w:rPr>
          <w:rFonts w:eastAsia="Calibri"/>
          <w:b/>
          <w:i/>
          <w:szCs w:val="22"/>
        </w:rPr>
      </w:pPr>
      <w:r w:rsidRPr="007870ED">
        <w:rPr>
          <w:b/>
          <w:i/>
        </w:rPr>
        <w:t xml:space="preserve">4. </w:t>
      </w:r>
      <w:r w:rsidRPr="007870ED">
        <w:rPr>
          <w:b/>
          <w:i/>
        </w:rPr>
        <w:tab/>
        <w:t>Als het ESRB overeenkomstig lid 3 om informatie in niet-samengevatte of niet-geaggregeerde vorm verzoekt, wordt in het met redenen omklede verzoek uitgelegd waarom gegevens over de desbetreffende individuele financiële instelling systeemrelevant en noodzakelijk worden geacht in het licht van de bestaande marktsituatie.</w:t>
      </w:r>
    </w:p>
    <w:p w:rsidR="0015189C" w:rsidRPr="007870ED" w:rsidRDefault="0015189C" w:rsidP="0015189C">
      <w:pPr>
        <w:widowControl/>
        <w:spacing w:before="120" w:after="120"/>
        <w:ind w:left="1418" w:hanging="567"/>
        <w:jc w:val="both"/>
        <w:rPr>
          <w:rFonts w:eastAsia="Calibri"/>
          <w:b/>
          <w:i/>
          <w:szCs w:val="22"/>
        </w:rPr>
      </w:pPr>
      <w:r w:rsidRPr="007870ED">
        <w:rPr>
          <w:b/>
          <w:i/>
        </w:rPr>
        <w:t>5.</w:t>
      </w:r>
      <w:r w:rsidRPr="007870ED">
        <w:rPr>
          <w:b/>
          <w:i/>
        </w:rPr>
        <w:tab/>
        <w:t xml:space="preserve"> Voorafgaand aan elk verzoek om informatie van toezichthoudende aard in niet-samengevatte of niet-geaggregeerde vorm overeenkomstig lid 3 raadpleegt het ESRB naar behoren de betrokken </w:t>
      </w:r>
      <w:proofErr w:type="spellStart"/>
      <w:r w:rsidRPr="007870ED">
        <w:rPr>
          <w:b/>
          <w:i/>
        </w:rPr>
        <w:t>ESA’s</w:t>
      </w:r>
      <w:proofErr w:type="spellEnd"/>
      <w:r w:rsidRPr="007870ED">
        <w:rPr>
          <w:b/>
          <w:i/>
        </w:rPr>
        <w:t xml:space="preserve"> om zich ervan te vergewissen dat het verzoek gerechtvaardigd en evenredig is. Indien de </w:t>
      </w:r>
      <w:r w:rsidRPr="007870ED">
        <w:rPr>
          <w:b/>
          <w:i/>
        </w:rPr>
        <w:lastRenderedPageBreak/>
        <w:t xml:space="preserve">betrokken ESA het verzoek niet gerechtvaardigd en evenredig acht, stuurt zij het onverwijld aan het ESRB terug en vraagt zij om aanvullende motivering. Nadat het ESRB de aanvullende motivering aan de betrokken ESA heeft verstrekt, zenden de adressaten van het verzoek de gevraagde informatie aan het ESRB toe, mits zij rechtmatige toegang hebben </w:t>
      </w:r>
      <w:r w:rsidR="00F942BB" w:rsidRPr="007870ED">
        <w:rPr>
          <w:b/>
          <w:i/>
        </w:rPr>
        <w:t>tot de betreffende informatie.”;</w:t>
      </w:r>
    </w:p>
    <w:p w:rsidR="0015189C" w:rsidRPr="007870ED" w:rsidRDefault="0015189C" w:rsidP="0015189C">
      <w:pPr>
        <w:widowControl/>
        <w:spacing w:before="120" w:after="120"/>
        <w:ind w:left="850" w:hanging="850"/>
        <w:jc w:val="both"/>
        <w:rPr>
          <w:rFonts w:eastAsia="Calibri"/>
          <w:noProof/>
          <w:szCs w:val="22"/>
        </w:rPr>
      </w:pPr>
      <w:r w:rsidRPr="007870ED">
        <w:t>2.</w:t>
      </w:r>
      <w:r w:rsidRPr="007870ED">
        <w:tab/>
        <w:t>Aan artikel 15 worden de volgende leden toegevoegd: </w:t>
      </w:r>
    </w:p>
    <w:p w:rsidR="0015189C" w:rsidRPr="007870ED" w:rsidRDefault="0015189C" w:rsidP="0015189C">
      <w:pPr>
        <w:ind w:left="1418" w:hanging="567"/>
        <w:jc w:val="both"/>
        <w:rPr>
          <w:rFonts w:eastAsia="Calibri"/>
          <w:szCs w:val="22"/>
        </w:rPr>
      </w:pPr>
      <w:r w:rsidRPr="007870ED">
        <w:t xml:space="preserve">“8. </w:t>
      </w:r>
      <w:r w:rsidRPr="007870ED">
        <w:rPr>
          <w:b/>
          <w:i/>
        </w:rPr>
        <w:tab/>
      </w:r>
      <w:r w:rsidRPr="007870ED">
        <w:t xml:space="preserve">Het ESRB deelt, geval per geval of op regelmatige basis, </w:t>
      </w:r>
      <w:r w:rsidRPr="007870ED">
        <w:rPr>
          <w:b/>
          <w:bCs/>
          <w:i/>
          <w:iCs/>
        </w:rPr>
        <w:t xml:space="preserve">met een andere van de in lid 1 bedoelde autoriteiten, een andere autoriteit die lid is van het ESFS of de andere autoriteiten </w:t>
      </w:r>
      <w:r w:rsidRPr="007870ED">
        <w:t xml:space="preserve">informatie die het van een andere ▌van die autoriteiten of </w:t>
      </w:r>
      <w:r w:rsidRPr="007870ED">
        <w:rPr>
          <w:b/>
          <w:bCs/>
          <w:i/>
          <w:iCs/>
        </w:rPr>
        <w:t>de andere autoriteiten</w:t>
      </w:r>
      <w:r w:rsidRPr="007870ED">
        <w:t xml:space="preserve"> heeft verkregen, </w:t>
      </w:r>
      <w:r w:rsidRPr="007870ED">
        <w:rPr>
          <w:b/>
          <w:bCs/>
          <w:i/>
          <w:iCs/>
        </w:rPr>
        <w:t>wanneer</w:t>
      </w:r>
      <w:r w:rsidRPr="007870ED">
        <w:t xml:space="preserve"> de verzoekende autoriteit krachtens </w:t>
      </w:r>
      <w:r w:rsidRPr="007870ED">
        <w:rPr>
          <w:b/>
          <w:bCs/>
          <w:i/>
          <w:iCs/>
        </w:rPr>
        <w:t>haar opdracht, doelstellingen, taken en bevoegdheden of overeenkomstig desbetreffend</w:t>
      </w:r>
      <w:r w:rsidRPr="007870ED">
        <w:t xml:space="preserve"> Unierecht </w:t>
      </w:r>
      <w:r w:rsidRPr="007870ED">
        <w:rPr>
          <w:b/>
          <w:bCs/>
          <w:i/>
          <w:iCs/>
        </w:rPr>
        <w:t>het recht heeft die</w:t>
      </w:r>
      <w:r w:rsidRPr="007870ED">
        <w:t xml:space="preserve"> informatie ▌te verkrijgen.</w:t>
      </w:r>
    </w:p>
    <w:p w:rsidR="0015189C" w:rsidRPr="007870ED" w:rsidRDefault="0015189C" w:rsidP="0015189C">
      <w:pPr>
        <w:widowControl/>
        <w:spacing w:before="120" w:after="120"/>
        <w:ind w:left="1418"/>
        <w:jc w:val="both"/>
        <w:rPr>
          <w:rFonts w:eastAsia="Calibri"/>
          <w:b/>
          <w:i/>
          <w:szCs w:val="22"/>
        </w:rPr>
      </w:pPr>
      <w:r w:rsidRPr="007870ED">
        <w:rPr>
          <w:b/>
          <w:i/>
        </w:rPr>
        <w:t xml:space="preserve">Voor het delen van de informatie als bedoeld in de eerste alinea van dit lid maakt het </w:t>
      </w:r>
      <w:proofErr w:type="gramStart"/>
      <w:r w:rsidRPr="007870ED">
        <w:rPr>
          <w:b/>
          <w:i/>
        </w:rPr>
        <w:t>ESRB gebruik</w:t>
      </w:r>
      <w:proofErr w:type="gramEnd"/>
      <w:r w:rsidRPr="007870ED">
        <w:rPr>
          <w:b/>
          <w:i/>
        </w:rPr>
        <w:t xml:space="preserve"> van het in artikel 15 bis bedoelde gemeenschappelijke geïntegreerde rapportagesysteem zodra dat is ingesteld. </w:t>
      </w:r>
    </w:p>
    <w:p w:rsidR="0015189C" w:rsidRPr="007870ED" w:rsidRDefault="0015189C" w:rsidP="0015189C">
      <w:pPr>
        <w:widowControl/>
        <w:spacing w:before="120" w:after="120"/>
        <w:ind w:left="1418" w:hanging="567"/>
        <w:jc w:val="both"/>
        <w:rPr>
          <w:rFonts w:eastAsia="Calibri"/>
          <w:b/>
          <w:i/>
          <w:szCs w:val="22"/>
        </w:rPr>
      </w:pPr>
      <w:r w:rsidRPr="007870ED">
        <w:rPr>
          <w:b/>
          <w:i/>
        </w:rPr>
        <w:t>8 bis.</w:t>
      </w:r>
      <w:r w:rsidRPr="007870ED">
        <w:rPr>
          <w:b/>
          <w:i/>
        </w:rPr>
        <w:tab/>
        <w:t>Het ESRB verzoekt de andere autoriteiten om informatie die het anders zou opvragen bij financiële instellingen of andere bevoegde autoriteiten, indien aan beide volgende voorwaarden wordt voldaan:</w:t>
      </w:r>
    </w:p>
    <w:p w:rsidR="0015189C" w:rsidRPr="007870ED" w:rsidRDefault="0015189C" w:rsidP="0015189C">
      <w:pPr>
        <w:widowControl/>
        <w:spacing w:before="120" w:after="120"/>
        <w:ind w:left="1418"/>
        <w:jc w:val="both"/>
        <w:rPr>
          <w:rFonts w:eastAsia="Calibri"/>
          <w:b/>
          <w:i/>
          <w:szCs w:val="22"/>
        </w:rPr>
      </w:pPr>
      <w:r w:rsidRPr="007870ED">
        <w:rPr>
          <w:b/>
          <w:i/>
        </w:rPr>
        <w:t>a)</w:t>
      </w:r>
      <w:r w:rsidRPr="007870ED">
        <w:rPr>
          <w:b/>
          <w:i/>
        </w:rPr>
        <w:tab/>
        <w:t xml:space="preserve"> het heeft krachtens zijn opdracht, doelstellingen, taken en bevoegdheden of overeenkomstig desbetreffend Unierecht het recht die informatie te verkrijgen;</w:t>
      </w:r>
    </w:p>
    <w:p w:rsidR="0015189C" w:rsidRPr="007870ED" w:rsidRDefault="0015189C" w:rsidP="0015189C">
      <w:pPr>
        <w:widowControl/>
        <w:spacing w:before="120" w:after="120"/>
        <w:ind w:left="1418"/>
        <w:jc w:val="both"/>
        <w:rPr>
          <w:rFonts w:eastAsia="Calibri"/>
          <w:b/>
          <w:i/>
          <w:szCs w:val="22"/>
        </w:rPr>
      </w:pPr>
      <w:r w:rsidRPr="007870ED">
        <w:rPr>
          <w:b/>
          <w:i/>
        </w:rPr>
        <w:t xml:space="preserve">b) </w:t>
      </w:r>
      <w:r w:rsidRPr="007870ED">
        <w:rPr>
          <w:b/>
          <w:i/>
        </w:rPr>
        <w:tab/>
        <w:t>die informatie is verkregen door ten minste een van de andere autoriteiten.</w:t>
      </w:r>
    </w:p>
    <w:p w:rsidR="0015189C" w:rsidRPr="007870ED" w:rsidRDefault="0015189C" w:rsidP="0015189C">
      <w:pPr>
        <w:widowControl/>
        <w:spacing w:before="120" w:after="120"/>
        <w:ind w:left="1418"/>
        <w:jc w:val="both"/>
        <w:rPr>
          <w:rFonts w:eastAsia="Calibri"/>
          <w:b/>
          <w:i/>
          <w:szCs w:val="22"/>
        </w:rPr>
      </w:pPr>
      <w:r w:rsidRPr="007870ED">
        <w:rPr>
          <w:b/>
          <w:i/>
        </w:rPr>
        <w:t>De eerste alinea laat onverlet dat het ESRB de gevraagde informatie kan verkrijgen van financiële instellingen of andere bevoegde autoriteiten indien de andere autoriteit om operationele redenen niet in staat is de gegevens te delen.</w:t>
      </w:r>
    </w:p>
    <w:p w:rsidR="0015189C" w:rsidRPr="007870ED" w:rsidRDefault="0015189C" w:rsidP="00F942BB">
      <w:pPr>
        <w:widowControl/>
        <w:spacing w:before="120" w:after="120"/>
        <w:ind w:left="1418"/>
        <w:jc w:val="both"/>
        <w:rPr>
          <w:rFonts w:eastAsia="Calibri"/>
          <w:b/>
          <w:i/>
          <w:szCs w:val="22"/>
        </w:rPr>
      </w:pPr>
      <w:r w:rsidRPr="007870ED">
        <w:rPr>
          <w:b/>
          <w:i/>
        </w:rPr>
        <w:t xml:space="preserve">Om te bepalen of aan de in de eerste alinea, punt b), genoemde voorwaarde is voldaan, maakt het </w:t>
      </w:r>
      <w:proofErr w:type="gramStart"/>
      <w:r w:rsidRPr="007870ED">
        <w:rPr>
          <w:b/>
          <w:i/>
        </w:rPr>
        <w:t>ESRB gebruik</w:t>
      </w:r>
      <w:proofErr w:type="gramEnd"/>
      <w:r w:rsidRPr="007870ED">
        <w:rPr>
          <w:b/>
          <w:i/>
        </w:rPr>
        <w:t xml:space="preserve"> van het in artikel 15 bis bedoelde gemeenschappelijke geïntegreerde rapportagesysteem zodra dat is ingesteld.</w:t>
      </w:r>
    </w:p>
    <w:p w:rsidR="0015189C" w:rsidRPr="007870ED" w:rsidRDefault="0015189C" w:rsidP="0015189C">
      <w:pPr>
        <w:widowControl/>
        <w:spacing w:before="120" w:after="120"/>
        <w:ind w:left="1418" w:hanging="567"/>
        <w:jc w:val="both"/>
        <w:rPr>
          <w:rFonts w:eastAsia="Calibri"/>
          <w:b/>
          <w:i/>
          <w:szCs w:val="22"/>
        </w:rPr>
      </w:pPr>
      <w:r w:rsidRPr="007870ED">
        <w:rPr>
          <w:b/>
          <w:i/>
        </w:rPr>
        <w:t>8 ter.</w:t>
      </w:r>
      <w:r w:rsidRPr="007870ED">
        <w:rPr>
          <w:b/>
          <w:i/>
        </w:rPr>
        <w:tab/>
        <w:t>Voor de toepassing van dit artikel en artikel 15 bis wordt onder “andere autoriteiten” elke van de volgende autoriteiten verstaan:</w:t>
      </w:r>
    </w:p>
    <w:p w:rsidR="0015189C" w:rsidRPr="007870ED" w:rsidRDefault="0015189C" w:rsidP="0015189C">
      <w:pPr>
        <w:widowControl/>
        <w:spacing w:before="120" w:after="120"/>
        <w:ind w:left="1985" w:hanging="567"/>
        <w:jc w:val="both"/>
        <w:rPr>
          <w:rFonts w:eastAsia="Calibri"/>
          <w:b/>
          <w:i/>
          <w:szCs w:val="22"/>
        </w:rPr>
      </w:pPr>
      <w:r w:rsidRPr="007870ED">
        <w:rPr>
          <w:b/>
          <w:i/>
        </w:rPr>
        <w:t xml:space="preserve">a) </w:t>
      </w:r>
      <w:r w:rsidRPr="007870ED">
        <w:rPr>
          <w:b/>
          <w:i/>
        </w:rPr>
        <w:tab/>
        <w:t>de Europese toezichthoudende autoriteiten;</w:t>
      </w:r>
    </w:p>
    <w:p w:rsidR="0015189C" w:rsidRPr="007870ED" w:rsidRDefault="0015189C" w:rsidP="0015189C">
      <w:pPr>
        <w:widowControl/>
        <w:spacing w:before="120" w:after="120"/>
        <w:ind w:left="1985" w:hanging="567"/>
        <w:jc w:val="both"/>
        <w:rPr>
          <w:rFonts w:eastAsia="Calibri"/>
          <w:b/>
          <w:i/>
          <w:szCs w:val="22"/>
        </w:rPr>
      </w:pPr>
      <w:r w:rsidRPr="007870ED">
        <w:rPr>
          <w:b/>
          <w:i/>
        </w:rPr>
        <w:t>b)</w:t>
      </w:r>
      <w:r w:rsidRPr="007870ED">
        <w:rPr>
          <w:b/>
          <w:i/>
        </w:rPr>
        <w:tab/>
        <w:t>bevoegde autoriteiten zoals gedefinieerd in artikel 4, punt 2, van Verordening (EU) nr. 1093/2010;</w:t>
      </w:r>
    </w:p>
    <w:p w:rsidR="0015189C" w:rsidRPr="007870ED" w:rsidRDefault="0015189C" w:rsidP="0015189C">
      <w:pPr>
        <w:widowControl/>
        <w:spacing w:before="120" w:after="120"/>
        <w:ind w:left="1985" w:hanging="567"/>
        <w:jc w:val="both"/>
        <w:rPr>
          <w:rFonts w:eastAsia="Calibri"/>
          <w:b/>
          <w:i/>
          <w:szCs w:val="22"/>
        </w:rPr>
      </w:pPr>
      <w:r w:rsidRPr="007870ED">
        <w:rPr>
          <w:b/>
          <w:i/>
        </w:rPr>
        <w:t xml:space="preserve">c) </w:t>
      </w:r>
      <w:r w:rsidRPr="007870ED">
        <w:rPr>
          <w:b/>
          <w:i/>
        </w:rPr>
        <w:tab/>
        <w:t>bevoegde autoriteiten zoals gedefinieerd in artikel 4, punt 2, van Verordening (EU) nr. 1094/2010;</w:t>
      </w:r>
    </w:p>
    <w:p w:rsidR="0015189C" w:rsidRPr="007870ED" w:rsidRDefault="0015189C" w:rsidP="0015189C">
      <w:pPr>
        <w:widowControl/>
        <w:spacing w:before="120" w:after="120"/>
        <w:ind w:left="1985" w:hanging="567"/>
        <w:jc w:val="both"/>
        <w:rPr>
          <w:rFonts w:eastAsia="Calibri"/>
          <w:b/>
          <w:i/>
          <w:szCs w:val="22"/>
        </w:rPr>
      </w:pPr>
      <w:r w:rsidRPr="007870ED">
        <w:rPr>
          <w:b/>
          <w:i/>
        </w:rPr>
        <w:t>d)</w:t>
      </w:r>
      <w:r w:rsidRPr="007870ED">
        <w:rPr>
          <w:b/>
          <w:i/>
        </w:rPr>
        <w:tab/>
        <w:t xml:space="preserve"> bevoegde autoriteiten zoals gedefinieerd in artikel 4, punt 3, van Verordening (EU) nr. 1095/2010;</w:t>
      </w:r>
    </w:p>
    <w:p w:rsidR="0015189C" w:rsidRPr="007870ED" w:rsidRDefault="0015189C" w:rsidP="0015189C">
      <w:pPr>
        <w:widowControl/>
        <w:spacing w:before="120" w:after="120"/>
        <w:ind w:left="1985" w:hanging="567"/>
        <w:jc w:val="both"/>
        <w:rPr>
          <w:rFonts w:eastAsia="Calibri"/>
          <w:b/>
          <w:i/>
          <w:szCs w:val="22"/>
        </w:rPr>
      </w:pPr>
      <w:r w:rsidRPr="007870ED">
        <w:rPr>
          <w:b/>
          <w:i/>
        </w:rPr>
        <w:lastRenderedPageBreak/>
        <w:t xml:space="preserve">e) </w:t>
      </w:r>
      <w:r w:rsidRPr="007870ED">
        <w:rPr>
          <w:b/>
          <w:i/>
        </w:rPr>
        <w:tab/>
        <w:t>de AMLA, als opgericht bij Verordening (EU) …/… van het Europees Parlement en de Raad</w:t>
      </w:r>
      <w:r w:rsidR="00B35DA1" w:rsidRPr="007870ED">
        <w:rPr>
          <w:rStyle w:val="FootnoteReference"/>
          <w:b/>
          <w:i/>
        </w:rPr>
        <w:footnoteReference w:customMarkFollows="1" w:id="15"/>
        <w:t>+</w:t>
      </w:r>
      <w:r w:rsidRPr="007870ED">
        <w:rPr>
          <w:b/>
          <w:i/>
        </w:rPr>
        <w:t>;</w:t>
      </w:r>
    </w:p>
    <w:p w:rsidR="0015189C" w:rsidRPr="007870ED" w:rsidRDefault="0015189C" w:rsidP="0015189C">
      <w:pPr>
        <w:widowControl/>
        <w:spacing w:before="120" w:after="120"/>
        <w:ind w:left="1985" w:hanging="567"/>
        <w:jc w:val="both"/>
        <w:rPr>
          <w:rFonts w:eastAsia="Calibri"/>
          <w:b/>
          <w:i/>
          <w:szCs w:val="22"/>
        </w:rPr>
      </w:pPr>
      <w:r w:rsidRPr="007870ED">
        <w:rPr>
          <w:b/>
          <w:i/>
        </w:rPr>
        <w:t xml:space="preserve">f) </w:t>
      </w:r>
      <w:r w:rsidRPr="007870ED">
        <w:rPr>
          <w:b/>
          <w:i/>
        </w:rPr>
        <w:tab/>
        <w:t>autoriteiten zoals gedefinieerd in artikel 2, punt 1, van Richtlijn (EU) …/… van het Europees Parlement en de Raad</w:t>
      </w:r>
      <w:r w:rsidR="00FC7834" w:rsidRPr="007870ED">
        <w:rPr>
          <w:rStyle w:val="FootnoteReference"/>
          <w:b/>
          <w:i/>
        </w:rPr>
        <w:footnoteReference w:customMarkFollows="1" w:id="16"/>
        <w:t>++</w:t>
      </w:r>
      <w:r w:rsidRPr="007870ED">
        <w:rPr>
          <w:b/>
          <w:i/>
        </w:rPr>
        <w:t>;</w:t>
      </w:r>
    </w:p>
    <w:p w:rsidR="0015189C" w:rsidRPr="007870ED" w:rsidRDefault="0015189C" w:rsidP="0015189C">
      <w:pPr>
        <w:widowControl/>
        <w:spacing w:before="120" w:after="120"/>
        <w:ind w:left="1985" w:hanging="567"/>
        <w:jc w:val="both"/>
        <w:rPr>
          <w:rFonts w:eastAsia="Calibri"/>
          <w:b/>
          <w:i/>
          <w:szCs w:val="22"/>
        </w:rPr>
      </w:pPr>
      <w:r w:rsidRPr="007870ED">
        <w:rPr>
          <w:b/>
          <w:i/>
        </w:rPr>
        <w:t>g)</w:t>
      </w:r>
      <w:r w:rsidRPr="007870ED">
        <w:rPr>
          <w:b/>
          <w:i/>
        </w:rPr>
        <w:tab/>
        <w:t xml:space="preserve"> het GTM zoals gedefinieerd in artikel 2, punt 9, van Verordening (EU) nr. 1024/2013;</w:t>
      </w:r>
    </w:p>
    <w:p w:rsidR="0015189C" w:rsidRPr="007870ED" w:rsidRDefault="0015189C" w:rsidP="0015189C">
      <w:pPr>
        <w:widowControl/>
        <w:spacing w:before="120" w:after="120"/>
        <w:ind w:left="1985" w:hanging="567"/>
        <w:jc w:val="both"/>
        <w:rPr>
          <w:rFonts w:eastAsia="Calibri"/>
          <w:b/>
          <w:i/>
          <w:szCs w:val="22"/>
        </w:rPr>
      </w:pPr>
      <w:r w:rsidRPr="007870ED">
        <w:rPr>
          <w:b/>
          <w:i/>
        </w:rPr>
        <w:t xml:space="preserve">h) </w:t>
      </w:r>
      <w:r w:rsidRPr="007870ED">
        <w:rPr>
          <w:b/>
          <w:i/>
        </w:rPr>
        <w:tab/>
        <w:t>de GAR;</w:t>
      </w:r>
    </w:p>
    <w:p w:rsidR="0015189C" w:rsidRPr="007870ED" w:rsidRDefault="0015189C" w:rsidP="0015189C">
      <w:pPr>
        <w:widowControl/>
        <w:spacing w:before="120" w:after="120"/>
        <w:ind w:left="1985" w:hanging="567"/>
        <w:jc w:val="both"/>
        <w:rPr>
          <w:rFonts w:eastAsia="Calibri"/>
          <w:szCs w:val="22"/>
        </w:rPr>
      </w:pPr>
      <w:r w:rsidRPr="007870ED">
        <w:rPr>
          <w:b/>
          <w:i/>
        </w:rPr>
        <w:t xml:space="preserve">i) </w:t>
      </w:r>
      <w:r w:rsidRPr="007870ED">
        <w:rPr>
          <w:b/>
          <w:i/>
        </w:rPr>
        <w:tab/>
        <w:t xml:space="preserve">nationale afwikkelingsautoriteiten zoals gedefinieerd in artikel 3, punt 3, van Verordening (EU) nr. 806/2014.”. </w:t>
      </w:r>
    </w:p>
    <w:p w:rsidR="0015189C" w:rsidRPr="007870ED" w:rsidRDefault="0015189C" w:rsidP="0015189C">
      <w:pPr>
        <w:widowControl/>
        <w:spacing w:before="120" w:after="120"/>
        <w:ind w:left="1418" w:hanging="567"/>
        <w:jc w:val="both"/>
        <w:rPr>
          <w:rFonts w:eastAsia="Calibri"/>
          <w:szCs w:val="22"/>
        </w:rPr>
      </w:pPr>
      <w:r w:rsidRPr="007870ED">
        <w:t xml:space="preserve">9. </w:t>
      </w:r>
      <w:r w:rsidRPr="007870ED">
        <w:rPr>
          <w:b/>
          <w:i/>
        </w:rPr>
        <w:tab/>
      </w:r>
      <w:r w:rsidRPr="007870ED">
        <w:t>Het verzoek tot uitwisseling van informatie overeenkomstig lid 8 vermeldt duidelijk de rechtsgrondslag in het Unierecht die de verzoekende autoriteit toestaat om de informatie te verkrijgen van in dat lid bedoelde financiële instellingen of andere autoriteiten. De verzoekende autoriteit en het ESRB zijn onderworpen aan het ambtsgeheim en aan bepalingen inzake gegevensbescherming die zijn vastgesteld in artikel 8 en in sectorale wetgeving die van toepassing is op het delen van data tussen de financiële instelling of een andere in lid 8 bedoelde autoriteit en de verzoekende autoriteit, alsmede op het delen van data tussen een andere in dat lid bedoelde autoriteit en het ESRB. Het ESRB stelt elke betrokken autoriteit onverwijld in kennis van dit soort informatie-uitwisseling</w:t>
      </w:r>
      <w:r w:rsidRPr="007870ED">
        <w:rPr>
          <w:b/>
          <w:bCs/>
          <w:i/>
          <w:iCs/>
        </w:rPr>
        <w:t>, tenzij de informatie is geanonimiseerd, gewijzigd, geaggregeerd of behandeld met een andere methode van openbaarmakingscontrole om vertrouwelijke informatie te beschermen</w:t>
      </w:r>
      <w:r w:rsidRPr="007870ED">
        <w:t>. </w:t>
      </w:r>
    </w:p>
    <w:p w:rsidR="0015189C" w:rsidRPr="007870ED" w:rsidRDefault="0015189C" w:rsidP="0015189C">
      <w:pPr>
        <w:ind w:left="1418" w:hanging="567"/>
        <w:jc w:val="both"/>
        <w:rPr>
          <w:noProof/>
        </w:rPr>
      </w:pPr>
      <w:r w:rsidRPr="007870ED">
        <w:t xml:space="preserve">10. </w:t>
      </w:r>
      <w:r w:rsidRPr="007870ED">
        <w:rPr>
          <w:b/>
          <w:i/>
        </w:rPr>
        <w:tab/>
      </w:r>
      <w:r w:rsidRPr="007870ED">
        <w:t>De leden 8</w:t>
      </w:r>
      <w:r w:rsidRPr="007870ED">
        <w:rPr>
          <w:b/>
          <w:bCs/>
          <w:i/>
          <w:iCs/>
        </w:rPr>
        <w:t>, 8 bis</w:t>
      </w:r>
      <w:r w:rsidRPr="007870ED">
        <w:t xml:space="preserve"> en 9 zijn ook van toepassing op informatie die het ESRB van </w:t>
      </w:r>
      <w:r w:rsidRPr="007870ED">
        <w:rPr>
          <w:b/>
          <w:bCs/>
          <w:i/>
          <w:iCs/>
        </w:rPr>
        <w:t>de andere autoriteiten</w:t>
      </w:r>
      <w:r w:rsidRPr="007870ED">
        <w:t xml:space="preserve"> heeft ontvangen en waarop het ESRB vervolgens kwaliteitschecks heeft uitgevoerd of die het ESRB anderszins heeft verwerkt. </w:t>
      </w:r>
    </w:p>
    <w:p w:rsidR="0015189C" w:rsidRPr="007870ED" w:rsidRDefault="0015189C" w:rsidP="0015189C">
      <w:pPr>
        <w:widowControl/>
        <w:spacing w:before="120" w:after="120"/>
        <w:ind w:left="1418" w:hanging="567"/>
        <w:jc w:val="both"/>
        <w:rPr>
          <w:rFonts w:eastAsia="Calibri"/>
          <w:szCs w:val="22"/>
        </w:rPr>
      </w:pPr>
      <w:r w:rsidRPr="007870ED">
        <w:t xml:space="preserve">11. </w:t>
      </w:r>
      <w:r w:rsidRPr="007870ED">
        <w:rPr>
          <w:b/>
          <w:i/>
        </w:rPr>
        <w:tab/>
      </w:r>
      <w:r w:rsidRPr="007870ED">
        <w:t>Voor het delen van informatie zoals bedoeld in de leden 8</w:t>
      </w:r>
      <w:r w:rsidRPr="007870ED">
        <w:rPr>
          <w:b/>
          <w:bCs/>
          <w:i/>
          <w:iCs/>
        </w:rPr>
        <w:t>, 8 bis</w:t>
      </w:r>
      <w:r w:rsidRPr="007870ED">
        <w:t xml:space="preserve">, 9 en 10 </w:t>
      </w:r>
      <w:r w:rsidRPr="007870ED">
        <w:rPr>
          <w:b/>
          <w:bCs/>
          <w:i/>
          <w:iCs/>
        </w:rPr>
        <w:t>sluiten het ESRB en</w:t>
      </w:r>
      <w:r w:rsidRPr="007870ED">
        <w:t xml:space="preserve"> de </w:t>
      </w:r>
      <w:r w:rsidRPr="007870ED">
        <w:rPr>
          <w:b/>
          <w:bCs/>
          <w:i/>
          <w:iCs/>
        </w:rPr>
        <w:t>andere</w:t>
      </w:r>
      <w:r w:rsidRPr="007870ED">
        <w:t xml:space="preserve"> autoriteiten memoranda van overeenstemming ▌waarin de concrete voorwaarden voor het uitwisselen van informatie zijn vastgelegd. Zij </w:t>
      </w:r>
      <w:r w:rsidRPr="007870ED">
        <w:rPr>
          <w:b/>
          <w:bCs/>
          <w:i/>
          <w:iCs/>
        </w:rPr>
        <w:t>stellen</w:t>
      </w:r>
      <w:r w:rsidRPr="007870ED">
        <w:t xml:space="preserve"> ook regelingen </w:t>
      </w:r>
      <w:r w:rsidRPr="007870ED">
        <w:rPr>
          <w:b/>
          <w:bCs/>
          <w:i/>
          <w:iCs/>
        </w:rPr>
        <w:t>vast</w:t>
      </w:r>
      <w:r w:rsidRPr="007870ED">
        <w:t xml:space="preserve"> voor het delen van middelen om die gedeelde data te verzamelen en te verwerken</w:t>
      </w:r>
      <w:r w:rsidRPr="007870ED">
        <w:rPr>
          <w:b/>
          <w:bCs/>
          <w:i/>
          <w:iCs/>
        </w:rPr>
        <w:t>, op voorwaarde dat zij aan de toepasselijke regels inzake gegevensbescherming, intellectuele eigendom en het beroepsgeheim voldoen</w:t>
      </w:r>
      <w:r w:rsidRPr="007870ED">
        <w:t>.</w:t>
      </w:r>
      <w:r w:rsidRPr="007870ED">
        <w:rPr>
          <w:b/>
          <w:i/>
        </w:rPr>
        <w:t xml:space="preserve"> De memoranda van overeenstemming volgen in onderlinge overeenstemming tussen alle betrokken autoriteiten een eenvoudig en gestandaardiseerd formaat, zo nodig aangepast aan eventuele bijzondere werkwijzen bij specifieke autoriteiten.</w:t>
      </w:r>
      <w:r w:rsidRPr="007870ED">
        <w:t> </w:t>
      </w:r>
    </w:p>
    <w:p w:rsidR="0015189C" w:rsidRPr="007870ED" w:rsidRDefault="0015189C" w:rsidP="0015189C">
      <w:pPr>
        <w:widowControl/>
        <w:spacing w:before="120" w:after="120"/>
        <w:ind w:left="1418" w:hanging="567"/>
        <w:jc w:val="both"/>
        <w:rPr>
          <w:rFonts w:eastAsia="Calibri"/>
          <w:szCs w:val="22"/>
        </w:rPr>
      </w:pPr>
      <w:r w:rsidRPr="007870ED">
        <w:t xml:space="preserve">12. </w:t>
      </w:r>
      <w:r w:rsidRPr="007870ED">
        <w:rPr>
          <w:b/>
          <w:i/>
        </w:rPr>
        <w:tab/>
      </w:r>
      <w:r w:rsidRPr="007870ED">
        <w:t>De leden 8</w:t>
      </w:r>
      <w:r w:rsidRPr="007870ED">
        <w:rPr>
          <w:b/>
          <w:bCs/>
          <w:i/>
          <w:iCs/>
        </w:rPr>
        <w:t>, 9 en</w:t>
      </w:r>
      <w:r w:rsidRPr="007870ED">
        <w:t xml:space="preserve"> 10 laten de bescherming van intellectuele-eigendomsrechten onverlet en vormen geen beletsel voor of beperking van de uitwisseling van informatie tussen </w:t>
      </w:r>
      <w:r w:rsidRPr="007870ED">
        <w:rPr>
          <w:b/>
          <w:bCs/>
          <w:i/>
          <w:iCs/>
        </w:rPr>
        <w:t>het ESRB en de andere</w:t>
      </w:r>
      <w:r w:rsidRPr="007870ED">
        <w:t xml:space="preserve"> autoriteiten overeenkomstig </w:t>
      </w:r>
      <w:r w:rsidRPr="007870ED">
        <w:lastRenderedPageBreak/>
        <w:t xml:space="preserve">bepalingen in andere Uniewetgeving. Wanneer lid 8, 9 of 10 in strijd is met bepalingen in andere Uniewetgeving die de uitwisseling van informatie tussen de </w:t>
      </w:r>
      <w:r w:rsidRPr="007870ED">
        <w:rPr>
          <w:b/>
          <w:bCs/>
          <w:i/>
          <w:iCs/>
        </w:rPr>
        <w:t>andere</w:t>
      </w:r>
      <w:r w:rsidRPr="007870ED">
        <w:t xml:space="preserve"> autoriteiten beregelt, hebben de bepalingen in die andere Uniewetgeving voorrang. </w:t>
      </w:r>
    </w:p>
    <w:p w:rsidR="0015189C" w:rsidRPr="007870ED" w:rsidRDefault="0015189C" w:rsidP="0015189C">
      <w:pPr>
        <w:widowControl/>
        <w:spacing w:before="120" w:after="120"/>
        <w:ind w:left="1418" w:hanging="567"/>
        <w:jc w:val="both"/>
        <w:rPr>
          <w:rFonts w:eastAsia="Calibri"/>
          <w:szCs w:val="22"/>
        </w:rPr>
      </w:pPr>
      <w:r w:rsidRPr="007870ED">
        <w:t xml:space="preserve">13. </w:t>
      </w:r>
      <w:r w:rsidRPr="007870ED">
        <w:rPr>
          <w:b/>
          <w:i/>
        </w:rPr>
        <w:tab/>
      </w:r>
      <w:r w:rsidRPr="007870ED">
        <w:t xml:space="preserve">Onverminderd andere verplichtingen die in Unierecht voor het delen van informatie zijn vastgelegd, </w:t>
      </w:r>
      <w:r w:rsidRPr="007870ED">
        <w:rPr>
          <w:b/>
          <w:bCs/>
          <w:i/>
          <w:iCs/>
        </w:rPr>
        <w:t>kan</w:t>
      </w:r>
      <w:r w:rsidRPr="007870ED">
        <w:t xml:space="preserve"> het ESRB, na een gemotiveerd verzoek en op individuele basis, met de Commissie ▌informatie </w:t>
      </w:r>
      <w:r w:rsidRPr="007870ED">
        <w:rPr>
          <w:b/>
          <w:bCs/>
          <w:i/>
          <w:iCs/>
        </w:rPr>
        <w:t>delen</w:t>
      </w:r>
      <w:r w:rsidRPr="007870ED">
        <w:t xml:space="preserve"> die andere autoriteiten bij haar hebben gerapporteerd krachtens hun verplichtingen uit hoofde van Unierecht</w:t>
      </w:r>
      <w:r w:rsidRPr="007870ED">
        <w:rPr>
          <w:b/>
          <w:bCs/>
          <w:i/>
          <w:iCs/>
        </w:rPr>
        <w:t>,</w:t>
      </w:r>
      <w:r w:rsidRPr="007870ED">
        <w:t xml:space="preserve"> in een vorm die geen identificatie van individuele entiteiten mogelijk maakt en geen persoonsgegevens bevat. </w:t>
      </w:r>
      <w:r w:rsidRPr="007870ED">
        <w:rPr>
          <w:b/>
          <w:i/>
        </w:rPr>
        <w:t>De autoriteiten die dergelijke informatie hebben verstrekt, worden naar behoren geïnformeerd over de uitwisseling die heeft plaatsgevonden.</w:t>
      </w:r>
    </w:p>
    <w:p w:rsidR="0015189C" w:rsidRPr="007870ED" w:rsidRDefault="0015189C" w:rsidP="0015189C">
      <w:pPr>
        <w:widowControl/>
        <w:spacing w:before="120" w:after="120"/>
        <w:ind w:left="1418" w:hanging="567"/>
        <w:jc w:val="both"/>
        <w:rPr>
          <w:rFonts w:eastAsia="Calibri"/>
          <w:szCs w:val="22"/>
        </w:rPr>
      </w:pPr>
      <w:r w:rsidRPr="007870ED">
        <w:t xml:space="preserve">14. </w:t>
      </w:r>
      <w:r w:rsidRPr="007870ED">
        <w:rPr>
          <w:b/>
          <w:i/>
        </w:rPr>
        <w:tab/>
      </w:r>
      <w:r w:rsidRPr="007870ED">
        <w:t xml:space="preserve">Het ESRB kan, voor onderzoeks- en innovatiedoeleinden, tot bij de uitvoering van haar taken verkregen informatie toegang verlenen voor hergebruik door financiële instellingen, onderzoekers en andere entiteiten die een rechtmatig belang bij die informatie hebben, op voorwaarde dat het ESRB zich ervan vergewist heeft dat alle volgende punten in acht zijn genomen: </w:t>
      </w:r>
    </w:p>
    <w:p w:rsidR="0015189C" w:rsidRPr="007870ED" w:rsidRDefault="0015189C" w:rsidP="0015189C">
      <w:pPr>
        <w:widowControl/>
        <w:spacing w:before="120" w:after="120"/>
        <w:ind w:left="1985" w:hanging="567"/>
        <w:jc w:val="both"/>
        <w:rPr>
          <w:rFonts w:eastAsia="Calibri"/>
          <w:szCs w:val="22"/>
        </w:rPr>
      </w:pPr>
      <w:r w:rsidRPr="007870ED">
        <w:t>a)</w:t>
      </w:r>
      <w:r w:rsidRPr="007870ED">
        <w:rPr>
          <w:b/>
          <w:i/>
        </w:rPr>
        <w:tab/>
      </w:r>
      <w:r w:rsidRPr="007870ED">
        <w:t xml:space="preserve"> de informatie is zodanig geanonimiseerd dat het datasubject of de financiële instelling niet of niet meer kan worden geïdentificeerd;</w:t>
      </w:r>
    </w:p>
    <w:p w:rsidR="0015189C" w:rsidRPr="007870ED" w:rsidRDefault="0015189C" w:rsidP="0015189C">
      <w:pPr>
        <w:widowControl/>
        <w:spacing w:before="120" w:after="120"/>
        <w:ind w:left="1985" w:hanging="567"/>
        <w:jc w:val="both"/>
        <w:rPr>
          <w:rFonts w:eastAsia="Calibri"/>
          <w:szCs w:val="22"/>
        </w:rPr>
      </w:pPr>
      <w:r w:rsidRPr="007870ED">
        <w:t xml:space="preserve">b) </w:t>
      </w:r>
      <w:r w:rsidRPr="007870ED">
        <w:rPr>
          <w:b/>
          <w:i/>
        </w:rPr>
        <w:tab/>
      </w:r>
      <w:r w:rsidRPr="007870ED">
        <w:t>de informatie is gewijzigd, geaggregeerd of behandeld volgens een andere methode om de openbaarmaking ervan te controleren, zodat vertrouwelijke informatie, met inbegrip van bedrijfsgeheimen of door intellectuele-eigendomsrechten beschermde inhoud, beschermd is</w:t>
      </w:r>
      <w:r w:rsidRPr="007870ED">
        <w:rPr>
          <w:b/>
          <w:bCs/>
          <w:i/>
          <w:iCs/>
        </w:rPr>
        <w:t>;</w:t>
      </w:r>
    </w:p>
    <w:p w:rsidR="0015189C" w:rsidRPr="007870ED" w:rsidRDefault="0015189C" w:rsidP="0015189C">
      <w:pPr>
        <w:widowControl/>
        <w:spacing w:before="120" w:after="120"/>
        <w:ind w:left="1985" w:hanging="567"/>
        <w:jc w:val="both"/>
        <w:rPr>
          <w:rFonts w:eastAsia="Calibri"/>
          <w:b/>
          <w:i/>
          <w:szCs w:val="22"/>
        </w:rPr>
      </w:pPr>
      <w:r w:rsidRPr="007870ED">
        <w:rPr>
          <w:b/>
          <w:i/>
        </w:rPr>
        <w:t>c)</w:t>
      </w:r>
      <w:r w:rsidRPr="007870ED">
        <w:rPr>
          <w:b/>
          <w:i/>
        </w:rPr>
        <w:tab/>
      </w:r>
      <w:r w:rsidRPr="007870ED">
        <w:rPr>
          <w:b/>
          <w:bCs/>
          <w:i/>
          <w:iCs/>
        </w:rPr>
        <w:t>de partijen waaraan toegang is verleend, hebben aangetoond dat zij de nodige technische middelen hebben om vertrouwelijke informatie te beschermen, d.w.z. dat zij over instrumenten beschikken die de bescherming van de privacy en de vertrouwelijkheid volledig kunnen garanderen.</w:t>
      </w:r>
    </w:p>
    <w:p w:rsidR="0015189C" w:rsidRPr="007870ED" w:rsidRDefault="0015189C" w:rsidP="00F942BB">
      <w:pPr>
        <w:widowControl/>
        <w:spacing w:before="120" w:after="120"/>
        <w:ind w:left="1418"/>
        <w:jc w:val="both"/>
        <w:rPr>
          <w:rFonts w:eastAsia="Calibri"/>
          <w:szCs w:val="22"/>
        </w:rPr>
      </w:pPr>
      <w:r w:rsidRPr="007870ED">
        <w:t xml:space="preserve">Informatie die van een andere autoriteit is ontvangen, wordt alleen </w:t>
      </w:r>
      <w:r w:rsidRPr="007870ED">
        <w:rPr>
          <w:b/>
          <w:bCs/>
          <w:i/>
          <w:iCs/>
        </w:rPr>
        <w:t>op die basis gedeeld</w:t>
      </w:r>
      <w:r w:rsidRPr="007870ED">
        <w:t xml:space="preserve"> met de instemming van de autoriteit die de informatie aanvankelijk heeft verkregen.</w:t>
      </w:r>
    </w:p>
    <w:p w:rsidR="0015189C" w:rsidRPr="007870ED" w:rsidRDefault="0015189C" w:rsidP="0015189C">
      <w:pPr>
        <w:widowControl/>
        <w:spacing w:before="120" w:after="120"/>
        <w:ind w:left="1418" w:hanging="567"/>
        <w:jc w:val="both"/>
        <w:rPr>
          <w:rFonts w:eastAsia="Calibri"/>
          <w:b/>
          <w:i/>
          <w:szCs w:val="22"/>
        </w:rPr>
      </w:pPr>
      <w:r w:rsidRPr="007870ED">
        <w:rPr>
          <w:b/>
          <w:i/>
        </w:rPr>
        <w:t>14 bis.</w:t>
      </w:r>
      <w:r w:rsidRPr="007870ED">
        <w:rPr>
          <w:b/>
          <w:i/>
        </w:rPr>
        <w:tab/>
        <w:t>Het ESRB brengt uiterlijk op ... [1 jaar na de datum van inwerkingtreding van deze wijzigingsverordening] aan de Commissie verslag uit over alle juridische hinderpalen in sectorale regelgeving die het ESRB op enigerlei wijze verhinderen informatie uit te wisselen met andere autoriteiten of met andere entiteiten. In het verslag kan ook melding worden gemaakt van niet-materiële, achterhaalde, dubbele of anderszins irrelevante verslaggevingsvereisten.</w:t>
      </w:r>
    </w:p>
    <w:p w:rsidR="0015189C" w:rsidRPr="007870ED" w:rsidRDefault="0015189C" w:rsidP="0015189C">
      <w:pPr>
        <w:widowControl/>
        <w:spacing w:before="120" w:after="120"/>
        <w:ind w:left="1418"/>
        <w:jc w:val="both"/>
        <w:rPr>
          <w:rFonts w:eastAsia="Calibri"/>
          <w:b/>
          <w:i/>
          <w:szCs w:val="22"/>
        </w:rPr>
      </w:pPr>
      <w:r w:rsidRPr="007870ED">
        <w:rPr>
          <w:b/>
          <w:i/>
        </w:rPr>
        <w:t>Op basis van dat verslag en terdege rekening houdend met de bescherming van intellectuele-eigendomsrechten, het ambtsgeheim en gegevensbescherming, dient de Commissie zo nodig uiterlijk op ... [2 jaar na de datum van inwerkingtreding van deze wijzigingsverordening] bij het Europees Parlement en de Raad een wetgevingsvoorstel in om die juridische hinderpalen in sectorale wetgeving weg te nemen teneinde de uitwisseling van informatie tussen autoriteiten en met an</w:t>
      </w:r>
      <w:r w:rsidR="00F942BB" w:rsidRPr="007870ED">
        <w:rPr>
          <w:b/>
          <w:i/>
        </w:rPr>
        <w:t>dere entiteiten te bevorderen.”;</w:t>
      </w:r>
      <w:r w:rsidRPr="007870ED">
        <w:rPr>
          <w:b/>
          <w:i/>
        </w:rPr>
        <w:t xml:space="preserve"> </w:t>
      </w:r>
    </w:p>
    <w:p w:rsidR="0015189C" w:rsidRPr="007870ED" w:rsidRDefault="0015189C" w:rsidP="0015189C">
      <w:pPr>
        <w:widowControl/>
        <w:rPr>
          <w:rFonts w:eastAsia="Calibri"/>
          <w:szCs w:val="24"/>
        </w:rPr>
      </w:pPr>
      <w:r w:rsidRPr="007870ED">
        <w:rPr>
          <w:b/>
          <w:i/>
        </w:rPr>
        <w:t>2 bis.</w:t>
      </w:r>
      <w:r w:rsidRPr="007870ED">
        <w:rPr>
          <w:b/>
          <w:i/>
        </w:rPr>
        <w:tab/>
        <w:t>Het volgende artikel wordt ingevoegd:</w:t>
      </w:r>
      <w:r w:rsidRPr="007870ED">
        <w:t xml:space="preserve"> </w:t>
      </w:r>
    </w:p>
    <w:p w:rsidR="0015189C" w:rsidRPr="007870ED" w:rsidRDefault="0015189C" w:rsidP="0015189C">
      <w:pPr>
        <w:widowControl/>
        <w:spacing w:before="120" w:after="120"/>
        <w:rPr>
          <w:rFonts w:eastAsia="Calibri"/>
          <w:b/>
          <w:i/>
          <w:szCs w:val="22"/>
        </w:rPr>
      </w:pPr>
      <w:r w:rsidRPr="007870ED">
        <w:rPr>
          <w:b/>
          <w:i/>
        </w:rPr>
        <w:t>“Artikel 15 bis</w:t>
      </w:r>
    </w:p>
    <w:p w:rsidR="0015189C" w:rsidRPr="007870ED" w:rsidRDefault="0015189C" w:rsidP="0015189C">
      <w:pPr>
        <w:widowControl/>
        <w:spacing w:before="120" w:after="120"/>
        <w:rPr>
          <w:rFonts w:eastAsia="Calibri"/>
          <w:b/>
          <w:i/>
          <w:szCs w:val="22"/>
        </w:rPr>
      </w:pPr>
      <w:r w:rsidRPr="007870ED">
        <w:rPr>
          <w:b/>
          <w:i/>
        </w:rPr>
        <w:lastRenderedPageBreak/>
        <w:t>Instelling van een gemeenschappelijk geïntegreerd rapportagesysteem</w:t>
      </w:r>
    </w:p>
    <w:p w:rsidR="0015189C" w:rsidRPr="007870ED" w:rsidRDefault="0015189C" w:rsidP="0015189C">
      <w:pPr>
        <w:widowControl/>
        <w:spacing w:before="120" w:after="120"/>
        <w:ind w:left="851" w:hanging="851"/>
        <w:jc w:val="both"/>
        <w:rPr>
          <w:rFonts w:eastAsia="Calibri"/>
          <w:b/>
          <w:i/>
          <w:szCs w:val="22"/>
        </w:rPr>
      </w:pPr>
      <w:r w:rsidRPr="007870ED">
        <w:rPr>
          <w:b/>
          <w:i/>
        </w:rPr>
        <w:t xml:space="preserve">1. </w:t>
      </w:r>
      <w:r w:rsidRPr="007870ED">
        <w:rPr>
          <w:b/>
          <w:i/>
        </w:rPr>
        <w:tab/>
        <w:t xml:space="preserve">Uiterlijk op ... [2 jaar na de datum van inwerkingtreding van deze wijzigingsverordening] stelt het ESRB, in nauwe samenwerking met de andere autoriteiten, een verslag over de technische details van de instelling van een gemeenschappelijk geïntegreerd rapportagesysteem alsook een routekaart op, op basis van de werkzaamheden met het oog op de integratie van de rapportage door de </w:t>
      </w:r>
      <w:proofErr w:type="spellStart"/>
      <w:r w:rsidRPr="007870ED">
        <w:rPr>
          <w:b/>
          <w:i/>
        </w:rPr>
        <w:t>ETA’s</w:t>
      </w:r>
      <w:proofErr w:type="spellEnd"/>
      <w:r w:rsidRPr="007870ED">
        <w:rPr>
          <w:b/>
          <w:i/>
        </w:rPr>
        <w:t xml:space="preserve"> in hun sectoren, met een kosten-batenanalyse. Ten behoeve van dat verslag omvat het geïntegreerde rapportagesysteem:</w:t>
      </w:r>
    </w:p>
    <w:p w:rsidR="0015189C" w:rsidRPr="007870ED" w:rsidRDefault="0015189C" w:rsidP="0015189C">
      <w:pPr>
        <w:widowControl/>
        <w:spacing w:before="120" w:after="120"/>
        <w:ind w:left="1418" w:hanging="567"/>
        <w:jc w:val="both"/>
        <w:rPr>
          <w:rFonts w:eastAsia="Calibri"/>
          <w:b/>
          <w:i/>
          <w:szCs w:val="22"/>
        </w:rPr>
      </w:pPr>
      <w:r w:rsidRPr="007870ED">
        <w:rPr>
          <w:b/>
          <w:i/>
        </w:rPr>
        <w:t>a)</w:t>
      </w:r>
      <w:r w:rsidRPr="007870ED">
        <w:rPr>
          <w:b/>
          <w:i/>
        </w:rPr>
        <w:tab/>
        <w:t xml:space="preserve"> een gemeenschappelijke data </w:t>
      </w:r>
      <w:proofErr w:type="spellStart"/>
      <w:r w:rsidRPr="007870ED">
        <w:rPr>
          <w:b/>
          <w:i/>
        </w:rPr>
        <w:t>dictionary</w:t>
      </w:r>
      <w:proofErr w:type="spellEnd"/>
      <w:r w:rsidRPr="007870ED">
        <w:rPr>
          <w:b/>
          <w:i/>
        </w:rPr>
        <w:t xml:space="preserve"> om de consistentie en duidelijkheid van de rapportagevereisten en de standaardisering van de gegevens te waarborgen;</w:t>
      </w:r>
    </w:p>
    <w:p w:rsidR="0015189C" w:rsidRPr="007870ED" w:rsidRDefault="0015189C" w:rsidP="0015189C">
      <w:pPr>
        <w:widowControl/>
        <w:spacing w:before="120" w:after="120"/>
        <w:ind w:left="1418" w:hanging="567"/>
        <w:jc w:val="both"/>
        <w:rPr>
          <w:rFonts w:eastAsia="Calibri"/>
          <w:b/>
          <w:i/>
          <w:szCs w:val="22"/>
        </w:rPr>
      </w:pPr>
      <w:r w:rsidRPr="007870ED">
        <w:rPr>
          <w:b/>
          <w:i/>
        </w:rPr>
        <w:t>b)</w:t>
      </w:r>
      <w:r w:rsidRPr="007870ED">
        <w:rPr>
          <w:b/>
          <w:i/>
        </w:rPr>
        <w:tab/>
        <w:t xml:space="preserve"> een gezamenlijk register van rapportage- en openbaarmakingsvereisten, van de beschrijvingen van de verzamelde gegevens en van de autoriteiten die deze gegevens hebben;</w:t>
      </w:r>
    </w:p>
    <w:p w:rsidR="0015189C" w:rsidRPr="007870ED" w:rsidRDefault="0015189C" w:rsidP="0015189C">
      <w:pPr>
        <w:widowControl/>
        <w:spacing w:before="120" w:after="120"/>
        <w:ind w:left="1418" w:hanging="567"/>
        <w:jc w:val="both"/>
        <w:rPr>
          <w:rFonts w:eastAsia="Calibri"/>
          <w:b/>
          <w:i/>
          <w:szCs w:val="22"/>
        </w:rPr>
      </w:pPr>
      <w:r w:rsidRPr="007870ED">
        <w:rPr>
          <w:b/>
          <w:i/>
        </w:rPr>
        <w:t>c)</w:t>
      </w:r>
      <w:r w:rsidRPr="007870ED">
        <w:rPr>
          <w:b/>
          <w:i/>
        </w:rPr>
        <w:tab/>
        <w:t xml:space="preserve"> een centrale gegevensruimte, met inbegrip van het technische ontwerp voor het verzamelen en uitwisselen van informatie; en </w:t>
      </w:r>
    </w:p>
    <w:p w:rsidR="0015189C" w:rsidRPr="007870ED" w:rsidRDefault="0015189C" w:rsidP="0015189C">
      <w:pPr>
        <w:widowControl/>
        <w:spacing w:before="120" w:after="120"/>
        <w:ind w:left="1418" w:hanging="567"/>
        <w:jc w:val="both"/>
        <w:rPr>
          <w:rFonts w:eastAsia="Calibri"/>
          <w:b/>
          <w:i/>
          <w:szCs w:val="22"/>
        </w:rPr>
      </w:pPr>
      <w:r w:rsidRPr="007870ED">
        <w:rPr>
          <w:b/>
          <w:i/>
        </w:rPr>
        <w:t xml:space="preserve">d) </w:t>
      </w:r>
      <w:r w:rsidRPr="007870ED">
        <w:rPr>
          <w:b/>
          <w:i/>
        </w:rPr>
        <w:tab/>
        <w:t xml:space="preserve">een permanent centraal contactpunt waar entiteiten gevallen van dubbele rapportage en overbodige of achterhaalde rapportage- of openbaarmakingsvereisten kunnen melden. </w:t>
      </w:r>
    </w:p>
    <w:p w:rsidR="0015189C" w:rsidRPr="007870ED" w:rsidRDefault="0015189C" w:rsidP="0015189C">
      <w:pPr>
        <w:widowControl/>
        <w:spacing w:before="120" w:after="120"/>
        <w:ind w:left="851"/>
        <w:jc w:val="both"/>
        <w:rPr>
          <w:rFonts w:eastAsia="Calibri"/>
          <w:b/>
          <w:i/>
          <w:noProof/>
          <w:szCs w:val="22"/>
        </w:rPr>
      </w:pPr>
      <w:r w:rsidRPr="007870ED">
        <w:rPr>
          <w:b/>
          <w:i/>
        </w:rPr>
        <w:t xml:space="preserve">In nauwe samenwerking met de Commissie gaat het verslag vergezeld van een raming van de totale financiële gevolgen. </w:t>
      </w:r>
    </w:p>
    <w:p w:rsidR="0015189C" w:rsidRPr="007870ED" w:rsidRDefault="0015189C" w:rsidP="0015189C">
      <w:pPr>
        <w:widowControl/>
        <w:spacing w:before="120" w:after="120"/>
        <w:ind w:left="851"/>
        <w:jc w:val="both"/>
        <w:rPr>
          <w:rFonts w:eastAsia="Calibri"/>
          <w:b/>
          <w:i/>
          <w:noProof/>
          <w:szCs w:val="22"/>
        </w:rPr>
      </w:pPr>
      <w:r w:rsidRPr="007870ED">
        <w:rPr>
          <w:b/>
          <w:i/>
        </w:rPr>
        <w:t xml:space="preserve">Uiterlijk op ... [3 jaar na de datum van inwerkingtreding van deze wijzigingsverordening] dient de Commissie zo nodig bij het Europees Parlement en de Raad een wetgevingsvoorstel in om te zorgen voor de nodige financiële, personele en IT-middelen voor de instelling van het gemeenschappelijke geïntegreerde rapportagesysteem. </w:t>
      </w:r>
    </w:p>
    <w:p w:rsidR="0015189C" w:rsidRPr="007870ED" w:rsidRDefault="0015189C" w:rsidP="0015189C">
      <w:pPr>
        <w:widowControl/>
        <w:spacing w:before="120" w:after="120"/>
        <w:ind w:left="851"/>
        <w:jc w:val="both"/>
        <w:rPr>
          <w:rFonts w:eastAsia="Calibri"/>
          <w:noProof/>
          <w:szCs w:val="22"/>
        </w:rPr>
      </w:pPr>
      <w:r w:rsidRPr="007870ED">
        <w:rPr>
          <w:b/>
          <w:i/>
        </w:rPr>
        <w:t>Uiterlijk op ... [3 jaar na de datum van inwerkingtreding van deze wijzigingsverordening] stelt het ESRB samen met de andere autoriteiten het gemeenschappelijke geïntegreerde rapportagesysteem in.</w:t>
      </w:r>
      <w:r w:rsidRPr="007870ED">
        <w:t xml:space="preserve"> ”.</w:t>
      </w:r>
    </w:p>
    <w:p w:rsidR="0015189C" w:rsidRPr="007870ED" w:rsidRDefault="0015189C" w:rsidP="0015189C">
      <w:pPr>
        <w:keepNext/>
        <w:widowControl/>
        <w:spacing w:before="360" w:after="120"/>
        <w:jc w:val="center"/>
        <w:rPr>
          <w:rFonts w:eastAsia="Calibri"/>
          <w:i/>
          <w:noProof/>
          <w:szCs w:val="22"/>
        </w:rPr>
      </w:pPr>
      <w:r w:rsidRPr="007870ED">
        <w:rPr>
          <w:i/>
        </w:rPr>
        <w:t>Artikel 2</w:t>
      </w:r>
    </w:p>
    <w:p w:rsidR="0015189C" w:rsidRPr="007870ED" w:rsidRDefault="0015189C" w:rsidP="0015189C">
      <w:pPr>
        <w:widowControl/>
        <w:spacing w:before="120" w:after="120"/>
        <w:jc w:val="center"/>
        <w:rPr>
          <w:rFonts w:eastAsia="Calibri"/>
          <w:noProof/>
          <w:szCs w:val="22"/>
        </w:rPr>
      </w:pPr>
      <w:r w:rsidRPr="007870ED">
        <w:rPr>
          <w:b/>
        </w:rPr>
        <w:t>Wijzigingen van Verordening (EU) nr. 1093/2010</w:t>
      </w:r>
    </w:p>
    <w:p w:rsidR="0015189C" w:rsidRPr="007870ED" w:rsidRDefault="0015189C" w:rsidP="0015189C">
      <w:pPr>
        <w:widowControl/>
        <w:spacing w:before="120" w:after="120"/>
        <w:jc w:val="both"/>
        <w:rPr>
          <w:rFonts w:eastAsia="Calibri"/>
          <w:noProof/>
          <w:szCs w:val="22"/>
        </w:rPr>
      </w:pPr>
      <w:r w:rsidRPr="007870ED">
        <w:t>Verordening (EU) nr. 1093/2010 wordt als volgt gewijzigd: </w:t>
      </w:r>
    </w:p>
    <w:p w:rsidR="0015189C" w:rsidRPr="007870ED" w:rsidRDefault="0015189C" w:rsidP="0015189C">
      <w:pPr>
        <w:widowControl/>
        <w:spacing w:before="120" w:after="120"/>
        <w:ind w:left="850" w:hanging="850"/>
        <w:jc w:val="both"/>
        <w:rPr>
          <w:rFonts w:eastAsia="Calibri"/>
          <w:b/>
          <w:i/>
          <w:szCs w:val="22"/>
        </w:rPr>
      </w:pPr>
      <w:r w:rsidRPr="007870ED">
        <w:rPr>
          <w:b/>
          <w:i/>
        </w:rPr>
        <w:t>-1.</w:t>
      </w:r>
      <w:r w:rsidRPr="007870ED">
        <w:rPr>
          <w:b/>
          <w:i/>
        </w:rPr>
        <w:tab/>
        <w:t>Aan artikel 16 bis, lid 1, wordt de volgende alinea toegevoegd:</w:t>
      </w:r>
    </w:p>
    <w:p w:rsidR="0015189C" w:rsidRPr="007870ED" w:rsidRDefault="0015189C" w:rsidP="0015189C">
      <w:pPr>
        <w:widowControl/>
        <w:spacing w:before="120" w:after="120"/>
        <w:ind w:left="851"/>
        <w:jc w:val="both"/>
        <w:rPr>
          <w:rFonts w:eastAsia="Calibri"/>
          <w:b/>
          <w:i/>
          <w:noProof/>
          <w:szCs w:val="22"/>
        </w:rPr>
      </w:pPr>
      <w:r w:rsidRPr="007870ED">
        <w:rPr>
          <w:b/>
          <w:i/>
        </w:rPr>
        <w:t>“De adviezen van de Autoriteit zijn niet beperkt tot lopende wetgevingsprocedures. De Autoriteit kan in haar adviezen zo nodig ook wijzigingen van wetgevingshandelingen die van kracht zijn voorstellen, waaronder wijzigingen om:</w:t>
      </w:r>
    </w:p>
    <w:p w:rsidR="0015189C" w:rsidRPr="007870ED" w:rsidRDefault="0015189C" w:rsidP="0015189C">
      <w:pPr>
        <w:widowControl/>
        <w:spacing w:before="120" w:after="120"/>
        <w:ind w:left="1418" w:hanging="567"/>
        <w:jc w:val="both"/>
        <w:rPr>
          <w:rFonts w:eastAsia="Calibri"/>
          <w:b/>
          <w:i/>
          <w:noProof/>
          <w:szCs w:val="22"/>
        </w:rPr>
      </w:pPr>
      <w:r w:rsidRPr="007870ED">
        <w:rPr>
          <w:b/>
          <w:i/>
        </w:rPr>
        <w:t>a)</w:t>
      </w:r>
      <w:r w:rsidRPr="007870ED">
        <w:rPr>
          <w:b/>
          <w:i/>
        </w:rPr>
        <w:tab/>
        <w:t xml:space="preserve"> overbodige of achterhaalde rapportage- en openbaarmakingsvereisten in het Unierecht of de nationale omzetting van het Unierecht door de lidstaten te schrappen;</w:t>
      </w:r>
    </w:p>
    <w:p w:rsidR="0015189C" w:rsidRPr="007870ED" w:rsidRDefault="0015189C" w:rsidP="0015189C">
      <w:pPr>
        <w:widowControl/>
        <w:spacing w:before="120" w:after="120"/>
        <w:ind w:left="1418" w:hanging="567"/>
        <w:jc w:val="both"/>
        <w:rPr>
          <w:rFonts w:eastAsia="Calibri"/>
          <w:b/>
          <w:i/>
          <w:noProof/>
          <w:szCs w:val="22"/>
        </w:rPr>
      </w:pPr>
      <w:r w:rsidRPr="007870ED">
        <w:rPr>
          <w:b/>
          <w:i/>
        </w:rPr>
        <w:t>b)</w:t>
      </w:r>
      <w:r w:rsidRPr="007870ED">
        <w:rPr>
          <w:b/>
          <w:i/>
        </w:rPr>
        <w:tab/>
        <w:t xml:space="preserve"> te zorgen voor consistente rapportage- en openbaarmakingsvereisten in zowel sectorspecifieke als </w:t>
      </w:r>
      <w:proofErr w:type="spellStart"/>
      <w:r w:rsidRPr="007870ED">
        <w:rPr>
          <w:b/>
          <w:i/>
        </w:rPr>
        <w:t>sectoroverschrijdende</w:t>
      </w:r>
      <w:proofErr w:type="spellEnd"/>
      <w:r w:rsidRPr="007870ED">
        <w:rPr>
          <w:b/>
          <w:i/>
        </w:rPr>
        <w:t xml:space="preserve"> wetgeving;</w:t>
      </w:r>
    </w:p>
    <w:p w:rsidR="0015189C" w:rsidRPr="007870ED" w:rsidRDefault="0015189C" w:rsidP="0015189C">
      <w:pPr>
        <w:widowControl/>
        <w:spacing w:before="120" w:after="120"/>
        <w:ind w:left="1418" w:hanging="567"/>
        <w:jc w:val="both"/>
        <w:rPr>
          <w:rFonts w:eastAsia="Calibri"/>
          <w:b/>
          <w:i/>
          <w:noProof/>
          <w:szCs w:val="22"/>
        </w:rPr>
      </w:pPr>
      <w:r w:rsidRPr="007870ED">
        <w:rPr>
          <w:b/>
          <w:i/>
        </w:rPr>
        <w:lastRenderedPageBreak/>
        <w:t xml:space="preserve">c) </w:t>
      </w:r>
      <w:r w:rsidRPr="007870ED">
        <w:rPr>
          <w:b/>
          <w:i/>
        </w:rPr>
        <w:tab/>
        <w:t xml:space="preserve">te zorgen voor evenredigheid in de rapportage- en openbaarmakingsvereisten met betrekking tot de aard, omvang en complexiteit van de rapporterende entiteit; </w:t>
      </w:r>
    </w:p>
    <w:p w:rsidR="0015189C" w:rsidRPr="007870ED" w:rsidRDefault="0015189C" w:rsidP="0015189C">
      <w:pPr>
        <w:widowControl/>
        <w:spacing w:before="120" w:after="120"/>
        <w:ind w:left="1418" w:hanging="567"/>
        <w:jc w:val="both"/>
        <w:rPr>
          <w:rFonts w:eastAsia="Calibri"/>
          <w:b/>
          <w:bCs/>
          <w:i/>
          <w:iCs/>
          <w:szCs w:val="22"/>
        </w:rPr>
      </w:pPr>
      <w:r w:rsidRPr="007870ED">
        <w:rPr>
          <w:b/>
          <w:i/>
        </w:rPr>
        <w:t xml:space="preserve">d) </w:t>
      </w:r>
      <w:r w:rsidRPr="007870ED">
        <w:rPr>
          <w:b/>
          <w:i/>
        </w:rPr>
        <w:tab/>
        <w:t>ervoor zorgen dat de naleving van de rapportage- en openbaarmakingsvereisten in verhouding staat tot de toegevoegde waarde voor het vervullen van de taken en doelstellingen van de Autoriteit.</w:t>
      </w:r>
    </w:p>
    <w:p w:rsidR="0015189C" w:rsidRPr="007870ED" w:rsidRDefault="0015189C" w:rsidP="0015189C">
      <w:pPr>
        <w:widowControl/>
        <w:spacing w:before="120" w:after="120"/>
        <w:ind w:left="850" w:firstLine="1"/>
        <w:jc w:val="both"/>
        <w:rPr>
          <w:rFonts w:eastAsia="Calibri"/>
          <w:b/>
          <w:bCs/>
          <w:i/>
          <w:iCs/>
          <w:szCs w:val="22"/>
        </w:rPr>
      </w:pPr>
      <w:r w:rsidRPr="007870ED">
        <w:rPr>
          <w:b/>
          <w:i/>
        </w:rPr>
        <w:t>Bij het opstellen van de in de eerste alinea bedoelde adviezen over van kracht zijnde wetgevingshandelingen houdt de Autoriteit door een specifieke raadpleging naar behoren rekening met de inbreng van alle relevante belanghebbenden. Op basis van die adviezen dient de Commissie zo nodig bij het Europees Parlement en de Raad een wetgevingsvoorstel in.”</w:t>
      </w:r>
      <w:r w:rsidR="00F942BB" w:rsidRPr="007870ED">
        <w:rPr>
          <w:b/>
          <w:i/>
        </w:rPr>
        <w:t>;</w:t>
      </w:r>
    </w:p>
    <w:p w:rsidR="0015189C" w:rsidRPr="007870ED" w:rsidRDefault="0015189C" w:rsidP="0015189C">
      <w:pPr>
        <w:widowControl/>
        <w:spacing w:before="120" w:after="120"/>
        <w:ind w:left="850" w:hanging="850"/>
        <w:jc w:val="both"/>
        <w:rPr>
          <w:rFonts w:eastAsia="Calibri"/>
          <w:noProof/>
          <w:szCs w:val="22"/>
        </w:rPr>
      </w:pPr>
      <w:r w:rsidRPr="007870ED">
        <w:t>1.</w:t>
      </w:r>
      <w:r w:rsidRPr="007870ED">
        <w:tab/>
        <w:t>In artikel 29, lid 1, wordt punt d) vervangen door: </w:t>
      </w:r>
    </w:p>
    <w:p w:rsidR="0015189C" w:rsidRPr="007870ED" w:rsidRDefault="0015189C" w:rsidP="0015189C">
      <w:pPr>
        <w:ind w:left="1418" w:hanging="567"/>
        <w:jc w:val="both"/>
        <w:rPr>
          <w:rFonts w:eastAsia="Calibri"/>
          <w:b/>
          <w:i/>
          <w:szCs w:val="22"/>
        </w:rPr>
      </w:pPr>
      <w:r w:rsidRPr="007870ED">
        <w:t>“</w:t>
      </w:r>
      <w:proofErr w:type="gramStart"/>
      <w:r w:rsidRPr="007870ED">
        <w:t>d</w:t>
      </w:r>
      <w:proofErr w:type="gramEnd"/>
      <w:r w:rsidRPr="007870ED">
        <w:t>)</w:t>
      </w:r>
      <w:r w:rsidRPr="007870ED">
        <w:rPr>
          <w:b/>
          <w:i/>
        </w:rPr>
        <w:tab/>
      </w:r>
      <w:r w:rsidRPr="007870ED">
        <w:t>evalueren van de toepassing van de desbetreffende door de Commissie vastgestelde technische reguleringsnormen en technische uitvoeringsnormen en van de door de Autoriteit gegeven richtsnoeren en aanbevelingen, en in voorkomend geval voorstellen van wijzigingen,</w:t>
      </w:r>
      <w:r w:rsidRPr="007870ED">
        <w:rPr>
          <w:b/>
          <w:bCs/>
          <w:i/>
          <w:iCs/>
        </w:rPr>
        <w:t xml:space="preserve"> met behoud van de bruikbaarheid en kwaliteit van de gegevens, teneinde:</w:t>
      </w:r>
    </w:p>
    <w:p w:rsidR="0015189C" w:rsidRPr="007870ED" w:rsidRDefault="0015189C" w:rsidP="0015189C">
      <w:pPr>
        <w:widowControl/>
        <w:spacing w:before="120" w:after="120"/>
        <w:ind w:left="1985" w:hanging="567"/>
        <w:jc w:val="both"/>
        <w:rPr>
          <w:rFonts w:eastAsia="Calibri"/>
          <w:b/>
          <w:i/>
          <w:szCs w:val="22"/>
        </w:rPr>
      </w:pPr>
      <w:r w:rsidRPr="007870ED">
        <w:rPr>
          <w:b/>
          <w:bCs/>
          <w:i/>
          <w:iCs/>
        </w:rPr>
        <w:t>–</w:t>
      </w:r>
      <w:r w:rsidRPr="007870ED">
        <w:t xml:space="preserve"> overbodige of achterhaalde </w:t>
      </w:r>
      <w:r w:rsidRPr="007870ED">
        <w:rPr>
          <w:b/>
          <w:bCs/>
          <w:i/>
          <w:iCs/>
        </w:rPr>
        <w:t>rapportage- en openbaarmakingsvereisten</w:t>
      </w:r>
      <w:r w:rsidRPr="007870ED">
        <w:t xml:space="preserve"> te schrappen</w:t>
      </w:r>
      <w:r w:rsidRPr="007870ED">
        <w:rPr>
          <w:b/>
          <w:bCs/>
          <w:i/>
          <w:iCs/>
        </w:rPr>
        <w:t>;</w:t>
      </w:r>
    </w:p>
    <w:p w:rsidR="0015189C" w:rsidRPr="007870ED" w:rsidRDefault="0015189C" w:rsidP="0015189C">
      <w:pPr>
        <w:widowControl/>
        <w:spacing w:before="120" w:after="120"/>
        <w:ind w:left="1985" w:hanging="567"/>
        <w:jc w:val="both"/>
        <w:rPr>
          <w:rFonts w:eastAsia="Calibri"/>
          <w:b/>
          <w:i/>
          <w:noProof/>
          <w:szCs w:val="22"/>
        </w:rPr>
      </w:pPr>
      <w:r w:rsidRPr="007870ED">
        <w:rPr>
          <w:b/>
          <w:i/>
        </w:rPr>
        <w:t>– te zorgen voor evenredige en gestandaardiseerde rapportage- en openbaarmakingsvereisten;</w:t>
      </w:r>
    </w:p>
    <w:p w:rsidR="0015189C" w:rsidRPr="007870ED" w:rsidRDefault="0015189C" w:rsidP="0015189C">
      <w:pPr>
        <w:widowControl/>
        <w:spacing w:before="120" w:after="120"/>
        <w:ind w:left="1985" w:hanging="567"/>
        <w:jc w:val="both"/>
        <w:rPr>
          <w:rFonts w:eastAsia="Calibri"/>
          <w:b/>
          <w:i/>
          <w:szCs w:val="22"/>
        </w:rPr>
      </w:pPr>
      <w:r w:rsidRPr="007870ED">
        <w:t>– de kosten tot een minimum te beperken</w:t>
      </w:r>
      <w:r w:rsidRPr="007870ED">
        <w:rPr>
          <w:b/>
          <w:bCs/>
          <w:i/>
          <w:iCs/>
        </w:rPr>
        <w:t>;</w:t>
      </w:r>
    </w:p>
    <w:p w:rsidR="0015189C" w:rsidRPr="007870ED" w:rsidRDefault="0015189C" w:rsidP="0015189C">
      <w:pPr>
        <w:widowControl/>
        <w:spacing w:before="120" w:after="120"/>
        <w:ind w:left="1985" w:hanging="567"/>
        <w:jc w:val="both"/>
        <w:rPr>
          <w:rFonts w:eastAsia="Calibri"/>
          <w:b/>
          <w:i/>
          <w:szCs w:val="22"/>
        </w:rPr>
      </w:pPr>
      <w:r w:rsidRPr="007870ED">
        <w:rPr>
          <w:b/>
          <w:i/>
        </w:rPr>
        <w:t>– lacunes in de regelgeving op te vullen;”</w:t>
      </w:r>
      <w:r w:rsidR="00F942BB" w:rsidRPr="007870ED">
        <w:rPr>
          <w:b/>
          <w:i/>
        </w:rPr>
        <w:t>;</w:t>
      </w:r>
    </w:p>
    <w:p w:rsidR="0015189C" w:rsidRPr="007870ED" w:rsidRDefault="0015189C" w:rsidP="0015189C">
      <w:pPr>
        <w:widowControl/>
        <w:spacing w:before="120" w:after="120"/>
        <w:ind w:left="851" w:hanging="851"/>
        <w:jc w:val="both"/>
        <w:rPr>
          <w:rFonts w:eastAsia="Calibri"/>
          <w:noProof/>
          <w:szCs w:val="22"/>
        </w:rPr>
      </w:pPr>
      <w:r w:rsidRPr="007870ED">
        <w:t>2.</w:t>
      </w:r>
      <w:r w:rsidRPr="007870ED">
        <w:tab/>
        <w:t>Aan artikel 30, lid 3, wordt het volgende punt e) toegevoegd: </w:t>
      </w:r>
    </w:p>
    <w:p w:rsidR="0015189C" w:rsidRPr="007870ED" w:rsidRDefault="0015189C" w:rsidP="0015189C">
      <w:pPr>
        <w:ind w:left="1418" w:hanging="567"/>
        <w:jc w:val="both"/>
        <w:rPr>
          <w:rFonts w:eastAsia="Calibri"/>
          <w:noProof/>
          <w:szCs w:val="22"/>
        </w:rPr>
      </w:pPr>
      <w:r w:rsidRPr="007870ED">
        <w:t>“</w:t>
      </w:r>
      <w:proofErr w:type="gramStart"/>
      <w:r w:rsidRPr="007870ED">
        <w:t>e</w:t>
      </w:r>
      <w:proofErr w:type="gramEnd"/>
      <w:r w:rsidRPr="007870ED">
        <w:t xml:space="preserve">) de effectiviteit van nationale </w:t>
      </w:r>
      <w:r w:rsidRPr="007870ED">
        <w:rPr>
          <w:b/>
          <w:bCs/>
          <w:i/>
          <w:iCs/>
        </w:rPr>
        <w:t>rapportage- en openbaarmakingsvereisten</w:t>
      </w:r>
      <w:r w:rsidRPr="007870ED">
        <w:t xml:space="preserve"> en de mate van convergentie tussen die vereisten en de vereisten in Unierecht </w:t>
      </w:r>
      <w:r w:rsidRPr="007870ED">
        <w:rPr>
          <w:b/>
          <w:bCs/>
          <w:i/>
          <w:iCs/>
        </w:rPr>
        <w:t>en hun geschiktheid om aan de daarin vastgestelde normen te voldoen, rekening houdend met de specifieke kenmerken van de nationale financiële rechtsgebieden</w:t>
      </w:r>
      <w:r w:rsidRPr="007870ED">
        <w:t>.”. </w:t>
      </w:r>
    </w:p>
    <w:p w:rsidR="0015189C" w:rsidRPr="007870ED" w:rsidRDefault="0015189C" w:rsidP="0015189C">
      <w:pPr>
        <w:widowControl/>
        <w:spacing w:before="120" w:after="120"/>
        <w:ind w:left="851" w:hanging="851"/>
        <w:jc w:val="both"/>
        <w:rPr>
          <w:rFonts w:eastAsia="Calibri"/>
          <w:noProof/>
          <w:szCs w:val="22"/>
        </w:rPr>
      </w:pPr>
      <w:r w:rsidRPr="007870ED">
        <w:t>3.</w:t>
      </w:r>
      <w:r w:rsidRPr="007870ED">
        <w:tab/>
        <w:t>Artikel 35, lid 4, wordt vervangen door: </w:t>
      </w:r>
    </w:p>
    <w:p w:rsidR="0015189C" w:rsidRPr="007870ED" w:rsidRDefault="0015189C" w:rsidP="0015189C">
      <w:pPr>
        <w:ind w:left="1418" w:hanging="567"/>
        <w:jc w:val="both"/>
        <w:rPr>
          <w:rFonts w:eastAsia="Calibri"/>
          <w:noProof/>
          <w:szCs w:val="22"/>
        </w:rPr>
      </w:pPr>
      <w:r w:rsidRPr="007870ED">
        <w:t>“4.</w:t>
      </w:r>
      <w:r w:rsidRPr="007870ED">
        <w:tab/>
        <w:t xml:space="preserve">Voordat er overeenkomstig dit artikel om informatie wordt gevraagd en om dubbele </w:t>
      </w:r>
      <w:r w:rsidRPr="007870ED">
        <w:rPr>
          <w:b/>
          <w:bCs/>
          <w:i/>
          <w:iCs/>
        </w:rPr>
        <w:t>rapportage- en openbaarmakingsverplichtingen</w:t>
      </w:r>
      <w:r w:rsidRPr="007870ED">
        <w:t xml:space="preserve"> te vermijden, maakt de Autoriteit gebruik van informatie verzameld door </w:t>
      </w:r>
      <w:r w:rsidRPr="007870ED">
        <w:rPr>
          <w:b/>
          <w:bCs/>
          <w:i/>
          <w:iCs/>
        </w:rPr>
        <w:t>de</w:t>
      </w:r>
      <w:r w:rsidRPr="007870ED">
        <w:t xml:space="preserve"> in artikel 35 bis, lid </w:t>
      </w:r>
      <w:r w:rsidRPr="007870ED">
        <w:rPr>
          <w:b/>
          <w:bCs/>
          <w:i/>
          <w:iCs/>
        </w:rPr>
        <w:t>1 ter</w:t>
      </w:r>
      <w:r w:rsidRPr="007870ED">
        <w:t>, bedoelde andere autoriteiten en de bestaande statistieken, zoals opgemaakt en verspreid door het Europees statistisch systeem en het Europees Stelsel van centrale banken. </w:t>
      </w:r>
    </w:p>
    <w:p w:rsidR="0015189C" w:rsidRPr="007870ED" w:rsidRDefault="0015189C" w:rsidP="0015189C">
      <w:pPr>
        <w:widowControl/>
        <w:tabs>
          <w:tab w:val="left" w:pos="851"/>
        </w:tabs>
        <w:spacing w:before="120" w:after="120"/>
        <w:jc w:val="both"/>
        <w:rPr>
          <w:rFonts w:eastAsia="Calibri"/>
          <w:noProof/>
          <w:szCs w:val="22"/>
        </w:rPr>
      </w:pPr>
      <w:r w:rsidRPr="007870ED">
        <w:t>4.</w:t>
      </w:r>
      <w:r w:rsidRPr="007870ED">
        <w:tab/>
        <w:t>Het volgende artikel 35 bis wordt ingevoegd: </w:t>
      </w:r>
    </w:p>
    <w:p w:rsidR="0015189C" w:rsidRPr="007870ED" w:rsidRDefault="0015189C" w:rsidP="0015189C">
      <w:pPr>
        <w:widowControl/>
        <w:spacing w:before="120" w:after="120"/>
        <w:jc w:val="both"/>
        <w:rPr>
          <w:rFonts w:eastAsia="Calibri"/>
          <w:noProof/>
          <w:szCs w:val="22"/>
          <w:lang w:eastAsia="en-US"/>
        </w:rPr>
      </w:pPr>
    </w:p>
    <w:p w:rsidR="0015189C" w:rsidRPr="007870ED" w:rsidRDefault="0015189C" w:rsidP="0015189C">
      <w:pPr>
        <w:widowControl/>
        <w:spacing w:before="120" w:after="120"/>
        <w:jc w:val="center"/>
        <w:rPr>
          <w:rFonts w:eastAsia="Calibri"/>
          <w:noProof/>
          <w:szCs w:val="22"/>
        </w:rPr>
      </w:pPr>
      <w:r w:rsidRPr="007870ED">
        <w:t>“Artikel 35 bis</w:t>
      </w:r>
    </w:p>
    <w:p w:rsidR="0015189C" w:rsidRPr="007870ED" w:rsidRDefault="0015189C" w:rsidP="0015189C">
      <w:pPr>
        <w:widowControl/>
        <w:spacing w:before="120" w:after="120"/>
        <w:jc w:val="center"/>
        <w:rPr>
          <w:rFonts w:eastAsia="Calibri"/>
          <w:noProof/>
          <w:szCs w:val="22"/>
        </w:rPr>
      </w:pPr>
      <w:r w:rsidRPr="007870ED">
        <w:rPr>
          <w:b/>
        </w:rPr>
        <w:t>Uitwisseling van informatie tussen autoriteiten en met andere entiteiten</w:t>
      </w:r>
    </w:p>
    <w:p w:rsidR="0015189C" w:rsidRPr="007870ED" w:rsidRDefault="0015189C" w:rsidP="0015189C">
      <w:pPr>
        <w:widowControl/>
        <w:spacing w:before="120" w:after="120"/>
        <w:ind w:left="851" w:hanging="851"/>
        <w:jc w:val="both"/>
        <w:rPr>
          <w:rFonts w:eastAsia="Calibri"/>
          <w:noProof/>
          <w:szCs w:val="22"/>
        </w:rPr>
      </w:pPr>
      <w:r w:rsidRPr="007870ED">
        <w:t xml:space="preserve">1. </w:t>
      </w:r>
      <w:r w:rsidRPr="007870ED">
        <w:rPr>
          <w:b/>
          <w:i/>
        </w:rPr>
        <w:tab/>
      </w:r>
      <w:r w:rsidRPr="007870ED">
        <w:t xml:space="preserve">De Autoriteit en de bevoegde autoriteiten delen, per geval of op regelmatige basis, met </w:t>
      </w:r>
      <w:r w:rsidRPr="007870ED">
        <w:rPr>
          <w:b/>
          <w:bCs/>
          <w:i/>
          <w:iCs/>
        </w:rPr>
        <w:t>de</w:t>
      </w:r>
      <w:r w:rsidRPr="007870ED">
        <w:t xml:space="preserve"> andere autoriteiten informatie die deze van financiële instellingen of andere bevoegde autoriteiten hebben verkregen</w:t>
      </w:r>
      <w:r w:rsidRPr="007870ED">
        <w:rPr>
          <w:b/>
          <w:bCs/>
          <w:i/>
          <w:iCs/>
        </w:rPr>
        <w:t xml:space="preserve">, indien de verzoekende autoriteit krachtens </w:t>
      </w:r>
      <w:r w:rsidRPr="007870ED">
        <w:rPr>
          <w:b/>
          <w:bCs/>
          <w:i/>
          <w:iCs/>
        </w:rPr>
        <w:lastRenderedPageBreak/>
        <w:t>haar opdracht, doelstellingen, taken en bevoegdheden of overeenkomstig desbetreffend Unierecht het recht heeft die informatie te verkrijgen</w:t>
      </w:r>
      <w:r w:rsidRPr="007870ED">
        <w:t>.</w:t>
      </w:r>
      <w:r w:rsidRPr="007870ED">
        <w:rPr>
          <w:b/>
          <w:i/>
        </w:rPr>
        <w:t xml:space="preserve"> </w:t>
      </w:r>
    </w:p>
    <w:p w:rsidR="0015189C" w:rsidRPr="007870ED" w:rsidRDefault="0015189C" w:rsidP="0015189C">
      <w:pPr>
        <w:widowControl/>
        <w:spacing w:before="120" w:after="120"/>
        <w:ind w:left="851" w:hanging="851"/>
        <w:jc w:val="both"/>
        <w:rPr>
          <w:rFonts w:eastAsia="Calibri"/>
          <w:noProof/>
          <w:szCs w:val="22"/>
        </w:rPr>
      </w:pPr>
      <w:r w:rsidRPr="007870ED">
        <w:t xml:space="preserve">2. </w:t>
      </w:r>
      <w:r w:rsidRPr="007870ED">
        <w:rPr>
          <w:b/>
          <w:i/>
        </w:rPr>
        <w:tab/>
      </w:r>
      <w:r w:rsidRPr="007870ED">
        <w:t>Het verzoek tot uitwisseling van informatie vermeldt duidelijk de rechtsgrondslag in het Unierecht die de verzoekende autoriteit toestaat om de informatie te verkrijgen van in dat lid bedoelde financiële instellingen of andere bevoegde autoriteiten. De verzoekende autoriteit en de delende autoriteit zijn onderworpen aan het ambtsgeheim en aan bepalingen inzake gegevensbescherming die zijn vastgesteld in de artikelen 70 en 71 en in sectorale wetgeving die van toepassing is op het delen van data tussen de financiële instelling en de verzoekende autoriteit, alsmede op het delen van data tussen de financiële instelling en de delende autoriteit. De delende autoriteit stelt elke betrokken financiële instelling ▌onverwijld in kennis van dit soort informatie-uitwisseling</w:t>
      </w:r>
      <w:r w:rsidRPr="007870ED">
        <w:rPr>
          <w:b/>
          <w:bCs/>
          <w:i/>
          <w:iCs/>
        </w:rPr>
        <w:t>, tenzij de informatie is geanonimiseerd, gewijzigd, geaggregeerd of behandeld met een andere methode van openbaarmakingscontrole om vertrouwelijke informatie te beschermen</w:t>
      </w:r>
      <w:r w:rsidRPr="007870ED">
        <w:t xml:space="preserve">. </w:t>
      </w:r>
    </w:p>
    <w:p w:rsidR="0015189C" w:rsidRPr="007870ED" w:rsidRDefault="0015189C" w:rsidP="0015189C">
      <w:pPr>
        <w:widowControl/>
        <w:spacing w:before="120" w:after="120"/>
        <w:ind w:left="851" w:hanging="851"/>
        <w:jc w:val="both"/>
        <w:rPr>
          <w:rFonts w:eastAsia="Calibri"/>
          <w:szCs w:val="22"/>
        </w:rPr>
      </w:pPr>
      <w:r w:rsidRPr="007870ED">
        <w:t xml:space="preserve">3. </w:t>
      </w:r>
      <w:r w:rsidRPr="007870ED">
        <w:rPr>
          <w:b/>
          <w:i/>
        </w:rPr>
        <w:tab/>
      </w:r>
      <w:r w:rsidRPr="007870ED">
        <w:t>De leden 1</w:t>
      </w:r>
      <w:r w:rsidRPr="007870ED">
        <w:rPr>
          <w:b/>
          <w:bCs/>
          <w:i/>
          <w:iCs/>
        </w:rPr>
        <w:t>, 1 bis</w:t>
      </w:r>
      <w:r w:rsidRPr="007870ED">
        <w:t xml:space="preserve"> en 2 zijn ook van toepassing op informatie die de delende autoriteit van een financiële instelling of </w:t>
      </w:r>
      <w:r w:rsidRPr="007870ED">
        <w:rPr>
          <w:b/>
          <w:bCs/>
          <w:i/>
          <w:iCs/>
        </w:rPr>
        <w:t>de andere autoriteiten</w:t>
      </w:r>
      <w:r w:rsidRPr="007870ED">
        <w:t xml:space="preserve"> heeft ontvangen en waarop de delende autoriteit vervolgens kwaliteitschecks heeft uitgevoerd of die de delende autoriteit anderszins heeft verwerkt. </w:t>
      </w:r>
    </w:p>
    <w:p w:rsidR="0015189C" w:rsidRPr="007870ED" w:rsidRDefault="0015189C" w:rsidP="0015189C">
      <w:pPr>
        <w:widowControl/>
        <w:spacing w:before="120" w:after="120"/>
        <w:ind w:left="851" w:hanging="851"/>
        <w:jc w:val="both"/>
        <w:rPr>
          <w:rFonts w:eastAsia="Calibri"/>
          <w:b/>
          <w:i/>
          <w:szCs w:val="22"/>
        </w:rPr>
      </w:pPr>
      <w:r w:rsidRPr="007870ED">
        <w:t xml:space="preserve">4. </w:t>
      </w:r>
      <w:r w:rsidRPr="007870ED">
        <w:rPr>
          <w:b/>
          <w:i/>
        </w:rPr>
        <w:tab/>
      </w:r>
      <w:r w:rsidRPr="007870ED">
        <w:t xml:space="preserve">Voor het delen van informatie zoals bedoeld in de leden 1, </w:t>
      </w:r>
      <w:r w:rsidRPr="007870ED">
        <w:rPr>
          <w:b/>
          <w:bCs/>
          <w:i/>
          <w:iCs/>
        </w:rPr>
        <w:t>1 bis,</w:t>
      </w:r>
      <w:r w:rsidRPr="007870ED">
        <w:t xml:space="preserve"> 2 en 3 </w:t>
      </w:r>
      <w:r w:rsidRPr="007870ED">
        <w:rPr>
          <w:b/>
          <w:bCs/>
          <w:i/>
          <w:iCs/>
        </w:rPr>
        <w:t>sluiten</w:t>
      </w:r>
      <w:r w:rsidRPr="007870ED">
        <w:t xml:space="preserve"> de </w:t>
      </w:r>
      <w:r w:rsidRPr="007870ED">
        <w:rPr>
          <w:b/>
          <w:bCs/>
          <w:i/>
          <w:iCs/>
        </w:rPr>
        <w:t>Autoriteit en de andere</w:t>
      </w:r>
      <w:r w:rsidRPr="007870ED">
        <w:t xml:space="preserve"> autoriteiten memoranda van overeenstemming ▌waarin de concrete voorwaarden voor het uitwisselen van informatie zijn vastgelegd. Zij </w:t>
      </w:r>
      <w:r w:rsidRPr="007870ED">
        <w:rPr>
          <w:b/>
          <w:bCs/>
          <w:i/>
          <w:iCs/>
        </w:rPr>
        <w:t>stellen</w:t>
      </w:r>
      <w:r w:rsidRPr="007870ED">
        <w:t xml:space="preserve"> ook regelingen </w:t>
      </w:r>
      <w:r w:rsidRPr="007870ED">
        <w:rPr>
          <w:b/>
          <w:bCs/>
          <w:i/>
          <w:iCs/>
        </w:rPr>
        <w:t>vast</w:t>
      </w:r>
      <w:r w:rsidRPr="007870ED">
        <w:t xml:space="preserve"> voor het delen van middelen om die gedeelde data te verzamelen en te verwerken</w:t>
      </w:r>
      <w:r w:rsidRPr="007870ED">
        <w:rPr>
          <w:b/>
          <w:bCs/>
          <w:i/>
          <w:iCs/>
        </w:rPr>
        <w:t>, op voorwaarde dat die regelingen aan de toepasselijke regels inzake gegevensbescherming, intellectuele eigendom en het beroepsgeheim voldoen</w:t>
      </w:r>
      <w:r w:rsidRPr="007870ED">
        <w:t>. </w:t>
      </w:r>
      <w:r w:rsidRPr="007870ED">
        <w:rPr>
          <w:b/>
          <w:i/>
        </w:rPr>
        <w:t>De memoranda van overeenstemming volgen in onderlinge overeenstemming tussen alle betrokken autoriteiten een eenvoudig en gestandaardiseerd formaat, zo nodig aangepast aan de eventuele bijzondere werkwijzen bij specifieke autoriteiten.</w:t>
      </w:r>
    </w:p>
    <w:p w:rsidR="0015189C" w:rsidRPr="007870ED" w:rsidRDefault="0015189C" w:rsidP="0015189C">
      <w:pPr>
        <w:widowControl/>
        <w:spacing w:before="120" w:after="120"/>
        <w:ind w:left="851" w:hanging="851"/>
        <w:jc w:val="both"/>
        <w:rPr>
          <w:rFonts w:eastAsia="Calibri"/>
          <w:b/>
          <w:i/>
          <w:szCs w:val="22"/>
        </w:rPr>
      </w:pPr>
      <w:r w:rsidRPr="007870ED">
        <w:t xml:space="preserve">5. </w:t>
      </w:r>
      <w:r w:rsidRPr="007870ED">
        <w:rPr>
          <w:b/>
          <w:i/>
        </w:rPr>
        <w:tab/>
      </w:r>
      <w:r w:rsidRPr="007870ED">
        <w:t xml:space="preserve">De leden 1 tot en met 4 laten de bescherming van intellectuele-eigendomsrechten onverlet en vormen geen beletsel voor of beperking van de uitwisseling van informatie tussen de </w:t>
      </w:r>
      <w:r w:rsidRPr="007870ED">
        <w:rPr>
          <w:b/>
          <w:bCs/>
          <w:i/>
          <w:iCs/>
        </w:rPr>
        <w:t>Autoriteit en de andere</w:t>
      </w:r>
      <w:r w:rsidRPr="007870ED">
        <w:t xml:space="preserve"> autoriteiten overeenkomstig bepalingen in andere Uniewetgeving. Wanneer het in dit artikel bepaalde in strijd is met bepalingen in andere Uniewetgeving die de uitwisseling van informatie tussen de </w:t>
      </w:r>
      <w:r w:rsidRPr="007870ED">
        <w:rPr>
          <w:b/>
          <w:bCs/>
          <w:i/>
          <w:iCs/>
        </w:rPr>
        <w:t>andere</w:t>
      </w:r>
      <w:r w:rsidRPr="007870ED">
        <w:t xml:space="preserve"> autoriteiten beregelt, hebben de bepalingen in die andere Uniewetgeving voorrang.</w:t>
      </w:r>
    </w:p>
    <w:p w:rsidR="0015189C" w:rsidRPr="007870ED" w:rsidRDefault="0015189C" w:rsidP="0015189C">
      <w:pPr>
        <w:widowControl/>
        <w:spacing w:before="120" w:after="120"/>
        <w:ind w:left="851" w:hanging="851"/>
        <w:jc w:val="both"/>
        <w:rPr>
          <w:rFonts w:eastAsia="Calibri"/>
          <w:b/>
          <w:i/>
          <w:szCs w:val="22"/>
        </w:rPr>
      </w:pPr>
      <w:r w:rsidRPr="007870ED">
        <w:t xml:space="preserve">6. </w:t>
      </w:r>
      <w:r w:rsidRPr="007870ED">
        <w:rPr>
          <w:b/>
          <w:i/>
        </w:rPr>
        <w:tab/>
      </w:r>
      <w:r w:rsidRPr="007870ED">
        <w:t xml:space="preserve">Onverminderd andere verplichtingen die in Unierecht voor het delen van informatie zijn vastgelegd, </w:t>
      </w:r>
      <w:r w:rsidRPr="007870ED">
        <w:rPr>
          <w:b/>
          <w:bCs/>
          <w:i/>
          <w:iCs/>
        </w:rPr>
        <w:t>kunnen</w:t>
      </w:r>
      <w:r w:rsidRPr="007870ED">
        <w:t xml:space="preserve"> de Autoriteit en de bevoegde autoriteiten, na een gemotiveerd verzoek en op individuele basis, met de Commissie ▌informatie </w:t>
      </w:r>
      <w:r w:rsidRPr="007870ED">
        <w:rPr>
          <w:b/>
          <w:bCs/>
          <w:i/>
          <w:iCs/>
        </w:rPr>
        <w:t>delen</w:t>
      </w:r>
      <w:r w:rsidRPr="007870ED">
        <w:t xml:space="preserve"> die financiële instellingen krachtens hun verplichtingen uit hoofde van Unierecht bij haar hebben gerapporteerd ▌</w:t>
      </w:r>
      <w:bookmarkStart w:id="9" w:name="_Hlk145611591"/>
      <w:r w:rsidRPr="007870ED">
        <w:t xml:space="preserve"> in een vorm die geen identificatie van individuele entiteiten mogelijk maakt en geen persoonsgegevens bevat. </w:t>
      </w:r>
      <w:r w:rsidRPr="007870ED">
        <w:rPr>
          <w:b/>
          <w:i/>
        </w:rPr>
        <w:t>De autoriteiten die dergelijke informatie hebben verstrekt, worden naar behoren geïnformeerd over de uitwisseling die heeft plaatsgevonden.</w:t>
      </w:r>
    </w:p>
    <w:bookmarkEnd w:id="9"/>
    <w:p w:rsidR="0015189C" w:rsidRPr="007870ED" w:rsidRDefault="0015189C" w:rsidP="0015189C">
      <w:pPr>
        <w:widowControl/>
        <w:spacing w:before="120" w:after="120"/>
        <w:ind w:left="851" w:hanging="851"/>
        <w:jc w:val="both"/>
        <w:rPr>
          <w:rFonts w:eastAsia="Calibri"/>
          <w:szCs w:val="22"/>
        </w:rPr>
      </w:pPr>
      <w:r w:rsidRPr="007870ED">
        <w:t xml:space="preserve">7. </w:t>
      </w:r>
      <w:r w:rsidRPr="007870ED">
        <w:rPr>
          <w:b/>
          <w:i/>
        </w:rPr>
        <w:tab/>
      </w:r>
      <w:r w:rsidRPr="007870ED">
        <w:t xml:space="preserve">De Autoriteit en de bevoegde autoriteiten kunnen, voor onderzoeks- en innovatiedoeleinden, tot bij de uitvoering van hun taken verkregen informatie toegang verlenen voor hergebruik door financiële instellingen, onderzoekers en andere entiteiten die een rechtmatig belang bij die informatie hebben, op voorwaarde dat de Autoriteit zich ervan vergewist heeft dat alle volgende punten in acht zijn genomen: </w:t>
      </w:r>
    </w:p>
    <w:p w:rsidR="0015189C" w:rsidRPr="007870ED" w:rsidRDefault="0015189C" w:rsidP="0015189C">
      <w:pPr>
        <w:widowControl/>
        <w:spacing w:before="120" w:after="120"/>
        <w:ind w:left="1418" w:hanging="567"/>
        <w:jc w:val="both"/>
        <w:rPr>
          <w:rFonts w:eastAsia="Calibri"/>
          <w:szCs w:val="22"/>
        </w:rPr>
      </w:pPr>
      <w:r w:rsidRPr="007870ED">
        <w:t xml:space="preserve">a) </w:t>
      </w:r>
      <w:r w:rsidRPr="007870ED">
        <w:rPr>
          <w:b/>
          <w:i/>
        </w:rPr>
        <w:tab/>
      </w:r>
      <w:r w:rsidRPr="007870ED">
        <w:t>de informatie is zodanig geanonimiseerd dat het datasubject of de financiële instelling niet of niet meer kan worden geïdentificeerd;</w:t>
      </w:r>
    </w:p>
    <w:p w:rsidR="0015189C" w:rsidRPr="007870ED" w:rsidRDefault="0015189C" w:rsidP="0015189C">
      <w:pPr>
        <w:widowControl/>
        <w:spacing w:before="120" w:after="120"/>
        <w:ind w:left="1418" w:hanging="567"/>
        <w:jc w:val="both"/>
        <w:rPr>
          <w:rFonts w:eastAsia="Calibri"/>
          <w:szCs w:val="22"/>
        </w:rPr>
      </w:pPr>
      <w:r w:rsidRPr="007870ED">
        <w:lastRenderedPageBreak/>
        <w:t xml:space="preserve">b) </w:t>
      </w:r>
      <w:r w:rsidRPr="007870ED">
        <w:rPr>
          <w:b/>
          <w:i/>
        </w:rPr>
        <w:tab/>
      </w:r>
      <w:r w:rsidRPr="007870ED">
        <w:t xml:space="preserve">de informatie is gewijzigd, geaggregeerd of behandeld volgens een andere methode om de openbaarmaking ervan te controleren, zodat vertrouwelijke informatie, met inbegrip van bedrijfsgeheimen of door intellectuele-eigendomsrechten beschermde inhoud, beschermd is. </w:t>
      </w:r>
    </w:p>
    <w:p w:rsidR="0015189C" w:rsidRPr="007870ED" w:rsidRDefault="0015189C" w:rsidP="0015189C">
      <w:pPr>
        <w:widowControl/>
        <w:spacing w:before="120" w:after="120"/>
        <w:ind w:left="1418" w:hanging="567"/>
        <w:jc w:val="both"/>
        <w:rPr>
          <w:rFonts w:eastAsia="Calibri"/>
          <w:szCs w:val="22"/>
        </w:rPr>
      </w:pPr>
      <w:r w:rsidRPr="007870ED">
        <w:t xml:space="preserve">Informatie die van een andere autoriteit is ontvangen, wordt alleen </w:t>
      </w:r>
      <w:r w:rsidRPr="007870ED">
        <w:rPr>
          <w:b/>
          <w:bCs/>
          <w:i/>
          <w:iCs/>
        </w:rPr>
        <w:t>op deze basis</w:t>
      </w:r>
      <w:r w:rsidRPr="007870ED">
        <w:t xml:space="preserve"> gedeeld met de instemming van de autoriteit die de informatie aanvankelijk heeft verkregen.</w:t>
      </w:r>
    </w:p>
    <w:p w:rsidR="0015189C" w:rsidRPr="007870ED" w:rsidRDefault="0015189C" w:rsidP="0015189C">
      <w:pPr>
        <w:widowControl/>
        <w:spacing w:before="120" w:after="120"/>
        <w:ind w:left="851" w:hanging="851"/>
        <w:jc w:val="both"/>
        <w:rPr>
          <w:rFonts w:eastAsia="Calibri"/>
          <w:b/>
          <w:i/>
          <w:szCs w:val="22"/>
        </w:rPr>
      </w:pPr>
      <w:r w:rsidRPr="007870ED">
        <w:rPr>
          <w:b/>
          <w:i/>
        </w:rPr>
        <w:t>7 bis.</w:t>
      </w:r>
      <w:r w:rsidRPr="007870ED">
        <w:rPr>
          <w:b/>
          <w:i/>
        </w:rPr>
        <w:tab/>
        <w:t>De Autoriteit en de bevoegde autoriteiten brengen uiterlijk op ... [1 jaar na de datum van inwerkingtreding van deze wijzigingsverordening] aan de Commissie verslag uit over alle juridische hinderpalen in sectorale regelgeving die hen op enigerlei wijze verhinderen informatie uit te wisselen met andere autoriteiten of met andere entiteiten. Het verslag kan ook niet-materiële, achterhaalde, dubbele of anderszins irrelevante rapportagevereisten bevatten, alsook suggesties om de consistentie tussen de rapportagevereisten van financiële en niet-financiële ondernemingen te waarborgen.</w:t>
      </w:r>
    </w:p>
    <w:p w:rsidR="0015189C" w:rsidRPr="007870ED" w:rsidRDefault="0015189C" w:rsidP="0015189C">
      <w:pPr>
        <w:widowControl/>
        <w:spacing w:before="120" w:after="120"/>
        <w:ind w:left="851"/>
        <w:jc w:val="both"/>
        <w:rPr>
          <w:rFonts w:eastAsia="Calibri"/>
          <w:szCs w:val="22"/>
        </w:rPr>
      </w:pPr>
      <w:r w:rsidRPr="007870ED">
        <w:rPr>
          <w:b/>
          <w:bCs/>
          <w:i/>
          <w:iCs/>
        </w:rPr>
        <w:t>Op basis van dat verslag en terdege rekening houdend met de bescherming van intellectuele-eigendomsrechten, het ambtsgeheim en gegevensbescherming, dient de Commissie zo nodig uiterlijk op ... [2 jaar na de datum van inwerkingtreding van deze wijzigingsverordening] bij het Europees Parlement en de Raad een wetgevingsvoorstel in om die juridische hinderpalen in sectorale wetgeving weg te nemen teneinde de uitwisseling van informatie tussen autoriteiten en met andere entiteiten te bevorderen.”</w:t>
      </w:r>
      <w:r w:rsidRPr="007870ED">
        <w:t>. </w:t>
      </w:r>
    </w:p>
    <w:p w:rsidR="0015189C" w:rsidRPr="007870ED" w:rsidRDefault="0015189C" w:rsidP="00F942BB">
      <w:pPr>
        <w:widowControl/>
        <w:spacing w:before="120" w:after="120"/>
        <w:jc w:val="both"/>
        <w:rPr>
          <w:rFonts w:eastAsia="Calibri"/>
          <w:szCs w:val="24"/>
        </w:rPr>
      </w:pPr>
      <w:r w:rsidRPr="007870ED">
        <w:rPr>
          <w:b/>
          <w:i/>
        </w:rPr>
        <w:t>4 bis.</w:t>
      </w:r>
      <w:r w:rsidRPr="007870ED">
        <w:rPr>
          <w:b/>
          <w:i/>
        </w:rPr>
        <w:tab/>
        <w:t>Het volgende artikel wordt ingevoegd:</w:t>
      </w:r>
      <w:r w:rsidRPr="007870ED">
        <w:t xml:space="preserve"> </w:t>
      </w:r>
    </w:p>
    <w:p w:rsidR="0015189C" w:rsidRPr="007870ED" w:rsidRDefault="0015189C" w:rsidP="0015189C">
      <w:pPr>
        <w:widowControl/>
        <w:spacing w:before="120" w:after="120"/>
        <w:rPr>
          <w:rFonts w:eastAsia="Calibri"/>
          <w:b/>
          <w:i/>
          <w:noProof/>
          <w:szCs w:val="22"/>
        </w:rPr>
      </w:pPr>
      <w:r w:rsidRPr="007870ED">
        <w:rPr>
          <w:b/>
          <w:i/>
        </w:rPr>
        <w:t>“Artikel 35 ter</w:t>
      </w:r>
    </w:p>
    <w:p w:rsidR="0015189C" w:rsidRPr="007870ED" w:rsidRDefault="0015189C" w:rsidP="0015189C">
      <w:pPr>
        <w:widowControl/>
        <w:spacing w:before="120" w:after="120"/>
        <w:rPr>
          <w:rFonts w:eastAsia="Calibri"/>
          <w:b/>
          <w:i/>
          <w:noProof/>
          <w:szCs w:val="22"/>
        </w:rPr>
      </w:pPr>
      <w:r w:rsidRPr="007870ED">
        <w:rPr>
          <w:b/>
          <w:i/>
        </w:rPr>
        <w:t>Instelling van een gemeenschappelijk geïntegreerd rapportagesysteem</w:t>
      </w:r>
    </w:p>
    <w:p w:rsidR="0015189C" w:rsidRPr="007870ED" w:rsidRDefault="0015189C" w:rsidP="0015189C">
      <w:pPr>
        <w:widowControl/>
        <w:spacing w:before="120" w:after="120"/>
        <w:ind w:left="851" w:hanging="851"/>
        <w:jc w:val="both"/>
        <w:rPr>
          <w:rFonts w:eastAsia="Calibri"/>
          <w:b/>
          <w:i/>
          <w:noProof/>
          <w:szCs w:val="22"/>
        </w:rPr>
      </w:pPr>
      <w:r w:rsidRPr="007870ED">
        <w:rPr>
          <w:b/>
          <w:i/>
        </w:rPr>
        <w:t xml:space="preserve">1. </w:t>
      </w:r>
      <w:r w:rsidRPr="007870ED">
        <w:rPr>
          <w:b/>
          <w:i/>
        </w:rPr>
        <w:tab/>
        <w:t xml:space="preserve">Uiterlijk op ... [2 jaar na de datum van inwerkingtreding van deze wijzigingsverordening] stelt de Autoriteit, in nauwe samenwerking met de andere autoriteiten en het ESCB, een verslag over de technische details van de instelling van een gemeenschappelijk geïntegreerd rapportagesysteem alsook een routekaart op, op basis van de werkzaamheden met het oog op de integratie van de rapportage door de </w:t>
      </w:r>
      <w:proofErr w:type="spellStart"/>
      <w:r w:rsidRPr="007870ED">
        <w:rPr>
          <w:b/>
          <w:i/>
        </w:rPr>
        <w:t>ETA’s</w:t>
      </w:r>
      <w:proofErr w:type="spellEnd"/>
      <w:r w:rsidRPr="007870ED">
        <w:rPr>
          <w:b/>
          <w:i/>
        </w:rPr>
        <w:t xml:space="preserve"> in hun sectoren, met een kosten-batenanalyse. Ten behoeve van dat verslag omvat het geïntegreerde rapportagesysteem:</w:t>
      </w:r>
    </w:p>
    <w:p w:rsidR="0015189C" w:rsidRPr="007870ED" w:rsidRDefault="0015189C" w:rsidP="0015189C">
      <w:pPr>
        <w:widowControl/>
        <w:spacing w:before="120" w:after="120"/>
        <w:ind w:left="1418" w:hanging="567"/>
        <w:jc w:val="both"/>
        <w:rPr>
          <w:rFonts w:eastAsia="Calibri"/>
          <w:b/>
          <w:i/>
          <w:noProof/>
          <w:szCs w:val="22"/>
        </w:rPr>
      </w:pPr>
      <w:r w:rsidRPr="007870ED">
        <w:rPr>
          <w:b/>
          <w:i/>
        </w:rPr>
        <w:t>a)</w:t>
      </w:r>
      <w:r w:rsidRPr="007870ED">
        <w:rPr>
          <w:b/>
          <w:i/>
        </w:rPr>
        <w:tab/>
        <w:t xml:space="preserve"> een gemeenschappelijke data </w:t>
      </w:r>
      <w:proofErr w:type="spellStart"/>
      <w:r w:rsidRPr="007870ED">
        <w:rPr>
          <w:b/>
          <w:i/>
        </w:rPr>
        <w:t>dictionary</w:t>
      </w:r>
      <w:proofErr w:type="spellEnd"/>
      <w:r w:rsidRPr="007870ED">
        <w:rPr>
          <w:b/>
          <w:i/>
        </w:rPr>
        <w:t xml:space="preserve"> om de consistentie en duidelijkheid van de rapportagevereisten en de standaardisering van de gegevens te waarborgen;</w:t>
      </w:r>
    </w:p>
    <w:p w:rsidR="0015189C" w:rsidRPr="007870ED" w:rsidRDefault="0015189C" w:rsidP="0015189C">
      <w:pPr>
        <w:widowControl/>
        <w:spacing w:before="120" w:after="120"/>
        <w:ind w:left="1418" w:hanging="567"/>
        <w:jc w:val="both"/>
        <w:rPr>
          <w:rFonts w:eastAsia="Calibri"/>
          <w:b/>
          <w:i/>
          <w:noProof/>
          <w:szCs w:val="22"/>
        </w:rPr>
      </w:pPr>
      <w:r w:rsidRPr="007870ED">
        <w:rPr>
          <w:b/>
          <w:i/>
        </w:rPr>
        <w:t xml:space="preserve">b) </w:t>
      </w:r>
      <w:r w:rsidRPr="007870ED">
        <w:rPr>
          <w:b/>
          <w:i/>
        </w:rPr>
        <w:tab/>
        <w:t>een gezamenlijk register van rapportage- en openbaarmakingsvereisten, van de beschrijvingen van de verzamelde gegevens en van de autoriteiten die deze gegevens hebben;</w:t>
      </w:r>
    </w:p>
    <w:p w:rsidR="0015189C" w:rsidRPr="007870ED" w:rsidRDefault="0015189C" w:rsidP="0015189C">
      <w:pPr>
        <w:widowControl/>
        <w:spacing w:before="120" w:after="120"/>
        <w:ind w:left="1418" w:hanging="567"/>
        <w:jc w:val="both"/>
        <w:rPr>
          <w:rFonts w:eastAsia="Calibri"/>
          <w:b/>
          <w:i/>
          <w:noProof/>
          <w:szCs w:val="22"/>
        </w:rPr>
      </w:pPr>
      <w:r w:rsidRPr="007870ED">
        <w:rPr>
          <w:b/>
          <w:i/>
        </w:rPr>
        <w:t>c)</w:t>
      </w:r>
      <w:r w:rsidRPr="007870ED">
        <w:rPr>
          <w:b/>
          <w:i/>
        </w:rPr>
        <w:tab/>
        <w:t xml:space="preserve"> een centrale gegevensruimte, met inbegrip van het technische ontwerp voor het verzamelen en uitwisselen van de informatie; en</w:t>
      </w:r>
    </w:p>
    <w:p w:rsidR="0015189C" w:rsidRPr="007870ED" w:rsidRDefault="0015189C" w:rsidP="0015189C">
      <w:pPr>
        <w:widowControl/>
        <w:spacing w:before="120" w:after="120"/>
        <w:ind w:left="1418" w:hanging="567"/>
        <w:jc w:val="both"/>
        <w:rPr>
          <w:rFonts w:eastAsia="Calibri"/>
          <w:b/>
          <w:i/>
          <w:noProof/>
          <w:szCs w:val="22"/>
        </w:rPr>
      </w:pPr>
      <w:r w:rsidRPr="007870ED">
        <w:rPr>
          <w:b/>
          <w:i/>
        </w:rPr>
        <w:t xml:space="preserve">d) </w:t>
      </w:r>
      <w:r w:rsidRPr="007870ED">
        <w:rPr>
          <w:b/>
          <w:i/>
        </w:rPr>
        <w:tab/>
        <w:t xml:space="preserve">een permanent centraal contactpunt waar entiteiten gevallen van dubbele rapportage en overbodige of achterhaalde rapportage- of </w:t>
      </w:r>
      <w:proofErr w:type="spellStart"/>
      <w:r w:rsidRPr="007870ED">
        <w:rPr>
          <w:b/>
          <w:i/>
        </w:rPr>
        <w:t>openbaarmakingsvereisteen</w:t>
      </w:r>
      <w:proofErr w:type="spellEnd"/>
      <w:r w:rsidRPr="007870ED">
        <w:rPr>
          <w:b/>
          <w:i/>
        </w:rPr>
        <w:t xml:space="preserve"> kunnen melden.</w:t>
      </w:r>
    </w:p>
    <w:p w:rsidR="0015189C" w:rsidRPr="007870ED" w:rsidRDefault="0015189C" w:rsidP="0015189C">
      <w:pPr>
        <w:widowControl/>
        <w:spacing w:before="120" w:after="120"/>
        <w:ind w:left="851"/>
        <w:jc w:val="both"/>
        <w:rPr>
          <w:rFonts w:eastAsia="Calibri"/>
          <w:b/>
          <w:i/>
          <w:noProof/>
          <w:szCs w:val="22"/>
        </w:rPr>
      </w:pPr>
      <w:r w:rsidRPr="007870ED">
        <w:rPr>
          <w:b/>
          <w:i/>
        </w:rPr>
        <w:t xml:space="preserve">In nauwe samenwerking met de Commissie gaat het verslag vergezeld van een raming van de totale financiële gevolgen. </w:t>
      </w:r>
    </w:p>
    <w:p w:rsidR="0015189C" w:rsidRPr="007870ED" w:rsidRDefault="0015189C" w:rsidP="0015189C">
      <w:pPr>
        <w:widowControl/>
        <w:spacing w:before="120" w:after="120"/>
        <w:ind w:left="851"/>
        <w:jc w:val="both"/>
        <w:rPr>
          <w:rFonts w:eastAsia="Calibri"/>
          <w:b/>
          <w:i/>
          <w:noProof/>
          <w:szCs w:val="22"/>
        </w:rPr>
      </w:pPr>
      <w:r w:rsidRPr="007870ED">
        <w:rPr>
          <w:b/>
          <w:i/>
        </w:rPr>
        <w:lastRenderedPageBreak/>
        <w:t xml:space="preserve">Uiterlijk op ... [3 jaar na de datum van inwerkingtreding van deze wijzigingsverordening] dient de Commissie zo nodig bij het Europees Parlement en de Raad een wetgevingsvoorstel in om te zorgen voor de nodige financiële, personele en IT-middelen voor de instelling van het gemeenschappelijke geïntegreerde rapportagesysteem. </w:t>
      </w:r>
    </w:p>
    <w:p w:rsidR="0015189C" w:rsidRPr="007870ED" w:rsidRDefault="0015189C" w:rsidP="0015189C">
      <w:pPr>
        <w:widowControl/>
        <w:spacing w:before="120" w:after="120"/>
        <w:ind w:left="851"/>
        <w:jc w:val="both"/>
        <w:rPr>
          <w:rFonts w:eastAsia="Calibri"/>
          <w:b/>
          <w:i/>
          <w:noProof/>
          <w:szCs w:val="22"/>
        </w:rPr>
      </w:pPr>
      <w:r w:rsidRPr="007870ED">
        <w:rPr>
          <w:b/>
          <w:i/>
        </w:rPr>
        <w:t>Uiterlijk op ... [3 jaar na de datum van inwerkingtreding van deze wijzigingsverordening] stelt de Autoriteit samen met de andere autoriteiten het gemeenschappelijke geïntegreerde rapportagesysteem in.”</w:t>
      </w:r>
      <w:r w:rsidR="00F942BB" w:rsidRPr="007870ED">
        <w:rPr>
          <w:b/>
          <w:i/>
        </w:rPr>
        <w:t>;</w:t>
      </w:r>
    </w:p>
    <w:p w:rsidR="0015189C" w:rsidRPr="007870ED" w:rsidRDefault="0015189C" w:rsidP="0015189C">
      <w:pPr>
        <w:widowControl/>
        <w:spacing w:before="120" w:after="120"/>
        <w:ind w:left="850" w:hanging="850"/>
        <w:jc w:val="both"/>
        <w:rPr>
          <w:rFonts w:eastAsia="Calibri"/>
          <w:b/>
          <w:i/>
          <w:szCs w:val="22"/>
        </w:rPr>
      </w:pPr>
      <w:r w:rsidRPr="007870ED">
        <w:rPr>
          <w:b/>
          <w:i/>
        </w:rPr>
        <w:t>4 ter.</w:t>
      </w:r>
      <w:r w:rsidRPr="007870ED">
        <w:rPr>
          <w:b/>
          <w:i/>
        </w:rPr>
        <w:tab/>
        <w:t>In artikel 36 wordt lid 2 vervangen door:</w:t>
      </w:r>
    </w:p>
    <w:p w:rsidR="0015189C" w:rsidRPr="007870ED" w:rsidRDefault="00F942BB" w:rsidP="0015189C">
      <w:pPr>
        <w:widowControl/>
        <w:spacing w:before="120" w:after="120"/>
        <w:ind w:left="1418" w:hanging="567"/>
        <w:jc w:val="both"/>
        <w:rPr>
          <w:rFonts w:eastAsia="Calibri"/>
          <w:b/>
          <w:i/>
          <w:noProof/>
          <w:szCs w:val="22"/>
        </w:rPr>
      </w:pPr>
      <w:r w:rsidRPr="007870ED">
        <w:t>“</w:t>
      </w:r>
      <w:r w:rsidR="0015189C" w:rsidRPr="007870ED">
        <w:t xml:space="preserve">2. </w:t>
      </w:r>
      <w:r w:rsidR="0015189C" w:rsidRPr="007870ED">
        <w:rPr>
          <w:b/>
          <w:i/>
        </w:rPr>
        <w:tab/>
        <w:t>De Autoriteit werkt, samen met het Europees Stelsel van centrale banken (ESCB), de Commissie, de nationale bevoegde autoriteiten en de nationale statistische autoriteiten, nauw samen met het ESRB door de informatie en analysen te delen die nodig zijn voor de vervulling van hun taken.</w:t>
      </w:r>
    </w:p>
    <w:p w:rsidR="0015189C" w:rsidRPr="007870ED" w:rsidRDefault="0015189C" w:rsidP="0015189C">
      <w:pPr>
        <w:widowControl/>
        <w:spacing w:before="120" w:after="120"/>
        <w:ind w:left="1418"/>
        <w:jc w:val="both"/>
        <w:rPr>
          <w:rFonts w:eastAsia="Calibri"/>
          <w:b/>
          <w:i/>
          <w:noProof/>
          <w:szCs w:val="22"/>
        </w:rPr>
      </w:pPr>
      <w:r w:rsidRPr="007870ED">
        <w:rPr>
          <w:b/>
          <w:i/>
        </w:rPr>
        <w:t>De Autoriteit coördineert, samen met het ESRB en de ECB, haar inspanningen om systeemrisico’s voor de financiële stabiliteit op te sporen, te monitoren, te voorkomen en te beperken.</w:t>
      </w:r>
    </w:p>
    <w:p w:rsidR="0015189C" w:rsidRPr="007870ED" w:rsidRDefault="0015189C" w:rsidP="0015189C">
      <w:pPr>
        <w:widowControl/>
        <w:spacing w:before="120" w:after="120"/>
        <w:ind w:left="1418"/>
        <w:jc w:val="both"/>
        <w:rPr>
          <w:rFonts w:eastAsia="Calibri"/>
          <w:b/>
          <w:i/>
          <w:noProof/>
          <w:szCs w:val="22"/>
        </w:rPr>
      </w:pPr>
      <w:r w:rsidRPr="007870ED">
        <w:rPr>
          <w:b/>
          <w:i/>
        </w:rPr>
        <w:t>De Autoriteit voldoet, overeenkomstig artikel 15, leden 1 tot en met 5, van Verordening (EU) nr. 1092/2010, aan de vastgestelde bepalingen inzake het delen van gegevens.</w:t>
      </w:r>
    </w:p>
    <w:p w:rsidR="0015189C" w:rsidRPr="007870ED" w:rsidRDefault="0015189C" w:rsidP="0015189C">
      <w:pPr>
        <w:widowControl/>
        <w:spacing w:before="120" w:after="120"/>
        <w:ind w:left="1418"/>
        <w:jc w:val="both"/>
        <w:rPr>
          <w:rFonts w:eastAsia="Calibri"/>
          <w:b/>
          <w:i/>
          <w:noProof/>
          <w:szCs w:val="22"/>
        </w:rPr>
      </w:pPr>
      <w:r w:rsidRPr="007870ED">
        <w:rPr>
          <w:b/>
          <w:i/>
        </w:rPr>
        <w:t>De Autoriteit beschikt, in samenwerking met het ESRB, over adequate interne procedures voor de verzending van vertrouwelijke informatie, met name informatie betreffende individuele financiële instellingen.</w:t>
      </w:r>
      <w:r w:rsidR="00F942BB" w:rsidRPr="007870ED">
        <w:rPr>
          <w:b/>
          <w:i/>
        </w:rPr>
        <w:t>”;</w:t>
      </w:r>
    </w:p>
    <w:p w:rsidR="0015189C" w:rsidRPr="007870ED" w:rsidRDefault="0015189C" w:rsidP="0015189C">
      <w:pPr>
        <w:widowControl/>
        <w:spacing w:before="120" w:after="120"/>
        <w:ind w:left="851"/>
        <w:jc w:val="both"/>
        <w:rPr>
          <w:rFonts w:eastAsia="Calibri"/>
          <w:noProof/>
          <w:szCs w:val="22"/>
        </w:rPr>
      </w:pPr>
      <w:r w:rsidRPr="007870ED">
        <w:t>5.</w:t>
      </w:r>
      <w:r w:rsidRPr="007870ED">
        <w:tab/>
        <w:t>Aan artikel 54, lid 2, wordt het volgende streepje toegevoegd: </w:t>
      </w:r>
    </w:p>
    <w:p w:rsidR="0015189C" w:rsidRPr="007870ED" w:rsidRDefault="0015189C" w:rsidP="0015189C">
      <w:pPr>
        <w:widowControl/>
        <w:spacing w:before="120" w:after="120"/>
        <w:ind w:left="1418"/>
        <w:jc w:val="both"/>
        <w:rPr>
          <w:rFonts w:eastAsia="Calibri"/>
          <w:noProof/>
          <w:szCs w:val="22"/>
        </w:rPr>
      </w:pPr>
      <w:r w:rsidRPr="007870ED">
        <w:t xml:space="preserve">“– </w:t>
      </w:r>
      <w:r w:rsidRPr="007870ED">
        <w:rPr>
          <w:b/>
          <w:bCs/>
          <w:i/>
          <w:iCs/>
        </w:rPr>
        <w:t>rapportage- en openbaarmakingsvereisten</w:t>
      </w:r>
      <w:r w:rsidRPr="007870ED">
        <w:t xml:space="preserve"> en het verzamelen en verspreiden van informatie bij financiële instellingen.”. </w:t>
      </w:r>
    </w:p>
    <w:p w:rsidR="0015189C" w:rsidRPr="007870ED" w:rsidRDefault="0015189C" w:rsidP="0015189C">
      <w:pPr>
        <w:widowControl/>
        <w:spacing w:before="120" w:after="120"/>
        <w:ind w:left="851"/>
        <w:jc w:val="both"/>
        <w:rPr>
          <w:rFonts w:eastAsia="Calibri"/>
          <w:noProof/>
          <w:szCs w:val="22"/>
        </w:rPr>
      </w:pPr>
      <w:r w:rsidRPr="007870ED">
        <w:t>6.</w:t>
      </w:r>
      <w:r w:rsidRPr="007870ED">
        <w:tab/>
        <w:t>In artikel 70 wordt lid 3 vervangen door: </w:t>
      </w:r>
    </w:p>
    <w:p w:rsidR="0015189C" w:rsidRPr="007870ED" w:rsidRDefault="0015189C" w:rsidP="0015189C">
      <w:pPr>
        <w:widowControl/>
        <w:spacing w:before="120" w:after="120"/>
        <w:ind w:left="1418"/>
        <w:jc w:val="both"/>
        <w:rPr>
          <w:rFonts w:eastAsia="Calibri"/>
          <w:szCs w:val="24"/>
        </w:rPr>
      </w:pPr>
      <w:r w:rsidRPr="007870ED">
        <w:t xml:space="preserve">“3. De leden 1 en 2 staan er niet aan in de weg dat de Autoriteit informatie uitwisselt met </w:t>
      </w:r>
      <w:r w:rsidRPr="007870ED">
        <w:rPr>
          <w:b/>
          <w:bCs/>
          <w:i/>
          <w:iCs/>
        </w:rPr>
        <w:t>de andere</w:t>
      </w:r>
      <w:r w:rsidRPr="007870ED">
        <w:t xml:space="preserve"> autoriteiten </w:t>
      </w:r>
      <w:r w:rsidRPr="007870ED">
        <w:rPr>
          <w:b/>
          <w:bCs/>
          <w:i/>
          <w:iCs/>
        </w:rPr>
        <w:t>als bedoeld in artikel 35 bis, lid 1 ter,</w:t>
      </w:r>
      <w:r w:rsidRPr="007870ED">
        <w:t xml:space="preserve"> overeenkomstig deze verordening en overeenkomstig andere Uniewetgeving die op financiële instellingen van toepassing is.”.  </w:t>
      </w:r>
    </w:p>
    <w:p w:rsidR="0015189C" w:rsidRPr="007870ED" w:rsidRDefault="0015189C" w:rsidP="0015189C">
      <w:pPr>
        <w:keepNext/>
        <w:widowControl/>
        <w:spacing w:before="360" w:after="120"/>
        <w:ind w:left="720"/>
        <w:jc w:val="center"/>
        <w:rPr>
          <w:rFonts w:eastAsia="Calibri"/>
          <w:i/>
          <w:noProof/>
          <w:szCs w:val="22"/>
        </w:rPr>
      </w:pPr>
      <w:r w:rsidRPr="007870ED">
        <w:rPr>
          <w:i/>
        </w:rPr>
        <w:t>Artikel 3</w:t>
      </w:r>
    </w:p>
    <w:p w:rsidR="0015189C" w:rsidRPr="007870ED" w:rsidRDefault="0015189C" w:rsidP="0015189C">
      <w:pPr>
        <w:widowControl/>
        <w:spacing w:before="120" w:after="120"/>
        <w:jc w:val="center"/>
        <w:rPr>
          <w:rFonts w:eastAsia="Calibri"/>
          <w:noProof/>
          <w:szCs w:val="22"/>
        </w:rPr>
      </w:pPr>
      <w:r w:rsidRPr="007870ED">
        <w:rPr>
          <w:b/>
        </w:rPr>
        <w:t>Wijzigingen van Verordening (EU) nr. 1094/2010</w:t>
      </w:r>
    </w:p>
    <w:p w:rsidR="0015189C" w:rsidRPr="007870ED" w:rsidRDefault="0015189C" w:rsidP="0015189C">
      <w:pPr>
        <w:widowControl/>
        <w:spacing w:before="120" w:after="120"/>
        <w:jc w:val="both"/>
        <w:rPr>
          <w:rFonts w:eastAsia="Calibri"/>
          <w:noProof/>
          <w:szCs w:val="22"/>
        </w:rPr>
      </w:pPr>
      <w:r w:rsidRPr="007870ED">
        <w:t>Verordening (EU) nr. 1094/2010 wordt als volgt gewijzigd: </w:t>
      </w:r>
    </w:p>
    <w:p w:rsidR="0015189C" w:rsidRPr="007870ED" w:rsidRDefault="0015189C" w:rsidP="0015189C">
      <w:pPr>
        <w:widowControl/>
        <w:spacing w:before="120" w:after="120"/>
        <w:ind w:left="850" w:hanging="850"/>
        <w:jc w:val="both"/>
        <w:rPr>
          <w:rFonts w:eastAsia="Calibri"/>
          <w:b/>
          <w:i/>
          <w:szCs w:val="22"/>
        </w:rPr>
      </w:pPr>
      <w:r w:rsidRPr="007870ED">
        <w:rPr>
          <w:b/>
          <w:i/>
        </w:rPr>
        <w:t>-1.</w:t>
      </w:r>
      <w:r w:rsidRPr="007870ED">
        <w:rPr>
          <w:b/>
          <w:i/>
        </w:rPr>
        <w:tab/>
        <w:t>Aan artikel 16 bis, lid 1, wordt de volgende alinea toegevoegd:</w:t>
      </w:r>
    </w:p>
    <w:p w:rsidR="0015189C" w:rsidRPr="007870ED" w:rsidRDefault="0015189C" w:rsidP="0015189C">
      <w:pPr>
        <w:widowControl/>
        <w:spacing w:before="120" w:after="120"/>
        <w:ind w:left="851"/>
        <w:jc w:val="both"/>
        <w:rPr>
          <w:rFonts w:eastAsia="Calibri"/>
          <w:b/>
          <w:i/>
          <w:noProof/>
          <w:szCs w:val="22"/>
        </w:rPr>
      </w:pPr>
      <w:r w:rsidRPr="007870ED">
        <w:rPr>
          <w:b/>
          <w:i/>
        </w:rPr>
        <w:t>“De adviezen van de Autoriteit zijn niet beperkt tot lopende wetgevingsprocedures. De Autoriteit kan in haar adviezen zo nodig ook wijzigingen van wetgevingshandelingen die van kracht zijn voorstellen, waaronder wijzigingen om:</w:t>
      </w:r>
    </w:p>
    <w:p w:rsidR="0015189C" w:rsidRPr="007870ED" w:rsidRDefault="0015189C" w:rsidP="0015189C">
      <w:pPr>
        <w:widowControl/>
        <w:spacing w:before="120" w:after="120"/>
        <w:ind w:left="1418" w:hanging="567"/>
        <w:jc w:val="both"/>
        <w:rPr>
          <w:rFonts w:eastAsia="Calibri"/>
          <w:b/>
          <w:i/>
          <w:noProof/>
          <w:szCs w:val="22"/>
        </w:rPr>
      </w:pPr>
      <w:r w:rsidRPr="007870ED">
        <w:rPr>
          <w:b/>
          <w:i/>
        </w:rPr>
        <w:t>a)</w:t>
      </w:r>
      <w:r w:rsidRPr="007870ED">
        <w:rPr>
          <w:b/>
          <w:i/>
        </w:rPr>
        <w:tab/>
        <w:t xml:space="preserve"> overbodige of achterhaalde rapportage- en openbaarmakingsvereisten in het Unierecht of de nationale omzetting van het Unierecht door de lidstaten te schrappen;</w:t>
      </w:r>
    </w:p>
    <w:p w:rsidR="0015189C" w:rsidRPr="007870ED" w:rsidRDefault="0015189C" w:rsidP="0015189C">
      <w:pPr>
        <w:widowControl/>
        <w:spacing w:before="120" w:after="120"/>
        <w:ind w:left="1418" w:hanging="567"/>
        <w:jc w:val="both"/>
        <w:rPr>
          <w:rFonts w:eastAsia="Calibri"/>
          <w:b/>
          <w:i/>
          <w:noProof/>
          <w:szCs w:val="22"/>
        </w:rPr>
      </w:pPr>
      <w:r w:rsidRPr="007870ED">
        <w:rPr>
          <w:b/>
          <w:i/>
        </w:rPr>
        <w:t>b)</w:t>
      </w:r>
      <w:r w:rsidRPr="007870ED">
        <w:rPr>
          <w:b/>
          <w:i/>
        </w:rPr>
        <w:tab/>
        <w:t xml:space="preserve"> te zorgen voor consistente rapportage- en openbaarmakingsvereisten in zowel sectorspecifieke als </w:t>
      </w:r>
      <w:proofErr w:type="spellStart"/>
      <w:r w:rsidRPr="007870ED">
        <w:rPr>
          <w:b/>
          <w:i/>
        </w:rPr>
        <w:t>sectoroverschrijdende</w:t>
      </w:r>
      <w:proofErr w:type="spellEnd"/>
      <w:r w:rsidRPr="007870ED">
        <w:rPr>
          <w:b/>
          <w:i/>
        </w:rPr>
        <w:t xml:space="preserve"> wetgeving;</w:t>
      </w:r>
    </w:p>
    <w:p w:rsidR="0015189C" w:rsidRPr="007870ED" w:rsidRDefault="0015189C" w:rsidP="0015189C">
      <w:pPr>
        <w:widowControl/>
        <w:spacing w:before="120" w:after="120"/>
        <w:ind w:left="1418" w:hanging="567"/>
        <w:jc w:val="both"/>
        <w:rPr>
          <w:rFonts w:eastAsia="Calibri"/>
          <w:b/>
          <w:i/>
          <w:noProof/>
          <w:szCs w:val="22"/>
        </w:rPr>
      </w:pPr>
      <w:r w:rsidRPr="007870ED">
        <w:rPr>
          <w:b/>
          <w:i/>
        </w:rPr>
        <w:lastRenderedPageBreak/>
        <w:t xml:space="preserve">c) </w:t>
      </w:r>
      <w:r w:rsidRPr="007870ED">
        <w:rPr>
          <w:b/>
          <w:i/>
        </w:rPr>
        <w:tab/>
        <w:t>te zorgen voor evenredigheid in de rapportage- en openbaarmakingsvereisten met betrekking tot de aard, omvang en complexiteit van de rapporterende entiteit;</w:t>
      </w:r>
    </w:p>
    <w:p w:rsidR="0015189C" w:rsidRPr="007870ED" w:rsidRDefault="0015189C" w:rsidP="0015189C">
      <w:pPr>
        <w:widowControl/>
        <w:spacing w:before="120" w:after="120"/>
        <w:ind w:left="1418" w:hanging="567"/>
        <w:jc w:val="both"/>
        <w:rPr>
          <w:rFonts w:eastAsia="Calibri"/>
          <w:b/>
          <w:bCs/>
          <w:i/>
          <w:iCs/>
          <w:szCs w:val="22"/>
        </w:rPr>
      </w:pPr>
      <w:r w:rsidRPr="007870ED">
        <w:rPr>
          <w:b/>
          <w:i/>
        </w:rPr>
        <w:t xml:space="preserve">d) </w:t>
      </w:r>
      <w:r w:rsidRPr="007870ED">
        <w:rPr>
          <w:b/>
          <w:i/>
        </w:rPr>
        <w:tab/>
        <w:t>ervoor zorgen dat de naleving van de rapportage- en openbaarmakingsvereisten in verhouding staat tot de toegevoegde waarde voor het vervullen van de taken en doelstellingen van de Autoriteit.</w:t>
      </w:r>
    </w:p>
    <w:p w:rsidR="0015189C" w:rsidRPr="007870ED" w:rsidRDefault="0015189C" w:rsidP="0015189C">
      <w:pPr>
        <w:widowControl/>
        <w:spacing w:before="120" w:after="120"/>
        <w:ind w:left="851"/>
        <w:jc w:val="both"/>
        <w:rPr>
          <w:rFonts w:eastAsia="Calibri"/>
          <w:b/>
          <w:i/>
          <w:szCs w:val="22"/>
        </w:rPr>
      </w:pPr>
      <w:r w:rsidRPr="007870ED">
        <w:rPr>
          <w:b/>
          <w:i/>
        </w:rPr>
        <w:t>Bij het opstellen van de in de eerste alinea bedoelde adviezen over van kracht zijnde wetgevingshandelingen houdt de Autoriteit door een specifieke raadpleging naar behoren rekening met de inbreng van alle relevante belanghebbenden. Op basis van die adviezen dient de Commissie zo nodig bij het Europees Parlement en de Raad een wetgevingsvoorstel in.”</w:t>
      </w:r>
      <w:r w:rsidR="00F942BB" w:rsidRPr="007870ED">
        <w:rPr>
          <w:b/>
          <w:i/>
        </w:rPr>
        <w:t>;</w:t>
      </w:r>
    </w:p>
    <w:p w:rsidR="0015189C" w:rsidRPr="007870ED" w:rsidRDefault="0015189C" w:rsidP="0015189C">
      <w:pPr>
        <w:widowControl/>
        <w:spacing w:before="120" w:after="120"/>
        <w:ind w:left="850" w:hanging="850"/>
        <w:jc w:val="both"/>
        <w:rPr>
          <w:rFonts w:eastAsia="Calibri"/>
          <w:noProof/>
          <w:szCs w:val="22"/>
        </w:rPr>
      </w:pPr>
      <w:r w:rsidRPr="007870ED">
        <w:t>1.</w:t>
      </w:r>
      <w:r w:rsidRPr="007870ED">
        <w:tab/>
        <w:t>In artikel 29, lid 1, wordt punt d) vervangen door: </w:t>
      </w:r>
    </w:p>
    <w:p w:rsidR="0015189C" w:rsidRPr="007870ED" w:rsidRDefault="0015189C" w:rsidP="0015189C">
      <w:pPr>
        <w:widowControl/>
        <w:spacing w:before="120" w:after="120"/>
        <w:ind w:left="851"/>
        <w:jc w:val="both"/>
        <w:rPr>
          <w:rFonts w:eastAsia="Calibri"/>
          <w:b/>
          <w:i/>
          <w:szCs w:val="22"/>
        </w:rPr>
      </w:pPr>
      <w:r w:rsidRPr="007870ED">
        <w:t>“</w:t>
      </w:r>
      <w:proofErr w:type="gramStart"/>
      <w:r w:rsidRPr="007870ED">
        <w:t>d</w:t>
      </w:r>
      <w:proofErr w:type="gramEnd"/>
      <w:r w:rsidRPr="007870ED">
        <w:t>)</w:t>
      </w:r>
      <w:r w:rsidRPr="007870ED">
        <w:rPr>
          <w:b/>
          <w:i/>
        </w:rPr>
        <w:tab/>
      </w:r>
      <w:r w:rsidRPr="007870ED">
        <w:t xml:space="preserve"> evalueren van de toepassing van de desbetreffende door de Commissie vastgestelde technische reguleringsnormen en technische uitvoeringsnormen en van de door de Autoriteit gegeven richtsnoeren en aanbevelingen, en in voorkomend geval voorstellen van wijzigingen,</w:t>
      </w:r>
      <w:r w:rsidRPr="007870ED">
        <w:rPr>
          <w:b/>
          <w:bCs/>
          <w:i/>
          <w:iCs/>
        </w:rPr>
        <w:t xml:space="preserve"> met behoud van de bruikbaarheid en kwaliteit van de gegevens, teneinde:</w:t>
      </w:r>
    </w:p>
    <w:p w:rsidR="0015189C" w:rsidRPr="007870ED" w:rsidRDefault="0015189C" w:rsidP="0015189C">
      <w:pPr>
        <w:widowControl/>
        <w:spacing w:before="120" w:after="120"/>
        <w:ind w:left="720"/>
        <w:jc w:val="both"/>
        <w:rPr>
          <w:rFonts w:eastAsia="Calibri"/>
          <w:b/>
          <w:i/>
          <w:szCs w:val="22"/>
        </w:rPr>
      </w:pPr>
      <w:r w:rsidRPr="007870ED">
        <w:t>– overbodige of achterhaalde rapportage- en openbaarmakingsvereisten te schrappen;</w:t>
      </w:r>
    </w:p>
    <w:p w:rsidR="0015189C" w:rsidRPr="007870ED" w:rsidRDefault="0015189C" w:rsidP="0015189C">
      <w:pPr>
        <w:widowControl/>
        <w:spacing w:before="120" w:after="120"/>
        <w:ind w:left="720"/>
        <w:jc w:val="both"/>
        <w:rPr>
          <w:rFonts w:eastAsia="Calibri"/>
          <w:b/>
          <w:i/>
          <w:noProof/>
          <w:szCs w:val="22"/>
        </w:rPr>
      </w:pPr>
      <w:r w:rsidRPr="007870ED">
        <w:rPr>
          <w:b/>
          <w:i/>
        </w:rPr>
        <w:t>– te zorgen voor evenredige en gestandaardiseerde rapportage- en openbaarmakingsvereisten;</w:t>
      </w:r>
    </w:p>
    <w:p w:rsidR="0015189C" w:rsidRPr="007870ED" w:rsidRDefault="0015189C" w:rsidP="0015189C">
      <w:pPr>
        <w:widowControl/>
        <w:spacing w:before="120" w:after="120"/>
        <w:ind w:firstLine="720"/>
        <w:jc w:val="both"/>
        <w:rPr>
          <w:rFonts w:eastAsia="Calibri"/>
          <w:b/>
          <w:i/>
          <w:szCs w:val="22"/>
        </w:rPr>
      </w:pPr>
      <w:r w:rsidRPr="007870ED">
        <w:t>– de kosten tot een minimum te beperken</w:t>
      </w:r>
      <w:r w:rsidRPr="007870ED">
        <w:rPr>
          <w:b/>
          <w:bCs/>
          <w:i/>
          <w:iCs/>
        </w:rPr>
        <w:t>;</w:t>
      </w:r>
    </w:p>
    <w:p w:rsidR="0015189C" w:rsidRPr="007870ED" w:rsidRDefault="0015189C" w:rsidP="0015189C">
      <w:pPr>
        <w:widowControl/>
        <w:spacing w:before="120" w:after="120"/>
        <w:ind w:firstLine="720"/>
        <w:jc w:val="both"/>
        <w:rPr>
          <w:rFonts w:eastAsia="Calibri"/>
          <w:b/>
          <w:i/>
          <w:szCs w:val="22"/>
        </w:rPr>
      </w:pPr>
      <w:r w:rsidRPr="007870ED">
        <w:rPr>
          <w:b/>
          <w:i/>
        </w:rPr>
        <w:t>– lacunes in de regelgeving op te vullen;”</w:t>
      </w:r>
      <w:r w:rsidR="00F942BB" w:rsidRPr="007870ED">
        <w:rPr>
          <w:b/>
          <w:i/>
        </w:rPr>
        <w:t>;</w:t>
      </w:r>
    </w:p>
    <w:p w:rsidR="0015189C" w:rsidRPr="007870ED" w:rsidRDefault="0015189C" w:rsidP="0015189C">
      <w:pPr>
        <w:widowControl/>
        <w:spacing w:before="120" w:after="120"/>
        <w:ind w:left="851" w:hanging="851"/>
        <w:jc w:val="both"/>
        <w:rPr>
          <w:rFonts w:eastAsia="Calibri"/>
          <w:noProof/>
          <w:szCs w:val="22"/>
        </w:rPr>
      </w:pPr>
      <w:r w:rsidRPr="007870ED">
        <w:t>2.</w:t>
      </w:r>
      <w:r w:rsidRPr="007870ED">
        <w:tab/>
        <w:t>Aan artikel 30, lid 3, wordt het volgende punt e) toegevoegd: </w:t>
      </w:r>
    </w:p>
    <w:p w:rsidR="0015189C" w:rsidRPr="007870ED" w:rsidRDefault="0015189C" w:rsidP="0015189C">
      <w:pPr>
        <w:widowControl/>
        <w:spacing w:before="120" w:after="120"/>
        <w:ind w:left="851"/>
        <w:jc w:val="both"/>
        <w:rPr>
          <w:rFonts w:eastAsia="Calibri"/>
          <w:noProof/>
          <w:szCs w:val="22"/>
        </w:rPr>
      </w:pPr>
      <w:r w:rsidRPr="007870ED">
        <w:t>“</w:t>
      </w:r>
      <w:proofErr w:type="gramStart"/>
      <w:r w:rsidRPr="007870ED">
        <w:t>e</w:t>
      </w:r>
      <w:proofErr w:type="gramEnd"/>
      <w:r w:rsidRPr="007870ED">
        <w:t xml:space="preserve">) de effectiviteit van nationale </w:t>
      </w:r>
      <w:r w:rsidRPr="007870ED">
        <w:rPr>
          <w:b/>
          <w:bCs/>
          <w:i/>
          <w:iCs/>
        </w:rPr>
        <w:t>rapportage- en openbaarmakingsvereisten</w:t>
      </w:r>
      <w:r w:rsidRPr="007870ED">
        <w:t xml:space="preserve"> en de mate van convergentie tussen die vereisten en de vereisten in Unierecht </w:t>
      </w:r>
      <w:r w:rsidRPr="007870ED">
        <w:rPr>
          <w:b/>
          <w:bCs/>
          <w:i/>
          <w:iCs/>
        </w:rPr>
        <w:t>en hun geschiktheid om aan de daarin vastgestelde normen te voldoen, rekening houdend met de specifieke kenmerken van de nationale financiële rechtsgebieden</w:t>
      </w:r>
      <w:r w:rsidRPr="007870ED">
        <w:t>.”. </w:t>
      </w:r>
    </w:p>
    <w:p w:rsidR="0015189C" w:rsidRPr="007870ED" w:rsidRDefault="0015189C" w:rsidP="0015189C">
      <w:pPr>
        <w:widowControl/>
        <w:spacing w:before="120" w:after="120"/>
        <w:ind w:left="850" w:hanging="850"/>
        <w:jc w:val="both"/>
        <w:rPr>
          <w:rFonts w:eastAsia="Calibri"/>
          <w:noProof/>
          <w:szCs w:val="22"/>
        </w:rPr>
      </w:pPr>
      <w:r w:rsidRPr="007870ED">
        <w:t>3.</w:t>
      </w:r>
      <w:r w:rsidRPr="007870ED">
        <w:tab/>
        <w:t>Artikel 35, lid 4, wordt vervangen door: </w:t>
      </w:r>
    </w:p>
    <w:p w:rsidR="0015189C" w:rsidRPr="007870ED" w:rsidRDefault="0015189C" w:rsidP="0015189C">
      <w:pPr>
        <w:widowControl/>
        <w:spacing w:before="120" w:after="120"/>
        <w:ind w:left="851"/>
        <w:jc w:val="both"/>
        <w:rPr>
          <w:rFonts w:eastAsia="Calibri"/>
          <w:noProof/>
          <w:szCs w:val="22"/>
        </w:rPr>
      </w:pPr>
      <w:r w:rsidRPr="007870ED">
        <w:t xml:space="preserve">“4.  Voordat er overeenkomstig dit artikel om informatie wordt gevraagd en om dubbele </w:t>
      </w:r>
      <w:r w:rsidRPr="007870ED">
        <w:rPr>
          <w:b/>
          <w:bCs/>
          <w:i/>
          <w:iCs/>
        </w:rPr>
        <w:t>rapportage- en openbaarmakingsverplichtingen</w:t>
      </w:r>
      <w:r w:rsidRPr="007870ED">
        <w:t xml:space="preserve"> te vermijden, maakt de Autoriteit gebruik van informatie verzameld door </w:t>
      </w:r>
      <w:r w:rsidRPr="007870ED">
        <w:rPr>
          <w:b/>
          <w:bCs/>
          <w:i/>
          <w:iCs/>
        </w:rPr>
        <w:t>de</w:t>
      </w:r>
      <w:r w:rsidRPr="007870ED">
        <w:t xml:space="preserve"> in artikel 35 bis, lid </w:t>
      </w:r>
      <w:r w:rsidRPr="007870ED">
        <w:rPr>
          <w:b/>
          <w:bCs/>
          <w:i/>
          <w:iCs/>
        </w:rPr>
        <w:t>1 ter</w:t>
      </w:r>
      <w:r w:rsidRPr="007870ED">
        <w:t>, bedoelde andere autoriteiten en de bestaande statistieken, zoals opgemaakt en verspreid door het Europees statistisch systeem en het Europees Stelsel van centrale banken.”. </w:t>
      </w:r>
    </w:p>
    <w:p w:rsidR="0015189C" w:rsidRPr="007870ED" w:rsidRDefault="0015189C" w:rsidP="0015189C">
      <w:pPr>
        <w:widowControl/>
        <w:spacing w:before="120" w:after="120"/>
        <w:jc w:val="both"/>
        <w:rPr>
          <w:rFonts w:eastAsia="Calibri"/>
          <w:noProof/>
          <w:szCs w:val="22"/>
        </w:rPr>
      </w:pPr>
      <w:r w:rsidRPr="007870ED">
        <w:t>4.</w:t>
      </w:r>
      <w:r w:rsidRPr="007870ED">
        <w:tab/>
        <w:t>Het volgende artikel 35 bis wordt ingevoegd: </w:t>
      </w:r>
    </w:p>
    <w:p w:rsidR="0015189C" w:rsidRPr="007870ED" w:rsidRDefault="0015189C" w:rsidP="0015189C">
      <w:pPr>
        <w:widowControl/>
        <w:spacing w:before="120" w:after="120"/>
        <w:rPr>
          <w:rFonts w:eastAsia="Calibri"/>
          <w:noProof/>
          <w:szCs w:val="22"/>
        </w:rPr>
      </w:pPr>
      <w:r w:rsidRPr="007870ED">
        <w:t>“Artikel 35 bis</w:t>
      </w:r>
    </w:p>
    <w:p w:rsidR="0015189C" w:rsidRPr="007870ED" w:rsidRDefault="0015189C" w:rsidP="0015189C">
      <w:pPr>
        <w:widowControl/>
        <w:spacing w:before="120" w:after="120"/>
        <w:rPr>
          <w:rFonts w:eastAsia="Calibri"/>
          <w:noProof/>
          <w:szCs w:val="22"/>
        </w:rPr>
      </w:pPr>
      <w:r w:rsidRPr="007870ED">
        <w:rPr>
          <w:b/>
        </w:rPr>
        <w:t>Uitwisseling van informatie tussen autoriteiten en met andere entiteiten</w:t>
      </w:r>
    </w:p>
    <w:p w:rsidR="0015189C" w:rsidRPr="007870ED" w:rsidRDefault="0015189C" w:rsidP="0015189C">
      <w:pPr>
        <w:widowControl/>
        <w:spacing w:before="120" w:after="120"/>
        <w:ind w:left="851" w:hanging="851"/>
        <w:jc w:val="both"/>
        <w:rPr>
          <w:rFonts w:eastAsia="Calibri"/>
          <w:b/>
          <w:i/>
          <w:szCs w:val="22"/>
        </w:rPr>
      </w:pPr>
      <w:r w:rsidRPr="007870ED">
        <w:t xml:space="preserve">1. </w:t>
      </w:r>
      <w:r w:rsidRPr="007870ED">
        <w:rPr>
          <w:b/>
          <w:i/>
        </w:rPr>
        <w:tab/>
      </w:r>
      <w:r w:rsidRPr="007870ED">
        <w:t xml:space="preserve">De Autoriteit en de bevoegde autoriteiten delen, per geval of op regelmatige basis, met </w:t>
      </w:r>
      <w:r w:rsidRPr="007870ED">
        <w:rPr>
          <w:b/>
          <w:bCs/>
          <w:i/>
          <w:iCs/>
        </w:rPr>
        <w:t>de</w:t>
      </w:r>
      <w:r w:rsidRPr="007870ED">
        <w:t xml:space="preserve"> andere autoriteiten informatie die deze van financiële instellingen of andere bevoegde autoriteiten hebben verkregen</w:t>
      </w:r>
      <w:r w:rsidRPr="007870ED">
        <w:rPr>
          <w:b/>
          <w:bCs/>
          <w:i/>
          <w:iCs/>
        </w:rPr>
        <w:t>, indien de verzoekende autoriteit krachtens haar opdracht, doelstellingen, taken en bevoegdheden of overeenkomstig desbetreffend Unierecht het recht heeft die informatie te verkrijgen</w:t>
      </w:r>
      <w:r w:rsidRPr="007870ED">
        <w:t>.</w:t>
      </w:r>
      <w:r w:rsidRPr="007870ED">
        <w:rPr>
          <w:b/>
          <w:i/>
        </w:rPr>
        <w:t xml:space="preserve"> </w:t>
      </w:r>
    </w:p>
    <w:p w:rsidR="0015189C" w:rsidRPr="007870ED" w:rsidRDefault="0015189C" w:rsidP="0015189C">
      <w:pPr>
        <w:widowControl/>
        <w:spacing w:before="120" w:after="120"/>
        <w:ind w:left="851"/>
        <w:jc w:val="both"/>
        <w:rPr>
          <w:rFonts w:eastAsia="Calibri"/>
          <w:b/>
          <w:i/>
          <w:szCs w:val="22"/>
        </w:rPr>
      </w:pPr>
      <w:r w:rsidRPr="007870ED">
        <w:rPr>
          <w:b/>
          <w:i/>
        </w:rPr>
        <w:lastRenderedPageBreak/>
        <w:t xml:space="preserve">Voor het delen van de informatie als bedoeld in de eerste alinea van dit lid maakt de Autoriteit of de bevoegde autoriteit vanaf de oprichting ervan gebruik van het in artikel 35 ter bedoelde enkele geïntegreerde rapportagesysteem. </w:t>
      </w:r>
    </w:p>
    <w:p w:rsidR="0015189C" w:rsidRPr="007870ED" w:rsidRDefault="0015189C" w:rsidP="0015189C">
      <w:pPr>
        <w:widowControl/>
        <w:spacing w:before="120" w:after="120"/>
        <w:ind w:left="851" w:hanging="851"/>
        <w:jc w:val="both"/>
        <w:rPr>
          <w:rFonts w:eastAsia="Calibri"/>
          <w:b/>
          <w:i/>
          <w:noProof/>
          <w:szCs w:val="22"/>
        </w:rPr>
      </w:pPr>
      <w:r w:rsidRPr="007870ED">
        <w:rPr>
          <w:b/>
          <w:i/>
        </w:rPr>
        <w:t>1 bis.</w:t>
      </w:r>
      <w:r w:rsidRPr="007870ED">
        <w:rPr>
          <w:b/>
          <w:i/>
        </w:rPr>
        <w:tab/>
        <w:t>De Autoriteit en de bevoegde autoriteiten verzoeken elk bij de andere autoriteiten om informatie die zij anders zouden opvragen bij financiële instellingen of andere bevoegde autoriteiten, indien aan beide volgende voorwaarden wordt voldaan:</w:t>
      </w:r>
    </w:p>
    <w:p w:rsidR="0015189C" w:rsidRPr="007870ED" w:rsidRDefault="0015189C" w:rsidP="0015189C">
      <w:pPr>
        <w:widowControl/>
        <w:spacing w:before="120" w:after="120"/>
        <w:ind w:left="1418" w:hanging="567"/>
        <w:jc w:val="both"/>
        <w:rPr>
          <w:rFonts w:eastAsia="Calibri"/>
          <w:b/>
          <w:i/>
          <w:noProof/>
          <w:szCs w:val="22"/>
        </w:rPr>
      </w:pPr>
      <w:r w:rsidRPr="007870ED">
        <w:rPr>
          <w:b/>
          <w:i/>
        </w:rPr>
        <w:t xml:space="preserve">a) </w:t>
      </w:r>
      <w:r w:rsidRPr="007870ED">
        <w:rPr>
          <w:b/>
          <w:i/>
        </w:rPr>
        <w:tab/>
        <w:t>zij hebben krachtens hun opdracht, doelstellingen, taken en bevoegdheden of overeenkomstig desbetreffend Unierecht het recht die informatie te verkrijgen;</w:t>
      </w:r>
    </w:p>
    <w:p w:rsidR="0015189C" w:rsidRPr="007870ED" w:rsidRDefault="0015189C" w:rsidP="0015189C">
      <w:pPr>
        <w:widowControl/>
        <w:spacing w:before="120" w:after="120"/>
        <w:ind w:left="1418" w:hanging="567"/>
        <w:jc w:val="both"/>
        <w:rPr>
          <w:rFonts w:eastAsia="Calibri"/>
          <w:b/>
          <w:i/>
          <w:noProof/>
          <w:szCs w:val="22"/>
        </w:rPr>
      </w:pPr>
      <w:r w:rsidRPr="007870ED">
        <w:rPr>
          <w:b/>
          <w:i/>
        </w:rPr>
        <w:t xml:space="preserve">b) </w:t>
      </w:r>
      <w:r w:rsidRPr="007870ED">
        <w:rPr>
          <w:b/>
          <w:i/>
        </w:rPr>
        <w:tab/>
        <w:t>die informatie is verkregen door ten minste een van de andere autoriteiten.</w:t>
      </w:r>
    </w:p>
    <w:p w:rsidR="0015189C" w:rsidRPr="007870ED" w:rsidRDefault="0015189C" w:rsidP="0015189C">
      <w:pPr>
        <w:widowControl/>
        <w:spacing w:before="120" w:after="120"/>
        <w:ind w:left="851"/>
        <w:jc w:val="both"/>
        <w:rPr>
          <w:rFonts w:eastAsia="Calibri"/>
          <w:b/>
          <w:i/>
          <w:noProof/>
          <w:szCs w:val="22"/>
        </w:rPr>
      </w:pPr>
      <w:r w:rsidRPr="007870ED">
        <w:rPr>
          <w:b/>
          <w:i/>
        </w:rPr>
        <w:t>De eerste alinea laat onverlet dat de Autoriteit en de bevoegde autoriteiten de gevraagde informatie kunnen verkrijgen van financiële instellingen of andere bevoegde autoriteiten indien de andere autoriteit om operationele redenen niet in staat is de gegevens te delen.</w:t>
      </w:r>
    </w:p>
    <w:p w:rsidR="0015189C" w:rsidRPr="007870ED" w:rsidRDefault="0015189C" w:rsidP="0015189C">
      <w:pPr>
        <w:widowControl/>
        <w:spacing w:before="120" w:after="120"/>
        <w:ind w:left="851"/>
        <w:jc w:val="both"/>
        <w:rPr>
          <w:rFonts w:eastAsia="Calibri"/>
          <w:b/>
          <w:i/>
          <w:noProof/>
          <w:szCs w:val="22"/>
        </w:rPr>
      </w:pPr>
      <w:r w:rsidRPr="007870ED">
        <w:rPr>
          <w:b/>
          <w:i/>
        </w:rPr>
        <w:t xml:space="preserve">Om te bepalen of aan de in punt b) van de eerste alinea genoemde voorwaarde is voldaan, maken de Autoriteit of de bevoegde autoriteiten gebruik van het in artikel 35 ter bedoelde enkele geïntegreerde rapportagesysteem zodra dat is ingesteld. </w:t>
      </w:r>
    </w:p>
    <w:p w:rsidR="0015189C" w:rsidRPr="007870ED" w:rsidRDefault="0015189C" w:rsidP="0015189C">
      <w:pPr>
        <w:widowControl/>
        <w:spacing w:before="120" w:after="120"/>
        <w:ind w:left="851" w:hanging="851"/>
        <w:jc w:val="both"/>
        <w:rPr>
          <w:rFonts w:eastAsia="Calibri"/>
          <w:b/>
          <w:i/>
          <w:noProof/>
          <w:szCs w:val="22"/>
        </w:rPr>
      </w:pPr>
      <w:r w:rsidRPr="007870ED">
        <w:rPr>
          <w:b/>
          <w:i/>
        </w:rPr>
        <w:t>1 ter.</w:t>
      </w:r>
      <w:r w:rsidRPr="007870ED">
        <w:rPr>
          <w:b/>
          <w:i/>
        </w:rPr>
        <w:tab/>
        <w:t>Voor de toepassing van dit artikel, artikel 35 ter en artikel 70, lid 3 wordt onder “andere autoriteiten” elke van de volgende autoriteiten verstaan:</w:t>
      </w:r>
    </w:p>
    <w:p w:rsidR="0015189C" w:rsidRPr="007870ED" w:rsidRDefault="0015189C" w:rsidP="0015189C">
      <w:pPr>
        <w:widowControl/>
        <w:spacing w:before="120" w:after="120"/>
        <w:ind w:left="1418" w:hanging="567"/>
        <w:jc w:val="both"/>
        <w:rPr>
          <w:rFonts w:eastAsia="Calibri"/>
          <w:b/>
          <w:i/>
          <w:noProof/>
          <w:szCs w:val="22"/>
        </w:rPr>
      </w:pPr>
      <w:r w:rsidRPr="007870ED">
        <w:rPr>
          <w:b/>
          <w:i/>
        </w:rPr>
        <w:t xml:space="preserve">a) </w:t>
      </w:r>
      <w:r w:rsidRPr="007870ED">
        <w:rPr>
          <w:b/>
          <w:i/>
        </w:rPr>
        <w:tab/>
        <w:t>andere Europese toezichthoudende autoriteiten;</w:t>
      </w:r>
    </w:p>
    <w:p w:rsidR="0015189C" w:rsidRPr="007870ED" w:rsidRDefault="0015189C" w:rsidP="0015189C">
      <w:pPr>
        <w:widowControl/>
        <w:spacing w:before="120" w:after="120"/>
        <w:ind w:left="1418" w:hanging="567"/>
        <w:jc w:val="both"/>
        <w:rPr>
          <w:rFonts w:eastAsia="Calibri"/>
          <w:b/>
          <w:i/>
          <w:noProof/>
          <w:szCs w:val="22"/>
        </w:rPr>
      </w:pPr>
      <w:r w:rsidRPr="007870ED">
        <w:rPr>
          <w:b/>
          <w:i/>
        </w:rPr>
        <w:t xml:space="preserve">b) </w:t>
      </w:r>
      <w:r w:rsidRPr="007870ED">
        <w:rPr>
          <w:b/>
          <w:i/>
        </w:rPr>
        <w:tab/>
        <w:t>het ESRB;</w:t>
      </w:r>
    </w:p>
    <w:p w:rsidR="0015189C" w:rsidRPr="007870ED" w:rsidRDefault="0015189C" w:rsidP="0015189C">
      <w:pPr>
        <w:widowControl/>
        <w:spacing w:before="120" w:after="120"/>
        <w:ind w:left="1418" w:hanging="567"/>
        <w:jc w:val="both"/>
        <w:rPr>
          <w:rFonts w:eastAsia="Calibri"/>
          <w:b/>
          <w:i/>
          <w:noProof/>
          <w:szCs w:val="22"/>
        </w:rPr>
      </w:pPr>
      <w:r w:rsidRPr="007870ED">
        <w:rPr>
          <w:b/>
          <w:i/>
        </w:rPr>
        <w:t xml:space="preserve">c) </w:t>
      </w:r>
      <w:r w:rsidRPr="007870ED">
        <w:rPr>
          <w:b/>
          <w:i/>
        </w:rPr>
        <w:tab/>
        <w:t>bevoegde autoriteiten zoals gedefinieerd in artikel 4, punt 2, van deze verordening;</w:t>
      </w:r>
    </w:p>
    <w:p w:rsidR="0015189C" w:rsidRPr="007870ED" w:rsidRDefault="0015189C" w:rsidP="0015189C">
      <w:pPr>
        <w:widowControl/>
        <w:spacing w:before="120" w:after="120"/>
        <w:ind w:left="1418" w:hanging="567"/>
        <w:jc w:val="both"/>
        <w:rPr>
          <w:rFonts w:eastAsia="Calibri"/>
          <w:b/>
          <w:i/>
          <w:noProof/>
          <w:szCs w:val="22"/>
        </w:rPr>
      </w:pPr>
      <w:r w:rsidRPr="007870ED">
        <w:rPr>
          <w:b/>
          <w:i/>
        </w:rPr>
        <w:t xml:space="preserve">d) </w:t>
      </w:r>
      <w:r w:rsidRPr="007870ED">
        <w:rPr>
          <w:b/>
          <w:i/>
        </w:rPr>
        <w:tab/>
        <w:t>bevoegde autoriteiten zoals gedefinieerd in artikel 4, punt 2, van Verordening (EU) nr. 1094/2010;</w:t>
      </w:r>
    </w:p>
    <w:p w:rsidR="0015189C" w:rsidRPr="007870ED" w:rsidRDefault="0015189C" w:rsidP="0015189C">
      <w:pPr>
        <w:widowControl/>
        <w:spacing w:before="120" w:after="120"/>
        <w:ind w:left="1418" w:hanging="567"/>
        <w:jc w:val="both"/>
        <w:rPr>
          <w:rFonts w:eastAsia="Calibri"/>
          <w:b/>
          <w:i/>
          <w:noProof/>
          <w:szCs w:val="22"/>
        </w:rPr>
      </w:pPr>
      <w:r w:rsidRPr="007870ED">
        <w:rPr>
          <w:b/>
          <w:i/>
        </w:rPr>
        <w:t xml:space="preserve">e) </w:t>
      </w:r>
      <w:r w:rsidRPr="007870ED">
        <w:rPr>
          <w:b/>
          <w:i/>
        </w:rPr>
        <w:tab/>
        <w:t>bevoegde autoriteiten zoals gedefinieerd in artikel 4, punt 3, van Verordening (EU) nr. 1095/2010;</w:t>
      </w:r>
    </w:p>
    <w:p w:rsidR="0015189C" w:rsidRPr="007870ED" w:rsidRDefault="0015189C" w:rsidP="0015189C">
      <w:pPr>
        <w:widowControl/>
        <w:spacing w:before="120" w:after="120"/>
        <w:ind w:left="1418" w:hanging="567"/>
        <w:jc w:val="both"/>
        <w:rPr>
          <w:rFonts w:eastAsia="Calibri"/>
          <w:b/>
          <w:i/>
          <w:noProof/>
          <w:szCs w:val="22"/>
        </w:rPr>
      </w:pPr>
      <w:r w:rsidRPr="007870ED">
        <w:rPr>
          <w:b/>
          <w:i/>
        </w:rPr>
        <w:t xml:space="preserve">f) </w:t>
      </w:r>
      <w:r w:rsidRPr="007870ED">
        <w:rPr>
          <w:b/>
          <w:i/>
        </w:rPr>
        <w:tab/>
        <w:t>de AMLA, als opgericht bij Verordening (EU) …/… van het Europees Parlement en de Raad</w:t>
      </w:r>
      <w:r w:rsidR="00FC7834" w:rsidRPr="007870ED">
        <w:rPr>
          <w:rStyle w:val="FootnoteReference"/>
          <w:rFonts w:eastAsia="Calibri"/>
          <w:b/>
          <w:i/>
          <w:noProof/>
          <w:szCs w:val="22"/>
          <w:lang w:eastAsia="en-US"/>
        </w:rPr>
        <w:footnoteReference w:customMarkFollows="1" w:id="17"/>
        <w:sym w:font="Symbol" w:char="F02B"/>
      </w:r>
      <w:r w:rsidRPr="007870ED">
        <w:rPr>
          <w:b/>
          <w:i/>
        </w:rPr>
        <w:t>;</w:t>
      </w:r>
    </w:p>
    <w:p w:rsidR="0015189C" w:rsidRPr="007870ED" w:rsidRDefault="0015189C" w:rsidP="0015189C">
      <w:pPr>
        <w:widowControl/>
        <w:spacing w:before="120" w:after="120"/>
        <w:ind w:left="1418" w:hanging="567"/>
        <w:jc w:val="both"/>
        <w:rPr>
          <w:rFonts w:eastAsia="Calibri"/>
          <w:b/>
          <w:i/>
          <w:noProof/>
          <w:szCs w:val="22"/>
        </w:rPr>
      </w:pPr>
      <w:r w:rsidRPr="007870ED">
        <w:rPr>
          <w:b/>
          <w:i/>
        </w:rPr>
        <w:t xml:space="preserve">g) </w:t>
      </w:r>
      <w:r w:rsidRPr="007870ED">
        <w:rPr>
          <w:b/>
          <w:i/>
        </w:rPr>
        <w:tab/>
        <w:t>autoriteiten zoals gedefinieerd in artikel 2, punt 1, van Richtlijn (EU) …/… van het Europees Parlement en de Raad</w:t>
      </w:r>
      <w:r w:rsidR="00FC7834" w:rsidRPr="007870ED">
        <w:rPr>
          <w:rStyle w:val="FootnoteReference"/>
          <w:b/>
          <w:i/>
        </w:rPr>
        <w:footnoteReference w:customMarkFollows="1" w:id="18"/>
        <w:t>+</w:t>
      </w:r>
      <w:r w:rsidRPr="007870ED">
        <w:rPr>
          <w:b/>
          <w:i/>
        </w:rPr>
        <w:t>;</w:t>
      </w:r>
    </w:p>
    <w:p w:rsidR="0015189C" w:rsidRPr="007870ED" w:rsidRDefault="0015189C" w:rsidP="0015189C">
      <w:pPr>
        <w:widowControl/>
        <w:spacing w:before="120" w:after="120"/>
        <w:ind w:left="1418" w:hanging="567"/>
        <w:jc w:val="both"/>
        <w:rPr>
          <w:rFonts w:eastAsia="Calibri"/>
          <w:b/>
          <w:i/>
          <w:noProof/>
          <w:szCs w:val="22"/>
        </w:rPr>
      </w:pPr>
      <w:r w:rsidRPr="007870ED">
        <w:rPr>
          <w:b/>
          <w:i/>
        </w:rPr>
        <w:t xml:space="preserve">h) </w:t>
      </w:r>
      <w:r w:rsidRPr="007870ED">
        <w:rPr>
          <w:b/>
          <w:i/>
        </w:rPr>
        <w:tab/>
        <w:t>het GTM zoals gedefinieerd in artikel 2, punt 9, van Verordening (EU) nr. 1024/2013;</w:t>
      </w:r>
    </w:p>
    <w:p w:rsidR="0015189C" w:rsidRPr="007870ED" w:rsidRDefault="0015189C" w:rsidP="0015189C">
      <w:pPr>
        <w:widowControl/>
        <w:spacing w:before="120" w:after="120"/>
        <w:ind w:left="1418" w:hanging="567"/>
        <w:jc w:val="both"/>
        <w:rPr>
          <w:rFonts w:eastAsia="Calibri"/>
          <w:b/>
          <w:i/>
          <w:noProof/>
          <w:szCs w:val="22"/>
        </w:rPr>
      </w:pPr>
      <w:r w:rsidRPr="007870ED">
        <w:rPr>
          <w:b/>
          <w:i/>
        </w:rPr>
        <w:t>i) de GAR;</w:t>
      </w:r>
    </w:p>
    <w:p w:rsidR="0015189C" w:rsidRPr="007870ED" w:rsidRDefault="0015189C" w:rsidP="0015189C">
      <w:pPr>
        <w:widowControl/>
        <w:spacing w:before="120" w:after="120"/>
        <w:ind w:left="1418" w:hanging="567"/>
        <w:jc w:val="both"/>
        <w:rPr>
          <w:rFonts w:eastAsia="Calibri"/>
          <w:b/>
          <w:i/>
          <w:noProof/>
          <w:szCs w:val="22"/>
        </w:rPr>
      </w:pPr>
      <w:r w:rsidRPr="007870ED">
        <w:rPr>
          <w:b/>
          <w:i/>
        </w:rPr>
        <w:lastRenderedPageBreak/>
        <w:t xml:space="preserve">j) </w:t>
      </w:r>
      <w:r w:rsidRPr="007870ED">
        <w:rPr>
          <w:b/>
          <w:i/>
        </w:rPr>
        <w:tab/>
        <w:t>nationale afwikkelingsautoriteiten zoals gedefinieerd in artikel 3, punt 3, van Verordening (EU) nr. 806/2014.</w:t>
      </w:r>
    </w:p>
    <w:p w:rsidR="0015189C" w:rsidRPr="007870ED" w:rsidRDefault="0015189C" w:rsidP="0015189C">
      <w:pPr>
        <w:widowControl/>
        <w:spacing w:before="120" w:after="120"/>
        <w:ind w:left="851"/>
        <w:jc w:val="both"/>
        <w:rPr>
          <w:rFonts w:eastAsia="Calibri"/>
          <w:b/>
          <w:i/>
          <w:noProof/>
          <w:szCs w:val="22"/>
        </w:rPr>
      </w:pPr>
      <w:r w:rsidRPr="007870ED">
        <w:rPr>
          <w:b/>
          <w:i/>
        </w:rPr>
        <w:t>Voor de toepassing van dit artikel is een “financiële instelling” een financiële instelling zoals gedefinieerd in artikel 2, punt a), van Verordening (EU) nr. 1092/2010.</w:t>
      </w:r>
    </w:p>
    <w:p w:rsidR="0015189C" w:rsidRPr="007870ED" w:rsidRDefault="0015189C" w:rsidP="0015189C">
      <w:pPr>
        <w:widowControl/>
        <w:spacing w:before="120" w:after="120"/>
        <w:ind w:left="851" w:hanging="851"/>
        <w:jc w:val="both"/>
        <w:rPr>
          <w:rFonts w:eastAsia="Calibri"/>
          <w:noProof/>
          <w:szCs w:val="22"/>
        </w:rPr>
      </w:pPr>
      <w:r w:rsidRPr="007870ED">
        <w:t xml:space="preserve">2. </w:t>
      </w:r>
      <w:r w:rsidRPr="007870ED">
        <w:rPr>
          <w:b/>
          <w:i/>
        </w:rPr>
        <w:tab/>
      </w:r>
      <w:r w:rsidRPr="007870ED">
        <w:t>Het verzoek tot uitwisseling van informatie vermeldt duidelijk de rechtsgrondslag in het Unierecht die de verzoekende autoriteit toestaat om de informatie te verkrijgen van in dat lid bedoelde financiële instellingen of andere bevoegde autoriteiten. De verzoekende autoriteit en de delende autoriteit zijn onderworpen aan het ambtsgeheim en aan bepalingen inzake gegevensbescherming die zijn vastgesteld in de artikelen 70 en 71 en in sectorale wetgeving die van toepassing is op het delen van data tussen de financiële instelling en de verzoekende autoriteit, alsmede op het delen van data tussen de financiële instelling en de delende autoriteit. De delende autoriteit stelt elke betrokken financiële instelling ▌onverwijld in kennis van dit soort informatie-uitwisseling</w:t>
      </w:r>
      <w:r w:rsidRPr="007870ED">
        <w:rPr>
          <w:b/>
          <w:bCs/>
          <w:i/>
          <w:iCs/>
        </w:rPr>
        <w:t>, tenzij de informatie is geanonimiseerd, gewijzigd, geaggregeerd of behandeld met een andere methode van openbaarmakingscontrole om vertrouwelijke informatie te beschermen</w:t>
      </w:r>
      <w:r w:rsidRPr="007870ED">
        <w:t xml:space="preserve">. </w:t>
      </w:r>
    </w:p>
    <w:p w:rsidR="0015189C" w:rsidRPr="007870ED" w:rsidRDefault="0015189C" w:rsidP="0015189C">
      <w:pPr>
        <w:widowControl/>
        <w:spacing w:before="120" w:after="120"/>
        <w:ind w:left="851" w:hanging="851"/>
        <w:jc w:val="both"/>
        <w:rPr>
          <w:rFonts w:eastAsia="Calibri"/>
          <w:noProof/>
          <w:szCs w:val="22"/>
        </w:rPr>
      </w:pPr>
      <w:r w:rsidRPr="007870ED">
        <w:t xml:space="preserve">3. </w:t>
      </w:r>
      <w:r w:rsidRPr="007870ED">
        <w:rPr>
          <w:b/>
          <w:i/>
        </w:rPr>
        <w:tab/>
      </w:r>
      <w:r w:rsidRPr="007870ED">
        <w:t>De leden 1</w:t>
      </w:r>
      <w:r w:rsidRPr="007870ED">
        <w:rPr>
          <w:b/>
          <w:bCs/>
          <w:i/>
          <w:iCs/>
        </w:rPr>
        <w:t>, 1 bis</w:t>
      </w:r>
      <w:r w:rsidRPr="007870ED">
        <w:t xml:space="preserve"> en 2 zijn ook van toepassing op informatie die de delende autoriteit van een financiële instelling of </w:t>
      </w:r>
      <w:r w:rsidRPr="007870ED">
        <w:rPr>
          <w:b/>
          <w:bCs/>
          <w:i/>
          <w:iCs/>
        </w:rPr>
        <w:t>de andere autoriteiten</w:t>
      </w:r>
      <w:r w:rsidRPr="007870ED">
        <w:t xml:space="preserve"> heeft ontvangen en waarop de delende autoriteit vervolgens kwaliteitschecks heeft uitgevoerd of die de delende autoriteit anderszins heeft verwerkt. </w:t>
      </w:r>
    </w:p>
    <w:p w:rsidR="0015189C" w:rsidRPr="007870ED" w:rsidRDefault="0015189C" w:rsidP="0015189C">
      <w:pPr>
        <w:widowControl/>
        <w:spacing w:before="120" w:after="120"/>
        <w:ind w:left="851" w:hanging="851"/>
        <w:jc w:val="both"/>
        <w:rPr>
          <w:rFonts w:eastAsia="Calibri"/>
          <w:noProof/>
          <w:szCs w:val="22"/>
        </w:rPr>
      </w:pPr>
      <w:r w:rsidRPr="007870ED">
        <w:t xml:space="preserve">4. </w:t>
      </w:r>
      <w:r w:rsidRPr="007870ED">
        <w:rPr>
          <w:b/>
          <w:i/>
        </w:rPr>
        <w:tab/>
      </w:r>
      <w:r w:rsidRPr="007870ED">
        <w:t xml:space="preserve">Voor het delen van informatie zoals bedoeld in de leden 1, </w:t>
      </w:r>
      <w:r w:rsidRPr="007870ED">
        <w:rPr>
          <w:b/>
          <w:bCs/>
          <w:i/>
          <w:iCs/>
        </w:rPr>
        <w:t>1 bis,</w:t>
      </w:r>
      <w:r w:rsidRPr="007870ED">
        <w:t xml:space="preserve"> 2 en 3 </w:t>
      </w:r>
      <w:r w:rsidRPr="007870ED">
        <w:rPr>
          <w:b/>
          <w:bCs/>
          <w:i/>
          <w:iCs/>
        </w:rPr>
        <w:t>sluiten</w:t>
      </w:r>
      <w:r w:rsidRPr="007870ED">
        <w:t xml:space="preserve"> de </w:t>
      </w:r>
      <w:r w:rsidRPr="007870ED">
        <w:rPr>
          <w:b/>
          <w:bCs/>
          <w:i/>
          <w:iCs/>
        </w:rPr>
        <w:t>Autoriteit en de andere</w:t>
      </w:r>
      <w:r w:rsidRPr="007870ED">
        <w:t xml:space="preserve"> autoriteiten memoranda van overeenstemming ▌waarin de concrete voorwaarden voor het uitwisselen van informatie zijn vastgelegd. Zij </w:t>
      </w:r>
      <w:r w:rsidRPr="007870ED">
        <w:rPr>
          <w:b/>
          <w:bCs/>
          <w:i/>
          <w:iCs/>
        </w:rPr>
        <w:t>stellen</w:t>
      </w:r>
      <w:r w:rsidRPr="007870ED">
        <w:t xml:space="preserve"> ook regelingen </w:t>
      </w:r>
      <w:r w:rsidRPr="007870ED">
        <w:rPr>
          <w:b/>
          <w:bCs/>
          <w:i/>
          <w:iCs/>
        </w:rPr>
        <w:t>vast</w:t>
      </w:r>
      <w:r w:rsidRPr="007870ED">
        <w:t xml:space="preserve"> voor het delen van middelen om die gedeelde data te verzamelen en te verwerken. </w:t>
      </w:r>
      <w:r w:rsidRPr="007870ED">
        <w:rPr>
          <w:b/>
          <w:i/>
        </w:rPr>
        <w:t>De memoranda van overeenstemming volgen in onderlinge overeenstemming tussen alle betrokken autoriteiten een eenvoudig en gestandaardiseerd formaat, zo nodig aangepast aan eventuele bijzondere werkwijzen bij specifieke autoriteiten.</w:t>
      </w:r>
    </w:p>
    <w:p w:rsidR="0015189C" w:rsidRPr="007870ED" w:rsidRDefault="0015189C" w:rsidP="0015189C">
      <w:pPr>
        <w:widowControl/>
        <w:spacing w:before="120" w:after="120"/>
        <w:ind w:left="851" w:hanging="851"/>
        <w:jc w:val="both"/>
        <w:rPr>
          <w:rFonts w:eastAsia="Calibri"/>
          <w:noProof/>
          <w:szCs w:val="22"/>
        </w:rPr>
      </w:pPr>
      <w:r w:rsidRPr="007870ED">
        <w:t xml:space="preserve">5. </w:t>
      </w:r>
      <w:r w:rsidRPr="007870ED">
        <w:rPr>
          <w:b/>
          <w:i/>
        </w:rPr>
        <w:tab/>
      </w:r>
      <w:r w:rsidRPr="007870ED">
        <w:t xml:space="preserve">De leden 1 tot en met 4 laten de bescherming van intellectuele-eigendomsrechten onverlet en vormen geen beletsel voor of beperking van de uitwisseling van informatie tussen de </w:t>
      </w:r>
      <w:r w:rsidRPr="007870ED">
        <w:rPr>
          <w:b/>
          <w:bCs/>
          <w:i/>
          <w:iCs/>
        </w:rPr>
        <w:t>Autoriteit en de andere</w:t>
      </w:r>
      <w:r w:rsidRPr="007870ED">
        <w:t xml:space="preserve"> autoriteiten overeenkomstig bepalingen in andere Uniewetgeving. Wanneer het in dit artikel bepaalde in strijd is met bepalingen in andere Uniewetgeving die de uitwisseling van informatie tussen de </w:t>
      </w:r>
      <w:r w:rsidRPr="007870ED">
        <w:rPr>
          <w:b/>
          <w:bCs/>
          <w:i/>
          <w:iCs/>
        </w:rPr>
        <w:t>andere</w:t>
      </w:r>
      <w:r w:rsidRPr="007870ED">
        <w:t xml:space="preserve"> autoriteiten beregelt, hebben de bepalingen in die andere Uniewetgeving voorrang. </w:t>
      </w:r>
    </w:p>
    <w:p w:rsidR="0015189C" w:rsidRPr="007870ED" w:rsidRDefault="0015189C" w:rsidP="0015189C">
      <w:pPr>
        <w:widowControl/>
        <w:spacing w:before="120" w:after="120"/>
        <w:ind w:left="851" w:hanging="851"/>
        <w:jc w:val="both"/>
        <w:rPr>
          <w:rFonts w:eastAsia="Calibri"/>
          <w:noProof/>
          <w:szCs w:val="22"/>
        </w:rPr>
      </w:pPr>
      <w:r w:rsidRPr="007870ED">
        <w:t xml:space="preserve">6. </w:t>
      </w:r>
      <w:r w:rsidRPr="007870ED">
        <w:rPr>
          <w:b/>
          <w:i/>
        </w:rPr>
        <w:tab/>
      </w:r>
      <w:r w:rsidRPr="007870ED">
        <w:t xml:space="preserve">Onverminderd andere verplichtingen die in Unierecht voor het delen van informatie zijn vastgelegd, </w:t>
      </w:r>
      <w:r w:rsidRPr="007870ED">
        <w:rPr>
          <w:b/>
          <w:bCs/>
          <w:i/>
          <w:iCs/>
        </w:rPr>
        <w:t>kunnen</w:t>
      </w:r>
      <w:r w:rsidRPr="007870ED">
        <w:t xml:space="preserve"> de Autoriteit en de bevoegde autoriteiten, na een gemotiveerd verzoek en op individuele basis, met de Commissie ▌informatie </w:t>
      </w:r>
      <w:r w:rsidRPr="007870ED">
        <w:rPr>
          <w:b/>
          <w:bCs/>
          <w:i/>
          <w:iCs/>
        </w:rPr>
        <w:t>delen</w:t>
      </w:r>
      <w:r w:rsidRPr="007870ED">
        <w:t xml:space="preserve"> die financiële instellingen krachtens hun verplichtingen uit hoofde van Unierecht bij haar hebben gerapporteerd ▌ in een vorm die geen identificatie van individuele entiteiten mogelijk maakt en geen persoonsgegevens bevat.</w:t>
      </w:r>
    </w:p>
    <w:p w:rsidR="0015189C" w:rsidRPr="007870ED" w:rsidRDefault="0015189C" w:rsidP="0015189C">
      <w:pPr>
        <w:widowControl/>
        <w:spacing w:before="120" w:after="120"/>
        <w:ind w:left="851" w:hanging="851"/>
        <w:jc w:val="both"/>
        <w:rPr>
          <w:rFonts w:eastAsia="Calibri"/>
          <w:noProof/>
          <w:szCs w:val="22"/>
        </w:rPr>
      </w:pPr>
      <w:r w:rsidRPr="007870ED">
        <w:t xml:space="preserve">7. </w:t>
      </w:r>
      <w:r w:rsidRPr="007870ED">
        <w:tab/>
        <w:t xml:space="preserve">De Autoriteit en de bevoegde autoriteiten kunnen, voor onderzoeks- en innovatiedoeleinden, tot bij de uitvoering van hun taken verkregen informatie toegang verlenen voor hergebruik door financiële instellingen, onderzoekers en andere entiteiten die een rechtmatig belang bij die informatie hebben, op voorwaarde dat de Autoriteit zich ervan vergewist heeft dat alle volgende punten in acht zijn genomen: </w:t>
      </w:r>
    </w:p>
    <w:p w:rsidR="0015189C" w:rsidRPr="007870ED" w:rsidRDefault="0015189C" w:rsidP="0015189C">
      <w:pPr>
        <w:widowControl/>
        <w:spacing w:before="120" w:after="120"/>
        <w:ind w:left="851"/>
        <w:jc w:val="both"/>
        <w:rPr>
          <w:rFonts w:eastAsia="Calibri"/>
          <w:noProof/>
          <w:szCs w:val="22"/>
        </w:rPr>
      </w:pPr>
      <w:r w:rsidRPr="007870ED">
        <w:t xml:space="preserve">a) </w:t>
      </w:r>
      <w:r w:rsidRPr="007870ED">
        <w:rPr>
          <w:b/>
          <w:i/>
        </w:rPr>
        <w:tab/>
      </w:r>
      <w:r w:rsidRPr="007870ED">
        <w:t>de informatie is zodanig geanonimiseerd dat het datasubject of de financiële instelling niet of niet meer kan worden geïdentificeerd;</w:t>
      </w:r>
    </w:p>
    <w:p w:rsidR="0015189C" w:rsidRPr="007870ED" w:rsidRDefault="0015189C" w:rsidP="0015189C">
      <w:pPr>
        <w:widowControl/>
        <w:spacing w:before="120" w:after="120"/>
        <w:ind w:left="851"/>
        <w:jc w:val="both"/>
        <w:rPr>
          <w:rFonts w:eastAsia="Calibri"/>
          <w:noProof/>
          <w:szCs w:val="22"/>
        </w:rPr>
      </w:pPr>
      <w:r w:rsidRPr="007870ED">
        <w:lastRenderedPageBreak/>
        <w:t xml:space="preserve">b) </w:t>
      </w:r>
      <w:r w:rsidRPr="007870ED">
        <w:rPr>
          <w:b/>
          <w:i/>
        </w:rPr>
        <w:tab/>
      </w:r>
      <w:r w:rsidRPr="007870ED">
        <w:t xml:space="preserve">de informatie is gewijzigd, geaggregeerd of behandeld volgens een andere methode om de openbaarmaking ervan te controleren, zodat vertrouwelijke informatie, met inbegrip van bedrijfsgeheimen of door intellectuele-eigendomsrechten beschermde inhoud, beschermd is. </w:t>
      </w:r>
    </w:p>
    <w:p w:rsidR="0015189C" w:rsidRPr="007870ED" w:rsidRDefault="0015189C" w:rsidP="0015189C">
      <w:pPr>
        <w:widowControl/>
        <w:spacing w:before="120" w:after="120"/>
        <w:ind w:left="851"/>
        <w:jc w:val="both"/>
        <w:rPr>
          <w:noProof/>
          <w:szCs w:val="22"/>
        </w:rPr>
      </w:pPr>
      <w:r w:rsidRPr="007870ED">
        <w:t xml:space="preserve">Informatie die van een andere autoriteit is ontvangen, wordt alleen </w:t>
      </w:r>
      <w:r w:rsidRPr="007870ED">
        <w:rPr>
          <w:b/>
          <w:bCs/>
          <w:i/>
          <w:iCs/>
        </w:rPr>
        <w:t>op deze basis</w:t>
      </w:r>
      <w:r w:rsidRPr="007870ED">
        <w:t xml:space="preserve"> gedeeld met de instemming van de autoriteit die de informatie aanvankelijk heeft verkregen.</w:t>
      </w:r>
    </w:p>
    <w:p w:rsidR="0015189C" w:rsidRPr="007870ED" w:rsidRDefault="0015189C" w:rsidP="0015189C">
      <w:pPr>
        <w:widowControl/>
        <w:spacing w:before="120" w:after="120"/>
        <w:ind w:left="851" w:hanging="851"/>
        <w:jc w:val="both"/>
        <w:rPr>
          <w:rFonts w:eastAsia="Calibri"/>
          <w:b/>
          <w:i/>
          <w:noProof/>
          <w:szCs w:val="22"/>
        </w:rPr>
      </w:pPr>
      <w:r w:rsidRPr="007870ED">
        <w:rPr>
          <w:b/>
          <w:i/>
        </w:rPr>
        <w:t>7 bis.</w:t>
      </w:r>
      <w:r w:rsidRPr="007870ED">
        <w:rPr>
          <w:b/>
          <w:i/>
        </w:rPr>
        <w:tab/>
        <w:t>De Autoriteit en de bevoegde autoriteiten brengen uiterlijk op ... [1 jaar na de datum van inwerkingtreding van deze wijzigingsverordening] aan de Commissie verslag uit over alle juridische hinderpalen in sectorale regelgeving die hen op enigerlei wijze verhinderen informatie uit te wisselen met andere autoriteiten of met andere entiteiten. Het verslag kan ook niet-materiële, achterhaalde, dubbele of anderszins irrelevante verslaggevingsvereisten bevatten, evenals suggesties om de consistentie tussen de verslaggevingsvereisten van financiële en niet-financiële ondernemingen te waarborgen.</w:t>
      </w:r>
    </w:p>
    <w:p w:rsidR="0015189C" w:rsidRPr="007870ED" w:rsidRDefault="0015189C" w:rsidP="0015189C">
      <w:pPr>
        <w:widowControl/>
        <w:spacing w:before="120" w:after="120"/>
        <w:ind w:left="851"/>
        <w:jc w:val="both"/>
        <w:rPr>
          <w:rFonts w:eastAsia="Calibri"/>
          <w:noProof/>
          <w:szCs w:val="22"/>
        </w:rPr>
      </w:pPr>
      <w:r w:rsidRPr="007870ED">
        <w:rPr>
          <w:b/>
          <w:bCs/>
          <w:i/>
          <w:iCs/>
        </w:rPr>
        <w:t>Op basis van dat verslag en terdege rekening houdend met de bescherming van intellectuele-eigendomsrechten, het ambtsgeheim en gegevensbescherming, dient de Commissie zo nodig uiterlijk op ... [2 jaar na de datum van inwerkingtreding van deze wijzigingsverordening] bij het Europees Parlement en de Raad een wetgevingsvoorstel in om die juridische hinderpalen in sectorale wetgeving weg te nemen teneinde de uitwisseling van informatie tussen autoriteiten en met andere entiteiten te bevorderen.”</w:t>
      </w:r>
      <w:r w:rsidRPr="007870ED">
        <w:t>. </w:t>
      </w:r>
    </w:p>
    <w:p w:rsidR="0015189C" w:rsidRPr="007870ED" w:rsidRDefault="0015189C" w:rsidP="00F942BB">
      <w:pPr>
        <w:widowControl/>
        <w:spacing w:before="120" w:after="120"/>
        <w:jc w:val="both"/>
        <w:rPr>
          <w:rFonts w:eastAsia="Calibri"/>
          <w:b/>
          <w:i/>
          <w:szCs w:val="22"/>
        </w:rPr>
      </w:pPr>
      <w:r w:rsidRPr="007870ED">
        <w:rPr>
          <w:b/>
          <w:i/>
        </w:rPr>
        <w:t>4 bis.</w:t>
      </w:r>
      <w:r w:rsidRPr="007870ED">
        <w:rPr>
          <w:b/>
          <w:i/>
        </w:rPr>
        <w:tab/>
        <w:t>Het volgende artikel wordt ingevoegd:</w:t>
      </w:r>
    </w:p>
    <w:p w:rsidR="0015189C" w:rsidRPr="007870ED" w:rsidRDefault="0015189C" w:rsidP="0015189C">
      <w:pPr>
        <w:widowControl/>
        <w:spacing w:before="120" w:after="120"/>
        <w:ind w:left="851"/>
        <w:rPr>
          <w:rFonts w:eastAsia="Calibri"/>
          <w:b/>
          <w:i/>
          <w:noProof/>
          <w:szCs w:val="22"/>
        </w:rPr>
      </w:pPr>
      <w:r w:rsidRPr="007870ED">
        <w:rPr>
          <w:b/>
          <w:i/>
        </w:rPr>
        <w:t>“Artikel 35 ter</w:t>
      </w:r>
    </w:p>
    <w:p w:rsidR="0015189C" w:rsidRPr="007870ED" w:rsidRDefault="0015189C" w:rsidP="0015189C">
      <w:pPr>
        <w:widowControl/>
        <w:spacing w:before="120" w:after="120"/>
        <w:ind w:left="851"/>
        <w:rPr>
          <w:rFonts w:eastAsia="Calibri"/>
          <w:b/>
          <w:i/>
          <w:noProof/>
          <w:szCs w:val="22"/>
        </w:rPr>
      </w:pPr>
      <w:r w:rsidRPr="007870ED">
        <w:rPr>
          <w:b/>
          <w:i/>
        </w:rPr>
        <w:t>Instelling van een gemeenschappelijk geïntegreerd rapportagesysteem</w:t>
      </w:r>
    </w:p>
    <w:p w:rsidR="0015189C" w:rsidRPr="007870ED" w:rsidRDefault="0015189C" w:rsidP="0015189C">
      <w:pPr>
        <w:widowControl/>
        <w:spacing w:before="120" w:after="120"/>
        <w:ind w:left="851"/>
        <w:jc w:val="both"/>
        <w:rPr>
          <w:rFonts w:eastAsia="Calibri"/>
          <w:b/>
          <w:i/>
          <w:noProof/>
          <w:szCs w:val="22"/>
        </w:rPr>
      </w:pPr>
      <w:r w:rsidRPr="007870ED">
        <w:rPr>
          <w:b/>
          <w:i/>
        </w:rPr>
        <w:t xml:space="preserve">1. </w:t>
      </w:r>
      <w:r w:rsidRPr="007870ED">
        <w:rPr>
          <w:b/>
          <w:i/>
        </w:rPr>
        <w:tab/>
        <w:t xml:space="preserve">Uiterlijk op ... [2 jaar na de datum van inwerkingtreding van deze wijzigingsverordening] stelt de Autoriteit, in nauwe samenwerking met de andere autoriteiten en het ESCB, een verslag over de technische details van de instelling van een gemeenschappelijk geïntegreerd rapportagesysteem alsook een routekaart op, op basis van de werkzaamheden met het oog op de integratie van de rapportage door de </w:t>
      </w:r>
      <w:proofErr w:type="spellStart"/>
      <w:r w:rsidRPr="007870ED">
        <w:rPr>
          <w:b/>
          <w:i/>
        </w:rPr>
        <w:t>ETA’s</w:t>
      </w:r>
      <w:proofErr w:type="spellEnd"/>
      <w:r w:rsidRPr="007870ED">
        <w:rPr>
          <w:b/>
          <w:i/>
        </w:rPr>
        <w:t xml:space="preserve"> in hun sectoren, met een kosten-batenanalyse. Ten behoeve van dat verslag omvat het geïntegreerde rapportagesysteem:</w:t>
      </w:r>
    </w:p>
    <w:p w:rsidR="0015189C" w:rsidRPr="007870ED" w:rsidRDefault="0015189C" w:rsidP="0015189C">
      <w:pPr>
        <w:widowControl/>
        <w:spacing w:before="120" w:after="120"/>
        <w:ind w:left="1418" w:hanging="567"/>
        <w:jc w:val="both"/>
        <w:rPr>
          <w:rFonts w:eastAsia="Calibri"/>
          <w:b/>
          <w:i/>
          <w:noProof/>
          <w:szCs w:val="22"/>
        </w:rPr>
      </w:pPr>
      <w:r w:rsidRPr="007870ED">
        <w:rPr>
          <w:b/>
          <w:i/>
        </w:rPr>
        <w:t xml:space="preserve">a) </w:t>
      </w:r>
      <w:r w:rsidRPr="007870ED">
        <w:rPr>
          <w:b/>
          <w:i/>
        </w:rPr>
        <w:tab/>
        <w:t xml:space="preserve">een gemeenschappelijke data </w:t>
      </w:r>
      <w:proofErr w:type="spellStart"/>
      <w:r w:rsidRPr="007870ED">
        <w:rPr>
          <w:b/>
          <w:i/>
        </w:rPr>
        <w:t>dictionary</w:t>
      </w:r>
      <w:proofErr w:type="spellEnd"/>
      <w:r w:rsidRPr="007870ED">
        <w:rPr>
          <w:b/>
          <w:i/>
        </w:rPr>
        <w:t xml:space="preserve"> om de consistentie en duidelijkheid van de rapportagevereisten en de standaardisering van de gegevens te waarborgen;</w:t>
      </w:r>
    </w:p>
    <w:p w:rsidR="0015189C" w:rsidRPr="007870ED" w:rsidRDefault="0015189C" w:rsidP="0015189C">
      <w:pPr>
        <w:widowControl/>
        <w:spacing w:before="120" w:after="120"/>
        <w:ind w:left="1418" w:hanging="567"/>
        <w:jc w:val="both"/>
        <w:rPr>
          <w:rFonts w:eastAsia="Calibri"/>
          <w:b/>
          <w:i/>
          <w:noProof/>
          <w:szCs w:val="22"/>
        </w:rPr>
      </w:pPr>
      <w:r w:rsidRPr="007870ED">
        <w:rPr>
          <w:b/>
          <w:i/>
        </w:rPr>
        <w:t xml:space="preserve">b) </w:t>
      </w:r>
      <w:r w:rsidRPr="007870ED">
        <w:rPr>
          <w:b/>
          <w:i/>
        </w:rPr>
        <w:tab/>
        <w:t>een gezamenlijk register van rapportage- en openbaarmakingsvereisten, van de beschrijvingen van de verzamelde gegevens en van de autoriteiten die deze gegevens hebben;</w:t>
      </w:r>
    </w:p>
    <w:p w:rsidR="0015189C" w:rsidRPr="007870ED" w:rsidRDefault="0015189C" w:rsidP="0015189C">
      <w:pPr>
        <w:widowControl/>
        <w:spacing w:before="120" w:after="120"/>
        <w:ind w:left="1418" w:hanging="567"/>
        <w:jc w:val="both"/>
        <w:rPr>
          <w:rFonts w:eastAsia="Calibri"/>
          <w:b/>
          <w:i/>
          <w:noProof/>
          <w:szCs w:val="22"/>
        </w:rPr>
      </w:pPr>
      <w:r w:rsidRPr="007870ED">
        <w:rPr>
          <w:b/>
          <w:i/>
        </w:rPr>
        <w:t xml:space="preserve">c) </w:t>
      </w:r>
      <w:r w:rsidRPr="007870ED">
        <w:rPr>
          <w:b/>
          <w:i/>
        </w:rPr>
        <w:tab/>
        <w:t>een centrale gegevensruimte, met inbegrip van het technische ontwerp voor het verzamelen en uitwisselen van de informatie; en</w:t>
      </w:r>
    </w:p>
    <w:p w:rsidR="0015189C" w:rsidRPr="007870ED" w:rsidRDefault="0015189C" w:rsidP="0015189C">
      <w:pPr>
        <w:widowControl/>
        <w:spacing w:before="120" w:after="120"/>
        <w:ind w:left="1418" w:hanging="567"/>
        <w:jc w:val="both"/>
        <w:rPr>
          <w:rFonts w:eastAsia="Calibri"/>
          <w:b/>
          <w:i/>
          <w:noProof/>
          <w:szCs w:val="22"/>
        </w:rPr>
      </w:pPr>
      <w:r w:rsidRPr="007870ED">
        <w:rPr>
          <w:b/>
          <w:i/>
        </w:rPr>
        <w:t xml:space="preserve">d) </w:t>
      </w:r>
      <w:r w:rsidRPr="007870ED">
        <w:rPr>
          <w:b/>
          <w:i/>
        </w:rPr>
        <w:tab/>
        <w:t>een permanent centraal contactpunt waar entiteiten gevallen van dubbele rapportage en overbodige of achterhaalde rapportage- of openbaarmakingsvereisten kunnen melden.</w:t>
      </w:r>
    </w:p>
    <w:p w:rsidR="0015189C" w:rsidRPr="007870ED" w:rsidRDefault="0015189C" w:rsidP="0015189C">
      <w:pPr>
        <w:widowControl/>
        <w:spacing w:before="120" w:after="120"/>
        <w:ind w:left="851"/>
        <w:jc w:val="both"/>
        <w:rPr>
          <w:rFonts w:eastAsia="Calibri"/>
          <w:b/>
          <w:i/>
          <w:noProof/>
          <w:szCs w:val="22"/>
        </w:rPr>
      </w:pPr>
      <w:r w:rsidRPr="007870ED">
        <w:rPr>
          <w:b/>
          <w:i/>
        </w:rPr>
        <w:t xml:space="preserve">In nauwe samenwerking met de Commissie gaat het verslag vergezeld van een raming van de totale financiële gevolgen. </w:t>
      </w:r>
    </w:p>
    <w:p w:rsidR="0015189C" w:rsidRPr="007870ED" w:rsidRDefault="0015189C" w:rsidP="0015189C">
      <w:pPr>
        <w:widowControl/>
        <w:spacing w:before="120" w:after="120"/>
        <w:ind w:left="851"/>
        <w:jc w:val="both"/>
        <w:rPr>
          <w:rFonts w:eastAsia="Calibri"/>
          <w:b/>
          <w:i/>
          <w:noProof/>
          <w:szCs w:val="22"/>
        </w:rPr>
      </w:pPr>
      <w:r w:rsidRPr="007870ED">
        <w:rPr>
          <w:b/>
          <w:i/>
        </w:rPr>
        <w:lastRenderedPageBreak/>
        <w:t xml:space="preserve">Uiterlijk op ... [3 jaar na de datum van inwerkingtreding van deze wijzigingsverordening] dient de Commissie zo nodig bij het Europees Parlement en de Raad een wetgevingsvoorstel in om te zorgen voor de nodige financiële, personele en IT-middelen voor de instelling van het gemeenschappelijke geïntegreerde rapportagesysteem. </w:t>
      </w:r>
    </w:p>
    <w:p w:rsidR="0015189C" w:rsidRPr="007870ED" w:rsidRDefault="0015189C" w:rsidP="0015189C">
      <w:pPr>
        <w:widowControl/>
        <w:spacing w:before="120" w:after="120"/>
        <w:ind w:left="851"/>
        <w:jc w:val="both"/>
        <w:rPr>
          <w:rFonts w:eastAsia="Calibri"/>
          <w:b/>
          <w:i/>
          <w:noProof/>
          <w:szCs w:val="22"/>
        </w:rPr>
      </w:pPr>
      <w:r w:rsidRPr="007870ED">
        <w:rPr>
          <w:b/>
          <w:i/>
        </w:rPr>
        <w:t>Uiterlijk op ... [3 jaar na de datum van inwerkingtreding van deze wijzigingsverordening] stelt de Autoriteit samen met de andere autoriteiten een gemeenschappelijke geïntegreerde rapportagesysteem in.”.</w:t>
      </w:r>
    </w:p>
    <w:p w:rsidR="0015189C" w:rsidRPr="007870ED" w:rsidRDefault="0015189C" w:rsidP="00F942BB">
      <w:pPr>
        <w:widowControl/>
        <w:tabs>
          <w:tab w:val="left" w:pos="0"/>
        </w:tabs>
        <w:spacing w:before="120" w:after="120"/>
        <w:jc w:val="both"/>
        <w:rPr>
          <w:rFonts w:eastAsia="Calibri"/>
          <w:b/>
          <w:i/>
          <w:szCs w:val="22"/>
        </w:rPr>
      </w:pPr>
      <w:r w:rsidRPr="007870ED">
        <w:rPr>
          <w:b/>
          <w:i/>
        </w:rPr>
        <w:t>4 ter.</w:t>
      </w:r>
      <w:r w:rsidRPr="007870ED">
        <w:rPr>
          <w:b/>
          <w:i/>
        </w:rPr>
        <w:tab/>
        <w:t>In artikel 36 wordt lid 2 vervangen door:</w:t>
      </w:r>
    </w:p>
    <w:p w:rsidR="0015189C" w:rsidRPr="007870ED" w:rsidRDefault="00F942BB" w:rsidP="0015189C">
      <w:pPr>
        <w:widowControl/>
        <w:spacing w:before="120" w:after="120"/>
        <w:ind w:left="851"/>
        <w:jc w:val="both"/>
        <w:rPr>
          <w:rFonts w:eastAsia="Calibri"/>
          <w:b/>
          <w:i/>
          <w:noProof/>
          <w:szCs w:val="22"/>
        </w:rPr>
      </w:pPr>
      <w:r w:rsidRPr="007870ED">
        <w:t>“</w:t>
      </w:r>
      <w:r w:rsidR="0015189C" w:rsidRPr="007870ED">
        <w:t xml:space="preserve">2. </w:t>
      </w:r>
      <w:r w:rsidR="0015189C" w:rsidRPr="007870ED">
        <w:rPr>
          <w:b/>
          <w:i/>
        </w:rPr>
        <w:tab/>
        <w:t>De Autoriteit werkt, samen met het Europees Stelsel van centrale banken (ESCB), de Commissie, de nationale bevoegde autoriteiten en de nationale statistische autoriteiten, nauw samen met het ESRB door de informatie en analysen te delen die nodig zijn voor de vervulling van hun taken.</w:t>
      </w:r>
    </w:p>
    <w:p w:rsidR="0015189C" w:rsidRPr="007870ED" w:rsidRDefault="0015189C" w:rsidP="0015189C">
      <w:pPr>
        <w:widowControl/>
        <w:spacing w:before="120" w:after="120"/>
        <w:ind w:left="851"/>
        <w:jc w:val="both"/>
        <w:rPr>
          <w:rFonts w:eastAsia="Calibri"/>
          <w:b/>
          <w:i/>
          <w:noProof/>
          <w:szCs w:val="22"/>
        </w:rPr>
      </w:pPr>
      <w:r w:rsidRPr="007870ED">
        <w:rPr>
          <w:b/>
          <w:i/>
        </w:rPr>
        <w:t>De Autoriteit coördineert, samen met het ESRB en de ECB, haar inspanningen om systeemrisico’s voor de financiële stabiliteit op te sporen, te monitoren, te voorkomen en te beperken.</w:t>
      </w:r>
    </w:p>
    <w:p w:rsidR="0015189C" w:rsidRPr="007870ED" w:rsidRDefault="0015189C" w:rsidP="0015189C">
      <w:pPr>
        <w:widowControl/>
        <w:tabs>
          <w:tab w:val="left" w:pos="709"/>
        </w:tabs>
        <w:spacing w:before="120" w:after="120"/>
        <w:ind w:left="851"/>
        <w:jc w:val="both"/>
        <w:rPr>
          <w:rFonts w:eastAsia="Calibri"/>
          <w:b/>
          <w:i/>
          <w:noProof/>
          <w:szCs w:val="22"/>
        </w:rPr>
      </w:pPr>
      <w:r w:rsidRPr="007870ED">
        <w:rPr>
          <w:b/>
          <w:i/>
        </w:rPr>
        <w:t>De Autoriteit voldoet, overeenkomstig artikel 15, leden 1 tot en met 5, van Verordening (EU) nr. 1092/2010, aan de vastgestelde bepalingen inzake het delen van gegevens.</w:t>
      </w:r>
    </w:p>
    <w:p w:rsidR="0015189C" w:rsidRPr="007870ED" w:rsidRDefault="0015189C" w:rsidP="0015189C">
      <w:pPr>
        <w:widowControl/>
        <w:tabs>
          <w:tab w:val="left" w:pos="709"/>
        </w:tabs>
        <w:spacing w:before="120" w:after="120"/>
        <w:ind w:left="851"/>
        <w:jc w:val="both"/>
        <w:rPr>
          <w:rFonts w:eastAsia="Calibri"/>
          <w:b/>
          <w:i/>
          <w:noProof/>
          <w:szCs w:val="22"/>
        </w:rPr>
      </w:pPr>
      <w:r w:rsidRPr="007870ED">
        <w:rPr>
          <w:b/>
          <w:i/>
        </w:rPr>
        <w:t>De Autoriteit beschikt, in samenwerking met het ESRB, over adequate interne procedures voor de verzending van vertrouwelijke informatie, met name informatie betreffende individuele financiële instellingen.</w:t>
      </w:r>
      <w:r w:rsidR="00F942BB" w:rsidRPr="007870ED">
        <w:rPr>
          <w:b/>
          <w:i/>
        </w:rPr>
        <w:t>”;</w:t>
      </w:r>
    </w:p>
    <w:p w:rsidR="0015189C" w:rsidRPr="007870ED" w:rsidRDefault="0015189C" w:rsidP="00F942BB">
      <w:pPr>
        <w:widowControl/>
        <w:spacing w:before="120" w:after="120"/>
        <w:jc w:val="both"/>
        <w:rPr>
          <w:rFonts w:eastAsia="Calibri"/>
          <w:noProof/>
          <w:szCs w:val="22"/>
        </w:rPr>
      </w:pPr>
      <w:r w:rsidRPr="007870ED">
        <w:t>5.</w:t>
      </w:r>
      <w:r w:rsidRPr="007870ED">
        <w:tab/>
        <w:t>Aan artikel 54, lid 2, wordt het volgende streepje toegevoegd: </w:t>
      </w:r>
    </w:p>
    <w:p w:rsidR="0015189C" w:rsidRPr="007870ED" w:rsidRDefault="0015189C" w:rsidP="0015189C">
      <w:pPr>
        <w:widowControl/>
        <w:spacing w:before="120" w:after="120"/>
        <w:ind w:left="851"/>
        <w:jc w:val="both"/>
        <w:rPr>
          <w:rFonts w:eastAsia="Calibri"/>
          <w:noProof/>
          <w:szCs w:val="22"/>
        </w:rPr>
      </w:pPr>
      <w:r w:rsidRPr="007870ED">
        <w:t xml:space="preserve">“– </w:t>
      </w:r>
      <w:r w:rsidRPr="007870ED">
        <w:rPr>
          <w:b/>
          <w:bCs/>
          <w:i/>
          <w:iCs/>
        </w:rPr>
        <w:t>rapportage- en openbaarmakingsvereisten</w:t>
      </w:r>
      <w:r w:rsidRPr="007870ED">
        <w:t xml:space="preserve"> en het verzamelen en verspreiden van informatie bij financiële instellingen.”. </w:t>
      </w:r>
    </w:p>
    <w:p w:rsidR="0015189C" w:rsidRPr="007870ED" w:rsidRDefault="0015189C" w:rsidP="00F942BB">
      <w:pPr>
        <w:widowControl/>
        <w:spacing w:before="120" w:after="120"/>
        <w:jc w:val="both"/>
        <w:rPr>
          <w:rFonts w:eastAsia="Calibri"/>
          <w:noProof/>
          <w:szCs w:val="22"/>
        </w:rPr>
      </w:pPr>
      <w:r w:rsidRPr="007870ED">
        <w:t>6.</w:t>
      </w:r>
      <w:r w:rsidRPr="007870ED">
        <w:tab/>
        <w:t>In artikel 70 wordt lid 3 vervangen door: </w:t>
      </w:r>
    </w:p>
    <w:p w:rsidR="0015189C" w:rsidRPr="007870ED" w:rsidRDefault="0015189C" w:rsidP="0015189C">
      <w:pPr>
        <w:widowControl/>
        <w:spacing w:before="120" w:after="120"/>
        <w:ind w:left="851"/>
        <w:jc w:val="both"/>
        <w:rPr>
          <w:rFonts w:eastAsia="Calibri"/>
          <w:szCs w:val="24"/>
        </w:rPr>
      </w:pPr>
      <w:r w:rsidRPr="007870ED">
        <w:t xml:space="preserve">“3. De leden 1 en 2 staan er niet aan in de weg dat de Autoriteit informatie uitwisselt met </w:t>
      </w:r>
      <w:r w:rsidRPr="007870ED">
        <w:rPr>
          <w:b/>
          <w:bCs/>
          <w:i/>
          <w:iCs/>
        </w:rPr>
        <w:t>de andere</w:t>
      </w:r>
      <w:r w:rsidRPr="007870ED">
        <w:t xml:space="preserve"> autoriteiten </w:t>
      </w:r>
      <w:r w:rsidRPr="007870ED">
        <w:rPr>
          <w:b/>
          <w:bCs/>
          <w:i/>
          <w:iCs/>
        </w:rPr>
        <w:t>als bedoeld in artikel 35 bis, lid 1 ter,</w:t>
      </w:r>
      <w:r w:rsidRPr="007870ED">
        <w:t xml:space="preserve"> overeenkomstig deze verordening en overeenkomstig andere Uniewetgeving die op financiële instellingen van toepassing is.”.</w:t>
      </w:r>
    </w:p>
    <w:p w:rsidR="0015189C" w:rsidRPr="007870ED" w:rsidRDefault="0015189C" w:rsidP="0015189C">
      <w:pPr>
        <w:keepNext/>
        <w:widowControl/>
        <w:spacing w:before="360" w:after="120"/>
        <w:ind w:left="720"/>
        <w:jc w:val="center"/>
        <w:rPr>
          <w:rFonts w:eastAsia="Calibri"/>
          <w:i/>
          <w:noProof/>
          <w:szCs w:val="22"/>
        </w:rPr>
      </w:pPr>
      <w:r w:rsidRPr="007870ED">
        <w:rPr>
          <w:i/>
        </w:rPr>
        <w:t>Artikel 4</w:t>
      </w:r>
    </w:p>
    <w:p w:rsidR="0015189C" w:rsidRPr="007870ED" w:rsidRDefault="0015189C" w:rsidP="0015189C">
      <w:pPr>
        <w:widowControl/>
        <w:spacing w:before="120" w:after="120"/>
        <w:jc w:val="center"/>
        <w:rPr>
          <w:rFonts w:eastAsia="Calibri"/>
          <w:noProof/>
          <w:szCs w:val="22"/>
        </w:rPr>
      </w:pPr>
      <w:r w:rsidRPr="007870ED">
        <w:rPr>
          <w:b/>
        </w:rPr>
        <w:t>Wijzigingen van Verordening (EU) nr. 1095/2010</w:t>
      </w:r>
    </w:p>
    <w:p w:rsidR="0015189C" w:rsidRPr="007870ED" w:rsidRDefault="0015189C" w:rsidP="0015189C">
      <w:pPr>
        <w:widowControl/>
        <w:spacing w:before="120" w:after="120"/>
        <w:jc w:val="both"/>
        <w:rPr>
          <w:rFonts w:eastAsia="Calibri"/>
          <w:noProof/>
          <w:szCs w:val="22"/>
        </w:rPr>
      </w:pPr>
      <w:r w:rsidRPr="007870ED">
        <w:t>Verordening (EU) nr. 1095/2010 wordt als volgt gewijzigd: </w:t>
      </w:r>
    </w:p>
    <w:p w:rsidR="0015189C" w:rsidRPr="007870ED" w:rsidRDefault="0015189C" w:rsidP="0015189C">
      <w:pPr>
        <w:widowControl/>
        <w:spacing w:before="120" w:after="120"/>
        <w:ind w:left="850" w:hanging="850"/>
        <w:jc w:val="both"/>
        <w:rPr>
          <w:rFonts w:eastAsia="Calibri"/>
          <w:b/>
          <w:i/>
          <w:szCs w:val="22"/>
        </w:rPr>
      </w:pPr>
      <w:r w:rsidRPr="007870ED">
        <w:rPr>
          <w:b/>
          <w:i/>
        </w:rPr>
        <w:t>-1.</w:t>
      </w:r>
      <w:r w:rsidRPr="007870ED">
        <w:rPr>
          <w:b/>
          <w:i/>
        </w:rPr>
        <w:tab/>
        <w:t>Aan artikel 16 bis, lid 1, wordt de volgende alinea toegevoegd:</w:t>
      </w:r>
    </w:p>
    <w:p w:rsidR="0015189C" w:rsidRPr="007870ED" w:rsidRDefault="0015189C" w:rsidP="0015189C">
      <w:pPr>
        <w:widowControl/>
        <w:spacing w:before="120" w:after="120"/>
        <w:ind w:left="851"/>
        <w:jc w:val="both"/>
        <w:rPr>
          <w:rFonts w:eastAsia="Calibri"/>
          <w:b/>
          <w:i/>
          <w:noProof/>
          <w:szCs w:val="22"/>
        </w:rPr>
      </w:pPr>
      <w:r w:rsidRPr="007870ED">
        <w:rPr>
          <w:b/>
          <w:i/>
        </w:rPr>
        <w:t>“De adviezen van de Autoriteit zijn niet beperkt tot lopende wetgevingsprocedures. De Autoriteit kan in haar adviezen zo nodig ook wijzigingen van wetgevingshandelingen die van kracht zijn voorstellen, waaronder wijzigingen om:</w:t>
      </w:r>
    </w:p>
    <w:p w:rsidR="0015189C" w:rsidRPr="007870ED" w:rsidRDefault="0015189C" w:rsidP="0015189C">
      <w:pPr>
        <w:widowControl/>
        <w:spacing w:before="120" w:after="120"/>
        <w:ind w:left="1418" w:hanging="567"/>
        <w:jc w:val="both"/>
        <w:rPr>
          <w:rFonts w:eastAsia="Calibri"/>
          <w:b/>
          <w:i/>
          <w:noProof/>
          <w:szCs w:val="22"/>
        </w:rPr>
      </w:pPr>
      <w:r w:rsidRPr="007870ED">
        <w:rPr>
          <w:b/>
          <w:i/>
        </w:rPr>
        <w:t xml:space="preserve">a) </w:t>
      </w:r>
      <w:r w:rsidRPr="007870ED">
        <w:rPr>
          <w:b/>
          <w:i/>
        </w:rPr>
        <w:tab/>
        <w:t>overbodige of achterhaalde rapportage- en openbaarmakingsvereisten in het Unierecht of de nationale omzetting van het Unierecht door de lidstaten te schrappen;</w:t>
      </w:r>
    </w:p>
    <w:p w:rsidR="0015189C" w:rsidRPr="007870ED" w:rsidRDefault="0015189C" w:rsidP="0015189C">
      <w:pPr>
        <w:widowControl/>
        <w:spacing w:before="120" w:after="120"/>
        <w:ind w:left="1418" w:hanging="567"/>
        <w:jc w:val="both"/>
        <w:rPr>
          <w:rFonts w:eastAsia="Calibri"/>
          <w:b/>
          <w:i/>
          <w:noProof/>
          <w:szCs w:val="22"/>
        </w:rPr>
      </w:pPr>
      <w:r w:rsidRPr="007870ED">
        <w:rPr>
          <w:b/>
          <w:i/>
        </w:rPr>
        <w:t>b)</w:t>
      </w:r>
      <w:r w:rsidRPr="007870ED">
        <w:rPr>
          <w:b/>
          <w:i/>
        </w:rPr>
        <w:tab/>
        <w:t xml:space="preserve"> te zorgen voor consistente rapportage- en openbaarmakingsvereisten in zowel sectorspecifieke als </w:t>
      </w:r>
      <w:proofErr w:type="spellStart"/>
      <w:r w:rsidRPr="007870ED">
        <w:rPr>
          <w:b/>
          <w:i/>
        </w:rPr>
        <w:t>sectoroverschrijdende</w:t>
      </w:r>
      <w:proofErr w:type="spellEnd"/>
      <w:r w:rsidRPr="007870ED">
        <w:rPr>
          <w:b/>
          <w:i/>
        </w:rPr>
        <w:t xml:space="preserve"> wetgeving;</w:t>
      </w:r>
    </w:p>
    <w:p w:rsidR="0015189C" w:rsidRPr="007870ED" w:rsidRDefault="0015189C" w:rsidP="0015189C">
      <w:pPr>
        <w:widowControl/>
        <w:spacing w:before="120" w:after="120"/>
        <w:ind w:left="1418" w:hanging="567"/>
        <w:jc w:val="both"/>
        <w:rPr>
          <w:rFonts w:eastAsia="Calibri"/>
          <w:b/>
          <w:i/>
          <w:noProof/>
          <w:szCs w:val="22"/>
        </w:rPr>
      </w:pPr>
      <w:r w:rsidRPr="007870ED">
        <w:rPr>
          <w:b/>
          <w:i/>
        </w:rPr>
        <w:lastRenderedPageBreak/>
        <w:t>c)</w:t>
      </w:r>
      <w:r w:rsidRPr="007870ED">
        <w:rPr>
          <w:b/>
          <w:i/>
        </w:rPr>
        <w:tab/>
        <w:t xml:space="preserve"> te zorgen voor evenredigheid in de rapportage- en openbaarmakingsvereisten met betrekking tot de aard, omvang en complexiteit van de rapporterende entiteit;</w:t>
      </w:r>
    </w:p>
    <w:p w:rsidR="0015189C" w:rsidRPr="007870ED" w:rsidRDefault="0015189C" w:rsidP="0015189C">
      <w:pPr>
        <w:widowControl/>
        <w:spacing w:before="120" w:after="120"/>
        <w:ind w:left="1418" w:hanging="567"/>
        <w:jc w:val="both"/>
        <w:rPr>
          <w:rFonts w:eastAsia="Calibri"/>
          <w:b/>
          <w:bCs/>
          <w:i/>
          <w:iCs/>
          <w:szCs w:val="22"/>
        </w:rPr>
      </w:pPr>
      <w:r w:rsidRPr="007870ED">
        <w:rPr>
          <w:b/>
          <w:i/>
        </w:rPr>
        <w:t xml:space="preserve">d) </w:t>
      </w:r>
      <w:r w:rsidRPr="007870ED">
        <w:rPr>
          <w:b/>
          <w:i/>
        </w:rPr>
        <w:tab/>
        <w:t>ervoor zorgen dat de naleving van de rapportage- en openbaarmakingsvereisten in verhouding staat tot de toegevoegde waarde voor het vervullen van de taken en doelstellingen van de Autoriteit.</w:t>
      </w:r>
    </w:p>
    <w:p w:rsidR="0015189C" w:rsidRPr="007870ED" w:rsidRDefault="0015189C" w:rsidP="0015189C">
      <w:pPr>
        <w:widowControl/>
        <w:spacing w:before="120" w:after="120"/>
        <w:ind w:left="851"/>
        <w:jc w:val="both"/>
        <w:rPr>
          <w:rFonts w:eastAsia="Calibri"/>
          <w:b/>
          <w:bCs/>
          <w:i/>
          <w:iCs/>
          <w:szCs w:val="22"/>
        </w:rPr>
      </w:pPr>
      <w:r w:rsidRPr="007870ED">
        <w:rPr>
          <w:b/>
          <w:i/>
        </w:rPr>
        <w:t>Bij het opstellen van de in de eerste alinea bedoelde adviezen over van kracht zijnde wetgevingshandelingen houdt de Autoriteit door een specifieke raadpleging naar behoren rekening met de inbreng van alle relevante belanghebbenden. Op basis van die adviezen dient de Commissie zo nodig bij het Europees Parlement en de Raad een wetgevingsvoorstel in.”</w:t>
      </w:r>
      <w:r w:rsidR="00F942BB" w:rsidRPr="007870ED">
        <w:rPr>
          <w:b/>
          <w:i/>
        </w:rPr>
        <w:t>;</w:t>
      </w:r>
      <w:r w:rsidRPr="007870ED">
        <w:rPr>
          <w:b/>
          <w:i/>
        </w:rPr>
        <w:t xml:space="preserve"> </w:t>
      </w:r>
    </w:p>
    <w:p w:rsidR="0015189C" w:rsidRPr="007870ED" w:rsidRDefault="0015189C" w:rsidP="0015189C">
      <w:pPr>
        <w:widowControl/>
        <w:spacing w:before="120" w:after="120"/>
        <w:ind w:left="850" w:hanging="850"/>
        <w:jc w:val="both"/>
        <w:rPr>
          <w:rFonts w:eastAsia="Calibri"/>
          <w:noProof/>
          <w:szCs w:val="22"/>
        </w:rPr>
      </w:pPr>
      <w:r w:rsidRPr="007870ED">
        <w:t>1.</w:t>
      </w:r>
      <w:r w:rsidRPr="007870ED">
        <w:tab/>
        <w:t>In artikel 29, lid 1, wordt punt d) vervangen door: </w:t>
      </w:r>
    </w:p>
    <w:p w:rsidR="0015189C" w:rsidRPr="007870ED" w:rsidRDefault="0015189C" w:rsidP="0015189C">
      <w:pPr>
        <w:widowControl/>
        <w:spacing w:before="120" w:after="120"/>
        <w:ind w:left="851"/>
        <w:jc w:val="both"/>
        <w:rPr>
          <w:rFonts w:eastAsia="Calibri"/>
          <w:b/>
          <w:i/>
          <w:szCs w:val="22"/>
        </w:rPr>
      </w:pPr>
      <w:r w:rsidRPr="007870ED">
        <w:t>“</w:t>
      </w:r>
      <w:proofErr w:type="gramStart"/>
      <w:r w:rsidRPr="007870ED">
        <w:t>d</w:t>
      </w:r>
      <w:proofErr w:type="gramEnd"/>
      <w:r w:rsidRPr="007870ED">
        <w:t>) evalueren van de toepassing van de desbetreffende door de Commissie vastgestelde technische reguleringsnormen en technische uitvoeringsnormen en van de door de Autoriteit gegeven richtsnoeren en aanbevelingen, en in voorkomend geval voorstellen van wijzigingen,</w:t>
      </w:r>
      <w:r w:rsidRPr="007870ED">
        <w:rPr>
          <w:b/>
          <w:bCs/>
          <w:i/>
          <w:iCs/>
        </w:rPr>
        <w:t xml:space="preserve"> met behoud van de bruikbaarheid en kwaliteit van de gegevens, teneinde:</w:t>
      </w:r>
    </w:p>
    <w:p w:rsidR="0015189C" w:rsidRPr="007870ED" w:rsidRDefault="0015189C" w:rsidP="0015189C">
      <w:pPr>
        <w:widowControl/>
        <w:spacing w:before="120" w:after="120"/>
        <w:ind w:left="720"/>
        <w:jc w:val="both"/>
        <w:rPr>
          <w:rFonts w:eastAsia="Calibri"/>
          <w:b/>
          <w:i/>
          <w:szCs w:val="22"/>
        </w:rPr>
      </w:pPr>
      <w:r w:rsidRPr="007870ED">
        <w:rPr>
          <w:b/>
          <w:bCs/>
          <w:i/>
          <w:iCs/>
        </w:rPr>
        <w:t>–</w:t>
      </w:r>
      <w:r w:rsidRPr="007870ED">
        <w:t xml:space="preserve"> overbodige of achterhaalde </w:t>
      </w:r>
      <w:r w:rsidRPr="007870ED">
        <w:rPr>
          <w:b/>
          <w:bCs/>
          <w:i/>
          <w:iCs/>
        </w:rPr>
        <w:t>rapportage- en openbaarmakingsvereisten</w:t>
      </w:r>
      <w:r w:rsidRPr="007870ED">
        <w:t xml:space="preserve"> te schrappen</w:t>
      </w:r>
      <w:r w:rsidRPr="007870ED">
        <w:rPr>
          <w:b/>
          <w:bCs/>
          <w:i/>
          <w:iCs/>
        </w:rPr>
        <w:t>;</w:t>
      </w:r>
    </w:p>
    <w:p w:rsidR="0015189C" w:rsidRPr="007870ED" w:rsidRDefault="0015189C" w:rsidP="0015189C">
      <w:pPr>
        <w:widowControl/>
        <w:spacing w:before="120" w:after="120"/>
        <w:ind w:left="720"/>
        <w:jc w:val="both"/>
        <w:rPr>
          <w:rFonts w:eastAsia="Calibri"/>
          <w:b/>
          <w:i/>
          <w:noProof/>
          <w:szCs w:val="22"/>
        </w:rPr>
      </w:pPr>
      <w:r w:rsidRPr="007870ED">
        <w:rPr>
          <w:b/>
          <w:i/>
        </w:rPr>
        <w:t>– te zorgen voor evenredige en gestandaardiseerde rapportage- en openbaarmakingsvereisten;</w:t>
      </w:r>
    </w:p>
    <w:p w:rsidR="0015189C" w:rsidRPr="007870ED" w:rsidRDefault="0015189C" w:rsidP="0015189C">
      <w:pPr>
        <w:widowControl/>
        <w:spacing w:before="120" w:after="120"/>
        <w:ind w:firstLine="720"/>
        <w:jc w:val="both"/>
        <w:rPr>
          <w:rFonts w:eastAsia="Calibri"/>
          <w:b/>
          <w:i/>
          <w:szCs w:val="22"/>
        </w:rPr>
      </w:pPr>
      <w:r w:rsidRPr="007870ED">
        <w:t>– de kosten tot een minimum te beperken</w:t>
      </w:r>
      <w:r w:rsidRPr="007870ED">
        <w:rPr>
          <w:b/>
          <w:bCs/>
          <w:i/>
          <w:iCs/>
        </w:rPr>
        <w:t>;</w:t>
      </w:r>
    </w:p>
    <w:p w:rsidR="0015189C" w:rsidRPr="007870ED" w:rsidRDefault="0015189C" w:rsidP="0015189C">
      <w:pPr>
        <w:widowControl/>
        <w:spacing w:before="120" w:after="120"/>
        <w:ind w:firstLine="720"/>
        <w:jc w:val="both"/>
        <w:rPr>
          <w:rFonts w:eastAsia="Calibri"/>
          <w:b/>
          <w:i/>
          <w:szCs w:val="22"/>
        </w:rPr>
      </w:pPr>
      <w:r w:rsidRPr="007870ED">
        <w:rPr>
          <w:b/>
          <w:i/>
        </w:rPr>
        <w:t>– lacunes in de regelgeving op te vullen;”</w:t>
      </w:r>
      <w:r w:rsidR="00F942BB" w:rsidRPr="007870ED">
        <w:rPr>
          <w:b/>
          <w:i/>
        </w:rPr>
        <w:t>;</w:t>
      </w:r>
    </w:p>
    <w:p w:rsidR="0015189C" w:rsidRPr="007870ED" w:rsidRDefault="0015189C" w:rsidP="0015189C">
      <w:pPr>
        <w:widowControl/>
        <w:spacing w:before="120" w:after="120"/>
        <w:ind w:left="850" w:hanging="850"/>
        <w:jc w:val="both"/>
        <w:rPr>
          <w:rFonts w:eastAsia="Calibri"/>
          <w:noProof/>
          <w:szCs w:val="22"/>
        </w:rPr>
      </w:pPr>
      <w:r w:rsidRPr="007870ED">
        <w:t>2.</w:t>
      </w:r>
      <w:r w:rsidRPr="007870ED">
        <w:tab/>
        <w:t>Aan artikel 30, lid 3, wordt het volgende punt e) toegevoegd: </w:t>
      </w:r>
    </w:p>
    <w:p w:rsidR="0015189C" w:rsidRPr="007870ED" w:rsidRDefault="0015189C" w:rsidP="0015189C">
      <w:pPr>
        <w:widowControl/>
        <w:spacing w:before="120" w:after="120"/>
        <w:ind w:left="851"/>
        <w:jc w:val="both"/>
        <w:rPr>
          <w:rFonts w:eastAsia="Calibri"/>
          <w:noProof/>
          <w:szCs w:val="22"/>
        </w:rPr>
      </w:pPr>
      <w:r w:rsidRPr="007870ED">
        <w:t>“</w:t>
      </w:r>
      <w:proofErr w:type="gramStart"/>
      <w:r w:rsidRPr="007870ED">
        <w:t>e</w:t>
      </w:r>
      <w:proofErr w:type="gramEnd"/>
      <w:r w:rsidRPr="007870ED">
        <w:t xml:space="preserve">) de effectiviteit van nationale </w:t>
      </w:r>
      <w:r w:rsidRPr="007870ED">
        <w:rPr>
          <w:b/>
          <w:bCs/>
          <w:i/>
          <w:iCs/>
        </w:rPr>
        <w:t>rapportage- en openbaarmakingsvereisten</w:t>
      </w:r>
      <w:r w:rsidRPr="007870ED">
        <w:t xml:space="preserve"> en de mate van convergentie tussen die vereisten en de vereisten in Unierecht </w:t>
      </w:r>
      <w:r w:rsidRPr="007870ED">
        <w:rPr>
          <w:b/>
          <w:bCs/>
          <w:i/>
          <w:iCs/>
        </w:rPr>
        <w:t>en hun geschiktheid om aan de daarin vastgestelde normen te voldoen, rekening houdend met de specifieke kenmerken van de nationale financiële rechtsgebieden</w:t>
      </w:r>
      <w:r w:rsidRPr="007870ED">
        <w:t>.”. </w:t>
      </w:r>
    </w:p>
    <w:p w:rsidR="0015189C" w:rsidRPr="007870ED" w:rsidRDefault="0015189C" w:rsidP="0015189C">
      <w:pPr>
        <w:widowControl/>
        <w:spacing w:before="120" w:after="120"/>
        <w:ind w:left="850" w:hanging="850"/>
        <w:jc w:val="both"/>
        <w:rPr>
          <w:rFonts w:eastAsia="Calibri"/>
          <w:noProof/>
          <w:szCs w:val="22"/>
        </w:rPr>
      </w:pPr>
      <w:r w:rsidRPr="007870ED">
        <w:t>3.</w:t>
      </w:r>
      <w:r w:rsidRPr="007870ED">
        <w:tab/>
        <w:t>Artikel 35, lid 4, wordt vervangen door: </w:t>
      </w:r>
    </w:p>
    <w:p w:rsidR="0015189C" w:rsidRPr="007870ED" w:rsidRDefault="0015189C" w:rsidP="0015189C">
      <w:pPr>
        <w:widowControl/>
        <w:spacing w:before="120" w:after="120"/>
        <w:ind w:left="851"/>
        <w:jc w:val="both"/>
        <w:rPr>
          <w:rFonts w:eastAsia="Calibri"/>
          <w:noProof/>
          <w:szCs w:val="22"/>
        </w:rPr>
      </w:pPr>
      <w:r w:rsidRPr="007870ED">
        <w:t>“4.</w:t>
      </w:r>
      <w:r w:rsidRPr="007870ED">
        <w:rPr>
          <w:b/>
          <w:i/>
        </w:rPr>
        <w:tab/>
      </w:r>
      <w:r w:rsidRPr="007870ED">
        <w:t>Voordat er overeenkomstig dit artikel om informatie wordt gevraagd en om dubbele rapportage- en openbaarmakingsverplichtingen te vermijden, maakt de Autoriteit gebruik van informatie verzameld door de in artikel 35 bis, lid 1 ter, bedoelde andere autoriteiten en de bestaande statistieken, zoals opgemaakt en verspreid door het Europees statistisch systeem en het Europees Stelsel van centrale banken.”. </w:t>
      </w:r>
    </w:p>
    <w:p w:rsidR="0015189C" w:rsidRPr="007870ED" w:rsidRDefault="0015189C" w:rsidP="0015189C">
      <w:pPr>
        <w:widowControl/>
        <w:spacing w:before="120" w:after="120"/>
        <w:jc w:val="both"/>
        <w:rPr>
          <w:rFonts w:eastAsia="Calibri"/>
          <w:noProof/>
          <w:szCs w:val="22"/>
        </w:rPr>
      </w:pPr>
      <w:r w:rsidRPr="007870ED">
        <w:t>4.</w:t>
      </w:r>
      <w:r w:rsidRPr="007870ED">
        <w:tab/>
        <w:t>Het volgende artikel 35 bis wordt ingevoegd: </w:t>
      </w:r>
    </w:p>
    <w:p w:rsidR="0015189C" w:rsidRPr="007870ED" w:rsidRDefault="0015189C" w:rsidP="0015189C">
      <w:pPr>
        <w:widowControl/>
        <w:spacing w:before="120" w:after="120"/>
        <w:jc w:val="center"/>
        <w:rPr>
          <w:rFonts w:eastAsia="Calibri"/>
          <w:noProof/>
          <w:szCs w:val="22"/>
        </w:rPr>
      </w:pPr>
      <w:r w:rsidRPr="007870ED">
        <w:t>“Artikel 35 bis</w:t>
      </w:r>
    </w:p>
    <w:p w:rsidR="0015189C" w:rsidRPr="007870ED" w:rsidRDefault="0015189C" w:rsidP="0015189C">
      <w:pPr>
        <w:widowControl/>
        <w:spacing w:before="120" w:after="120"/>
        <w:jc w:val="center"/>
        <w:rPr>
          <w:rFonts w:eastAsia="Calibri"/>
          <w:noProof/>
          <w:szCs w:val="22"/>
        </w:rPr>
      </w:pPr>
      <w:r w:rsidRPr="007870ED">
        <w:rPr>
          <w:b/>
        </w:rPr>
        <w:t>Uitwisseling van informatie tussen autoriteiten en met andere entiteiten </w:t>
      </w:r>
      <w:r w:rsidRPr="007870ED">
        <w:t> </w:t>
      </w:r>
    </w:p>
    <w:p w:rsidR="0015189C" w:rsidRPr="007870ED" w:rsidRDefault="0015189C" w:rsidP="0015189C">
      <w:pPr>
        <w:widowControl/>
        <w:spacing w:before="120" w:after="120"/>
        <w:ind w:left="851" w:hanging="851"/>
        <w:jc w:val="both"/>
        <w:rPr>
          <w:rFonts w:eastAsia="Calibri"/>
          <w:b/>
          <w:i/>
          <w:szCs w:val="22"/>
        </w:rPr>
      </w:pPr>
      <w:r w:rsidRPr="007870ED">
        <w:t xml:space="preserve">1. </w:t>
      </w:r>
      <w:r w:rsidRPr="007870ED">
        <w:rPr>
          <w:b/>
          <w:i/>
        </w:rPr>
        <w:tab/>
      </w:r>
      <w:r w:rsidRPr="007870ED">
        <w:t>De Autoriteit en de bevoegde autoriteiten delen, per geval of op regelmatige basis, met andere autoriteiten informatie die deze van financiële instellingen of andere bevoegde autoriteiten hebben verkregen</w:t>
      </w:r>
      <w:r w:rsidRPr="007870ED">
        <w:rPr>
          <w:b/>
          <w:bCs/>
          <w:i/>
          <w:iCs/>
        </w:rPr>
        <w:t>, indien de verzoekende autoriteit krachtens haar opdracht, doelstellingen, taken en bevoegdheden of overeenkomstig desbetreffend Unierecht het recht heeft die informatie te verkrijgen</w:t>
      </w:r>
      <w:r w:rsidRPr="007870ED">
        <w:t xml:space="preserve">. </w:t>
      </w:r>
    </w:p>
    <w:p w:rsidR="0015189C" w:rsidRPr="007870ED" w:rsidRDefault="0015189C" w:rsidP="0015189C">
      <w:pPr>
        <w:widowControl/>
        <w:spacing w:before="120" w:after="120"/>
        <w:ind w:left="851"/>
        <w:jc w:val="both"/>
        <w:rPr>
          <w:rFonts w:eastAsia="Calibri"/>
          <w:b/>
          <w:i/>
          <w:szCs w:val="22"/>
        </w:rPr>
      </w:pPr>
      <w:r w:rsidRPr="007870ED">
        <w:rPr>
          <w:b/>
          <w:i/>
        </w:rPr>
        <w:lastRenderedPageBreak/>
        <w:t xml:space="preserve">Voor het delen van de informatie als bedoeld in de eerste alinea van dit lid maakt de Autoriteit of de bevoegde autoriteit vanaf de oprichting ervan gebruik van het in artikel 35 ter bedoelde enkele geïntegreerde rapportagesysteem. </w:t>
      </w:r>
    </w:p>
    <w:p w:rsidR="0015189C" w:rsidRPr="007870ED" w:rsidRDefault="0015189C" w:rsidP="0015189C">
      <w:pPr>
        <w:widowControl/>
        <w:spacing w:before="120" w:after="120"/>
        <w:ind w:left="851" w:hanging="851"/>
        <w:jc w:val="both"/>
        <w:rPr>
          <w:rFonts w:eastAsia="Calibri"/>
          <w:b/>
          <w:i/>
          <w:noProof/>
          <w:szCs w:val="22"/>
        </w:rPr>
      </w:pPr>
      <w:r w:rsidRPr="007870ED">
        <w:rPr>
          <w:b/>
          <w:i/>
        </w:rPr>
        <w:t>1 bis.</w:t>
      </w:r>
      <w:r w:rsidRPr="007870ED">
        <w:rPr>
          <w:b/>
          <w:i/>
        </w:rPr>
        <w:tab/>
        <w:t>De Autoriteit en de bevoegde autoriteiten verzoeken elk bij de andere autoriteiten om informatie die zij anders zouden opvragen bij financiële instellingen of andere bevoegde autoriteiten, indien aan beide volgende voorwaarden wordt voldaan:</w:t>
      </w:r>
    </w:p>
    <w:p w:rsidR="0015189C" w:rsidRPr="007870ED" w:rsidRDefault="0015189C" w:rsidP="0015189C">
      <w:pPr>
        <w:widowControl/>
        <w:spacing w:before="120" w:after="120"/>
        <w:ind w:left="1418" w:hanging="567"/>
        <w:jc w:val="both"/>
        <w:rPr>
          <w:rFonts w:eastAsia="Calibri"/>
          <w:b/>
          <w:i/>
          <w:noProof/>
          <w:szCs w:val="22"/>
        </w:rPr>
      </w:pPr>
      <w:r w:rsidRPr="007870ED">
        <w:rPr>
          <w:b/>
          <w:i/>
        </w:rPr>
        <w:t>a)</w:t>
      </w:r>
      <w:r w:rsidRPr="007870ED">
        <w:rPr>
          <w:b/>
          <w:i/>
        </w:rPr>
        <w:tab/>
        <w:t xml:space="preserve"> zij hebben krachtens hun opdracht, doelstellingen, taken en bevoegdheden of overeenkomstig desbetreffend Unierecht het recht die informatie te verkrijgen;</w:t>
      </w:r>
    </w:p>
    <w:p w:rsidR="0015189C" w:rsidRPr="007870ED" w:rsidRDefault="0015189C" w:rsidP="0015189C">
      <w:pPr>
        <w:widowControl/>
        <w:spacing w:before="120" w:after="120"/>
        <w:ind w:left="1418" w:hanging="567"/>
        <w:jc w:val="both"/>
        <w:rPr>
          <w:rFonts w:eastAsia="Calibri"/>
          <w:b/>
          <w:i/>
          <w:noProof/>
          <w:szCs w:val="22"/>
        </w:rPr>
      </w:pPr>
      <w:r w:rsidRPr="007870ED">
        <w:rPr>
          <w:b/>
          <w:i/>
        </w:rPr>
        <w:t xml:space="preserve">b) </w:t>
      </w:r>
      <w:r w:rsidRPr="007870ED">
        <w:rPr>
          <w:b/>
          <w:i/>
        </w:rPr>
        <w:tab/>
        <w:t>die informatie is verkregen door ten minste een van de andere autoriteiten.</w:t>
      </w:r>
    </w:p>
    <w:p w:rsidR="0015189C" w:rsidRPr="007870ED" w:rsidRDefault="0015189C" w:rsidP="0015189C">
      <w:pPr>
        <w:widowControl/>
        <w:spacing w:before="120" w:after="120"/>
        <w:ind w:left="851"/>
        <w:jc w:val="both"/>
        <w:rPr>
          <w:rFonts w:eastAsia="Calibri"/>
          <w:b/>
          <w:i/>
          <w:noProof/>
          <w:szCs w:val="22"/>
        </w:rPr>
      </w:pPr>
      <w:r w:rsidRPr="007870ED">
        <w:rPr>
          <w:b/>
          <w:i/>
        </w:rPr>
        <w:t>De eerste alinea laat onverlet dat de Autoriteit en de bevoegde autoriteiten de gevraagde informatie kunnen verkrijgen van financiële instellingen of andere bevoegde autoriteiten indien de andere autoriteit om operationele redenen niet in staat is de gegevens te delen.</w:t>
      </w:r>
    </w:p>
    <w:p w:rsidR="0015189C" w:rsidRPr="007870ED" w:rsidRDefault="0015189C" w:rsidP="0015189C">
      <w:pPr>
        <w:widowControl/>
        <w:spacing w:before="120" w:after="120"/>
        <w:ind w:left="851"/>
        <w:jc w:val="both"/>
        <w:rPr>
          <w:rFonts w:eastAsia="Calibri"/>
          <w:b/>
          <w:i/>
          <w:noProof/>
          <w:szCs w:val="22"/>
        </w:rPr>
      </w:pPr>
      <w:r w:rsidRPr="007870ED">
        <w:rPr>
          <w:b/>
          <w:i/>
        </w:rPr>
        <w:t xml:space="preserve">Om te bepalen of aan de in punt b) van de eerste alinea genoemde voorwaarde is voldaan, maken de Autoriteit of de bevoegde autoriteiten gebruik van het in artikel 35 ter bedoelde enkele geïntegreerde rapportagesysteem zodra dat is ingesteld.  </w:t>
      </w:r>
    </w:p>
    <w:p w:rsidR="0015189C" w:rsidRPr="007870ED" w:rsidRDefault="0015189C" w:rsidP="0015189C">
      <w:pPr>
        <w:widowControl/>
        <w:spacing w:before="120" w:after="120"/>
        <w:ind w:left="851" w:hanging="851"/>
        <w:jc w:val="both"/>
        <w:rPr>
          <w:rFonts w:eastAsia="Calibri"/>
          <w:b/>
          <w:i/>
          <w:noProof/>
          <w:szCs w:val="22"/>
        </w:rPr>
      </w:pPr>
      <w:r w:rsidRPr="007870ED">
        <w:rPr>
          <w:b/>
          <w:i/>
        </w:rPr>
        <w:t>1 ter.</w:t>
      </w:r>
      <w:r w:rsidRPr="007870ED">
        <w:rPr>
          <w:b/>
          <w:i/>
        </w:rPr>
        <w:tab/>
        <w:t>Voor de toepassing van dit artikel, artikel 35 ter en artikel 70, lid 3 wordt onder “andere autoriteiten” elke van de volgende autoriteiten verstaan:</w:t>
      </w:r>
    </w:p>
    <w:p w:rsidR="0015189C" w:rsidRPr="007870ED" w:rsidRDefault="0015189C" w:rsidP="0015189C">
      <w:pPr>
        <w:widowControl/>
        <w:spacing w:before="120" w:after="120"/>
        <w:ind w:left="1418" w:hanging="567"/>
        <w:jc w:val="both"/>
        <w:rPr>
          <w:rFonts w:eastAsia="Calibri"/>
          <w:b/>
          <w:i/>
          <w:noProof/>
          <w:szCs w:val="22"/>
        </w:rPr>
      </w:pPr>
      <w:r w:rsidRPr="007870ED">
        <w:rPr>
          <w:b/>
          <w:i/>
        </w:rPr>
        <w:t>a)</w:t>
      </w:r>
      <w:r w:rsidRPr="007870ED">
        <w:rPr>
          <w:b/>
          <w:i/>
        </w:rPr>
        <w:tab/>
        <w:t xml:space="preserve"> andere Europese toezichthoudende autoriteiten;</w:t>
      </w:r>
    </w:p>
    <w:p w:rsidR="0015189C" w:rsidRPr="007870ED" w:rsidRDefault="0015189C" w:rsidP="0015189C">
      <w:pPr>
        <w:widowControl/>
        <w:spacing w:before="120" w:after="120"/>
        <w:ind w:left="1418" w:hanging="567"/>
        <w:jc w:val="both"/>
        <w:rPr>
          <w:rFonts w:eastAsia="Calibri"/>
          <w:b/>
          <w:i/>
          <w:noProof/>
          <w:szCs w:val="22"/>
        </w:rPr>
      </w:pPr>
      <w:r w:rsidRPr="007870ED">
        <w:rPr>
          <w:b/>
          <w:i/>
        </w:rPr>
        <w:t>b)</w:t>
      </w:r>
      <w:r w:rsidRPr="007870ED">
        <w:rPr>
          <w:b/>
          <w:i/>
        </w:rPr>
        <w:tab/>
        <w:t xml:space="preserve"> het ESRB;</w:t>
      </w:r>
    </w:p>
    <w:p w:rsidR="0015189C" w:rsidRPr="007870ED" w:rsidRDefault="0015189C" w:rsidP="0015189C">
      <w:pPr>
        <w:widowControl/>
        <w:spacing w:before="120" w:after="120"/>
        <w:ind w:left="1418" w:hanging="567"/>
        <w:jc w:val="both"/>
        <w:rPr>
          <w:rFonts w:eastAsia="Calibri"/>
          <w:b/>
          <w:i/>
          <w:noProof/>
          <w:szCs w:val="22"/>
        </w:rPr>
      </w:pPr>
      <w:r w:rsidRPr="007870ED">
        <w:rPr>
          <w:b/>
          <w:i/>
        </w:rPr>
        <w:t xml:space="preserve">c) </w:t>
      </w:r>
      <w:r w:rsidRPr="007870ED">
        <w:rPr>
          <w:b/>
          <w:i/>
        </w:rPr>
        <w:tab/>
        <w:t>bevoegde autoriteiten zoals gedefinieerd in artikel 4, punt 2, van deze verordening;</w:t>
      </w:r>
    </w:p>
    <w:p w:rsidR="0015189C" w:rsidRPr="007870ED" w:rsidRDefault="0015189C" w:rsidP="0015189C">
      <w:pPr>
        <w:widowControl/>
        <w:spacing w:before="120" w:after="120"/>
        <w:ind w:left="1418" w:hanging="567"/>
        <w:jc w:val="both"/>
        <w:rPr>
          <w:rFonts w:eastAsia="Calibri"/>
          <w:b/>
          <w:i/>
          <w:noProof/>
          <w:szCs w:val="22"/>
        </w:rPr>
      </w:pPr>
      <w:r w:rsidRPr="007870ED">
        <w:rPr>
          <w:b/>
          <w:i/>
        </w:rPr>
        <w:t xml:space="preserve">d) </w:t>
      </w:r>
      <w:r w:rsidRPr="007870ED">
        <w:rPr>
          <w:b/>
          <w:i/>
        </w:rPr>
        <w:tab/>
        <w:t>bevoegde autoriteiten zoals gedefinieerd in artikel 4, punt 2, van Verordening (EU) nr. 1094/2010;</w:t>
      </w:r>
    </w:p>
    <w:p w:rsidR="0015189C" w:rsidRPr="007870ED" w:rsidRDefault="0015189C" w:rsidP="0015189C">
      <w:pPr>
        <w:widowControl/>
        <w:spacing w:before="120" w:after="120"/>
        <w:ind w:left="1418" w:hanging="567"/>
        <w:jc w:val="both"/>
        <w:rPr>
          <w:rFonts w:eastAsia="Calibri"/>
          <w:b/>
          <w:i/>
          <w:noProof/>
          <w:szCs w:val="22"/>
        </w:rPr>
      </w:pPr>
      <w:r w:rsidRPr="007870ED">
        <w:rPr>
          <w:b/>
          <w:i/>
        </w:rPr>
        <w:t>e) bevoegde autoriteiten zoals gedefinieerd in artikel 4, punt 3, van Verordening (EU) nr. 1095/2010;</w:t>
      </w:r>
    </w:p>
    <w:p w:rsidR="0015189C" w:rsidRPr="007870ED" w:rsidRDefault="0015189C" w:rsidP="0015189C">
      <w:pPr>
        <w:widowControl/>
        <w:spacing w:before="120" w:after="120"/>
        <w:ind w:left="1418" w:hanging="567"/>
        <w:jc w:val="both"/>
        <w:rPr>
          <w:rFonts w:eastAsia="Calibri"/>
          <w:b/>
          <w:i/>
          <w:noProof/>
          <w:szCs w:val="22"/>
        </w:rPr>
      </w:pPr>
      <w:r w:rsidRPr="007870ED">
        <w:rPr>
          <w:b/>
          <w:i/>
        </w:rPr>
        <w:t xml:space="preserve">f) </w:t>
      </w:r>
      <w:r w:rsidRPr="007870ED">
        <w:rPr>
          <w:b/>
          <w:i/>
        </w:rPr>
        <w:tab/>
        <w:t>de AMLA, als opgericht bij Verordening (EU) …/… van het Europees Parlement en de Raad</w:t>
      </w:r>
      <w:r w:rsidR="00FC7834" w:rsidRPr="007870ED">
        <w:rPr>
          <w:rStyle w:val="FootnoteReference"/>
          <w:rFonts w:eastAsia="Calibri"/>
          <w:b/>
          <w:i/>
          <w:noProof/>
          <w:szCs w:val="22"/>
          <w:lang w:eastAsia="en-US"/>
        </w:rPr>
        <w:footnoteReference w:customMarkFollows="1" w:id="19"/>
        <w:sym w:font="Symbol" w:char="F02B"/>
      </w:r>
      <w:r w:rsidRPr="007870ED">
        <w:rPr>
          <w:b/>
          <w:i/>
        </w:rPr>
        <w:t>;</w:t>
      </w:r>
    </w:p>
    <w:p w:rsidR="0015189C" w:rsidRPr="007870ED" w:rsidRDefault="0015189C" w:rsidP="0015189C">
      <w:pPr>
        <w:widowControl/>
        <w:spacing w:before="120" w:after="120"/>
        <w:ind w:left="1418" w:hanging="567"/>
        <w:jc w:val="both"/>
        <w:rPr>
          <w:rFonts w:eastAsia="Calibri"/>
          <w:b/>
          <w:i/>
          <w:noProof/>
          <w:szCs w:val="22"/>
        </w:rPr>
      </w:pPr>
      <w:r w:rsidRPr="007870ED">
        <w:rPr>
          <w:b/>
          <w:i/>
        </w:rPr>
        <w:t xml:space="preserve">g) </w:t>
      </w:r>
      <w:r w:rsidRPr="007870ED">
        <w:rPr>
          <w:b/>
          <w:i/>
        </w:rPr>
        <w:tab/>
        <w:t>autoriteiten zoals gedefinieerd in artikel 2, punt 1, van Richtlijn (EU) …/… van het Europees Parlement en de Raad</w:t>
      </w:r>
      <w:r w:rsidR="00FC7834" w:rsidRPr="007870ED">
        <w:rPr>
          <w:rStyle w:val="FootnoteReference"/>
          <w:rFonts w:eastAsia="Calibri"/>
          <w:b/>
          <w:i/>
          <w:noProof/>
          <w:szCs w:val="22"/>
          <w:lang w:eastAsia="en-US"/>
        </w:rPr>
        <w:footnoteReference w:customMarkFollows="1" w:id="20"/>
        <w:sym w:font="Symbol" w:char="F02B"/>
      </w:r>
      <w:r w:rsidR="00FC7834" w:rsidRPr="007870ED">
        <w:rPr>
          <w:rStyle w:val="FootnoteReference"/>
          <w:rFonts w:eastAsia="Calibri"/>
          <w:b/>
          <w:i/>
          <w:noProof/>
          <w:szCs w:val="22"/>
          <w:lang w:eastAsia="en-US"/>
        </w:rPr>
        <w:sym w:font="Symbol" w:char="F02B"/>
      </w:r>
      <w:r w:rsidRPr="007870ED">
        <w:rPr>
          <w:b/>
          <w:i/>
        </w:rPr>
        <w:t>;</w:t>
      </w:r>
    </w:p>
    <w:p w:rsidR="0015189C" w:rsidRPr="007870ED" w:rsidRDefault="0015189C" w:rsidP="0015189C">
      <w:pPr>
        <w:widowControl/>
        <w:spacing w:before="120" w:after="120"/>
        <w:ind w:left="1418" w:hanging="567"/>
        <w:jc w:val="both"/>
        <w:rPr>
          <w:rFonts w:eastAsia="Calibri"/>
          <w:b/>
          <w:i/>
          <w:noProof/>
          <w:szCs w:val="22"/>
        </w:rPr>
      </w:pPr>
      <w:r w:rsidRPr="007870ED">
        <w:rPr>
          <w:b/>
          <w:i/>
        </w:rPr>
        <w:t>h)</w:t>
      </w:r>
      <w:r w:rsidRPr="007870ED">
        <w:rPr>
          <w:b/>
          <w:i/>
        </w:rPr>
        <w:tab/>
        <w:t xml:space="preserve"> het GTM zoals gedefinieerd in artikel 2, punt 9, van Verordening (EU) nr. 1024/2013;</w:t>
      </w:r>
    </w:p>
    <w:p w:rsidR="0015189C" w:rsidRPr="007870ED" w:rsidRDefault="0015189C" w:rsidP="0015189C">
      <w:pPr>
        <w:widowControl/>
        <w:spacing w:before="120" w:after="120"/>
        <w:ind w:left="1418" w:hanging="567"/>
        <w:jc w:val="both"/>
        <w:rPr>
          <w:rFonts w:eastAsia="Calibri"/>
          <w:b/>
          <w:i/>
          <w:noProof/>
          <w:szCs w:val="22"/>
        </w:rPr>
      </w:pPr>
      <w:r w:rsidRPr="007870ED">
        <w:rPr>
          <w:b/>
          <w:i/>
        </w:rPr>
        <w:t xml:space="preserve">i) </w:t>
      </w:r>
      <w:r w:rsidRPr="007870ED">
        <w:rPr>
          <w:b/>
          <w:i/>
        </w:rPr>
        <w:tab/>
        <w:t>de GAR;</w:t>
      </w:r>
    </w:p>
    <w:p w:rsidR="0015189C" w:rsidRPr="007870ED" w:rsidRDefault="0015189C" w:rsidP="0015189C">
      <w:pPr>
        <w:widowControl/>
        <w:spacing w:before="120" w:after="120"/>
        <w:ind w:left="1418" w:hanging="567"/>
        <w:jc w:val="both"/>
        <w:rPr>
          <w:rFonts w:eastAsia="Calibri"/>
          <w:b/>
          <w:i/>
          <w:noProof/>
          <w:szCs w:val="22"/>
        </w:rPr>
      </w:pPr>
      <w:r w:rsidRPr="007870ED">
        <w:rPr>
          <w:b/>
          <w:i/>
        </w:rPr>
        <w:lastRenderedPageBreak/>
        <w:t xml:space="preserve">j) </w:t>
      </w:r>
      <w:r w:rsidRPr="007870ED">
        <w:rPr>
          <w:b/>
          <w:i/>
        </w:rPr>
        <w:tab/>
        <w:t>nationale afwikkelingsautoriteiten zoals gedefinieerd in artikel 3, punt 3, van Verordening (EU) nr. 806/2014.</w:t>
      </w:r>
    </w:p>
    <w:p w:rsidR="0015189C" w:rsidRPr="007870ED" w:rsidRDefault="0015189C" w:rsidP="0015189C">
      <w:pPr>
        <w:widowControl/>
        <w:spacing w:before="120" w:after="120"/>
        <w:ind w:left="851"/>
        <w:jc w:val="both"/>
        <w:rPr>
          <w:rFonts w:eastAsia="Calibri"/>
          <w:b/>
          <w:i/>
          <w:noProof/>
          <w:szCs w:val="22"/>
        </w:rPr>
      </w:pPr>
      <w:r w:rsidRPr="007870ED">
        <w:rPr>
          <w:b/>
          <w:i/>
        </w:rPr>
        <w:t xml:space="preserve">Voor de toepassing van dit artikel is een “financiële instelling” een financiële instelling zoals gedefinieerd in artikel 2, punt a), van Verordening (EU) nr. 1092/2010.  </w:t>
      </w:r>
    </w:p>
    <w:p w:rsidR="0015189C" w:rsidRPr="007870ED" w:rsidRDefault="0015189C" w:rsidP="0015189C">
      <w:pPr>
        <w:widowControl/>
        <w:spacing w:before="120" w:after="120"/>
        <w:ind w:left="851" w:hanging="851"/>
        <w:jc w:val="both"/>
        <w:rPr>
          <w:rFonts w:eastAsia="Calibri"/>
          <w:noProof/>
          <w:szCs w:val="22"/>
        </w:rPr>
      </w:pPr>
      <w:r w:rsidRPr="007870ED">
        <w:t xml:space="preserve">2. </w:t>
      </w:r>
      <w:r w:rsidRPr="007870ED">
        <w:rPr>
          <w:b/>
          <w:i/>
        </w:rPr>
        <w:tab/>
      </w:r>
      <w:r w:rsidRPr="007870ED">
        <w:t>Het verzoek tot uitwisseling van informatie vermeldt duidelijk de rechtsgrondslag in het Unierecht die de verzoekende autoriteit toestaat om de informatie te verkrijgen van in dat lid bedoelde financiële instellingen of andere bevoegde autoriteiten. De verzoekende autoriteit en de delende autoriteit zijn onderworpen aan het ambtsgeheim en aan bepalingen inzake gegevensbescherming die zijn vastgesteld in de artikelen 70 en 71 en in sectorale wetgeving die van toepassing is op het delen van data tussen de financiële instelling en de verzoekende autoriteit, alsmede op het delen van data tussen de financiële instelling en de delende autoriteit. De delende autoriteit stelt elke betrokken financiële instelling ▌onverwijld in kennis van dit soort informatie-uitwisseling</w:t>
      </w:r>
      <w:r w:rsidRPr="007870ED">
        <w:rPr>
          <w:b/>
          <w:bCs/>
          <w:i/>
          <w:iCs/>
        </w:rPr>
        <w:t>, tenzij de informatie is geanonimiseerd, gewijzigd, geaggregeerd of behandeld met een andere methode van openbaarmakingscontrole om vertrouwelijke informatie te beschermen</w:t>
      </w:r>
      <w:r w:rsidRPr="007870ED">
        <w:t xml:space="preserve">. </w:t>
      </w:r>
    </w:p>
    <w:p w:rsidR="0015189C" w:rsidRPr="007870ED" w:rsidRDefault="0015189C" w:rsidP="0015189C">
      <w:pPr>
        <w:widowControl/>
        <w:spacing w:before="120" w:after="120"/>
        <w:ind w:left="851" w:hanging="851"/>
        <w:jc w:val="both"/>
        <w:rPr>
          <w:rFonts w:eastAsia="Calibri"/>
          <w:noProof/>
          <w:szCs w:val="22"/>
        </w:rPr>
      </w:pPr>
      <w:r w:rsidRPr="007870ED">
        <w:t xml:space="preserve">3. </w:t>
      </w:r>
      <w:r w:rsidRPr="007870ED">
        <w:tab/>
        <w:t>De leden 1, 1 bis en 2 zijn ook van toepassing op informatie die de delende autoriteit van een financiële instelling of de andere autoriteiten heeft ontvangen en waarop de delende autoriteit vervolgens kwaliteitschecks heeft uitgevoerd of die de delende autoriteit anderszins heeft verwerkt. </w:t>
      </w:r>
    </w:p>
    <w:p w:rsidR="0015189C" w:rsidRPr="007870ED" w:rsidRDefault="0015189C" w:rsidP="0015189C">
      <w:pPr>
        <w:widowControl/>
        <w:spacing w:before="120" w:after="120"/>
        <w:ind w:left="851" w:hanging="851"/>
        <w:jc w:val="both"/>
        <w:rPr>
          <w:rFonts w:eastAsia="Calibri"/>
          <w:b/>
          <w:i/>
          <w:noProof/>
          <w:szCs w:val="22"/>
        </w:rPr>
      </w:pPr>
      <w:r w:rsidRPr="007870ED">
        <w:t xml:space="preserve">4. </w:t>
      </w:r>
      <w:r w:rsidRPr="007870ED">
        <w:tab/>
        <w:t xml:space="preserve">Voor het delen van informatie zoals bedoeld in de leden 1, </w:t>
      </w:r>
      <w:r w:rsidRPr="007870ED">
        <w:rPr>
          <w:b/>
          <w:bCs/>
          <w:i/>
          <w:iCs/>
        </w:rPr>
        <w:t>1 bis,</w:t>
      </w:r>
      <w:r w:rsidRPr="007870ED">
        <w:t xml:space="preserve"> 2 en 3 </w:t>
      </w:r>
      <w:r w:rsidRPr="007870ED">
        <w:rPr>
          <w:b/>
          <w:bCs/>
          <w:i/>
          <w:iCs/>
        </w:rPr>
        <w:t>sluiten</w:t>
      </w:r>
      <w:r w:rsidRPr="007870ED">
        <w:t xml:space="preserve"> de </w:t>
      </w:r>
      <w:r w:rsidRPr="007870ED">
        <w:rPr>
          <w:b/>
          <w:bCs/>
          <w:i/>
          <w:iCs/>
        </w:rPr>
        <w:t>Autoriteit en de andere</w:t>
      </w:r>
      <w:r w:rsidRPr="007870ED">
        <w:t xml:space="preserve"> autoriteiten memoranda van overeenstemming ▌waarin de concrete voorwaarden voor het uitwisselen van informatie zijn vastgelegd. Zij </w:t>
      </w:r>
      <w:r w:rsidRPr="007870ED">
        <w:rPr>
          <w:b/>
          <w:bCs/>
          <w:i/>
          <w:iCs/>
        </w:rPr>
        <w:t>stellen</w:t>
      </w:r>
      <w:r w:rsidRPr="007870ED">
        <w:t xml:space="preserve"> ook regelingen </w:t>
      </w:r>
      <w:r w:rsidRPr="007870ED">
        <w:rPr>
          <w:b/>
          <w:bCs/>
          <w:i/>
          <w:iCs/>
        </w:rPr>
        <w:t>vast</w:t>
      </w:r>
      <w:r w:rsidRPr="007870ED">
        <w:t xml:space="preserve"> voor het delen van middelen om die gedeelde data te verzamelen en te verwerken</w:t>
      </w:r>
      <w:r w:rsidRPr="007870ED">
        <w:rPr>
          <w:b/>
          <w:bCs/>
          <w:i/>
          <w:iCs/>
        </w:rPr>
        <w:t>, op voorwaarde dat die regelingen aan de toepasselijke regels inzake gegevensbescherming, intellectuele eigendom en het beroepsgeheim voldoen</w:t>
      </w:r>
      <w:r w:rsidRPr="007870ED">
        <w:t>.</w:t>
      </w:r>
      <w:r w:rsidRPr="007870ED">
        <w:rPr>
          <w:b/>
          <w:i/>
        </w:rPr>
        <w:t xml:space="preserve"> De memoranda van overeenstemming volgen in onderlinge overeenstemming tussen alle betrokken autoriteiten een eenvoudig en gestandaardiseerd formaat, zo nodig aangepast aan eventuele bijzondere werkwijzen bij specifieke autoriteiten. </w:t>
      </w:r>
    </w:p>
    <w:p w:rsidR="0015189C" w:rsidRPr="007870ED" w:rsidRDefault="0015189C" w:rsidP="0015189C">
      <w:pPr>
        <w:widowControl/>
        <w:spacing w:before="120" w:after="120"/>
        <w:ind w:left="851" w:hanging="851"/>
        <w:jc w:val="both"/>
        <w:rPr>
          <w:rFonts w:eastAsia="Calibri"/>
          <w:noProof/>
          <w:szCs w:val="22"/>
        </w:rPr>
      </w:pPr>
      <w:r w:rsidRPr="007870ED">
        <w:t xml:space="preserve">5. </w:t>
      </w:r>
      <w:r w:rsidRPr="007870ED">
        <w:tab/>
        <w:t xml:space="preserve">De leden 1 tot en met 4 laten de bescherming van intellectuele-eigendomsrechten onverlet en vormen geen beletsel voor of beperking van de uitwisseling van informatie tussen de </w:t>
      </w:r>
      <w:r w:rsidRPr="007870ED">
        <w:rPr>
          <w:b/>
          <w:bCs/>
          <w:i/>
          <w:iCs/>
        </w:rPr>
        <w:t>Autoriteit en de andere</w:t>
      </w:r>
      <w:r w:rsidRPr="007870ED">
        <w:t xml:space="preserve"> autoriteiten overeenkomstig bepalingen in andere Uniewetgeving. Wanneer het in dit artikel bepaalde in strijd is met bepalingen in andere Uniewetgeving die de uitwisseling van informatie tussen de </w:t>
      </w:r>
      <w:r w:rsidRPr="007870ED">
        <w:rPr>
          <w:b/>
          <w:bCs/>
          <w:i/>
          <w:iCs/>
        </w:rPr>
        <w:t>andere</w:t>
      </w:r>
      <w:r w:rsidRPr="007870ED">
        <w:t xml:space="preserve"> autoriteiten beregelt, hebben de bepalingen in die andere Uniewetgeving voorrang.</w:t>
      </w:r>
    </w:p>
    <w:p w:rsidR="0015189C" w:rsidRPr="007870ED" w:rsidRDefault="0015189C" w:rsidP="0015189C">
      <w:pPr>
        <w:widowControl/>
        <w:spacing w:before="120" w:after="120"/>
        <w:ind w:left="851" w:hanging="851"/>
        <w:jc w:val="both"/>
        <w:rPr>
          <w:rFonts w:eastAsia="Calibri"/>
          <w:noProof/>
          <w:szCs w:val="22"/>
        </w:rPr>
      </w:pPr>
      <w:r w:rsidRPr="007870ED">
        <w:t xml:space="preserve">6. </w:t>
      </w:r>
      <w:r w:rsidRPr="007870ED">
        <w:tab/>
        <w:t xml:space="preserve">Onverminderd andere verplichtingen die in Unierecht voor het delen van informatie zijn vastgelegd, kunnen de Autoriteit en de bevoegde autoriteiten, na een gemotiveerd verzoek en op individuele basis, met de Commissie ▌informatie delen die financiële instellingen krachtens hun verplichtingen uit hoofde van Unierecht bij haar hebben gerapporteerd ▌ in een vorm die geen identificatie van individuele entiteiten mogelijk maakt en geen persoonsgegevens bevat. </w:t>
      </w:r>
      <w:r w:rsidRPr="007870ED">
        <w:rPr>
          <w:b/>
          <w:i/>
        </w:rPr>
        <w:t>De autoriteiten die dergelijke informatie hebben verstrekt, worden naar behoren geïnformeerd over de uitwisseling die heeft plaatsgevonden.</w:t>
      </w:r>
    </w:p>
    <w:p w:rsidR="0015189C" w:rsidRPr="007870ED" w:rsidRDefault="0015189C" w:rsidP="0015189C">
      <w:pPr>
        <w:widowControl/>
        <w:spacing w:before="120" w:after="120"/>
        <w:ind w:left="851" w:hanging="851"/>
        <w:jc w:val="both"/>
        <w:rPr>
          <w:rFonts w:eastAsia="Calibri"/>
          <w:noProof/>
          <w:szCs w:val="22"/>
        </w:rPr>
      </w:pPr>
      <w:r w:rsidRPr="007870ED">
        <w:t xml:space="preserve">7. </w:t>
      </w:r>
      <w:r w:rsidRPr="007870ED">
        <w:tab/>
        <w:t xml:space="preserve">De Autoriteit en de bevoegde autoriteiten kunnen, voor onderzoeks- en innovatiedoeleinden, tot bij de uitvoering van hun taken verkregen informatie toegang verlenen voor hergebruik door financiële instellingen, onderzoekers en andere </w:t>
      </w:r>
      <w:r w:rsidRPr="007870ED">
        <w:lastRenderedPageBreak/>
        <w:t xml:space="preserve">entiteiten die een rechtmatig belang bij die informatie hebben, op voorwaarde dat de Autoriteit zich ervan vergewist heeft dat alle volgende punten in acht zijn genomen: </w:t>
      </w:r>
    </w:p>
    <w:p w:rsidR="0015189C" w:rsidRPr="007870ED" w:rsidRDefault="0015189C" w:rsidP="0015189C">
      <w:pPr>
        <w:widowControl/>
        <w:spacing w:before="120" w:after="120"/>
        <w:ind w:left="1418" w:hanging="567"/>
        <w:jc w:val="both"/>
        <w:rPr>
          <w:rFonts w:eastAsia="Calibri"/>
          <w:noProof/>
          <w:szCs w:val="22"/>
        </w:rPr>
      </w:pPr>
      <w:r w:rsidRPr="007870ED">
        <w:t xml:space="preserve">a) </w:t>
      </w:r>
      <w:r w:rsidRPr="007870ED">
        <w:rPr>
          <w:b/>
          <w:i/>
        </w:rPr>
        <w:tab/>
      </w:r>
      <w:r w:rsidRPr="007870ED">
        <w:t>de informatie is zodanig geanonimiseerd dat het datasubject of de financiële instelling niet of niet meer kan worden geïdentificeerd;</w:t>
      </w:r>
    </w:p>
    <w:p w:rsidR="0015189C" w:rsidRPr="007870ED" w:rsidRDefault="0015189C" w:rsidP="0015189C">
      <w:pPr>
        <w:widowControl/>
        <w:spacing w:before="120" w:after="120"/>
        <w:ind w:left="1418" w:hanging="567"/>
        <w:jc w:val="both"/>
        <w:rPr>
          <w:rFonts w:eastAsia="Calibri"/>
          <w:noProof/>
          <w:szCs w:val="22"/>
        </w:rPr>
      </w:pPr>
      <w:r w:rsidRPr="007870ED">
        <w:t>b)</w:t>
      </w:r>
      <w:r w:rsidRPr="007870ED">
        <w:rPr>
          <w:b/>
          <w:i/>
        </w:rPr>
        <w:tab/>
      </w:r>
      <w:r w:rsidRPr="007870ED">
        <w:t xml:space="preserve"> de informatie is gewijzigd, geaggregeerd of behandeld volgens een andere methode om de openbaarmaking ervan te controleren, zodat vertrouwelijke informatie, met inbegrip van bedrijfsgeheimen of door intellectuele-eigendomsrechten beschermde inhoud, beschermd is</w:t>
      </w:r>
      <w:r w:rsidRPr="007870ED">
        <w:rPr>
          <w:b/>
          <w:bCs/>
          <w:i/>
          <w:iCs/>
        </w:rPr>
        <w:t>;</w:t>
      </w:r>
    </w:p>
    <w:p w:rsidR="0015189C" w:rsidRPr="007870ED" w:rsidRDefault="0015189C" w:rsidP="0015189C">
      <w:pPr>
        <w:widowControl/>
        <w:spacing w:before="120" w:after="120"/>
        <w:ind w:left="1418" w:hanging="567"/>
        <w:jc w:val="both"/>
        <w:rPr>
          <w:rFonts w:eastAsia="Calibri"/>
          <w:noProof/>
          <w:szCs w:val="22"/>
        </w:rPr>
      </w:pPr>
      <w:r w:rsidRPr="007870ED">
        <w:rPr>
          <w:b/>
          <w:i/>
        </w:rPr>
        <w:t>c)</w:t>
      </w:r>
      <w:r w:rsidRPr="007870ED">
        <w:rPr>
          <w:b/>
          <w:i/>
        </w:rPr>
        <w:tab/>
      </w:r>
      <w:r w:rsidRPr="007870ED">
        <w:rPr>
          <w:b/>
          <w:bCs/>
          <w:i/>
          <w:iCs/>
        </w:rPr>
        <w:t>de partijen waaraan toegang is verleend, hebben aangetoond dat zij de nodige technische middelen hebben om vertrouwelijke informatie te beschermen, d.w.z. dat zij over instrumenten beschikken die de bescherming van de privacy en de vertrouwelijkheid volledig kunnen garanderen.</w:t>
      </w:r>
    </w:p>
    <w:p w:rsidR="0015189C" w:rsidRPr="007870ED" w:rsidRDefault="0015189C" w:rsidP="0015189C">
      <w:pPr>
        <w:widowControl/>
        <w:spacing w:before="120" w:after="120"/>
        <w:ind w:left="851"/>
        <w:jc w:val="both"/>
        <w:rPr>
          <w:noProof/>
          <w:szCs w:val="22"/>
        </w:rPr>
      </w:pPr>
      <w:r w:rsidRPr="007870ED">
        <w:t xml:space="preserve">Informatie die van een andere autoriteit is ontvangen, wordt alleen </w:t>
      </w:r>
      <w:r w:rsidRPr="007870ED">
        <w:rPr>
          <w:b/>
          <w:bCs/>
          <w:i/>
          <w:iCs/>
        </w:rPr>
        <w:t>op deze basis</w:t>
      </w:r>
      <w:r w:rsidRPr="007870ED">
        <w:t xml:space="preserve"> gedeeld met de instemming van de autoriteit die de informati</w:t>
      </w:r>
      <w:r w:rsidR="00F942BB" w:rsidRPr="007870ED">
        <w:t>e aanvankelijk heeft verkregen.</w:t>
      </w:r>
    </w:p>
    <w:p w:rsidR="0015189C" w:rsidRPr="007870ED" w:rsidRDefault="0015189C" w:rsidP="0015189C">
      <w:pPr>
        <w:widowControl/>
        <w:spacing w:before="120" w:after="120"/>
        <w:ind w:left="851" w:hanging="851"/>
        <w:jc w:val="both"/>
        <w:rPr>
          <w:rFonts w:eastAsia="Calibri"/>
          <w:b/>
          <w:i/>
          <w:noProof/>
          <w:szCs w:val="22"/>
        </w:rPr>
      </w:pPr>
      <w:r w:rsidRPr="007870ED">
        <w:rPr>
          <w:b/>
          <w:i/>
        </w:rPr>
        <w:t>7 bis.</w:t>
      </w:r>
      <w:r w:rsidRPr="007870ED">
        <w:rPr>
          <w:b/>
          <w:i/>
        </w:rPr>
        <w:tab/>
        <w:t>De Autoriteit en de bevoegde autoriteiten brengen uiterlijk op ... [1 jaar na de datum van inwerkingtreding van deze wijzigingsverordening] aan de Commissie verslag uit over alle juridische hinderpalen in sectorale regelgeving die hen op enigerlei wijze verhinderen informatie uit te wisselen met andere autoriteiten of met andere entiteiten. Het verslag kan ook niet-materiële, achterhaalde, dubbele of anderszins irrelevante verslaggevingsvereisten bevatten, evenals suggesties om de consistentie tussen de verslaggevingsvereisten van financiële en niet-financiële ondernemingen te waarborgen.</w:t>
      </w:r>
    </w:p>
    <w:p w:rsidR="0015189C" w:rsidRPr="007870ED" w:rsidRDefault="0015189C" w:rsidP="0015189C">
      <w:pPr>
        <w:widowControl/>
        <w:spacing w:before="120" w:after="120"/>
        <w:ind w:left="851"/>
        <w:jc w:val="both"/>
        <w:rPr>
          <w:rFonts w:eastAsia="Calibri"/>
          <w:noProof/>
          <w:szCs w:val="22"/>
        </w:rPr>
      </w:pPr>
      <w:r w:rsidRPr="007870ED">
        <w:rPr>
          <w:b/>
          <w:bCs/>
          <w:i/>
          <w:iCs/>
        </w:rPr>
        <w:t>Op basis van dat verslag en terdege rekening houdend met de bescherming van intellectuele-eigendomsrechten, het ambtsgeheim en gegevensbescherming, dient de Commissie zo nodig uiterlijk op ... [2 jaar na de datum van inwerkingtreding van deze wijzigingsverordening] bij het Europees Parlement en de Raad een wetgevingsvoorstel in om die juridische hinderpalen in sectorale wetgeving weg te nemen teneinde de uitwisseling van informatie tussen autoriteiten en met andere entiteiten te bevorderen.”</w:t>
      </w:r>
      <w:r w:rsidRPr="007870ED">
        <w:t>. </w:t>
      </w:r>
    </w:p>
    <w:p w:rsidR="0015189C" w:rsidRPr="007870ED" w:rsidRDefault="0015189C" w:rsidP="00F942BB">
      <w:pPr>
        <w:widowControl/>
        <w:spacing w:before="120" w:after="120"/>
        <w:jc w:val="both"/>
        <w:rPr>
          <w:rFonts w:eastAsia="Calibri"/>
          <w:b/>
          <w:i/>
          <w:szCs w:val="22"/>
        </w:rPr>
      </w:pPr>
      <w:r w:rsidRPr="007870ED">
        <w:rPr>
          <w:b/>
          <w:i/>
        </w:rPr>
        <w:t>4 bis.</w:t>
      </w:r>
      <w:r w:rsidRPr="007870ED">
        <w:rPr>
          <w:b/>
          <w:i/>
        </w:rPr>
        <w:tab/>
        <w:t>Het volgende artikel wordt ingevoegd:</w:t>
      </w:r>
    </w:p>
    <w:p w:rsidR="0015189C" w:rsidRPr="007870ED" w:rsidRDefault="0015189C" w:rsidP="0015189C">
      <w:pPr>
        <w:widowControl/>
        <w:spacing w:before="120" w:after="120"/>
        <w:ind w:left="851"/>
        <w:rPr>
          <w:rFonts w:eastAsia="Calibri"/>
          <w:b/>
          <w:i/>
          <w:noProof/>
          <w:szCs w:val="22"/>
        </w:rPr>
      </w:pPr>
      <w:r w:rsidRPr="007870ED">
        <w:rPr>
          <w:b/>
          <w:i/>
        </w:rPr>
        <w:t>“Artikel 35 ter</w:t>
      </w:r>
    </w:p>
    <w:p w:rsidR="0015189C" w:rsidRPr="007870ED" w:rsidRDefault="0015189C" w:rsidP="0015189C">
      <w:pPr>
        <w:widowControl/>
        <w:spacing w:before="120" w:after="120"/>
        <w:ind w:left="851"/>
        <w:rPr>
          <w:rFonts w:eastAsia="Calibri"/>
          <w:b/>
          <w:i/>
          <w:noProof/>
          <w:szCs w:val="22"/>
        </w:rPr>
      </w:pPr>
      <w:r w:rsidRPr="007870ED">
        <w:rPr>
          <w:b/>
          <w:i/>
        </w:rPr>
        <w:t>Instelling van een gemeenschappelijk geïntegreerd rapportagesysteem</w:t>
      </w:r>
    </w:p>
    <w:p w:rsidR="0015189C" w:rsidRPr="007870ED" w:rsidRDefault="0015189C" w:rsidP="0015189C">
      <w:pPr>
        <w:widowControl/>
        <w:spacing w:before="120" w:after="120"/>
        <w:ind w:left="851"/>
        <w:jc w:val="both"/>
        <w:rPr>
          <w:rFonts w:eastAsia="Calibri"/>
          <w:b/>
          <w:i/>
          <w:noProof/>
          <w:szCs w:val="22"/>
        </w:rPr>
      </w:pPr>
      <w:r w:rsidRPr="007870ED">
        <w:rPr>
          <w:b/>
          <w:i/>
        </w:rPr>
        <w:t xml:space="preserve">1. </w:t>
      </w:r>
      <w:r w:rsidRPr="007870ED">
        <w:rPr>
          <w:b/>
          <w:i/>
        </w:rPr>
        <w:tab/>
        <w:t xml:space="preserve">Uiterlijk op ... [2 jaar na de datum van inwerkingtreding van deze wijzigingsverordening] stelt de Autoriteit, in nauwe samenwerking met de andere autoriteiten en het ESCB, een verslag over de technische details van de instelling van een gemeenschappelijk geïntegreerd rapportagesysteem alsook een routekaart op, op basis van de werkzaamheden met het oog op de integratie van de rapportage door de </w:t>
      </w:r>
      <w:proofErr w:type="spellStart"/>
      <w:r w:rsidRPr="007870ED">
        <w:rPr>
          <w:b/>
          <w:i/>
        </w:rPr>
        <w:t>ETA’s</w:t>
      </w:r>
      <w:proofErr w:type="spellEnd"/>
      <w:r w:rsidRPr="007870ED">
        <w:rPr>
          <w:b/>
          <w:i/>
        </w:rPr>
        <w:t xml:space="preserve"> in hun sectoren, met een kosten-batenanalyse. Ten behoeve van dat verslag omvat het geïntegreerde rapportagesysteem:</w:t>
      </w:r>
    </w:p>
    <w:p w:rsidR="0015189C" w:rsidRPr="007870ED" w:rsidRDefault="0015189C" w:rsidP="0015189C">
      <w:pPr>
        <w:widowControl/>
        <w:spacing w:before="120" w:after="120"/>
        <w:ind w:left="1418" w:hanging="567"/>
        <w:jc w:val="both"/>
        <w:rPr>
          <w:rFonts w:eastAsia="Calibri"/>
          <w:b/>
          <w:i/>
          <w:noProof/>
          <w:szCs w:val="22"/>
        </w:rPr>
      </w:pPr>
      <w:r w:rsidRPr="007870ED">
        <w:rPr>
          <w:b/>
          <w:i/>
        </w:rPr>
        <w:t xml:space="preserve">a) </w:t>
      </w:r>
      <w:r w:rsidRPr="007870ED">
        <w:rPr>
          <w:b/>
          <w:i/>
        </w:rPr>
        <w:tab/>
        <w:t xml:space="preserve">een gemeenschappelijke data </w:t>
      </w:r>
      <w:proofErr w:type="spellStart"/>
      <w:r w:rsidRPr="007870ED">
        <w:rPr>
          <w:b/>
          <w:i/>
        </w:rPr>
        <w:t>dictionary</w:t>
      </w:r>
      <w:proofErr w:type="spellEnd"/>
      <w:r w:rsidRPr="007870ED">
        <w:rPr>
          <w:b/>
          <w:i/>
        </w:rPr>
        <w:t xml:space="preserve"> om de consistentie en duidelijkheid van de rapportagevereisten en de standaardisering van de gegevens te waarborgen;</w:t>
      </w:r>
    </w:p>
    <w:p w:rsidR="0015189C" w:rsidRPr="007870ED" w:rsidRDefault="0015189C" w:rsidP="0015189C">
      <w:pPr>
        <w:widowControl/>
        <w:spacing w:before="120" w:after="120"/>
        <w:ind w:left="1418" w:hanging="567"/>
        <w:jc w:val="both"/>
        <w:rPr>
          <w:rFonts w:eastAsia="Calibri"/>
          <w:b/>
          <w:i/>
          <w:noProof/>
          <w:szCs w:val="22"/>
        </w:rPr>
      </w:pPr>
      <w:r w:rsidRPr="007870ED">
        <w:rPr>
          <w:b/>
          <w:i/>
        </w:rPr>
        <w:t xml:space="preserve">b) </w:t>
      </w:r>
      <w:r w:rsidRPr="007870ED">
        <w:rPr>
          <w:b/>
          <w:i/>
        </w:rPr>
        <w:tab/>
        <w:t>een gezamenlijk register van rapportage- en openbaarmakingsvereisten, van de beschrijvingen van de verzamelde gegevens en van de autoriteiten die deze gegevens hebben;</w:t>
      </w:r>
    </w:p>
    <w:p w:rsidR="0015189C" w:rsidRPr="007870ED" w:rsidRDefault="0015189C" w:rsidP="0015189C">
      <w:pPr>
        <w:widowControl/>
        <w:spacing w:before="120" w:after="120"/>
        <w:ind w:left="1418" w:hanging="567"/>
        <w:jc w:val="both"/>
        <w:rPr>
          <w:rFonts w:eastAsia="Calibri"/>
          <w:b/>
          <w:i/>
          <w:noProof/>
          <w:szCs w:val="22"/>
        </w:rPr>
      </w:pPr>
      <w:r w:rsidRPr="007870ED">
        <w:rPr>
          <w:b/>
          <w:i/>
        </w:rPr>
        <w:lastRenderedPageBreak/>
        <w:t xml:space="preserve">c) </w:t>
      </w:r>
      <w:r w:rsidRPr="007870ED">
        <w:rPr>
          <w:b/>
          <w:i/>
        </w:rPr>
        <w:tab/>
        <w:t>een centrale gegevensruimte, met inbegrip van het technische ontwerp voor het verzamelen en uitwisselen van de informatie; en</w:t>
      </w:r>
    </w:p>
    <w:p w:rsidR="0015189C" w:rsidRPr="007870ED" w:rsidRDefault="0015189C" w:rsidP="0015189C">
      <w:pPr>
        <w:widowControl/>
        <w:spacing w:before="120" w:after="120"/>
        <w:ind w:left="1418" w:hanging="567"/>
        <w:jc w:val="both"/>
        <w:rPr>
          <w:rFonts w:eastAsia="Calibri"/>
          <w:b/>
          <w:i/>
          <w:noProof/>
          <w:szCs w:val="22"/>
        </w:rPr>
      </w:pPr>
      <w:r w:rsidRPr="007870ED">
        <w:rPr>
          <w:b/>
          <w:i/>
        </w:rPr>
        <w:t xml:space="preserve">d) </w:t>
      </w:r>
      <w:r w:rsidRPr="007870ED">
        <w:rPr>
          <w:b/>
          <w:i/>
        </w:rPr>
        <w:tab/>
        <w:t>een permanent centraal contactpunt waar entiteiten gevallen van dubbele rapportage en overbodige of achterhaalde rapportage- of openbaarmakingsvereisten kunnen melden.</w:t>
      </w:r>
    </w:p>
    <w:p w:rsidR="0015189C" w:rsidRPr="007870ED" w:rsidRDefault="0015189C" w:rsidP="0015189C">
      <w:pPr>
        <w:widowControl/>
        <w:spacing w:before="120" w:after="120"/>
        <w:ind w:left="851"/>
        <w:jc w:val="both"/>
        <w:rPr>
          <w:rFonts w:eastAsia="Calibri"/>
          <w:b/>
          <w:i/>
          <w:noProof/>
          <w:szCs w:val="22"/>
        </w:rPr>
      </w:pPr>
      <w:r w:rsidRPr="007870ED">
        <w:rPr>
          <w:b/>
          <w:i/>
        </w:rPr>
        <w:t xml:space="preserve">In nauwe samenwerking met de Commissie gaat het verslag vergezeld van een raming van de totale financiële gevolgen. </w:t>
      </w:r>
    </w:p>
    <w:p w:rsidR="0015189C" w:rsidRPr="007870ED" w:rsidRDefault="0015189C" w:rsidP="0015189C">
      <w:pPr>
        <w:widowControl/>
        <w:spacing w:before="120" w:after="120"/>
        <w:ind w:left="851"/>
        <w:jc w:val="both"/>
        <w:rPr>
          <w:rFonts w:eastAsia="Calibri"/>
          <w:b/>
          <w:i/>
          <w:noProof/>
          <w:szCs w:val="22"/>
        </w:rPr>
      </w:pPr>
      <w:r w:rsidRPr="007870ED">
        <w:rPr>
          <w:b/>
          <w:i/>
        </w:rPr>
        <w:t xml:space="preserve">Uiterlijk op ... [3 jaar na de datum van inwerkingtreding van deze wijzigingsverordening] dient de Commissie zo nodig bij het Europees Parlement en de Raad een wetgevingsvoorstel in om te zorgen voor de nodige financiële, personele en IT-middelen voor de instelling van het gemeenschappelijke geïntegreerde rapportagesysteem. </w:t>
      </w:r>
    </w:p>
    <w:p w:rsidR="0015189C" w:rsidRPr="007870ED" w:rsidRDefault="0015189C" w:rsidP="0015189C">
      <w:pPr>
        <w:widowControl/>
        <w:spacing w:before="120" w:after="120"/>
        <w:ind w:left="851"/>
        <w:jc w:val="both"/>
        <w:rPr>
          <w:rFonts w:eastAsia="Calibri"/>
          <w:b/>
          <w:i/>
          <w:noProof/>
          <w:szCs w:val="22"/>
        </w:rPr>
      </w:pPr>
      <w:r w:rsidRPr="007870ED">
        <w:rPr>
          <w:b/>
          <w:i/>
        </w:rPr>
        <w:t>Uiterlijk op ... [3 jaar na de datum van inwerkingtreding van deze wijzigingsverordening] stelt de Autoriteit samen met de andere autoriteiten het gemeenschappelijke geïntegreerde rapportagesysteem in.”</w:t>
      </w:r>
      <w:r w:rsidR="00F942BB" w:rsidRPr="007870ED">
        <w:rPr>
          <w:b/>
          <w:i/>
        </w:rPr>
        <w:t>;</w:t>
      </w:r>
    </w:p>
    <w:p w:rsidR="0015189C" w:rsidRPr="007870ED" w:rsidRDefault="0015189C" w:rsidP="00F942BB">
      <w:pPr>
        <w:widowControl/>
        <w:spacing w:before="120" w:after="120"/>
        <w:jc w:val="both"/>
        <w:rPr>
          <w:rFonts w:eastAsia="Calibri"/>
          <w:b/>
          <w:i/>
          <w:szCs w:val="22"/>
        </w:rPr>
      </w:pPr>
      <w:r w:rsidRPr="007870ED">
        <w:rPr>
          <w:b/>
          <w:i/>
        </w:rPr>
        <w:t>4 ter.</w:t>
      </w:r>
      <w:r w:rsidRPr="007870ED">
        <w:rPr>
          <w:b/>
          <w:i/>
        </w:rPr>
        <w:tab/>
        <w:t>In artikel 36 wordt lid 2 vervangen door:</w:t>
      </w:r>
    </w:p>
    <w:p w:rsidR="0015189C" w:rsidRPr="007870ED" w:rsidRDefault="00F942BB" w:rsidP="0015189C">
      <w:pPr>
        <w:widowControl/>
        <w:spacing w:before="120" w:after="120"/>
        <w:ind w:left="1985" w:hanging="567"/>
        <w:jc w:val="both"/>
        <w:rPr>
          <w:rFonts w:eastAsia="Calibri"/>
          <w:b/>
          <w:i/>
          <w:noProof/>
          <w:szCs w:val="22"/>
        </w:rPr>
      </w:pPr>
      <w:r w:rsidRPr="007870ED">
        <w:t>“</w:t>
      </w:r>
      <w:r w:rsidR="0015189C" w:rsidRPr="007870ED">
        <w:t xml:space="preserve">2. </w:t>
      </w:r>
      <w:r w:rsidR="0015189C" w:rsidRPr="007870ED">
        <w:rPr>
          <w:b/>
          <w:i/>
        </w:rPr>
        <w:tab/>
        <w:t>De Autoriteit werkt, samen met het Europees Stelsel van centrale banken (ESCB), de Commissie, de nationale bevoegde autoriteiten en de nationale statistische autoriteiten, nauw samen met het ESRB door de informatie en analysen te delen die nodig zijn voor de vervulling van hun taken.</w:t>
      </w:r>
    </w:p>
    <w:p w:rsidR="0015189C" w:rsidRPr="007870ED" w:rsidRDefault="0015189C" w:rsidP="0015189C">
      <w:pPr>
        <w:widowControl/>
        <w:spacing w:before="120" w:after="120"/>
        <w:ind w:left="1985"/>
        <w:jc w:val="both"/>
        <w:rPr>
          <w:rFonts w:eastAsia="Calibri"/>
          <w:b/>
          <w:i/>
          <w:noProof/>
          <w:szCs w:val="22"/>
        </w:rPr>
      </w:pPr>
      <w:r w:rsidRPr="007870ED">
        <w:rPr>
          <w:b/>
          <w:i/>
        </w:rPr>
        <w:t>De Autoriteit coördineert, samen met het ESRB en de ECB, haar inspanningen om systeemrisico’s voor de financiële stabiliteit op te sporen, te monitoren, te voorkomen en te beperken.</w:t>
      </w:r>
    </w:p>
    <w:p w:rsidR="0015189C" w:rsidRPr="007870ED" w:rsidRDefault="0015189C" w:rsidP="0015189C">
      <w:pPr>
        <w:widowControl/>
        <w:spacing w:before="120" w:after="120"/>
        <w:ind w:left="1985"/>
        <w:jc w:val="both"/>
        <w:rPr>
          <w:rFonts w:eastAsia="Calibri"/>
          <w:b/>
          <w:i/>
          <w:noProof/>
          <w:szCs w:val="22"/>
        </w:rPr>
      </w:pPr>
      <w:r w:rsidRPr="007870ED">
        <w:rPr>
          <w:b/>
          <w:i/>
        </w:rPr>
        <w:t>De Autoriteit voldoet, overeenkomstig artikel 15, leden 1 tot en met 5, van Verordening (EU) nr. 1092/2010, aan de vastgestelde bepalingen inzake het delen van gegevens.</w:t>
      </w:r>
    </w:p>
    <w:p w:rsidR="0015189C" w:rsidRPr="007870ED" w:rsidRDefault="0015189C" w:rsidP="0015189C">
      <w:pPr>
        <w:widowControl/>
        <w:spacing w:before="120" w:after="120"/>
        <w:ind w:left="1985"/>
        <w:jc w:val="both"/>
        <w:rPr>
          <w:rFonts w:eastAsia="Calibri"/>
          <w:b/>
          <w:i/>
          <w:noProof/>
          <w:szCs w:val="22"/>
        </w:rPr>
      </w:pPr>
      <w:r w:rsidRPr="007870ED">
        <w:rPr>
          <w:b/>
          <w:i/>
        </w:rPr>
        <w:t>De Autoriteit beschikt, in samenwerking met het ESRB, over adequate interne procedures voor de verzending van vertrouwelijke informatie, met name informatie betreffende individuele financiële instellingen.</w:t>
      </w:r>
      <w:r w:rsidR="00F942BB" w:rsidRPr="007870ED">
        <w:rPr>
          <w:b/>
          <w:i/>
        </w:rPr>
        <w:t>”;</w:t>
      </w:r>
    </w:p>
    <w:p w:rsidR="0015189C" w:rsidRPr="007870ED" w:rsidRDefault="0015189C" w:rsidP="00F942BB">
      <w:pPr>
        <w:widowControl/>
        <w:spacing w:before="120" w:after="120"/>
        <w:jc w:val="both"/>
        <w:rPr>
          <w:rFonts w:eastAsia="Calibri"/>
          <w:noProof/>
          <w:szCs w:val="22"/>
        </w:rPr>
      </w:pPr>
      <w:r w:rsidRPr="007870ED">
        <w:t>5.</w:t>
      </w:r>
      <w:r w:rsidRPr="007870ED">
        <w:tab/>
        <w:t>Aan artikel 54, lid 2, wordt het volgende streepje toegevoegd: </w:t>
      </w:r>
    </w:p>
    <w:p w:rsidR="0015189C" w:rsidRPr="007870ED" w:rsidRDefault="0015189C" w:rsidP="00F942BB">
      <w:pPr>
        <w:widowControl/>
        <w:spacing w:before="120" w:after="120"/>
        <w:ind w:left="1418" w:hanging="567"/>
        <w:jc w:val="both"/>
        <w:rPr>
          <w:rFonts w:eastAsia="Calibri"/>
          <w:noProof/>
          <w:szCs w:val="22"/>
        </w:rPr>
      </w:pPr>
      <w:r w:rsidRPr="007870ED">
        <w:t xml:space="preserve">“– </w:t>
      </w:r>
      <w:r w:rsidRPr="007870ED">
        <w:rPr>
          <w:b/>
          <w:bCs/>
          <w:i/>
          <w:iCs/>
        </w:rPr>
        <w:t>rapportage- en openbaarmakingsvereisten</w:t>
      </w:r>
      <w:r w:rsidRPr="007870ED">
        <w:t xml:space="preserve"> en het verzamelen en verspreiden van informatie bij financiële instellingen.”. </w:t>
      </w:r>
    </w:p>
    <w:p w:rsidR="0015189C" w:rsidRPr="007870ED" w:rsidRDefault="0015189C" w:rsidP="00F942BB">
      <w:pPr>
        <w:widowControl/>
        <w:spacing w:before="120" w:after="120"/>
        <w:jc w:val="both"/>
        <w:rPr>
          <w:rFonts w:eastAsia="Calibri"/>
          <w:noProof/>
          <w:szCs w:val="22"/>
        </w:rPr>
      </w:pPr>
      <w:r w:rsidRPr="007870ED">
        <w:t>6.</w:t>
      </w:r>
      <w:r w:rsidRPr="007870ED">
        <w:tab/>
        <w:t>In artikel 70 wordt lid 3 vervangen door: </w:t>
      </w:r>
    </w:p>
    <w:p w:rsidR="0015189C" w:rsidRPr="007870ED" w:rsidRDefault="0015189C" w:rsidP="00F942BB">
      <w:pPr>
        <w:widowControl/>
        <w:spacing w:before="120" w:after="120"/>
        <w:ind w:left="1418" w:hanging="567"/>
        <w:jc w:val="both"/>
        <w:rPr>
          <w:rFonts w:eastAsia="Calibri"/>
          <w:szCs w:val="24"/>
        </w:rPr>
      </w:pPr>
      <w:r w:rsidRPr="007870ED">
        <w:t xml:space="preserve">“3. </w:t>
      </w:r>
      <w:r w:rsidRPr="007870ED">
        <w:rPr>
          <w:b/>
          <w:i/>
        </w:rPr>
        <w:tab/>
      </w:r>
      <w:r w:rsidRPr="007870ED">
        <w:t xml:space="preserve">De leden 1 en 2 staan er niet aan in de weg dat de Autoriteit informatie uitwisselt met </w:t>
      </w:r>
      <w:r w:rsidRPr="007870ED">
        <w:rPr>
          <w:b/>
          <w:bCs/>
          <w:i/>
          <w:iCs/>
        </w:rPr>
        <w:t>de andere</w:t>
      </w:r>
      <w:r w:rsidRPr="007870ED">
        <w:t xml:space="preserve"> autoriteiten </w:t>
      </w:r>
      <w:r w:rsidRPr="007870ED">
        <w:rPr>
          <w:b/>
          <w:bCs/>
          <w:i/>
          <w:iCs/>
        </w:rPr>
        <w:t>als bedoeld in artikel 35 bis, lid 1 ter,</w:t>
      </w:r>
      <w:r w:rsidRPr="007870ED">
        <w:t xml:space="preserve"> overeenkomstig deze verordening en overeenkomstig andere Uniewetgeving die op </w:t>
      </w:r>
      <w:proofErr w:type="spellStart"/>
      <w:r w:rsidRPr="007870ED">
        <w:t>financiëlemarktdeelenemers</w:t>
      </w:r>
      <w:proofErr w:type="spellEnd"/>
      <w:r w:rsidRPr="007870ED">
        <w:t xml:space="preserve"> van toepassing is.”. </w:t>
      </w:r>
    </w:p>
    <w:p w:rsidR="0015189C" w:rsidRPr="007870ED" w:rsidRDefault="0015189C" w:rsidP="0015189C">
      <w:pPr>
        <w:keepNext/>
        <w:widowControl/>
        <w:spacing w:before="360" w:after="120"/>
        <w:jc w:val="center"/>
        <w:rPr>
          <w:rFonts w:eastAsia="Calibri"/>
          <w:b/>
          <w:i/>
          <w:noProof/>
          <w:szCs w:val="22"/>
        </w:rPr>
      </w:pPr>
      <w:r w:rsidRPr="007870ED">
        <w:rPr>
          <w:b/>
          <w:i/>
        </w:rPr>
        <w:t>Artikel 4 bis</w:t>
      </w:r>
    </w:p>
    <w:p w:rsidR="0015189C" w:rsidRPr="007870ED" w:rsidRDefault="0015189C" w:rsidP="0015189C">
      <w:pPr>
        <w:widowControl/>
        <w:spacing w:before="120" w:after="120"/>
        <w:jc w:val="center"/>
        <w:rPr>
          <w:rFonts w:eastAsia="Calibri"/>
          <w:b/>
          <w:bCs/>
          <w:i/>
          <w:noProof/>
          <w:szCs w:val="22"/>
        </w:rPr>
      </w:pPr>
      <w:r w:rsidRPr="007870ED">
        <w:rPr>
          <w:b/>
          <w:i/>
        </w:rPr>
        <w:t>Wijzigingen van Verordening (EU) nr. 806/2014</w:t>
      </w:r>
    </w:p>
    <w:p w:rsidR="0015189C" w:rsidRPr="007870ED" w:rsidRDefault="005B0F97" w:rsidP="005B0F97">
      <w:pPr>
        <w:widowControl/>
        <w:spacing w:before="120" w:after="120"/>
        <w:jc w:val="both"/>
        <w:rPr>
          <w:rFonts w:eastAsia="Calibri"/>
          <w:b/>
          <w:i/>
          <w:szCs w:val="22"/>
        </w:rPr>
      </w:pPr>
      <w:r w:rsidRPr="007870ED">
        <w:rPr>
          <w:b/>
          <w:i/>
        </w:rPr>
        <w:t xml:space="preserve">In </w:t>
      </w:r>
      <w:r w:rsidR="0015189C" w:rsidRPr="007870ED">
        <w:rPr>
          <w:b/>
          <w:i/>
        </w:rPr>
        <w:t xml:space="preserve">Verordening (EU) nr. 806/2014 </w:t>
      </w:r>
      <w:r w:rsidRPr="007870ED">
        <w:rPr>
          <w:b/>
          <w:i/>
        </w:rPr>
        <w:t>worden de volgende artikelen ingevoegd</w:t>
      </w:r>
      <w:r w:rsidR="0015189C" w:rsidRPr="007870ED">
        <w:rPr>
          <w:b/>
          <w:i/>
        </w:rPr>
        <w:t>:</w:t>
      </w:r>
    </w:p>
    <w:p w:rsidR="0015189C" w:rsidRPr="007870ED" w:rsidRDefault="0015189C" w:rsidP="0015189C">
      <w:pPr>
        <w:widowControl/>
        <w:spacing w:before="120" w:after="120"/>
        <w:rPr>
          <w:rFonts w:eastAsia="Calibri"/>
          <w:b/>
          <w:i/>
          <w:noProof/>
          <w:szCs w:val="22"/>
        </w:rPr>
      </w:pPr>
      <w:r w:rsidRPr="007870ED">
        <w:rPr>
          <w:b/>
          <w:i/>
        </w:rPr>
        <w:t>“Artikel 34 bis</w:t>
      </w:r>
    </w:p>
    <w:p w:rsidR="0015189C" w:rsidRPr="007870ED" w:rsidRDefault="0015189C" w:rsidP="0015189C">
      <w:pPr>
        <w:widowControl/>
        <w:spacing w:before="120" w:after="120"/>
        <w:rPr>
          <w:rFonts w:eastAsia="Calibri"/>
          <w:b/>
          <w:i/>
          <w:noProof/>
          <w:szCs w:val="22"/>
        </w:rPr>
      </w:pPr>
      <w:r w:rsidRPr="007870ED">
        <w:rPr>
          <w:b/>
          <w:i/>
        </w:rPr>
        <w:t>Uitwisseling van informatie tussen autoriteiten en met andere entiteiten</w:t>
      </w:r>
    </w:p>
    <w:p w:rsidR="0015189C" w:rsidRPr="007870ED" w:rsidRDefault="0015189C" w:rsidP="0015189C">
      <w:pPr>
        <w:widowControl/>
        <w:spacing w:before="120" w:after="120"/>
        <w:ind w:left="851" w:hanging="851"/>
        <w:jc w:val="both"/>
        <w:rPr>
          <w:rFonts w:eastAsia="Calibri"/>
          <w:b/>
          <w:i/>
          <w:noProof/>
          <w:szCs w:val="22"/>
        </w:rPr>
      </w:pPr>
      <w:r w:rsidRPr="007870ED">
        <w:rPr>
          <w:b/>
          <w:i/>
        </w:rPr>
        <w:lastRenderedPageBreak/>
        <w:t xml:space="preserve">1. </w:t>
      </w:r>
      <w:r w:rsidRPr="007870ED">
        <w:rPr>
          <w:b/>
          <w:i/>
        </w:rPr>
        <w:tab/>
        <w:t>De afwikkelingsraad en de nationale afwikkelingsautoriteiten delen, per geval of op regelmatige basis, met de andere autoriteiten informatie die zij van financiële instellingen of andere bevoegde autoriteiten hebben verkregen wanneer de verzoekende autoriteit op grond van haar opdracht, doelstellingen, taken en bevoegdheden of overeenkomstig desbetreffend Unierecht bevoegd is om die informatie te verkrijgen.</w:t>
      </w:r>
    </w:p>
    <w:p w:rsidR="0015189C" w:rsidRPr="007870ED" w:rsidRDefault="0015189C" w:rsidP="0015189C">
      <w:pPr>
        <w:widowControl/>
        <w:spacing w:before="120" w:after="120"/>
        <w:ind w:left="851"/>
        <w:jc w:val="both"/>
        <w:rPr>
          <w:rFonts w:eastAsia="Calibri"/>
          <w:b/>
          <w:i/>
          <w:noProof/>
          <w:szCs w:val="22"/>
        </w:rPr>
      </w:pPr>
      <w:r w:rsidRPr="007870ED">
        <w:rPr>
          <w:b/>
          <w:i/>
        </w:rPr>
        <w:t>Voor het delen van de informatie als bedoeld in de eerste alinea van dit lid maken de afwikkelingsraad of de nationale afwikkelingsautoriteiten gebruik van het in artikel 34 ter bedoelde enkele geïntegreerde rapportagesysteem zodra dat is ingesteld.</w:t>
      </w:r>
    </w:p>
    <w:p w:rsidR="0015189C" w:rsidRPr="007870ED" w:rsidRDefault="0015189C" w:rsidP="0015189C">
      <w:pPr>
        <w:widowControl/>
        <w:spacing w:before="120" w:after="120"/>
        <w:ind w:left="851" w:hanging="851"/>
        <w:jc w:val="both"/>
        <w:rPr>
          <w:rFonts w:eastAsia="Calibri"/>
          <w:b/>
          <w:i/>
          <w:noProof/>
          <w:szCs w:val="22"/>
        </w:rPr>
      </w:pPr>
      <w:r w:rsidRPr="007870ED">
        <w:rPr>
          <w:b/>
          <w:i/>
        </w:rPr>
        <w:t xml:space="preserve">2. </w:t>
      </w:r>
      <w:r w:rsidRPr="007870ED">
        <w:rPr>
          <w:b/>
          <w:i/>
        </w:rPr>
        <w:tab/>
        <w:t>De afwikkelingsraad en de nationale afwikkelingsautoriteiten verzoeken de andere autoriteiten om informatie die zij anders zouden opvragen bij financiële instellingen of andere bevoegde autoriteiten, indien aan beide volgende voorwaarden wordt voldaan:</w:t>
      </w:r>
    </w:p>
    <w:p w:rsidR="0015189C" w:rsidRPr="007870ED" w:rsidRDefault="0015189C" w:rsidP="0015189C">
      <w:pPr>
        <w:widowControl/>
        <w:spacing w:before="120" w:after="120"/>
        <w:ind w:left="1418" w:hanging="567"/>
        <w:jc w:val="both"/>
        <w:rPr>
          <w:rFonts w:eastAsia="Calibri"/>
          <w:b/>
          <w:i/>
          <w:noProof/>
          <w:szCs w:val="22"/>
        </w:rPr>
      </w:pPr>
      <w:r w:rsidRPr="007870ED">
        <w:rPr>
          <w:b/>
          <w:i/>
        </w:rPr>
        <w:t xml:space="preserve">a) </w:t>
      </w:r>
      <w:r w:rsidRPr="007870ED">
        <w:rPr>
          <w:b/>
          <w:i/>
        </w:rPr>
        <w:tab/>
        <w:t>zij hebben krachtens hun opdracht, doelstellingen, taken en bevoegdheden of overeenkomstig desbetreffend Unierecht het recht die informatie te verkrijgen;</w:t>
      </w:r>
    </w:p>
    <w:p w:rsidR="0015189C" w:rsidRPr="007870ED" w:rsidRDefault="0015189C" w:rsidP="0015189C">
      <w:pPr>
        <w:widowControl/>
        <w:spacing w:before="120" w:after="120"/>
        <w:ind w:left="1418" w:hanging="567"/>
        <w:jc w:val="both"/>
        <w:rPr>
          <w:rFonts w:eastAsia="Calibri"/>
          <w:b/>
          <w:i/>
          <w:noProof/>
          <w:szCs w:val="22"/>
        </w:rPr>
      </w:pPr>
      <w:r w:rsidRPr="007870ED">
        <w:rPr>
          <w:b/>
          <w:i/>
        </w:rPr>
        <w:t xml:space="preserve">b) </w:t>
      </w:r>
      <w:r w:rsidRPr="007870ED">
        <w:rPr>
          <w:b/>
          <w:i/>
        </w:rPr>
        <w:tab/>
        <w:t>die informatie is verkregen door ten minste een van de andere autoriteiten.</w:t>
      </w:r>
    </w:p>
    <w:p w:rsidR="0015189C" w:rsidRPr="007870ED" w:rsidRDefault="0015189C" w:rsidP="0015189C">
      <w:pPr>
        <w:widowControl/>
        <w:spacing w:before="120" w:after="120"/>
        <w:ind w:left="851"/>
        <w:jc w:val="both"/>
        <w:rPr>
          <w:rFonts w:eastAsia="Calibri"/>
          <w:b/>
          <w:i/>
          <w:noProof/>
          <w:szCs w:val="22"/>
        </w:rPr>
      </w:pPr>
      <w:r w:rsidRPr="007870ED">
        <w:rPr>
          <w:b/>
          <w:i/>
        </w:rPr>
        <w:t>De eerste alinea laat onverlet dat de afwikkelingsraad en de nationale afwikkelingsautoriteiten de gevraagde informatie kunnen verkrijgen van financiële instellingen of andere bevoegde autoriteiten indien de andere autoriteit om operationele redenen niet in staat is de gegevens te delen.</w:t>
      </w:r>
    </w:p>
    <w:p w:rsidR="0015189C" w:rsidRPr="007870ED" w:rsidRDefault="0015189C" w:rsidP="0015189C">
      <w:pPr>
        <w:widowControl/>
        <w:spacing w:before="120" w:after="120"/>
        <w:ind w:left="851"/>
        <w:jc w:val="both"/>
        <w:rPr>
          <w:rFonts w:eastAsia="Calibri"/>
          <w:b/>
          <w:i/>
          <w:noProof/>
          <w:szCs w:val="22"/>
        </w:rPr>
      </w:pPr>
      <w:r w:rsidRPr="007870ED">
        <w:rPr>
          <w:b/>
          <w:i/>
        </w:rPr>
        <w:t>Om te bepalen of aan de in de eerste alinea, punt b), genoemde voorwaarde is voldaan, maakt de afwikkelingsraad gebruik van het in artikel 34 ter bedoelde gemeenschappelijke geïntegreerde rapportagesysteem zodra dat is ingesteld.</w:t>
      </w:r>
    </w:p>
    <w:p w:rsidR="0015189C" w:rsidRPr="007870ED" w:rsidRDefault="0015189C" w:rsidP="0015189C">
      <w:pPr>
        <w:widowControl/>
        <w:spacing w:before="120" w:after="120"/>
        <w:ind w:left="851" w:hanging="851"/>
        <w:jc w:val="both"/>
        <w:rPr>
          <w:rFonts w:eastAsia="Calibri"/>
          <w:b/>
          <w:i/>
          <w:noProof/>
          <w:szCs w:val="22"/>
        </w:rPr>
      </w:pPr>
      <w:r w:rsidRPr="007870ED">
        <w:rPr>
          <w:b/>
          <w:i/>
        </w:rPr>
        <w:t xml:space="preserve">3. </w:t>
      </w:r>
      <w:r w:rsidRPr="007870ED">
        <w:rPr>
          <w:b/>
          <w:i/>
        </w:rPr>
        <w:tab/>
        <w:t>Voor de toepassing van dit artikel en artikel 34 ter wordt onder “andere autoriteiten” elke van de volgende autoriteiten verstaan:</w:t>
      </w:r>
    </w:p>
    <w:p w:rsidR="0015189C" w:rsidRPr="007870ED" w:rsidRDefault="0015189C" w:rsidP="0015189C">
      <w:pPr>
        <w:widowControl/>
        <w:spacing w:before="120" w:after="120"/>
        <w:ind w:left="1418" w:hanging="567"/>
        <w:jc w:val="both"/>
        <w:rPr>
          <w:rFonts w:eastAsia="Calibri"/>
          <w:b/>
          <w:i/>
          <w:noProof/>
          <w:szCs w:val="22"/>
        </w:rPr>
      </w:pPr>
      <w:r w:rsidRPr="007870ED">
        <w:rPr>
          <w:b/>
          <w:i/>
        </w:rPr>
        <w:t xml:space="preserve">a) </w:t>
      </w:r>
      <w:r w:rsidRPr="007870ED">
        <w:rPr>
          <w:b/>
          <w:i/>
        </w:rPr>
        <w:tab/>
        <w:t>de Europese toezichthoudende autoriteiten;</w:t>
      </w:r>
    </w:p>
    <w:p w:rsidR="0015189C" w:rsidRPr="007870ED" w:rsidRDefault="0015189C" w:rsidP="0015189C">
      <w:pPr>
        <w:widowControl/>
        <w:spacing w:before="120" w:after="120"/>
        <w:ind w:left="1418" w:hanging="567"/>
        <w:jc w:val="both"/>
        <w:rPr>
          <w:rFonts w:eastAsia="Calibri"/>
          <w:b/>
          <w:i/>
          <w:noProof/>
          <w:szCs w:val="22"/>
        </w:rPr>
      </w:pPr>
      <w:r w:rsidRPr="007870ED">
        <w:rPr>
          <w:b/>
          <w:i/>
        </w:rPr>
        <w:t xml:space="preserve">b) </w:t>
      </w:r>
      <w:r w:rsidRPr="007870ED">
        <w:rPr>
          <w:b/>
          <w:i/>
        </w:rPr>
        <w:tab/>
        <w:t>het ESRB;</w:t>
      </w:r>
    </w:p>
    <w:p w:rsidR="0015189C" w:rsidRPr="007870ED" w:rsidRDefault="0015189C" w:rsidP="0015189C">
      <w:pPr>
        <w:widowControl/>
        <w:spacing w:before="120" w:after="120"/>
        <w:ind w:left="1418" w:hanging="567"/>
        <w:jc w:val="both"/>
        <w:rPr>
          <w:rFonts w:eastAsia="Calibri"/>
          <w:b/>
          <w:i/>
          <w:noProof/>
          <w:szCs w:val="22"/>
        </w:rPr>
      </w:pPr>
      <w:r w:rsidRPr="007870ED">
        <w:rPr>
          <w:b/>
          <w:i/>
        </w:rPr>
        <w:t xml:space="preserve">c) </w:t>
      </w:r>
      <w:r w:rsidRPr="007870ED">
        <w:rPr>
          <w:b/>
          <w:i/>
        </w:rPr>
        <w:tab/>
        <w:t>bevoegde autoriteiten zoals gedefinieerd in artikel 4, punt 2, van Verordening (EU) nr. 1093/2010;</w:t>
      </w:r>
    </w:p>
    <w:p w:rsidR="0015189C" w:rsidRPr="007870ED" w:rsidRDefault="0015189C" w:rsidP="0015189C">
      <w:pPr>
        <w:widowControl/>
        <w:spacing w:before="120" w:after="120"/>
        <w:ind w:left="1418" w:hanging="567"/>
        <w:jc w:val="both"/>
        <w:rPr>
          <w:rFonts w:eastAsia="Calibri"/>
          <w:b/>
          <w:i/>
          <w:noProof/>
          <w:szCs w:val="22"/>
        </w:rPr>
      </w:pPr>
      <w:r w:rsidRPr="007870ED">
        <w:rPr>
          <w:b/>
          <w:i/>
        </w:rPr>
        <w:t xml:space="preserve">d) </w:t>
      </w:r>
      <w:r w:rsidRPr="007870ED">
        <w:rPr>
          <w:b/>
          <w:i/>
        </w:rPr>
        <w:tab/>
        <w:t>bevoegde autoriteiten zoals gedefinieerd in artikel 4, punt 2, van Verordening (EU) nr. 1094/2010;</w:t>
      </w:r>
    </w:p>
    <w:p w:rsidR="0015189C" w:rsidRPr="007870ED" w:rsidRDefault="0015189C" w:rsidP="0015189C">
      <w:pPr>
        <w:widowControl/>
        <w:spacing w:before="120" w:after="120"/>
        <w:ind w:left="1418" w:hanging="567"/>
        <w:jc w:val="both"/>
        <w:rPr>
          <w:rFonts w:eastAsia="Calibri"/>
          <w:b/>
          <w:i/>
          <w:noProof/>
          <w:szCs w:val="22"/>
        </w:rPr>
      </w:pPr>
      <w:r w:rsidRPr="007870ED">
        <w:rPr>
          <w:b/>
          <w:i/>
        </w:rPr>
        <w:t xml:space="preserve">e) </w:t>
      </w:r>
      <w:r w:rsidRPr="007870ED">
        <w:rPr>
          <w:b/>
          <w:i/>
        </w:rPr>
        <w:tab/>
        <w:t>bevoegde autoriteiten zoals gedefinieerd in artikel 4, punt 3, van Verordening (EU) nr. 1095/2010;</w:t>
      </w:r>
    </w:p>
    <w:p w:rsidR="0015189C" w:rsidRPr="007870ED" w:rsidRDefault="0015189C" w:rsidP="0015189C">
      <w:pPr>
        <w:widowControl/>
        <w:spacing w:before="120" w:after="120"/>
        <w:ind w:left="1418" w:hanging="567"/>
        <w:jc w:val="both"/>
        <w:rPr>
          <w:rFonts w:eastAsia="Calibri"/>
          <w:b/>
          <w:i/>
          <w:noProof/>
          <w:szCs w:val="22"/>
        </w:rPr>
      </w:pPr>
      <w:r w:rsidRPr="007870ED">
        <w:rPr>
          <w:b/>
          <w:i/>
        </w:rPr>
        <w:t xml:space="preserve">f) </w:t>
      </w:r>
      <w:r w:rsidRPr="007870ED">
        <w:rPr>
          <w:b/>
          <w:i/>
        </w:rPr>
        <w:tab/>
        <w:t>de AMLA, als opgericht bij Verordening (EU) …/… van het Europees Parlement en de Raad</w:t>
      </w:r>
      <w:r w:rsidR="00FC7834" w:rsidRPr="007870ED">
        <w:rPr>
          <w:rStyle w:val="FootnoteReference"/>
          <w:rFonts w:eastAsia="Calibri"/>
          <w:b/>
          <w:i/>
          <w:noProof/>
          <w:szCs w:val="22"/>
          <w:lang w:eastAsia="en-US"/>
        </w:rPr>
        <w:footnoteReference w:customMarkFollows="1" w:id="21"/>
        <w:sym w:font="Symbol" w:char="F02B"/>
      </w:r>
      <w:r w:rsidRPr="007870ED">
        <w:rPr>
          <w:b/>
          <w:i/>
        </w:rPr>
        <w:t>;</w:t>
      </w:r>
    </w:p>
    <w:p w:rsidR="0015189C" w:rsidRPr="007870ED" w:rsidRDefault="0015189C" w:rsidP="0015189C">
      <w:pPr>
        <w:widowControl/>
        <w:spacing w:before="120" w:after="120"/>
        <w:ind w:left="1418" w:hanging="567"/>
        <w:jc w:val="both"/>
        <w:rPr>
          <w:rFonts w:eastAsia="Calibri"/>
          <w:b/>
          <w:i/>
          <w:noProof/>
          <w:szCs w:val="22"/>
        </w:rPr>
      </w:pPr>
      <w:r w:rsidRPr="007870ED">
        <w:rPr>
          <w:b/>
          <w:i/>
        </w:rPr>
        <w:lastRenderedPageBreak/>
        <w:t xml:space="preserve">g) </w:t>
      </w:r>
      <w:r w:rsidRPr="007870ED">
        <w:rPr>
          <w:b/>
          <w:i/>
        </w:rPr>
        <w:tab/>
        <w:t>autoriteiten zoals gedefinieerd in artikel 2, punt 1, van Richtlijn (EU) …/… van het Europees Parlement en de Raad</w:t>
      </w:r>
      <w:r w:rsidR="004D58C2" w:rsidRPr="007870ED">
        <w:rPr>
          <w:rStyle w:val="FootnoteReference"/>
          <w:rFonts w:eastAsia="Calibri"/>
          <w:b/>
          <w:i/>
          <w:noProof/>
          <w:szCs w:val="22"/>
          <w:lang w:eastAsia="en-US"/>
        </w:rPr>
        <w:footnoteReference w:customMarkFollows="1" w:id="22"/>
        <w:sym w:font="Symbol" w:char="F02B"/>
      </w:r>
      <w:r w:rsidR="004D58C2" w:rsidRPr="007870ED">
        <w:rPr>
          <w:rStyle w:val="FootnoteReference"/>
          <w:rFonts w:eastAsia="Calibri"/>
          <w:b/>
          <w:i/>
          <w:noProof/>
          <w:szCs w:val="22"/>
          <w:lang w:eastAsia="en-US"/>
        </w:rPr>
        <w:sym w:font="Symbol" w:char="F02B"/>
      </w:r>
      <w:r w:rsidRPr="007870ED">
        <w:rPr>
          <w:b/>
          <w:i/>
        </w:rPr>
        <w:t>;</w:t>
      </w:r>
    </w:p>
    <w:p w:rsidR="0015189C" w:rsidRPr="007870ED" w:rsidRDefault="0015189C" w:rsidP="0015189C">
      <w:pPr>
        <w:widowControl/>
        <w:spacing w:before="120" w:after="120"/>
        <w:ind w:left="1418" w:hanging="567"/>
        <w:jc w:val="both"/>
        <w:rPr>
          <w:rFonts w:eastAsia="Calibri"/>
          <w:b/>
          <w:i/>
          <w:noProof/>
          <w:szCs w:val="22"/>
        </w:rPr>
      </w:pPr>
      <w:r w:rsidRPr="007870ED">
        <w:rPr>
          <w:b/>
          <w:i/>
        </w:rPr>
        <w:t xml:space="preserve">h) </w:t>
      </w:r>
      <w:r w:rsidRPr="007870ED">
        <w:rPr>
          <w:b/>
          <w:i/>
        </w:rPr>
        <w:tab/>
        <w:t>het GTM zoals gedefinieerd in artikel 2, punt 9, van Verordening (EU) nr. 1024/2013;</w:t>
      </w:r>
    </w:p>
    <w:p w:rsidR="0015189C" w:rsidRPr="007870ED" w:rsidRDefault="0015189C" w:rsidP="0015189C">
      <w:pPr>
        <w:widowControl/>
        <w:spacing w:before="120" w:after="120"/>
        <w:ind w:left="1418" w:hanging="567"/>
        <w:jc w:val="both"/>
        <w:rPr>
          <w:rFonts w:eastAsia="Calibri"/>
          <w:b/>
          <w:i/>
          <w:noProof/>
          <w:szCs w:val="22"/>
        </w:rPr>
      </w:pPr>
      <w:r w:rsidRPr="007870ED">
        <w:rPr>
          <w:b/>
          <w:i/>
        </w:rPr>
        <w:t>i)</w:t>
      </w:r>
      <w:r w:rsidRPr="007870ED">
        <w:rPr>
          <w:b/>
          <w:i/>
        </w:rPr>
        <w:tab/>
        <w:t xml:space="preserve"> nationale afwikkelingsautoriteiten zoals gedefinieerd in artikel 3, punt 3.</w:t>
      </w:r>
    </w:p>
    <w:p w:rsidR="0015189C" w:rsidRPr="007870ED" w:rsidRDefault="0015189C" w:rsidP="0015189C">
      <w:pPr>
        <w:widowControl/>
        <w:spacing w:before="120" w:after="120"/>
        <w:ind w:left="851"/>
        <w:jc w:val="both"/>
        <w:rPr>
          <w:rFonts w:eastAsia="Calibri"/>
          <w:b/>
          <w:i/>
          <w:noProof/>
          <w:szCs w:val="22"/>
        </w:rPr>
      </w:pPr>
      <w:r w:rsidRPr="007870ED">
        <w:rPr>
          <w:b/>
          <w:i/>
        </w:rPr>
        <w:t>Voor de toepassing van dit artikel is een “financiële instelling” een financiële instelling zoals gedefinieerd in artikel 2, punt a), van Verordening (EU) nr. 1092/2010.</w:t>
      </w:r>
    </w:p>
    <w:p w:rsidR="0015189C" w:rsidRPr="007870ED" w:rsidRDefault="0015189C" w:rsidP="0015189C">
      <w:pPr>
        <w:widowControl/>
        <w:spacing w:before="120" w:after="120"/>
        <w:ind w:left="851" w:hanging="851"/>
        <w:jc w:val="both"/>
        <w:rPr>
          <w:rFonts w:eastAsia="Calibri"/>
          <w:b/>
          <w:i/>
          <w:noProof/>
          <w:szCs w:val="22"/>
        </w:rPr>
      </w:pPr>
      <w:r w:rsidRPr="007870ED">
        <w:rPr>
          <w:b/>
          <w:i/>
        </w:rPr>
        <w:t xml:space="preserve">4. </w:t>
      </w:r>
      <w:r w:rsidRPr="007870ED">
        <w:rPr>
          <w:b/>
          <w:i/>
        </w:rPr>
        <w:tab/>
        <w:t>Het verzoek tot uitwisseling van informatie vermeldt duidelijk de rechtsgrondslag in het Unierecht die de verzoekende autoriteit toestaat om de informatie te verkrijgen van in dat lid bedoelde financiële instellingen of andere bevoegde autoriteiten. De verzoekende autoriteit en de delende autoriteit zijn onderworpen aan het ambtsgeheim en aan bepalingen inzake gegevensbescherming die zijn vastgesteld in de artikelen 88 en 89 en in sectorale wetgeving die van toepassing is op het delen van data tussen de financiële instelling en de verzoekende autoriteit, alsmede op het delen van data tussen de financiële instelling en de delende autoriteit. De delende autoriteit stelt elke betrokken financiële instelling onverwijld in kennis van dit soort informatie-uitwisseling, tenzij de informatie is geanonimiseerd, gewijzigd, geaggregeerd of behandeld met een andere methode van openbaarmakingscontrole om vertrouwelijke informatie te beschermen.</w:t>
      </w:r>
    </w:p>
    <w:p w:rsidR="0015189C" w:rsidRPr="007870ED" w:rsidRDefault="0015189C" w:rsidP="0015189C">
      <w:pPr>
        <w:widowControl/>
        <w:spacing w:before="120" w:after="120"/>
        <w:ind w:left="851" w:hanging="851"/>
        <w:jc w:val="both"/>
        <w:rPr>
          <w:rFonts w:eastAsia="Calibri"/>
          <w:b/>
          <w:i/>
          <w:noProof/>
          <w:szCs w:val="22"/>
        </w:rPr>
      </w:pPr>
      <w:r w:rsidRPr="007870ED">
        <w:rPr>
          <w:b/>
          <w:i/>
        </w:rPr>
        <w:t xml:space="preserve">5. </w:t>
      </w:r>
      <w:r w:rsidRPr="007870ED">
        <w:rPr>
          <w:b/>
          <w:i/>
        </w:rPr>
        <w:tab/>
        <w:t>De leden 1, 2 en 4 zijn ook van toepassing op informatie die de delende autoriteit van een financiële instelling of een andere autoriteit heeft ontvangen en waarop de delende autoriteit vervolgens kwaliteitschecks heeft uitgevoerd of die de delende autoriteit anderszins heeft verwerkt.</w:t>
      </w:r>
    </w:p>
    <w:p w:rsidR="0015189C" w:rsidRPr="007870ED" w:rsidRDefault="0015189C" w:rsidP="0015189C">
      <w:pPr>
        <w:widowControl/>
        <w:spacing w:before="120" w:after="120"/>
        <w:ind w:left="851" w:hanging="851"/>
        <w:jc w:val="both"/>
        <w:rPr>
          <w:rFonts w:eastAsia="Calibri"/>
          <w:b/>
          <w:i/>
          <w:noProof/>
          <w:szCs w:val="22"/>
        </w:rPr>
      </w:pPr>
      <w:r w:rsidRPr="007870ED">
        <w:rPr>
          <w:b/>
          <w:i/>
        </w:rPr>
        <w:t xml:space="preserve">6. </w:t>
      </w:r>
      <w:r w:rsidRPr="007870ED">
        <w:rPr>
          <w:b/>
          <w:i/>
        </w:rPr>
        <w:tab/>
        <w:t xml:space="preserve">Voor het delen van informatie zoals bedoeld in de leden 1, 2, 4 en 5, sluiten de afwikkelingsraad en de andere autoriteiten memoranda van overeenstemming waarin de concrete voorwaarden voor het uitwisselen van informatie zijn vastgelegd. </w:t>
      </w:r>
      <w:r w:rsidRPr="007870ED">
        <w:rPr>
          <w:b/>
          <w:bCs/>
          <w:i/>
          <w:iCs/>
        </w:rPr>
        <w:t>Zij stellen ook regelingen vast voor het delen van middelen om die gedeelde gegevens te verzamelen en te verwerken, op voorwaarde dat die regelingen aan de toepasselijke regels inzake gegevensbescherming, intellectuele eigendom en het beroepsgeheim voldoen.</w:t>
      </w:r>
      <w:r w:rsidRPr="007870ED">
        <w:rPr>
          <w:b/>
          <w:i/>
        </w:rPr>
        <w:t xml:space="preserve"> De memoranda van overeenstemming volgen in onderlinge overeenstemming tussen alle betrokken autoriteiten een gestandaardiseerd formaat, zo nodig aangepast aan de eventuele bijzondere werkwijzen bij specifieke autoriteiten.</w:t>
      </w:r>
    </w:p>
    <w:p w:rsidR="0015189C" w:rsidRPr="007870ED" w:rsidRDefault="0015189C" w:rsidP="0015189C">
      <w:pPr>
        <w:widowControl/>
        <w:spacing w:before="120" w:after="120"/>
        <w:ind w:left="851" w:hanging="851"/>
        <w:jc w:val="both"/>
        <w:rPr>
          <w:rFonts w:eastAsia="Calibri"/>
          <w:b/>
          <w:i/>
          <w:noProof/>
          <w:szCs w:val="22"/>
        </w:rPr>
      </w:pPr>
      <w:r w:rsidRPr="007870ED">
        <w:rPr>
          <w:b/>
          <w:i/>
        </w:rPr>
        <w:t xml:space="preserve">7. </w:t>
      </w:r>
      <w:r w:rsidRPr="007870ED">
        <w:rPr>
          <w:b/>
          <w:i/>
        </w:rPr>
        <w:tab/>
        <w:t xml:space="preserve">De leden 1 tot en met 6 laten de bescherming van intellectuele-eigendomsrechten onverlet en vormen geen beletsel voor of beperking van de uitwisseling van informatie tussen de </w:t>
      </w:r>
      <w:r w:rsidRPr="007870ED">
        <w:rPr>
          <w:b/>
          <w:bCs/>
          <w:i/>
          <w:iCs/>
        </w:rPr>
        <w:t>afwikkelingsraad en de andere</w:t>
      </w:r>
      <w:r w:rsidRPr="007870ED">
        <w:rPr>
          <w:b/>
          <w:i/>
        </w:rPr>
        <w:t xml:space="preserve"> autoriteiten overeenkomstig bepalingen in andere Uniewetgeving. Wanneer het in dit artikel bepaalde in strijd is met bepalingen in deze verordening of andere Uniewetgeving die de uitwisseling van informatie tussen de andere autoriteiten beregelt, hebben de bepalingen in die andere Uniewetgeving voorrang.</w:t>
      </w:r>
    </w:p>
    <w:p w:rsidR="0015189C" w:rsidRPr="007870ED" w:rsidRDefault="0015189C" w:rsidP="0015189C">
      <w:pPr>
        <w:widowControl/>
        <w:spacing w:before="120" w:after="120"/>
        <w:ind w:left="851" w:hanging="851"/>
        <w:jc w:val="both"/>
        <w:rPr>
          <w:rFonts w:eastAsia="Calibri"/>
          <w:b/>
          <w:i/>
          <w:noProof/>
          <w:szCs w:val="22"/>
        </w:rPr>
      </w:pPr>
      <w:r w:rsidRPr="007870ED">
        <w:rPr>
          <w:b/>
          <w:i/>
        </w:rPr>
        <w:t xml:space="preserve">8. </w:t>
      </w:r>
      <w:r w:rsidRPr="007870ED">
        <w:rPr>
          <w:b/>
          <w:i/>
        </w:rPr>
        <w:tab/>
        <w:t xml:space="preserve">Onverminderd andere verplichtingen die in Unierecht voor het delen van informatie zijn vastgelegd, kunnen de afwikkelingsraad en de nationale </w:t>
      </w:r>
      <w:r w:rsidRPr="007870ED">
        <w:rPr>
          <w:b/>
          <w:i/>
        </w:rPr>
        <w:lastRenderedPageBreak/>
        <w:t>afwikkelingsautoriteiten, na een gemotiveerd verzoek en op individuele basis, met de Commissie informatie delen die financiële instellingen krachtens hun verplichtingen uit hoofde van Unierecht bij haar hebben gerapporteerd, in een vorm die geen identificatie van individuele entiteiten mogelijk maakt en geen persoonsgegevens bevat. De autoriteiten die dergelijke informatie hebben verstrekt, worden naar behoren geïnformeerd over de uitwisseling die heeft plaatsgevonden.</w:t>
      </w:r>
    </w:p>
    <w:p w:rsidR="0015189C" w:rsidRPr="007870ED" w:rsidRDefault="0015189C" w:rsidP="0015189C">
      <w:pPr>
        <w:widowControl/>
        <w:spacing w:before="120" w:after="120"/>
        <w:ind w:left="851" w:hanging="851"/>
        <w:jc w:val="both"/>
        <w:rPr>
          <w:rFonts w:eastAsia="Calibri"/>
          <w:b/>
          <w:i/>
          <w:noProof/>
          <w:szCs w:val="22"/>
        </w:rPr>
      </w:pPr>
      <w:r w:rsidRPr="007870ED">
        <w:rPr>
          <w:b/>
          <w:i/>
        </w:rPr>
        <w:t xml:space="preserve">9. </w:t>
      </w:r>
      <w:r w:rsidRPr="007870ED">
        <w:rPr>
          <w:b/>
          <w:i/>
        </w:rPr>
        <w:tab/>
        <w:t>De afwikkelingsraad en de nationale afwikkelingsautoriteiten kunnen, voor onderzoeks- en innovatiedoeleinden, tot bij de uitvoering van hun taken verkregen informatie toegang verlenen voor hergebruik door financiële instellingen, onderzoekers en andere entiteiten die een rechtmatig belang bij die informatie hebben, op voorwaarde dat de afwikkelingsraad zich ervan vergewist heeft dat alle volgende punten in acht zijn genomen:</w:t>
      </w:r>
    </w:p>
    <w:p w:rsidR="0015189C" w:rsidRPr="007870ED" w:rsidRDefault="0015189C" w:rsidP="0015189C">
      <w:pPr>
        <w:widowControl/>
        <w:spacing w:before="120" w:after="120"/>
        <w:ind w:left="1418" w:hanging="567"/>
        <w:jc w:val="both"/>
        <w:rPr>
          <w:rFonts w:eastAsia="Calibri"/>
          <w:b/>
          <w:i/>
          <w:noProof/>
          <w:szCs w:val="22"/>
        </w:rPr>
      </w:pPr>
      <w:r w:rsidRPr="007870ED">
        <w:rPr>
          <w:b/>
          <w:i/>
        </w:rPr>
        <w:t xml:space="preserve">a) </w:t>
      </w:r>
      <w:r w:rsidRPr="007870ED">
        <w:rPr>
          <w:b/>
          <w:i/>
        </w:rPr>
        <w:tab/>
        <w:t>de informatie is zodanig geanonimiseerd dat het datasubject of de financiële instelling niet of niet meer kan worden geïdentificeerd;</w:t>
      </w:r>
    </w:p>
    <w:p w:rsidR="0015189C" w:rsidRPr="007870ED" w:rsidRDefault="0015189C" w:rsidP="0015189C">
      <w:pPr>
        <w:widowControl/>
        <w:spacing w:before="120" w:after="120"/>
        <w:ind w:left="1418" w:hanging="567"/>
        <w:jc w:val="both"/>
        <w:rPr>
          <w:rFonts w:eastAsia="Calibri"/>
          <w:b/>
          <w:i/>
          <w:noProof/>
          <w:szCs w:val="22"/>
        </w:rPr>
      </w:pPr>
      <w:r w:rsidRPr="007870ED">
        <w:rPr>
          <w:b/>
          <w:i/>
        </w:rPr>
        <w:t xml:space="preserve">b) </w:t>
      </w:r>
      <w:r w:rsidRPr="007870ED">
        <w:rPr>
          <w:b/>
          <w:i/>
        </w:rPr>
        <w:tab/>
        <w:t>de informatie is gewijzigd, geaggregeerd of behandeld volgens een andere methode om de openbaarmaking ervan te controleren, zodat vertrouwelijke informatie, met inbegrip van bedrijfsgeheimen of door intellectuele-eigendomsrechten beschermde inhoud, beschermd is</w:t>
      </w:r>
      <w:r w:rsidRPr="007870ED">
        <w:rPr>
          <w:b/>
          <w:bCs/>
          <w:i/>
          <w:iCs/>
        </w:rPr>
        <w:t>;</w:t>
      </w:r>
    </w:p>
    <w:p w:rsidR="0015189C" w:rsidRPr="007870ED" w:rsidRDefault="0015189C" w:rsidP="0015189C">
      <w:pPr>
        <w:widowControl/>
        <w:spacing w:before="120" w:after="120"/>
        <w:ind w:left="1418" w:hanging="567"/>
        <w:jc w:val="both"/>
        <w:rPr>
          <w:rFonts w:eastAsia="Calibri"/>
          <w:b/>
          <w:i/>
          <w:noProof/>
          <w:szCs w:val="22"/>
        </w:rPr>
      </w:pPr>
      <w:r w:rsidRPr="007870ED">
        <w:rPr>
          <w:b/>
          <w:i/>
        </w:rPr>
        <w:t>c)</w:t>
      </w:r>
      <w:r w:rsidRPr="007870ED">
        <w:rPr>
          <w:b/>
          <w:i/>
        </w:rPr>
        <w:tab/>
      </w:r>
      <w:r w:rsidRPr="007870ED">
        <w:rPr>
          <w:b/>
          <w:bCs/>
          <w:i/>
          <w:iCs/>
        </w:rPr>
        <w:t>de partijen waaraan toegang is verleend, hebben aangetoond dat zij de nodige technische middelen hebben om vertrouwelijke informatie te beschermen, d.w.z. dat zij over instrumenten beschikken die de bescherming van de privacy en de vertrouwelijkheid volledig kunnen garanderen.</w:t>
      </w:r>
    </w:p>
    <w:p w:rsidR="0015189C" w:rsidRPr="007870ED" w:rsidRDefault="0015189C" w:rsidP="0015189C">
      <w:pPr>
        <w:widowControl/>
        <w:spacing w:before="120" w:after="120"/>
        <w:ind w:left="851"/>
        <w:jc w:val="both"/>
        <w:rPr>
          <w:rFonts w:eastAsia="Calibri"/>
          <w:b/>
          <w:i/>
          <w:noProof/>
          <w:szCs w:val="22"/>
        </w:rPr>
      </w:pPr>
      <w:r w:rsidRPr="007870ED">
        <w:rPr>
          <w:b/>
          <w:i/>
        </w:rPr>
        <w:t>Informatie die van een andere autoriteit is ontvangen, wordt alleen op deze basis gedeeld met de instemming van de autoriteit die de informatie aanvankelijk heeft verkregen.</w:t>
      </w:r>
    </w:p>
    <w:p w:rsidR="0015189C" w:rsidRPr="007870ED" w:rsidRDefault="0015189C" w:rsidP="0015189C">
      <w:pPr>
        <w:widowControl/>
        <w:spacing w:before="120" w:after="120"/>
        <w:ind w:left="851" w:hanging="851"/>
        <w:jc w:val="both"/>
        <w:rPr>
          <w:rFonts w:eastAsia="Calibri"/>
          <w:b/>
          <w:i/>
          <w:noProof/>
          <w:szCs w:val="22"/>
        </w:rPr>
      </w:pPr>
      <w:r w:rsidRPr="007870ED">
        <w:rPr>
          <w:b/>
          <w:i/>
        </w:rPr>
        <w:t xml:space="preserve">10. </w:t>
      </w:r>
      <w:r w:rsidRPr="007870ED">
        <w:rPr>
          <w:b/>
          <w:i/>
        </w:rPr>
        <w:tab/>
        <w:t>De afwikkelingsraad en de nationale afwikkelingsautoriteiten brengen uiterlijk op ... [1 jaar na de datum van inwerkingtreding van deze wijzigingsverordening] aan de Commissie verslag uit over alle juridische hinderpalen in sectorale regelgeving die de afwikkelingsraad op enigerlei wijze verhinderen informatie uit te wisselen met andere autoriteiten of met andere entiteiten. Het verslag kan ook niet-materiële, achterhaalde, dubbele of anderszins irrelevante verslaggevingsvereisten bevatten, evenals suggesties om de consistentie tussen de verslaggevingsvereisten van financiële en niet-financiële ondernemingen te waarborgen.</w:t>
      </w:r>
    </w:p>
    <w:p w:rsidR="0015189C" w:rsidRPr="007870ED" w:rsidRDefault="0015189C" w:rsidP="0015189C">
      <w:pPr>
        <w:widowControl/>
        <w:spacing w:before="120" w:after="120"/>
        <w:ind w:left="851"/>
        <w:jc w:val="both"/>
        <w:rPr>
          <w:rFonts w:eastAsia="Calibri"/>
          <w:b/>
          <w:i/>
          <w:noProof/>
          <w:szCs w:val="22"/>
        </w:rPr>
      </w:pPr>
      <w:r w:rsidRPr="007870ED">
        <w:rPr>
          <w:b/>
          <w:i/>
        </w:rPr>
        <w:t>Op basis van dat verslag en terdege rekening houdend met de bescherming van intellectuele-eigendomsrechten, het ambtsgeheim en gegevensbescherming, dient de Commissie zo nodig uiterlijk op ... [2 jaar na de datum van inwerkingtreding van deze wijzigingsverordening] bij het Europees Parlement en de Raad een wetgevingsvoorstel in om die juridische hinderpalen in sectorale wetgeving weg te nemen teneinde de uitwisseling van informatie tussen autoriteiten en met andere entiteiten te bevorderen.”.</w:t>
      </w:r>
    </w:p>
    <w:p w:rsidR="0015189C" w:rsidRPr="007870ED" w:rsidRDefault="0015189C" w:rsidP="0015189C">
      <w:pPr>
        <w:widowControl/>
        <w:spacing w:before="120" w:after="120"/>
        <w:jc w:val="center"/>
        <w:rPr>
          <w:rFonts w:eastAsia="Calibri"/>
          <w:b/>
          <w:i/>
          <w:noProof/>
          <w:szCs w:val="22"/>
          <w:lang w:eastAsia="en-US"/>
        </w:rPr>
      </w:pPr>
    </w:p>
    <w:p w:rsidR="0015189C" w:rsidRPr="007870ED" w:rsidRDefault="0015189C" w:rsidP="0015189C">
      <w:pPr>
        <w:widowControl/>
        <w:spacing w:before="120" w:after="120"/>
        <w:jc w:val="center"/>
        <w:rPr>
          <w:rFonts w:eastAsia="Calibri"/>
          <w:b/>
          <w:i/>
          <w:noProof/>
          <w:szCs w:val="22"/>
        </w:rPr>
      </w:pPr>
      <w:r w:rsidRPr="007870ED">
        <w:rPr>
          <w:b/>
          <w:i/>
        </w:rPr>
        <w:t>Artikel 34 ter</w:t>
      </w:r>
    </w:p>
    <w:p w:rsidR="0015189C" w:rsidRPr="007870ED" w:rsidRDefault="0015189C" w:rsidP="0015189C">
      <w:pPr>
        <w:widowControl/>
        <w:spacing w:before="120" w:after="120"/>
        <w:jc w:val="center"/>
        <w:rPr>
          <w:rFonts w:eastAsia="Calibri"/>
          <w:b/>
          <w:i/>
          <w:noProof/>
          <w:szCs w:val="22"/>
        </w:rPr>
      </w:pPr>
      <w:r w:rsidRPr="007870ED">
        <w:rPr>
          <w:b/>
          <w:i/>
        </w:rPr>
        <w:t>Instelling van een gemeenschappelijk geïntegreerd rapportagesysteem</w:t>
      </w:r>
    </w:p>
    <w:p w:rsidR="0015189C" w:rsidRPr="007870ED" w:rsidRDefault="0015189C" w:rsidP="0015189C">
      <w:pPr>
        <w:widowControl/>
        <w:spacing w:before="120" w:after="120"/>
        <w:ind w:left="851" w:hanging="851"/>
        <w:jc w:val="both"/>
        <w:rPr>
          <w:rFonts w:eastAsia="Calibri"/>
          <w:b/>
          <w:i/>
          <w:noProof/>
          <w:szCs w:val="22"/>
        </w:rPr>
      </w:pPr>
      <w:r w:rsidRPr="007870ED">
        <w:rPr>
          <w:b/>
          <w:i/>
        </w:rPr>
        <w:t xml:space="preserve">1. </w:t>
      </w:r>
      <w:r w:rsidRPr="007870ED">
        <w:rPr>
          <w:b/>
          <w:i/>
        </w:rPr>
        <w:tab/>
        <w:t xml:space="preserve">Uiterlijk op ... [2 jaar na de datum van inwerkingtreding van deze wijzigingsverordening] stelt de afwikkelingsraad, in nauwe samenwerking met de andere autoriteiten, een verslag over de technische details van de instelling van een </w:t>
      </w:r>
      <w:r w:rsidRPr="007870ED">
        <w:rPr>
          <w:b/>
          <w:i/>
        </w:rPr>
        <w:lastRenderedPageBreak/>
        <w:t xml:space="preserve">gemeenschappelijk geïntegreerd rapportagesysteem alsook een routekaart op, op basis van de werkzaamheden met het oog op de integratie van de rapportage door de </w:t>
      </w:r>
      <w:proofErr w:type="spellStart"/>
      <w:r w:rsidRPr="007870ED">
        <w:rPr>
          <w:b/>
          <w:i/>
        </w:rPr>
        <w:t>ETA’s</w:t>
      </w:r>
      <w:proofErr w:type="spellEnd"/>
      <w:r w:rsidRPr="007870ED">
        <w:rPr>
          <w:b/>
          <w:i/>
        </w:rPr>
        <w:t xml:space="preserve"> in hun sectoren, met een kosten-batenanalyse. Ten behoeve van dat verslag omvat het geïntegreerde rapportagesysteem:</w:t>
      </w:r>
    </w:p>
    <w:p w:rsidR="0015189C" w:rsidRPr="007870ED" w:rsidRDefault="0015189C" w:rsidP="0015189C">
      <w:pPr>
        <w:widowControl/>
        <w:spacing w:before="120" w:after="120"/>
        <w:ind w:left="1418" w:hanging="567"/>
        <w:jc w:val="both"/>
        <w:rPr>
          <w:rFonts w:eastAsia="Calibri"/>
          <w:b/>
          <w:i/>
          <w:noProof/>
          <w:szCs w:val="22"/>
        </w:rPr>
      </w:pPr>
      <w:r w:rsidRPr="007870ED">
        <w:rPr>
          <w:b/>
          <w:i/>
        </w:rPr>
        <w:t xml:space="preserve">a) </w:t>
      </w:r>
      <w:r w:rsidRPr="007870ED">
        <w:rPr>
          <w:b/>
          <w:i/>
        </w:rPr>
        <w:tab/>
        <w:t xml:space="preserve">een gemeenschappelijke data </w:t>
      </w:r>
      <w:proofErr w:type="spellStart"/>
      <w:r w:rsidRPr="007870ED">
        <w:rPr>
          <w:b/>
          <w:i/>
        </w:rPr>
        <w:t>dictionary</w:t>
      </w:r>
      <w:proofErr w:type="spellEnd"/>
      <w:r w:rsidRPr="007870ED">
        <w:rPr>
          <w:b/>
          <w:i/>
        </w:rPr>
        <w:t xml:space="preserve"> om de consistentie en duidelijkheid van de rapportagevereisten en de standaardisering van de gegevens te waarborgen;</w:t>
      </w:r>
    </w:p>
    <w:p w:rsidR="0015189C" w:rsidRPr="007870ED" w:rsidRDefault="0015189C" w:rsidP="0015189C">
      <w:pPr>
        <w:widowControl/>
        <w:spacing w:before="120" w:after="120"/>
        <w:ind w:left="1418" w:hanging="567"/>
        <w:jc w:val="both"/>
        <w:rPr>
          <w:rFonts w:eastAsia="Calibri"/>
          <w:b/>
          <w:i/>
          <w:noProof/>
          <w:szCs w:val="22"/>
        </w:rPr>
      </w:pPr>
      <w:r w:rsidRPr="007870ED">
        <w:rPr>
          <w:b/>
          <w:i/>
        </w:rPr>
        <w:t xml:space="preserve">b) </w:t>
      </w:r>
      <w:r w:rsidRPr="007870ED">
        <w:rPr>
          <w:b/>
          <w:i/>
        </w:rPr>
        <w:tab/>
        <w:t>een gezamenlijk register van rapportage- en openbaarmakingsvereisten, van de beschrijvingen van de verzamelde gegevens en van de autoriteiten die deze gegevens hebben;</w:t>
      </w:r>
    </w:p>
    <w:p w:rsidR="0015189C" w:rsidRPr="007870ED" w:rsidRDefault="0015189C" w:rsidP="0015189C">
      <w:pPr>
        <w:widowControl/>
        <w:spacing w:before="120" w:after="120"/>
        <w:ind w:left="1418" w:hanging="567"/>
        <w:jc w:val="both"/>
        <w:rPr>
          <w:rFonts w:eastAsia="Calibri"/>
          <w:b/>
          <w:i/>
          <w:noProof/>
          <w:szCs w:val="22"/>
        </w:rPr>
      </w:pPr>
      <w:r w:rsidRPr="007870ED">
        <w:rPr>
          <w:b/>
          <w:i/>
        </w:rPr>
        <w:t xml:space="preserve">c) </w:t>
      </w:r>
      <w:r w:rsidRPr="007870ED">
        <w:rPr>
          <w:b/>
          <w:i/>
        </w:rPr>
        <w:tab/>
        <w:t>een centrale gegevensruimte, met inbegrip van het technische ontwerp voor het verzamelen en uitwisselen van de informatie; en</w:t>
      </w:r>
    </w:p>
    <w:p w:rsidR="0015189C" w:rsidRPr="007870ED" w:rsidRDefault="0015189C" w:rsidP="0015189C">
      <w:pPr>
        <w:widowControl/>
        <w:spacing w:before="120" w:after="120"/>
        <w:ind w:left="1418" w:hanging="567"/>
        <w:jc w:val="both"/>
        <w:rPr>
          <w:rFonts w:eastAsia="Calibri"/>
          <w:b/>
          <w:i/>
          <w:noProof/>
          <w:szCs w:val="22"/>
        </w:rPr>
      </w:pPr>
      <w:r w:rsidRPr="007870ED">
        <w:rPr>
          <w:b/>
          <w:i/>
        </w:rPr>
        <w:t xml:space="preserve">d) </w:t>
      </w:r>
      <w:r w:rsidRPr="007870ED">
        <w:rPr>
          <w:b/>
          <w:i/>
        </w:rPr>
        <w:tab/>
        <w:t>een permanent centraal contactpunt waar entiteiten gevallen van dubbele rapportage en overbodige of achterhaalde rapportage- of openbaarmakingsvereisten kunnen melden.</w:t>
      </w:r>
    </w:p>
    <w:p w:rsidR="0015189C" w:rsidRPr="007870ED" w:rsidRDefault="0015189C" w:rsidP="0015189C">
      <w:pPr>
        <w:widowControl/>
        <w:spacing w:before="120" w:after="120"/>
        <w:ind w:left="1418" w:hanging="1418"/>
        <w:jc w:val="both"/>
        <w:rPr>
          <w:rFonts w:eastAsia="Calibri"/>
          <w:b/>
          <w:i/>
          <w:noProof/>
          <w:szCs w:val="22"/>
        </w:rPr>
      </w:pPr>
      <w:r w:rsidRPr="007870ED">
        <w:rPr>
          <w:b/>
          <w:i/>
        </w:rPr>
        <w:t xml:space="preserve">2. </w:t>
      </w:r>
      <w:r w:rsidRPr="007870ED">
        <w:rPr>
          <w:b/>
          <w:i/>
        </w:rPr>
        <w:tab/>
        <w:t xml:space="preserve">In nauwe samenwerking met de Commissie gaat het verslag vergezeld van een raming van de totale financiële gevolgen. </w:t>
      </w:r>
    </w:p>
    <w:p w:rsidR="0015189C" w:rsidRPr="007870ED" w:rsidRDefault="0015189C" w:rsidP="0015189C">
      <w:pPr>
        <w:widowControl/>
        <w:spacing w:before="120" w:after="120"/>
        <w:ind w:left="1418" w:hanging="567"/>
        <w:jc w:val="both"/>
        <w:rPr>
          <w:rFonts w:eastAsia="Calibri"/>
          <w:b/>
          <w:i/>
          <w:noProof/>
          <w:szCs w:val="22"/>
        </w:rPr>
      </w:pPr>
      <w:r w:rsidRPr="007870ED">
        <w:rPr>
          <w:b/>
          <w:i/>
        </w:rPr>
        <w:t xml:space="preserve">Uiterlijk op ... [3 jaar na de datum van inwerkingtreding van deze wijzigingsverordening] dient de Commissie zo nodig bij het Europees Parlement en de Raad een wetgevingsvoorstel in om te zorgen voor de nodige financiële, personele en IT-middelen voor de instelling van het gemeenschappelijke geïntegreerde rapportagesysteem. </w:t>
      </w:r>
    </w:p>
    <w:p w:rsidR="0015189C" w:rsidRPr="007870ED" w:rsidRDefault="0015189C" w:rsidP="0015189C">
      <w:pPr>
        <w:widowControl/>
        <w:spacing w:before="120" w:after="120"/>
        <w:ind w:left="1418" w:hanging="567"/>
        <w:jc w:val="both"/>
        <w:rPr>
          <w:rFonts w:eastAsia="Calibri"/>
          <w:b/>
          <w:i/>
          <w:noProof/>
          <w:szCs w:val="22"/>
        </w:rPr>
      </w:pPr>
      <w:r w:rsidRPr="007870ED">
        <w:rPr>
          <w:b/>
          <w:i/>
        </w:rPr>
        <w:t>Uiterlijk op ... [3 jaar na de datum van inwerkingtreding van deze wijzigingsverordening] stelt de afwikkelingsraad samen met de andere autoriteiten het gemeenschappelijke geïntegreerde rapportagesysteem in.”</w:t>
      </w:r>
      <w:r w:rsidR="005B0F97" w:rsidRPr="007870ED">
        <w:rPr>
          <w:b/>
          <w:i/>
        </w:rPr>
        <w:t>;</w:t>
      </w:r>
    </w:p>
    <w:p w:rsidR="0015189C" w:rsidRPr="007870ED" w:rsidRDefault="0015189C" w:rsidP="0015189C">
      <w:pPr>
        <w:keepNext/>
        <w:widowControl/>
        <w:spacing w:before="360" w:after="120"/>
        <w:jc w:val="center"/>
        <w:rPr>
          <w:rFonts w:eastAsia="Calibri"/>
          <w:b/>
          <w:i/>
          <w:noProof/>
          <w:szCs w:val="22"/>
        </w:rPr>
      </w:pPr>
      <w:r w:rsidRPr="007870ED">
        <w:rPr>
          <w:b/>
          <w:i/>
        </w:rPr>
        <w:t>Artikel 4 ter</w:t>
      </w:r>
    </w:p>
    <w:p w:rsidR="0015189C" w:rsidRPr="007870ED" w:rsidRDefault="0015189C" w:rsidP="0015189C">
      <w:pPr>
        <w:widowControl/>
        <w:spacing w:before="120" w:after="120"/>
        <w:jc w:val="center"/>
        <w:rPr>
          <w:rFonts w:eastAsia="Calibri"/>
          <w:b/>
          <w:bCs/>
          <w:i/>
          <w:noProof/>
          <w:szCs w:val="22"/>
        </w:rPr>
      </w:pPr>
      <w:r w:rsidRPr="007870ED">
        <w:rPr>
          <w:b/>
          <w:i/>
        </w:rPr>
        <w:t>Wijzigingen van Verordening (EU) …/… tot oprichting van de Autoriteit voor de bestrijding van witwassen</w:t>
      </w:r>
    </w:p>
    <w:p w:rsidR="0015189C" w:rsidRPr="007870ED" w:rsidRDefault="0015189C" w:rsidP="0015189C">
      <w:pPr>
        <w:widowControl/>
        <w:spacing w:before="120" w:after="120"/>
        <w:jc w:val="both"/>
        <w:rPr>
          <w:rFonts w:eastAsia="Calibri"/>
          <w:b/>
          <w:i/>
          <w:noProof/>
          <w:szCs w:val="22"/>
        </w:rPr>
      </w:pPr>
      <w:r w:rsidRPr="007870ED">
        <w:rPr>
          <w:b/>
          <w:i/>
        </w:rPr>
        <w:t>Verordening (EU) .../...</w:t>
      </w:r>
      <w:r w:rsidR="004D58C2" w:rsidRPr="007870ED">
        <w:rPr>
          <w:rStyle w:val="FootnoteReference"/>
          <w:rFonts w:eastAsia="Calibri"/>
          <w:b/>
          <w:i/>
          <w:noProof/>
          <w:szCs w:val="22"/>
          <w:lang w:eastAsia="en-US"/>
        </w:rPr>
        <w:footnoteReference w:customMarkFollows="1" w:id="23"/>
        <w:sym w:font="Symbol" w:char="F02B"/>
      </w:r>
      <w:r w:rsidRPr="007870ED">
        <w:rPr>
          <w:b/>
          <w:i/>
        </w:rPr>
        <w:t xml:space="preserve"> wordt als volgt gewijzigd:</w:t>
      </w:r>
    </w:p>
    <w:p w:rsidR="0015189C" w:rsidRPr="007870ED" w:rsidRDefault="0015189C" w:rsidP="0015189C">
      <w:pPr>
        <w:widowControl/>
        <w:spacing w:before="120" w:after="120"/>
        <w:ind w:left="850" w:hanging="850"/>
        <w:jc w:val="both"/>
        <w:rPr>
          <w:rFonts w:eastAsia="Calibri"/>
          <w:b/>
          <w:i/>
          <w:szCs w:val="22"/>
        </w:rPr>
      </w:pPr>
      <w:r w:rsidRPr="007870ED">
        <w:rPr>
          <w:b/>
          <w:i/>
        </w:rPr>
        <w:t xml:space="preserve">1. </w:t>
      </w:r>
      <w:r w:rsidRPr="007870ED">
        <w:rPr>
          <w:b/>
          <w:i/>
        </w:rPr>
        <w:tab/>
        <w:t>Aan artikel 10, lid 2, wordt het volgende punt d) toegevoegd:</w:t>
      </w:r>
    </w:p>
    <w:p w:rsidR="0015189C" w:rsidRPr="007870ED" w:rsidRDefault="0015189C" w:rsidP="0015189C">
      <w:pPr>
        <w:widowControl/>
        <w:spacing w:before="120" w:after="120"/>
        <w:ind w:left="851"/>
        <w:jc w:val="both"/>
        <w:rPr>
          <w:rFonts w:eastAsia="Calibri"/>
          <w:b/>
          <w:i/>
          <w:szCs w:val="22"/>
        </w:rPr>
      </w:pPr>
      <w:r w:rsidRPr="007870ED">
        <w:rPr>
          <w:b/>
          <w:i/>
        </w:rPr>
        <w:t>“</w:t>
      </w:r>
      <w:proofErr w:type="gramStart"/>
      <w:r w:rsidRPr="007870ED">
        <w:rPr>
          <w:b/>
          <w:i/>
        </w:rPr>
        <w:t>d</w:t>
      </w:r>
      <w:proofErr w:type="gramEnd"/>
      <w:r w:rsidRPr="007870ED">
        <w:rPr>
          <w:b/>
          <w:i/>
        </w:rPr>
        <w:t xml:space="preserve">) </w:t>
      </w:r>
      <w:r w:rsidRPr="007870ED">
        <w:rPr>
          <w:b/>
          <w:i/>
        </w:rPr>
        <w:tab/>
        <w:t>evalueren van de toepassing van de desbetreffende door de Commissie vastgestelde technische reguleringsnormen en technische uitvoeringsnormen en van de door de Autoriteit gegeven richtsnoeren en aanbevelingen, en in voorkomend geval voorstellen van wijzigingen, met behoud van de bruikbaarheid en kwaliteit van de gegevens, teneinde:</w:t>
      </w:r>
    </w:p>
    <w:p w:rsidR="0015189C" w:rsidRPr="007870ED" w:rsidRDefault="0015189C" w:rsidP="0015189C">
      <w:pPr>
        <w:widowControl/>
        <w:spacing w:before="120" w:after="120"/>
        <w:ind w:left="720"/>
        <w:jc w:val="both"/>
        <w:rPr>
          <w:rFonts w:eastAsia="Calibri"/>
          <w:b/>
          <w:i/>
          <w:szCs w:val="22"/>
        </w:rPr>
      </w:pPr>
      <w:r w:rsidRPr="007870ED">
        <w:rPr>
          <w:b/>
          <w:i/>
        </w:rPr>
        <w:t>– overbodige of achterhaalde rapportage- en openbaarmakingsvereisten te schrappen;</w:t>
      </w:r>
    </w:p>
    <w:p w:rsidR="0015189C" w:rsidRPr="007870ED" w:rsidRDefault="0015189C" w:rsidP="0015189C">
      <w:pPr>
        <w:widowControl/>
        <w:spacing w:before="120" w:after="120"/>
        <w:ind w:left="720"/>
        <w:jc w:val="both"/>
        <w:rPr>
          <w:rFonts w:eastAsia="Calibri"/>
          <w:b/>
          <w:i/>
          <w:noProof/>
          <w:szCs w:val="22"/>
        </w:rPr>
      </w:pPr>
      <w:r w:rsidRPr="007870ED">
        <w:rPr>
          <w:b/>
          <w:i/>
        </w:rPr>
        <w:lastRenderedPageBreak/>
        <w:t>– te zorgen voor evenredige en gestandaardiseerde rapportage- en openbaarmakingsvereisten;</w:t>
      </w:r>
    </w:p>
    <w:p w:rsidR="0015189C" w:rsidRPr="007870ED" w:rsidRDefault="0015189C" w:rsidP="0015189C">
      <w:pPr>
        <w:widowControl/>
        <w:spacing w:before="120" w:after="120"/>
        <w:ind w:firstLine="720"/>
        <w:jc w:val="both"/>
        <w:rPr>
          <w:rFonts w:eastAsia="Calibri"/>
          <w:b/>
          <w:i/>
          <w:szCs w:val="22"/>
        </w:rPr>
      </w:pPr>
      <w:r w:rsidRPr="007870ED">
        <w:rPr>
          <w:b/>
          <w:i/>
        </w:rPr>
        <w:t>– de kosten tot een minimum te beperken</w:t>
      </w:r>
      <w:r w:rsidRPr="007870ED">
        <w:rPr>
          <w:b/>
          <w:bCs/>
          <w:i/>
          <w:iCs/>
        </w:rPr>
        <w:t>;</w:t>
      </w:r>
    </w:p>
    <w:p w:rsidR="0015189C" w:rsidRPr="007870ED" w:rsidRDefault="0015189C" w:rsidP="0015189C">
      <w:pPr>
        <w:widowControl/>
        <w:spacing w:before="120" w:after="120"/>
        <w:ind w:firstLine="720"/>
        <w:jc w:val="both"/>
        <w:rPr>
          <w:rFonts w:eastAsia="Calibri"/>
          <w:b/>
          <w:i/>
          <w:noProof/>
          <w:szCs w:val="22"/>
        </w:rPr>
      </w:pPr>
      <w:r w:rsidRPr="007870ED">
        <w:rPr>
          <w:b/>
          <w:i/>
        </w:rPr>
        <w:t>– lacunes in de regelgeving op te vullen;”</w:t>
      </w:r>
      <w:r w:rsidR="005B0F97" w:rsidRPr="007870ED">
        <w:rPr>
          <w:b/>
          <w:i/>
        </w:rPr>
        <w:t>;</w:t>
      </w:r>
    </w:p>
    <w:p w:rsidR="0015189C" w:rsidRPr="007870ED" w:rsidRDefault="0015189C" w:rsidP="0015189C">
      <w:pPr>
        <w:widowControl/>
        <w:spacing w:before="120" w:after="120"/>
        <w:ind w:left="850" w:hanging="850"/>
        <w:jc w:val="both"/>
        <w:rPr>
          <w:rFonts w:eastAsia="Calibri"/>
          <w:b/>
          <w:i/>
          <w:szCs w:val="22"/>
        </w:rPr>
      </w:pPr>
      <w:r w:rsidRPr="007870ED">
        <w:rPr>
          <w:b/>
          <w:i/>
        </w:rPr>
        <w:t xml:space="preserve">2. </w:t>
      </w:r>
      <w:r w:rsidRPr="007870ED">
        <w:rPr>
          <w:b/>
          <w:i/>
        </w:rPr>
        <w:tab/>
        <w:t>Aan artikel 16 wordt het volgende lid toegevoegd:</w:t>
      </w:r>
    </w:p>
    <w:p w:rsidR="0015189C" w:rsidRPr="007870ED" w:rsidRDefault="0015189C" w:rsidP="0015189C">
      <w:pPr>
        <w:widowControl/>
        <w:spacing w:before="120" w:after="120"/>
        <w:ind w:left="851"/>
        <w:jc w:val="both"/>
        <w:rPr>
          <w:rFonts w:eastAsia="Calibri"/>
          <w:b/>
          <w:i/>
          <w:noProof/>
          <w:szCs w:val="22"/>
        </w:rPr>
      </w:pPr>
      <w:r w:rsidRPr="007870ED">
        <w:rPr>
          <w:b/>
          <w:i/>
        </w:rPr>
        <w:t xml:space="preserve">“3 bis. </w:t>
      </w:r>
      <w:r w:rsidRPr="007870ED">
        <w:rPr>
          <w:b/>
          <w:i/>
        </w:rPr>
        <w:tab/>
        <w:t>Voordat er overeenkomstig dit artikel om informatie wordt gevraagd en om dubbele rapportage- en openbaarmakingsverplichtingen te vermijden, maakt de Autoriteit gebruik van informatie verzameld door de in artikel 16 bis, lid 3, bedoelde andere autoriteiten en de bestaande statistieken, zoals opgemaakt en verspreid door het Europees statistisch systeem en het Europees Stelsel van centrale banken.”</w:t>
      </w:r>
      <w:r w:rsidR="005B0F97" w:rsidRPr="007870ED">
        <w:rPr>
          <w:b/>
          <w:i/>
        </w:rPr>
        <w:t>;</w:t>
      </w:r>
    </w:p>
    <w:p w:rsidR="0015189C" w:rsidRPr="007870ED" w:rsidRDefault="0015189C" w:rsidP="0015189C">
      <w:pPr>
        <w:widowControl/>
        <w:spacing w:before="120" w:after="120"/>
        <w:jc w:val="both"/>
        <w:rPr>
          <w:rFonts w:eastAsia="Calibri"/>
          <w:b/>
          <w:i/>
          <w:noProof/>
          <w:szCs w:val="22"/>
          <w:lang w:eastAsia="en-US"/>
        </w:rPr>
      </w:pPr>
    </w:p>
    <w:p w:rsidR="0015189C" w:rsidRPr="007870ED" w:rsidRDefault="0015189C" w:rsidP="0015189C">
      <w:pPr>
        <w:widowControl/>
        <w:spacing w:before="120" w:after="120"/>
        <w:ind w:left="850" w:hanging="850"/>
        <w:jc w:val="both"/>
        <w:rPr>
          <w:rFonts w:eastAsia="Calibri"/>
          <w:b/>
          <w:i/>
          <w:szCs w:val="22"/>
        </w:rPr>
      </w:pPr>
      <w:r w:rsidRPr="007870ED">
        <w:rPr>
          <w:b/>
          <w:i/>
        </w:rPr>
        <w:t xml:space="preserve">3. </w:t>
      </w:r>
      <w:r w:rsidRPr="007870ED">
        <w:rPr>
          <w:b/>
          <w:i/>
        </w:rPr>
        <w:tab/>
        <w:t>Het volgende artikel wordt ingevoegd:</w:t>
      </w:r>
    </w:p>
    <w:p w:rsidR="0015189C" w:rsidRPr="007870ED" w:rsidRDefault="0015189C" w:rsidP="0015189C">
      <w:pPr>
        <w:widowControl/>
        <w:spacing w:before="120" w:after="120"/>
        <w:jc w:val="center"/>
        <w:rPr>
          <w:rFonts w:eastAsia="Calibri"/>
          <w:b/>
          <w:i/>
          <w:noProof/>
          <w:szCs w:val="22"/>
        </w:rPr>
      </w:pPr>
      <w:r w:rsidRPr="007870ED">
        <w:rPr>
          <w:b/>
          <w:i/>
        </w:rPr>
        <w:t>“Artikel 16 bis</w:t>
      </w:r>
    </w:p>
    <w:p w:rsidR="0015189C" w:rsidRPr="007870ED" w:rsidRDefault="0015189C" w:rsidP="0015189C">
      <w:pPr>
        <w:widowControl/>
        <w:spacing w:before="120" w:after="120"/>
        <w:jc w:val="center"/>
        <w:rPr>
          <w:rFonts w:eastAsia="Calibri"/>
          <w:b/>
          <w:bCs/>
          <w:i/>
          <w:noProof/>
          <w:szCs w:val="22"/>
        </w:rPr>
      </w:pPr>
      <w:r w:rsidRPr="007870ED">
        <w:rPr>
          <w:b/>
          <w:i/>
        </w:rPr>
        <w:t>Uitwisseling van informatie tussen autoriteiten en met andere entiteiten</w:t>
      </w:r>
    </w:p>
    <w:p w:rsidR="0015189C" w:rsidRPr="007870ED" w:rsidRDefault="0015189C" w:rsidP="0015189C">
      <w:pPr>
        <w:widowControl/>
        <w:spacing w:before="120" w:after="120"/>
        <w:ind w:left="851" w:hanging="851"/>
        <w:jc w:val="both"/>
        <w:rPr>
          <w:rFonts w:eastAsia="Calibri"/>
          <w:b/>
          <w:i/>
          <w:noProof/>
          <w:szCs w:val="22"/>
        </w:rPr>
      </w:pPr>
      <w:r w:rsidRPr="007870ED">
        <w:rPr>
          <w:b/>
          <w:i/>
        </w:rPr>
        <w:t xml:space="preserve">1. </w:t>
      </w:r>
      <w:r w:rsidRPr="007870ED">
        <w:rPr>
          <w:b/>
          <w:i/>
        </w:rPr>
        <w:tab/>
        <w:t xml:space="preserve">De Autoriteit en de toezichthoudende autoriteiten delen, per geval of op regelmatige basis, met de andere autoriteiten informatie die deze van </w:t>
      </w:r>
      <w:proofErr w:type="spellStart"/>
      <w:r w:rsidRPr="007870ED">
        <w:rPr>
          <w:b/>
          <w:i/>
        </w:rPr>
        <w:t>meldingsplichtige</w:t>
      </w:r>
      <w:proofErr w:type="spellEnd"/>
      <w:r w:rsidRPr="007870ED">
        <w:rPr>
          <w:b/>
          <w:i/>
        </w:rPr>
        <w:t xml:space="preserve"> entiteiten of andere bevoegde autoriteiten hebben verkregen indien de verzoekende autoriteit krachtens haar opdracht, doelstellingen, taken en bevoegdheden of overeenkomstig desbetreffend Unierecht bevoegd is die informatie te verkrijgen.</w:t>
      </w:r>
    </w:p>
    <w:p w:rsidR="0015189C" w:rsidRPr="007870ED" w:rsidRDefault="0015189C" w:rsidP="0015189C">
      <w:pPr>
        <w:widowControl/>
        <w:spacing w:before="120" w:after="120"/>
        <w:ind w:left="851"/>
        <w:jc w:val="both"/>
        <w:rPr>
          <w:rFonts w:eastAsia="Calibri"/>
          <w:b/>
          <w:i/>
          <w:noProof/>
          <w:szCs w:val="22"/>
        </w:rPr>
      </w:pPr>
      <w:r w:rsidRPr="007870ED">
        <w:rPr>
          <w:b/>
          <w:i/>
        </w:rPr>
        <w:t>Voor het delen van de informatie als bedoeld in de eerste alinea van dit lid maakt de Autoriteit of de toezichthoudende autoriteit gebruik van het in artikel 16 bis bedoelde gemeenschappelijke geïntegreerde rapportagesysteem zodra dat is ingesteld.</w:t>
      </w:r>
    </w:p>
    <w:p w:rsidR="0015189C" w:rsidRPr="007870ED" w:rsidRDefault="0015189C" w:rsidP="0015189C">
      <w:pPr>
        <w:widowControl/>
        <w:spacing w:before="120" w:after="120"/>
        <w:ind w:left="851" w:hanging="851"/>
        <w:jc w:val="both"/>
        <w:rPr>
          <w:rFonts w:eastAsia="Calibri"/>
          <w:b/>
          <w:i/>
          <w:noProof/>
          <w:szCs w:val="22"/>
        </w:rPr>
      </w:pPr>
      <w:r w:rsidRPr="007870ED">
        <w:rPr>
          <w:b/>
          <w:i/>
        </w:rPr>
        <w:t xml:space="preserve">2. </w:t>
      </w:r>
      <w:r w:rsidRPr="007870ED">
        <w:rPr>
          <w:b/>
          <w:i/>
        </w:rPr>
        <w:tab/>
        <w:t xml:space="preserve">De Autoriteit en de toezichthoudende autoriteiten verzoeken elk bij de andere autoriteiten om informatie die zij anders zouden opvragen bij </w:t>
      </w:r>
      <w:proofErr w:type="spellStart"/>
      <w:r w:rsidRPr="007870ED">
        <w:rPr>
          <w:b/>
          <w:i/>
        </w:rPr>
        <w:t>meldingsplichtige</w:t>
      </w:r>
      <w:proofErr w:type="spellEnd"/>
      <w:r w:rsidRPr="007870ED">
        <w:rPr>
          <w:b/>
          <w:i/>
        </w:rPr>
        <w:t xml:space="preserve"> entiteiten of andere bevoegde autoriteiten, indien aan beide volgende voorwaarden wordt voldaan:</w:t>
      </w:r>
    </w:p>
    <w:p w:rsidR="0015189C" w:rsidRPr="007870ED" w:rsidRDefault="0015189C" w:rsidP="0015189C">
      <w:pPr>
        <w:widowControl/>
        <w:spacing w:before="120" w:after="120"/>
        <w:ind w:left="851"/>
        <w:jc w:val="both"/>
        <w:rPr>
          <w:rFonts w:eastAsia="Calibri"/>
          <w:b/>
          <w:i/>
          <w:noProof/>
          <w:szCs w:val="22"/>
        </w:rPr>
      </w:pPr>
      <w:r w:rsidRPr="007870ED">
        <w:rPr>
          <w:b/>
          <w:i/>
        </w:rPr>
        <w:t xml:space="preserve">a) </w:t>
      </w:r>
      <w:r w:rsidRPr="007870ED">
        <w:rPr>
          <w:b/>
          <w:i/>
        </w:rPr>
        <w:tab/>
        <w:t>zij hebben krachtens hun opdracht, doelstellingen, taken en bevoegdheden of overeenkomstig desbetreffend Unierecht het recht die informatie te verkrijgen;</w:t>
      </w:r>
    </w:p>
    <w:p w:rsidR="0015189C" w:rsidRPr="007870ED" w:rsidRDefault="0015189C" w:rsidP="0015189C">
      <w:pPr>
        <w:widowControl/>
        <w:spacing w:before="120" w:after="120"/>
        <w:ind w:left="851"/>
        <w:jc w:val="both"/>
        <w:rPr>
          <w:rFonts w:eastAsia="Calibri"/>
          <w:b/>
          <w:i/>
          <w:noProof/>
          <w:szCs w:val="22"/>
        </w:rPr>
      </w:pPr>
      <w:r w:rsidRPr="007870ED">
        <w:rPr>
          <w:b/>
          <w:i/>
        </w:rPr>
        <w:t xml:space="preserve">b) </w:t>
      </w:r>
      <w:r w:rsidRPr="007870ED">
        <w:rPr>
          <w:b/>
          <w:i/>
        </w:rPr>
        <w:tab/>
        <w:t>die informatie is verkregen door ten minste een van de andere autoriteiten.</w:t>
      </w:r>
    </w:p>
    <w:p w:rsidR="0015189C" w:rsidRPr="007870ED" w:rsidRDefault="0015189C" w:rsidP="0015189C">
      <w:pPr>
        <w:widowControl/>
        <w:spacing w:before="120" w:after="120"/>
        <w:ind w:left="851"/>
        <w:jc w:val="both"/>
        <w:rPr>
          <w:rFonts w:eastAsia="Calibri"/>
          <w:b/>
          <w:i/>
          <w:noProof/>
          <w:szCs w:val="22"/>
        </w:rPr>
      </w:pPr>
      <w:r w:rsidRPr="007870ED">
        <w:rPr>
          <w:b/>
          <w:i/>
        </w:rPr>
        <w:t>De eerste alinea laat onverlet dat de Autoriteit en de bevoegde autoriteiten die informatie kunnen verkrijgen van financiële instellingen of andere bevoegde autoriteiten indien de andere autoriteit om operationele redenen niet in staat is de gegevens te delen.</w:t>
      </w:r>
    </w:p>
    <w:p w:rsidR="0015189C" w:rsidRPr="007870ED" w:rsidRDefault="0015189C" w:rsidP="0015189C">
      <w:pPr>
        <w:widowControl/>
        <w:spacing w:before="120" w:after="120"/>
        <w:ind w:left="851"/>
        <w:jc w:val="both"/>
        <w:rPr>
          <w:rFonts w:eastAsia="Calibri"/>
          <w:b/>
          <w:i/>
          <w:noProof/>
          <w:szCs w:val="22"/>
        </w:rPr>
      </w:pPr>
      <w:r w:rsidRPr="007870ED">
        <w:rPr>
          <w:b/>
          <w:i/>
        </w:rPr>
        <w:t>Om te bepalen of aan de in punt b) van de eerste alinea genoemde voorwaarde is voldaan, maken de Autoriteit en de toezichthoudende autoriteiten gebruik van het in artikel 16 ter bedoelde gemeenschappelijke geïntegreerde rapportagesysteem zodra dat is ingesteld.</w:t>
      </w:r>
    </w:p>
    <w:p w:rsidR="0015189C" w:rsidRPr="007870ED" w:rsidRDefault="0015189C" w:rsidP="0015189C">
      <w:pPr>
        <w:widowControl/>
        <w:spacing w:before="120" w:after="120"/>
        <w:ind w:left="851" w:hanging="851"/>
        <w:jc w:val="both"/>
        <w:rPr>
          <w:rFonts w:eastAsia="Calibri"/>
          <w:b/>
          <w:i/>
          <w:noProof/>
          <w:szCs w:val="22"/>
        </w:rPr>
      </w:pPr>
      <w:r w:rsidRPr="007870ED">
        <w:rPr>
          <w:b/>
          <w:i/>
        </w:rPr>
        <w:t xml:space="preserve">3. </w:t>
      </w:r>
      <w:r w:rsidRPr="007870ED">
        <w:rPr>
          <w:b/>
          <w:i/>
        </w:rPr>
        <w:tab/>
        <w:t>Voor de toepassing van dit artikel, artikel 16, lid 3 bis, en artikel 16 ter wordt onder “andere autoriteiten” elke van de volgende autoriteiten verstaan:</w:t>
      </w:r>
    </w:p>
    <w:p w:rsidR="0015189C" w:rsidRPr="007870ED" w:rsidRDefault="0015189C" w:rsidP="0015189C">
      <w:pPr>
        <w:widowControl/>
        <w:spacing w:before="120" w:after="120"/>
        <w:ind w:left="1418" w:hanging="567"/>
        <w:jc w:val="both"/>
        <w:rPr>
          <w:rFonts w:eastAsia="Calibri"/>
          <w:b/>
          <w:i/>
          <w:noProof/>
          <w:szCs w:val="22"/>
        </w:rPr>
      </w:pPr>
      <w:r w:rsidRPr="007870ED">
        <w:rPr>
          <w:b/>
          <w:i/>
        </w:rPr>
        <w:t xml:space="preserve">a) </w:t>
      </w:r>
      <w:r w:rsidRPr="007870ED">
        <w:rPr>
          <w:b/>
          <w:i/>
        </w:rPr>
        <w:tab/>
        <w:t>de Europese toezichthoudende autoriteiten;</w:t>
      </w:r>
    </w:p>
    <w:p w:rsidR="0015189C" w:rsidRPr="007870ED" w:rsidRDefault="0015189C" w:rsidP="0015189C">
      <w:pPr>
        <w:widowControl/>
        <w:spacing w:before="120" w:after="120"/>
        <w:ind w:left="1418" w:hanging="567"/>
        <w:jc w:val="both"/>
        <w:rPr>
          <w:rFonts w:eastAsia="Calibri"/>
          <w:b/>
          <w:i/>
          <w:noProof/>
          <w:szCs w:val="22"/>
        </w:rPr>
      </w:pPr>
      <w:r w:rsidRPr="007870ED">
        <w:rPr>
          <w:b/>
          <w:i/>
        </w:rPr>
        <w:t xml:space="preserve">b) </w:t>
      </w:r>
      <w:r w:rsidRPr="007870ED">
        <w:rPr>
          <w:b/>
          <w:i/>
        </w:rPr>
        <w:tab/>
        <w:t>het ESRB;</w:t>
      </w:r>
    </w:p>
    <w:p w:rsidR="0015189C" w:rsidRPr="007870ED" w:rsidRDefault="0015189C" w:rsidP="0015189C">
      <w:pPr>
        <w:widowControl/>
        <w:spacing w:before="120" w:after="120"/>
        <w:ind w:left="1418" w:hanging="567"/>
        <w:jc w:val="both"/>
        <w:rPr>
          <w:rFonts w:eastAsia="Calibri"/>
          <w:b/>
          <w:i/>
          <w:noProof/>
          <w:szCs w:val="22"/>
        </w:rPr>
      </w:pPr>
      <w:r w:rsidRPr="007870ED">
        <w:rPr>
          <w:b/>
          <w:i/>
        </w:rPr>
        <w:lastRenderedPageBreak/>
        <w:t xml:space="preserve">c) </w:t>
      </w:r>
      <w:r w:rsidRPr="007870ED">
        <w:rPr>
          <w:b/>
          <w:i/>
        </w:rPr>
        <w:tab/>
        <w:t>bevoegde autoriteiten zoals gedefinieerd in artikel 4, punt 2, van Verordening (EU) nr. 1093/2010;</w:t>
      </w:r>
    </w:p>
    <w:p w:rsidR="0015189C" w:rsidRPr="007870ED" w:rsidRDefault="0015189C" w:rsidP="0015189C">
      <w:pPr>
        <w:widowControl/>
        <w:spacing w:before="120" w:after="120"/>
        <w:ind w:left="1418" w:hanging="567"/>
        <w:jc w:val="both"/>
        <w:rPr>
          <w:rFonts w:eastAsia="Calibri"/>
          <w:b/>
          <w:i/>
          <w:noProof/>
          <w:szCs w:val="22"/>
        </w:rPr>
      </w:pPr>
      <w:r w:rsidRPr="007870ED">
        <w:rPr>
          <w:b/>
          <w:i/>
        </w:rPr>
        <w:t xml:space="preserve">d) </w:t>
      </w:r>
      <w:r w:rsidRPr="007870ED">
        <w:rPr>
          <w:b/>
          <w:i/>
        </w:rPr>
        <w:tab/>
        <w:t>bevoegde autoriteiten zoals gedefinieerd in artikel 4, punt 2, van Verordening (EU) nr. 1094/2010;</w:t>
      </w:r>
    </w:p>
    <w:p w:rsidR="0015189C" w:rsidRPr="007870ED" w:rsidRDefault="0015189C" w:rsidP="0015189C">
      <w:pPr>
        <w:widowControl/>
        <w:spacing w:before="120" w:after="120"/>
        <w:ind w:left="1418" w:hanging="567"/>
        <w:jc w:val="both"/>
        <w:rPr>
          <w:rFonts w:eastAsia="Calibri"/>
          <w:b/>
          <w:i/>
          <w:noProof/>
          <w:szCs w:val="22"/>
        </w:rPr>
      </w:pPr>
      <w:r w:rsidRPr="007870ED">
        <w:rPr>
          <w:b/>
          <w:i/>
        </w:rPr>
        <w:t xml:space="preserve">e) </w:t>
      </w:r>
      <w:r w:rsidRPr="007870ED">
        <w:rPr>
          <w:b/>
          <w:i/>
        </w:rPr>
        <w:tab/>
        <w:t>bevoegde autoriteiten zoals gedefinieerd in artikel 4, punt 3, van Verordening (EU) nr. 1095/2010;</w:t>
      </w:r>
    </w:p>
    <w:p w:rsidR="0015189C" w:rsidRPr="007870ED" w:rsidRDefault="0015189C" w:rsidP="0015189C">
      <w:pPr>
        <w:widowControl/>
        <w:spacing w:before="120" w:after="120"/>
        <w:ind w:left="1418" w:hanging="567"/>
        <w:jc w:val="both"/>
        <w:rPr>
          <w:rFonts w:eastAsia="Calibri"/>
          <w:b/>
          <w:i/>
          <w:noProof/>
          <w:szCs w:val="22"/>
        </w:rPr>
      </w:pPr>
      <w:r w:rsidRPr="007870ED">
        <w:rPr>
          <w:b/>
          <w:i/>
        </w:rPr>
        <w:t>f)</w:t>
      </w:r>
      <w:r w:rsidRPr="007870ED">
        <w:rPr>
          <w:b/>
          <w:i/>
        </w:rPr>
        <w:tab/>
        <w:t xml:space="preserve"> autoriteiten zoals gedefinieerd in artikel 2, punt 1, van Richtlijn (EU) …/… van het Europees Parlement en de Raad</w:t>
      </w:r>
      <w:r w:rsidR="004D58C2" w:rsidRPr="007870ED">
        <w:rPr>
          <w:rStyle w:val="FootnoteReference"/>
          <w:rFonts w:eastAsia="Calibri"/>
          <w:b/>
          <w:i/>
          <w:noProof/>
          <w:szCs w:val="22"/>
          <w:lang w:eastAsia="en-US"/>
        </w:rPr>
        <w:footnoteReference w:customMarkFollows="1" w:id="24"/>
        <w:sym w:font="Symbol" w:char="F02B"/>
      </w:r>
      <w:r w:rsidRPr="007870ED">
        <w:rPr>
          <w:b/>
          <w:i/>
        </w:rPr>
        <w:t>;</w:t>
      </w:r>
    </w:p>
    <w:p w:rsidR="0015189C" w:rsidRPr="007870ED" w:rsidRDefault="0015189C" w:rsidP="0015189C">
      <w:pPr>
        <w:widowControl/>
        <w:spacing w:before="120" w:after="120"/>
        <w:ind w:left="1418" w:hanging="567"/>
        <w:jc w:val="both"/>
        <w:rPr>
          <w:rFonts w:eastAsia="Calibri"/>
          <w:b/>
          <w:i/>
          <w:noProof/>
          <w:szCs w:val="22"/>
        </w:rPr>
      </w:pPr>
      <w:r w:rsidRPr="007870ED">
        <w:rPr>
          <w:b/>
          <w:i/>
        </w:rPr>
        <w:t xml:space="preserve">g) </w:t>
      </w:r>
      <w:r w:rsidRPr="007870ED">
        <w:rPr>
          <w:b/>
          <w:i/>
        </w:rPr>
        <w:tab/>
        <w:t>bevoegde autoriteiten zoals gedefinieerd in artikel 2, punt 2, van Verordening (EU) nr. 575/2013;</w:t>
      </w:r>
    </w:p>
    <w:p w:rsidR="0015189C" w:rsidRPr="007870ED" w:rsidRDefault="0015189C" w:rsidP="0015189C">
      <w:pPr>
        <w:widowControl/>
        <w:spacing w:before="120" w:after="120"/>
        <w:ind w:left="1418" w:hanging="567"/>
        <w:jc w:val="both"/>
        <w:rPr>
          <w:rFonts w:eastAsia="Calibri"/>
          <w:b/>
          <w:i/>
          <w:noProof/>
          <w:szCs w:val="22"/>
        </w:rPr>
      </w:pPr>
      <w:r w:rsidRPr="007870ED">
        <w:rPr>
          <w:b/>
          <w:i/>
        </w:rPr>
        <w:t xml:space="preserve">h) </w:t>
      </w:r>
      <w:r w:rsidRPr="007870ED">
        <w:rPr>
          <w:b/>
          <w:i/>
        </w:rPr>
        <w:tab/>
        <w:t>de GAR;</w:t>
      </w:r>
    </w:p>
    <w:p w:rsidR="0015189C" w:rsidRPr="007870ED" w:rsidRDefault="0015189C" w:rsidP="0015189C">
      <w:pPr>
        <w:widowControl/>
        <w:spacing w:before="120" w:after="120"/>
        <w:ind w:left="1418" w:hanging="567"/>
        <w:jc w:val="both"/>
        <w:rPr>
          <w:rFonts w:eastAsia="Calibri"/>
          <w:b/>
          <w:i/>
          <w:noProof/>
          <w:szCs w:val="22"/>
        </w:rPr>
      </w:pPr>
      <w:r w:rsidRPr="007870ED">
        <w:rPr>
          <w:b/>
          <w:i/>
        </w:rPr>
        <w:t xml:space="preserve">i) </w:t>
      </w:r>
      <w:r w:rsidRPr="007870ED">
        <w:rPr>
          <w:b/>
          <w:i/>
        </w:rPr>
        <w:tab/>
        <w:t>nationale afwikkelingsautoriteiten zoals gedefinieerd in artikel 3, punt 3, van Verordening (EU) nr. 806/2014.</w:t>
      </w:r>
    </w:p>
    <w:p w:rsidR="0015189C" w:rsidRPr="007870ED" w:rsidRDefault="0015189C" w:rsidP="0015189C">
      <w:pPr>
        <w:widowControl/>
        <w:spacing w:before="120" w:after="120"/>
        <w:ind w:left="1418" w:hanging="567"/>
        <w:jc w:val="both"/>
        <w:rPr>
          <w:rFonts w:eastAsia="Calibri"/>
          <w:b/>
          <w:i/>
          <w:noProof/>
          <w:szCs w:val="22"/>
        </w:rPr>
      </w:pPr>
      <w:r w:rsidRPr="007870ED">
        <w:rPr>
          <w:b/>
          <w:i/>
        </w:rPr>
        <w:t xml:space="preserve">j) </w:t>
      </w:r>
      <w:r w:rsidRPr="007870ED">
        <w:rPr>
          <w:b/>
          <w:i/>
        </w:rPr>
        <w:tab/>
        <w:t>het GTM zoals gedefinieerd in artikel 2, punt 9, van Verordening (EU) nr. 1024/2013;</w:t>
      </w:r>
    </w:p>
    <w:p w:rsidR="0015189C" w:rsidRPr="007870ED" w:rsidRDefault="0015189C" w:rsidP="0015189C">
      <w:pPr>
        <w:widowControl/>
        <w:spacing w:before="120" w:after="120"/>
        <w:ind w:left="851"/>
        <w:jc w:val="both"/>
        <w:rPr>
          <w:rFonts w:eastAsia="Calibri"/>
          <w:b/>
          <w:i/>
          <w:noProof/>
          <w:szCs w:val="22"/>
        </w:rPr>
      </w:pPr>
      <w:r w:rsidRPr="007870ED">
        <w:rPr>
          <w:b/>
          <w:i/>
        </w:rPr>
        <w:t>Voor de toepassing van dit artikel is een “financiële instelling” een financiële instelling zoals gedefinieerd in artikel 2, punt a), van Verordening (EU) nr. 1092/2010.</w:t>
      </w:r>
    </w:p>
    <w:p w:rsidR="0015189C" w:rsidRPr="007870ED" w:rsidRDefault="0015189C" w:rsidP="0015189C">
      <w:pPr>
        <w:widowControl/>
        <w:spacing w:before="120" w:after="120"/>
        <w:ind w:left="851" w:hanging="851"/>
        <w:jc w:val="both"/>
        <w:rPr>
          <w:rFonts w:eastAsia="Calibri"/>
          <w:b/>
          <w:i/>
          <w:noProof/>
          <w:szCs w:val="22"/>
        </w:rPr>
      </w:pPr>
      <w:r w:rsidRPr="007870ED">
        <w:rPr>
          <w:b/>
          <w:i/>
        </w:rPr>
        <w:t xml:space="preserve">4. </w:t>
      </w:r>
      <w:r w:rsidRPr="007870ED">
        <w:rPr>
          <w:b/>
          <w:i/>
        </w:rPr>
        <w:tab/>
        <w:t xml:space="preserve">Het verzoek tot uitwisseling van informatie vermeldt duidelijk de rechtsgrondslag in het Unierecht die de verzoekende autoriteit toestaat om de informatie te verkrijgen van in dat lid bedoelde </w:t>
      </w:r>
      <w:proofErr w:type="spellStart"/>
      <w:r w:rsidRPr="007870ED">
        <w:rPr>
          <w:b/>
          <w:i/>
        </w:rPr>
        <w:t>meldingsplichtige</w:t>
      </w:r>
      <w:proofErr w:type="spellEnd"/>
      <w:r w:rsidRPr="007870ED">
        <w:rPr>
          <w:b/>
          <w:i/>
        </w:rPr>
        <w:t xml:space="preserve"> entiteiten of andere bevoegde autoriteiten. De verzoekende autoriteit en de delende autoriteit zijn onderworpen aan het ambtsgeheim en aan bepalingen inzake gegevensbescherming die zijn vastgesteld in de artikelen 75 en 84 en in sectorale wetgeving die van toepassing is op het delen van gegevens tussen de </w:t>
      </w:r>
      <w:proofErr w:type="spellStart"/>
      <w:r w:rsidRPr="007870ED">
        <w:rPr>
          <w:b/>
          <w:i/>
        </w:rPr>
        <w:t>meldingsplichtige</w:t>
      </w:r>
      <w:proofErr w:type="spellEnd"/>
      <w:r w:rsidRPr="007870ED">
        <w:rPr>
          <w:b/>
          <w:i/>
        </w:rPr>
        <w:t xml:space="preserve"> entiteit en de verzoekende autoriteit, alsmede op het delen van data tussen de </w:t>
      </w:r>
      <w:proofErr w:type="spellStart"/>
      <w:r w:rsidRPr="007870ED">
        <w:rPr>
          <w:b/>
          <w:i/>
        </w:rPr>
        <w:t>meldingsplichtige</w:t>
      </w:r>
      <w:proofErr w:type="spellEnd"/>
      <w:r w:rsidRPr="007870ED">
        <w:rPr>
          <w:b/>
          <w:i/>
        </w:rPr>
        <w:t xml:space="preserve"> entiteit en de delende autoriteit. De delende autoriteit stelt elke betrokken </w:t>
      </w:r>
      <w:proofErr w:type="spellStart"/>
      <w:r w:rsidRPr="007870ED">
        <w:rPr>
          <w:b/>
          <w:i/>
        </w:rPr>
        <w:t>meldingsplichtige</w:t>
      </w:r>
      <w:proofErr w:type="spellEnd"/>
      <w:r w:rsidRPr="007870ED">
        <w:rPr>
          <w:b/>
          <w:i/>
        </w:rPr>
        <w:t xml:space="preserve"> entiteit onverwijld in kennis van dit soort informatie-uitwisseling, tenzij de informatie is geanonimiseerd, gewijzigd, geaggregeerd of behandeld met een andere methode van openbaarmakingscontrole om vertrouwelijke informatie te beschermen.</w:t>
      </w:r>
    </w:p>
    <w:p w:rsidR="0015189C" w:rsidRPr="007870ED" w:rsidRDefault="0015189C" w:rsidP="0015189C">
      <w:pPr>
        <w:widowControl/>
        <w:spacing w:before="120" w:after="120"/>
        <w:ind w:left="851" w:hanging="851"/>
        <w:jc w:val="both"/>
        <w:rPr>
          <w:rFonts w:eastAsia="Calibri"/>
          <w:b/>
          <w:i/>
          <w:noProof/>
          <w:szCs w:val="22"/>
        </w:rPr>
      </w:pPr>
      <w:r w:rsidRPr="007870ED">
        <w:rPr>
          <w:b/>
          <w:i/>
        </w:rPr>
        <w:t xml:space="preserve">5. </w:t>
      </w:r>
      <w:r w:rsidRPr="007870ED">
        <w:rPr>
          <w:b/>
          <w:i/>
        </w:rPr>
        <w:tab/>
        <w:t xml:space="preserve">De leden 1, 2 en 4 zijn ook van toepassing op informatie die de delende autoriteit van een </w:t>
      </w:r>
      <w:proofErr w:type="spellStart"/>
      <w:r w:rsidRPr="007870ED">
        <w:rPr>
          <w:b/>
          <w:i/>
        </w:rPr>
        <w:t>meldingsplichtige</w:t>
      </w:r>
      <w:proofErr w:type="spellEnd"/>
      <w:r w:rsidRPr="007870ED">
        <w:rPr>
          <w:b/>
          <w:i/>
        </w:rPr>
        <w:t xml:space="preserve"> entiteit of een andere autoriteit heeft ontvangen en waarop de delende autoriteit vervolgens kwaliteitschecks heeft uitgevoerd of die de delende autoriteit anderszins heeft verwerkt.</w:t>
      </w:r>
    </w:p>
    <w:p w:rsidR="0015189C" w:rsidRPr="007870ED" w:rsidRDefault="0015189C" w:rsidP="0015189C">
      <w:pPr>
        <w:widowControl/>
        <w:spacing w:before="120" w:after="120"/>
        <w:ind w:left="851" w:hanging="851"/>
        <w:jc w:val="both"/>
        <w:rPr>
          <w:rFonts w:eastAsia="Calibri"/>
          <w:b/>
          <w:i/>
          <w:noProof/>
          <w:szCs w:val="22"/>
        </w:rPr>
      </w:pPr>
      <w:r w:rsidRPr="007870ED">
        <w:rPr>
          <w:b/>
          <w:i/>
        </w:rPr>
        <w:t>6.</w:t>
      </w:r>
      <w:r w:rsidRPr="007870ED">
        <w:rPr>
          <w:b/>
          <w:i/>
        </w:rPr>
        <w:tab/>
        <w:t xml:space="preserve"> Voor het delen van informatie zoals bedoeld in de leden 1, 2, 4 en 5, sluiten de Autoriteiten en de andere autoriteiten memoranda van overeenstemming waarin de concrete voorwaarden voor het uitwisselen van informatie zijn vastgelegd. </w:t>
      </w:r>
      <w:r w:rsidRPr="007870ED">
        <w:rPr>
          <w:b/>
          <w:bCs/>
          <w:i/>
          <w:iCs/>
        </w:rPr>
        <w:t>Zij stellen ook regelingen vast voor het delen van middelen om die gedeelde data te verzamelen en te verwerken, op voorwaarde dat die regelingen aan de toepasselijke regels inzake gegevensbescherming, intellectuele eigendom en het beroepsgeheim voldoen.</w:t>
      </w:r>
      <w:r w:rsidRPr="007870ED">
        <w:rPr>
          <w:b/>
          <w:i/>
        </w:rPr>
        <w:t xml:space="preserve"> De memoranda van overeenstemming volgen in onderlinge overeenstemming tussen </w:t>
      </w:r>
      <w:r w:rsidRPr="007870ED">
        <w:rPr>
          <w:b/>
          <w:i/>
        </w:rPr>
        <w:lastRenderedPageBreak/>
        <w:t>alle betrokken autoriteiten een eenvoudig en gestandaardiseerd formaat, zo nodig aangepast aan eventuele bijzondere werkwijzen bij specifieke autoriteiten.</w:t>
      </w:r>
    </w:p>
    <w:p w:rsidR="0015189C" w:rsidRPr="007870ED" w:rsidRDefault="0015189C" w:rsidP="0015189C">
      <w:pPr>
        <w:widowControl/>
        <w:spacing w:before="120" w:after="120"/>
        <w:ind w:left="851" w:hanging="851"/>
        <w:jc w:val="both"/>
        <w:rPr>
          <w:rFonts w:eastAsia="Calibri"/>
          <w:b/>
          <w:i/>
          <w:noProof/>
          <w:szCs w:val="22"/>
        </w:rPr>
      </w:pPr>
      <w:r w:rsidRPr="007870ED">
        <w:rPr>
          <w:b/>
          <w:i/>
        </w:rPr>
        <w:t xml:space="preserve">7. </w:t>
      </w:r>
      <w:r w:rsidRPr="007870ED">
        <w:rPr>
          <w:b/>
          <w:i/>
        </w:rPr>
        <w:tab/>
        <w:t xml:space="preserve">De leden 1 tot en met 6 laten de bescherming van intellectuele-eigendomsrechten onverlet en vormen geen beletsel voor of beperking van de uitwisseling van informatie tussen de </w:t>
      </w:r>
      <w:r w:rsidRPr="007870ED">
        <w:rPr>
          <w:b/>
          <w:bCs/>
          <w:i/>
          <w:iCs/>
        </w:rPr>
        <w:t>Autoriteit en de andere</w:t>
      </w:r>
      <w:r w:rsidRPr="007870ED">
        <w:rPr>
          <w:b/>
          <w:i/>
        </w:rPr>
        <w:t xml:space="preserve"> autoriteiten overeenkomstig bepalingen in andere Uniewetgeving. Wanneer het in dit artikel bepaalde in strijd is met bepalingen in deze verordening of andere Uniewetgeving die de uitwisseling van informatie tussen de andere autoriteiten beregelt, hebben de bepalingen in die andere Uniewetgeving voorrang.</w:t>
      </w:r>
    </w:p>
    <w:p w:rsidR="0015189C" w:rsidRPr="007870ED" w:rsidRDefault="0015189C" w:rsidP="0015189C">
      <w:pPr>
        <w:widowControl/>
        <w:spacing w:before="120" w:after="120"/>
        <w:ind w:left="851" w:hanging="851"/>
        <w:jc w:val="both"/>
        <w:rPr>
          <w:rFonts w:eastAsia="Calibri"/>
          <w:b/>
          <w:i/>
          <w:noProof/>
          <w:szCs w:val="22"/>
        </w:rPr>
      </w:pPr>
      <w:r w:rsidRPr="007870ED">
        <w:rPr>
          <w:b/>
          <w:i/>
        </w:rPr>
        <w:t xml:space="preserve">8. </w:t>
      </w:r>
      <w:r w:rsidRPr="007870ED">
        <w:rPr>
          <w:b/>
          <w:i/>
        </w:rPr>
        <w:tab/>
        <w:t xml:space="preserve">Onverminderd andere verplichtingen die in Unierecht voor het delen van informatie zijn vastgelegd, kunnen de Autoriteit en de toezichthoudende autoriteiten, na een gemotiveerd verzoek en op individuele basis, met de Commissie informatie delen die </w:t>
      </w:r>
      <w:proofErr w:type="spellStart"/>
      <w:r w:rsidRPr="007870ED">
        <w:rPr>
          <w:b/>
          <w:i/>
        </w:rPr>
        <w:t>meldingsplichtige</w:t>
      </w:r>
      <w:proofErr w:type="spellEnd"/>
      <w:r w:rsidRPr="007870ED">
        <w:rPr>
          <w:b/>
          <w:i/>
        </w:rPr>
        <w:t xml:space="preserve"> entiteiten krachtens hun verplichtingen uit hoofde van Unierecht bij haar hebben gerapporteerd, in een vorm die geen identificatie van individuele entiteiten mogelijk maakt en geen persoonsgegevens bevat. De autoriteiten die dergelijke informatie hebben verstrekt, worden naar behoren geïnformeerd over de uitwisseling die heeft plaatsgevonden.</w:t>
      </w:r>
    </w:p>
    <w:p w:rsidR="0015189C" w:rsidRPr="007870ED" w:rsidRDefault="0015189C" w:rsidP="0015189C">
      <w:pPr>
        <w:widowControl/>
        <w:spacing w:before="120" w:after="120"/>
        <w:ind w:left="851" w:hanging="851"/>
        <w:jc w:val="both"/>
        <w:rPr>
          <w:rFonts w:eastAsia="Calibri"/>
          <w:b/>
          <w:i/>
          <w:noProof/>
          <w:szCs w:val="22"/>
        </w:rPr>
      </w:pPr>
      <w:r w:rsidRPr="007870ED">
        <w:rPr>
          <w:b/>
          <w:i/>
        </w:rPr>
        <w:t xml:space="preserve">9. </w:t>
      </w:r>
      <w:r w:rsidRPr="007870ED">
        <w:rPr>
          <w:b/>
          <w:i/>
        </w:rPr>
        <w:tab/>
        <w:t xml:space="preserve">De Autoriteit en de toezichthoudende autoriteiten kunnen, voor onderzoeks- en innovatiedoeleinden, tot bij de uitvoering van hun taken verkregen informatie toegang verlenen voor hergebruik door </w:t>
      </w:r>
      <w:proofErr w:type="spellStart"/>
      <w:r w:rsidRPr="007870ED">
        <w:rPr>
          <w:b/>
          <w:i/>
        </w:rPr>
        <w:t>meldingsplichtige</w:t>
      </w:r>
      <w:proofErr w:type="spellEnd"/>
      <w:r w:rsidRPr="007870ED">
        <w:rPr>
          <w:b/>
          <w:i/>
        </w:rPr>
        <w:t xml:space="preserve"> entiteiten, onderzoekers en andere entiteiten die een rechtmatig belang bij die informatie hebben, op voorwaarde dat de Autoriteit of de toezichthoudende autoriteit zich ervan vergewist heeft dat alle volgende punten in acht zijn genomen:</w:t>
      </w:r>
    </w:p>
    <w:p w:rsidR="0015189C" w:rsidRPr="007870ED" w:rsidRDefault="0015189C" w:rsidP="0015189C">
      <w:pPr>
        <w:widowControl/>
        <w:spacing w:before="120" w:after="120"/>
        <w:ind w:left="851"/>
        <w:jc w:val="both"/>
        <w:rPr>
          <w:rFonts w:eastAsia="Calibri"/>
          <w:b/>
          <w:i/>
          <w:noProof/>
          <w:szCs w:val="22"/>
        </w:rPr>
      </w:pPr>
      <w:r w:rsidRPr="007870ED">
        <w:rPr>
          <w:b/>
          <w:i/>
        </w:rPr>
        <w:t xml:space="preserve">a) </w:t>
      </w:r>
      <w:r w:rsidRPr="007870ED">
        <w:rPr>
          <w:b/>
          <w:i/>
        </w:rPr>
        <w:tab/>
        <w:t xml:space="preserve">de informatie is zodanig geanonimiseerd dat het datasubject of de </w:t>
      </w:r>
      <w:proofErr w:type="spellStart"/>
      <w:r w:rsidRPr="007870ED">
        <w:rPr>
          <w:b/>
          <w:i/>
        </w:rPr>
        <w:t>meldingsplichtige</w:t>
      </w:r>
      <w:proofErr w:type="spellEnd"/>
      <w:r w:rsidRPr="007870ED">
        <w:rPr>
          <w:b/>
          <w:i/>
        </w:rPr>
        <w:t xml:space="preserve"> entiteit niet of niet meer kan worden geïdentificeerd;</w:t>
      </w:r>
    </w:p>
    <w:p w:rsidR="0015189C" w:rsidRPr="007870ED" w:rsidRDefault="0015189C" w:rsidP="0015189C">
      <w:pPr>
        <w:widowControl/>
        <w:spacing w:before="120" w:after="120"/>
        <w:ind w:left="851"/>
        <w:jc w:val="both"/>
        <w:rPr>
          <w:rFonts w:eastAsia="Calibri"/>
          <w:b/>
          <w:i/>
          <w:noProof/>
          <w:szCs w:val="22"/>
        </w:rPr>
      </w:pPr>
      <w:r w:rsidRPr="007870ED">
        <w:rPr>
          <w:b/>
          <w:i/>
        </w:rPr>
        <w:t xml:space="preserve">b) </w:t>
      </w:r>
      <w:r w:rsidRPr="007870ED">
        <w:rPr>
          <w:b/>
          <w:i/>
        </w:rPr>
        <w:tab/>
        <w:t>de informatie is gewijzigd, geaggregeerd of behandeld volgens een andere methode om de openbaarmaking ervan te controleren, zodat vertrouwelijke informatie, met inbegrip van bedrijfsgeheimen of door intellectuele-eigendomsrechten beschermde inhoud, beschermd is</w:t>
      </w:r>
      <w:r w:rsidRPr="007870ED">
        <w:rPr>
          <w:b/>
          <w:bCs/>
          <w:i/>
          <w:iCs/>
        </w:rPr>
        <w:t>;</w:t>
      </w:r>
    </w:p>
    <w:p w:rsidR="0015189C" w:rsidRPr="007870ED" w:rsidRDefault="0015189C" w:rsidP="0015189C">
      <w:pPr>
        <w:widowControl/>
        <w:spacing w:before="120" w:after="120"/>
        <w:ind w:left="851"/>
        <w:jc w:val="both"/>
        <w:rPr>
          <w:rFonts w:eastAsia="Calibri"/>
          <w:b/>
          <w:i/>
          <w:szCs w:val="22"/>
        </w:rPr>
      </w:pPr>
      <w:r w:rsidRPr="007870ED">
        <w:rPr>
          <w:b/>
          <w:i/>
        </w:rPr>
        <w:t>c)</w:t>
      </w:r>
      <w:r w:rsidRPr="007870ED">
        <w:rPr>
          <w:b/>
          <w:i/>
        </w:rPr>
        <w:tab/>
      </w:r>
      <w:r w:rsidRPr="007870ED">
        <w:rPr>
          <w:b/>
          <w:bCs/>
          <w:i/>
          <w:iCs/>
        </w:rPr>
        <w:t>de partijen waaraan toegang is verleend, hebben aangetoond dat zij de nodige technische middelen hebben om vertrouwelijke informatie te beschermen, d.w.z. dat zij over instrumenten beschikken die de bescherming van de privacy en de vertrouwelijkheid volledig kunnen garanderen.</w:t>
      </w:r>
    </w:p>
    <w:p w:rsidR="0015189C" w:rsidRPr="007870ED" w:rsidRDefault="0015189C" w:rsidP="0015189C">
      <w:pPr>
        <w:widowControl/>
        <w:spacing w:before="120" w:after="120"/>
        <w:ind w:left="851"/>
        <w:jc w:val="both"/>
        <w:rPr>
          <w:rFonts w:eastAsia="Calibri"/>
          <w:b/>
          <w:i/>
          <w:noProof/>
          <w:szCs w:val="22"/>
        </w:rPr>
      </w:pPr>
      <w:r w:rsidRPr="007870ED">
        <w:rPr>
          <w:b/>
          <w:i/>
        </w:rPr>
        <w:t>Informatie die van een andere autoriteit is ontvangen, wordt alleen op deze basis gedeeld met de instemming van de autoriteit die de informatie aanvankelijk heeft verkregen.</w:t>
      </w:r>
    </w:p>
    <w:p w:rsidR="0015189C" w:rsidRPr="007870ED" w:rsidRDefault="0015189C" w:rsidP="0015189C">
      <w:pPr>
        <w:widowControl/>
        <w:spacing w:before="120" w:after="120"/>
        <w:ind w:left="851" w:hanging="851"/>
        <w:jc w:val="both"/>
        <w:rPr>
          <w:rFonts w:eastAsia="Calibri"/>
          <w:b/>
          <w:i/>
          <w:noProof/>
          <w:szCs w:val="22"/>
        </w:rPr>
      </w:pPr>
      <w:r w:rsidRPr="007870ED">
        <w:rPr>
          <w:b/>
          <w:i/>
        </w:rPr>
        <w:t xml:space="preserve">10. </w:t>
      </w:r>
      <w:r w:rsidRPr="007870ED">
        <w:rPr>
          <w:b/>
          <w:i/>
        </w:rPr>
        <w:tab/>
        <w:t>De Autoriteit en de toezichthoudende autoriteiten brengen uiterlijk op ... [1 jaar na de datum van inwerkingtreding van deze wijzigingsverordening] aan de Commissie verslag uit over alle juridische hinderpalen in sectorale regelgeving die hen op enigerlei wijze verhinderen informatie uit te wisselen met andere autoriteiten of met andere entiteiten. Het verslag kan ook niet-materiële, achterhaalde, dubbele of anderszins irrelevante verslaggevingsvereisten bevatten, evenals suggesties om de consistentie tussen de verslaggevingsvereisten van financiële en niet-financiële ondernemingen te waarborgen.</w:t>
      </w:r>
    </w:p>
    <w:p w:rsidR="0015189C" w:rsidRPr="007870ED" w:rsidRDefault="0015189C" w:rsidP="0015189C">
      <w:pPr>
        <w:widowControl/>
        <w:spacing w:before="120" w:after="120"/>
        <w:ind w:left="851"/>
        <w:jc w:val="both"/>
        <w:rPr>
          <w:rFonts w:eastAsia="Calibri"/>
          <w:b/>
          <w:i/>
          <w:noProof/>
          <w:szCs w:val="22"/>
        </w:rPr>
      </w:pPr>
      <w:r w:rsidRPr="007870ED">
        <w:rPr>
          <w:b/>
          <w:i/>
        </w:rPr>
        <w:t xml:space="preserve">Op basis van dat verslag en terdege rekening houdend met de bescherming van intellectuele-eigendomsrechten, het ambtsgeheim en gegevensbescherming, dient de Commissie zo nodig uiterlijk op ... [2 jaar na de datum van inwerkingtreding van </w:t>
      </w:r>
      <w:r w:rsidRPr="007870ED">
        <w:rPr>
          <w:b/>
          <w:i/>
        </w:rPr>
        <w:lastRenderedPageBreak/>
        <w:t>deze wijzigingsverordening] bij het Europees Parlement en de Raad een wetgevingsvoorstel in om die juridische hinderpalen in sectorale wetgeving weg te nemen teneinde de uitwisseling van informatie tussen autoriteiten en met andere entiteiten te bevorderen.”</w:t>
      </w:r>
      <w:r w:rsidR="005B0F97" w:rsidRPr="007870ED">
        <w:rPr>
          <w:b/>
          <w:i/>
        </w:rPr>
        <w:t>;</w:t>
      </w:r>
    </w:p>
    <w:p w:rsidR="0015189C" w:rsidRPr="007870ED" w:rsidRDefault="0015189C" w:rsidP="005B0F97">
      <w:pPr>
        <w:widowControl/>
        <w:spacing w:before="120" w:after="120"/>
        <w:rPr>
          <w:rFonts w:eastAsia="Calibri"/>
          <w:b/>
          <w:i/>
          <w:szCs w:val="22"/>
        </w:rPr>
      </w:pPr>
      <w:r w:rsidRPr="007870ED">
        <w:rPr>
          <w:b/>
          <w:i/>
        </w:rPr>
        <w:t xml:space="preserve">4. </w:t>
      </w:r>
      <w:r w:rsidRPr="007870ED">
        <w:rPr>
          <w:b/>
          <w:i/>
        </w:rPr>
        <w:tab/>
        <w:t>Het volgende artikel wordt ingevoegd:</w:t>
      </w:r>
    </w:p>
    <w:p w:rsidR="0015189C" w:rsidRPr="007870ED" w:rsidRDefault="0015189C" w:rsidP="0015189C">
      <w:pPr>
        <w:widowControl/>
        <w:spacing w:before="120" w:after="120"/>
        <w:ind w:left="851"/>
        <w:rPr>
          <w:rFonts w:eastAsia="Calibri"/>
          <w:b/>
          <w:i/>
          <w:noProof/>
          <w:szCs w:val="22"/>
        </w:rPr>
      </w:pPr>
      <w:r w:rsidRPr="007870ED">
        <w:rPr>
          <w:b/>
          <w:i/>
        </w:rPr>
        <w:t>“Artikel 16 ter</w:t>
      </w:r>
    </w:p>
    <w:p w:rsidR="0015189C" w:rsidRPr="007870ED" w:rsidRDefault="0015189C" w:rsidP="0015189C">
      <w:pPr>
        <w:widowControl/>
        <w:spacing w:before="120" w:after="120"/>
        <w:ind w:left="851"/>
        <w:rPr>
          <w:rFonts w:eastAsia="Calibri"/>
          <w:b/>
          <w:bCs/>
          <w:i/>
          <w:noProof/>
          <w:szCs w:val="22"/>
        </w:rPr>
      </w:pPr>
      <w:r w:rsidRPr="007870ED">
        <w:rPr>
          <w:b/>
          <w:i/>
        </w:rPr>
        <w:t>Instelling van een gemeenschappelijk geïntegreerd rapportagesysteem</w:t>
      </w:r>
    </w:p>
    <w:p w:rsidR="0015189C" w:rsidRPr="007870ED" w:rsidRDefault="0015189C" w:rsidP="0015189C">
      <w:pPr>
        <w:widowControl/>
        <w:spacing w:before="120" w:after="120"/>
        <w:ind w:left="851"/>
        <w:jc w:val="both"/>
        <w:rPr>
          <w:rFonts w:eastAsia="Calibri"/>
          <w:b/>
          <w:i/>
          <w:noProof/>
          <w:szCs w:val="22"/>
        </w:rPr>
      </w:pPr>
      <w:r w:rsidRPr="007870ED">
        <w:rPr>
          <w:b/>
          <w:i/>
        </w:rPr>
        <w:t xml:space="preserve">1. </w:t>
      </w:r>
      <w:r w:rsidRPr="007870ED">
        <w:rPr>
          <w:b/>
          <w:i/>
        </w:rPr>
        <w:tab/>
        <w:t xml:space="preserve">Uiterlijk op ... [2 jaar na de datum van inwerkingtreding van deze wijzigingsverordening] stellen de Autoriteit en de toezichthoudende autoriteiten, in nauwe samenwerking met de andere autoriteiten en het ESCB, een verslag over de technische details van de instelling van een gemeenschappelijk geïntegreerd rapportagesysteem alsook een routekaart op, op basis van de werkzaamheden met het oog op de integratie van de rapportage door de </w:t>
      </w:r>
      <w:proofErr w:type="spellStart"/>
      <w:r w:rsidRPr="007870ED">
        <w:rPr>
          <w:b/>
          <w:i/>
        </w:rPr>
        <w:t>ETA’s</w:t>
      </w:r>
      <w:proofErr w:type="spellEnd"/>
      <w:r w:rsidRPr="007870ED">
        <w:rPr>
          <w:b/>
          <w:i/>
        </w:rPr>
        <w:t xml:space="preserve"> in hun sectoren, met een kosten-batenanalyse. Ten behoeve van dat verslag omvat het geïntegreerde rapportagesysteem:</w:t>
      </w:r>
    </w:p>
    <w:p w:rsidR="0015189C" w:rsidRPr="007870ED" w:rsidRDefault="0015189C" w:rsidP="0015189C">
      <w:pPr>
        <w:widowControl/>
        <w:spacing w:before="120" w:after="120"/>
        <w:ind w:left="851"/>
        <w:jc w:val="both"/>
        <w:rPr>
          <w:rFonts w:eastAsia="Calibri"/>
          <w:b/>
          <w:i/>
          <w:noProof/>
          <w:szCs w:val="22"/>
        </w:rPr>
      </w:pPr>
      <w:r w:rsidRPr="007870ED">
        <w:rPr>
          <w:b/>
          <w:i/>
        </w:rPr>
        <w:t xml:space="preserve">a) </w:t>
      </w:r>
      <w:r w:rsidRPr="007870ED">
        <w:rPr>
          <w:b/>
          <w:i/>
        </w:rPr>
        <w:tab/>
        <w:t xml:space="preserve">een gemeenschappelijke data </w:t>
      </w:r>
      <w:proofErr w:type="spellStart"/>
      <w:r w:rsidRPr="007870ED">
        <w:rPr>
          <w:b/>
          <w:i/>
        </w:rPr>
        <w:t>dictionary</w:t>
      </w:r>
      <w:proofErr w:type="spellEnd"/>
      <w:r w:rsidRPr="007870ED">
        <w:rPr>
          <w:b/>
          <w:i/>
        </w:rPr>
        <w:t xml:space="preserve"> om de consistentie en duidelijkheid van de rapportagevereisten en de standaardisering van de gegevens te waarborgen;</w:t>
      </w:r>
    </w:p>
    <w:p w:rsidR="0015189C" w:rsidRPr="007870ED" w:rsidRDefault="0015189C" w:rsidP="0015189C">
      <w:pPr>
        <w:widowControl/>
        <w:spacing w:before="120" w:after="120"/>
        <w:ind w:left="851"/>
        <w:jc w:val="both"/>
        <w:rPr>
          <w:rFonts w:eastAsia="Calibri"/>
          <w:b/>
          <w:i/>
          <w:noProof/>
          <w:szCs w:val="22"/>
        </w:rPr>
      </w:pPr>
      <w:r w:rsidRPr="007870ED">
        <w:rPr>
          <w:b/>
          <w:i/>
        </w:rPr>
        <w:t xml:space="preserve">b) </w:t>
      </w:r>
      <w:r w:rsidRPr="007870ED">
        <w:rPr>
          <w:b/>
          <w:i/>
        </w:rPr>
        <w:tab/>
        <w:t>een gezamenlijk register van rapportage- en openbaarmakingsvereisten, van de beschrijvingen van de verzamelde gegevens en van de autoriteiten die deze gegevens hebben;</w:t>
      </w:r>
    </w:p>
    <w:p w:rsidR="0015189C" w:rsidRPr="007870ED" w:rsidRDefault="0015189C" w:rsidP="0015189C">
      <w:pPr>
        <w:widowControl/>
        <w:spacing w:before="120" w:after="120"/>
        <w:ind w:left="851"/>
        <w:jc w:val="both"/>
        <w:rPr>
          <w:rFonts w:eastAsia="Calibri"/>
          <w:b/>
          <w:i/>
          <w:noProof/>
          <w:szCs w:val="22"/>
        </w:rPr>
      </w:pPr>
      <w:r w:rsidRPr="007870ED">
        <w:rPr>
          <w:b/>
          <w:i/>
        </w:rPr>
        <w:t xml:space="preserve">c) </w:t>
      </w:r>
      <w:r w:rsidRPr="007870ED">
        <w:rPr>
          <w:b/>
          <w:i/>
        </w:rPr>
        <w:tab/>
        <w:t xml:space="preserve">een centrale gegevensruimte, met inbegrip van het technische ontwerp voor het verzamelen en uitwisselen van de informatie; en </w:t>
      </w:r>
    </w:p>
    <w:p w:rsidR="0015189C" w:rsidRPr="007870ED" w:rsidRDefault="0015189C" w:rsidP="0015189C">
      <w:pPr>
        <w:widowControl/>
        <w:spacing w:before="120" w:after="120"/>
        <w:ind w:left="851"/>
        <w:jc w:val="both"/>
        <w:rPr>
          <w:rFonts w:eastAsia="Calibri"/>
          <w:b/>
          <w:i/>
          <w:noProof/>
          <w:szCs w:val="22"/>
        </w:rPr>
      </w:pPr>
      <w:r w:rsidRPr="007870ED">
        <w:rPr>
          <w:b/>
          <w:i/>
        </w:rPr>
        <w:t xml:space="preserve">d) </w:t>
      </w:r>
      <w:r w:rsidRPr="007870ED">
        <w:rPr>
          <w:b/>
          <w:i/>
        </w:rPr>
        <w:tab/>
        <w:t xml:space="preserve">een permanent centraal contactpunt waar entiteiten gevallen van dubbele rapportage en overbodige of achterhaalde rapportage- of openbaarmakingsvereisten kunnen melden. </w:t>
      </w:r>
    </w:p>
    <w:p w:rsidR="0015189C" w:rsidRPr="007870ED" w:rsidRDefault="0015189C" w:rsidP="005B0F97">
      <w:pPr>
        <w:widowControl/>
        <w:spacing w:before="120" w:after="120"/>
        <w:ind w:left="851"/>
        <w:jc w:val="both"/>
        <w:rPr>
          <w:rFonts w:eastAsia="Calibri"/>
          <w:b/>
          <w:i/>
          <w:noProof/>
          <w:szCs w:val="22"/>
        </w:rPr>
      </w:pPr>
      <w:r w:rsidRPr="007870ED">
        <w:rPr>
          <w:b/>
          <w:i/>
        </w:rPr>
        <w:t xml:space="preserve">2. </w:t>
      </w:r>
      <w:r w:rsidRPr="007870ED">
        <w:rPr>
          <w:b/>
          <w:i/>
        </w:rPr>
        <w:tab/>
        <w:t xml:space="preserve">In nauwe samenwerking met de Commissie gaat het verslag vergezeld van een raming van de totale financiële gevolgen. </w:t>
      </w:r>
    </w:p>
    <w:p w:rsidR="0015189C" w:rsidRPr="007870ED" w:rsidRDefault="0015189C" w:rsidP="005B0F97">
      <w:pPr>
        <w:widowControl/>
        <w:spacing w:before="120" w:after="120"/>
        <w:ind w:left="851"/>
        <w:jc w:val="both"/>
        <w:rPr>
          <w:rFonts w:eastAsia="Calibri"/>
          <w:b/>
          <w:i/>
          <w:noProof/>
          <w:szCs w:val="22"/>
        </w:rPr>
      </w:pPr>
      <w:r w:rsidRPr="007870ED">
        <w:rPr>
          <w:b/>
          <w:i/>
        </w:rPr>
        <w:t xml:space="preserve">Uiterlijk op ... [3 jaar na de datum van inwerkingtreding van deze wijzigingsverordening] dient de Commissie zo nodig bij het Europees Parlement en de Raad een wetgevingsvoorstel in om te zorgen voor de nodige financiële, personele en IT-middelen voor de instelling van het gemeenschappelijke geïntegreerde rapportagesysteem. </w:t>
      </w:r>
    </w:p>
    <w:p w:rsidR="0015189C" w:rsidRPr="007870ED" w:rsidRDefault="0015189C" w:rsidP="005B0F97">
      <w:pPr>
        <w:widowControl/>
        <w:spacing w:before="120" w:after="120"/>
        <w:ind w:left="851"/>
        <w:jc w:val="both"/>
        <w:rPr>
          <w:rFonts w:eastAsia="Calibri"/>
          <w:b/>
          <w:i/>
          <w:noProof/>
          <w:szCs w:val="22"/>
        </w:rPr>
      </w:pPr>
      <w:r w:rsidRPr="007870ED">
        <w:rPr>
          <w:b/>
          <w:i/>
        </w:rPr>
        <w:t>Uiterlijk op ... [3 jaar na de datum van inwerkingtreding van deze wijzigingsverordening] stelt de Autoriteit samen met de andere autoriteiten het gemeenschappelijke geïntegreerde rapportagesysteem in. ”</w:t>
      </w:r>
      <w:r w:rsidR="005B0F97" w:rsidRPr="007870ED">
        <w:rPr>
          <w:b/>
          <w:i/>
        </w:rPr>
        <w:t>;</w:t>
      </w:r>
    </w:p>
    <w:p w:rsidR="0015189C" w:rsidRPr="007870ED" w:rsidRDefault="0015189C" w:rsidP="0015189C">
      <w:pPr>
        <w:widowControl/>
        <w:spacing w:before="120" w:after="120"/>
        <w:ind w:left="850" w:hanging="850"/>
        <w:jc w:val="both"/>
        <w:rPr>
          <w:rFonts w:eastAsia="Calibri"/>
          <w:b/>
          <w:i/>
          <w:szCs w:val="22"/>
        </w:rPr>
      </w:pPr>
      <w:r w:rsidRPr="007870ED">
        <w:rPr>
          <w:b/>
          <w:i/>
        </w:rPr>
        <w:t xml:space="preserve">5. </w:t>
      </w:r>
      <w:r w:rsidRPr="007870ED">
        <w:rPr>
          <w:b/>
          <w:i/>
        </w:rPr>
        <w:tab/>
        <w:t>Aan artikel 44, lid 1, wordt de volgende alinea toegevoegd:</w:t>
      </w:r>
    </w:p>
    <w:p w:rsidR="0015189C" w:rsidRPr="007870ED" w:rsidRDefault="0015189C" w:rsidP="0015189C">
      <w:pPr>
        <w:widowControl/>
        <w:spacing w:before="120" w:after="120"/>
        <w:jc w:val="both"/>
        <w:rPr>
          <w:rFonts w:eastAsia="Calibri"/>
          <w:b/>
          <w:i/>
          <w:noProof/>
          <w:szCs w:val="22"/>
        </w:rPr>
      </w:pPr>
      <w:r w:rsidRPr="007870ED">
        <w:rPr>
          <w:b/>
          <w:i/>
        </w:rPr>
        <w:t>“De adviezen van de Autoriteit zijn niet beperkt tot lopende wetgevingsprocedures. De Autoriteit kan in haar adviezen zo nodig ook wijzigingen van wetgevingshandelingen die van kracht zijn voorstellen, waaronder wijzigingen om:</w:t>
      </w:r>
    </w:p>
    <w:p w:rsidR="0015189C" w:rsidRPr="007870ED" w:rsidRDefault="0015189C" w:rsidP="0015189C">
      <w:pPr>
        <w:widowControl/>
        <w:spacing w:before="120" w:after="120"/>
        <w:jc w:val="both"/>
        <w:rPr>
          <w:rFonts w:eastAsia="Calibri"/>
          <w:b/>
          <w:i/>
          <w:noProof/>
          <w:szCs w:val="22"/>
        </w:rPr>
      </w:pPr>
      <w:r w:rsidRPr="007870ED">
        <w:rPr>
          <w:b/>
          <w:i/>
        </w:rPr>
        <w:t>a)</w:t>
      </w:r>
      <w:r w:rsidRPr="007870ED">
        <w:rPr>
          <w:b/>
          <w:i/>
        </w:rPr>
        <w:tab/>
        <w:t xml:space="preserve"> overbodige of achterhaalde rapportage- en openbaarmakingsvereisten in het Unierecht of de nationale omzetting van het Unierecht door de lidstaten te schrappen;</w:t>
      </w:r>
    </w:p>
    <w:p w:rsidR="0015189C" w:rsidRPr="007870ED" w:rsidRDefault="0015189C" w:rsidP="0015189C">
      <w:pPr>
        <w:widowControl/>
        <w:spacing w:before="120" w:after="120"/>
        <w:jc w:val="both"/>
        <w:rPr>
          <w:rFonts w:eastAsia="Calibri"/>
          <w:b/>
          <w:i/>
          <w:noProof/>
          <w:szCs w:val="22"/>
        </w:rPr>
      </w:pPr>
      <w:r w:rsidRPr="007870ED">
        <w:rPr>
          <w:b/>
          <w:i/>
        </w:rPr>
        <w:t>b)</w:t>
      </w:r>
      <w:r w:rsidRPr="007870ED">
        <w:rPr>
          <w:b/>
          <w:i/>
        </w:rPr>
        <w:tab/>
        <w:t xml:space="preserve"> te zorgen voor consistente rapportage- en openbaarmakingsvereisten in zowel sectorspecifieke als </w:t>
      </w:r>
      <w:proofErr w:type="spellStart"/>
      <w:r w:rsidRPr="007870ED">
        <w:rPr>
          <w:b/>
          <w:i/>
        </w:rPr>
        <w:t>sectoroverschrijdende</w:t>
      </w:r>
      <w:proofErr w:type="spellEnd"/>
      <w:r w:rsidRPr="007870ED">
        <w:rPr>
          <w:b/>
          <w:i/>
        </w:rPr>
        <w:t xml:space="preserve"> wetgeving;</w:t>
      </w:r>
    </w:p>
    <w:p w:rsidR="0015189C" w:rsidRPr="007870ED" w:rsidRDefault="0015189C" w:rsidP="0015189C">
      <w:pPr>
        <w:widowControl/>
        <w:spacing w:before="120" w:after="120"/>
        <w:jc w:val="both"/>
        <w:rPr>
          <w:rFonts w:eastAsia="Calibri"/>
          <w:b/>
          <w:i/>
          <w:noProof/>
          <w:szCs w:val="22"/>
        </w:rPr>
      </w:pPr>
      <w:r w:rsidRPr="007870ED">
        <w:rPr>
          <w:b/>
          <w:i/>
        </w:rPr>
        <w:lastRenderedPageBreak/>
        <w:t xml:space="preserve">c) </w:t>
      </w:r>
      <w:r w:rsidRPr="007870ED">
        <w:rPr>
          <w:b/>
          <w:i/>
        </w:rPr>
        <w:tab/>
        <w:t>te zorgen voor evenredigheid in de rapportage- en openbaarmakingsvereisten met betrekking tot de aard, omvang en complexiteit van de rapporterende entiteit;</w:t>
      </w:r>
    </w:p>
    <w:p w:rsidR="0015189C" w:rsidRPr="007870ED" w:rsidRDefault="0015189C" w:rsidP="0015189C">
      <w:pPr>
        <w:widowControl/>
        <w:spacing w:before="120" w:after="120"/>
        <w:jc w:val="both"/>
        <w:rPr>
          <w:rFonts w:eastAsia="Calibri"/>
          <w:b/>
          <w:bCs/>
          <w:i/>
          <w:iCs/>
          <w:szCs w:val="22"/>
        </w:rPr>
      </w:pPr>
      <w:r w:rsidRPr="007870ED">
        <w:rPr>
          <w:b/>
          <w:i/>
        </w:rPr>
        <w:t>d) ervoor zorgen dat de naleving van de rapportage- en openbaarmakingsvereisten in verhouding staat tot de toegevoegde waarde voor het vervullen van de taken en doelstellingen van de Autoriteit.</w:t>
      </w:r>
    </w:p>
    <w:p w:rsidR="0015189C" w:rsidRPr="007870ED" w:rsidRDefault="0015189C" w:rsidP="0015189C">
      <w:pPr>
        <w:widowControl/>
        <w:spacing w:before="120" w:after="120"/>
        <w:jc w:val="both"/>
        <w:rPr>
          <w:rFonts w:eastAsia="Calibri"/>
          <w:b/>
          <w:i/>
          <w:noProof/>
          <w:szCs w:val="22"/>
        </w:rPr>
      </w:pPr>
      <w:r w:rsidRPr="007870ED">
        <w:rPr>
          <w:b/>
          <w:i/>
        </w:rPr>
        <w:t>Bij het opstellen van de in de eerste alinea bedoelde adviezen over van kracht zijnde wetgevingshandelingen houdt de Autoriteit door een specifieke raadpleging naar behoren rekening met de inbreng van alle relevante belanghebbenden. Op basis van die adviezen dient de Commissie zo nodig bij het Europees Parlement en de Raad een wetgevingsvoorstel in.”.</w:t>
      </w:r>
    </w:p>
    <w:p w:rsidR="0015189C" w:rsidRPr="007870ED" w:rsidRDefault="0015189C" w:rsidP="0015189C">
      <w:pPr>
        <w:keepNext/>
        <w:widowControl/>
        <w:spacing w:before="360" w:after="120"/>
        <w:ind w:left="720"/>
        <w:jc w:val="center"/>
        <w:rPr>
          <w:rFonts w:eastAsia="Calibri"/>
          <w:i/>
          <w:noProof/>
          <w:szCs w:val="22"/>
        </w:rPr>
      </w:pPr>
      <w:r w:rsidRPr="007870ED">
        <w:rPr>
          <w:i/>
        </w:rPr>
        <w:t>Artikel 5</w:t>
      </w:r>
    </w:p>
    <w:p w:rsidR="0015189C" w:rsidRPr="007870ED" w:rsidRDefault="0015189C" w:rsidP="0015189C">
      <w:pPr>
        <w:widowControl/>
        <w:spacing w:before="120" w:after="120"/>
        <w:jc w:val="center"/>
        <w:rPr>
          <w:rFonts w:eastAsia="Calibri"/>
          <w:b/>
          <w:bCs/>
          <w:noProof/>
          <w:szCs w:val="22"/>
        </w:rPr>
      </w:pPr>
      <w:r w:rsidRPr="007870ED">
        <w:rPr>
          <w:b/>
        </w:rPr>
        <w:t>Wijzigingen van Verordening (EU) 2021/523</w:t>
      </w:r>
    </w:p>
    <w:p w:rsidR="0015189C" w:rsidRPr="007870ED" w:rsidRDefault="0015189C" w:rsidP="0015189C">
      <w:pPr>
        <w:rPr>
          <w:b/>
          <w:i/>
        </w:rPr>
      </w:pPr>
      <w:r w:rsidRPr="007870ED">
        <w:t>Verordening (EU) 2021/523 wordt als volgt gewijzigd:</w:t>
      </w:r>
    </w:p>
    <w:p w:rsidR="0015189C" w:rsidRPr="007870ED" w:rsidRDefault="0015189C" w:rsidP="0015189C">
      <w:pPr>
        <w:rPr>
          <w:b/>
          <w:i/>
        </w:rPr>
      </w:pPr>
    </w:p>
    <w:p w:rsidR="0015189C" w:rsidRPr="007870ED" w:rsidRDefault="0015189C" w:rsidP="0015189C">
      <w:pPr>
        <w:rPr>
          <w:b/>
          <w:i/>
        </w:rPr>
      </w:pPr>
      <w:r w:rsidRPr="007870ED">
        <w:rPr>
          <w:b/>
          <w:i/>
        </w:rPr>
        <w:t>-1.</w:t>
      </w:r>
      <w:r w:rsidRPr="007870ED">
        <w:rPr>
          <w:b/>
          <w:i/>
        </w:rPr>
        <w:tab/>
        <w:t>In artikel 8, lid 6, wordt de inleidende formule vervangen door:</w:t>
      </w:r>
    </w:p>
    <w:p w:rsidR="0015189C" w:rsidRPr="007870ED" w:rsidRDefault="0015189C" w:rsidP="0015189C">
      <w:pPr>
        <w:rPr>
          <w:b/>
          <w:i/>
        </w:rPr>
      </w:pPr>
    </w:p>
    <w:p w:rsidR="0015189C" w:rsidRPr="007870ED" w:rsidRDefault="0015189C" w:rsidP="0015189C">
      <w:pPr>
        <w:ind w:left="851"/>
        <w:jc w:val="both"/>
        <w:rPr>
          <w:b/>
          <w:i/>
          <w:noProof/>
        </w:rPr>
      </w:pPr>
      <w:r w:rsidRPr="007870ED">
        <w:rPr>
          <w:b/>
          <w:i/>
        </w:rPr>
        <w:t>“De Commissie ontwikkelt richtsnoeren inzake duurzaamheid die het, in overeenstemming met de milieudoelstellingen en -normen en de sociale doelstellingen en normen van de Unie en met passende inachtneming van het beginsel “geen ernstige afbreuk doen” en met verschillen in de soorten infrastructuurprojecten, mogelijk maken:”</w:t>
      </w:r>
      <w:r w:rsidR="005B0F97" w:rsidRPr="007870ED">
        <w:rPr>
          <w:b/>
          <w:i/>
        </w:rPr>
        <w:t>;</w:t>
      </w:r>
    </w:p>
    <w:p w:rsidR="0015189C" w:rsidRPr="007870ED" w:rsidRDefault="0015189C" w:rsidP="0015189C">
      <w:pPr>
        <w:jc w:val="both"/>
        <w:rPr>
          <w:b/>
          <w:i/>
          <w:noProof/>
        </w:rPr>
      </w:pPr>
    </w:p>
    <w:p w:rsidR="0015189C" w:rsidRPr="007870ED" w:rsidRDefault="0015189C" w:rsidP="0015189C">
      <w:pPr>
        <w:jc w:val="both"/>
        <w:rPr>
          <w:b/>
          <w:i/>
        </w:rPr>
      </w:pPr>
      <w:r w:rsidRPr="007870ED">
        <w:rPr>
          <w:b/>
          <w:i/>
        </w:rPr>
        <w:t>-1 bis.</w:t>
      </w:r>
      <w:r w:rsidRPr="007870ED">
        <w:rPr>
          <w:b/>
          <w:i/>
        </w:rPr>
        <w:tab/>
        <w:t>In artikel 13, lid 7, wordt alinea 2 vervangen door:</w:t>
      </w:r>
    </w:p>
    <w:p w:rsidR="0015189C" w:rsidRPr="007870ED" w:rsidRDefault="0015189C" w:rsidP="0015189C">
      <w:pPr>
        <w:jc w:val="both"/>
        <w:rPr>
          <w:b/>
          <w:i/>
          <w:noProof/>
        </w:rPr>
      </w:pPr>
    </w:p>
    <w:p w:rsidR="0015189C" w:rsidRPr="007870ED" w:rsidRDefault="0015189C" w:rsidP="0015189C">
      <w:pPr>
        <w:ind w:left="851"/>
        <w:jc w:val="both"/>
        <w:rPr>
          <w:b/>
          <w:i/>
          <w:noProof/>
        </w:rPr>
      </w:pPr>
      <w:r w:rsidRPr="007870ED">
        <w:rPr>
          <w:b/>
          <w:i/>
        </w:rPr>
        <w:t>“Contracten tussen de uitvoerende partner en de eindontvanger of de financiële intermediair of een andere entiteit als bedoeld in artikel 16, lid 1, punt a), in het kader van de in artikel 4, lid 2, eerste alinea, bedoelde EU-garantie worden uiterlijk op 31 augustus 2026 ondertekend. In andere gevallen worden contracten tussen de uitvoerende partner en de eindontvanger of de financiële intermediair of een andere entiteit als bedoeld in artikel 16, lid 1, punt a), uiterlijk op 31 december 2028 ondertekend.”</w:t>
      </w:r>
      <w:r w:rsidR="005B0F97" w:rsidRPr="007870ED">
        <w:rPr>
          <w:b/>
          <w:i/>
        </w:rPr>
        <w:t>;</w:t>
      </w:r>
    </w:p>
    <w:p w:rsidR="0015189C" w:rsidRPr="007870ED" w:rsidRDefault="0015189C" w:rsidP="0015189C">
      <w:pPr>
        <w:jc w:val="both"/>
        <w:rPr>
          <w:b/>
          <w:i/>
          <w:noProof/>
        </w:rPr>
      </w:pPr>
    </w:p>
    <w:p w:rsidR="0015189C" w:rsidRPr="007870ED" w:rsidRDefault="0015189C" w:rsidP="0015189C">
      <w:pPr>
        <w:jc w:val="both"/>
        <w:rPr>
          <w:b/>
          <w:i/>
        </w:rPr>
      </w:pPr>
      <w:r w:rsidRPr="007870ED">
        <w:rPr>
          <w:b/>
          <w:i/>
        </w:rPr>
        <w:t>-1 ter.</w:t>
      </w:r>
      <w:r w:rsidRPr="007870ED">
        <w:rPr>
          <w:b/>
          <w:i/>
        </w:rPr>
        <w:tab/>
        <w:t>In artikel 17, lid 2, wordt punt h) vervangen door:</w:t>
      </w:r>
    </w:p>
    <w:p w:rsidR="0015189C" w:rsidRPr="007870ED" w:rsidRDefault="0015189C" w:rsidP="0015189C">
      <w:pPr>
        <w:ind w:left="851"/>
        <w:jc w:val="both"/>
        <w:rPr>
          <w:b/>
          <w:i/>
        </w:rPr>
      </w:pPr>
      <w:r w:rsidRPr="007870ED">
        <w:rPr>
          <w:b/>
          <w:i/>
        </w:rPr>
        <w:t>“</w:t>
      </w:r>
      <w:proofErr w:type="gramStart"/>
      <w:r w:rsidRPr="007870ED">
        <w:rPr>
          <w:b/>
          <w:i/>
        </w:rPr>
        <w:t>h</w:t>
      </w:r>
      <w:proofErr w:type="gramEnd"/>
      <w:r w:rsidRPr="007870ED">
        <w:rPr>
          <w:b/>
          <w:i/>
        </w:rPr>
        <w:t xml:space="preserve">) </w:t>
      </w:r>
      <w:r w:rsidRPr="007870ED">
        <w:rPr>
          <w:b/>
          <w:i/>
        </w:rPr>
        <w:tab/>
        <w:t xml:space="preserve">financiële en operationele rapportage en monitoring van de financierings- en investeringsverrichtingen onder de EU-garantie, waarbij voor evenredigheid in de rapportage- en monitoringvereisten wordt gezorgd en de kosten voor alle belanghebbenden en eindbegunstigden tot een minimum worden beperkt, zonder dat de respectieve </w:t>
      </w:r>
      <w:proofErr w:type="spellStart"/>
      <w:r w:rsidRPr="007870ED">
        <w:rPr>
          <w:b/>
          <w:i/>
        </w:rPr>
        <w:t>InvestEU</w:t>
      </w:r>
      <w:proofErr w:type="spellEnd"/>
      <w:r w:rsidRPr="007870ED">
        <w:rPr>
          <w:b/>
          <w:i/>
        </w:rPr>
        <w:t>-doelstellingen worden ondermijnd;”</w:t>
      </w:r>
      <w:r w:rsidR="005B0F97" w:rsidRPr="007870ED">
        <w:rPr>
          <w:b/>
          <w:i/>
        </w:rPr>
        <w:t>;</w:t>
      </w:r>
    </w:p>
    <w:p w:rsidR="0015189C" w:rsidRPr="007870ED" w:rsidRDefault="0015189C" w:rsidP="0015189C">
      <w:pPr>
        <w:widowControl/>
        <w:spacing w:before="120" w:after="120"/>
        <w:jc w:val="both"/>
        <w:rPr>
          <w:rFonts w:eastAsia="Calibri"/>
          <w:b/>
          <w:i/>
          <w:noProof/>
          <w:szCs w:val="22"/>
          <w:lang w:eastAsia="en-US"/>
        </w:rPr>
      </w:pPr>
    </w:p>
    <w:p w:rsidR="0015189C" w:rsidRPr="007870ED" w:rsidRDefault="0015189C" w:rsidP="0015189C">
      <w:pPr>
        <w:widowControl/>
        <w:spacing w:before="120" w:after="120"/>
        <w:jc w:val="both"/>
        <w:rPr>
          <w:rFonts w:eastAsia="Calibri"/>
          <w:noProof/>
          <w:szCs w:val="22"/>
        </w:rPr>
      </w:pPr>
      <w:r w:rsidRPr="007870ED">
        <w:rPr>
          <w:b/>
          <w:i/>
        </w:rPr>
        <w:t>1.</w:t>
      </w:r>
      <w:r w:rsidRPr="007870ED">
        <w:t xml:space="preserve"> </w:t>
      </w:r>
      <w:r w:rsidRPr="007870ED">
        <w:tab/>
        <w:t>In artikel 28 wordt lid 4 vervangen door:  </w:t>
      </w:r>
    </w:p>
    <w:p w:rsidR="0015189C" w:rsidRPr="007870ED" w:rsidRDefault="0015189C" w:rsidP="0015189C">
      <w:pPr>
        <w:widowControl/>
        <w:spacing w:before="120" w:after="120"/>
        <w:jc w:val="both"/>
        <w:rPr>
          <w:rFonts w:eastAsia="Calibri"/>
          <w:noProof/>
          <w:szCs w:val="22"/>
        </w:rPr>
      </w:pPr>
      <w:r w:rsidRPr="007870ED">
        <w:t>“4.</w:t>
      </w:r>
      <w:r w:rsidRPr="007870ED">
        <w:tab/>
        <w:t xml:space="preserve">Eenmaal per jaar dient iedere uitvoerende partner bij de Commissie een verslag in over de financierings- en investeringsverrichtingen die onder deze verordening vallen, uitgesplitst tussen EU-compartiment en lidstaatcompartiment, naargelang het geval. Iedere uitvoerende partner dient eveneens informatie over het lidstaatcompartiment in bij de lidstaat waarvan hij het compartiment ten uitvoer legt. Het verslag bevat een beoordeling van de naleving van de vereisten voor het gebruik van de EU-garantie en van de in bijlage III bij deze verordening vastgestelde essentiële prestatie-indicatoren. Het verslag bevat ook operationele, statistische, financiële en boekhoudkundige gegevens voor elke financierings- of investeringsverrichting en </w:t>
      </w:r>
      <w:r w:rsidRPr="007870ED">
        <w:lastRenderedPageBreak/>
        <w:t xml:space="preserve">een raming van de verwachte kasstromen, op het niveau van de compartimenten, de beleidsterreinen en het </w:t>
      </w:r>
      <w:proofErr w:type="spellStart"/>
      <w:r w:rsidRPr="007870ED">
        <w:t>InvestEU</w:t>
      </w:r>
      <w:proofErr w:type="spellEnd"/>
      <w:r w:rsidRPr="007870ED">
        <w:t xml:space="preserve">-fonds. Het verslag van de EIB-groep, en in voorkomend geval van andere uitvoerende partners, bevat ook informatie over investeringsbelemmeringen die zich voordoen bij de uitvoering van financierings- en investeringsverrichtingen die onder deze verordening vallen. De verslagen bevatten de informatie die de uitvoerende partners moeten verstrekken op grond van artikel 155, lid 1, punt a), </w:t>
      </w:r>
      <w:r w:rsidR="005B0F97" w:rsidRPr="007870ED">
        <w:t>van het Financieel Reglement.”.</w:t>
      </w:r>
    </w:p>
    <w:p w:rsidR="0015189C" w:rsidRPr="007870ED" w:rsidRDefault="0015189C" w:rsidP="0015189C">
      <w:pPr>
        <w:keepNext/>
        <w:widowControl/>
        <w:spacing w:before="360" w:after="120"/>
        <w:jc w:val="center"/>
        <w:rPr>
          <w:rFonts w:eastAsia="Calibri"/>
          <w:b/>
          <w:i/>
          <w:noProof/>
          <w:szCs w:val="22"/>
        </w:rPr>
      </w:pPr>
      <w:r w:rsidRPr="007870ED">
        <w:rPr>
          <w:b/>
          <w:i/>
        </w:rPr>
        <w:t>Artikel 5 bis</w:t>
      </w:r>
    </w:p>
    <w:p w:rsidR="0015189C" w:rsidRPr="007870ED" w:rsidRDefault="0015189C" w:rsidP="0015189C">
      <w:pPr>
        <w:widowControl/>
        <w:spacing w:before="120" w:after="120"/>
        <w:jc w:val="center"/>
        <w:rPr>
          <w:rFonts w:eastAsia="Calibri"/>
          <w:b/>
          <w:bCs/>
          <w:noProof/>
          <w:szCs w:val="22"/>
        </w:rPr>
      </w:pPr>
      <w:r w:rsidRPr="007870ED">
        <w:rPr>
          <w:b/>
        </w:rPr>
        <w:t>Afstemming op Verordening (EU) nr. 1024/2013 van de Raad</w:t>
      </w:r>
    </w:p>
    <w:p w:rsidR="0015189C" w:rsidRPr="007870ED" w:rsidRDefault="0015189C" w:rsidP="0015189C">
      <w:pPr>
        <w:widowControl/>
        <w:jc w:val="both"/>
        <w:rPr>
          <w:rFonts w:eastAsia="Calibri"/>
          <w:szCs w:val="24"/>
        </w:rPr>
      </w:pPr>
      <w:r w:rsidRPr="007870ED">
        <w:rPr>
          <w:b/>
          <w:i/>
        </w:rPr>
        <w:t>Uiterlijk op ... [drie maanden na de datum van inwerkingtreding van deze wijzigingsverordening] dient de Commissie zo nodig bij de Raad een wetgevingsvoorstel in om de wijzigingen van de Verordeningen (EU) nr. 1092/2010, (EU) nr. 1093/2010, (EU) nr. 1094/2010, (EU) nr. 1095/2010, (EU) nr. 806/2014 en (EU) .../...</w:t>
      </w:r>
      <w:r w:rsidR="004D58C2" w:rsidRPr="007870ED">
        <w:rPr>
          <w:rStyle w:val="FootnoteReference"/>
          <w:rFonts w:eastAsia="Calibri"/>
          <w:b/>
          <w:i/>
          <w:noProof/>
          <w:szCs w:val="22"/>
          <w:lang w:eastAsia="en-US"/>
        </w:rPr>
        <w:footnoteReference w:customMarkFollows="1" w:id="25"/>
        <w:sym w:font="Symbol" w:char="F02B"/>
      </w:r>
      <w:r w:rsidRPr="007870ED">
        <w:rPr>
          <w:b/>
          <w:i/>
        </w:rPr>
        <w:t xml:space="preserve"> in deze verordening af te stemmen op Verordening (EU) nr. 1024/2013 van de Raad.</w:t>
      </w:r>
    </w:p>
    <w:p w:rsidR="0015189C" w:rsidRPr="007870ED" w:rsidRDefault="0015189C" w:rsidP="0015189C">
      <w:pPr>
        <w:widowControl/>
        <w:spacing w:before="120" w:after="120"/>
        <w:jc w:val="both"/>
        <w:rPr>
          <w:rFonts w:eastAsia="Calibri"/>
          <w:noProof/>
          <w:szCs w:val="22"/>
          <w:lang w:eastAsia="en-US"/>
        </w:rPr>
      </w:pPr>
    </w:p>
    <w:p w:rsidR="0015189C" w:rsidRPr="007870ED" w:rsidRDefault="0015189C" w:rsidP="0015189C">
      <w:pPr>
        <w:keepNext/>
        <w:widowControl/>
        <w:spacing w:before="360" w:after="120"/>
        <w:jc w:val="center"/>
        <w:rPr>
          <w:rFonts w:eastAsia="Calibri"/>
          <w:i/>
          <w:noProof/>
          <w:szCs w:val="22"/>
        </w:rPr>
      </w:pPr>
      <w:r w:rsidRPr="007870ED">
        <w:rPr>
          <w:i/>
        </w:rPr>
        <w:t>Artikel 6</w:t>
      </w:r>
    </w:p>
    <w:p w:rsidR="0015189C" w:rsidRPr="007870ED" w:rsidRDefault="0015189C" w:rsidP="0015189C">
      <w:pPr>
        <w:widowControl/>
        <w:spacing w:before="120" w:after="120"/>
        <w:jc w:val="center"/>
        <w:rPr>
          <w:rFonts w:eastAsia="Calibri"/>
          <w:b/>
          <w:bCs/>
          <w:noProof/>
          <w:szCs w:val="22"/>
        </w:rPr>
      </w:pPr>
      <w:r w:rsidRPr="007870ED">
        <w:rPr>
          <w:b/>
        </w:rPr>
        <w:t>Inwerkingtreding</w:t>
      </w:r>
    </w:p>
    <w:p w:rsidR="0015189C" w:rsidRPr="007870ED" w:rsidRDefault="0015189C" w:rsidP="0015189C">
      <w:pPr>
        <w:widowControl/>
        <w:spacing w:before="120" w:after="120"/>
        <w:jc w:val="both"/>
        <w:rPr>
          <w:rFonts w:eastAsia="Calibri"/>
          <w:noProof/>
          <w:szCs w:val="22"/>
          <w:lang w:eastAsia="en-US"/>
        </w:rPr>
      </w:pPr>
    </w:p>
    <w:p w:rsidR="0015189C" w:rsidRPr="007870ED" w:rsidRDefault="0015189C" w:rsidP="0015189C">
      <w:pPr>
        <w:widowControl/>
        <w:spacing w:before="120" w:after="120"/>
        <w:jc w:val="both"/>
        <w:rPr>
          <w:rFonts w:eastAsia="Calibri"/>
          <w:noProof/>
          <w:szCs w:val="22"/>
        </w:rPr>
      </w:pPr>
      <w:r w:rsidRPr="007870ED">
        <w:t>Deze verordening treedt in werking op de twintigste dag na die van de bekendmaking ervan in het Publicatieblad van de Europese Unie.</w:t>
      </w:r>
    </w:p>
    <w:p w:rsidR="0015189C" w:rsidRPr="007870ED" w:rsidRDefault="0015189C" w:rsidP="0015189C">
      <w:pPr>
        <w:widowControl/>
        <w:spacing w:before="480" w:after="120"/>
        <w:jc w:val="both"/>
        <w:rPr>
          <w:rFonts w:eastAsia="Calibri"/>
          <w:noProof/>
          <w:szCs w:val="22"/>
        </w:rPr>
      </w:pPr>
      <w:r w:rsidRPr="007870ED">
        <w:t>Deze verordening is verbindend in al haar onderdelen en is rechtstreeks toepasselijk in elke lidstaat.</w:t>
      </w:r>
    </w:p>
    <w:p w:rsidR="0015189C" w:rsidRPr="007870ED" w:rsidRDefault="0015189C" w:rsidP="0015189C">
      <w:pPr>
        <w:keepNext/>
        <w:widowControl/>
        <w:spacing w:before="120"/>
        <w:jc w:val="both"/>
        <w:rPr>
          <w:rFonts w:eastAsia="Calibri"/>
          <w:noProof/>
          <w:szCs w:val="22"/>
        </w:rPr>
      </w:pPr>
      <w:r w:rsidRPr="007870ED">
        <w:t>Gedaan te Brussel,</w:t>
      </w:r>
    </w:p>
    <w:p w:rsidR="0015189C" w:rsidRPr="007870ED" w:rsidRDefault="0015189C" w:rsidP="0015189C">
      <w:pPr>
        <w:keepNext/>
        <w:widowControl/>
        <w:tabs>
          <w:tab w:val="left" w:pos="4252"/>
        </w:tabs>
        <w:spacing w:before="720"/>
        <w:jc w:val="both"/>
        <w:rPr>
          <w:rFonts w:eastAsia="Calibri"/>
          <w:i/>
          <w:noProof/>
          <w:szCs w:val="22"/>
        </w:rPr>
      </w:pPr>
      <w:r w:rsidRPr="007870ED">
        <w:rPr>
          <w:i/>
        </w:rPr>
        <w:t>Voor het Europees Parlement</w:t>
      </w:r>
      <w:r w:rsidRPr="007870ED">
        <w:rPr>
          <w:i/>
        </w:rPr>
        <w:tab/>
        <w:t>Voor de Raad</w:t>
      </w:r>
    </w:p>
    <w:p w:rsidR="0015189C" w:rsidRPr="007870ED" w:rsidRDefault="0015189C" w:rsidP="0015189C">
      <w:pPr>
        <w:widowControl/>
        <w:tabs>
          <w:tab w:val="left" w:pos="4252"/>
        </w:tabs>
        <w:rPr>
          <w:rFonts w:eastAsia="Calibri"/>
          <w:i/>
          <w:noProof/>
          <w:szCs w:val="22"/>
        </w:rPr>
      </w:pPr>
      <w:r w:rsidRPr="007870ED">
        <w:rPr>
          <w:i/>
        </w:rPr>
        <w:t>De voorzitter</w:t>
      </w:r>
      <w:r w:rsidRPr="007870ED">
        <w:rPr>
          <w:i/>
        </w:rPr>
        <w:tab/>
        <w:t>De voorzitter</w:t>
      </w:r>
    </w:p>
    <w:p w:rsidR="0015189C" w:rsidRPr="007870ED" w:rsidRDefault="0015189C" w:rsidP="0015189C">
      <w:pPr>
        <w:pStyle w:val="Personnequisigne"/>
        <w:rPr>
          <w:noProof/>
        </w:rPr>
      </w:pPr>
    </w:p>
    <w:sectPr w:rsidR="0015189C" w:rsidRPr="007870ED" w:rsidSect="007F4B78">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C7834" w:rsidRPr="007F4B78" w:rsidRDefault="00FC7834">
      <w:r w:rsidRPr="007F4B78">
        <w:separator/>
      </w:r>
    </w:p>
  </w:endnote>
  <w:endnote w:type="continuationSeparator" w:id="0">
    <w:p w:rsidR="00FC7834" w:rsidRPr="007F4B78" w:rsidRDefault="00FC7834">
      <w:r w:rsidRPr="007F4B7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PMingLiU">
    <w:altName w:val="新細明體"/>
    <w:panose1 w:val="02010601000101010101"/>
    <w:charset w:val="88"/>
    <w:family w:val="auto"/>
    <w:pitch w:val="variable"/>
    <w:sig w:usb0="00000000" w:usb1="08080000" w:usb2="00000010" w:usb3="00000000" w:csb0="00100000"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C7834" w:rsidRPr="007F4B78" w:rsidRDefault="00FC7834">
      <w:r w:rsidRPr="007F4B78">
        <w:separator/>
      </w:r>
    </w:p>
  </w:footnote>
  <w:footnote w:type="continuationSeparator" w:id="0">
    <w:p w:rsidR="00FC7834" w:rsidRPr="007F4B78" w:rsidRDefault="00FC7834">
      <w:r w:rsidRPr="007F4B78">
        <w:continuationSeparator/>
      </w:r>
    </w:p>
  </w:footnote>
  <w:footnote w:id="1">
    <w:p w:rsidR="00FC7834" w:rsidRPr="00EF645F" w:rsidRDefault="00FC7834" w:rsidP="004D58C2">
      <w:pPr>
        <w:pStyle w:val="FootnoteText"/>
        <w:ind w:left="851" w:hanging="851"/>
        <w:rPr>
          <w:sz w:val="24"/>
          <w:szCs w:val="24"/>
          <w:lang w:val="nl-NL"/>
        </w:rPr>
      </w:pPr>
      <w:r w:rsidRPr="00EF645F">
        <w:rPr>
          <w:rStyle w:val="FootnoteReference"/>
          <w:sz w:val="24"/>
          <w:szCs w:val="24"/>
        </w:rPr>
        <w:footnoteRef/>
      </w:r>
      <w:r w:rsidRPr="00EF645F">
        <w:rPr>
          <w:sz w:val="24"/>
          <w:szCs w:val="24"/>
          <w:lang w:val="nl-NL"/>
        </w:rPr>
        <w:tab/>
        <w:t>Nog niet bekendgemaakt in het Publicatieblad</w:t>
      </w:r>
    </w:p>
  </w:footnote>
  <w:footnote w:id="2">
    <w:p w:rsidR="00FC7834" w:rsidRPr="003117D7" w:rsidRDefault="00FC7834" w:rsidP="004D58C2">
      <w:pPr>
        <w:pStyle w:val="FootnoteText"/>
        <w:ind w:left="851" w:hanging="851"/>
        <w:rPr>
          <w:sz w:val="24"/>
          <w:szCs w:val="24"/>
        </w:rPr>
      </w:pPr>
      <w:r w:rsidRPr="00F21108">
        <w:rPr>
          <w:rStyle w:val="FootnoteReference"/>
          <w:sz w:val="24"/>
          <w:szCs w:val="24"/>
        </w:rPr>
        <w:t>*</w:t>
      </w:r>
      <w:r w:rsidRPr="00F21108">
        <w:rPr>
          <w:sz w:val="24"/>
          <w:szCs w:val="24"/>
        </w:rPr>
        <w:t xml:space="preserve"> </w:t>
      </w:r>
      <w:r w:rsidRPr="00F21108">
        <w:rPr>
          <w:sz w:val="24"/>
          <w:szCs w:val="24"/>
          <w:lang w:val="nl-BE"/>
        </w:rPr>
        <w:tab/>
      </w:r>
      <w:r w:rsidRPr="00F21108">
        <w:rPr>
          <w:rFonts w:eastAsia="PMingLiU"/>
          <w:sz w:val="24"/>
          <w:szCs w:val="24"/>
          <w:lang w:val="nl-BE" w:eastAsia="zh-TW"/>
        </w:rPr>
        <w:t>De wijzigingen in de tekst zijn het gevolg van de aanneming van amendement 1. Nieuwe of vervangende tekst staat in vet en cursief, schrappingen zijn met het symbool ▐ aangegeven.</w:t>
      </w:r>
    </w:p>
  </w:footnote>
  <w:footnote w:id="3">
    <w:p w:rsidR="00FC7834" w:rsidRPr="007F4B78" w:rsidRDefault="00FC7834" w:rsidP="004D58C2">
      <w:pPr>
        <w:pStyle w:val="FootnoteText"/>
        <w:ind w:left="851" w:hanging="851"/>
        <w:rPr>
          <w:sz w:val="24"/>
          <w:szCs w:val="24"/>
          <w:lang w:val="nl-NL"/>
        </w:rPr>
      </w:pPr>
      <w:r w:rsidRPr="007F4B78">
        <w:rPr>
          <w:rStyle w:val="FootnoteReference"/>
          <w:sz w:val="24"/>
          <w:szCs w:val="24"/>
          <w:lang w:val="nl-NL"/>
        </w:rPr>
        <w:footnoteRef/>
      </w:r>
      <w:r w:rsidRPr="007F4B78">
        <w:rPr>
          <w:sz w:val="24"/>
          <w:szCs w:val="24"/>
          <w:lang w:val="nl-NL"/>
        </w:rPr>
        <w:t xml:space="preserve"> </w:t>
      </w:r>
      <w:r w:rsidRPr="007F4B78">
        <w:rPr>
          <w:sz w:val="24"/>
          <w:szCs w:val="24"/>
          <w:lang w:val="nl-NL"/>
        </w:rPr>
        <w:tab/>
        <w:t>PB C […] van […], blz. […].</w:t>
      </w:r>
    </w:p>
  </w:footnote>
  <w:footnote w:id="4">
    <w:p w:rsidR="00FC7834" w:rsidRPr="007F4B78" w:rsidRDefault="00FC7834" w:rsidP="004D58C2">
      <w:pPr>
        <w:pStyle w:val="FootnoteText"/>
        <w:ind w:left="851" w:hanging="851"/>
        <w:rPr>
          <w:sz w:val="24"/>
          <w:szCs w:val="24"/>
          <w:lang w:val="nl-NL"/>
        </w:rPr>
      </w:pPr>
      <w:r w:rsidRPr="007F4B78">
        <w:rPr>
          <w:rStyle w:val="FootnoteReference"/>
          <w:sz w:val="24"/>
          <w:szCs w:val="24"/>
          <w:lang w:val="nl-NL"/>
        </w:rPr>
        <w:footnoteRef/>
      </w:r>
      <w:r w:rsidRPr="007F4B78">
        <w:rPr>
          <w:sz w:val="24"/>
          <w:szCs w:val="24"/>
          <w:lang w:val="nl-NL"/>
        </w:rPr>
        <w:t xml:space="preserve"> </w:t>
      </w:r>
      <w:r w:rsidRPr="007F4B78">
        <w:rPr>
          <w:sz w:val="24"/>
          <w:szCs w:val="24"/>
          <w:lang w:val="nl-NL"/>
        </w:rPr>
        <w:tab/>
        <w:t>PB C […] van […], blz. […].</w:t>
      </w:r>
    </w:p>
  </w:footnote>
  <w:footnote w:id="5">
    <w:p w:rsidR="00FC7834" w:rsidRPr="007F4B78" w:rsidRDefault="00FC7834" w:rsidP="004D58C2">
      <w:pPr>
        <w:pStyle w:val="FootnoteText"/>
        <w:ind w:left="851" w:hanging="851"/>
        <w:rPr>
          <w:sz w:val="24"/>
          <w:szCs w:val="24"/>
          <w:lang w:val="nl-NL"/>
        </w:rPr>
      </w:pPr>
      <w:r w:rsidRPr="007F4B78">
        <w:rPr>
          <w:rStyle w:val="FootnoteReference"/>
          <w:sz w:val="24"/>
          <w:szCs w:val="24"/>
          <w:lang w:val="nl-NL"/>
        </w:rPr>
        <w:footnoteRef/>
      </w:r>
      <w:r w:rsidRPr="007F4B78">
        <w:rPr>
          <w:sz w:val="24"/>
          <w:szCs w:val="24"/>
          <w:lang w:val="nl-NL"/>
        </w:rPr>
        <w:t xml:space="preserve"> </w:t>
      </w:r>
      <w:r w:rsidRPr="007F4B78">
        <w:rPr>
          <w:sz w:val="24"/>
          <w:szCs w:val="24"/>
          <w:lang w:val="nl-NL"/>
        </w:rPr>
        <w:tab/>
        <w:t xml:space="preserve">Verordening (EU) 2021/523 van het Europees Parlement en de Raad van 24 maart 2021 tot vaststelling van het </w:t>
      </w:r>
      <w:proofErr w:type="spellStart"/>
      <w:r w:rsidRPr="007F4B78">
        <w:rPr>
          <w:sz w:val="24"/>
          <w:szCs w:val="24"/>
          <w:lang w:val="nl-NL"/>
        </w:rPr>
        <w:t>InvestEU</w:t>
      </w:r>
      <w:proofErr w:type="spellEnd"/>
      <w:r w:rsidRPr="007F4B78">
        <w:rPr>
          <w:sz w:val="24"/>
          <w:szCs w:val="24"/>
          <w:lang w:val="nl-NL"/>
        </w:rPr>
        <w:t>-programma en tot wijziging van Verordening (EU) 2015/1017 (PB L 107 van 26.3.2021, blz. 30).</w:t>
      </w:r>
    </w:p>
  </w:footnote>
  <w:footnote w:id="6">
    <w:p w:rsidR="00FC7834" w:rsidRPr="007F4B78" w:rsidRDefault="00FC7834" w:rsidP="004D58C2">
      <w:pPr>
        <w:pStyle w:val="FootnoteText"/>
        <w:ind w:left="851" w:hanging="851"/>
        <w:rPr>
          <w:sz w:val="24"/>
          <w:szCs w:val="24"/>
          <w:lang w:val="nl-NL"/>
        </w:rPr>
      </w:pPr>
      <w:r w:rsidRPr="007F4B78">
        <w:rPr>
          <w:rStyle w:val="FootnoteReference"/>
          <w:sz w:val="24"/>
          <w:szCs w:val="24"/>
          <w:lang w:val="nl-NL"/>
        </w:rPr>
        <w:footnoteRef/>
      </w:r>
      <w:r w:rsidRPr="007F4B78">
        <w:rPr>
          <w:sz w:val="24"/>
          <w:szCs w:val="24"/>
          <w:lang w:val="nl-NL"/>
        </w:rPr>
        <w:t xml:space="preserve"> </w:t>
      </w:r>
      <w:r w:rsidRPr="007F4B78">
        <w:rPr>
          <w:sz w:val="24"/>
          <w:szCs w:val="24"/>
          <w:lang w:val="nl-NL"/>
        </w:rPr>
        <w:tab/>
        <w:t xml:space="preserve">Verordening (EU) nr. 1092/2010 van het Europees Parlement en de Raad van 24 november 2010 betreffende </w:t>
      </w:r>
      <w:proofErr w:type="spellStart"/>
      <w:r w:rsidRPr="007F4B78">
        <w:rPr>
          <w:sz w:val="24"/>
          <w:szCs w:val="24"/>
          <w:lang w:val="nl-NL"/>
        </w:rPr>
        <w:t>macroprudentieel</w:t>
      </w:r>
      <w:proofErr w:type="spellEnd"/>
      <w:r w:rsidRPr="007F4B78">
        <w:rPr>
          <w:sz w:val="24"/>
          <w:szCs w:val="24"/>
          <w:lang w:val="nl-NL"/>
        </w:rPr>
        <w:t xml:space="preserve"> toezicht van de Europese Unie op het financiële stelsel en tot oprichting van een Europees Comité voor systeemrisico’s (PB L 331 van 15.12.2010, blz. 1).</w:t>
      </w:r>
    </w:p>
  </w:footnote>
  <w:footnote w:id="7">
    <w:p w:rsidR="00FC7834" w:rsidRPr="007F4B78" w:rsidRDefault="00FC7834" w:rsidP="004D58C2">
      <w:pPr>
        <w:pStyle w:val="FootnoteText"/>
        <w:ind w:left="851" w:hanging="851"/>
        <w:rPr>
          <w:sz w:val="24"/>
          <w:szCs w:val="24"/>
          <w:lang w:val="nl-NL"/>
        </w:rPr>
      </w:pPr>
      <w:r w:rsidRPr="007F4B78">
        <w:rPr>
          <w:rStyle w:val="FootnoteReference"/>
          <w:sz w:val="24"/>
          <w:szCs w:val="24"/>
          <w:lang w:val="nl-NL"/>
        </w:rPr>
        <w:footnoteRef/>
      </w:r>
      <w:r w:rsidRPr="007F4B78">
        <w:rPr>
          <w:sz w:val="24"/>
          <w:szCs w:val="24"/>
          <w:lang w:val="nl-NL"/>
        </w:rPr>
        <w:t xml:space="preserve"> </w:t>
      </w:r>
      <w:r w:rsidRPr="007F4B78">
        <w:rPr>
          <w:sz w:val="24"/>
          <w:szCs w:val="24"/>
          <w:lang w:val="nl-NL"/>
        </w:rPr>
        <w:tab/>
        <w:t>Verordening (EU) nr. 1093/2010 van het Europees Parlement en de Raad van 24 november 2010 tot oprichting van een Europese toezichthoudende autoriteit (Europese Bankautoriteit), tot wijziging van Besluit nr. 716/2009/EG en tot intrekking van Besluit 2009/78/EG van de Commissie (PB L 331 van 15.12.2010, blz. 12).</w:t>
      </w:r>
    </w:p>
  </w:footnote>
  <w:footnote w:id="8">
    <w:p w:rsidR="00FC7834" w:rsidRPr="007F4B78" w:rsidRDefault="00FC7834" w:rsidP="004D58C2">
      <w:pPr>
        <w:pStyle w:val="FootnoteText"/>
        <w:ind w:left="851" w:hanging="851"/>
        <w:rPr>
          <w:sz w:val="24"/>
          <w:szCs w:val="24"/>
          <w:lang w:val="nl-NL"/>
        </w:rPr>
      </w:pPr>
      <w:r w:rsidRPr="007F4B78">
        <w:rPr>
          <w:rStyle w:val="FootnoteReference"/>
          <w:sz w:val="24"/>
          <w:szCs w:val="24"/>
          <w:lang w:val="nl-NL"/>
        </w:rPr>
        <w:footnoteRef/>
      </w:r>
      <w:r w:rsidRPr="007F4B78">
        <w:rPr>
          <w:sz w:val="24"/>
          <w:szCs w:val="24"/>
          <w:lang w:val="nl-NL"/>
        </w:rPr>
        <w:t xml:space="preserve"> </w:t>
      </w:r>
      <w:r w:rsidRPr="007F4B78">
        <w:rPr>
          <w:sz w:val="24"/>
          <w:szCs w:val="24"/>
          <w:lang w:val="nl-NL"/>
        </w:rPr>
        <w:tab/>
        <w:t>Verordening (EU) nr. 1094/2010 van het Europees Parlement en de Raad van 24 november 2010 tot oprichting van een Europese toezichthoudende autoriteit (Europese Autoriteit voor verzekeringen en bedrijfspensioenen), tot wijziging van Besluit nr. 716/2009/EG en tot intrekking van Besluit 2009/79/EG van de Commissie (PB L 331 van 15.12.2010, blz. 48).</w:t>
      </w:r>
    </w:p>
  </w:footnote>
  <w:footnote w:id="9">
    <w:p w:rsidR="00FC7834" w:rsidRPr="007F4B78" w:rsidRDefault="00FC7834" w:rsidP="004D58C2">
      <w:pPr>
        <w:pStyle w:val="FootnoteText"/>
        <w:ind w:left="851" w:hanging="851"/>
        <w:rPr>
          <w:sz w:val="24"/>
          <w:szCs w:val="24"/>
          <w:lang w:val="nl-NL"/>
        </w:rPr>
      </w:pPr>
      <w:r w:rsidRPr="007F4B78">
        <w:rPr>
          <w:rStyle w:val="FootnoteReference"/>
          <w:sz w:val="24"/>
          <w:szCs w:val="24"/>
          <w:lang w:val="nl-NL"/>
        </w:rPr>
        <w:footnoteRef/>
      </w:r>
      <w:r w:rsidRPr="007F4B78">
        <w:rPr>
          <w:sz w:val="24"/>
          <w:szCs w:val="24"/>
          <w:lang w:val="nl-NL"/>
        </w:rPr>
        <w:t xml:space="preserve"> </w:t>
      </w:r>
      <w:r w:rsidRPr="007F4B78">
        <w:rPr>
          <w:sz w:val="24"/>
          <w:szCs w:val="24"/>
          <w:lang w:val="nl-NL"/>
        </w:rPr>
        <w:tab/>
        <w:t>Verordening (EU) nr. 1095/2010 van het Europees Parlement en de Raad van 24 november 2010 tot oprichting van een Europese toezichthoudende autoriteit (Europese Autoriteit voor effecten en markten), tot wijziging van Besluit nr. 716/2009/EG en tot intrekking van Besluit 2009/77/EG van de Commissie (PB L 331 van 15.12.2010, blz. 84).</w:t>
      </w:r>
    </w:p>
  </w:footnote>
  <w:footnote w:id="10">
    <w:p w:rsidR="00FC7834" w:rsidRDefault="00FC7834" w:rsidP="004D58C2">
      <w:pPr>
        <w:pStyle w:val="FootnoteText"/>
        <w:ind w:left="851" w:hanging="851"/>
      </w:pPr>
      <w:r>
        <w:rPr>
          <w:rStyle w:val="FootnoteReference"/>
        </w:rPr>
        <w:footnoteRef/>
      </w:r>
      <w:r>
        <w:t xml:space="preserve"> </w:t>
      </w:r>
      <w:r>
        <w:tab/>
      </w:r>
      <w:r w:rsidRPr="007F4B78">
        <w:rPr>
          <w:b/>
          <w:i/>
          <w:sz w:val="24"/>
          <w:lang w:val="nl-NL"/>
        </w:rPr>
        <w:t>Verordening (EU) nr. 806/2014 van het Europees Parlement en de Raad van 15 juli 2014 tot vaststelling van eenvormige regels en een eenvormige procedure voor de afwikkeling van kredietinstellingen en bepaalde beleggingsondernemingen in het kader van een gemeenschappelijk afwikkelingsmechanisme en een gemeenschappelijk afwikkelingsfonds en tot wijziging van Verordening (EU) nr. 1093/2010 (PB L 225 van 30.7.2014, blz. 1).</w:t>
      </w:r>
    </w:p>
  </w:footnote>
  <w:footnote w:id="11">
    <w:p w:rsidR="00FC7834" w:rsidRDefault="00FC7834" w:rsidP="004D58C2">
      <w:pPr>
        <w:pStyle w:val="FootnoteText"/>
        <w:ind w:left="851" w:hanging="851"/>
      </w:pPr>
      <w:r>
        <w:rPr>
          <w:rStyle w:val="FootnoteReference"/>
        </w:rPr>
        <w:t>+</w:t>
      </w:r>
      <w:r>
        <w:t xml:space="preserve"> </w:t>
      </w:r>
      <w:r>
        <w:tab/>
      </w:r>
      <w:r w:rsidR="00083F8D" w:rsidRPr="00083F8D">
        <w:rPr>
          <w:b/>
          <w:i/>
          <w:sz w:val="24"/>
          <w:lang w:val="nl-BE"/>
        </w:rPr>
        <w:t xml:space="preserve">PB: gelieve in de tekst het nummer van de verordening in document 2021/0240(COD) (voorstel voor een verordening tot oprichting van de Autoriteit voor de bestrijding van witwassen en terrorismefinanciering- COM/2021/421 </w:t>
      </w:r>
      <w:proofErr w:type="spellStart"/>
      <w:r w:rsidR="00083F8D" w:rsidRPr="00083F8D">
        <w:rPr>
          <w:b/>
          <w:i/>
          <w:sz w:val="24"/>
          <w:lang w:val="nl-BE"/>
        </w:rPr>
        <w:t>final</w:t>
      </w:r>
      <w:proofErr w:type="spellEnd"/>
      <w:r w:rsidR="00083F8D" w:rsidRPr="00083F8D">
        <w:rPr>
          <w:b/>
          <w:i/>
          <w:sz w:val="24"/>
          <w:lang w:val="nl-BE"/>
        </w:rPr>
        <w:t>) in te voegen, en in de overeenkomstige voetnoot het nummer, de datum, de titel en de publicatiegegevens daarvan</w:t>
      </w:r>
      <w:r w:rsidRPr="00EF645F">
        <w:rPr>
          <w:b/>
          <w:i/>
          <w:sz w:val="24"/>
          <w:lang w:val="en-GB"/>
        </w:rPr>
        <w:t>.</w:t>
      </w:r>
    </w:p>
  </w:footnote>
  <w:footnote w:id="12">
    <w:p w:rsidR="00FC7834" w:rsidRDefault="00FC7834" w:rsidP="004D58C2">
      <w:pPr>
        <w:pStyle w:val="FootnoteText"/>
        <w:ind w:left="851" w:hanging="851"/>
      </w:pPr>
      <w:r>
        <w:rPr>
          <w:rStyle w:val="FootnoteReference"/>
        </w:rPr>
        <w:footnoteRef/>
      </w:r>
      <w:r>
        <w:t xml:space="preserve"> </w:t>
      </w:r>
      <w:r>
        <w:tab/>
      </w:r>
      <w:r w:rsidRPr="007F4B78">
        <w:rPr>
          <w:b/>
          <w:i/>
          <w:sz w:val="24"/>
          <w:lang w:val="nl-NL"/>
        </w:rPr>
        <w:t xml:space="preserve">Verordening (EU) nr. 1024/2013 van de Raad van 15 oktober 2013 waarbij aan de Europese Centrale Bank specifieke taken worden opgedragen betreffende het beleid inzake het </w:t>
      </w:r>
      <w:proofErr w:type="spellStart"/>
      <w:r w:rsidRPr="007F4B78">
        <w:rPr>
          <w:b/>
          <w:i/>
          <w:sz w:val="24"/>
          <w:lang w:val="nl-NL"/>
        </w:rPr>
        <w:t>prudentieel</w:t>
      </w:r>
      <w:proofErr w:type="spellEnd"/>
      <w:r w:rsidRPr="007F4B78">
        <w:rPr>
          <w:b/>
          <w:i/>
          <w:sz w:val="24"/>
          <w:lang w:val="nl-NL"/>
        </w:rPr>
        <w:t xml:space="preserve"> toezicht op kredietinstellingen (PB L 287 van 29.10.2013, blz. 63).</w:t>
      </w:r>
    </w:p>
  </w:footnote>
  <w:footnote w:id="13">
    <w:p w:rsidR="00FC7834" w:rsidRPr="007F4B78" w:rsidRDefault="00FC7834" w:rsidP="004D58C2">
      <w:pPr>
        <w:pStyle w:val="FootnoteText"/>
        <w:ind w:left="851" w:hanging="851"/>
        <w:rPr>
          <w:sz w:val="24"/>
          <w:szCs w:val="24"/>
          <w:lang w:val="nl-NL"/>
        </w:rPr>
      </w:pPr>
      <w:r w:rsidRPr="007F4B78">
        <w:rPr>
          <w:rStyle w:val="FootnoteReference"/>
          <w:sz w:val="24"/>
          <w:szCs w:val="24"/>
          <w:lang w:val="nl-NL"/>
        </w:rPr>
        <w:footnoteRef/>
      </w:r>
      <w:r w:rsidRPr="007F4B78">
        <w:rPr>
          <w:sz w:val="24"/>
          <w:szCs w:val="24"/>
          <w:lang w:val="nl-NL"/>
        </w:rPr>
        <w:t xml:space="preserve"> </w:t>
      </w:r>
      <w:r w:rsidRPr="007F4B78">
        <w:rPr>
          <w:sz w:val="24"/>
          <w:szCs w:val="24"/>
          <w:lang w:val="nl-NL"/>
        </w:rPr>
        <w:tab/>
      </w:r>
      <w:proofErr w:type="gramStart"/>
      <w:r w:rsidRPr="007F4B78">
        <w:rPr>
          <w:sz w:val="24"/>
          <w:szCs w:val="24"/>
          <w:lang w:val="nl-NL"/>
        </w:rPr>
        <w:t>COM(</w:t>
      </w:r>
      <w:proofErr w:type="gramEnd"/>
      <w:r w:rsidRPr="007F4B78">
        <w:rPr>
          <w:sz w:val="24"/>
          <w:szCs w:val="24"/>
          <w:lang w:val="nl-NL"/>
        </w:rPr>
        <w:t xml:space="preserve">2023)168 </w:t>
      </w:r>
      <w:proofErr w:type="spellStart"/>
      <w:r w:rsidRPr="007F4B78">
        <w:rPr>
          <w:sz w:val="24"/>
          <w:szCs w:val="24"/>
          <w:lang w:val="nl-NL"/>
        </w:rPr>
        <w:t>final</w:t>
      </w:r>
      <w:proofErr w:type="spellEnd"/>
      <w:r w:rsidRPr="007F4B78">
        <w:rPr>
          <w:sz w:val="24"/>
          <w:szCs w:val="24"/>
          <w:lang w:val="nl-NL"/>
        </w:rPr>
        <w:t>.</w:t>
      </w:r>
    </w:p>
  </w:footnote>
  <w:footnote w:id="14">
    <w:p w:rsidR="00FC7834" w:rsidRPr="007F4B78" w:rsidRDefault="00FC7834" w:rsidP="004D58C2">
      <w:pPr>
        <w:pStyle w:val="FootnoteText"/>
        <w:ind w:left="851" w:hanging="851"/>
        <w:rPr>
          <w:sz w:val="24"/>
          <w:szCs w:val="24"/>
          <w:lang w:val="nl-NL"/>
        </w:rPr>
      </w:pPr>
      <w:r w:rsidRPr="007F4B78">
        <w:rPr>
          <w:rStyle w:val="FootnoteReference"/>
          <w:sz w:val="24"/>
          <w:szCs w:val="24"/>
          <w:lang w:val="nl-NL"/>
        </w:rPr>
        <w:footnoteRef/>
      </w:r>
      <w:r w:rsidRPr="007F4B78">
        <w:rPr>
          <w:sz w:val="24"/>
          <w:szCs w:val="24"/>
          <w:lang w:val="nl-NL"/>
        </w:rPr>
        <w:t xml:space="preserve"> </w:t>
      </w:r>
      <w:r w:rsidRPr="007F4B78">
        <w:rPr>
          <w:sz w:val="24"/>
          <w:szCs w:val="24"/>
          <w:lang w:val="nl-NL"/>
        </w:rPr>
        <w:tab/>
        <w:t xml:space="preserve">Verordening (EU) 2022/868 van het Europees Parlement en de Raad van 30 mei 2022 betreffende Europese </w:t>
      </w:r>
      <w:proofErr w:type="spellStart"/>
      <w:r w:rsidRPr="007F4B78">
        <w:rPr>
          <w:sz w:val="24"/>
          <w:szCs w:val="24"/>
          <w:lang w:val="nl-NL"/>
        </w:rPr>
        <w:t>datagovernance</w:t>
      </w:r>
      <w:proofErr w:type="spellEnd"/>
      <w:r w:rsidRPr="007F4B78">
        <w:rPr>
          <w:sz w:val="24"/>
          <w:szCs w:val="24"/>
          <w:lang w:val="nl-NL"/>
        </w:rPr>
        <w:t xml:space="preserve"> en tot wijziging van Verordening (EU) 2018/1724 (</w:t>
      </w:r>
      <w:proofErr w:type="spellStart"/>
      <w:r w:rsidRPr="007F4B78">
        <w:rPr>
          <w:sz w:val="24"/>
          <w:szCs w:val="24"/>
          <w:lang w:val="nl-NL"/>
        </w:rPr>
        <w:t>Datagovernanceverordening</w:t>
      </w:r>
      <w:proofErr w:type="spellEnd"/>
      <w:r w:rsidRPr="007F4B78">
        <w:rPr>
          <w:sz w:val="24"/>
          <w:szCs w:val="24"/>
          <w:lang w:val="nl-NL"/>
        </w:rPr>
        <w:t>) (PB L 152 van 3.6.2022, blz. 1).</w:t>
      </w:r>
    </w:p>
  </w:footnote>
  <w:footnote w:id="15">
    <w:p w:rsidR="00FC7834" w:rsidRDefault="00FC7834" w:rsidP="004D58C2">
      <w:pPr>
        <w:pStyle w:val="FootnoteText"/>
        <w:ind w:left="851" w:hanging="851"/>
      </w:pPr>
      <w:r>
        <w:rPr>
          <w:rStyle w:val="FootnoteReference"/>
        </w:rPr>
        <w:t>+</w:t>
      </w:r>
      <w:r>
        <w:t xml:space="preserve"> </w:t>
      </w:r>
      <w:r>
        <w:tab/>
      </w:r>
      <w:r w:rsidR="00083F8D" w:rsidRPr="00083F8D">
        <w:rPr>
          <w:b/>
          <w:i/>
          <w:sz w:val="24"/>
          <w:lang w:val="nl-BE"/>
        </w:rPr>
        <w:t xml:space="preserve">PB: gelieve in de tekst het nummer van de verordening in document 2021/0240(COD) (voorstel voor een verordening tot oprichting van de Autoriteit voor de bestrijding van witwassen en terrorismefinanciering- COM/2021/421 </w:t>
      </w:r>
      <w:proofErr w:type="spellStart"/>
      <w:r w:rsidR="00083F8D" w:rsidRPr="00083F8D">
        <w:rPr>
          <w:b/>
          <w:i/>
          <w:sz w:val="24"/>
          <w:lang w:val="nl-BE"/>
        </w:rPr>
        <w:t>final</w:t>
      </w:r>
      <w:proofErr w:type="spellEnd"/>
      <w:r w:rsidR="00083F8D" w:rsidRPr="00083F8D">
        <w:rPr>
          <w:b/>
          <w:i/>
          <w:sz w:val="24"/>
          <w:lang w:val="nl-BE"/>
        </w:rPr>
        <w:t>) in te voegen, en in de overeenkomstige voetnoot het nummer, de datum, de titel en de publicatiegegevens daarvan</w:t>
      </w:r>
      <w:r w:rsidRPr="00EF645F">
        <w:rPr>
          <w:b/>
          <w:i/>
          <w:sz w:val="24"/>
          <w:lang w:val="en-GB"/>
        </w:rPr>
        <w:t>.</w:t>
      </w:r>
    </w:p>
  </w:footnote>
  <w:footnote w:id="16">
    <w:p w:rsidR="00FC7834" w:rsidRDefault="00FC7834" w:rsidP="004D58C2">
      <w:pPr>
        <w:pStyle w:val="FootnoteText"/>
        <w:ind w:left="851" w:hanging="851"/>
      </w:pPr>
      <w:r>
        <w:rPr>
          <w:rStyle w:val="FootnoteReference"/>
        </w:rPr>
        <w:t>++</w:t>
      </w:r>
      <w:r>
        <w:t xml:space="preserve"> </w:t>
      </w:r>
      <w:r>
        <w:tab/>
      </w:r>
      <w:r w:rsidR="00083F8D" w:rsidRPr="00083F8D">
        <w:rPr>
          <w:b/>
          <w:i/>
          <w:sz w:val="24"/>
          <w:lang w:val="nl-BE"/>
        </w:rPr>
        <w:t xml:space="preserve">PB: gelieve in de tekst het nummer van de verordening in document 2021/0250(COD) (voorstel voor de zesde </w:t>
      </w:r>
      <w:proofErr w:type="spellStart"/>
      <w:r w:rsidR="00083F8D" w:rsidRPr="00083F8D">
        <w:rPr>
          <w:b/>
          <w:i/>
          <w:sz w:val="24"/>
          <w:lang w:val="nl-BE"/>
        </w:rPr>
        <w:t>antiwitwasrichtlijn</w:t>
      </w:r>
      <w:proofErr w:type="spellEnd"/>
      <w:r w:rsidR="00083F8D" w:rsidRPr="00083F8D">
        <w:rPr>
          <w:b/>
          <w:i/>
          <w:sz w:val="24"/>
          <w:lang w:val="nl-BE"/>
        </w:rPr>
        <w:t xml:space="preserve"> - COM/2021/423 </w:t>
      </w:r>
      <w:proofErr w:type="spellStart"/>
      <w:r w:rsidR="00083F8D" w:rsidRPr="00083F8D">
        <w:rPr>
          <w:b/>
          <w:i/>
          <w:sz w:val="24"/>
          <w:lang w:val="nl-BE"/>
        </w:rPr>
        <w:t>final</w:t>
      </w:r>
      <w:proofErr w:type="spellEnd"/>
      <w:r w:rsidR="00083F8D" w:rsidRPr="00083F8D">
        <w:rPr>
          <w:b/>
          <w:i/>
          <w:sz w:val="24"/>
          <w:lang w:val="nl-BE"/>
        </w:rPr>
        <w:t>) in te voegen, en in de overeenkomstige voetnoot het nummer, de datum, de titel en de publicatiegegevens daarvan</w:t>
      </w:r>
      <w:r w:rsidRPr="00EF645F">
        <w:rPr>
          <w:b/>
          <w:i/>
          <w:sz w:val="24"/>
          <w:lang w:val="en-GB"/>
        </w:rPr>
        <w:t>.</w:t>
      </w:r>
    </w:p>
  </w:footnote>
  <w:footnote w:id="17">
    <w:p w:rsidR="00FC7834" w:rsidRPr="005C0BCD" w:rsidRDefault="00FC7834" w:rsidP="004D58C2">
      <w:pPr>
        <w:pStyle w:val="FootnoteText"/>
        <w:spacing w:line="240" w:lineRule="auto"/>
        <w:ind w:left="851" w:hanging="851"/>
        <w:rPr>
          <w:sz w:val="24"/>
          <w:szCs w:val="24"/>
          <w:lang w:val="en-GB"/>
        </w:rPr>
      </w:pPr>
      <w:r w:rsidRPr="005C0BCD">
        <w:rPr>
          <w:rStyle w:val="FootnoteReference"/>
          <w:sz w:val="24"/>
          <w:szCs w:val="24"/>
        </w:rPr>
        <w:sym w:font="Symbol" w:char="F02B"/>
      </w:r>
      <w:r w:rsidRPr="005C0BCD">
        <w:rPr>
          <w:sz w:val="24"/>
          <w:szCs w:val="24"/>
          <w:lang w:val="en-GB"/>
        </w:rPr>
        <w:t xml:space="preserve"> </w:t>
      </w:r>
      <w:r w:rsidRPr="005C0BCD">
        <w:rPr>
          <w:sz w:val="24"/>
          <w:szCs w:val="24"/>
          <w:lang w:val="en-GB"/>
        </w:rPr>
        <w:tab/>
      </w:r>
      <w:r w:rsidR="00083F8D" w:rsidRPr="00083F8D">
        <w:rPr>
          <w:b/>
          <w:i/>
          <w:sz w:val="24"/>
          <w:szCs w:val="24"/>
          <w:lang w:val="nl-BE"/>
        </w:rPr>
        <w:t xml:space="preserve">PB: gelieve in de tekst het nummer van de verordening in document 2021/0240(COD) (voorstel voor een verordening tot oprichting van de Autoriteit voor de bestrijding van witwassen en terrorismefinanciering- COM/2021/421 </w:t>
      </w:r>
      <w:proofErr w:type="spellStart"/>
      <w:r w:rsidR="00083F8D" w:rsidRPr="00083F8D">
        <w:rPr>
          <w:b/>
          <w:i/>
          <w:sz w:val="24"/>
          <w:szCs w:val="24"/>
          <w:lang w:val="nl-BE"/>
        </w:rPr>
        <w:t>final</w:t>
      </w:r>
      <w:proofErr w:type="spellEnd"/>
      <w:r w:rsidR="00083F8D" w:rsidRPr="00083F8D">
        <w:rPr>
          <w:b/>
          <w:i/>
          <w:sz w:val="24"/>
          <w:szCs w:val="24"/>
          <w:lang w:val="nl-BE"/>
        </w:rPr>
        <w:t>) in te voegen, en in de overeenkomstige voetnoot het nummer, de datum, de titel en de publicatiegegevens daarvan</w:t>
      </w:r>
      <w:r w:rsidRPr="00640568">
        <w:rPr>
          <w:b/>
          <w:i/>
          <w:sz w:val="24"/>
          <w:szCs w:val="24"/>
          <w:lang w:val="en-GB"/>
        </w:rPr>
        <w:t>.</w:t>
      </w:r>
    </w:p>
  </w:footnote>
  <w:footnote w:id="18">
    <w:p w:rsidR="00FC7834" w:rsidRDefault="00FC7834" w:rsidP="004D58C2">
      <w:pPr>
        <w:pStyle w:val="FootnoteText"/>
        <w:ind w:left="851" w:hanging="851"/>
      </w:pPr>
      <w:r>
        <w:rPr>
          <w:rStyle w:val="FootnoteReference"/>
        </w:rPr>
        <w:t>+</w:t>
      </w:r>
      <w:r>
        <w:t xml:space="preserve"> </w:t>
      </w:r>
      <w:r>
        <w:tab/>
      </w:r>
      <w:r w:rsidR="00083F8D" w:rsidRPr="00083F8D">
        <w:rPr>
          <w:b/>
          <w:i/>
          <w:sz w:val="24"/>
          <w:lang w:val="nl-BE"/>
        </w:rPr>
        <w:t xml:space="preserve">PB: gelieve in de tekst het nummer van de verordening in document 2021/0250(COD) (voorstel voor de zesde </w:t>
      </w:r>
      <w:proofErr w:type="spellStart"/>
      <w:r w:rsidR="00083F8D" w:rsidRPr="00083F8D">
        <w:rPr>
          <w:b/>
          <w:i/>
          <w:sz w:val="24"/>
          <w:lang w:val="nl-BE"/>
        </w:rPr>
        <w:t>antiwitwasrichtlijn</w:t>
      </w:r>
      <w:proofErr w:type="spellEnd"/>
      <w:r w:rsidR="00083F8D" w:rsidRPr="00083F8D">
        <w:rPr>
          <w:b/>
          <w:i/>
          <w:sz w:val="24"/>
          <w:lang w:val="nl-BE"/>
        </w:rPr>
        <w:t xml:space="preserve"> - COM/2021/423 </w:t>
      </w:r>
      <w:proofErr w:type="spellStart"/>
      <w:r w:rsidR="00083F8D" w:rsidRPr="00083F8D">
        <w:rPr>
          <w:b/>
          <w:i/>
          <w:sz w:val="24"/>
          <w:lang w:val="nl-BE"/>
        </w:rPr>
        <w:t>final</w:t>
      </w:r>
      <w:proofErr w:type="spellEnd"/>
      <w:r w:rsidR="00083F8D" w:rsidRPr="00083F8D">
        <w:rPr>
          <w:b/>
          <w:i/>
          <w:sz w:val="24"/>
          <w:lang w:val="nl-BE"/>
        </w:rPr>
        <w:t>) in te voegen, en in de overeenkomstige voetnoot het nummer, de datum, de titel en de publicatiegegevens daarvan</w:t>
      </w:r>
      <w:r w:rsidRPr="00EF645F">
        <w:rPr>
          <w:b/>
          <w:i/>
          <w:sz w:val="24"/>
          <w:lang w:val="en-GB"/>
        </w:rPr>
        <w:t>.</w:t>
      </w:r>
    </w:p>
  </w:footnote>
  <w:footnote w:id="19">
    <w:p w:rsidR="00FC7834" w:rsidRPr="005C0BCD" w:rsidRDefault="00FC7834" w:rsidP="004D58C2">
      <w:pPr>
        <w:pStyle w:val="FootnoteText"/>
        <w:spacing w:line="240" w:lineRule="auto"/>
        <w:ind w:left="851" w:hanging="851"/>
        <w:rPr>
          <w:sz w:val="24"/>
          <w:szCs w:val="24"/>
          <w:lang w:val="en-GB"/>
        </w:rPr>
      </w:pPr>
      <w:r w:rsidRPr="005C0BCD">
        <w:rPr>
          <w:rStyle w:val="FootnoteReference"/>
          <w:sz w:val="24"/>
          <w:szCs w:val="24"/>
        </w:rPr>
        <w:sym w:font="Symbol" w:char="F02B"/>
      </w:r>
      <w:r w:rsidRPr="005C0BCD">
        <w:rPr>
          <w:sz w:val="24"/>
          <w:szCs w:val="24"/>
          <w:lang w:val="en-GB"/>
        </w:rPr>
        <w:t xml:space="preserve"> </w:t>
      </w:r>
      <w:r w:rsidRPr="005C0BCD">
        <w:rPr>
          <w:sz w:val="24"/>
          <w:szCs w:val="24"/>
          <w:lang w:val="en-GB"/>
        </w:rPr>
        <w:tab/>
      </w:r>
      <w:r w:rsidR="00083F8D" w:rsidRPr="00083F8D">
        <w:rPr>
          <w:b/>
          <w:i/>
          <w:sz w:val="24"/>
          <w:szCs w:val="24"/>
          <w:lang w:val="nl-BE"/>
        </w:rPr>
        <w:t xml:space="preserve">PB: gelieve in de tekst het nummer van de verordening in document 2021/0240(COD) (voorstel voor een verordening tot oprichting van de Autoriteit voor de bestrijding van witwassen en terrorismefinanciering- COM/2021/421 </w:t>
      </w:r>
      <w:proofErr w:type="spellStart"/>
      <w:r w:rsidR="00083F8D" w:rsidRPr="00083F8D">
        <w:rPr>
          <w:b/>
          <w:i/>
          <w:sz w:val="24"/>
          <w:szCs w:val="24"/>
          <w:lang w:val="nl-BE"/>
        </w:rPr>
        <w:t>final</w:t>
      </w:r>
      <w:proofErr w:type="spellEnd"/>
      <w:r w:rsidR="00083F8D" w:rsidRPr="00083F8D">
        <w:rPr>
          <w:b/>
          <w:i/>
          <w:sz w:val="24"/>
          <w:szCs w:val="24"/>
          <w:lang w:val="nl-BE"/>
        </w:rPr>
        <w:t>) in te voegen, en in de overeenkomstige voetnoot het nummer, de datum, de titel en de publicatiegegevens daarvan</w:t>
      </w:r>
      <w:r w:rsidRPr="00640568">
        <w:rPr>
          <w:b/>
          <w:i/>
          <w:sz w:val="24"/>
          <w:szCs w:val="24"/>
          <w:lang w:val="en-GB"/>
        </w:rPr>
        <w:t>.</w:t>
      </w:r>
    </w:p>
  </w:footnote>
  <w:footnote w:id="20">
    <w:p w:rsidR="00FC7834" w:rsidRPr="005C0BCD" w:rsidRDefault="00FC7834" w:rsidP="004D58C2">
      <w:pPr>
        <w:pStyle w:val="FootnoteText"/>
        <w:spacing w:line="240" w:lineRule="auto"/>
        <w:ind w:left="851" w:hanging="851"/>
        <w:rPr>
          <w:sz w:val="24"/>
          <w:szCs w:val="24"/>
          <w:lang w:val="en-GB"/>
        </w:rPr>
      </w:pPr>
      <w:r w:rsidRPr="005C0BCD">
        <w:rPr>
          <w:rStyle w:val="FootnoteReference"/>
          <w:sz w:val="24"/>
          <w:szCs w:val="24"/>
        </w:rPr>
        <w:sym w:font="Symbol" w:char="F02B"/>
      </w:r>
      <w:r w:rsidRPr="005C0BCD">
        <w:rPr>
          <w:rStyle w:val="FootnoteReference"/>
          <w:sz w:val="24"/>
          <w:szCs w:val="24"/>
        </w:rPr>
        <w:sym w:font="Symbol" w:char="F02B"/>
      </w:r>
      <w:r w:rsidRPr="005C0BCD">
        <w:rPr>
          <w:sz w:val="24"/>
          <w:szCs w:val="24"/>
          <w:lang w:val="en-GB"/>
        </w:rPr>
        <w:tab/>
      </w:r>
      <w:r w:rsidR="00083F8D" w:rsidRPr="00083F8D">
        <w:rPr>
          <w:b/>
          <w:i/>
          <w:sz w:val="24"/>
          <w:szCs w:val="24"/>
          <w:lang w:val="nl-BE"/>
        </w:rPr>
        <w:t xml:space="preserve">PB: gelieve in de tekst het nummer van de verordening in document 2021/0250(COD) (voorstel voor de zesde </w:t>
      </w:r>
      <w:proofErr w:type="spellStart"/>
      <w:r w:rsidR="00083F8D" w:rsidRPr="00083F8D">
        <w:rPr>
          <w:b/>
          <w:i/>
          <w:sz w:val="24"/>
          <w:szCs w:val="24"/>
          <w:lang w:val="nl-BE"/>
        </w:rPr>
        <w:t>antiwitwasrichtlijn</w:t>
      </w:r>
      <w:proofErr w:type="spellEnd"/>
      <w:r w:rsidR="00083F8D" w:rsidRPr="00083F8D">
        <w:rPr>
          <w:b/>
          <w:i/>
          <w:sz w:val="24"/>
          <w:szCs w:val="24"/>
          <w:lang w:val="nl-BE"/>
        </w:rPr>
        <w:t xml:space="preserve"> - COM/2021/423 </w:t>
      </w:r>
      <w:proofErr w:type="spellStart"/>
      <w:r w:rsidR="00083F8D" w:rsidRPr="00083F8D">
        <w:rPr>
          <w:b/>
          <w:i/>
          <w:sz w:val="24"/>
          <w:szCs w:val="24"/>
          <w:lang w:val="nl-BE"/>
        </w:rPr>
        <w:t>final</w:t>
      </w:r>
      <w:proofErr w:type="spellEnd"/>
      <w:r w:rsidR="00083F8D" w:rsidRPr="00083F8D">
        <w:rPr>
          <w:b/>
          <w:i/>
          <w:sz w:val="24"/>
          <w:szCs w:val="24"/>
          <w:lang w:val="nl-BE"/>
        </w:rPr>
        <w:t>) in te voegen, en in de overeenkomstige voetnoot het nummer, de datum, de titel en de publicatiegegevens daarvan</w:t>
      </w:r>
      <w:r w:rsidRPr="00640568">
        <w:rPr>
          <w:b/>
          <w:i/>
          <w:sz w:val="24"/>
          <w:szCs w:val="24"/>
          <w:lang w:val="en-GB"/>
        </w:rPr>
        <w:t>.</w:t>
      </w:r>
    </w:p>
  </w:footnote>
  <w:footnote w:id="21">
    <w:p w:rsidR="00FC7834" w:rsidRPr="005C0BCD" w:rsidRDefault="00FC7834" w:rsidP="004D58C2">
      <w:pPr>
        <w:pStyle w:val="FootnoteText"/>
        <w:spacing w:line="240" w:lineRule="auto"/>
        <w:ind w:left="851" w:hanging="851"/>
        <w:rPr>
          <w:sz w:val="24"/>
          <w:szCs w:val="24"/>
          <w:lang w:val="en-GB"/>
        </w:rPr>
      </w:pPr>
      <w:r w:rsidRPr="005C0BCD">
        <w:rPr>
          <w:rStyle w:val="FootnoteReference"/>
          <w:sz w:val="24"/>
          <w:szCs w:val="24"/>
        </w:rPr>
        <w:sym w:font="Symbol" w:char="F02B"/>
      </w:r>
      <w:r w:rsidRPr="005C0BCD">
        <w:rPr>
          <w:sz w:val="24"/>
          <w:szCs w:val="24"/>
          <w:lang w:val="en-GB"/>
        </w:rPr>
        <w:t xml:space="preserve"> </w:t>
      </w:r>
      <w:r w:rsidRPr="005C0BCD">
        <w:rPr>
          <w:sz w:val="24"/>
          <w:szCs w:val="24"/>
          <w:lang w:val="en-GB"/>
        </w:rPr>
        <w:tab/>
      </w:r>
      <w:r w:rsidR="00083F8D" w:rsidRPr="00083F8D">
        <w:rPr>
          <w:b/>
          <w:i/>
          <w:sz w:val="24"/>
          <w:szCs w:val="24"/>
          <w:lang w:val="nl-BE"/>
        </w:rPr>
        <w:t xml:space="preserve">PB: gelieve in de tekst het nummer van de verordening in document 2021/0240(COD) (voorstel voor een verordening tot oprichting van de Autoriteit voor de bestrijding van witwassen en terrorismefinanciering- COM/2021/421 </w:t>
      </w:r>
      <w:proofErr w:type="spellStart"/>
      <w:r w:rsidR="00083F8D" w:rsidRPr="00083F8D">
        <w:rPr>
          <w:b/>
          <w:i/>
          <w:sz w:val="24"/>
          <w:szCs w:val="24"/>
          <w:lang w:val="nl-BE"/>
        </w:rPr>
        <w:t>final</w:t>
      </w:r>
      <w:proofErr w:type="spellEnd"/>
      <w:r w:rsidR="00083F8D" w:rsidRPr="00083F8D">
        <w:rPr>
          <w:b/>
          <w:i/>
          <w:sz w:val="24"/>
          <w:szCs w:val="24"/>
          <w:lang w:val="nl-BE"/>
        </w:rPr>
        <w:t>) in te voegen, en in de overeenkomstige voetnoot het nummer, de datum, de titel en de publicatiegegevens daarvan</w:t>
      </w:r>
      <w:r w:rsidRPr="00640568">
        <w:rPr>
          <w:b/>
          <w:i/>
          <w:sz w:val="24"/>
          <w:szCs w:val="24"/>
          <w:lang w:val="en-GB"/>
        </w:rPr>
        <w:t>.</w:t>
      </w:r>
    </w:p>
  </w:footnote>
  <w:footnote w:id="22">
    <w:p w:rsidR="004D58C2" w:rsidRPr="005C0BCD" w:rsidRDefault="004D58C2" w:rsidP="004D58C2">
      <w:pPr>
        <w:pStyle w:val="FootnoteText"/>
        <w:spacing w:line="240" w:lineRule="auto"/>
        <w:ind w:left="851" w:hanging="851"/>
        <w:rPr>
          <w:sz w:val="24"/>
          <w:szCs w:val="24"/>
          <w:lang w:val="en-GB"/>
        </w:rPr>
      </w:pPr>
      <w:r w:rsidRPr="005C0BCD">
        <w:rPr>
          <w:rStyle w:val="FootnoteReference"/>
          <w:sz w:val="24"/>
          <w:szCs w:val="24"/>
        </w:rPr>
        <w:sym w:font="Symbol" w:char="F02B"/>
      </w:r>
      <w:r w:rsidRPr="005C0BCD">
        <w:rPr>
          <w:rStyle w:val="FootnoteReference"/>
          <w:sz w:val="24"/>
          <w:szCs w:val="24"/>
        </w:rPr>
        <w:sym w:font="Symbol" w:char="F02B"/>
      </w:r>
      <w:r w:rsidRPr="005C0BCD">
        <w:rPr>
          <w:sz w:val="24"/>
          <w:szCs w:val="24"/>
          <w:lang w:val="en-GB"/>
        </w:rPr>
        <w:tab/>
      </w:r>
      <w:r w:rsidR="00083F8D" w:rsidRPr="00083F8D">
        <w:rPr>
          <w:b/>
          <w:i/>
          <w:sz w:val="24"/>
          <w:szCs w:val="24"/>
          <w:lang w:val="nl-BE"/>
        </w:rPr>
        <w:t xml:space="preserve">PB: gelieve in de tekst het nummer van de verordening in document 2021/0250(COD) (voorstel voor de zesde </w:t>
      </w:r>
      <w:proofErr w:type="spellStart"/>
      <w:r w:rsidR="00083F8D" w:rsidRPr="00083F8D">
        <w:rPr>
          <w:b/>
          <w:i/>
          <w:sz w:val="24"/>
          <w:szCs w:val="24"/>
          <w:lang w:val="nl-BE"/>
        </w:rPr>
        <w:t>antiwitwasrichtlijn</w:t>
      </w:r>
      <w:proofErr w:type="spellEnd"/>
      <w:r w:rsidR="00083F8D" w:rsidRPr="00083F8D">
        <w:rPr>
          <w:b/>
          <w:i/>
          <w:sz w:val="24"/>
          <w:szCs w:val="24"/>
          <w:lang w:val="nl-BE"/>
        </w:rPr>
        <w:t xml:space="preserve"> - COM/2021/423 </w:t>
      </w:r>
      <w:proofErr w:type="spellStart"/>
      <w:r w:rsidR="00083F8D" w:rsidRPr="00083F8D">
        <w:rPr>
          <w:b/>
          <w:i/>
          <w:sz w:val="24"/>
          <w:szCs w:val="24"/>
          <w:lang w:val="nl-BE"/>
        </w:rPr>
        <w:t>final</w:t>
      </w:r>
      <w:proofErr w:type="spellEnd"/>
      <w:r w:rsidR="00083F8D" w:rsidRPr="00083F8D">
        <w:rPr>
          <w:b/>
          <w:i/>
          <w:sz w:val="24"/>
          <w:szCs w:val="24"/>
          <w:lang w:val="nl-BE"/>
        </w:rPr>
        <w:t>) in te voegen, en in de overeenkomstige voetnoot het nummer, de datum, de titel en de publicatiegegevens daarvan</w:t>
      </w:r>
      <w:r w:rsidRPr="00640568">
        <w:rPr>
          <w:b/>
          <w:i/>
          <w:sz w:val="24"/>
          <w:szCs w:val="24"/>
          <w:lang w:val="en-GB"/>
        </w:rPr>
        <w:t>.</w:t>
      </w:r>
    </w:p>
  </w:footnote>
  <w:footnote w:id="23">
    <w:p w:rsidR="004D58C2" w:rsidRPr="005C0BCD" w:rsidRDefault="004D58C2" w:rsidP="004D58C2">
      <w:pPr>
        <w:pStyle w:val="FootnoteText"/>
        <w:spacing w:line="240" w:lineRule="auto"/>
        <w:ind w:left="851" w:hanging="851"/>
        <w:rPr>
          <w:sz w:val="24"/>
          <w:szCs w:val="24"/>
          <w:lang w:val="en-GB"/>
        </w:rPr>
      </w:pPr>
      <w:r w:rsidRPr="005C0BCD">
        <w:rPr>
          <w:rStyle w:val="FootnoteReference"/>
          <w:sz w:val="24"/>
          <w:szCs w:val="24"/>
        </w:rPr>
        <w:sym w:font="Symbol" w:char="F02B"/>
      </w:r>
      <w:r w:rsidRPr="005C0BCD">
        <w:rPr>
          <w:sz w:val="24"/>
          <w:szCs w:val="24"/>
          <w:lang w:val="en-GB"/>
        </w:rPr>
        <w:t xml:space="preserve"> </w:t>
      </w:r>
      <w:r w:rsidRPr="005C0BCD">
        <w:rPr>
          <w:sz w:val="24"/>
          <w:szCs w:val="24"/>
          <w:lang w:val="en-GB"/>
        </w:rPr>
        <w:tab/>
      </w:r>
      <w:r w:rsidR="00083F8D" w:rsidRPr="00083F8D">
        <w:rPr>
          <w:b/>
          <w:i/>
          <w:sz w:val="24"/>
          <w:szCs w:val="24"/>
          <w:lang w:val="nl-BE"/>
        </w:rPr>
        <w:t xml:space="preserve">PB: gelieve in de tekst het nummer van de verordening in document 2021/0240(COD) (voorstel voor een verordening tot oprichting van de Autoriteit voor de bestrijding van witwassen en terrorismefinanciering- COM/2021/421 </w:t>
      </w:r>
      <w:proofErr w:type="spellStart"/>
      <w:r w:rsidR="00083F8D" w:rsidRPr="00083F8D">
        <w:rPr>
          <w:b/>
          <w:i/>
          <w:sz w:val="24"/>
          <w:szCs w:val="24"/>
          <w:lang w:val="nl-BE"/>
        </w:rPr>
        <w:t>final</w:t>
      </w:r>
      <w:proofErr w:type="spellEnd"/>
      <w:r w:rsidR="00083F8D" w:rsidRPr="00083F8D">
        <w:rPr>
          <w:b/>
          <w:i/>
          <w:sz w:val="24"/>
          <w:szCs w:val="24"/>
          <w:lang w:val="nl-BE"/>
        </w:rPr>
        <w:t>) in te voegen, en in de overeenkomstige voetnoot het nummer, de datum, de titel en de publicatiegegevens daarvan</w:t>
      </w:r>
      <w:r w:rsidRPr="00640568">
        <w:rPr>
          <w:b/>
          <w:i/>
          <w:sz w:val="24"/>
          <w:szCs w:val="24"/>
          <w:lang w:val="en-GB"/>
        </w:rPr>
        <w:t>.</w:t>
      </w:r>
    </w:p>
  </w:footnote>
  <w:footnote w:id="24">
    <w:p w:rsidR="004D58C2" w:rsidRPr="005C0BCD" w:rsidRDefault="004D58C2" w:rsidP="004D58C2">
      <w:pPr>
        <w:pStyle w:val="FootnoteText"/>
        <w:spacing w:line="240" w:lineRule="auto"/>
        <w:ind w:left="851" w:hanging="851"/>
        <w:rPr>
          <w:sz w:val="24"/>
          <w:szCs w:val="24"/>
          <w:lang w:val="en-GB"/>
        </w:rPr>
      </w:pPr>
      <w:r w:rsidRPr="005C0BCD">
        <w:rPr>
          <w:rStyle w:val="FootnoteReference"/>
          <w:sz w:val="24"/>
          <w:szCs w:val="24"/>
        </w:rPr>
        <w:sym w:font="Symbol" w:char="F02B"/>
      </w:r>
      <w:r w:rsidRPr="005C0BCD">
        <w:rPr>
          <w:sz w:val="24"/>
          <w:szCs w:val="24"/>
          <w:lang w:val="en-GB"/>
        </w:rPr>
        <w:t xml:space="preserve"> </w:t>
      </w:r>
      <w:r w:rsidRPr="005C0BCD">
        <w:rPr>
          <w:sz w:val="24"/>
          <w:szCs w:val="24"/>
          <w:lang w:val="en-GB"/>
        </w:rPr>
        <w:tab/>
      </w:r>
      <w:r w:rsidR="00083F8D" w:rsidRPr="00083F8D">
        <w:rPr>
          <w:b/>
          <w:i/>
          <w:sz w:val="24"/>
          <w:szCs w:val="24"/>
          <w:lang w:val="nl-BE"/>
        </w:rPr>
        <w:t xml:space="preserve">PB: gelieve in de tekst het nummer van de verordening in document 2021/0250(COD) (voorstel voor de zesde </w:t>
      </w:r>
      <w:proofErr w:type="spellStart"/>
      <w:r w:rsidR="00083F8D" w:rsidRPr="00083F8D">
        <w:rPr>
          <w:b/>
          <w:i/>
          <w:sz w:val="24"/>
          <w:szCs w:val="24"/>
          <w:lang w:val="nl-BE"/>
        </w:rPr>
        <w:t>antiwitwasrichtlijn</w:t>
      </w:r>
      <w:proofErr w:type="spellEnd"/>
      <w:r w:rsidR="00083F8D" w:rsidRPr="00083F8D">
        <w:rPr>
          <w:b/>
          <w:i/>
          <w:sz w:val="24"/>
          <w:szCs w:val="24"/>
          <w:lang w:val="nl-BE"/>
        </w:rPr>
        <w:t xml:space="preserve"> - COM/2021/423 </w:t>
      </w:r>
      <w:proofErr w:type="spellStart"/>
      <w:r w:rsidR="00083F8D" w:rsidRPr="00083F8D">
        <w:rPr>
          <w:b/>
          <w:i/>
          <w:sz w:val="24"/>
          <w:szCs w:val="24"/>
          <w:lang w:val="nl-BE"/>
        </w:rPr>
        <w:t>final</w:t>
      </w:r>
      <w:proofErr w:type="spellEnd"/>
      <w:r w:rsidR="00083F8D" w:rsidRPr="00083F8D">
        <w:rPr>
          <w:b/>
          <w:i/>
          <w:sz w:val="24"/>
          <w:szCs w:val="24"/>
          <w:lang w:val="nl-BE"/>
        </w:rPr>
        <w:t>) in te voegen, en in de overeenkomstige voetnoot het nummer, de datum, de titel en de publicatiegegevens daarvan</w:t>
      </w:r>
      <w:r w:rsidRPr="00640568">
        <w:rPr>
          <w:b/>
          <w:i/>
          <w:sz w:val="24"/>
          <w:szCs w:val="24"/>
          <w:lang w:val="en-GB"/>
        </w:rPr>
        <w:t>.</w:t>
      </w:r>
    </w:p>
  </w:footnote>
  <w:footnote w:id="25">
    <w:p w:rsidR="004D58C2" w:rsidRPr="005C0BCD" w:rsidRDefault="004D58C2" w:rsidP="004D58C2">
      <w:pPr>
        <w:pStyle w:val="FootnoteText"/>
        <w:spacing w:line="240" w:lineRule="auto"/>
        <w:ind w:left="851" w:hanging="851"/>
        <w:rPr>
          <w:sz w:val="24"/>
          <w:szCs w:val="24"/>
          <w:lang w:val="en-GB"/>
        </w:rPr>
      </w:pPr>
      <w:r w:rsidRPr="005C0BCD">
        <w:rPr>
          <w:rStyle w:val="FootnoteReference"/>
          <w:sz w:val="24"/>
          <w:szCs w:val="24"/>
        </w:rPr>
        <w:sym w:font="Symbol" w:char="F02B"/>
      </w:r>
      <w:r w:rsidRPr="005C0BCD">
        <w:rPr>
          <w:sz w:val="24"/>
          <w:szCs w:val="24"/>
          <w:lang w:val="en-GB"/>
        </w:rPr>
        <w:t xml:space="preserve"> </w:t>
      </w:r>
      <w:r w:rsidRPr="005C0BCD">
        <w:rPr>
          <w:sz w:val="24"/>
          <w:szCs w:val="24"/>
          <w:lang w:val="en-GB"/>
        </w:rPr>
        <w:tab/>
      </w:r>
      <w:r w:rsidR="00083F8D" w:rsidRPr="00083F8D">
        <w:rPr>
          <w:b/>
          <w:i/>
          <w:sz w:val="24"/>
          <w:szCs w:val="24"/>
          <w:lang w:val="nl-BE"/>
        </w:rPr>
        <w:t xml:space="preserve">PB: gelieve in de tekst het nummer van de verordening in document 2021/0240(COD) (voorstel voor een verordening tot oprichting van de Autoriteit voor de bestrijding van witwassen en terrorismefinanciering- COM/2021/421 </w:t>
      </w:r>
      <w:proofErr w:type="spellStart"/>
      <w:r w:rsidR="00083F8D" w:rsidRPr="00083F8D">
        <w:rPr>
          <w:b/>
          <w:i/>
          <w:sz w:val="24"/>
          <w:szCs w:val="24"/>
          <w:lang w:val="nl-BE"/>
        </w:rPr>
        <w:t>final</w:t>
      </w:r>
      <w:proofErr w:type="spellEnd"/>
      <w:r w:rsidR="00083F8D" w:rsidRPr="00083F8D">
        <w:rPr>
          <w:b/>
          <w:i/>
          <w:sz w:val="24"/>
          <w:szCs w:val="24"/>
          <w:lang w:val="nl-BE"/>
        </w:rPr>
        <w:t>) in te voegen, en in de overeenkomstige voetnoot het nummer, de datum, de titel en de publicatiegegevens daarvan</w:t>
      </w:r>
      <w:r w:rsidRPr="00640568">
        <w:rPr>
          <w:b/>
          <w:i/>
          <w:sz w:val="24"/>
          <w:szCs w:val="24"/>
          <w:lang w:val="en-GB"/>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26/2024"/>
    <w:docVar w:name="dvlangue" w:val="NL"/>
    <w:docVar w:name="dvnumam" w:val="0"/>
    <w:docVar w:name="dvpe" w:val="757.366"/>
    <w:docVar w:name="dvrapporteur" w:val="Rapporteur: "/>
    <w:docVar w:name="dvstar" w:val="***I"/>
    <w:docVar w:name="dvtitre" w:val="Wetgevingsresolutie van het Europees Parlement van xx maart 2024 over het voorstel voor een verordening van het Europees Parlement en de Raad tot wijziging van de Verordeningen (EU) nr. 1092/2010, (EU) nr. 1093/2010, (EU) nr. 1094/2010, (EU) nr. 1095/2010 en (EU) 2021/523 wat betreft bepaalde verslaggevingsverplichtingen op het gebied van financiële diensten en investeringsondersteuning(COM(2023)0593 – C9-0383/2023 – 2023/0363(COD))"/>
  </w:docVars>
  <w:rsids>
    <w:rsidRoot w:val="00817E87"/>
    <w:rsid w:val="00002272"/>
    <w:rsid w:val="00064002"/>
    <w:rsid w:val="000677B9"/>
    <w:rsid w:val="000831BA"/>
    <w:rsid w:val="00083F8D"/>
    <w:rsid w:val="000A42CC"/>
    <w:rsid w:val="000E7DD9"/>
    <w:rsid w:val="0010095E"/>
    <w:rsid w:val="00125B37"/>
    <w:rsid w:val="0015189C"/>
    <w:rsid w:val="00187494"/>
    <w:rsid w:val="001F32AE"/>
    <w:rsid w:val="002767FF"/>
    <w:rsid w:val="002B18FE"/>
    <w:rsid w:val="002B5493"/>
    <w:rsid w:val="003117D7"/>
    <w:rsid w:val="00343214"/>
    <w:rsid w:val="00361C00"/>
    <w:rsid w:val="00395FA1"/>
    <w:rsid w:val="003E15D4"/>
    <w:rsid w:val="00411CCE"/>
    <w:rsid w:val="0041666E"/>
    <w:rsid w:val="00421060"/>
    <w:rsid w:val="00465120"/>
    <w:rsid w:val="00471C19"/>
    <w:rsid w:val="004867E3"/>
    <w:rsid w:val="00494A28"/>
    <w:rsid w:val="004C0004"/>
    <w:rsid w:val="004C5D52"/>
    <w:rsid w:val="004D58C2"/>
    <w:rsid w:val="0050519A"/>
    <w:rsid w:val="005072A1"/>
    <w:rsid w:val="00514517"/>
    <w:rsid w:val="00545827"/>
    <w:rsid w:val="00560270"/>
    <w:rsid w:val="005B0F97"/>
    <w:rsid w:val="005B2494"/>
    <w:rsid w:val="005C2568"/>
    <w:rsid w:val="006037C0"/>
    <w:rsid w:val="006631B6"/>
    <w:rsid w:val="00680577"/>
    <w:rsid w:val="006F74FA"/>
    <w:rsid w:val="00721702"/>
    <w:rsid w:val="00731ADD"/>
    <w:rsid w:val="00734777"/>
    <w:rsid w:val="00747932"/>
    <w:rsid w:val="00751A4A"/>
    <w:rsid w:val="00756632"/>
    <w:rsid w:val="00762C74"/>
    <w:rsid w:val="00786EC0"/>
    <w:rsid w:val="007870ED"/>
    <w:rsid w:val="007D1690"/>
    <w:rsid w:val="007E22AD"/>
    <w:rsid w:val="007F4B78"/>
    <w:rsid w:val="00817416"/>
    <w:rsid w:val="00817E87"/>
    <w:rsid w:val="00842779"/>
    <w:rsid w:val="00865F67"/>
    <w:rsid w:val="00881A7B"/>
    <w:rsid w:val="008840E5"/>
    <w:rsid w:val="00887B3E"/>
    <w:rsid w:val="008C2AC6"/>
    <w:rsid w:val="008E7E71"/>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35DA1"/>
    <w:rsid w:val="00B558F0"/>
    <w:rsid w:val="00B8273A"/>
    <w:rsid w:val="00BD48FE"/>
    <w:rsid w:val="00BD7BD8"/>
    <w:rsid w:val="00BE6ADC"/>
    <w:rsid w:val="00C05BFE"/>
    <w:rsid w:val="00C126E3"/>
    <w:rsid w:val="00C1439F"/>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EF645F"/>
    <w:rsid w:val="00F04346"/>
    <w:rsid w:val="00F075DC"/>
    <w:rsid w:val="00F149E9"/>
    <w:rsid w:val="00F21108"/>
    <w:rsid w:val="00F5134D"/>
    <w:rsid w:val="00F74202"/>
    <w:rsid w:val="00F87713"/>
    <w:rsid w:val="00F942BB"/>
    <w:rsid w:val="00FB4360"/>
    <w:rsid w:val="00FC7834"/>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B79211E"/>
  <w15:chartTrackingRefBased/>
  <w15:docId w15:val="{5F8B4012-510A-486E-9485-A1FBB65C68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nl-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15189C"/>
    <w:pPr>
      <w:spacing w:before="480" w:after="240"/>
    </w:pPr>
  </w:style>
  <w:style w:type="paragraph" w:customStyle="1" w:styleId="NormalHanging12a">
    <w:name w:val="NormalHanging12a"/>
    <w:basedOn w:val="Normal"/>
    <w:rsid w:val="0015189C"/>
    <w:pPr>
      <w:spacing w:after="240"/>
      <w:ind w:left="567" w:hanging="567"/>
    </w:pPr>
  </w:style>
  <w:style w:type="paragraph" w:customStyle="1" w:styleId="NormalCenter12a">
    <w:name w:val="NormalCenter12a"/>
    <w:basedOn w:val="Normal"/>
    <w:rsid w:val="0015189C"/>
    <w:pPr>
      <w:spacing w:after="240"/>
      <w:jc w:val="center"/>
    </w:pPr>
  </w:style>
  <w:style w:type="paragraph" w:customStyle="1" w:styleId="AmNumberTabs">
    <w:name w:val="AmNumberTabs"/>
    <w:basedOn w:val="Normal"/>
    <w:rsid w:val="0015189C"/>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AmHeadingConsam">
    <w:name w:val="AmHeadingConsam"/>
    <w:basedOn w:val="Normal"/>
    <w:next w:val="NormalCenter12a"/>
    <w:rsid w:val="0015189C"/>
    <w:pPr>
      <w:spacing w:before="720" w:after="240"/>
      <w:jc w:val="center"/>
    </w:pPr>
  </w:style>
  <w:style w:type="paragraph" w:customStyle="1" w:styleId="Personnequisigne">
    <w:name w:val="Personne qui signe"/>
    <w:basedOn w:val="Normal"/>
    <w:next w:val="Normal"/>
    <w:rsid w:val="0015189C"/>
    <w:pPr>
      <w:widowControl/>
      <w:tabs>
        <w:tab w:val="left" w:pos="4252"/>
      </w:tabs>
    </w:pPr>
    <w:rPr>
      <w:rFonts w:eastAsiaTheme="minorHAnsi"/>
      <w:i/>
      <w:szCs w:val="22"/>
      <w:lang w:eastAsia="en-US"/>
    </w:rPr>
  </w:style>
  <w:style w:type="paragraph" w:customStyle="1" w:styleId="ManualConsidrant">
    <w:name w:val="Manual Considérant"/>
    <w:basedOn w:val="Normal"/>
    <w:rsid w:val="0015189C"/>
    <w:pPr>
      <w:widowControl/>
      <w:spacing w:before="120" w:after="120"/>
      <w:ind w:left="709" w:hanging="709"/>
      <w:jc w:val="both"/>
    </w:pPr>
    <w:rPr>
      <w:rFonts w:eastAsiaTheme="minorHAnsi"/>
      <w:szCs w:val="22"/>
      <w:lang w:eastAsia="en-US"/>
    </w:rPr>
  </w:style>
  <w:style w:type="paragraph" w:customStyle="1" w:styleId="Rfrenceinterinstitutionnelle">
    <w:name w:val="Référence interinstitutionnelle"/>
    <w:basedOn w:val="Normal"/>
    <w:next w:val="Normal"/>
    <w:rsid w:val="0015189C"/>
    <w:pPr>
      <w:widowControl/>
      <w:ind w:left="5103"/>
    </w:pPr>
    <w:rPr>
      <w:rFonts w:eastAsiaTheme="minorHAnsi"/>
      <w:szCs w:val="22"/>
      <w:lang w:eastAsia="en-US"/>
    </w:rPr>
  </w:style>
  <w:style w:type="paragraph" w:styleId="BalloonText">
    <w:name w:val="Balloon Text"/>
    <w:basedOn w:val="Normal"/>
    <w:link w:val="BalloonTextChar"/>
    <w:rsid w:val="005B2494"/>
    <w:rPr>
      <w:rFonts w:ascii="Segoe UI" w:hAnsi="Segoe UI" w:cs="Segoe UI"/>
      <w:sz w:val="18"/>
      <w:szCs w:val="18"/>
    </w:rPr>
  </w:style>
  <w:style w:type="character" w:customStyle="1" w:styleId="BalloonTextChar">
    <w:name w:val="Balloon Text Char"/>
    <w:basedOn w:val="DefaultParagraphFont"/>
    <w:link w:val="BalloonText"/>
    <w:rsid w:val="005B2494"/>
    <w:rPr>
      <w:rFonts w:ascii="Segoe UI" w:hAnsi="Segoe UI" w:cs="Segoe UI"/>
      <w:sz w:val="18"/>
      <w:szCs w:val="18"/>
      <w:lang w:val="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3CBE588-48DF-4EFA-ABFE-4F8D31CF140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36</Pages>
  <Words>13487</Words>
  <Characters>83143</Characters>
  <Application>Microsoft Office Word</Application>
  <DocSecurity>4</DocSecurity>
  <Lines>692</Lines>
  <Paragraphs>192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96438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Filiep Slosse</dc:creator>
  <cp:keywords/>
  <cp:lastModifiedBy>GOROPECNIK Tina</cp:lastModifiedBy>
  <cp:revision>2</cp:revision>
  <cp:lastPrinted>2004-11-19T15:42:00Z</cp:lastPrinted>
  <dcterms:created xsi:type="dcterms:W3CDTF">2024-11-29T09:14:00Z</dcterms:created>
  <dcterms:modified xsi:type="dcterms:W3CDTF">2024-11-29T09:14:00Z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NL</vt:lpwstr>
  </property>
  <property fmtid="{D5CDD505-2E9C-101B-9397-08002B2CF9AE}" pid="3" name="&lt;FdR&gt;">
    <vt:lpwstr>A9-0026/2024</vt:lpwstr>
  </property>
  <property fmtid="{D5CDD505-2E9C-101B-9397-08002B2CF9AE}" pid="4" name="&lt;Type&gt;">
    <vt:lpwstr>RR</vt:lpwstr>
  </property>
</Properties>
</file>