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P9_TA(2024)01</w:t>
      </w:r>
      <w:bookmarkEnd w:id="0"/>
      <w:r>
        <w:t>29</w:t>
      </w:r>
    </w:p>
    <w:p>
      <w:pPr>
        <w:pStyle w:val="ATHeading2"/>
      </w:pPr>
      <w:bookmarkStart w:id="1" w:name="title"/>
      <w:r>
        <w:t>Energetická hospodárnosť budov (prepracované znenie)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A9-0033/2023</w:instrText>
      </w:r>
      <w:bookmarkEnd w:id="2"/>
      <w:r>
        <w:rPr>
          <w:i/>
        </w:rPr>
        <w:instrText xml:space="preserve"> - Spravodajca: Ciarán Cuffe)"\l3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priemysel, výskum a energetiku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PE732.742</w:t>
      </w:r>
      <w:bookmarkEnd w:id="4"/>
    </w:p>
    <w:p>
      <w:pPr>
        <w:pStyle w:val="ATHeading3"/>
      </w:pPr>
      <w:bookmarkStart w:id="5" w:name="Sujet"/>
      <w:r>
        <w:t>Legislatívne uznesenie Európskeho parlamentu z 12. marca 2024 o návrhu smernice Európskeho parlamentu a Rady o energetickej hospodárnosti budov (prepracované znenie)</w:t>
      </w:r>
      <w:bookmarkEnd w:id="5"/>
      <w:r>
        <w:t xml:space="preserve"> </w:t>
      </w:r>
      <w:bookmarkStart w:id="6" w:name="References"/>
      <w:r>
        <w:t>(COM(2021)0802 – C9-0469/2021 – 2021/0426(COD))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 – prepracovanie)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 Radu (COM(2021)0802),</w:t>
      </w:r>
    </w:p>
    <w:p>
      <w:pPr>
        <w:pStyle w:val="NormalHanging12a"/>
      </w:pPr>
      <w:r>
        <w:t>–</w:t>
      </w:r>
      <w:r>
        <w:tab/>
        <w:t>so zreteľom na článok 294 ods. 2 a článok 194 ods. 2 Zmluvy o fungovaní Európskej únie, v súlade s ktorými Komisia predložila návrh Európskemu parlamentu (C9</w:t>
      </w:r>
      <w:r>
        <w:noBreakHyphen/>
        <w:t>0469/2021),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odôvodnené stanovisko predložené na základe Protokolu č. 2 o uplatňovaní zásad subsidiarity a proporcionality fínskym parlamentom, ktorý tvrdí, že návrh legislatívneho aktu nie je v súlade so zásadou subsidiarity,</w:t>
      </w:r>
    </w:p>
    <w:p>
      <w:pPr>
        <w:pStyle w:val="NormalHanging12a"/>
      </w:pPr>
      <w:r>
        <w:t>–</w:t>
      </w:r>
      <w:r>
        <w:tab/>
        <w:t>so zreteľom na stanovisko Európskeho hospodárskeho a sociálneho výboru z 23. marca 2022</w:t>
      </w:r>
      <w:r>
        <w:rPr>
          <w:rStyle w:val="FootnoteReference"/>
          <w:rFonts w:eastAsiaTheme="minorHAnsi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stanovisko Výboru regiónov z 30. júna 2022</w:t>
      </w:r>
      <w:r>
        <w:rPr>
          <w:rStyle w:val="FootnoteReference"/>
          <w:rFonts w:eastAsiaTheme="minorHAnsi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>so zreteľom na Medziinštitucionálnu dohodu z 28. novembra 2001 o systematickejšom používaní techniky prepracovania právnych aktov</w:t>
      </w:r>
      <w:r>
        <w:rPr>
          <w:rStyle w:val="FootnoteReference"/>
          <w:rFonts w:eastAsiaTheme="minorHAnsi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  <w:t>so zreteľom na list Výboru pre právne veci z 8. novembra 2022 adresovaný Výboru pre priemysel, výskum a energetiku v súlade s článkom 110 ods. 3 rokovacieho poriadku,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 20. decembra 2023, schváliť pozíciu Európskeho parlamentu v súlade s článkom 294 ods. 4 Zmluvy o fungovaní Európskej únie,</w:t>
      </w:r>
    </w:p>
    <w:p>
      <w:pPr>
        <w:pStyle w:val="NormalHanging12a"/>
      </w:pPr>
      <w:r>
        <w:lastRenderedPageBreak/>
        <w:t>–</w:t>
      </w:r>
      <w:r>
        <w:tab/>
        <w:t>so zreteľom na články 110 a 59 rokovacieho poriadku,</w:t>
      </w:r>
    </w:p>
    <w:p>
      <w:pPr>
        <w:pStyle w:val="NormalHanging12a"/>
      </w:pPr>
      <w:r>
        <w:t>–</w:t>
      </w:r>
      <w:r>
        <w:tab/>
        <w:t>so zreteľom na stanoviská Výboru pre životné prostredie, verejné zdravie a bezpečnosť potravín a Výboru pre právne veci,</w:t>
      </w:r>
    </w:p>
    <w:p>
      <w:pPr>
        <w:pStyle w:val="NormalHanging12a"/>
      </w:pPr>
      <w:r>
        <w:t>–</w:t>
      </w:r>
      <w:r>
        <w:tab/>
        <w:t>so zreteľom na správu Výboru pre priemysel, výskum a energetiku (A9-0033/2023),</w:t>
      </w:r>
    </w:p>
    <w:p>
      <w:pPr>
        <w:pStyle w:val="NormalHanging12a"/>
      </w:pPr>
      <w:r>
        <w:t>A.</w:t>
      </w:r>
      <w:r>
        <w:tab/>
        <w:t>keďže podľa stanoviska konzultačnej pracovnej skupiny právnych služieb Európskeho parlamentu, Rady a Komisie návrh Komisie neobsahuje žiadne zásadné zmeny okrem tých, ktoré sú ako také označené v návrhu, a keďže, pokiaľ ide o kodifikáciu nezmenených ustanovení skorších aktov spolu s uvedenými zmenami, predmetom návrhu je iba jasná a jednoduchá kodifikácia platných aktov bez zmeny ich podstaty;</w:t>
      </w:r>
    </w:p>
    <w:p>
      <w:pPr>
        <w:pStyle w:val="NormalHanging12a"/>
      </w:pPr>
      <w:r>
        <w:t>1.</w:t>
      </w:r>
      <w:r>
        <w:tab/>
        <w:t>prijíma nasledujúcu pozíciu v prvom čítaní, pričom berie do úvahy odporúčania konzultačnej pracovnej skupiny právnych služieb Európskeho parlamentu, Rady a Komisie;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 národným parlamentom.</w:t>
      </w:r>
    </w:p>
    <w:p>
      <w:pPr>
        <w:widowControl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pgSz w:w="11906" w:h="16838"/>
          <w:pgMar w:top="1134" w:right="1134" w:bottom="1134" w:left="1134" w:header="709" w:footer="709" w:gutter="0"/>
          <w:pgNumType w:start="1"/>
          <w:cols w:space="720"/>
          <w:docGrid w:linePitch="326"/>
        </w:sectPr>
      </w:pPr>
    </w:p>
    <w:p>
      <w:pPr>
        <w:pStyle w:val="Institutionquiagit"/>
        <w:keepNext w:val="0"/>
        <w:spacing w:before="120"/>
        <w:jc w:val="left"/>
        <w:outlineLvl w:val="0"/>
        <w:rPr>
          <w:b/>
        </w:rPr>
      </w:pPr>
      <w:r>
        <w:rPr>
          <w:b/>
        </w:rPr>
        <w:lastRenderedPageBreak/>
        <w:t>P9_TC1-COD(2021)0426</w:t>
      </w:r>
    </w:p>
    <w:p>
      <w:pPr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12. marca 2024 na účely prijatia smernice Európskeho parlamentu a Rady (EÚ) 2024/... </w:t>
      </w:r>
      <w:r>
        <w:rPr>
          <w:rFonts w:eastAsia="Calibri"/>
          <w:b/>
          <w:szCs w:val="22"/>
          <w:lang w:eastAsia="en-US"/>
        </w:rPr>
        <w:t>o energetickej hospodárnosti budov (prepracované znenie)</w:t>
      </w:r>
    </w:p>
    <w:p>
      <w:pPr>
        <w:rPr>
          <w:rFonts w:eastAsia="Calibri"/>
          <w:b/>
          <w:szCs w:val="22"/>
          <w:lang w:eastAsia="en-US"/>
        </w:rPr>
      </w:pP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2024/1275</w:t>
      </w:r>
      <w:bookmarkStart w:id="8" w:name="_GoBack"/>
      <w:bookmarkEnd w:id="8"/>
      <w:r>
        <w:rPr>
          <w:i/>
          <w:iCs/>
        </w:rPr>
        <w:t>.)</w:t>
      </w:r>
    </w:p>
    <w:p/>
    <w:p>
      <w:pPr>
        <w:rPr>
          <w:b/>
        </w:rPr>
      </w:pPr>
    </w:p>
    <w:sectPr>
      <w:footnotePr>
        <w:numRestart w:val="eachSect"/>
      </w:footnotePr>
      <w:pgSz w:w="11906" w:h="16838"/>
      <w:pgMar w:top="1134" w:right="1134" w:bottom="1134" w:left="1134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290, 29.7.2022, s. 114.</w:t>
      </w:r>
    </w:p>
  </w:footnote>
  <w:footnote w:id="2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375, 30.9.2022, s. 64.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C 77,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4"/>
  </w:num>
  <w:num w:numId="3">
    <w:abstractNumId w:val="29"/>
  </w:num>
  <w:num w:numId="4">
    <w:abstractNumId w:val="3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3"/>
  </w:num>
  <w:num w:numId="7">
    <w:abstractNumId w:val="13"/>
  </w:num>
  <w:num w:numId="8">
    <w:abstractNumId w:val="19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7"/>
  </w:num>
  <w:num w:numId="13">
    <w:abstractNumId w:val="28"/>
  </w:num>
  <w:num w:numId="14">
    <w:abstractNumId w:val="7"/>
    <w:lvlOverride w:ilvl="0">
      <w:startOverride w:val="3"/>
    </w:lvlOverride>
  </w:num>
  <w:num w:numId="15">
    <w:abstractNumId w:val="23"/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1"/>
  </w:num>
  <w:num w:numId="19">
    <w:abstractNumId w:val="36"/>
  </w:num>
  <w:num w:numId="20">
    <w:abstractNumId w:val="30"/>
  </w:num>
  <w:num w:numId="21">
    <w:abstractNumId w:val="3"/>
  </w:num>
  <w:num w:numId="22">
    <w:abstractNumId w:val="39"/>
  </w:num>
  <w:num w:numId="23">
    <w:abstractNumId w:val="44"/>
  </w:num>
  <w:num w:numId="24">
    <w:abstractNumId w:val="24"/>
  </w:num>
  <w:num w:numId="25">
    <w:abstractNumId w:val="38"/>
  </w:num>
  <w:num w:numId="26">
    <w:abstractNumId w:val="32"/>
  </w:num>
  <w:num w:numId="27">
    <w:abstractNumId w:val="20"/>
  </w:num>
  <w:num w:numId="28">
    <w:abstractNumId w:val="0"/>
  </w:num>
  <w:num w:numId="29">
    <w:abstractNumId w:val="11"/>
  </w:num>
  <w:num w:numId="30">
    <w:abstractNumId w:val="5"/>
  </w:num>
  <w:num w:numId="31">
    <w:abstractNumId w:val="12"/>
  </w:num>
  <w:num w:numId="32">
    <w:abstractNumId w:val="25"/>
  </w:num>
  <w:num w:numId="33">
    <w:abstractNumId w:val="15"/>
  </w:num>
  <w:num w:numId="34">
    <w:abstractNumId w:val="16"/>
  </w:num>
  <w:num w:numId="35">
    <w:abstractNumId w:val="17"/>
  </w:num>
  <w:num w:numId="36">
    <w:abstractNumId w:val="22"/>
  </w:num>
  <w:num w:numId="37">
    <w:abstractNumId w:val="26"/>
  </w:num>
  <w:num w:numId="38">
    <w:abstractNumId w:val="42"/>
  </w:num>
  <w:num w:numId="39">
    <w:abstractNumId w:val="41"/>
  </w:num>
  <w:num w:numId="40">
    <w:abstractNumId w:val="4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SK"/>
    <w:docVar w:name="dvnumam" w:val="273"/>
    <w:docVar w:name="dvpe" w:val="732.742"/>
    <w:docVar w:name="dvrapporteur" w:val="Spravodajca: "/>
    <w:docVar w:name="dvstar" w:val="***I"/>
    <w:docVar w:name="dvtitre" w:val="Legislatívne uznesenie Európskeho parlamentu z xx. marca 2024 o návrhu smernice Európskeho parlamentu a Rady o energetickej hospodárnosti budov (prepracované znenie)(COM(2021)0802 – C9-0469/2021 – 2021/0426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4A356-AC13-4D07-AA47-C45E59B8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lang w:val="sk-SK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pPr>
      <w:spacing w:after="240"/>
      <w:jc w:val="center"/>
    </w:pPr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TOC4">
    <w:name w:val="toc 4"/>
    <w:basedOn w:val="Normal"/>
    <w:next w:val="Normal"/>
    <w:autoRedefine/>
    <w:uiPriority w:val="39"/>
    <w:unhideWhenUsed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Theme="minorHAnsi"/>
      <w:lang w:val="sk-SK" w:eastAsia="en-US"/>
    </w:rPr>
  </w:style>
  <w:style w:type="paragraph" w:styleId="Title">
    <w:name w:val="Title"/>
    <w:basedOn w:val="Normal"/>
    <w:next w:val="Normal"/>
    <w:link w:val="TitleChar"/>
    <w:uiPriority w:val="10"/>
    <w:qFormat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Theme="majorEastAsia" w:hAnsi="Arial" w:cs="Arial"/>
      <w:b/>
      <w:bCs/>
      <w:kern w:val="28"/>
      <w:sz w:val="32"/>
      <w:szCs w:val="32"/>
      <w:lang w:val="sk-S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" w:eastAsiaTheme="majorEastAsia" w:hAnsi="Arial" w:cs="Arial"/>
      <w:sz w:val="24"/>
      <w:szCs w:val="24"/>
      <w:lang w:val="sk-SK" w:eastAsia="en-US"/>
    </w:rPr>
  </w:style>
  <w:style w:type="paragraph" w:styleId="PlainText">
    <w:name w:val="Plain Text"/>
    <w:basedOn w:val="Normal"/>
    <w:link w:val="PlainTextChar"/>
    <w:uiPriority w:val="99"/>
    <w:unhideWhenUsed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alibri" w:eastAsiaTheme="minorHAnsi" w:hAnsi="Calibri" w:cs="Calibri"/>
      <w:sz w:val="22"/>
      <w:szCs w:val="22"/>
      <w:lang w:val="sk-SK"/>
    </w:rPr>
  </w:style>
  <w:style w:type="paragraph" w:styleId="NoSpacing">
    <w:name w:val="No Spacing"/>
    <w:basedOn w:val="Normal"/>
    <w:uiPriority w:val="1"/>
    <w:qFormat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Pr>
      <w:rFonts w:eastAsiaTheme="minorHAnsi"/>
      <w:i/>
      <w:sz w:val="24"/>
      <w:szCs w:val="24"/>
      <w:lang w:val="sk-S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Theme="minorHAnsi"/>
      <w:b/>
      <w:i/>
      <w:sz w:val="24"/>
      <w:szCs w:val="22"/>
      <w:lang w:val="sk-SK" w:eastAsia="en-US"/>
    </w:rPr>
  </w:style>
  <w:style w:type="paragraph" w:customStyle="1" w:styleId="NormalCentered">
    <w:name w:val="Normal Centered"/>
    <w:basedOn w:val="Normal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s20">
    <w:name w:val="s20"/>
    <w:basedOn w:val="Normal"/>
    <w:uiPriority w:val="99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uiPriority w:val="99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titrearticle0">
    <w:name w:val="titrearticle"/>
    <w:basedOn w:val="Normal"/>
    <w:uiPriority w:val="99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li">
    <w:name w:val="li"/>
    <w:basedOn w:val="Normal"/>
    <w:uiPriority w:val="99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uiPriority w:val="99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character" w:styleId="SubtleEmphasis">
    <w:name w:val="Subtle Emphasis"/>
    <w:uiPriority w:val="19"/>
    <w:qFormat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Pr>
      <w:rFonts w:ascii="Times New Roman" w:hAnsi="Times New Roman" w:cs="Times New Roman" w:hint="default"/>
      <w:dstrike/>
      <w:lang w:val="sk-SK" w:eastAsia="x-none"/>
    </w:rPr>
  </w:style>
  <w:style w:type="character" w:customStyle="1" w:styleId="CRMinorChangeAdded">
    <w:name w:val="CR Minor Change Added"/>
    <w:rPr>
      <w:u w:val="double"/>
      <w:lang w:val="sk-SK" w:eastAsia="x-none"/>
    </w:rPr>
  </w:style>
  <w:style w:type="character" w:customStyle="1" w:styleId="CRRefonteDeleted">
    <w:name w:val="CR Refonte Deleted"/>
    <w:basedOn w:val="DefaultParagraphFont"/>
    <w:rPr>
      <w:rFonts w:ascii="Times New Roman" w:hAnsi="Times New Roman" w:cs="Times New Roman" w:hint="default"/>
      <w:dstrike/>
      <w:lang w:val="sk-SK" w:eastAsia="x-none"/>
    </w:rPr>
  </w:style>
  <w:style w:type="character" w:customStyle="1" w:styleId="CRMinorChangeDeleted">
    <w:name w:val="CR Minor Change Deleted"/>
    <w:basedOn w:val="DefaultParagraphFont"/>
    <w:rPr>
      <w:rFonts w:ascii="Times New Roman" w:hAnsi="Times New Roman" w:cs="Times New Roman" w:hint="default"/>
      <w:dstrike/>
      <w:u w:val="double"/>
      <w:lang w:val="sk-SK" w:eastAsia="x-none"/>
    </w:rPr>
  </w:style>
  <w:style w:type="character" w:customStyle="1" w:styleId="Sup">
    <w:name w:val="Sup"/>
    <w:uiPriority w:val="1"/>
    <w:qFormat/>
    <w:rPr>
      <w:vertAlign w:val="superscript"/>
    </w:rPr>
  </w:style>
  <w:style w:type="character" w:customStyle="1" w:styleId="doceo-font-family-base">
    <w:name w:val="doceo-font-family-base"/>
    <w:basedOn w:val="DefaultParagraphFont"/>
  </w:style>
  <w:style w:type="character" w:customStyle="1" w:styleId="crminorchangeadded0">
    <w:name w:val="crminorchangeadded"/>
    <w:basedOn w:val="DefaultParagraphFont"/>
  </w:style>
  <w:style w:type="character" w:customStyle="1" w:styleId="tab">
    <w:name w:val="tab"/>
    <w:basedOn w:val="DefaultParagraphFont"/>
  </w:style>
  <w:style w:type="character" w:customStyle="1" w:styleId="crminorchangedeleted0">
    <w:name w:val="crminorchangedeleted"/>
    <w:basedOn w:val="DefaultParagraphFont"/>
  </w:style>
  <w:style w:type="character" w:customStyle="1" w:styleId="s19">
    <w:name w:val="s19"/>
    <w:basedOn w:val="DefaultParagraphFont"/>
  </w:style>
  <w:style w:type="character" w:customStyle="1" w:styleId="SupBoldItalic">
    <w:name w:val="SupBoldItalic"/>
    <w:uiPriority w:val="1"/>
    <w:qFormat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paragraph" w:customStyle="1" w:styleId="RollCallSymbols14pt">
    <w:name w:val="RollCallSymbols14pt"/>
    <w:basedOn w:val="Normal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pPr>
      <w:snapToGrid w:val="0"/>
      <w:spacing w:before="120" w:after="120"/>
    </w:pPr>
    <w:rPr>
      <w:sz w:val="16"/>
      <w:lang w:eastAsia="en-US"/>
    </w:rPr>
  </w:style>
  <w:style w:type="character" w:customStyle="1" w:styleId="Footer2Middle">
    <w:name w:val="Footer2Middl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pPr>
      <w:numPr>
        <w:numId w:val="7"/>
      </w:numPr>
    </w:pPr>
  </w:style>
  <w:style w:type="paragraph" w:customStyle="1" w:styleId="Tiret4">
    <w:name w:val="Tiret 4"/>
    <w:basedOn w:val="Point4"/>
    <w:pPr>
      <w:numPr>
        <w:numId w:val="8"/>
      </w:numPr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</w:style>
  <w:style w:type="paragraph" w:customStyle="1" w:styleId="Considrant">
    <w:name w:val="Considérant"/>
    <w:basedOn w:val="Normal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ddress">
    <w:name w:val="Address"/>
    <w:basedOn w:val="Normal"/>
    <w:next w:val="Normal"/>
    <w:uiPriority w:val="99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</w:style>
  <w:style w:type="paragraph" w:customStyle="1" w:styleId="StatutPagedecouverture">
    <w:name w:val="Statut (Page de couverture)"/>
    <w:basedOn w:val="Statut"/>
    <w:next w:val="TypedudocumentPagedecouverture"/>
    <w:uiPriority w:val="99"/>
  </w:style>
  <w:style w:type="paragraph" w:customStyle="1" w:styleId="IntrtEEEPagedecouverture">
    <w:name w:val="Intérêt EEE (Page de couverture)"/>
    <w:basedOn w:val="IntrtEEE"/>
    <w:next w:val="Rfrencecroise"/>
    <w:uiPriority w:val="99"/>
  </w:style>
  <w:style w:type="paragraph" w:customStyle="1" w:styleId="Volume">
    <w:name w:val="Volume"/>
    <w:basedOn w:val="Normal"/>
    <w:next w:val="Confidentialit"/>
    <w:uiPriority w:val="99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</w:style>
  <w:style w:type="paragraph" w:customStyle="1" w:styleId="LanguesfaisantfoiPagedecouverture">
    <w:name w:val="Langues faisant foi (Page de couverture)"/>
    <w:basedOn w:val="Normal"/>
    <w:next w:val="Normal"/>
    <w:uiPriority w:val="9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uiPriority w:val="99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pPr>
      <w:spacing w:before="120" w:after="120" w:line="360" w:lineRule="auto"/>
      <w:jc w:val="both"/>
    </w:pPr>
    <w:rPr>
      <w:rFonts w:eastAsiaTheme="minorHAnsi"/>
      <w:sz w:val="24"/>
      <w:szCs w:val="22"/>
      <w:lang w:val="sk-SK" w:eastAsia="en-US"/>
    </w:rPr>
  </w:style>
  <w:style w:type="paragraph" w:customStyle="1" w:styleId="HeaderDisclaimer">
    <w:name w:val="HeaderDisclaimer"/>
    <w:basedOn w:val="Normal"/>
    <w:uiPriority w:val="99"/>
    <w:qFormat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pPr>
      <w:spacing w:before="120"/>
    </w:pPr>
  </w:style>
  <w:style w:type="paragraph" w:customStyle="1" w:styleId="TitlePar3">
    <w:name w:val="TitlePar 3"/>
    <w:basedOn w:val="TitlePar2"/>
    <w:uiPriority w:val="99"/>
    <w:qFormat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pPr>
      <w:ind w:left="3119"/>
    </w:pPr>
  </w:style>
  <w:style w:type="paragraph" w:customStyle="1" w:styleId="Text0">
    <w:name w:val="Text 0"/>
    <w:basedOn w:val="Normal"/>
    <w:uiPriority w:val="99"/>
    <w:qFormat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pPr>
      <w:spacing w:before="360" w:after="120"/>
    </w:pPr>
  </w:style>
  <w:style w:type="paragraph" w:customStyle="1" w:styleId="PartNum">
    <w:name w:val="PartNum"/>
    <w:basedOn w:val="PartTitle"/>
    <w:uiPriority w:val="99"/>
    <w:qFormat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pPr>
      <w:spacing w:before="120" w:after="360"/>
    </w:pPr>
  </w:style>
  <w:style w:type="paragraph" w:customStyle="1" w:styleId="Point5">
    <w:name w:val="Point 5"/>
    <w:basedOn w:val="Normal"/>
    <w:qFormat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pPr>
      <w:ind w:left="3686"/>
    </w:pPr>
  </w:style>
  <w:style w:type="paragraph" w:customStyle="1" w:styleId="Point6">
    <w:name w:val="Point 6"/>
    <w:basedOn w:val="Point5"/>
    <w:qFormat/>
    <w:pPr>
      <w:ind w:left="4253"/>
    </w:pPr>
  </w:style>
  <w:style w:type="character" w:customStyle="1" w:styleId="Marker">
    <w:name w:val="Marker"/>
    <w:basedOn w:val="DefaultParagraphFont"/>
    <w:rPr>
      <w:color w:val="0000FF"/>
    </w:rPr>
  </w:style>
  <w:style w:type="character" w:customStyle="1" w:styleId="Marker1">
    <w:name w:val="Marker1"/>
    <w:basedOn w:val="DefaultParagraphFont"/>
    <w:rPr>
      <w:color w:val="008000"/>
    </w:rPr>
  </w:style>
  <w:style w:type="character" w:customStyle="1" w:styleId="Marker2">
    <w:name w:val="Marker2"/>
    <w:basedOn w:val="DefaultParagraphFont"/>
    <w:rPr>
      <w:color w:val="FF0000"/>
    </w:rPr>
  </w:style>
  <w:style w:type="character" w:customStyle="1" w:styleId="Added">
    <w:name w:val="Added"/>
    <w:basedOn w:val="DefaultParagraphFont"/>
    <w:rPr>
      <w:b/>
      <w:bCs w:val="0"/>
      <w:u w:val="single"/>
    </w:rPr>
  </w:style>
  <w:style w:type="character" w:customStyle="1" w:styleId="Deleted">
    <w:name w:val="Deleted"/>
    <w:basedOn w:val="DefaultParagraphFont"/>
    <w:rPr>
      <w:strike/>
    </w:rPr>
  </w:style>
  <w:style w:type="character" w:customStyle="1" w:styleId="Sub">
    <w:name w:val="Sub"/>
    <w:uiPriority w:val="1"/>
    <w:qFormat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pPr>
      <w:spacing w:before="600" w:after="360"/>
    </w:pPr>
  </w:style>
  <w:style w:type="paragraph" w:customStyle="1" w:styleId="LetterSubject">
    <w:name w:val="LetterSubject"/>
    <w:basedOn w:val="Normal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pPr>
      <w:spacing w:before="1320"/>
    </w:pPr>
  </w:style>
  <w:style w:type="paragraph" w:customStyle="1" w:styleId="AnnexWPTabs">
    <w:name w:val="AnnexWPTabs"/>
    <w:basedOn w:val="Normal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pPr>
      <w:spacing w:before="240" w:after="480"/>
      <w:jc w:val="right"/>
    </w:pPr>
  </w:style>
  <w:style w:type="paragraph" w:customStyle="1" w:styleId="AnnexWPSmall">
    <w:name w:val="AnnexWPSmall"/>
    <w:basedOn w:val="Normal"/>
    <w:rPr>
      <w:smallCaps/>
      <w:sz w:val="20"/>
    </w:rPr>
  </w:style>
  <w:style w:type="paragraph" w:customStyle="1" w:styleId="AnnexWPDocType">
    <w:name w:val="AnnexWPDocType"/>
    <w:basedOn w:val="Normal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pPr>
      <w:spacing w:before="480"/>
    </w:pPr>
    <w:rPr>
      <w:b/>
    </w:rPr>
  </w:style>
  <w:style w:type="paragraph" w:customStyle="1" w:styleId="AnnexRight">
    <w:name w:val="AnnexRight"/>
    <w:basedOn w:val="Normal"/>
    <w:pPr>
      <w:spacing w:after="480"/>
      <w:jc w:val="right"/>
    </w:pPr>
  </w:style>
  <w:style w:type="paragraph" w:customStyle="1" w:styleId="AnnexWPLogo">
    <w:name w:val="AnnexWPLogo"/>
    <w:basedOn w:val="Normal"/>
    <w:pPr>
      <w:spacing w:before="120" w:after="120"/>
    </w:p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NormalJustified">
    <w:name w:val="Normal Justified"/>
    <w:basedOn w:val="Normal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pPr>
      <w:widowControl/>
      <w:numPr>
        <w:ilvl w:val="1"/>
        <w:numId w:val="2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pPr>
      <w:widowControl/>
      <w:numPr>
        <w:ilvl w:val="3"/>
        <w:numId w:val="2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pPr>
      <w:widowControl/>
      <w:numPr>
        <w:ilvl w:val="5"/>
        <w:numId w:val="2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pPr>
      <w:widowControl/>
      <w:numPr>
        <w:ilvl w:val="7"/>
        <w:numId w:val="2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pPr>
      <w:widowControl/>
      <w:numPr>
        <w:ilvl w:val="8"/>
        <w:numId w:val="2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pPr>
      <w:widowControl/>
      <w:numPr>
        <w:numId w:val="2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pPr>
      <w:widowControl/>
      <w:numPr>
        <w:ilvl w:val="2"/>
        <w:numId w:val="2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pPr>
      <w:widowControl/>
      <w:numPr>
        <w:ilvl w:val="4"/>
        <w:numId w:val="2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pPr>
      <w:widowControl/>
      <w:numPr>
        <w:ilvl w:val="6"/>
        <w:numId w:val="2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pPr>
      <w:widowControl/>
      <w:numPr>
        <w:numId w:val="2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pPr>
      <w:widowControl/>
      <w:numPr>
        <w:ilvl w:val="1"/>
        <w:numId w:val="2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pPr>
      <w:widowControl/>
      <w:numPr>
        <w:ilvl w:val="2"/>
        <w:numId w:val="2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pPr>
      <w:widowControl/>
      <w:numPr>
        <w:ilvl w:val="3"/>
        <w:numId w:val="2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pPr>
      <w:widowControl/>
      <w:numPr>
        <w:ilvl w:val="4"/>
        <w:numId w:val="2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pPr>
      <w:numPr>
        <w:numId w:val="22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pPr>
      <w:numPr>
        <w:numId w:val="23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pPr>
      <w:numPr>
        <w:numId w:val="24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pPr>
      <w:numPr>
        <w:numId w:val="25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pPr>
      <w:numPr>
        <w:numId w:val="26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pPr>
      <w:numPr>
        <w:numId w:val="3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pPr>
      <w:numPr>
        <w:numId w:val="3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pPr>
      <w:jc w:val="center"/>
    </w:pPr>
  </w:style>
  <w:style w:type="paragraph" w:customStyle="1" w:styleId="Jardin">
    <w:name w:val="Jardin"/>
    <w:basedOn w:val="Normal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Pr>
      <w:b/>
    </w:rPr>
  </w:style>
  <w:style w:type="paragraph" w:customStyle="1" w:styleId="Annex">
    <w:name w:val="Annex"/>
    <w:basedOn w:val="Normal"/>
    <w:next w:val="Normal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Pr>
      <w:rFonts w:ascii="Calibri" w:eastAsia="Calibri" w:hAnsi="Calibri" w:cs="Arial"/>
      <w:kern w:val="2"/>
      <w:sz w:val="22"/>
      <w:szCs w:val="22"/>
      <w:lang w:val="sk-SK" w:eastAsia="en-US"/>
      <w14:ligatures w14:val="standardContextual"/>
    </w:rPr>
  </w:style>
  <w:style w:type="paragraph" w:customStyle="1" w:styleId="paragraph">
    <w:name w:val="paragraph"/>
    <w:basedOn w:val="Normal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pPr>
      <w:widowControl/>
      <w:numPr>
        <w:numId w:val="33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34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35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36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37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38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39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table" w:customStyle="1" w:styleId="TableGrid1">
    <w:name w:val="Table Grid1"/>
    <w:basedOn w:val="TableNormal"/>
    <w:next w:val="TableGrid"/>
    <w:uiPriority w:val="5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Pr>
      <w:lang w:val="sk-SK"/>
    </w:rPr>
  </w:style>
  <w:style w:type="character" w:customStyle="1" w:styleId="Hyperlink1">
    <w:name w:val="Hyperlink1"/>
    <w:basedOn w:val="DefaultParagraphFont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470E8-EDC0-49C6-898C-E3123FFFC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2024-07-16T10:26:00Z</dcterms:created>
  <dcterms:modified xsi:type="dcterms:W3CDTF">2024-07-16T10:26:00Z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