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75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75E6" w:rsidRDefault="00291992" w:rsidP="0010095E">
            <w:pPr>
              <w:pStyle w:val="EPName"/>
            </w:pPr>
            <w:r w:rsidRPr="00AC75E6">
              <w:t>Evropský parlament</w:t>
            </w:r>
          </w:p>
          <w:p w:rsidR="00751A4A" w:rsidRPr="00AC75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75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75E6" w:rsidRDefault="00187494" w:rsidP="0010095E">
            <w:pPr>
              <w:pStyle w:val="EPLogo"/>
            </w:pPr>
            <w:r w:rsidRPr="00AC75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75E6" w:rsidRDefault="00D058B8" w:rsidP="004C5D52">
      <w:pPr>
        <w:pStyle w:val="LineTop"/>
      </w:pPr>
    </w:p>
    <w:p w:rsidR="00680577" w:rsidRPr="00AC75E6" w:rsidRDefault="00291992" w:rsidP="00680577">
      <w:pPr>
        <w:pStyle w:val="EPBodyTA1"/>
      </w:pPr>
      <w:r w:rsidRPr="00AC75E6">
        <w:t>PŘIJATÉ TEXTY</w:t>
      </w:r>
    </w:p>
    <w:p w:rsidR="00D058B8" w:rsidRPr="00AC75E6" w:rsidRDefault="00D058B8" w:rsidP="00D058B8">
      <w:pPr>
        <w:pStyle w:val="LineBottom"/>
      </w:pPr>
    </w:p>
    <w:p w:rsidR="00291992" w:rsidRPr="00AC75E6" w:rsidRDefault="00291992" w:rsidP="00291992">
      <w:pPr>
        <w:pStyle w:val="ATHeading1"/>
      </w:pPr>
      <w:bookmarkStart w:id="0" w:name="TANumber"/>
      <w:r w:rsidRPr="00AC75E6">
        <w:t>P9_TA(2024)0</w:t>
      </w:r>
      <w:r w:rsidR="00032003" w:rsidRPr="00AC75E6">
        <w:t>130</w:t>
      </w:r>
      <w:bookmarkEnd w:id="0"/>
    </w:p>
    <w:p w:rsidR="00291992" w:rsidRPr="00AC75E6" w:rsidRDefault="00C50503" w:rsidP="00291992">
      <w:pPr>
        <w:pStyle w:val="ATHeading2"/>
      </w:pPr>
      <w:bookmarkStart w:id="1" w:name="title"/>
      <w:r w:rsidRPr="00AC75E6">
        <w:t>Akt o kybernetické odolnosti</w:t>
      </w:r>
      <w:bookmarkEnd w:id="1"/>
    </w:p>
    <w:p w:rsidR="00291992" w:rsidRPr="00AC75E6" w:rsidRDefault="00291992" w:rsidP="00291992">
      <w:pPr>
        <w:rPr>
          <w:i/>
          <w:vanish/>
        </w:rPr>
      </w:pPr>
      <w:r w:rsidRPr="00AC75E6">
        <w:rPr>
          <w:i/>
        </w:rPr>
        <w:fldChar w:fldCharType="begin"/>
      </w:r>
      <w:r w:rsidRPr="00AC75E6">
        <w:rPr>
          <w:i/>
        </w:rPr>
        <w:instrText xml:space="preserve"> TC"(</w:instrText>
      </w:r>
      <w:bookmarkStart w:id="2" w:name="DocNumber"/>
      <w:r w:rsidRPr="00AC75E6">
        <w:rPr>
          <w:i/>
        </w:rPr>
        <w:instrText>A9-0253/2023</w:instrText>
      </w:r>
      <w:bookmarkEnd w:id="2"/>
      <w:r w:rsidRPr="00AC75E6">
        <w:rPr>
          <w:i/>
        </w:rPr>
        <w:instrText xml:space="preserve"> - Zpravodaj: Nicola </w:instrText>
      </w:r>
      <w:proofErr w:type="spellStart"/>
      <w:r w:rsidRPr="00AC75E6">
        <w:rPr>
          <w:i/>
        </w:rPr>
        <w:instrText>Danti</w:instrText>
      </w:r>
      <w:proofErr w:type="spellEnd"/>
      <w:r w:rsidRPr="00AC75E6">
        <w:rPr>
          <w:i/>
        </w:rPr>
        <w:instrText xml:space="preserve">)"\l3 \n&gt; \* MERGEFORMAT </w:instrText>
      </w:r>
      <w:r w:rsidRPr="00AC75E6">
        <w:rPr>
          <w:i/>
        </w:rPr>
        <w:fldChar w:fldCharType="end"/>
      </w:r>
    </w:p>
    <w:p w:rsidR="00291992" w:rsidRPr="00AC75E6" w:rsidRDefault="00291992" w:rsidP="00291992">
      <w:pPr>
        <w:rPr>
          <w:vanish/>
        </w:rPr>
      </w:pPr>
      <w:bookmarkStart w:id="3" w:name="Commission"/>
      <w:r w:rsidRPr="00AC75E6">
        <w:rPr>
          <w:vanish/>
        </w:rPr>
        <w:t>Výbor pro průmysl, výzkum a energetiku</w:t>
      </w:r>
      <w:bookmarkEnd w:id="3"/>
    </w:p>
    <w:p w:rsidR="00291992" w:rsidRPr="00AC75E6" w:rsidRDefault="00291992" w:rsidP="00291992">
      <w:pPr>
        <w:rPr>
          <w:vanish/>
        </w:rPr>
      </w:pPr>
      <w:bookmarkStart w:id="4" w:name="PE"/>
      <w:r w:rsidRPr="00AC75E6">
        <w:rPr>
          <w:vanish/>
        </w:rPr>
        <w:t>PE745.538</w:t>
      </w:r>
      <w:bookmarkEnd w:id="4"/>
    </w:p>
    <w:p w:rsidR="00291992" w:rsidRPr="00AC75E6" w:rsidRDefault="00291992" w:rsidP="00291992">
      <w:pPr>
        <w:pStyle w:val="ATHeading3"/>
      </w:pPr>
      <w:bookmarkStart w:id="5" w:name="Sujet"/>
      <w:r w:rsidRPr="00AC75E6">
        <w:t xml:space="preserve">Legislativní usnesení </w:t>
      </w:r>
      <w:r w:rsidR="002E74C7" w:rsidRPr="00AC75E6">
        <w:t xml:space="preserve">Evropského </w:t>
      </w:r>
      <w:r w:rsidR="00586081" w:rsidRPr="00AC75E6">
        <w:t>parlamentu ze dne 12</w:t>
      </w:r>
      <w:r w:rsidR="00204A84" w:rsidRPr="00AC75E6">
        <w:t>. března</w:t>
      </w:r>
      <w:r w:rsidRPr="00AC75E6">
        <w:t xml:space="preserve"> 2024 o návrhu nařízení Evropského parlamentu a Rady o horizontálních požadavcích na kybernetickou bezpečnost produktů s digitálními prvky a o změně nařízení (EU) 2019/1020 </w:t>
      </w:r>
      <w:bookmarkStart w:id="6" w:name="References"/>
      <w:bookmarkEnd w:id="5"/>
      <w:r w:rsidRPr="00AC75E6">
        <w:t>(</w:t>
      </w:r>
      <w:proofErr w:type="gramStart"/>
      <w:r w:rsidRPr="00AC75E6">
        <w:t>COM(2022</w:t>
      </w:r>
      <w:proofErr w:type="gramEnd"/>
      <w:r w:rsidRPr="00AC75E6">
        <w:t>)0454 – C9-0308/2022 – 2022/0272(COD))</w:t>
      </w:r>
      <w:bookmarkEnd w:id="6"/>
    </w:p>
    <w:p w:rsidR="00291992" w:rsidRPr="00AC75E6" w:rsidRDefault="00291992" w:rsidP="00291992"/>
    <w:p w:rsidR="00854C23" w:rsidRPr="00AC75E6" w:rsidRDefault="00854C23" w:rsidP="00854C23">
      <w:pPr>
        <w:pStyle w:val="NormalBold"/>
      </w:pPr>
      <w:bookmarkStart w:id="7" w:name="TextBodyBegin"/>
      <w:bookmarkEnd w:id="7"/>
      <w:r w:rsidRPr="00AC75E6">
        <w:t>(Řádný legislativní postup: první čtení)</w:t>
      </w:r>
    </w:p>
    <w:p w:rsidR="00854C23" w:rsidRPr="00AC75E6" w:rsidRDefault="00854C23" w:rsidP="00854C23">
      <w:pPr>
        <w:pStyle w:val="EPComma"/>
      </w:pPr>
      <w:r w:rsidRPr="00AC75E6">
        <w:rPr>
          <w:i/>
          <w:iCs/>
        </w:rPr>
        <w:t>Evropský parlament</w:t>
      </w:r>
      <w:r w:rsidRPr="00AC75E6">
        <w:t>,</w:t>
      </w:r>
    </w:p>
    <w:p w:rsidR="00854C23" w:rsidRPr="00AC75E6" w:rsidRDefault="00854C23" w:rsidP="00854C23">
      <w:pPr>
        <w:pStyle w:val="NormalHanging12a"/>
      </w:pPr>
      <w:r w:rsidRPr="00AC75E6">
        <w:t>–</w:t>
      </w:r>
      <w:r w:rsidRPr="00AC75E6">
        <w:tab/>
        <w:t>s ohledem na návrh Komise předložený Evropskému parlamentu a Radě (</w:t>
      </w:r>
      <w:proofErr w:type="gramStart"/>
      <w:r w:rsidRPr="00AC75E6">
        <w:t>COM(2022</w:t>
      </w:r>
      <w:proofErr w:type="gramEnd"/>
      <w:r w:rsidRPr="00AC75E6">
        <w:t>)0454),</w:t>
      </w:r>
    </w:p>
    <w:p w:rsidR="00854C23" w:rsidRPr="00AC75E6" w:rsidRDefault="00854C23" w:rsidP="00854C23">
      <w:pPr>
        <w:pStyle w:val="NormalHanging12a"/>
      </w:pPr>
      <w:r w:rsidRPr="00AC75E6">
        <w:t>–</w:t>
      </w:r>
      <w:r w:rsidRPr="00AC75E6">
        <w:tab/>
        <w:t>s ohledem na čl. 294 odst. 2 a článek 114 Smlouvy o fungování Evropské unie, v souladu se kterými Komise předložila svůj návrh Parlamentu (C9</w:t>
      </w:r>
      <w:r w:rsidRPr="00AC75E6">
        <w:noBreakHyphen/>
        <w:t>0308/2022),</w:t>
      </w:r>
    </w:p>
    <w:p w:rsidR="00854C23" w:rsidRPr="00AC75E6" w:rsidRDefault="00854C23" w:rsidP="00854C23">
      <w:pPr>
        <w:pStyle w:val="NormalHanging12a"/>
      </w:pPr>
      <w:r w:rsidRPr="00AC75E6">
        <w:t>–</w:t>
      </w:r>
      <w:r w:rsidRPr="00AC75E6">
        <w:tab/>
        <w:t>s ohledem na čl. 294 odst. 3 Smlouvy o fungování Evropské unie,</w:t>
      </w:r>
    </w:p>
    <w:p w:rsidR="00854C23" w:rsidRPr="00AC75E6" w:rsidRDefault="00854C23" w:rsidP="00854C23">
      <w:pPr>
        <w:pStyle w:val="NormalHanging12a"/>
      </w:pPr>
      <w:r w:rsidRPr="00AC75E6">
        <w:t>–</w:t>
      </w:r>
      <w:r w:rsidRPr="00AC75E6">
        <w:tab/>
        <w:t>s ohledem na stanovisko Evropského hospodářského a sociálního výboru ze dne 14. prosince 2022</w:t>
      </w:r>
      <w:r w:rsidRPr="00AC75E6">
        <w:rPr>
          <w:rStyle w:val="FootnoteReference"/>
        </w:rPr>
        <w:footnoteReference w:id="1"/>
      </w:r>
      <w:r w:rsidRPr="00AC75E6">
        <w:t>,</w:t>
      </w:r>
    </w:p>
    <w:p w:rsidR="002E74C7" w:rsidRPr="00AC75E6" w:rsidRDefault="002E74C7" w:rsidP="00854C23">
      <w:pPr>
        <w:pStyle w:val="NormalHanging12a"/>
      </w:pPr>
      <w:r w:rsidRPr="00AC75E6">
        <w:t>–</w:t>
      </w:r>
      <w:r w:rsidRPr="00AC75E6">
        <w:tab/>
        <w:t>s ohledem na předběžnou dohodu přijatou příslušným výborem podle čl. 74 odst. 4 jednacího řádu a s ohledem na to, že se zástupce Rady dopisem ze dne 20. prosince 2023 zavázal schválit postoj Parlamentu v souladu s čl. 294 odst. 4 Smlouvy o fungování Evropské unie,</w:t>
      </w:r>
    </w:p>
    <w:p w:rsidR="00854C23" w:rsidRPr="00AC75E6" w:rsidRDefault="00854C23" w:rsidP="00854C23">
      <w:pPr>
        <w:pStyle w:val="NormalHanging12a"/>
      </w:pPr>
      <w:r w:rsidRPr="00AC75E6">
        <w:t>–</w:t>
      </w:r>
      <w:r w:rsidRPr="00AC75E6">
        <w:tab/>
        <w:t>s ohledem na článek 59 jednacího řádu,</w:t>
      </w:r>
    </w:p>
    <w:p w:rsidR="00854C23" w:rsidRPr="00AC75E6" w:rsidRDefault="00854C23" w:rsidP="00854C23">
      <w:pPr>
        <w:pStyle w:val="NormalHanging12a"/>
      </w:pPr>
      <w:r w:rsidRPr="00AC75E6">
        <w:t>–</w:t>
      </w:r>
      <w:r w:rsidRPr="00AC75E6">
        <w:tab/>
        <w:t>s ohledem na stanovisko Výboru pro vnitřní trh a ochranu spotřebitelů,</w:t>
      </w:r>
    </w:p>
    <w:p w:rsidR="00854C23" w:rsidRPr="00AC75E6" w:rsidRDefault="00854C23" w:rsidP="00854C23">
      <w:pPr>
        <w:pStyle w:val="NormalHanging12a"/>
      </w:pPr>
      <w:r w:rsidRPr="00AC75E6">
        <w:t>–</w:t>
      </w:r>
      <w:r w:rsidRPr="00AC75E6">
        <w:tab/>
        <w:t>s ohledem na zprávu Výboru pro průmysl, výzkum a energetiku (A9-0253/2023),</w:t>
      </w:r>
    </w:p>
    <w:p w:rsidR="00854C23" w:rsidRPr="00AC75E6" w:rsidRDefault="00854C23" w:rsidP="00854C23">
      <w:pPr>
        <w:pStyle w:val="NormalHanging12a"/>
      </w:pPr>
      <w:r w:rsidRPr="00AC75E6">
        <w:t>1.</w:t>
      </w:r>
      <w:r w:rsidRPr="00AC75E6">
        <w:tab/>
        <w:t>přijímá níže uvedený postoj v prvním čtení;</w:t>
      </w:r>
    </w:p>
    <w:p w:rsidR="00854C23" w:rsidRPr="00AC75E6" w:rsidRDefault="00854C23" w:rsidP="00854C23">
      <w:pPr>
        <w:pStyle w:val="NormalHanging12a"/>
      </w:pPr>
      <w:r w:rsidRPr="00AC75E6">
        <w:t>2.</w:t>
      </w:r>
      <w:r w:rsidRPr="00AC75E6">
        <w:tab/>
      </w:r>
      <w:r w:rsidR="002E74C7" w:rsidRPr="00AC75E6">
        <w:t xml:space="preserve">schvaluje společné prohlášení Parlamentu, Rady a Komise připojené k tomuto usnesení, </w:t>
      </w:r>
      <w:r w:rsidR="002E74C7" w:rsidRPr="00AC75E6">
        <w:lastRenderedPageBreak/>
        <w:t xml:space="preserve">které bude zveřejněno v řadě C </w:t>
      </w:r>
      <w:r w:rsidR="002E74C7" w:rsidRPr="00AC75E6">
        <w:rPr>
          <w:i/>
        </w:rPr>
        <w:t>Úředního věstníku Evropské unie</w:t>
      </w:r>
      <w:r w:rsidRPr="00AC75E6">
        <w:t>;</w:t>
      </w:r>
    </w:p>
    <w:p w:rsidR="00854C23" w:rsidRPr="00AC75E6" w:rsidRDefault="00854C23" w:rsidP="00854C23">
      <w:pPr>
        <w:pStyle w:val="NormalHanging12a"/>
      </w:pPr>
      <w:r w:rsidRPr="00AC75E6">
        <w:t>3.</w:t>
      </w:r>
      <w:r w:rsidRPr="00AC75E6">
        <w:tab/>
        <w:t>vyzývá Komisi, aby věc znovu postoupila Parlamentu, jestliže svůj návrh nahradí jiným textem, podstatně jej změní nebo má v úmyslu jej podstatně změnit;</w:t>
      </w:r>
    </w:p>
    <w:p w:rsidR="00204A84" w:rsidRPr="00AC75E6" w:rsidRDefault="00854C23" w:rsidP="00854C23">
      <w:pPr>
        <w:pStyle w:val="NormalHanging12a"/>
      </w:pPr>
      <w:r w:rsidRPr="00AC75E6">
        <w:t>4.</w:t>
      </w:r>
      <w:r w:rsidRPr="00AC75E6">
        <w:tab/>
        <w:t>pověřuje svou předsedkyni, aby</w:t>
      </w:r>
      <w:r w:rsidR="00204A84" w:rsidRPr="00AC75E6">
        <w:t xml:space="preserve"> předala postoj Parlamentu Radě a</w:t>
      </w:r>
      <w:r w:rsidRPr="00AC75E6">
        <w:t xml:space="preserve"> Komisi, jakož i vnitrostátním parlamentům.</w:t>
      </w:r>
    </w:p>
    <w:p w:rsidR="00527A48" w:rsidRPr="00AC75E6" w:rsidRDefault="00527A48" w:rsidP="00527A48">
      <w:pPr>
        <w:widowControl/>
        <w:spacing w:before="840"/>
        <w:jc w:val="center"/>
        <w:rPr>
          <w:rFonts w:eastAsiaTheme="minorHAnsi"/>
          <w:b/>
          <w:color w:val="000000"/>
          <w:szCs w:val="22"/>
          <w:lang w:eastAsia="en-US"/>
        </w:rPr>
        <w:sectPr w:rsidR="00527A48" w:rsidRPr="00AC75E6" w:rsidSect="00527A48"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527A48" w:rsidRPr="00AC75E6" w:rsidRDefault="00527A48" w:rsidP="00527A4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C75E6">
        <w:rPr>
          <w:b/>
          <w:bCs/>
          <w:color w:val="000000"/>
        </w:rPr>
        <w:lastRenderedPageBreak/>
        <w:t>P9_TC1-COD(2022)0272</w:t>
      </w:r>
    </w:p>
    <w:p w:rsidR="00527A48" w:rsidRPr="00AC75E6" w:rsidRDefault="00527A48" w:rsidP="00527A48">
      <w:pPr>
        <w:widowControl/>
        <w:spacing w:before="240"/>
        <w:rPr>
          <w:rFonts w:eastAsiaTheme="minorHAnsi"/>
          <w:b/>
          <w:szCs w:val="22"/>
          <w:lang w:eastAsia="en-US"/>
        </w:rPr>
      </w:pPr>
      <w:r w:rsidRPr="00AC75E6">
        <w:rPr>
          <w:rFonts w:eastAsiaTheme="minorHAnsi"/>
          <w:b/>
          <w:color w:val="000000"/>
          <w:szCs w:val="22"/>
          <w:lang w:eastAsia="en-US"/>
        </w:rPr>
        <w:t xml:space="preserve">Postoj Evropského parlamentu přijatý v prvním čtení dne 12. března 2024 k přijetí nařízení Evropského parlamentu a Rady (EU) </w:t>
      </w:r>
      <w:r w:rsidR="002C7750" w:rsidRPr="00AC75E6">
        <w:rPr>
          <w:rFonts w:eastAsiaTheme="minorHAnsi"/>
          <w:b/>
          <w:color w:val="000000"/>
          <w:szCs w:val="22"/>
          <w:lang w:eastAsia="en-US"/>
        </w:rPr>
        <w:t>2024</w:t>
      </w:r>
      <w:r w:rsidRPr="00AC75E6">
        <w:rPr>
          <w:rFonts w:eastAsiaTheme="minorHAnsi"/>
          <w:b/>
          <w:color w:val="000000"/>
          <w:szCs w:val="22"/>
          <w:lang w:eastAsia="en-US"/>
        </w:rPr>
        <w:t xml:space="preserve">/... </w:t>
      </w:r>
      <w:r w:rsidRPr="00AC75E6">
        <w:rPr>
          <w:rFonts w:eastAsiaTheme="minorHAnsi"/>
          <w:b/>
          <w:szCs w:val="22"/>
          <w:lang w:eastAsia="en-US"/>
        </w:rPr>
        <w:t xml:space="preserve">o horizontálních požadavcích na kybernetickou bezpečnost produktů s digitálními prvky a o změně nařízení (EU) </w:t>
      </w:r>
      <w:r w:rsidR="00AC75E6">
        <w:rPr>
          <w:rFonts w:eastAsiaTheme="minorHAnsi"/>
          <w:b/>
          <w:szCs w:val="22"/>
          <w:lang w:eastAsia="en-US"/>
        </w:rPr>
        <w:t xml:space="preserve">č. </w:t>
      </w:r>
      <w:r w:rsidRPr="00AC75E6">
        <w:rPr>
          <w:rFonts w:eastAsiaTheme="minorHAnsi"/>
          <w:b/>
          <w:szCs w:val="22"/>
          <w:lang w:eastAsia="en-US"/>
        </w:rPr>
        <w:t>168/2013 a (EU) 2019/1020 a směrnice (EU) 2020/1828 (akt o kybernetické odolnosti)</w:t>
      </w:r>
    </w:p>
    <w:p w:rsidR="006834A1" w:rsidRPr="00AC75E6" w:rsidRDefault="00AC75E6" w:rsidP="00AC75E6">
      <w:pPr>
        <w:widowControl/>
        <w:spacing w:before="360"/>
        <w:rPr>
          <w:rFonts w:eastAsiaTheme="minorHAnsi"/>
          <w:b/>
          <w:color w:val="000000"/>
          <w:szCs w:val="22"/>
          <w:lang w:eastAsia="en-US"/>
        </w:rPr>
      </w:pPr>
      <w:r w:rsidRPr="00AC75E6">
        <w:rPr>
          <w:i/>
        </w:rPr>
        <w:t>(Vzhledem k tomu, že bylo dosaženo dohody mezi Parlamentem a Radou, postoj Parlamentu odpovídá konečnému znění legislativního aktu, nařízení (EU) 2024/</w:t>
      </w:r>
      <w:r w:rsidRPr="00AC75E6">
        <w:rPr>
          <w:i/>
        </w:rPr>
        <w:t>2847</w:t>
      </w:r>
      <w:r w:rsidRPr="00AC75E6">
        <w:rPr>
          <w:i/>
        </w:rPr>
        <w:t>.)</w:t>
      </w:r>
    </w:p>
    <w:p w:rsidR="00AC75E6" w:rsidRPr="00AC75E6" w:rsidRDefault="00AC75E6">
      <w:pPr>
        <w:widowControl/>
      </w:pPr>
      <w:r w:rsidRPr="00AC75E6">
        <w:br w:type="page"/>
      </w:r>
    </w:p>
    <w:p w:rsidR="00204A84" w:rsidRPr="00AC75E6" w:rsidRDefault="00527A48" w:rsidP="00586081">
      <w:pPr>
        <w:widowControl/>
        <w:jc w:val="right"/>
      </w:pPr>
      <w:r w:rsidRPr="00AC75E6">
        <w:lastRenderedPageBreak/>
        <w:t>PŘÍLOHA K LEGISLATIVNÍMU USNESENÍ</w:t>
      </w:r>
    </w:p>
    <w:p w:rsidR="00527A48" w:rsidRPr="00AC75E6" w:rsidRDefault="00527A48" w:rsidP="00586081">
      <w:pPr>
        <w:widowControl/>
        <w:spacing w:before="720" w:after="120" w:line="360" w:lineRule="auto"/>
        <w:jc w:val="center"/>
        <w:rPr>
          <w:rFonts w:eastAsiaTheme="minorHAnsi"/>
          <w:szCs w:val="24"/>
          <w:vertAlign w:val="superscript"/>
          <w:lang w:eastAsia="en-US"/>
        </w:rPr>
      </w:pPr>
      <w:r w:rsidRPr="00AC75E6">
        <w:rPr>
          <w:rFonts w:eastAsiaTheme="minorHAnsi"/>
          <w:b/>
          <w:bCs/>
          <w:szCs w:val="24"/>
          <w:lang w:eastAsia="en-US"/>
        </w:rPr>
        <w:t xml:space="preserve">Společné politické prohlášení Evropského parlamentu, Rady a Komise o zdrojích agentury ENISA u příležitosti přijetí nařízení Evropského parlamentu a Rady (EU) </w:t>
      </w:r>
      <w:r w:rsidR="00AC75E6" w:rsidRPr="00AC75E6">
        <w:rPr>
          <w:rFonts w:eastAsiaTheme="minorHAnsi"/>
          <w:b/>
          <w:bCs/>
          <w:szCs w:val="24"/>
          <w:lang w:eastAsia="en-US"/>
        </w:rPr>
        <w:t>2024</w:t>
      </w:r>
      <w:r w:rsidRPr="00AC75E6">
        <w:rPr>
          <w:rFonts w:eastAsiaTheme="minorHAnsi"/>
          <w:b/>
          <w:bCs/>
          <w:szCs w:val="24"/>
          <w:lang w:eastAsia="en-US"/>
        </w:rPr>
        <w:t>/</w:t>
      </w:r>
      <w:r w:rsidR="00AC75E6" w:rsidRPr="00AC75E6">
        <w:rPr>
          <w:rFonts w:eastAsiaTheme="minorHAnsi"/>
          <w:b/>
          <w:bCs/>
          <w:szCs w:val="24"/>
          <w:lang w:eastAsia="en-US"/>
        </w:rPr>
        <w:t>2847</w:t>
      </w:r>
      <w:r w:rsidRPr="00AC75E6">
        <w:rPr>
          <w:rFonts w:eastAsiaTheme="minorHAnsi"/>
          <w:b/>
          <w:bCs/>
          <w:szCs w:val="24"/>
          <w:lang w:eastAsia="en-US"/>
        </w:rPr>
        <w:t xml:space="preserve"> o horizontálních požadavcích na kybernetickou bezpečnost produktů s digitálními prvky a o změně nařízení (EU) č.</w:t>
      </w:r>
      <w:r w:rsidR="00AC75E6">
        <w:rPr>
          <w:rFonts w:eastAsiaTheme="minorHAnsi"/>
          <w:b/>
          <w:bCs/>
          <w:szCs w:val="24"/>
          <w:lang w:eastAsia="en-US"/>
        </w:rPr>
        <w:t xml:space="preserve"> </w:t>
      </w:r>
      <w:r w:rsidRPr="00AC75E6">
        <w:rPr>
          <w:rFonts w:eastAsiaTheme="minorHAnsi"/>
          <w:b/>
          <w:bCs/>
          <w:szCs w:val="24"/>
          <w:lang w:eastAsia="en-US"/>
        </w:rPr>
        <w:t xml:space="preserve">168/2013 a (EU) 2019/1020 a směrnice </w:t>
      </w:r>
      <w:bookmarkStart w:id="8" w:name="_GoBack"/>
      <w:bookmarkEnd w:id="8"/>
      <w:r w:rsidRPr="00AC75E6">
        <w:rPr>
          <w:rFonts w:eastAsiaTheme="minorHAnsi"/>
          <w:b/>
          <w:bCs/>
          <w:szCs w:val="24"/>
          <w:lang w:eastAsia="en-US"/>
        </w:rPr>
        <w:t>(EU) 2020/1828 (akt o kybernetické odolnosti)</w:t>
      </w:r>
    </w:p>
    <w:p w:rsidR="00527A48" w:rsidRPr="00AC75E6" w:rsidRDefault="00527A48" w:rsidP="00527A48">
      <w:pPr>
        <w:widowControl/>
        <w:spacing w:before="120" w:after="120" w:line="360" w:lineRule="auto"/>
        <w:rPr>
          <w:rFonts w:eastAsiaTheme="minorHAnsi"/>
          <w:szCs w:val="24"/>
          <w:lang w:eastAsia="en-US"/>
        </w:rPr>
      </w:pPr>
      <w:r w:rsidRPr="00AC75E6">
        <w:rPr>
          <w:rFonts w:eastAsiaTheme="minorHAnsi"/>
          <w:szCs w:val="22"/>
          <w:lang w:eastAsia="en-US"/>
        </w:rPr>
        <w:t>Evropský parlament a Rada soudí, že toto nařízení svěřuje agentuře ENISA další úkoly, které zvýší její pracovní zátěž a budou vyžadovat dodatečné zdroje ve smyslu expertízy i počtu. Evropský parlament, Rada a Komise se proto domnívají, že pokud má být agentura ENISA schopna účinně plnit úkoly podle tohoto nařízení, bude možná nutné navýšit její zdroje, zejména lidské zdroje s odpovídajícími odbornými znalostmi. Takové navýšení zdrojů by mohlo být stanoveno v ročním postupu týkajícím se plánu pracovních míst agentury ENISA. Komise, jejímž úkolem je – v rámci rozpočtového procesu stanoveného v článku 314 Smlouva o fungování Evropské unie a v souladu s postupem stanoveným v aktu o kybernetické bezpečnosti – vložit do návrhu souhrnného rozpočtu Unie odhady prostředků, které považuje za nezbytné pro plán pracovních míst agentury ENISA, posoudí odhady pro plán pracovních míst agentury ENISA zapsané do rozpočtu v prvním roce po vstupu tohoto nařízení v platnost, a to s ohledem na to, jaké zdroje, zejména lidské, jsou nezbytné k tomu, aby agentura ENISA mohla odpovídajícím způsobem plnit své úkoly podle tohoto nařízení.</w:t>
      </w:r>
    </w:p>
    <w:p w:rsidR="00527A48" w:rsidRPr="00AC75E6" w:rsidRDefault="00527A48" w:rsidP="00527A48">
      <w:pPr>
        <w:widowControl/>
      </w:pPr>
    </w:p>
    <w:sectPr w:rsidR="00527A48" w:rsidRPr="00AC75E6" w:rsidSect="00527A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A48" w:rsidRPr="00EA7C27" w:rsidRDefault="00527A48">
      <w:r w:rsidRPr="00EA7C27">
        <w:separator/>
      </w:r>
    </w:p>
  </w:endnote>
  <w:endnote w:type="continuationSeparator" w:id="0">
    <w:p w:rsidR="00527A48" w:rsidRPr="00EA7C27" w:rsidRDefault="00527A48">
      <w:r w:rsidRPr="00EA7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48" w:rsidRPr="00EA7C27" w:rsidRDefault="00527A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48" w:rsidRPr="00EA7C27" w:rsidRDefault="00527A4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48" w:rsidRPr="00EA7C27" w:rsidRDefault="00527A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A48" w:rsidRPr="00EA7C27" w:rsidRDefault="00527A48">
      <w:r w:rsidRPr="00EA7C27">
        <w:separator/>
      </w:r>
    </w:p>
  </w:footnote>
  <w:footnote w:type="continuationSeparator" w:id="0">
    <w:p w:rsidR="00527A48" w:rsidRPr="00EA7C27" w:rsidRDefault="00527A48">
      <w:r w:rsidRPr="00EA7C27">
        <w:continuationSeparator/>
      </w:r>
    </w:p>
  </w:footnote>
  <w:footnote w:id="1">
    <w:p w:rsidR="00527A48" w:rsidRPr="00527A48" w:rsidRDefault="00527A48" w:rsidP="00527A48">
      <w:pPr>
        <w:pStyle w:val="FootnoteText"/>
        <w:ind w:left="851" w:hanging="851"/>
        <w:rPr>
          <w:sz w:val="24"/>
          <w:szCs w:val="24"/>
          <w:lang w:val="cs-CZ"/>
        </w:rPr>
      </w:pPr>
      <w:r w:rsidRPr="00527A48">
        <w:rPr>
          <w:rStyle w:val="FootnoteReference"/>
          <w:sz w:val="24"/>
          <w:szCs w:val="24"/>
          <w:lang w:val="cs-CZ"/>
        </w:rPr>
        <w:footnoteRef/>
      </w:r>
      <w:r w:rsidRPr="00527A48">
        <w:rPr>
          <w:sz w:val="24"/>
          <w:szCs w:val="24"/>
          <w:lang w:val="cs-CZ"/>
        </w:rPr>
        <w:t xml:space="preserve"> </w:t>
      </w:r>
      <w:r w:rsidRPr="00527A48">
        <w:rPr>
          <w:sz w:val="24"/>
          <w:szCs w:val="24"/>
          <w:lang w:val="cs-CZ"/>
        </w:rPr>
        <w:tab/>
      </w:r>
      <w:proofErr w:type="spellStart"/>
      <w:r w:rsidRPr="00527A48">
        <w:rPr>
          <w:sz w:val="24"/>
          <w:szCs w:val="24"/>
          <w:lang w:val="cs-CZ"/>
        </w:rPr>
        <w:t>Úř</w:t>
      </w:r>
      <w:proofErr w:type="spellEnd"/>
      <w:r w:rsidRPr="00527A48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527A48">
        <w:rPr>
          <w:sz w:val="24"/>
          <w:szCs w:val="24"/>
          <w:lang w:val="cs-CZ"/>
        </w:rPr>
        <w:t>věst</w:t>
      </w:r>
      <w:proofErr w:type="spellEnd"/>
      <w:proofErr w:type="gramEnd"/>
      <w:r w:rsidRPr="00527A48">
        <w:rPr>
          <w:sz w:val="24"/>
          <w:szCs w:val="24"/>
          <w:lang w:val="cs-CZ"/>
        </w:rPr>
        <w:t xml:space="preserve">. C 100, </w:t>
      </w:r>
      <w:proofErr w:type="gramStart"/>
      <w:r w:rsidRPr="00527A48">
        <w:rPr>
          <w:sz w:val="24"/>
          <w:szCs w:val="24"/>
          <w:lang w:val="cs-CZ"/>
        </w:rPr>
        <w:t>16.3.2023</w:t>
      </w:r>
      <w:proofErr w:type="gramEnd"/>
      <w:r w:rsidRPr="00527A48">
        <w:rPr>
          <w:sz w:val="24"/>
          <w:szCs w:val="24"/>
          <w:lang w:val="cs-CZ"/>
        </w:rPr>
        <w:t>, s. 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48" w:rsidRPr="00EA7C27" w:rsidRDefault="00527A4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48" w:rsidRPr="00EA7C27" w:rsidRDefault="00527A4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A48" w:rsidRPr="00EA7C27" w:rsidRDefault="00527A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08090015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4FDD284C"/>
    <w:multiLevelType w:val="hybridMultilevel"/>
    <w:tmpl w:val="B622B9E8"/>
    <w:lvl w:ilvl="0" w:tplc="1B5A8D28">
      <w:start w:val="5"/>
      <w:numFmt w:val="bullet"/>
      <w:lvlText w:val="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8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2"/>
  </w:num>
  <w:num w:numId="3">
    <w:abstractNumId w:val="27"/>
  </w:num>
  <w:num w:numId="4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2"/>
  </w:num>
  <w:num w:numId="7">
    <w:abstractNumId w:val="23"/>
  </w:num>
  <w:num w:numId="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9"/>
  </w:num>
  <w:num w:numId="14">
    <w:abstractNumId w:val="18"/>
  </w:num>
  <w:num w:numId="15">
    <w:abstractNumId w:val="3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14"/>
  </w:num>
  <w:num w:numId="21">
    <w:abstractNumId w:val="29"/>
  </w:num>
  <w:num w:numId="22">
    <w:abstractNumId w:val="8"/>
  </w:num>
  <w:num w:numId="23">
    <w:abstractNumId w:val="15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4"/>
  </w:num>
  <w:num w:numId="29">
    <w:abstractNumId w:val="25"/>
  </w:num>
  <w:num w:numId="30">
    <w:abstractNumId w:val="7"/>
  </w:num>
  <w:num w:numId="31">
    <w:abstractNumId w:val="22"/>
  </w:num>
  <w:num w:numId="32">
    <w:abstractNumId w:val="33"/>
    <w:lvlOverride w:ilvl="0">
      <w:startOverride w:val="1"/>
    </w:lvlOverride>
  </w:num>
  <w:num w:numId="33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CS"/>
    <w:docVar w:name="dvnumam" w:val="201"/>
    <w:docVar w:name="dvpe" w:val="745.538"/>
    <w:docVar w:name="dvrapporteur" w:val="Zpravodaj: "/>
    <w:docVar w:name="dvstar" w:val="***I"/>
    <w:docVar w:name="dvtitre" w:val="Legislativní usnesení Evropského parlamentu ze dne.... 2024 o návrhu nařízení Evropského parlamentu a Rady o horizontálních požadavcích na kybernetickou bezpečnost produktů s digitálními prvky a o změně nařízení (EU) 2019/1020 (COM(2022)0454 – C9-0308/2022 – 2022/0272(COD))"/>
  </w:docVars>
  <w:rsids>
    <w:rsidRoot w:val="00291992"/>
    <w:rsid w:val="00002272"/>
    <w:rsid w:val="00032003"/>
    <w:rsid w:val="00041C4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4A84"/>
    <w:rsid w:val="00212D1A"/>
    <w:rsid w:val="002767FF"/>
    <w:rsid w:val="00291992"/>
    <w:rsid w:val="002B18FE"/>
    <w:rsid w:val="002B5493"/>
    <w:rsid w:val="002C7750"/>
    <w:rsid w:val="002E74C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A48"/>
    <w:rsid w:val="00545827"/>
    <w:rsid w:val="00560270"/>
    <w:rsid w:val="00586081"/>
    <w:rsid w:val="005C2568"/>
    <w:rsid w:val="006037C0"/>
    <w:rsid w:val="006631B6"/>
    <w:rsid w:val="00680577"/>
    <w:rsid w:val="006834A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C2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75E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D0F"/>
    <w:rsid w:val="00C5050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A74"/>
    <w:rsid w:val="00E365E1"/>
    <w:rsid w:val="00E820A4"/>
    <w:rsid w:val="00EA7C2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CD8DC"/>
  <w15:chartTrackingRefBased/>
  <w15:docId w15:val="{C1C20AE0-1583-4BF5-8864-35C17E08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54C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C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C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C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54C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54C2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854C2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854C2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854C2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854C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54C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54C23"/>
    <w:pPr>
      <w:spacing w:before="480" w:after="240"/>
    </w:pPr>
  </w:style>
  <w:style w:type="paragraph" w:customStyle="1" w:styleId="TOCPage">
    <w:name w:val="TOC Page"/>
    <w:basedOn w:val="Normal"/>
    <w:next w:val="TOC1"/>
    <w:rsid w:val="00854C2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854C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54C2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54C23"/>
    <w:rPr>
      <w:b/>
      <w:sz w:val="24"/>
      <w:lang w:val="cs-CZ"/>
    </w:rPr>
  </w:style>
  <w:style w:type="paragraph" w:customStyle="1" w:styleId="NormalBold12a">
    <w:name w:val="NormalBold12a"/>
    <w:basedOn w:val="Normal"/>
    <w:rsid w:val="00854C2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54C2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54C23"/>
    <w:pPr>
      <w:spacing w:after="480"/>
      <w:ind w:left="1417"/>
    </w:pPr>
  </w:style>
  <w:style w:type="paragraph" w:customStyle="1" w:styleId="CoverNormal">
    <w:name w:val="CoverNormal"/>
    <w:basedOn w:val="Normal"/>
    <w:rsid w:val="00854C23"/>
    <w:pPr>
      <w:ind w:left="1418"/>
    </w:pPr>
  </w:style>
  <w:style w:type="paragraph" w:customStyle="1" w:styleId="NormalCenter12a">
    <w:name w:val="NormalCenter12a"/>
    <w:basedOn w:val="Normal"/>
    <w:rsid w:val="00854C23"/>
    <w:pPr>
      <w:spacing w:after="240"/>
      <w:jc w:val="center"/>
    </w:pPr>
  </w:style>
  <w:style w:type="paragraph" w:customStyle="1" w:styleId="CoverReference">
    <w:name w:val="CoverReference"/>
    <w:basedOn w:val="Normal"/>
    <w:rsid w:val="00854C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54C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54C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54C2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54C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C23"/>
    <w:rPr>
      <w:sz w:val="24"/>
      <w:lang w:val="cs-CZ"/>
    </w:rPr>
  </w:style>
  <w:style w:type="paragraph" w:customStyle="1" w:styleId="AmNumberTabs">
    <w:name w:val="AmNumberTabs"/>
    <w:basedOn w:val="Normal"/>
    <w:rsid w:val="00854C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54C23"/>
    <w:pPr>
      <w:spacing w:before="720" w:after="240"/>
      <w:jc w:val="center"/>
    </w:pPr>
  </w:style>
  <w:style w:type="paragraph" w:customStyle="1" w:styleId="EPBody">
    <w:name w:val="EPBody"/>
    <w:basedOn w:val="Normal"/>
    <w:rsid w:val="00854C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54C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854C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54C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54C23"/>
    <w:rPr>
      <w:sz w:val="18"/>
    </w:rPr>
  </w:style>
  <w:style w:type="character" w:styleId="Hyperlink">
    <w:name w:val="Hyperlink"/>
    <w:unhideWhenUsed/>
    <w:qFormat/>
    <w:rsid w:val="00854C23"/>
    <w:rPr>
      <w:color w:val="0000FF"/>
      <w:u w:val="single"/>
    </w:rPr>
  </w:style>
  <w:style w:type="character" w:styleId="FollowedHyperlink">
    <w:name w:val="FollowedHyperlink"/>
    <w:unhideWhenUsed/>
    <w:rsid w:val="00854C23"/>
    <w:rPr>
      <w:color w:val="800080"/>
      <w:u w:val="single"/>
    </w:rPr>
  </w:style>
  <w:style w:type="paragraph" w:customStyle="1" w:styleId="Text1">
    <w:name w:val="Text 1"/>
    <w:basedOn w:val="Normal"/>
    <w:rsid w:val="00854C2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54C2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854C2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854C2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854C23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854C23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854C23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854C23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854C23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54C23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854C23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4C23"/>
    <w:rPr>
      <w:lang w:val="cs-C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854C23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854C23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854C23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854C23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854C23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854C23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854C23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854C23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854C23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854C23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854C23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854C23"/>
    <w:rPr>
      <w:rFonts w:eastAsiaTheme="minorHAnsi"/>
      <w:sz w:val="24"/>
      <w:szCs w:val="22"/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54C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4C23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854C23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C23"/>
    <w:rPr>
      <w:rFonts w:ascii="Tahoma" w:hAnsi="Tahoma" w:cs="Tahoma"/>
      <w:sz w:val="16"/>
      <w:szCs w:val="16"/>
      <w:lang w:val="cs-CZ"/>
    </w:rPr>
  </w:style>
  <w:style w:type="paragraph" w:styleId="Revision">
    <w:name w:val="Revision"/>
    <w:uiPriority w:val="99"/>
    <w:semiHidden/>
    <w:rsid w:val="00854C23"/>
    <w:pPr>
      <w:spacing w:after="200" w:line="276" w:lineRule="auto"/>
    </w:pPr>
    <w:rPr>
      <w:rFonts w:ascii="Calibri" w:eastAsia="Calibri" w:hAnsi="Calibri"/>
      <w:sz w:val="24"/>
      <w:szCs w:val="22"/>
      <w:lang w:val="cs-CZ"/>
    </w:rPr>
  </w:style>
  <w:style w:type="paragraph" w:styleId="ListParagraph">
    <w:name w:val="List Paragraph"/>
    <w:aliases w:val="List Paragraph_Sections,1st level - Bullet List Paragraph,Lettre d'introduction,Paragrafo elenco,List Paragraph1,Medium Grid 1 - Accent 21,Bullet OFM,List Paragraph (numbered (a)),Bullet List,Normal bullet 2,Bullet list,EC"/>
    <w:basedOn w:val="Normal"/>
    <w:uiPriority w:val="34"/>
    <w:qFormat/>
    <w:rsid w:val="00854C23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854C23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854C23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854C23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854C23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854C23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854C23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854C23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854C23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854C23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854C23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854C23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854C23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854C23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854C23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854C23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854C23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854C23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854C23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854C23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854C23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854C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54C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54C2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54C23"/>
    <w:pPr>
      <w:spacing w:after="240"/>
    </w:pPr>
  </w:style>
  <w:style w:type="paragraph" w:customStyle="1" w:styleId="Languesfaisantfoi">
    <w:name w:val="Langues faisant foi"/>
    <w:basedOn w:val="Normal"/>
    <w:next w:val="Normal"/>
    <w:rsid w:val="00854C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854C23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854C23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854C23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854C23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854C23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854C23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854C23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854C2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854C23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854C23"/>
  </w:style>
  <w:style w:type="character" w:customStyle="1" w:styleId="FooterCoverPageChar">
    <w:name w:val="Footer Cover Page Char"/>
    <w:link w:val="FooterCoverPage"/>
    <w:semiHidden/>
    <w:locked/>
    <w:rsid w:val="00854C23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854C2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854C23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854C23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854C23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854C23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854C23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854C23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854C23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854C2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rsid w:val="00854C2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cs-CZ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854C23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cs-CZ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854C23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854C2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854C23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54C2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54C2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854C23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54C2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854C2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54C2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854C23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854C23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54C2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54C23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54C23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54C2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54C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54C2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54C2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54C2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54C2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854C23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54C23"/>
    <w:pPr>
      <w:numPr>
        <w:numId w:val="19"/>
      </w:numPr>
    </w:pPr>
  </w:style>
  <w:style w:type="paragraph" w:customStyle="1" w:styleId="Tiret1">
    <w:name w:val="Tiret 1"/>
    <w:basedOn w:val="Point1"/>
    <w:rsid w:val="00854C23"/>
    <w:pPr>
      <w:numPr>
        <w:numId w:val="20"/>
      </w:numPr>
    </w:pPr>
  </w:style>
  <w:style w:type="paragraph" w:customStyle="1" w:styleId="Tiret2">
    <w:name w:val="Tiret 2"/>
    <w:basedOn w:val="Point2"/>
    <w:rsid w:val="00854C23"/>
    <w:pPr>
      <w:numPr>
        <w:numId w:val="21"/>
      </w:numPr>
    </w:pPr>
  </w:style>
  <w:style w:type="paragraph" w:customStyle="1" w:styleId="Tiret3">
    <w:name w:val="Tiret 3"/>
    <w:basedOn w:val="Point3"/>
    <w:rsid w:val="00854C23"/>
    <w:pPr>
      <w:numPr>
        <w:numId w:val="22"/>
      </w:numPr>
    </w:pPr>
  </w:style>
  <w:style w:type="paragraph" w:customStyle="1" w:styleId="Tiret4">
    <w:name w:val="Tiret 4"/>
    <w:basedOn w:val="Point4"/>
    <w:rsid w:val="00854C23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854C23"/>
    <w:pPr>
      <w:numPr>
        <w:numId w:val="24"/>
      </w:numPr>
    </w:pPr>
  </w:style>
  <w:style w:type="paragraph" w:customStyle="1" w:styleId="PointDouble0">
    <w:name w:val="PointDouble 0"/>
    <w:basedOn w:val="Normal"/>
    <w:rsid w:val="00854C2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54C2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54C2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54C2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54C2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54C2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54C2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54C2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54C2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54C2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854C23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54C23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54C23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54C2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854C23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54C23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54C23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54C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54C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54C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54C2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854C2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854C2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854C2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54C2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54C2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54C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54C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54C2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854C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854C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854C2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54C23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54C23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54C23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54C23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854C23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54C23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854C23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54C23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54C2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854C23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54C23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54C23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54C23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54C23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54C23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54C23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54C23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54C23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54C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54C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54C23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54C2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54C2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54C23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54C23"/>
  </w:style>
  <w:style w:type="paragraph" w:customStyle="1" w:styleId="TitreobjetPagedecouverture">
    <w:name w:val="Titre objet (Page de couverture)"/>
    <w:basedOn w:val="Titreobjet"/>
    <w:next w:val="IntrtEEEPagedecouverture"/>
    <w:rsid w:val="00854C23"/>
  </w:style>
  <w:style w:type="paragraph" w:customStyle="1" w:styleId="IntrtEEEPagedecouverture">
    <w:name w:val="Intérêt EEE (Page de couverture)"/>
    <w:basedOn w:val="IntrtEEE"/>
    <w:next w:val="Rfrencecroise"/>
    <w:rsid w:val="00854C23"/>
  </w:style>
  <w:style w:type="paragraph" w:customStyle="1" w:styleId="Rfrencecroise">
    <w:name w:val="Référence croisée"/>
    <w:basedOn w:val="Normal"/>
    <w:rsid w:val="00854C23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54C23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54C2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54C2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54C2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854C23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854C2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854C2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54C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54C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54C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54C2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54C2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54C2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54C2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54C23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54C23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854C23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54C23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54C2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54C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854C2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54C2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54C2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854C23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54C23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54C23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54C2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54C2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54C23"/>
  </w:style>
  <w:style w:type="paragraph" w:customStyle="1" w:styleId="StatutPagedecouverture">
    <w:name w:val="Statut (Page de couverture)"/>
    <w:basedOn w:val="Statut"/>
    <w:next w:val="TypedudocumentPagedecouverture"/>
    <w:rsid w:val="00854C23"/>
  </w:style>
  <w:style w:type="paragraph" w:customStyle="1" w:styleId="Volume">
    <w:name w:val="Volume"/>
    <w:basedOn w:val="Normal"/>
    <w:next w:val="Confidentialit"/>
    <w:rsid w:val="00854C2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54C23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854C23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54C23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54C23"/>
  </w:style>
  <w:style w:type="paragraph" w:customStyle="1" w:styleId="ObjetacteprincipalPagedecouverture">
    <w:name w:val="Objet acte principal (Page de couverture)"/>
    <w:basedOn w:val="Objetacteprincipal"/>
    <w:next w:val="Rfrencecroise"/>
    <w:rsid w:val="00854C23"/>
  </w:style>
  <w:style w:type="paragraph" w:customStyle="1" w:styleId="AccompagnantPagedecouverture">
    <w:name w:val="Accompagnant (Page de couverture)"/>
    <w:basedOn w:val="Accompagnant"/>
    <w:next w:val="TypeacteprincipalPagedecouverture"/>
    <w:rsid w:val="00854C23"/>
  </w:style>
  <w:style w:type="paragraph" w:customStyle="1" w:styleId="LanguesfaisantfoiPagedecouverture">
    <w:name w:val="Langues faisant foi (Page de couverture)"/>
    <w:basedOn w:val="Normal"/>
    <w:next w:val="Normal"/>
    <w:rsid w:val="00854C2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unhideWhenUsed/>
    <w:rsid w:val="00854C23"/>
    <w:rPr>
      <w:rFonts w:ascii="Times New Roman" w:hAnsi="Times New Roman" w:cs="Times New Roman" w:hint="default"/>
      <w:sz w:val="16"/>
      <w:szCs w:val="16"/>
    </w:rPr>
  </w:style>
  <w:style w:type="character" w:customStyle="1" w:styleId="tw4winMark">
    <w:name w:val="tw4winMark"/>
    <w:rsid w:val="00854C23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854C23"/>
    <w:rPr>
      <w:rFonts w:ascii="Times New Roman" w:hAnsi="Times New Roman" w:cs="Times New Roman" w:hint="default"/>
      <w:b/>
      <w:bCs w:val="0"/>
      <w:sz w:val="28"/>
      <w:lang w:val="cs-CZ"/>
    </w:rPr>
  </w:style>
  <w:style w:type="character" w:customStyle="1" w:styleId="num">
    <w:name w:val="num"/>
    <w:basedOn w:val="DefaultParagraphFont"/>
    <w:rsid w:val="00854C23"/>
  </w:style>
  <w:style w:type="character" w:customStyle="1" w:styleId="Hyperlink1">
    <w:name w:val="Hyperlink1"/>
    <w:basedOn w:val="DefaultParagraphFont"/>
    <w:uiPriority w:val="99"/>
    <w:qFormat/>
    <w:rsid w:val="00854C23"/>
    <w:rPr>
      <w:color w:val="0000FF"/>
      <w:u w:val="single"/>
    </w:rPr>
  </w:style>
  <w:style w:type="character" w:customStyle="1" w:styleId="oj-italic">
    <w:name w:val="oj-italic"/>
    <w:basedOn w:val="DefaultParagraphFont"/>
    <w:rsid w:val="00854C23"/>
  </w:style>
  <w:style w:type="character" w:customStyle="1" w:styleId="super">
    <w:name w:val="super"/>
    <w:basedOn w:val="DefaultParagraphFont"/>
    <w:rsid w:val="00854C23"/>
  </w:style>
  <w:style w:type="character" w:customStyle="1" w:styleId="CommentTextChar1">
    <w:name w:val="Comment Text Char1"/>
    <w:basedOn w:val="DefaultParagraphFont"/>
    <w:uiPriority w:val="99"/>
    <w:locked/>
    <w:rsid w:val="00854C23"/>
    <w:rPr>
      <w:rFonts w:ascii="Times New Roman" w:eastAsia="Calibri" w:hAnsi="Times New Roman" w:cs="Times New Roman" w:hint="default"/>
      <w:sz w:val="20"/>
      <w:szCs w:val="20"/>
      <w:lang w:val="cs-CZ"/>
    </w:rPr>
  </w:style>
  <w:style w:type="character" w:customStyle="1" w:styleId="markedcontent">
    <w:name w:val="markedcontent"/>
    <w:basedOn w:val="DefaultParagraphFont"/>
    <w:rsid w:val="00854C23"/>
  </w:style>
  <w:style w:type="character" w:customStyle="1" w:styleId="tw4winError">
    <w:name w:val="tw4winError"/>
    <w:rsid w:val="00854C23"/>
    <w:rPr>
      <w:color w:val="00FF00"/>
      <w:sz w:val="40"/>
      <w:lang w:val="cs-CZ" w:eastAsia="en-GB"/>
    </w:rPr>
  </w:style>
  <w:style w:type="character" w:customStyle="1" w:styleId="tw4winTerm">
    <w:name w:val="tw4winTerm"/>
    <w:rsid w:val="00854C23"/>
    <w:rPr>
      <w:color w:val="0000FF"/>
      <w:lang w:val="cs-CZ" w:eastAsia="en-GB"/>
    </w:rPr>
  </w:style>
  <w:style w:type="character" w:customStyle="1" w:styleId="tw4winPopup">
    <w:name w:val="tw4winPopup"/>
    <w:rsid w:val="00854C23"/>
    <w:rPr>
      <w:noProof/>
      <w:color w:val="008000"/>
      <w:lang w:val="cs-CZ" w:eastAsia="en-GB"/>
    </w:rPr>
  </w:style>
  <w:style w:type="character" w:customStyle="1" w:styleId="tw4winJump">
    <w:name w:val="tw4winJump"/>
    <w:rsid w:val="00854C23"/>
    <w:rPr>
      <w:noProof/>
      <w:color w:val="008080"/>
      <w:lang w:val="cs-CZ" w:eastAsia="en-GB"/>
    </w:rPr>
  </w:style>
  <w:style w:type="character" w:customStyle="1" w:styleId="tw4winExternal">
    <w:name w:val="tw4winExternal"/>
    <w:rsid w:val="00854C23"/>
    <w:rPr>
      <w:noProof/>
      <w:color w:val="808080"/>
      <w:lang w:val="cs-CZ" w:eastAsia="en-GB"/>
    </w:rPr>
  </w:style>
  <w:style w:type="character" w:customStyle="1" w:styleId="tw4winInternal">
    <w:name w:val="tw4winInternal"/>
    <w:rsid w:val="00854C23"/>
    <w:rPr>
      <w:noProof/>
      <w:color w:val="FF0000"/>
      <w:lang w:val="cs-CZ" w:eastAsia="en-GB"/>
    </w:rPr>
  </w:style>
  <w:style w:type="character" w:customStyle="1" w:styleId="DONOTTRANSLATE">
    <w:name w:val="DO_NOT_TRANSLATE"/>
    <w:rsid w:val="00854C23"/>
    <w:rPr>
      <w:noProof/>
      <w:color w:val="800000"/>
      <w:lang w:val="cs-CZ" w:eastAsia="en-GB"/>
    </w:rPr>
  </w:style>
  <w:style w:type="character" w:customStyle="1" w:styleId="Marker">
    <w:name w:val="Marker"/>
    <w:basedOn w:val="DefaultParagraphFont"/>
    <w:rsid w:val="00854C23"/>
    <w:rPr>
      <w:color w:val="0000FF"/>
    </w:rPr>
  </w:style>
  <w:style w:type="character" w:customStyle="1" w:styleId="Marker1">
    <w:name w:val="Marker1"/>
    <w:basedOn w:val="DefaultParagraphFont"/>
    <w:rsid w:val="00854C23"/>
    <w:rPr>
      <w:color w:val="008000"/>
    </w:rPr>
  </w:style>
  <w:style w:type="character" w:customStyle="1" w:styleId="Marker2">
    <w:name w:val="Marker2"/>
    <w:basedOn w:val="DefaultParagraphFont"/>
    <w:rsid w:val="00854C23"/>
    <w:rPr>
      <w:color w:val="FF0000"/>
    </w:rPr>
  </w:style>
  <w:style w:type="character" w:customStyle="1" w:styleId="Added">
    <w:name w:val="Added"/>
    <w:basedOn w:val="DefaultParagraphFont"/>
    <w:rsid w:val="00854C23"/>
    <w:rPr>
      <w:b/>
      <w:bCs w:val="0"/>
      <w:u w:val="single"/>
    </w:rPr>
  </w:style>
  <w:style w:type="character" w:customStyle="1" w:styleId="Deleted">
    <w:name w:val="Deleted"/>
    <w:basedOn w:val="DefaultParagraphFont"/>
    <w:rsid w:val="00854C23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854C23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854C23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854C23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854C23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854C23"/>
  </w:style>
  <w:style w:type="paragraph" w:customStyle="1" w:styleId="ListNumber3Level4">
    <w:name w:val="List Number 3 (Level 4)"/>
    <w:basedOn w:val="Text3"/>
    <w:uiPriority w:val="99"/>
    <w:semiHidden/>
    <w:rsid w:val="00854C23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854C23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854C23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854C23"/>
    <w:rPr>
      <w:i/>
      <w:iCs/>
    </w:rPr>
  </w:style>
  <w:style w:type="paragraph" w:customStyle="1" w:styleId="Normal24a">
    <w:name w:val="Normal24a"/>
    <w:basedOn w:val="Normal"/>
    <w:rsid w:val="00854C23"/>
    <w:pPr>
      <w:spacing w:after="480"/>
    </w:pPr>
  </w:style>
  <w:style w:type="paragraph" w:customStyle="1" w:styleId="NormalBoldCenter">
    <w:name w:val="NormalBoldCenter"/>
    <w:basedOn w:val="Normal"/>
    <w:rsid w:val="00854C23"/>
    <w:pPr>
      <w:jc w:val="center"/>
    </w:pPr>
    <w:rPr>
      <w:b/>
    </w:rPr>
  </w:style>
  <w:style w:type="paragraph" w:customStyle="1" w:styleId="point10">
    <w:name w:val="point1"/>
    <w:basedOn w:val="Normal"/>
    <w:rsid w:val="00854C23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854C23"/>
    <w:pPr>
      <w:spacing w:after="240"/>
    </w:pPr>
  </w:style>
  <w:style w:type="paragraph" w:customStyle="1" w:styleId="Normal6a">
    <w:name w:val="Normal6a"/>
    <w:basedOn w:val="Normal"/>
    <w:rsid w:val="00854C23"/>
    <w:pPr>
      <w:spacing w:after="120"/>
    </w:pPr>
  </w:style>
  <w:style w:type="paragraph" w:customStyle="1" w:styleId="PageHeadingNotTOC">
    <w:name w:val="PageHeadingNotTOC"/>
    <w:basedOn w:val="Normal"/>
    <w:rsid w:val="00854C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854C23"/>
    <w:pPr>
      <w:spacing w:after="240"/>
    </w:pPr>
    <w:rPr>
      <w:i/>
    </w:rPr>
  </w:style>
  <w:style w:type="paragraph" w:customStyle="1" w:styleId="AmCrossRef">
    <w:name w:val="AmCrossRef"/>
    <w:basedOn w:val="Normal"/>
    <w:rsid w:val="00854C2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54C23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854C2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854C2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54C23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854C23"/>
    <w:pPr>
      <w:spacing w:before="240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854C23"/>
    <w:rPr>
      <w:noProof/>
      <w:sz w:val="24"/>
    </w:rPr>
  </w:style>
  <w:style w:type="paragraph" w:customStyle="1" w:styleId="Normal12">
    <w:name w:val="Normal12"/>
    <w:basedOn w:val="Normal"/>
    <w:link w:val="Normal12Char"/>
    <w:rsid w:val="00854C2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54C2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54C2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54C2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54C2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54C2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54C23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854C23"/>
    <w:pPr>
      <w:spacing w:after="120"/>
    </w:pPr>
  </w:style>
  <w:style w:type="paragraph" w:customStyle="1" w:styleId="Normal12Italic">
    <w:name w:val="Normal12Italic"/>
    <w:basedOn w:val="Normal12"/>
    <w:rsid w:val="00854C23"/>
    <w:rPr>
      <w:i/>
    </w:rPr>
  </w:style>
  <w:style w:type="paragraph" w:customStyle="1" w:styleId="JustificationTitle">
    <w:name w:val="JustificationTitle"/>
    <w:basedOn w:val="Normal"/>
    <w:next w:val="Normal12"/>
    <w:rsid w:val="00854C2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54C2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54C2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54C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54C23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854C23"/>
    <w:pPr>
      <w:jc w:val="center"/>
    </w:pPr>
    <w:rPr>
      <w:noProof w:val="0"/>
      <w:sz w:val="56"/>
    </w:rPr>
  </w:style>
  <w:style w:type="paragraph" w:customStyle="1" w:styleId="RollCallSymbols14pt">
    <w:name w:val="RollCallSymbols14pt"/>
    <w:basedOn w:val="Normal"/>
    <w:rsid w:val="00854C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54C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54C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54C23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204A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A84"/>
    <w:rPr>
      <w:sz w:val="24"/>
      <w:lang w:val="cs-CZ"/>
    </w:rPr>
  </w:style>
  <w:style w:type="paragraph" w:customStyle="1" w:styleId="AmDocTypeTab">
    <w:name w:val="AmDocTypeTab"/>
    <w:basedOn w:val="Normal"/>
    <w:rsid w:val="00527A4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27A48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27A48"/>
  </w:style>
  <w:style w:type="paragraph" w:styleId="ListBullet5">
    <w:name w:val="List Bullet 5"/>
    <w:basedOn w:val="Normal"/>
    <w:autoRedefine/>
    <w:rsid w:val="00527A4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527A48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527A4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27A4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527A48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27A4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27A4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27A4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527A48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527A4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527A4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27A4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527A4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527A4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527A4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527A4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527A48"/>
    <w:pPr>
      <w:spacing w:before="120"/>
    </w:pPr>
  </w:style>
  <w:style w:type="paragraph" w:customStyle="1" w:styleId="TitlePar3">
    <w:name w:val="TitlePar 3"/>
    <w:basedOn w:val="TitlePar2"/>
    <w:qFormat/>
    <w:rsid w:val="00527A48"/>
    <w:rPr>
      <w:b w:val="0"/>
      <w:i/>
    </w:rPr>
  </w:style>
  <w:style w:type="paragraph" w:customStyle="1" w:styleId="SubsectionTitle">
    <w:name w:val="SubsectionTitle"/>
    <w:basedOn w:val="SectionTitle"/>
    <w:qFormat/>
    <w:rsid w:val="00527A48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527A4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527A48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527A4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527A48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527A4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527A48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527A48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527A48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527A48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27A4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527A48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527A48"/>
    <w:pPr>
      <w:spacing w:line="360" w:lineRule="auto"/>
      <w:ind w:left="4253"/>
    </w:pPr>
  </w:style>
  <w:style w:type="numbering" w:customStyle="1" w:styleId="NoList11">
    <w:name w:val="No List11"/>
    <w:next w:val="NoList"/>
    <w:uiPriority w:val="99"/>
    <w:semiHidden/>
    <w:unhideWhenUsed/>
    <w:rsid w:val="00527A48"/>
  </w:style>
  <w:style w:type="paragraph" w:customStyle="1" w:styleId="HeadingDocType24a">
    <w:name w:val="HeadingDocType24a"/>
    <w:basedOn w:val="Normal"/>
    <w:rsid w:val="006834A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834A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834A1"/>
    <w:pPr>
      <w:jc w:val="center"/>
    </w:pPr>
  </w:style>
  <w:style w:type="paragraph" w:customStyle="1" w:styleId="LineSingle">
    <w:name w:val="LineSingle"/>
    <w:basedOn w:val="Normal"/>
    <w:next w:val="Normal"/>
    <w:rsid w:val="006834A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834A1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4A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83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0BF21-660E-42B2-A4A5-5761F44F4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571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2024-11-29T09:41:00Z</dcterms:created>
  <dcterms:modified xsi:type="dcterms:W3CDTF">2024-11-29T09:41:00Z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