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58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5881" w:rsidRDefault="000034DB" w:rsidP="0010095E">
            <w:pPr>
              <w:pStyle w:val="EPName"/>
            </w:pPr>
            <w:r w:rsidRPr="00FE5881">
              <w:t>Europski parlament</w:t>
            </w:r>
          </w:p>
          <w:p w:rsidR="00751A4A" w:rsidRPr="00FE58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588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E5881" w:rsidRDefault="00187494" w:rsidP="0010095E">
            <w:pPr>
              <w:pStyle w:val="EPLogo"/>
            </w:pPr>
            <w:r w:rsidRPr="00FE588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5881" w:rsidRDefault="00D058B8" w:rsidP="004C5D52">
      <w:pPr>
        <w:pStyle w:val="LineTop"/>
      </w:pPr>
    </w:p>
    <w:p w:rsidR="00680577" w:rsidRPr="00FE5881" w:rsidRDefault="000034DB" w:rsidP="00680577">
      <w:pPr>
        <w:pStyle w:val="EPBodyTA1"/>
      </w:pPr>
      <w:r w:rsidRPr="00FE5881">
        <w:t>USVOJENI TEKSTOVI</w:t>
      </w:r>
    </w:p>
    <w:p w:rsidR="00D058B8" w:rsidRPr="00FE5881" w:rsidRDefault="00D058B8" w:rsidP="00D058B8">
      <w:pPr>
        <w:pStyle w:val="LineBottom"/>
      </w:pPr>
    </w:p>
    <w:p w:rsidR="000034DB" w:rsidRPr="00FE5881" w:rsidRDefault="000034DB" w:rsidP="000034DB">
      <w:pPr>
        <w:pStyle w:val="ATHeading1"/>
      </w:pPr>
      <w:bookmarkStart w:id="0" w:name="TANumber"/>
      <w:r w:rsidRPr="00FE5881">
        <w:t>P9_TA(2024)0</w:t>
      </w:r>
      <w:r w:rsidR="00A449AC" w:rsidRPr="00FE5881">
        <w:t>130</w:t>
      </w:r>
      <w:bookmarkEnd w:id="0"/>
    </w:p>
    <w:p w:rsidR="000034DB" w:rsidRPr="00FE5881" w:rsidRDefault="00A44877" w:rsidP="000034DB">
      <w:pPr>
        <w:pStyle w:val="ATHeading2"/>
      </w:pPr>
      <w:bookmarkStart w:id="1" w:name="title"/>
      <w:r w:rsidRPr="00FE5881">
        <w:t>Akt o kibernetičkoj otpornosti</w:t>
      </w:r>
      <w:bookmarkEnd w:id="1"/>
    </w:p>
    <w:p w:rsidR="000034DB" w:rsidRPr="00FE5881" w:rsidRDefault="000034DB" w:rsidP="000034DB">
      <w:pPr>
        <w:rPr>
          <w:i/>
          <w:vanish/>
        </w:rPr>
      </w:pPr>
      <w:r w:rsidRPr="00FE5881">
        <w:rPr>
          <w:i/>
        </w:rPr>
        <w:fldChar w:fldCharType="begin"/>
      </w:r>
      <w:r w:rsidRPr="00FE5881">
        <w:rPr>
          <w:i/>
        </w:rPr>
        <w:instrText xml:space="preserve"> TC"(</w:instrText>
      </w:r>
      <w:bookmarkStart w:id="2" w:name="DocNumber"/>
      <w:r w:rsidRPr="00FE5881">
        <w:rPr>
          <w:i/>
        </w:rPr>
        <w:instrText>A9-0253/2023</w:instrText>
      </w:r>
      <w:bookmarkEnd w:id="2"/>
      <w:r w:rsidRPr="00FE5881">
        <w:rPr>
          <w:i/>
        </w:rPr>
        <w:instrText xml:space="preserve"> - Izvjestitelj: Nicola Danti)"\l3 \n&gt; \* MERGEFORMAT </w:instrText>
      </w:r>
      <w:r w:rsidRPr="00FE5881">
        <w:rPr>
          <w:i/>
        </w:rPr>
        <w:fldChar w:fldCharType="end"/>
      </w:r>
    </w:p>
    <w:p w:rsidR="000034DB" w:rsidRPr="00FE5881" w:rsidRDefault="000034DB" w:rsidP="000034DB">
      <w:pPr>
        <w:rPr>
          <w:vanish/>
        </w:rPr>
      </w:pPr>
      <w:bookmarkStart w:id="3" w:name="Commission"/>
      <w:r w:rsidRPr="00FE5881">
        <w:rPr>
          <w:vanish/>
        </w:rPr>
        <w:t>Odbor za industriju, istraživanje i energetiku</w:t>
      </w:r>
      <w:bookmarkEnd w:id="3"/>
    </w:p>
    <w:p w:rsidR="000034DB" w:rsidRPr="00FE5881" w:rsidRDefault="000034DB" w:rsidP="000034DB">
      <w:pPr>
        <w:rPr>
          <w:vanish/>
        </w:rPr>
      </w:pPr>
      <w:bookmarkStart w:id="4" w:name="PE"/>
      <w:r w:rsidRPr="00FE5881">
        <w:rPr>
          <w:vanish/>
        </w:rPr>
        <w:t>PE745.538</w:t>
      </w:r>
      <w:bookmarkEnd w:id="4"/>
    </w:p>
    <w:p w:rsidR="000034DB" w:rsidRPr="00FE5881" w:rsidRDefault="000034DB" w:rsidP="000034DB">
      <w:pPr>
        <w:pStyle w:val="ATHeading3"/>
      </w:pPr>
      <w:bookmarkStart w:id="5" w:name="Sujet"/>
      <w:r w:rsidRPr="00FE5881">
        <w:t>Zakonodavna rezolucija Europskog parlamenta od</w:t>
      </w:r>
      <w:r w:rsidR="00AA639D" w:rsidRPr="00FE5881">
        <w:t xml:space="preserve"> 1</w:t>
      </w:r>
      <w:r w:rsidR="00B45E9C" w:rsidRPr="00FE5881">
        <w:t>2</w:t>
      </w:r>
      <w:r w:rsidR="00AA639D" w:rsidRPr="00FE5881">
        <w:t>.</w:t>
      </w:r>
      <w:r w:rsidRPr="00FE5881">
        <w:t xml:space="preserve"> </w:t>
      </w:r>
      <w:r w:rsidR="00612B85" w:rsidRPr="00FE5881">
        <w:t>ožujka</w:t>
      </w:r>
      <w:r w:rsidRPr="00FE5881">
        <w:t xml:space="preserve"> 2024. o Prijedlogu uredbe Europskog parlamenta i Vijeća o horizontalnim kibersigurnosnim zahtjevima za proizvode s digitalnim elementima i o izmjeni Uredbe (EU) 2019/1020 </w:t>
      </w:r>
      <w:bookmarkStart w:id="6" w:name="References"/>
      <w:bookmarkEnd w:id="5"/>
      <w:r w:rsidRPr="00FE5881">
        <w:t>(COM(2022)0454 – C9-0308/2022 – 2022/0272(COD))</w:t>
      </w:r>
      <w:bookmarkEnd w:id="6"/>
    </w:p>
    <w:p w:rsidR="000034DB" w:rsidRPr="00FE5881" w:rsidRDefault="000034DB" w:rsidP="000034DB"/>
    <w:p w:rsidR="00A43299" w:rsidRPr="00FE5881" w:rsidRDefault="00A43299" w:rsidP="00A43299">
      <w:pPr>
        <w:pStyle w:val="NormalBold"/>
      </w:pPr>
      <w:bookmarkStart w:id="7" w:name="TextBodyBegin"/>
      <w:bookmarkEnd w:id="7"/>
      <w:r w:rsidRPr="00FE5881">
        <w:t>(Red</w:t>
      </w:r>
      <w:r w:rsidR="004F7FBA">
        <w:t>ovni</w:t>
      </w:r>
      <w:r w:rsidRPr="00FE5881">
        <w:t xml:space="preserve"> zakonodavni postupak: prvo čitanje)</w:t>
      </w:r>
    </w:p>
    <w:p w:rsidR="00A43299" w:rsidRPr="00FE5881" w:rsidRDefault="00A43299" w:rsidP="00A43299">
      <w:pPr>
        <w:pStyle w:val="EPComma"/>
      </w:pPr>
      <w:r w:rsidRPr="00FE5881">
        <w:rPr>
          <w:i/>
        </w:rPr>
        <w:t>Europski parlament</w:t>
      </w:r>
      <w:r w:rsidRPr="00FE5881">
        <w:t>,</w:t>
      </w:r>
    </w:p>
    <w:p w:rsidR="00A43299" w:rsidRPr="00FE5881" w:rsidRDefault="00A43299" w:rsidP="00A43299">
      <w:pPr>
        <w:pStyle w:val="NormalHanging12a"/>
      </w:pPr>
      <w:r w:rsidRPr="00FE5881">
        <w:t>–</w:t>
      </w:r>
      <w:r w:rsidRPr="00FE5881">
        <w:tab/>
        <w:t>uzimajući u obzir Prijedlog Komisije upućen Europskom parlamentu i Vijeću (COM(2022)0454),</w:t>
      </w:r>
    </w:p>
    <w:p w:rsidR="00A43299" w:rsidRPr="00FE5881" w:rsidRDefault="00A43299" w:rsidP="00A43299">
      <w:pPr>
        <w:pStyle w:val="NormalHanging12a"/>
      </w:pPr>
      <w:r w:rsidRPr="00FE5881">
        <w:t>–</w:t>
      </w:r>
      <w:r w:rsidRPr="00FE5881">
        <w:tab/>
        <w:t>uzimajući u obzir članak 294. stavak 2. i članak 114. Ugovora o funkcioniranju Europske unije, u skladu s kojima je Komisija podnijela Prijedlog Parlamentu (C9</w:t>
      </w:r>
      <w:r w:rsidRPr="00FE5881">
        <w:noBreakHyphen/>
        <w:t>0308/2022),</w:t>
      </w:r>
    </w:p>
    <w:p w:rsidR="00A43299" w:rsidRPr="00FE5881" w:rsidRDefault="00A43299" w:rsidP="00A43299">
      <w:pPr>
        <w:pStyle w:val="NormalHanging12a"/>
      </w:pPr>
      <w:r w:rsidRPr="00FE5881">
        <w:t>–</w:t>
      </w:r>
      <w:r w:rsidRPr="00FE5881">
        <w:tab/>
        <w:t>uzimajući u obzir članak 294. stavak 3. Ugovora o funkcioniranju Europske unije,</w:t>
      </w:r>
    </w:p>
    <w:p w:rsidR="00A43299" w:rsidRPr="00FE5881" w:rsidRDefault="00A43299" w:rsidP="00A43299">
      <w:pPr>
        <w:pStyle w:val="NormalHanging12a"/>
      </w:pPr>
      <w:r w:rsidRPr="00FE5881">
        <w:t>–</w:t>
      </w:r>
      <w:r w:rsidRPr="00FE5881">
        <w:tab/>
        <w:t>uzimajući u obzir mišljenje Europskoga gospodarskog i socijalnog odbora od 14. prosinca 2022.</w:t>
      </w:r>
      <w:r w:rsidRPr="00FE5881">
        <w:rPr>
          <w:rStyle w:val="FootnoteReference"/>
        </w:rPr>
        <w:footnoteReference w:id="1"/>
      </w:r>
      <w:r w:rsidRPr="00FE5881">
        <w:t>,</w:t>
      </w:r>
    </w:p>
    <w:p w:rsidR="00AA639D" w:rsidRPr="00FE5881" w:rsidRDefault="00AA639D" w:rsidP="00A43299">
      <w:pPr>
        <w:pStyle w:val="NormalHanging12a"/>
      </w:pPr>
      <w:r w:rsidRPr="00FE5881">
        <w:t>–</w:t>
      </w:r>
      <w:r w:rsidRPr="00FE5881">
        <w:tab/>
        <w:t>uzimajući u obzir privremeni sporazum koji je odobrio nadležni odbor u skladu s člankom 74. stavkom 4. Poslovnika te činjenicu da se predstavnik Vijeća pismom od 20. prosinca 2023. obvezao prihvatiti stajalište Europskog parlamenta u skladu s člankom 294. stavkom 4. Ugovora o funkcioniranju Europske unije,</w:t>
      </w:r>
    </w:p>
    <w:p w:rsidR="00A43299" w:rsidRPr="00FE5881" w:rsidRDefault="00A43299" w:rsidP="00A43299">
      <w:pPr>
        <w:pStyle w:val="NormalHanging12a"/>
      </w:pPr>
      <w:r w:rsidRPr="00FE5881">
        <w:t>–</w:t>
      </w:r>
      <w:r w:rsidRPr="00FE5881">
        <w:tab/>
        <w:t>uzimajući u obzir članak 59. Poslovnika,</w:t>
      </w:r>
    </w:p>
    <w:p w:rsidR="00A43299" w:rsidRPr="00FE5881" w:rsidRDefault="00A43299" w:rsidP="00A43299">
      <w:pPr>
        <w:pStyle w:val="NormalHanging12a"/>
      </w:pPr>
      <w:r w:rsidRPr="00FE5881">
        <w:t>–</w:t>
      </w:r>
      <w:r w:rsidRPr="00FE5881">
        <w:tab/>
        <w:t>uzimajući u obzir mišljenje Odbora za unutarnje tržište i zaštitu potrošača,</w:t>
      </w:r>
    </w:p>
    <w:p w:rsidR="00A43299" w:rsidRPr="00FE5881" w:rsidRDefault="00A43299" w:rsidP="00A43299">
      <w:pPr>
        <w:pStyle w:val="NormalHanging12a"/>
      </w:pPr>
      <w:r w:rsidRPr="00FE5881">
        <w:t>–</w:t>
      </w:r>
      <w:r w:rsidRPr="00FE5881">
        <w:tab/>
        <w:t>uzimajući u obzir izvješće Odbora za industriju, istraživanje i energetiku (A9-0253/2023),</w:t>
      </w:r>
    </w:p>
    <w:p w:rsidR="00A43299" w:rsidRPr="00FE5881" w:rsidRDefault="00A43299" w:rsidP="00A43299">
      <w:pPr>
        <w:pStyle w:val="NormalHanging12a"/>
      </w:pPr>
      <w:r w:rsidRPr="00FE5881">
        <w:lastRenderedPageBreak/>
        <w:t>1.</w:t>
      </w:r>
      <w:r w:rsidRPr="00FE5881">
        <w:tab/>
        <w:t>usvaja sljedeće stajalište u prvom čitanju;</w:t>
      </w:r>
    </w:p>
    <w:p w:rsidR="00A43299" w:rsidRPr="00FE5881" w:rsidRDefault="00A43299" w:rsidP="00A43299">
      <w:pPr>
        <w:pStyle w:val="NormalHanging12a"/>
      </w:pPr>
      <w:r w:rsidRPr="00FE5881">
        <w:t>2.</w:t>
      </w:r>
      <w:r w:rsidRPr="00FE5881">
        <w:tab/>
      </w:r>
      <w:r w:rsidR="00AA639D" w:rsidRPr="00FE5881">
        <w:t xml:space="preserve">prihvaća zajedničku izjavu Parlamenta, Vijeća i Komisije priloženu ovoj rezoluciji, koja će biti objavljena u seriji C </w:t>
      </w:r>
      <w:r w:rsidR="00AA639D" w:rsidRPr="00FE5881">
        <w:rPr>
          <w:i/>
        </w:rPr>
        <w:t>Službenog lista Europske unije</w:t>
      </w:r>
      <w:r w:rsidR="00AA639D" w:rsidRPr="00FE5881">
        <w:t>;</w:t>
      </w:r>
    </w:p>
    <w:p w:rsidR="00A43299" w:rsidRPr="00FE5881" w:rsidRDefault="00A43299" w:rsidP="00A43299">
      <w:pPr>
        <w:pStyle w:val="NormalHanging12a"/>
      </w:pPr>
      <w:r w:rsidRPr="00FE5881">
        <w:t>3.</w:t>
      </w:r>
      <w:r w:rsidRPr="00FE5881">
        <w:tab/>
        <w:t>poziva Komisiju da predmet ponovno uputi Parlamentu ako zamijeni, bitno izmijeni ili namjerava bitno izmijeniti svoj Prijedlog;</w:t>
      </w:r>
    </w:p>
    <w:p w:rsidR="00A43299" w:rsidRPr="00FE5881" w:rsidRDefault="00A43299" w:rsidP="00A43299">
      <w:pPr>
        <w:pStyle w:val="NormalHanging12a"/>
      </w:pPr>
      <w:r w:rsidRPr="00FE5881">
        <w:t>4.</w:t>
      </w:r>
      <w:r w:rsidRPr="00FE5881">
        <w:tab/>
        <w:t>nalaže svojoj predsjednici da stajalište Parlamenta proslijedi Vijeću, Komisiji i nacionalnim parlamentima.</w:t>
      </w:r>
    </w:p>
    <w:p w:rsidR="00FA6958" w:rsidRPr="00FE5881" w:rsidRDefault="00FA6958" w:rsidP="00A43299">
      <w:pPr>
        <w:pStyle w:val="AmNumberTabs"/>
        <w:keepNext/>
        <w:sectPr w:rsidR="00FA6958" w:rsidRPr="00FE5881" w:rsidSect="00B45E9C"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60"/>
        </w:sectPr>
      </w:pPr>
    </w:p>
    <w:p w:rsidR="00612B85" w:rsidRPr="00FE5881" w:rsidRDefault="00612B85" w:rsidP="00A43299">
      <w:pPr>
        <w:pStyle w:val="AmNumberTabs"/>
        <w:keepNext/>
      </w:pPr>
    </w:p>
    <w:p w:rsidR="00B45E9C" w:rsidRPr="00FE5881" w:rsidRDefault="00B45E9C" w:rsidP="00B45E9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FE5881">
        <w:rPr>
          <w:rFonts w:eastAsia="Calibri"/>
          <w:b/>
          <w:bCs/>
          <w:color w:val="000000"/>
          <w:szCs w:val="24"/>
        </w:rPr>
        <w:t>P9_TC1-COD(2022)0272</w:t>
      </w:r>
    </w:p>
    <w:p w:rsidR="00494B3A" w:rsidRPr="00E22D07" w:rsidRDefault="00B45E9C" w:rsidP="00494B3A">
      <w:pPr>
        <w:pStyle w:val="AmNumberTabs"/>
        <w:widowControl/>
        <w:spacing w:before="360"/>
        <w:rPr>
          <w:rFonts w:eastAsia="Calibri"/>
          <w:noProof/>
        </w:rPr>
      </w:pPr>
      <w:r w:rsidRPr="00BD179E">
        <w:t xml:space="preserve">Stajalište Europskog parlamenta usvojeno u prvom čitanju 12. ožujka 2024. radi donošenja Uredbe (EU) 2024/... Europskog parlamenta i Vijeća </w:t>
      </w:r>
      <w:r w:rsidR="00494B3A" w:rsidRPr="00BD179E">
        <w:rPr>
          <w:rFonts w:eastAsia="Calibri"/>
          <w:noProof/>
        </w:rPr>
        <w:t xml:space="preserve">o horizontalnim zahtjevima u pogledu kibernetičke sigurnosti za proizvode s digitalnim elementima i o izmjeni </w:t>
      </w:r>
      <w:r w:rsidR="00494B3A" w:rsidRPr="00E22D07">
        <w:rPr>
          <w:rFonts w:eastAsia="Calibri"/>
          <w:noProof/>
        </w:rPr>
        <w:t>uredbi (EU) br. 168/2013 i</w:t>
      </w:r>
      <w:r w:rsidR="00494B3A" w:rsidRPr="00BD179E">
        <w:rPr>
          <w:rFonts w:eastAsia="Calibri"/>
          <w:noProof/>
        </w:rPr>
        <w:t xml:space="preserve"> (EU) 2019/1020 </w:t>
      </w:r>
      <w:r w:rsidR="00494B3A" w:rsidRPr="00E22D07">
        <w:rPr>
          <w:rFonts w:eastAsia="Calibri"/>
          <w:noProof/>
        </w:rPr>
        <w:t>te Direktive (EU) 2020/1828 (Akt o kibernetičkoj otpornosti)</w:t>
      </w:r>
    </w:p>
    <w:p w:rsidR="00494B3A" w:rsidRPr="00494B3A" w:rsidRDefault="00494B3A" w:rsidP="00494B3A"/>
    <w:p w:rsidR="00E22D07" w:rsidRDefault="00E22D07" w:rsidP="00494B3A">
      <w:pPr>
        <w:widowControl/>
        <w:spacing w:before="240"/>
        <w:rPr>
          <w:rFonts w:eastAsiaTheme="minorHAnsi"/>
          <w:szCs w:val="24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konodavnom aktu, Uredbi (EU) 2024/2847.</w:t>
      </w:r>
      <w:r>
        <w:rPr>
          <w:i/>
        </w:rPr>
        <w:t>)</w:t>
      </w:r>
    </w:p>
    <w:p w:rsidR="00FA6958" w:rsidRPr="00FE5881" w:rsidRDefault="00FA6958" w:rsidP="00494B3A">
      <w:pPr>
        <w:widowControl/>
        <w:spacing w:before="240"/>
        <w:rPr>
          <w:rFonts w:eastAsiaTheme="minorHAnsi"/>
          <w:szCs w:val="24"/>
          <w:lang w:eastAsia="en-US"/>
        </w:rPr>
      </w:pPr>
      <w:r w:rsidRPr="00FE5881">
        <w:rPr>
          <w:rFonts w:eastAsiaTheme="minorHAnsi"/>
          <w:szCs w:val="24"/>
          <w:lang w:eastAsia="en-US"/>
        </w:rPr>
        <w:br w:type="page"/>
      </w:r>
    </w:p>
    <w:p w:rsidR="00B45E9C" w:rsidRPr="00FE5881" w:rsidRDefault="00161F50" w:rsidP="00A449AC">
      <w:pPr>
        <w:widowControl/>
        <w:spacing w:after="200" w:line="276" w:lineRule="auto"/>
        <w:jc w:val="right"/>
        <w:rPr>
          <w:rFonts w:eastAsiaTheme="minorHAnsi"/>
          <w:szCs w:val="24"/>
          <w:lang w:eastAsia="en-US"/>
        </w:rPr>
      </w:pPr>
      <w:r w:rsidRPr="00FE5881">
        <w:rPr>
          <w:rFonts w:eastAsiaTheme="minorHAnsi"/>
          <w:szCs w:val="24"/>
          <w:lang w:eastAsia="en-US"/>
        </w:rPr>
        <w:lastRenderedPageBreak/>
        <w:t>PRILOG ZAKONODAVNOJ REZOLUCIJI</w:t>
      </w:r>
    </w:p>
    <w:p w:rsidR="00161F50" w:rsidRPr="00E22D07" w:rsidRDefault="00161F50" w:rsidP="00161F50">
      <w:pPr>
        <w:widowControl/>
        <w:spacing w:before="120" w:after="120" w:line="360" w:lineRule="auto"/>
        <w:jc w:val="center"/>
        <w:rPr>
          <w:rFonts w:eastAsiaTheme="minorHAnsi"/>
          <w:i/>
          <w:sz w:val="23"/>
          <w:szCs w:val="23"/>
          <w:lang w:eastAsia="en-US"/>
        </w:rPr>
      </w:pPr>
      <w:r w:rsidRPr="00FE5881">
        <w:rPr>
          <w:rFonts w:eastAsiaTheme="minorHAnsi"/>
          <w:b/>
          <w:szCs w:val="22"/>
          <w:lang w:eastAsia="en-US"/>
        </w:rPr>
        <w:t>Zajednička politička izjava Europskog parlamenta, Vijeća i Komisije o resursima ENISA-e p</w:t>
      </w:r>
      <w:r w:rsidR="00E22D07">
        <w:rPr>
          <w:rFonts w:eastAsiaTheme="minorHAnsi"/>
          <w:b/>
          <w:szCs w:val="22"/>
          <w:lang w:eastAsia="en-US"/>
        </w:rPr>
        <w:t>ovodom donošenja Uredbe (EU) 2024/2847</w:t>
      </w:r>
      <w:r w:rsidRPr="00FE5881">
        <w:rPr>
          <w:rFonts w:eastAsiaTheme="minorHAnsi"/>
          <w:b/>
          <w:szCs w:val="22"/>
          <w:lang w:eastAsia="en-US"/>
        </w:rPr>
        <w:t xml:space="preserve"> Europskog parlamenta i Vijeća o horizontalnim zahtjevima u pogledu kibernetičke sigurnosti za proizvode s digitalnim elementima i o izmjeni Uredbe (EU) br. 168/2013, Uredbe (EU) 2019/1020 i Direktive (EU) 2020/1828 (Akt o kibernetičkoj otpornosti)</w:t>
      </w:r>
    </w:p>
    <w:p w:rsidR="00161F50" w:rsidRPr="00FE5881" w:rsidRDefault="00161F50" w:rsidP="00161F50">
      <w:pPr>
        <w:widowControl/>
        <w:spacing w:before="120" w:after="120" w:line="360" w:lineRule="auto"/>
        <w:rPr>
          <w:rFonts w:eastAsiaTheme="minorHAnsi"/>
          <w:szCs w:val="24"/>
          <w:lang w:eastAsia="en-US"/>
        </w:rPr>
      </w:pPr>
      <w:r w:rsidRPr="00FE5881">
        <w:rPr>
          <w:rFonts w:eastAsiaTheme="minorHAnsi"/>
          <w:szCs w:val="22"/>
          <w:lang w:eastAsia="en-US"/>
        </w:rPr>
        <w:t>Europski parlament i Vijeće smatraju da se ovom Uredbom ENISA-i dodjeljuju dodatne zadaće koje će rezultirati dodatnim radnim opterećenjem i koje iziskuju dodatne resurse, kako brojčano tako i u smislu stručnog znanja. U svjetlu navedenoga, kako bi se ENISA-i omogućilo učinkovito izvršavanje zadaća na temelju ove Uredbe, Europski parlament, Vijeće i Komisija smatraju da bi moglo biti potrebno povećati njezine resurse, posebno ljudske resurse, odgovarajućim stručnim znanjem. Spomenuto bi se povećanje moglo predvidjeti u godišnjem postupku povezanom s planom radnih mjesta ENISA-e. U skladu s time, Komisija, koja je odgovorna za unošenje u nacrt općeg proračuna Unije procjena koje smatra potrebnima za plan radnih mjesta ENISA-e, u okviru proračunskog postupka utvrđenog u članku 314. UFEU-a i u skladu s postupkom utvrđenim u Aktu o kibernetičkoj sigurnosti, evaluira procjene plana radnih mjesta ENISA-e unesene za prvu godinu nakon stupanja na snagu ove Uredbe s obzirom na potrebne resurse, posebno ljudske resurse, kako bi ENISA mogla na odgovarajući način obavljati svoje zadaće na temelju ove Uredbe.</w:t>
      </w:r>
    </w:p>
    <w:p w:rsidR="00E365E1" w:rsidRPr="00FE5881" w:rsidRDefault="00E365E1" w:rsidP="00B45E9C">
      <w:bookmarkStart w:id="9" w:name="_GoBack"/>
      <w:bookmarkEnd w:id="9"/>
    </w:p>
    <w:sectPr w:rsidR="00E365E1" w:rsidRPr="00FE5881" w:rsidSect="005835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B3A" w:rsidRPr="00583560" w:rsidRDefault="00494B3A">
      <w:r w:rsidRPr="00583560">
        <w:separator/>
      </w:r>
    </w:p>
  </w:endnote>
  <w:endnote w:type="continuationSeparator" w:id="0">
    <w:p w:rsidR="00494B3A" w:rsidRPr="00583560" w:rsidRDefault="00494B3A">
      <w:r w:rsidRPr="005835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3A" w:rsidRPr="00583560" w:rsidRDefault="00494B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3A" w:rsidRPr="00583560" w:rsidRDefault="00494B3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3A" w:rsidRPr="00583560" w:rsidRDefault="00494B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B3A" w:rsidRPr="00583560" w:rsidRDefault="00494B3A">
      <w:r w:rsidRPr="00583560">
        <w:separator/>
      </w:r>
    </w:p>
  </w:footnote>
  <w:footnote w:type="continuationSeparator" w:id="0">
    <w:p w:rsidR="00494B3A" w:rsidRPr="00583560" w:rsidRDefault="00494B3A">
      <w:r w:rsidRPr="00583560">
        <w:continuationSeparator/>
      </w:r>
    </w:p>
  </w:footnote>
  <w:footnote w:id="1">
    <w:p w:rsidR="00494B3A" w:rsidRPr="00583560" w:rsidRDefault="00494B3A" w:rsidP="00583560">
      <w:pPr>
        <w:pStyle w:val="FootnoteText"/>
        <w:ind w:left="567" w:hanging="567"/>
        <w:rPr>
          <w:sz w:val="24"/>
          <w:lang w:val="hr-HR"/>
        </w:rPr>
      </w:pPr>
      <w:r w:rsidRPr="00583560">
        <w:rPr>
          <w:rStyle w:val="FootnoteReference"/>
          <w:sz w:val="24"/>
          <w:lang w:val="hr-HR"/>
        </w:rPr>
        <w:footnoteRef/>
      </w:r>
      <w:r w:rsidRPr="00583560">
        <w:rPr>
          <w:sz w:val="24"/>
          <w:lang w:val="hr-HR"/>
        </w:rPr>
        <w:t xml:space="preserve"> </w:t>
      </w:r>
      <w:r w:rsidRPr="00583560">
        <w:rPr>
          <w:sz w:val="24"/>
          <w:lang w:val="hr-HR"/>
        </w:rPr>
        <w:tab/>
        <w:t>SL C 100, 16.3.2023., str. 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3A" w:rsidRPr="00583560" w:rsidRDefault="00494B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3A" w:rsidRPr="00583560" w:rsidRDefault="00494B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B3A" w:rsidRPr="00583560" w:rsidRDefault="00494B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08090015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2"/>
  </w:num>
  <w:num w:numId="3">
    <w:abstractNumId w:val="26"/>
  </w:num>
  <w:num w:numId="4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1"/>
  </w:num>
  <w:num w:numId="7">
    <w:abstractNumId w:val="22"/>
  </w:num>
  <w:num w:numId="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9"/>
  </w:num>
  <w:num w:numId="14">
    <w:abstractNumId w:val="18"/>
  </w:num>
  <w:num w:numId="15">
    <w:abstractNumId w:val="3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4"/>
  </w:num>
  <w:num w:numId="21">
    <w:abstractNumId w:val="28"/>
  </w:num>
  <w:num w:numId="22">
    <w:abstractNumId w:val="8"/>
  </w:num>
  <w:num w:numId="23">
    <w:abstractNumId w:val="15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4"/>
  </w:num>
  <w:num w:numId="30">
    <w:abstractNumId w:val="7"/>
  </w:num>
  <w:num w:numId="31">
    <w:abstractNumId w:val="21"/>
  </w:num>
  <w:num w:numId="32">
    <w:abstractNumId w:val="32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HR"/>
    <w:docVar w:name="dvnumam" w:val="201"/>
    <w:docVar w:name="dvpe" w:val="745.538"/>
    <w:docVar w:name="dvrapporteur" w:val="Izvjestitelj: "/>
    <w:docVar w:name="dvstar" w:val="***I"/>
    <w:docVar w:name="dvtitre" w:val="Zakonodavna rezolucija Europskog parlamenta od .... 2024. o Prijedlogu uredbe Europskog parlamenta i Vijeća o horizontalnim kibersigurnosnim zahtjevima za proizvode s digitalnim elementima i o izmjeni Uredbe (EU) 2019/1020 (COM(2022)0454 – C9-0308/2022 – 2022/0272(COD))"/>
  </w:docVars>
  <w:rsids>
    <w:rsidRoot w:val="000034DB"/>
    <w:rsid w:val="00002272"/>
    <w:rsid w:val="000034DB"/>
    <w:rsid w:val="00064002"/>
    <w:rsid w:val="000677B9"/>
    <w:rsid w:val="000831BA"/>
    <w:rsid w:val="000A42CC"/>
    <w:rsid w:val="000E7DD9"/>
    <w:rsid w:val="0010095E"/>
    <w:rsid w:val="00125B37"/>
    <w:rsid w:val="00161F5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4B3A"/>
    <w:rsid w:val="004C0004"/>
    <w:rsid w:val="004C5D52"/>
    <w:rsid w:val="004F7FBA"/>
    <w:rsid w:val="0050519A"/>
    <w:rsid w:val="005072A1"/>
    <w:rsid w:val="00514517"/>
    <w:rsid w:val="00545827"/>
    <w:rsid w:val="00560270"/>
    <w:rsid w:val="00583560"/>
    <w:rsid w:val="005C2568"/>
    <w:rsid w:val="006037C0"/>
    <w:rsid w:val="00612B8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29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44C"/>
    <w:rsid w:val="00A1687D"/>
    <w:rsid w:val="00A43299"/>
    <w:rsid w:val="00A43E52"/>
    <w:rsid w:val="00A44877"/>
    <w:rsid w:val="00A449AC"/>
    <w:rsid w:val="00A4678D"/>
    <w:rsid w:val="00A778C7"/>
    <w:rsid w:val="00AA639D"/>
    <w:rsid w:val="00AB441E"/>
    <w:rsid w:val="00AB6293"/>
    <w:rsid w:val="00AE0928"/>
    <w:rsid w:val="00AF3B82"/>
    <w:rsid w:val="00B12E95"/>
    <w:rsid w:val="00B22876"/>
    <w:rsid w:val="00B45E9C"/>
    <w:rsid w:val="00B558F0"/>
    <w:rsid w:val="00BD179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D0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958"/>
    <w:rsid w:val="00FB4360"/>
    <w:rsid w:val="00FD0C70"/>
    <w:rsid w:val="00FE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70C2A"/>
  <w15:chartTrackingRefBased/>
  <w15:docId w15:val="{2CD0AF1C-7D94-4A71-804F-D3528202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4329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29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29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29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4329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43299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A43299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A43299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A43299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4329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432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43299"/>
    <w:pPr>
      <w:spacing w:before="480" w:after="240"/>
    </w:pPr>
  </w:style>
  <w:style w:type="paragraph" w:customStyle="1" w:styleId="TOCPage">
    <w:name w:val="TOC Page"/>
    <w:basedOn w:val="Normal"/>
    <w:next w:val="TOC1"/>
    <w:rsid w:val="00A43299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432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4329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43299"/>
    <w:rPr>
      <w:b/>
      <w:sz w:val="24"/>
      <w:lang w:val="hr-HR"/>
    </w:rPr>
  </w:style>
  <w:style w:type="paragraph" w:customStyle="1" w:styleId="NormalBold12a">
    <w:name w:val="NormalBold12a"/>
    <w:basedOn w:val="Normal"/>
    <w:rsid w:val="00A4329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4329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43299"/>
    <w:pPr>
      <w:spacing w:after="480"/>
      <w:ind w:left="1417"/>
    </w:pPr>
  </w:style>
  <w:style w:type="paragraph" w:customStyle="1" w:styleId="CoverNormal">
    <w:name w:val="CoverNormal"/>
    <w:basedOn w:val="Normal"/>
    <w:rsid w:val="00A43299"/>
    <w:pPr>
      <w:ind w:left="1418"/>
    </w:pPr>
  </w:style>
  <w:style w:type="paragraph" w:customStyle="1" w:styleId="NormalCenter12a">
    <w:name w:val="NormalCenter12a"/>
    <w:basedOn w:val="Normal"/>
    <w:rsid w:val="00A43299"/>
    <w:pPr>
      <w:spacing w:after="240"/>
      <w:jc w:val="center"/>
    </w:pPr>
  </w:style>
  <w:style w:type="paragraph" w:customStyle="1" w:styleId="CoverReference">
    <w:name w:val="CoverReference"/>
    <w:basedOn w:val="Normal"/>
    <w:rsid w:val="00A4329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4329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4329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4329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432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3299"/>
    <w:rPr>
      <w:sz w:val="24"/>
      <w:lang w:val="hr-HR"/>
    </w:rPr>
  </w:style>
  <w:style w:type="paragraph" w:customStyle="1" w:styleId="AmNumberTabs">
    <w:name w:val="AmNumberTabs"/>
    <w:basedOn w:val="Normal"/>
    <w:rsid w:val="00A432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43299"/>
    <w:pPr>
      <w:spacing w:before="720" w:after="240"/>
      <w:jc w:val="center"/>
    </w:pPr>
  </w:style>
  <w:style w:type="paragraph" w:customStyle="1" w:styleId="EPBody">
    <w:name w:val="EPBody"/>
    <w:basedOn w:val="Normal"/>
    <w:rsid w:val="00A4329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432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4329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4329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43299"/>
    <w:rPr>
      <w:sz w:val="18"/>
    </w:rPr>
  </w:style>
  <w:style w:type="character" w:styleId="Hyperlink">
    <w:name w:val="Hyperlink"/>
    <w:unhideWhenUsed/>
    <w:qFormat/>
    <w:rsid w:val="00A43299"/>
    <w:rPr>
      <w:color w:val="0000FF"/>
      <w:u w:val="single"/>
    </w:rPr>
  </w:style>
  <w:style w:type="character" w:styleId="FollowedHyperlink">
    <w:name w:val="FollowedHyperlink"/>
    <w:unhideWhenUsed/>
    <w:rsid w:val="00A43299"/>
    <w:rPr>
      <w:color w:val="800080"/>
      <w:u w:val="single"/>
    </w:rPr>
  </w:style>
  <w:style w:type="paragraph" w:customStyle="1" w:styleId="Text1">
    <w:name w:val="Text 1"/>
    <w:basedOn w:val="Normal"/>
    <w:rsid w:val="00A4329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4329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A4329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4329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A43299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A43299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A43299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A43299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A43299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A43299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A43299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3299"/>
    <w:rPr>
      <w:lang w:val="hr-HR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A4329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A43299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A43299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A43299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A43299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A43299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A43299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A43299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A43299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A43299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A43299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A43299"/>
    <w:rPr>
      <w:rFonts w:eastAsiaTheme="minorHAnsi"/>
      <w:sz w:val="24"/>
      <w:szCs w:val="22"/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43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3299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A43299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299"/>
    <w:rPr>
      <w:rFonts w:ascii="Tahoma" w:hAnsi="Tahoma" w:cs="Tahoma"/>
      <w:sz w:val="16"/>
      <w:szCs w:val="16"/>
      <w:lang w:val="hr-HR"/>
    </w:rPr>
  </w:style>
  <w:style w:type="paragraph" w:styleId="Revision">
    <w:name w:val="Revision"/>
    <w:uiPriority w:val="99"/>
    <w:semiHidden/>
    <w:rsid w:val="00A43299"/>
    <w:pPr>
      <w:spacing w:after="200" w:line="276" w:lineRule="auto"/>
    </w:pPr>
    <w:rPr>
      <w:rFonts w:ascii="Calibri" w:eastAsia="Calibri" w:hAnsi="Calibri"/>
      <w:sz w:val="24"/>
      <w:szCs w:val="22"/>
      <w:lang w:val="hr-HR"/>
    </w:rPr>
  </w:style>
  <w:style w:type="paragraph" w:styleId="ListParagraph">
    <w:name w:val="List Paragraph"/>
    <w:aliases w:val="List Paragraph_Sections,1st level - Bullet List Paragraph,Lettre d'introduction,Paragrafo elenco,List Paragraph1,Medium Grid 1 - Accent 21,Bullet OFM,List Paragraph (numbered (a)),Bullet List,Normal bullet 2,Bullet list,Numbered List,EC"/>
    <w:basedOn w:val="Normal"/>
    <w:uiPriority w:val="34"/>
    <w:qFormat/>
    <w:rsid w:val="00A43299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A43299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A43299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A43299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A43299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43299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A43299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A43299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A43299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A43299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A43299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A43299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A43299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A43299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A43299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A43299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A43299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A4329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A4329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A4329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A43299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A4329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4329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4329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43299"/>
    <w:pPr>
      <w:spacing w:after="240"/>
    </w:pPr>
  </w:style>
  <w:style w:type="paragraph" w:customStyle="1" w:styleId="Languesfaisantfoi">
    <w:name w:val="Langues faisant foi"/>
    <w:basedOn w:val="Normal"/>
    <w:next w:val="Normal"/>
    <w:rsid w:val="00A4329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A43299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A43299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A4329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A4329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A4329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A4329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A4329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A4329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A43299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A43299"/>
  </w:style>
  <w:style w:type="character" w:customStyle="1" w:styleId="FooterCoverPageChar">
    <w:name w:val="Footer Cover Page Char"/>
    <w:link w:val="FooterCoverPage"/>
    <w:semiHidden/>
    <w:locked/>
    <w:rsid w:val="00A43299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A4329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A43299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A4329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A43299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A43299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A43299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A43299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A43299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A4329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A4329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r-HR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A43299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hr-HR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A43299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A4329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A43299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4329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A432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A43299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4329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A43299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A43299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A43299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A43299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A43299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43299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43299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4329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4329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A4329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4329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4329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43299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A43299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A43299"/>
    <w:pPr>
      <w:numPr>
        <w:numId w:val="19"/>
      </w:numPr>
    </w:pPr>
  </w:style>
  <w:style w:type="paragraph" w:customStyle="1" w:styleId="Tiret1">
    <w:name w:val="Tiret 1"/>
    <w:basedOn w:val="Point1"/>
    <w:rsid w:val="00A43299"/>
    <w:pPr>
      <w:numPr>
        <w:numId w:val="20"/>
      </w:numPr>
    </w:pPr>
  </w:style>
  <w:style w:type="paragraph" w:customStyle="1" w:styleId="Tiret2">
    <w:name w:val="Tiret 2"/>
    <w:basedOn w:val="Point2"/>
    <w:rsid w:val="00A43299"/>
    <w:pPr>
      <w:numPr>
        <w:numId w:val="21"/>
      </w:numPr>
    </w:pPr>
  </w:style>
  <w:style w:type="paragraph" w:customStyle="1" w:styleId="Tiret3">
    <w:name w:val="Tiret 3"/>
    <w:basedOn w:val="Point3"/>
    <w:rsid w:val="00A43299"/>
    <w:pPr>
      <w:numPr>
        <w:numId w:val="22"/>
      </w:numPr>
    </w:pPr>
  </w:style>
  <w:style w:type="paragraph" w:customStyle="1" w:styleId="Tiret4">
    <w:name w:val="Tiret 4"/>
    <w:basedOn w:val="Point4"/>
    <w:rsid w:val="00A43299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A43299"/>
    <w:pPr>
      <w:numPr>
        <w:numId w:val="24"/>
      </w:numPr>
    </w:pPr>
  </w:style>
  <w:style w:type="paragraph" w:customStyle="1" w:styleId="PointDouble0">
    <w:name w:val="PointDouble 0"/>
    <w:basedOn w:val="Normal"/>
    <w:rsid w:val="00A4329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4329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4329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4329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4329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4329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4329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4329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4329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4329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A43299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43299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43299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432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A4329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A4329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A43299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4329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4329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4329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4329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A4329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A4329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A4329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4329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4329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4329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4329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4329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A4329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A4329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A4329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43299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43299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43299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43299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A43299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43299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A43299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4329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43299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A43299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43299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43299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43299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43299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43299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43299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43299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43299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4329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4329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43299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4329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4329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43299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43299"/>
  </w:style>
  <w:style w:type="paragraph" w:customStyle="1" w:styleId="TitreobjetPagedecouverture">
    <w:name w:val="Titre objet (Page de couverture)"/>
    <w:basedOn w:val="Titreobjet"/>
    <w:next w:val="IntrtEEEPagedecouverture"/>
    <w:rsid w:val="00A43299"/>
  </w:style>
  <w:style w:type="paragraph" w:customStyle="1" w:styleId="IntrtEEEPagedecouverture">
    <w:name w:val="Intérêt EEE (Page de couverture)"/>
    <w:basedOn w:val="IntrtEEE"/>
    <w:next w:val="Rfrencecroise"/>
    <w:rsid w:val="00A43299"/>
  </w:style>
  <w:style w:type="paragraph" w:customStyle="1" w:styleId="Rfrencecroise">
    <w:name w:val="Référence croisée"/>
    <w:basedOn w:val="Normal"/>
    <w:rsid w:val="00A43299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43299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4329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4329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A4329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A43299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A4329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A4329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4329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4329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4329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4329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4329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4329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4329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43299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43299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A43299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43299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4329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4329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A4329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4329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4329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A4329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43299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43299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4329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4329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43299"/>
  </w:style>
  <w:style w:type="paragraph" w:customStyle="1" w:styleId="StatutPagedecouverture">
    <w:name w:val="Statut (Page de couverture)"/>
    <w:basedOn w:val="Statut"/>
    <w:next w:val="TypedudocumentPagedecouverture"/>
    <w:rsid w:val="00A43299"/>
  </w:style>
  <w:style w:type="paragraph" w:customStyle="1" w:styleId="Volume">
    <w:name w:val="Volume"/>
    <w:basedOn w:val="Normal"/>
    <w:next w:val="Confidentialit"/>
    <w:rsid w:val="00A4329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43299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A43299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43299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43299"/>
  </w:style>
  <w:style w:type="paragraph" w:customStyle="1" w:styleId="ObjetacteprincipalPagedecouverture">
    <w:name w:val="Objet acte principal (Page de couverture)"/>
    <w:basedOn w:val="Objetacteprincipal"/>
    <w:next w:val="Rfrencecroise"/>
    <w:rsid w:val="00A43299"/>
  </w:style>
  <w:style w:type="paragraph" w:customStyle="1" w:styleId="AccompagnantPagedecouverture">
    <w:name w:val="Accompagnant (Page de couverture)"/>
    <w:basedOn w:val="Accompagnant"/>
    <w:next w:val="TypeacteprincipalPagedecouverture"/>
    <w:rsid w:val="00A43299"/>
  </w:style>
  <w:style w:type="paragraph" w:customStyle="1" w:styleId="LanguesfaisantfoiPagedecouverture">
    <w:name w:val="Langues faisant foi (Page de couverture)"/>
    <w:basedOn w:val="Normal"/>
    <w:next w:val="Normal"/>
    <w:rsid w:val="00A4329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uiPriority w:val="99"/>
    <w:unhideWhenUsed/>
    <w:rsid w:val="00A43299"/>
    <w:rPr>
      <w:rFonts w:ascii="Times New Roman" w:hAnsi="Times New Roman" w:cs="Times New Roman" w:hint="default"/>
      <w:sz w:val="16"/>
      <w:szCs w:val="16"/>
    </w:rPr>
  </w:style>
  <w:style w:type="character" w:customStyle="1" w:styleId="tw4winMark">
    <w:name w:val="tw4winMark"/>
    <w:rsid w:val="00A43299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A43299"/>
    <w:rPr>
      <w:rFonts w:ascii="Times New Roman" w:hAnsi="Times New Roman" w:cs="Times New Roman" w:hint="default"/>
      <w:b/>
      <w:bCs w:val="0"/>
      <w:sz w:val="28"/>
      <w:lang w:val="hr-HR"/>
    </w:rPr>
  </w:style>
  <w:style w:type="character" w:customStyle="1" w:styleId="num">
    <w:name w:val="num"/>
    <w:basedOn w:val="DefaultParagraphFont"/>
    <w:rsid w:val="00A43299"/>
  </w:style>
  <w:style w:type="character" w:customStyle="1" w:styleId="Hyperlink1">
    <w:name w:val="Hyperlink1"/>
    <w:basedOn w:val="DefaultParagraphFont"/>
    <w:uiPriority w:val="99"/>
    <w:qFormat/>
    <w:rsid w:val="00A43299"/>
    <w:rPr>
      <w:color w:val="0000FF"/>
      <w:u w:val="single"/>
    </w:rPr>
  </w:style>
  <w:style w:type="character" w:customStyle="1" w:styleId="oj-italic">
    <w:name w:val="oj-italic"/>
    <w:basedOn w:val="DefaultParagraphFont"/>
    <w:rsid w:val="00A43299"/>
  </w:style>
  <w:style w:type="character" w:customStyle="1" w:styleId="super">
    <w:name w:val="super"/>
    <w:basedOn w:val="DefaultParagraphFont"/>
    <w:rsid w:val="00A43299"/>
  </w:style>
  <w:style w:type="character" w:customStyle="1" w:styleId="CommentTextChar1">
    <w:name w:val="Comment Text Char1"/>
    <w:basedOn w:val="DefaultParagraphFont"/>
    <w:uiPriority w:val="99"/>
    <w:locked/>
    <w:rsid w:val="00A43299"/>
    <w:rPr>
      <w:rFonts w:ascii="Times New Roman" w:eastAsia="Calibri" w:hAnsi="Times New Roman" w:cs="Times New Roman" w:hint="default"/>
      <w:sz w:val="20"/>
      <w:szCs w:val="20"/>
      <w:lang w:val="hr-HR"/>
    </w:rPr>
  </w:style>
  <w:style w:type="character" w:customStyle="1" w:styleId="markedcontent">
    <w:name w:val="markedcontent"/>
    <w:basedOn w:val="DefaultParagraphFont"/>
    <w:rsid w:val="00A43299"/>
  </w:style>
  <w:style w:type="character" w:customStyle="1" w:styleId="tw4winError">
    <w:name w:val="tw4winError"/>
    <w:rsid w:val="00A43299"/>
    <w:rPr>
      <w:color w:val="00FF00"/>
      <w:sz w:val="40"/>
      <w:lang w:val="hr-HR" w:eastAsia="en-GB"/>
    </w:rPr>
  </w:style>
  <w:style w:type="character" w:customStyle="1" w:styleId="tw4winTerm">
    <w:name w:val="tw4winTerm"/>
    <w:rsid w:val="00A43299"/>
    <w:rPr>
      <w:color w:val="0000FF"/>
      <w:lang w:val="hr-HR" w:eastAsia="en-GB"/>
    </w:rPr>
  </w:style>
  <w:style w:type="character" w:customStyle="1" w:styleId="tw4winPopup">
    <w:name w:val="tw4winPopup"/>
    <w:rsid w:val="00A43299"/>
    <w:rPr>
      <w:noProof/>
      <w:color w:val="008000"/>
      <w:lang w:val="hr-HR" w:eastAsia="en-GB"/>
    </w:rPr>
  </w:style>
  <w:style w:type="character" w:customStyle="1" w:styleId="tw4winJump">
    <w:name w:val="tw4winJump"/>
    <w:rsid w:val="00A43299"/>
    <w:rPr>
      <w:noProof/>
      <w:color w:val="008080"/>
      <w:lang w:val="hr-HR" w:eastAsia="en-GB"/>
    </w:rPr>
  </w:style>
  <w:style w:type="character" w:customStyle="1" w:styleId="tw4winExternal">
    <w:name w:val="tw4winExternal"/>
    <w:rsid w:val="00A43299"/>
    <w:rPr>
      <w:noProof/>
      <w:color w:val="808080"/>
      <w:lang w:val="hr-HR" w:eastAsia="en-GB"/>
    </w:rPr>
  </w:style>
  <w:style w:type="character" w:customStyle="1" w:styleId="tw4winInternal">
    <w:name w:val="tw4winInternal"/>
    <w:rsid w:val="00A43299"/>
    <w:rPr>
      <w:noProof/>
      <w:color w:val="FF0000"/>
      <w:lang w:val="hr-HR" w:eastAsia="en-GB"/>
    </w:rPr>
  </w:style>
  <w:style w:type="character" w:customStyle="1" w:styleId="DONOTTRANSLATE">
    <w:name w:val="DO_NOT_TRANSLATE"/>
    <w:rsid w:val="00A43299"/>
    <w:rPr>
      <w:noProof/>
      <w:color w:val="800000"/>
      <w:lang w:val="hr-HR" w:eastAsia="en-GB"/>
    </w:rPr>
  </w:style>
  <w:style w:type="character" w:customStyle="1" w:styleId="Marker">
    <w:name w:val="Marker"/>
    <w:basedOn w:val="DefaultParagraphFont"/>
    <w:rsid w:val="00A43299"/>
    <w:rPr>
      <w:color w:val="0000FF"/>
    </w:rPr>
  </w:style>
  <w:style w:type="character" w:customStyle="1" w:styleId="Marker1">
    <w:name w:val="Marker1"/>
    <w:basedOn w:val="DefaultParagraphFont"/>
    <w:rsid w:val="00A43299"/>
    <w:rPr>
      <w:color w:val="008000"/>
    </w:rPr>
  </w:style>
  <w:style w:type="character" w:customStyle="1" w:styleId="Marker2">
    <w:name w:val="Marker2"/>
    <w:basedOn w:val="DefaultParagraphFont"/>
    <w:rsid w:val="00A43299"/>
    <w:rPr>
      <w:color w:val="FF0000"/>
    </w:rPr>
  </w:style>
  <w:style w:type="character" w:customStyle="1" w:styleId="Added">
    <w:name w:val="Added"/>
    <w:basedOn w:val="DefaultParagraphFont"/>
    <w:rsid w:val="00A43299"/>
    <w:rPr>
      <w:b/>
      <w:bCs w:val="0"/>
      <w:u w:val="single"/>
    </w:rPr>
  </w:style>
  <w:style w:type="character" w:customStyle="1" w:styleId="Deleted">
    <w:name w:val="Deleted"/>
    <w:basedOn w:val="DefaultParagraphFont"/>
    <w:rsid w:val="00A43299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A4329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A4329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A43299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A43299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A43299"/>
  </w:style>
  <w:style w:type="paragraph" w:customStyle="1" w:styleId="ListNumber3Level4">
    <w:name w:val="List Number 3 (Level 4)"/>
    <w:basedOn w:val="Text3"/>
    <w:uiPriority w:val="99"/>
    <w:semiHidden/>
    <w:rsid w:val="00A43299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A43299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A43299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A43299"/>
    <w:rPr>
      <w:i/>
      <w:iCs/>
    </w:rPr>
  </w:style>
  <w:style w:type="paragraph" w:customStyle="1" w:styleId="Normal24a">
    <w:name w:val="Normal24a"/>
    <w:basedOn w:val="Normal"/>
    <w:rsid w:val="00A43299"/>
    <w:pPr>
      <w:spacing w:after="480"/>
    </w:pPr>
  </w:style>
  <w:style w:type="paragraph" w:customStyle="1" w:styleId="NormalBoldCenter">
    <w:name w:val="NormalBoldCenter"/>
    <w:basedOn w:val="Normal"/>
    <w:rsid w:val="00A43299"/>
    <w:pPr>
      <w:jc w:val="center"/>
    </w:pPr>
    <w:rPr>
      <w:b/>
    </w:rPr>
  </w:style>
  <w:style w:type="paragraph" w:customStyle="1" w:styleId="point10">
    <w:name w:val="point1"/>
    <w:basedOn w:val="Normal"/>
    <w:rsid w:val="00A43299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A43299"/>
    <w:pPr>
      <w:spacing w:after="240"/>
    </w:pPr>
  </w:style>
  <w:style w:type="paragraph" w:customStyle="1" w:styleId="Normal6a">
    <w:name w:val="Normal6a"/>
    <w:basedOn w:val="Normal"/>
    <w:rsid w:val="00A43299"/>
    <w:pPr>
      <w:spacing w:after="120"/>
    </w:pPr>
  </w:style>
  <w:style w:type="paragraph" w:customStyle="1" w:styleId="PageHeadingNotTOC">
    <w:name w:val="PageHeadingNotTOC"/>
    <w:basedOn w:val="Normal"/>
    <w:rsid w:val="00A432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A43299"/>
    <w:pPr>
      <w:spacing w:after="240"/>
    </w:pPr>
    <w:rPr>
      <w:i/>
    </w:rPr>
  </w:style>
  <w:style w:type="paragraph" w:customStyle="1" w:styleId="AmCrossRef">
    <w:name w:val="AmCrossRef"/>
    <w:basedOn w:val="Normal"/>
    <w:rsid w:val="00A4329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43299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A4329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A4329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43299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A43299"/>
    <w:pPr>
      <w:spacing w:before="240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A43299"/>
    <w:rPr>
      <w:noProof/>
      <w:sz w:val="24"/>
    </w:rPr>
  </w:style>
  <w:style w:type="paragraph" w:customStyle="1" w:styleId="Normal12">
    <w:name w:val="Normal12"/>
    <w:basedOn w:val="Normal"/>
    <w:link w:val="Normal12Char"/>
    <w:rsid w:val="00A4329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4329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4329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4329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4329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4329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43299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A43299"/>
    <w:pPr>
      <w:spacing w:after="120"/>
    </w:pPr>
  </w:style>
  <w:style w:type="paragraph" w:customStyle="1" w:styleId="Normal12Italic">
    <w:name w:val="Normal12Italic"/>
    <w:basedOn w:val="Normal12"/>
    <w:rsid w:val="00A43299"/>
    <w:rPr>
      <w:i/>
    </w:rPr>
  </w:style>
  <w:style w:type="paragraph" w:customStyle="1" w:styleId="JustificationTitle">
    <w:name w:val="JustificationTitle"/>
    <w:basedOn w:val="Normal"/>
    <w:next w:val="Normal12"/>
    <w:rsid w:val="00A4329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4329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4329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432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43299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A43299"/>
    <w:pPr>
      <w:jc w:val="center"/>
    </w:pPr>
    <w:rPr>
      <w:noProof w:val="0"/>
      <w:sz w:val="56"/>
    </w:rPr>
  </w:style>
  <w:style w:type="paragraph" w:customStyle="1" w:styleId="RollCallSymbols14pt">
    <w:name w:val="RollCallSymbols14pt"/>
    <w:basedOn w:val="Normal"/>
    <w:rsid w:val="00A4329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4329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4329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43299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A432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299"/>
    <w:rPr>
      <w:sz w:val="24"/>
      <w:lang w:val="hr-HR"/>
    </w:rPr>
  </w:style>
  <w:style w:type="paragraph" w:customStyle="1" w:styleId="AmDocTypeTab">
    <w:name w:val="AmDocTypeTab"/>
    <w:basedOn w:val="Normal"/>
    <w:rsid w:val="00B45E9C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B45E9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45E9C"/>
  </w:style>
  <w:style w:type="paragraph" w:styleId="ListBullet5">
    <w:name w:val="List Bullet 5"/>
    <w:basedOn w:val="Normal"/>
    <w:autoRedefine/>
    <w:rsid w:val="00B45E9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B45E9C"/>
    <w:pPr>
      <w:spacing w:before="120" w:after="120" w:line="360" w:lineRule="auto"/>
      <w:jc w:val="both"/>
    </w:pPr>
    <w:rPr>
      <w:rFonts w:eastAsiaTheme="minorHAnsi"/>
      <w:sz w:val="24"/>
      <w:szCs w:val="22"/>
      <w:lang w:val="hr-HR" w:eastAsia="en-US"/>
    </w:rPr>
  </w:style>
  <w:style w:type="character" w:customStyle="1" w:styleId="Footer2">
    <w:name w:val="Footer2"/>
    <w:uiPriority w:val="1"/>
    <w:qFormat/>
    <w:rsid w:val="00B45E9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B45E9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B45E9C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B45E9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B45E9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45E9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B45E9C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B45E9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45E9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45E9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B45E9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B45E9C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B45E9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B45E9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B45E9C"/>
    <w:pPr>
      <w:spacing w:before="120"/>
    </w:pPr>
  </w:style>
  <w:style w:type="paragraph" w:customStyle="1" w:styleId="TitlePar3">
    <w:name w:val="TitlePar 3"/>
    <w:basedOn w:val="TitlePar2"/>
    <w:qFormat/>
    <w:rsid w:val="00B45E9C"/>
    <w:rPr>
      <w:b w:val="0"/>
      <w:i/>
    </w:rPr>
  </w:style>
  <w:style w:type="paragraph" w:customStyle="1" w:styleId="SubsectionTitle">
    <w:name w:val="SubsectionTitle"/>
    <w:basedOn w:val="SectionTitle"/>
    <w:qFormat/>
    <w:rsid w:val="00B45E9C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B45E9C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B45E9C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B45E9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B45E9C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B45E9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B45E9C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B45E9C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B45E9C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B45E9C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B45E9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B45E9C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B45E9C"/>
    <w:pPr>
      <w:spacing w:line="360" w:lineRule="auto"/>
      <w:ind w:left="4253"/>
    </w:pPr>
  </w:style>
  <w:style w:type="numbering" w:customStyle="1" w:styleId="NoList11">
    <w:name w:val="No List11"/>
    <w:next w:val="NoList"/>
    <w:uiPriority w:val="99"/>
    <w:semiHidden/>
    <w:unhideWhenUsed/>
    <w:rsid w:val="00B45E9C"/>
  </w:style>
  <w:style w:type="paragraph" w:customStyle="1" w:styleId="HeadingDocType24a">
    <w:name w:val="HeadingDocType24a"/>
    <w:basedOn w:val="Normal"/>
    <w:rsid w:val="00494B3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494B3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494B3A"/>
    <w:pPr>
      <w:jc w:val="center"/>
    </w:pPr>
  </w:style>
  <w:style w:type="paragraph" w:customStyle="1" w:styleId="LineSingle">
    <w:name w:val="LineSingle"/>
    <w:basedOn w:val="Normal"/>
    <w:next w:val="Normal"/>
    <w:rsid w:val="00494B3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494B3A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3F25D-02A5-4D3B-81E2-96CD5A92E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2024-12-04T15:08:00Z</dcterms:created>
  <dcterms:modified xsi:type="dcterms:W3CDTF">2024-12-04T15:08:00Z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