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4B4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94B44" w:rsidRDefault="002115FE" w:rsidP="0010095E">
            <w:pPr>
              <w:pStyle w:val="EPName"/>
            </w:pPr>
            <w:r w:rsidRPr="00194B44">
              <w:t>Parlament Ewropew</w:t>
            </w:r>
          </w:p>
          <w:p w:rsidR="00751A4A" w:rsidRPr="00194B4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4B4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94B44" w:rsidRDefault="00187494" w:rsidP="0010095E">
            <w:pPr>
              <w:pStyle w:val="EPLogo"/>
            </w:pPr>
            <w:r w:rsidRPr="00194B4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94B44" w:rsidRDefault="00D058B8" w:rsidP="004C5D52">
      <w:pPr>
        <w:pStyle w:val="LineTop"/>
      </w:pPr>
    </w:p>
    <w:p w:rsidR="00680577" w:rsidRPr="00194B44" w:rsidRDefault="002115FE" w:rsidP="00680577">
      <w:pPr>
        <w:pStyle w:val="EPBodyTA1"/>
      </w:pPr>
      <w:r w:rsidRPr="00194B44">
        <w:t>TESTI ADOTTATI</w:t>
      </w:r>
    </w:p>
    <w:p w:rsidR="00D058B8" w:rsidRPr="00194B44" w:rsidRDefault="00D058B8" w:rsidP="00D058B8">
      <w:pPr>
        <w:pStyle w:val="LineBottom"/>
      </w:pPr>
    </w:p>
    <w:p w:rsidR="002115FE" w:rsidRPr="00194B44" w:rsidRDefault="002115FE" w:rsidP="002115FE">
      <w:pPr>
        <w:pStyle w:val="ATHeading1"/>
      </w:pPr>
      <w:bookmarkStart w:id="0" w:name="TANumber"/>
      <w:r w:rsidRPr="00194B44">
        <w:t>P9_TA(2024)0</w:t>
      </w:r>
      <w:bookmarkEnd w:id="0"/>
      <w:r w:rsidR="006F20A2" w:rsidRPr="00194B44">
        <w:t>130</w:t>
      </w:r>
    </w:p>
    <w:p w:rsidR="002115FE" w:rsidRPr="00194B44" w:rsidRDefault="00A101BA" w:rsidP="00FA00CA">
      <w:pPr>
        <w:pStyle w:val="ATHeading2"/>
      </w:pPr>
      <w:r w:rsidRPr="00194B44">
        <w:rPr>
          <w:bCs/>
        </w:rPr>
        <w:t>Att dwar ir-Reżiljenza Ċibernetika</w:t>
      </w:r>
    </w:p>
    <w:p w:rsidR="002115FE" w:rsidRPr="00194B44" w:rsidRDefault="002115FE" w:rsidP="002115FE">
      <w:pPr>
        <w:rPr>
          <w:i/>
          <w:vanish/>
        </w:rPr>
      </w:pPr>
      <w:r w:rsidRPr="00194B44">
        <w:rPr>
          <w:i/>
        </w:rPr>
        <w:fldChar w:fldCharType="begin"/>
      </w:r>
      <w:r w:rsidRPr="00194B44">
        <w:rPr>
          <w:i/>
        </w:rPr>
        <w:instrText xml:space="preserve"> TC"(</w:instrText>
      </w:r>
      <w:bookmarkStart w:id="1" w:name="DocNumber"/>
      <w:r w:rsidRPr="00194B44">
        <w:rPr>
          <w:i/>
        </w:rPr>
        <w:instrText>A9-0253/2023</w:instrText>
      </w:r>
      <w:bookmarkEnd w:id="1"/>
      <w:r w:rsidRPr="00194B44">
        <w:rPr>
          <w:i/>
        </w:rPr>
        <w:instrText xml:space="preserve"> - Rapporteur: Nicola Danti)"\l3 \n&gt; \* MERGEFORMAT </w:instrText>
      </w:r>
      <w:r w:rsidRPr="00194B44">
        <w:rPr>
          <w:i/>
        </w:rPr>
        <w:fldChar w:fldCharType="end"/>
      </w:r>
    </w:p>
    <w:p w:rsidR="002115FE" w:rsidRPr="00194B44" w:rsidRDefault="002115FE" w:rsidP="002115FE">
      <w:pPr>
        <w:rPr>
          <w:vanish/>
        </w:rPr>
      </w:pPr>
      <w:bookmarkStart w:id="2" w:name="Commission"/>
      <w:r w:rsidRPr="00194B44">
        <w:rPr>
          <w:vanish/>
        </w:rPr>
        <w:t>Kumitat għall-Industrija, ir-Riċerka u l-Enerġija</w:t>
      </w:r>
      <w:bookmarkEnd w:id="2"/>
    </w:p>
    <w:p w:rsidR="002115FE" w:rsidRPr="00194B44" w:rsidRDefault="002115FE" w:rsidP="002115FE">
      <w:pPr>
        <w:rPr>
          <w:vanish/>
        </w:rPr>
      </w:pPr>
      <w:bookmarkStart w:id="3" w:name="PE"/>
      <w:r w:rsidRPr="00194B44">
        <w:rPr>
          <w:vanish/>
        </w:rPr>
        <w:t>PE745.538</w:t>
      </w:r>
      <w:bookmarkEnd w:id="3"/>
    </w:p>
    <w:p w:rsidR="002115FE" w:rsidRPr="00194B44" w:rsidRDefault="002115FE" w:rsidP="002115FE">
      <w:pPr>
        <w:pStyle w:val="ATHeading3"/>
      </w:pPr>
      <w:bookmarkStart w:id="4" w:name="Sujet"/>
      <w:r w:rsidRPr="00194B44">
        <w:t>Riżoluzzjoni leġiżlattiva tal-Parlament Ewropew tat-12 ta' Marzu 2024 dwar il-proposta għal regolament tal-Parlament Ewropew u tal-Kunsill dwar ir-rekwiżiti orizzontali taċ-ċibersigurtà għall-prodotti b’elementi diġitali u li jemenda r-Regolament (UE) 2019/1020</w:t>
      </w:r>
      <w:bookmarkEnd w:id="4"/>
      <w:r w:rsidRPr="00194B44">
        <w:t xml:space="preserve"> </w:t>
      </w:r>
      <w:bookmarkStart w:id="5" w:name="References"/>
      <w:r w:rsidRPr="00194B44">
        <w:t>(COM(2022)0454 – C9-0308/2022 – 2022/0272(COD))</w:t>
      </w:r>
      <w:bookmarkEnd w:id="5"/>
    </w:p>
    <w:p w:rsidR="005303B1" w:rsidRPr="00194B44" w:rsidRDefault="005303B1" w:rsidP="006A1B9D">
      <w:pPr>
        <w:pStyle w:val="NormalBold"/>
        <w:spacing w:before="240"/>
      </w:pPr>
      <w:bookmarkStart w:id="6" w:name="TextBodyBegin"/>
      <w:bookmarkEnd w:id="6"/>
      <w:r w:rsidRPr="00194B44">
        <w:t>(Proċedura leġiżlattiva ordinarja: l-ewwel qari)</w:t>
      </w:r>
    </w:p>
    <w:p w:rsidR="005303B1" w:rsidRPr="00194B44" w:rsidRDefault="005303B1" w:rsidP="005303B1">
      <w:pPr>
        <w:pStyle w:val="EPComma"/>
      </w:pPr>
      <w:r w:rsidRPr="00194B44">
        <w:rPr>
          <w:i/>
        </w:rPr>
        <w:t>Il-Parlament Ewropew</w:t>
      </w:r>
      <w:r w:rsidRPr="00194B44">
        <w:t>,</w:t>
      </w:r>
    </w:p>
    <w:p w:rsidR="005303B1" w:rsidRPr="00194B44" w:rsidRDefault="005303B1" w:rsidP="005303B1">
      <w:pPr>
        <w:pStyle w:val="NormalHanging12a"/>
      </w:pPr>
      <w:r w:rsidRPr="00194B44">
        <w:t>–</w:t>
      </w:r>
      <w:r w:rsidRPr="00194B44">
        <w:tab/>
        <w:t>wara li kkunsidra l-proposta tal-Kummissjoni lill-Parlament Ewropew u lill-Kunsill (COM(2022)0454),</w:t>
      </w:r>
    </w:p>
    <w:p w:rsidR="005303B1" w:rsidRPr="00194B44" w:rsidRDefault="005303B1" w:rsidP="005303B1">
      <w:pPr>
        <w:pStyle w:val="NormalHanging12a"/>
      </w:pPr>
      <w:r w:rsidRPr="00194B44">
        <w:t>–</w:t>
      </w:r>
      <w:r w:rsidRPr="00194B44">
        <w:tab/>
        <w:t>wara li kkunsidra l-Artikolu 294(2) u l-Artikolu 114 tat-Trattat dwar il-Funzjonament tal-Unjoni Ewropea, skont liema artikoli l-Kummissjoni ppreżentat il-proposta lill-Parlament (C9</w:t>
      </w:r>
      <w:r w:rsidRPr="00194B44">
        <w:noBreakHyphen/>
        <w:t>0308/2022),</w:t>
      </w:r>
    </w:p>
    <w:p w:rsidR="005303B1" w:rsidRPr="00194B44" w:rsidRDefault="005303B1" w:rsidP="005303B1">
      <w:pPr>
        <w:pStyle w:val="NormalHanging12a"/>
      </w:pPr>
      <w:r w:rsidRPr="00194B44">
        <w:t>–</w:t>
      </w:r>
      <w:r w:rsidRPr="00194B44">
        <w:tab/>
        <w:t>wara li kkunsidra l-Artikolu 294(3) tat-Trattat dwar il-Funzjonament tal-Unjoni Ewropea,</w:t>
      </w:r>
    </w:p>
    <w:p w:rsidR="005303B1" w:rsidRPr="00194B44" w:rsidRDefault="005303B1" w:rsidP="005303B1">
      <w:pPr>
        <w:pStyle w:val="NormalHanging12a"/>
      </w:pPr>
      <w:r w:rsidRPr="00194B44">
        <w:t>–</w:t>
      </w:r>
      <w:r w:rsidRPr="00194B44">
        <w:tab/>
        <w:t>wara li kkunsidra l-opinjoni tal-Kumitat Ekonomiku u Soċjali Ewropew tal-14 ta’ Diċembru 2022</w:t>
      </w:r>
      <w:r w:rsidRPr="00194B44">
        <w:rPr>
          <w:rStyle w:val="FootnoteReference"/>
        </w:rPr>
        <w:footnoteReference w:id="1"/>
      </w:r>
      <w:r w:rsidRPr="00194B44">
        <w:t>,</w:t>
      </w:r>
    </w:p>
    <w:p w:rsidR="006A1B9D" w:rsidRPr="00194B44" w:rsidRDefault="006A1B9D" w:rsidP="005303B1">
      <w:pPr>
        <w:pStyle w:val="NormalHanging12a"/>
      </w:pPr>
      <w:r w:rsidRPr="00194B44">
        <w:t>–</w:t>
      </w:r>
      <w:r w:rsidRPr="00194B44">
        <w:tab/>
        <w:t>wara li kkunsidra l-ftehim proviżorju approvat mill-kumitat responsabbli fis-sens tal-Artikolu 74(4) tar-Regoli ta' Proċedura tiegħu u l-impenn meħud mir-rappreżentant tal-Kunsill, permezz tal-ittra tal-20 ta’ Diċembru 2023, li japprova l-pożizzjoni tal-Parlament, skont l-Artikolu 294(4) tat-Trattat dwar il-Funzjonament tal-Unjoni Ewropea,</w:t>
      </w:r>
    </w:p>
    <w:p w:rsidR="005303B1" w:rsidRPr="00194B44" w:rsidRDefault="005303B1" w:rsidP="005303B1">
      <w:pPr>
        <w:pStyle w:val="NormalHanging12a"/>
      </w:pPr>
      <w:r w:rsidRPr="00194B44">
        <w:t>–</w:t>
      </w:r>
      <w:r w:rsidRPr="00194B44">
        <w:tab/>
        <w:t>wara li kkunsidra l-Artikolu 59 tar-Regoli ta’ Proċedura tiegħu,</w:t>
      </w:r>
    </w:p>
    <w:p w:rsidR="005303B1" w:rsidRPr="00194B44" w:rsidRDefault="005303B1" w:rsidP="005303B1">
      <w:pPr>
        <w:pStyle w:val="NormalHanging12a"/>
      </w:pPr>
      <w:r w:rsidRPr="00194B44">
        <w:t>–</w:t>
      </w:r>
      <w:r w:rsidRPr="00194B44">
        <w:tab/>
        <w:t>wara li kkunsidra l-opinjoni tal-Kumitat għas-Suq Intern u l-Ħarsien tal-Konsumatur,</w:t>
      </w:r>
    </w:p>
    <w:p w:rsidR="005303B1" w:rsidRPr="00194B44" w:rsidRDefault="005303B1" w:rsidP="005303B1">
      <w:pPr>
        <w:pStyle w:val="NormalHanging12a"/>
      </w:pPr>
      <w:r w:rsidRPr="00194B44">
        <w:t>–</w:t>
      </w:r>
      <w:r w:rsidRPr="00194B44">
        <w:tab/>
        <w:t>wara li kkunsidra r-rapport tal-Kumitat għall-Industrija, ir-Riċerka u l-Enerġija (A9-</w:t>
      </w:r>
      <w:r w:rsidRPr="00194B44">
        <w:lastRenderedPageBreak/>
        <w:t>0253/2023),</w:t>
      </w:r>
    </w:p>
    <w:p w:rsidR="005303B1" w:rsidRPr="00194B44" w:rsidRDefault="005303B1" w:rsidP="005303B1">
      <w:pPr>
        <w:pStyle w:val="NormalHanging12a"/>
      </w:pPr>
      <w:r w:rsidRPr="00194B44">
        <w:t>1.</w:t>
      </w:r>
      <w:r w:rsidRPr="00194B44">
        <w:tab/>
        <w:t>Jadotta l-pożizzjoni fl-ewwel qari li tidher hawn taħt;</w:t>
      </w:r>
    </w:p>
    <w:p w:rsidR="005303B1" w:rsidRPr="00194B44" w:rsidRDefault="005303B1" w:rsidP="005303B1">
      <w:pPr>
        <w:pStyle w:val="NormalHanging12a"/>
      </w:pPr>
      <w:r w:rsidRPr="00194B44">
        <w:t>2.</w:t>
      </w:r>
      <w:r w:rsidRPr="00194B44">
        <w:tab/>
      </w:r>
      <w:r w:rsidR="006A1B9D" w:rsidRPr="00194B44">
        <w:t xml:space="preserve">Japprova d-dikjarazzjoni konġunta tal-Parlament Ewropew, tal-Kunsill u tal-Kummissjoni annessa ma' din ir-riżoluzzjoni, li se tiġi ppubblikata fis-serje C ta' </w:t>
      </w:r>
      <w:r w:rsidR="006A1B9D" w:rsidRPr="00194B44">
        <w:rPr>
          <w:i/>
        </w:rPr>
        <w:t>Il-Ġurnal Uffiċjali tal-Unjoni Ewropea</w:t>
      </w:r>
      <w:r w:rsidR="006A1B9D" w:rsidRPr="00194B44">
        <w:t>;</w:t>
      </w:r>
    </w:p>
    <w:p w:rsidR="005303B1" w:rsidRPr="00194B44" w:rsidRDefault="005303B1" w:rsidP="005303B1">
      <w:pPr>
        <w:pStyle w:val="NormalHanging12a"/>
      </w:pPr>
      <w:r w:rsidRPr="00194B44">
        <w:t>3.</w:t>
      </w:r>
      <w:r w:rsidRPr="00194B44">
        <w:tab/>
        <w:t>Jitlob lill-Kummissjoni terġa’ tirreferi l-kwistjoni lill-Parlament jekk tibdel il-proposta tagħha, temendaha b’mod sustanzjali jew ikollha l-ħsieb li temendaha b’mod sustanzjali;</w:t>
      </w:r>
    </w:p>
    <w:p w:rsidR="004C618C" w:rsidRDefault="005303B1" w:rsidP="005303B1">
      <w:pPr>
        <w:pStyle w:val="NormalHanging12a"/>
        <w:sectPr w:rsidR="004C618C" w:rsidSect="00D17632">
          <w:footerReference w:type="even" r:id="rId9"/>
          <w:footnotePr>
            <w:numRestart w:val="eachSect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titlePg/>
          <w:docGrid w:linePitch="360"/>
        </w:sectPr>
      </w:pPr>
      <w:r w:rsidRPr="00194B44">
        <w:t>4.</w:t>
      </w:r>
      <w:r w:rsidRPr="00194B44">
        <w:tab/>
        <w:t>Jagħti istruzzjonijiet lill-President tiegħu biex tgħaddi l-pożizzjoni tal-Parlament lill-Kunsill u lill-Kummissjoni kif ukoll lill-parlamenti nazzjonali.</w:t>
      </w:r>
    </w:p>
    <w:p w:rsidR="00277B4D" w:rsidRPr="00194B44" w:rsidRDefault="00277B4D" w:rsidP="00277B4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194B44">
        <w:rPr>
          <w:b/>
          <w:bCs/>
          <w:color w:val="000000"/>
        </w:rPr>
        <w:lastRenderedPageBreak/>
        <w:t>P9_TC1-COD(2022)0272</w:t>
      </w:r>
    </w:p>
    <w:p w:rsidR="001F4990" w:rsidRDefault="00277B4D" w:rsidP="00A620CC">
      <w:pPr>
        <w:rPr>
          <w:rFonts w:eastAsia="Calibri"/>
          <w:b/>
          <w:bCs/>
        </w:rPr>
      </w:pPr>
      <w:r w:rsidRPr="00A620CC">
        <w:rPr>
          <w:rFonts w:eastAsia="Calibri"/>
          <w:b/>
          <w:bCs/>
        </w:rPr>
        <w:t>Pożizzjoni tal-Parlament Ewropew</w:t>
      </w:r>
      <w:bookmarkStart w:id="7" w:name="_GoBack"/>
      <w:bookmarkEnd w:id="7"/>
      <w:r w:rsidRPr="00A620CC">
        <w:rPr>
          <w:rFonts w:eastAsia="Calibri"/>
          <w:b/>
          <w:bCs/>
        </w:rPr>
        <w:t xml:space="preserve"> adottata fl-ewwel qari tat-12</w:t>
      </w:r>
      <w:r w:rsidRPr="00A620CC">
        <w:rPr>
          <w:b/>
        </w:rPr>
        <w:t xml:space="preserve"> </w:t>
      </w:r>
      <w:r w:rsidRPr="00A620CC">
        <w:rPr>
          <w:rFonts w:eastAsia="Calibri"/>
          <w:b/>
          <w:bCs/>
        </w:rPr>
        <w:t xml:space="preserve">ta' Marzu 2024 bil-ħsieb tal-adozzjoni tar-Regolament (UE) 2024/... </w:t>
      </w:r>
      <w:r w:rsidRPr="00A620CC">
        <w:rPr>
          <w:b/>
          <w:color w:val="000000"/>
          <w:szCs w:val="22"/>
        </w:rPr>
        <w:t>tal-Parlament Ewropew u tal-Kunsill</w:t>
      </w:r>
      <w:r w:rsidRPr="00A620CC">
        <w:rPr>
          <w:rFonts w:eastAsia="Calibri"/>
          <w:b/>
          <w:szCs w:val="22"/>
        </w:rPr>
        <w:t xml:space="preserve"> </w:t>
      </w:r>
      <w:r w:rsidR="005303B1" w:rsidRPr="00A620CC">
        <w:rPr>
          <w:rFonts w:eastAsia="Calibri"/>
          <w:b/>
          <w:bCs/>
        </w:rPr>
        <w:t xml:space="preserve">dwar ir-rekwiżiti orizzontali taċ-ċibersigurtà għall-prodotti b’elementi diġitali u </w:t>
      </w:r>
      <w:r w:rsidR="00D17632" w:rsidRPr="00A620CC">
        <w:rPr>
          <w:rFonts w:eastAsia="Calibri"/>
          <w:b/>
          <w:bCs/>
        </w:rPr>
        <w:t>li jemenda r-Regolamenti (UE) Nru 168/2013 u (UE) 2019/1020 u d-Direttiva (UE) 2020/1828 (Att dwar ir-Reżiljenza Ċibernetika)</w:t>
      </w:r>
    </w:p>
    <w:p w:rsidR="00A620CC" w:rsidRPr="006C25E5" w:rsidRDefault="00A620CC" w:rsidP="00A620CC"/>
    <w:p w:rsidR="006C25E5" w:rsidRDefault="00A620CC" w:rsidP="00A620CC">
      <w:pPr>
        <w:contextualSpacing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A620CC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A620CC">
        <w:rPr>
          <w:i/>
        </w:rPr>
        <w:t>2024/2847</w:t>
      </w:r>
      <w:r w:rsidRPr="0050178C">
        <w:rPr>
          <w:i/>
        </w:rPr>
        <w:t>.)</w:t>
      </w:r>
    </w:p>
    <w:p w:rsidR="00A620CC" w:rsidRDefault="00A620CC">
      <w:pPr>
        <w:widowControl/>
      </w:pPr>
      <w:r>
        <w:br w:type="page"/>
      </w:r>
    </w:p>
    <w:p w:rsidR="00E365E1" w:rsidRPr="006C25E5" w:rsidRDefault="001F4990" w:rsidP="001F4990">
      <w:pPr>
        <w:spacing w:line="360" w:lineRule="auto"/>
        <w:jc w:val="right"/>
      </w:pPr>
      <w:r w:rsidRPr="006C25E5">
        <w:t>ANNESS GĦAR-RIŻOLUZZJONI LEĠIŻLATTIVA</w:t>
      </w:r>
    </w:p>
    <w:p w:rsidR="001F4990" w:rsidRPr="006C25E5" w:rsidRDefault="001F4990" w:rsidP="001F4990">
      <w:pPr>
        <w:widowControl/>
        <w:spacing w:before="120" w:after="120" w:line="360" w:lineRule="auto"/>
        <w:jc w:val="center"/>
        <w:rPr>
          <w:rFonts w:eastAsiaTheme="minorHAnsi"/>
          <w:i/>
          <w:sz w:val="23"/>
          <w:szCs w:val="23"/>
          <w:vertAlign w:val="superscript"/>
          <w:lang w:eastAsia="en-US"/>
        </w:rPr>
      </w:pPr>
      <w:r w:rsidRPr="006C25E5">
        <w:rPr>
          <w:rFonts w:eastAsiaTheme="minorHAnsi"/>
          <w:b/>
          <w:szCs w:val="22"/>
          <w:lang w:eastAsia="en-US"/>
        </w:rPr>
        <w:t>Dikjarazzjoni politika konġunta mill-Parlament Ewropew, il-Kunsill u l-Kummissjoni dwar ir-riżorsi tal-ENISA, fl-okkażjoni tal-adozzjoni tar-Regolament (UE)</w:t>
      </w:r>
      <w:r w:rsidR="00A620CC">
        <w:rPr>
          <w:rFonts w:eastAsiaTheme="minorHAnsi"/>
          <w:b/>
          <w:szCs w:val="22"/>
          <w:lang w:eastAsia="en-US"/>
        </w:rPr>
        <w:t xml:space="preserve"> 2024</w:t>
      </w:r>
      <w:r w:rsidRPr="006C25E5">
        <w:rPr>
          <w:rFonts w:eastAsiaTheme="minorHAnsi"/>
          <w:b/>
          <w:szCs w:val="22"/>
          <w:lang w:eastAsia="en-US"/>
        </w:rPr>
        <w:t>/</w:t>
      </w:r>
      <w:r w:rsidR="00A620CC">
        <w:rPr>
          <w:rFonts w:eastAsiaTheme="minorHAnsi"/>
          <w:b/>
          <w:szCs w:val="22"/>
          <w:lang w:eastAsia="en-US"/>
        </w:rPr>
        <w:t>2847</w:t>
      </w:r>
      <w:r w:rsidRPr="006C25E5">
        <w:rPr>
          <w:rFonts w:eastAsiaTheme="minorHAnsi"/>
          <w:b/>
          <w:szCs w:val="22"/>
          <w:lang w:eastAsia="en-US"/>
        </w:rPr>
        <w:t xml:space="preserve"> tal-Parlament Ewropew u tal-Kunsill dwar ir-rekwiżiti orizzontali taċ-ċibersigurtà għall-prodotti b’elementi diġitali, li jemenda r-Regolamenti (UE) Nru 168/2013 u (UE) 2019/1020 u d-Direttiva (UE) 2020/1828 (l-Att dwar ir-Reżiljenza Ċibernetika)</w:t>
      </w:r>
    </w:p>
    <w:p w:rsidR="001F4990" w:rsidRPr="006C25E5" w:rsidRDefault="001F4990" w:rsidP="001F4990">
      <w:pPr>
        <w:widowControl/>
        <w:spacing w:before="120" w:after="120" w:line="360" w:lineRule="auto"/>
        <w:rPr>
          <w:rFonts w:eastAsiaTheme="minorHAnsi"/>
          <w:szCs w:val="24"/>
          <w:lang w:eastAsia="en-US"/>
        </w:rPr>
      </w:pPr>
      <w:r w:rsidRPr="006C25E5">
        <w:rPr>
          <w:rFonts w:eastAsiaTheme="minorHAnsi"/>
          <w:szCs w:val="22"/>
          <w:lang w:eastAsia="en-US"/>
        </w:rPr>
        <w:t>Il-Parlament Ewropew u l-Kunsill iqisu li dan ir-Regolament jikkonferixxi kompiti addizzjonali fuq l-ENISA li jirriżultaw f’ammont ta’ xogħol addizzjonali u jkunu jeħtieġu riżorsi addizzjonali kemm f’termini ta’ għarfien espert kif ukoll ta’ għadd. Fid-dawl ta’ dan, sabiex l-ENISA tkun tista’ twettaq b’mod effettiv il-kompiti skont dan ir-Regolament, il-Parlament Ewropew, il-Kunsill u l-Kummissjoni jqisu li tista’ tkun meħtieġa żieda fir-riżorsi tagħha, b’mod partikolari r-riżorsi umani tagħha bl-għarfien espert adegwat. Tali żieda tista’ tiġi prevista fil-proċedura annwali relatata mal-pjan ta’ stabbiliment tal-ENISA. Għaldaqstant, il-Kummissjoni, li hija responsabbli biex fl-abbozz tal-baġit ġenerali tal-Unjoni ddaħħal l-istimi li tqis meħtieġa għall-pjan ta’ stabbiliment tal-ENISA, fil-qafas tal-proċedura baġitarja stabbilita fl-Artikolu 314 TFUE u f’konformità mal-proċedura stabbilita fl-Att dwar iċ-Ċibersigurtà, għandha tivvaluta l-istimi għall-pjan ta’ stabbiliment tal-ENISA mdaħħla għall-ewwel sena wara d-dħul fis-seħħ ta’ dan ir-Regolament b’kunsiderazzjoni tar-riżorsi meħtieġa, b’mod partikolari r-riżorsi umani, biex l-ENISA tkun tista’ twettaq il-kompiti tagħha b’mod adegwat skont dan ir-Regolament.</w:t>
      </w:r>
    </w:p>
    <w:p w:rsidR="001F4990" w:rsidRPr="006C25E5" w:rsidRDefault="001F4990" w:rsidP="001F4990">
      <w:pPr>
        <w:rPr>
          <w:b/>
          <w:i/>
          <w:iCs/>
          <w:szCs w:val="24"/>
        </w:rPr>
      </w:pPr>
    </w:p>
    <w:sectPr w:rsidR="001F4990" w:rsidRPr="006C25E5" w:rsidSect="009A69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5E8" w:rsidRPr="009A6942" w:rsidRDefault="001F35E8">
      <w:r w:rsidRPr="009A6942">
        <w:separator/>
      </w:r>
    </w:p>
  </w:endnote>
  <w:endnote w:type="continuationSeparator" w:id="0">
    <w:p w:rsidR="001F35E8" w:rsidRPr="009A6942" w:rsidRDefault="001F35E8">
      <w:r w:rsidRPr="009A69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632" w:rsidRDefault="00D17632" w:rsidP="00FB4147">
    <w:pPr>
      <w:pStyle w:val="EP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334</w:t>
    </w:r>
    <w:r>
      <w:fldChar w:fldCharType="end"/>
    </w:r>
    <w:r>
      <w:t>/</w:t>
    </w:r>
    <w:r w:rsidR="00A620CC">
      <w:fldChar w:fldCharType="begin"/>
    </w:r>
    <w:r w:rsidR="00A620CC">
      <w:instrText xml:space="preserve"> NUMPAGES  \* MERGEFORMAT </w:instrText>
    </w:r>
    <w:r w:rsidR="00A620CC">
      <w:fldChar w:fldCharType="separate"/>
    </w:r>
    <w:r>
      <w:rPr>
        <w:noProof/>
      </w:rPr>
      <w:t>335</w:t>
    </w:r>
    <w:r w:rsidR="00A620CC">
      <w:rPr>
        <w:noProof/>
      </w:rPr>
      <w:fldChar w:fldCharType="end"/>
    </w:r>
    <w:r>
      <w:tab/>
    </w:r>
    <w:r w:rsidRPr="00FB4147">
      <w:rPr>
        <w:rStyle w:val="HideTWBExt"/>
      </w:rPr>
      <w:t>&lt;PathFdR&gt;&lt;/PathFdR&gt;</w:t>
    </w:r>
  </w:p>
  <w:p w:rsidR="00D17632" w:rsidRDefault="00D17632" w:rsidP="00FB4147">
    <w:pPr>
      <w:pStyle w:val="EPFooter2"/>
    </w:pPr>
    <w: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5E8" w:rsidRPr="009A6942" w:rsidRDefault="001F35E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5E8" w:rsidRPr="009A6942" w:rsidRDefault="001F35E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5E8" w:rsidRPr="009A6942" w:rsidRDefault="001F35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5E8" w:rsidRPr="009A6942" w:rsidRDefault="001F35E8">
      <w:r w:rsidRPr="009A6942">
        <w:separator/>
      </w:r>
    </w:p>
  </w:footnote>
  <w:footnote w:type="continuationSeparator" w:id="0">
    <w:p w:rsidR="001F35E8" w:rsidRPr="009A6942" w:rsidRDefault="001F35E8">
      <w:r w:rsidRPr="009A6942">
        <w:continuationSeparator/>
      </w:r>
    </w:p>
  </w:footnote>
  <w:footnote w:id="1">
    <w:p w:rsidR="001F35E8" w:rsidRPr="00277B4D" w:rsidRDefault="001F35E8" w:rsidP="00277B4D">
      <w:pPr>
        <w:pStyle w:val="FootnoteText"/>
        <w:ind w:left="709" w:hanging="709"/>
        <w:rPr>
          <w:sz w:val="24"/>
          <w:szCs w:val="24"/>
          <w:lang w:val="mt-MT"/>
        </w:rPr>
      </w:pPr>
      <w:r w:rsidRPr="00277B4D">
        <w:rPr>
          <w:rStyle w:val="FootnoteReference"/>
          <w:sz w:val="24"/>
          <w:szCs w:val="24"/>
          <w:lang w:val="mt-MT"/>
        </w:rPr>
        <w:footnoteRef/>
      </w:r>
      <w:r w:rsidRPr="00277B4D">
        <w:rPr>
          <w:sz w:val="24"/>
          <w:szCs w:val="24"/>
          <w:lang w:val="mt-MT"/>
        </w:rPr>
        <w:t xml:space="preserve"> </w:t>
      </w:r>
      <w:r w:rsidRPr="00277B4D">
        <w:rPr>
          <w:sz w:val="24"/>
          <w:szCs w:val="24"/>
          <w:lang w:val="mt-MT"/>
        </w:rPr>
        <w:tab/>
        <w:t xml:space="preserve">ĠU </w:t>
      </w:r>
      <w:r w:rsidR="00A620CC">
        <w:rPr>
          <w:sz w:val="24"/>
          <w:szCs w:val="24"/>
          <w:lang w:val="mt-MT"/>
        </w:rPr>
        <w:t>C</w:t>
      </w:r>
      <w:r w:rsidRPr="00277B4D">
        <w:rPr>
          <w:sz w:val="24"/>
          <w:szCs w:val="24"/>
          <w:lang w:val="mt-MT"/>
        </w:rPr>
        <w:t xml:space="preserve"> 100, 16.3.2023, p. 101.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5E8" w:rsidRPr="009A6942" w:rsidRDefault="001F35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5E8" w:rsidRPr="009A6942" w:rsidRDefault="001F35E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5E8" w:rsidRPr="009A6942" w:rsidRDefault="001F35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0C1E7D"/>
    <w:multiLevelType w:val="hybridMultilevel"/>
    <w:tmpl w:val="A68614C6"/>
    <w:lvl w:ilvl="0" w:tplc="E1866026">
      <w:start w:val="1"/>
      <w:numFmt w:val="upperLetter"/>
      <w:pStyle w:val="Heading1noPg"/>
      <w:lvlText w:val="%1."/>
      <w:lvlJc w:val="left"/>
      <w:pPr>
        <w:ind w:left="720" w:hanging="360"/>
      </w:pPr>
    </w:lvl>
    <w:lvl w:ilvl="1" w:tplc="EE92EDD2">
      <w:start w:val="1"/>
      <w:numFmt w:val="lowerLetter"/>
      <w:lvlText w:val="%2."/>
      <w:lvlJc w:val="left"/>
      <w:pPr>
        <w:ind w:left="1440" w:hanging="360"/>
      </w:pPr>
    </w:lvl>
    <w:lvl w:ilvl="2" w:tplc="264C9A66">
      <w:start w:val="1"/>
      <w:numFmt w:val="lowerRoman"/>
      <w:lvlText w:val="%3."/>
      <w:lvlJc w:val="right"/>
      <w:pPr>
        <w:ind w:left="2160" w:hanging="180"/>
      </w:pPr>
    </w:lvl>
    <w:lvl w:ilvl="3" w:tplc="EA7E9696">
      <w:start w:val="1"/>
      <w:numFmt w:val="decimal"/>
      <w:lvlText w:val="%4."/>
      <w:lvlJc w:val="left"/>
      <w:pPr>
        <w:ind w:left="2880" w:hanging="360"/>
      </w:pPr>
    </w:lvl>
    <w:lvl w:ilvl="4" w:tplc="7B3E5BC8">
      <w:start w:val="1"/>
      <w:numFmt w:val="lowerLetter"/>
      <w:lvlText w:val="%5."/>
      <w:lvlJc w:val="left"/>
      <w:pPr>
        <w:ind w:left="3600" w:hanging="360"/>
      </w:pPr>
    </w:lvl>
    <w:lvl w:ilvl="5" w:tplc="9466A03A">
      <w:start w:val="1"/>
      <w:numFmt w:val="lowerRoman"/>
      <w:pStyle w:val="FigureLeft"/>
      <w:lvlText w:val="%6."/>
      <w:lvlJc w:val="right"/>
      <w:pPr>
        <w:ind w:left="4320" w:hanging="180"/>
      </w:pPr>
    </w:lvl>
    <w:lvl w:ilvl="6" w:tplc="659CADE4">
      <w:start w:val="1"/>
      <w:numFmt w:val="decimal"/>
      <w:lvlText w:val="%7."/>
      <w:lvlJc w:val="left"/>
      <w:pPr>
        <w:ind w:left="5040" w:hanging="360"/>
      </w:pPr>
    </w:lvl>
    <w:lvl w:ilvl="7" w:tplc="989C381E">
      <w:start w:val="1"/>
      <w:numFmt w:val="lowerLetter"/>
      <w:lvlText w:val="%8."/>
      <w:lvlJc w:val="left"/>
      <w:pPr>
        <w:ind w:left="5760" w:hanging="360"/>
      </w:pPr>
    </w:lvl>
    <w:lvl w:ilvl="8" w:tplc="2C22816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Level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1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560"/>
        </w:tabs>
        <w:ind w:left="1560" w:hanging="567"/>
      </w:pPr>
    </w:lvl>
    <w:lvl w:ilvl="3">
      <w:start w:val="1"/>
      <w:numFmt w:val="lowerLetter"/>
      <w:pStyle w:val="Point2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0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2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3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2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3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4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1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2"/>
  </w:num>
  <w:num w:numId="3">
    <w:abstractNumId w:val="26"/>
  </w:num>
  <w:num w:numId="4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1"/>
  </w:num>
  <w:num w:numId="7">
    <w:abstractNumId w:val="22"/>
  </w:num>
  <w:num w:numId="8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19"/>
  </w:num>
  <w:num w:numId="14">
    <w:abstractNumId w:val="18"/>
  </w:num>
  <w:num w:numId="15">
    <w:abstractNumId w:val="3"/>
  </w:num>
  <w:num w:numId="16">
    <w:abstractNumId w:val="11"/>
  </w:num>
  <w:num w:numId="1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4"/>
  </w:num>
  <w:num w:numId="21">
    <w:abstractNumId w:val="28"/>
  </w:num>
  <w:num w:numId="22">
    <w:abstractNumId w:val="8"/>
  </w:num>
  <w:num w:numId="23">
    <w:abstractNumId w:val="15"/>
  </w:num>
  <w:num w:numId="24">
    <w:abstractNumId w:val="16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3"/>
  </w:num>
  <w:num w:numId="29">
    <w:abstractNumId w:val="24"/>
  </w:num>
  <w:num w:numId="30">
    <w:abstractNumId w:val="7"/>
  </w:num>
  <w:num w:numId="31">
    <w:abstractNumId w:val="21"/>
  </w:num>
  <w:num w:numId="32">
    <w:abstractNumId w:val="32"/>
    <w:lvlOverride w:ilvl="0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3/2023"/>
    <w:docVar w:name="dvlangue" w:val="MT"/>
    <w:docVar w:name="dvnumam" w:val="201"/>
    <w:docVar w:name="dvpe" w:val="745.538"/>
    <w:docVar w:name="dvrapporteur" w:val="Rapporteur: "/>
    <w:docVar w:name="dvstar" w:val="***I"/>
    <w:docVar w:name="dvtitre" w:val="Riżoluzzjoni leġiżlattiva tal-Parlament Ewropew tat-12 ta' Marzu 2024 dwar il-proposta għal regolament tal-Parlament Ewropew u tal-Kunsill dwar ir-rekwiżiti orizzontali taċ-ċibersigurtà għall-prodotti b’elementi diġitali u li jemenda r-Regolament (UE) 2019/1020(COM(2022)0454 – C9-0308/2022 – 2022/0272(COD))"/>
  </w:docVars>
  <w:rsids>
    <w:rsidRoot w:val="002115F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B44"/>
    <w:rsid w:val="001F32AE"/>
    <w:rsid w:val="001F35E8"/>
    <w:rsid w:val="001F4990"/>
    <w:rsid w:val="002115FE"/>
    <w:rsid w:val="002767FF"/>
    <w:rsid w:val="00277B4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18C"/>
    <w:rsid w:val="0050519A"/>
    <w:rsid w:val="005072A1"/>
    <w:rsid w:val="00514517"/>
    <w:rsid w:val="005303B1"/>
    <w:rsid w:val="00545827"/>
    <w:rsid w:val="00560270"/>
    <w:rsid w:val="005C2568"/>
    <w:rsid w:val="006037C0"/>
    <w:rsid w:val="006631B6"/>
    <w:rsid w:val="00680577"/>
    <w:rsid w:val="00687394"/>
    <w:rsid w:val="006A1B9D"/>
    <w:rsid w:val="006C25E5"/>
    <w:rsid w:val="006F20A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028"/>
    <w:rsid w:val="00842779"/>
    <w:rsid w:val="00865F67"/>
    <w:rsid w:val="0087718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6942"/>
    <w:rsid w:val="00A101BA"/>
    <w:rsid w:val="00A1687D"/>
    <w:rsid w:val="00A43E52"/>
    <w:rsid w:val="00A4678D"/>
    <w:rsid w:val="00A620C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3AD"/>
    <w:rsid w:val="00C05BFE"/>
    <w:rsid w:val="00C23CD4"/>
    <w:rsid w:val="00C61C0C"/>
    <w:rsid w:val="00C941CB"/>
    <w:rsid w:val="00CC2357"/>
    <w:rsid w:val="00CF071A"/>
    <w:rsid w:val="00D058B8"/>
    <w:rsid w:val="00D1763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0C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59BEA"/>
  <w15:chartTrackingRefBased/>
  <w15:docId w15:val="{2B6AF608-6C87-461C-94CB-FE16DEF4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99"/>
    <w:lsdException w:name="Subtitle" w:uiPriority="11" w:qFormat="1"/>
    <w:lsdException w:name="Hyperlink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303B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3B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3B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3B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303B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303B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5303B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5303B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5303B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5303B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303B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303B1"/>
    <w:pPr>
      <w:spacing w:before="480" w:after="240"/>
    </w:pPr>
  </w:style>
  <w:style w:type="paragraph" w:customStyle="1" w:styleId="TOCPage">
    <w:name w:val="TOC Page"/>
    <w:basedOn w:val="Normal"/>
    <w:next w:val="TOC1"/>
    <w:rsid w:val="005303B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5303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303B1"/>
    <w:rPr>
      <w:b/>
    </w:rPr>
  </w:style>
  <w:style w:type="paragraph" w:customStyle="1" w:styleId="NormalBold12a">
    <w:name w:val="NormalBold12a"/>
    <w:basedOn w:val="Normal"/>
    <w:rsid w:val="005303B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303B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303B1"/>
    <w:pPr>
      <w:spacing w:after="480"/>
      <w:ind w:left="1417"/>
    </w:pPr>
  </w:style>
  <w:style w:type="paragraph" w:customStyle="1" w:styleId="CoverNormal">
    <w:name w:val="CoverNormal"/>
    <w:basedOn w:val="Normal"/>
    <w:rsid w:val="005303B1"/>
    <w:pPr>
      <w:ind w:left="1418"/>
    </w:pPr>
  </w:style>
  <w:style w:type="paragraph" w:customStyle="1" w:styleId="NormalCenter12a">
    <w:name w:val="NormalCenter12a"/>
    <w:basedOn w:val="Normal"/>
    <w:rsid w:val="005303B1"/>
    <w:pPr>
      <w:spacing w:after="240"/>
      <w:jc w:val="center"/>
    </w:pPr>
  </w:style>
  <w:style w:type="paragraph" w:customStyle="1" w:styleId="CoverReference">
    <w:name w:val="CoverReference"/>
    <w:basedOn w:val="Normal"/>
    <w:rsid w:val="005303B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303B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303B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303B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303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3B1"/>
    <w:rPr>
      <w:sz w:val="24"/>
      <w:lang w:val="mt-MT"/>
    </w:rPr>
  </w:style>
  <w:style w:type="paragraph" w:customStyle="1" w:styleId="AmNumberTabs">
    <w:name w:val="AmNumberTabs"/>
    <w:basedOn w:val="Normal"/>
    <w:rsid w:val="005303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303B1"/>
    <w:pPr>
      <w:spacing w:before="720" w:after="240"/>
      <w:jc w:val="center"/>
    </w:pPr>
  </w:style>
  <w:style w:type="paragraph" w:customStyle="1" w:styleId="EPBody">
    <w:name w:val="EPBody"/>
    <w:basedOn w:val="Normal"/>
    <w:rsid w:val="005303B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303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5303B1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5303B1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Lgendesigne"/>
    <w:rsid w:val="005303B1"/>
    <w:pPr>
      <w:ind w:left="0" w:firstLine="0"/>
    </w:pPr>
  </w:style>
  <w:style w:type="paragraph" w:customStyle="1" w:styleId="Normal6a">
    <w:name w:val="Normal6a"/>
    <w:basedOn w:val="Normal"/>
    <w:rsid w:val="005303B1"/>
    <w:pPr>
      <w:spacing w:after="120"/>
    </w:pPr>
  </w:style>
  <w:style w:type="paragraph" w:customStyle="1" w:styleId="AmJustText">
    <w:name w:val="AmJustText"/>
    <w:basedOn w:val="Normal"/>
    <w:rsid w:val="005303B1"/>
    <w:pPr>
      <w:spacing w:after="240"/>
    </w:pPr>
    <w:rPr>
      <w:i/>
    </w:rPr>
  </w:style>
  <w:style w:type="paragraph" w:customStyle="1" w:styleId="AmCrossRef">
    <w:name w:val="AmCrossRef"/>
    <w:basedOn w:val="Normal"/>
    <w:rsid w:val="005303B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303B1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5303B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303B1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5303B1"/>
    <w:pPr>
      <w:spacing w:before="240"/>
    </w:pPr>
    <w:rPr>
      <w:b/>
    </w:rPr>
  </w:style>
  <w:style w:type="character" w:styleId="Emphasis">
    <w:name w:val="Emphasis"/>
    <w:basedOn w:val="DefaultParagraphFont"/>
    <w:uiPriority w:val="20"/>
    <w:qFormat/>
    <w:rsid w:val="005303B1"/>
    <w:rPr>
      <w:i/>
      <w:iCs/>
    </w:rPr>
  </w:style>
  <w:style w:type="paragraph" w:customStyle="1" w:styleId="EntPE">
    <w:name w:val="EntPE"/>
    <w:basedOn w:val="Normal12"/>
    <w:rsid w:val="005303B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5303B1"/>
    <w:pPr>
      <w:spacing w:after="240"/>
    </w:pPr>
    <w:rPr>
      <w:noProof/>
    </w:rPr>
  </w:style>
  <w:style w:type="paragraph" w:customStyle="1" w:styleId="CommitteeAM">
    <w:name w:val="CommitteeAM"/>
    <w:basedOn w:val="Normal"/>
    <w:rsid w:val="005303B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303B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303B1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5303B1"/>
    <w:rPr>
      <w:noProof/>
      <w:sz w:val="24"/>
      <w:lang w:val="mt-MT"/>
    </w:rPr>
  </w:style>
  <w:style w:type="paragraph" w:customStyle="1" w:styleId="PELeft">
    <w:name w:val="PELeft"/>
    <w:basedOn w:val="Normal"/>
    <w:rsid w:val="005303B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303B1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5303B1"/>
    <w:pPr>
      <w:spacing w:after="120"/>
    </w:pPr>
  </w:style>
  <w:style w:type="paragraph" w:customStyle="1" w:styleId="Normal12Italic">
    <w:name w:val="Normal12Italic"/>
    <w:basedOn w:val="Normal12"/>
    <w:rsid w:val="005303B1"/>
    <w:rPr>
      <w:i/>
    </w:rPr>
  </w:style>
  <w:style w:type="character" w:customStyle="1" w:styleId="NormalBoldChar">
    <w:name w:val="NormalBold Char"/>
    <w:basedOn w:val="DefaultParagraphFont"/>
    <w:link w:val="NormalBold"/>
    <w:rsid w:val="005303B1"/>
    <w:rPr>
      <w:b/>
      <w:sz w:val="24"/>
      <w:lang w:val="mt-MT"/>
    </w:rPr>
  </w:style>
  <w:style w:type="paragraph" w:customStyle="1" w:styleId="JustificationTitle">
    <w:name w:val="JustificationTitle"/>
    <w:basedOn w:val="Normal"/>
    <w:next w:val="Normal12"/>
    <w:rsid w:val="005303B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303B1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5303B1"/>
    <w:rPr>
      <w:sz w:val="24"/>
      <w:lang w:val="mt-MT"/>
    </w:rPr>
  </w:style>
  <w:style w:type="paragraph" w:customStyle="1" w:styleId="ColumnHeading">
    <w:name w:val="ColumnHeading"/>
    <w:basedOn w:val="Normal"/>
    <w:rsid w:val="005303B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303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303B1"/>
    <w:pPr>
      <w:spacing w:before="240"/>
      <w:jc w:val="center"/>
    </w:pPr>
    <w:rPr>
      <w:i/>
    </w:rPr>
  </w:style>
  <w:style w:type="character" w:customStyle="1" w:styleId="Footer2Middle">
    <w:name w:val="Footer2Middle"/>
    <w:rsid w:val="005303B1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5303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03B1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5303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03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03B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303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03B1"/>
    <w:rPr>
      <w:b/>
      <w:bCs/>
      <w:lang w:val="mt-MT"/>
    </w:rPr>
  </w:style>
  <w:style w:type="paragraph" w:customStyle="1" w:styleId="ManualNumPar1">
    <w:name w:val="Manual NumPar 1"/>
    <w:basedOn w:val="Normal"/>
    <w:next w:val="Normal"/>
    <w:rsid w:val="005303B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5303B1"/>
    <w:rPr>
      <w:sz w:val="24"/>
      <w:lang w:val="mt-MT"/>
    </w:rPr>
  </w:style>
  <w:style w:type="character" w:styleId="Hyperlink">
    <w:name w:val="Hyperlink"/>
    <w:basedOn w:val="DefaultParagraphFont"/>
    <w:qFormat/>
    <w:rsid w:val="005303B1"/>
    <w:rPr>
      <w:color w:val="0563C1" w:themeColor="hyperlink"/>
      <w:u w:val="single"/>
    </w:rPr>
  </w:style>
  <w:style w:type="paragraph" w:customStyle="1" w:styleId="Point1">
    <w:name w:val="Point 1"/>
    <w:basedOn w:val="Normal"/>
    <w:rsid w:val="005303B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5303B1"/>
    <w:pPr>
      <w:spacing w:after="240"/>
    </w:pPr>
  </w:style>
  <w:style w:type="paragraph" w:customStyle="1" w:styleId="RollCallSymbols14pt">
    <w:name w:val="RollCallSymbols14pt"/>
    <w:basedOn w:val="Normal"/>
    <w:rsid w:val="005303B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303B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303B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303B1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unhideWhenUsed/>
    <w:rsid w:val="005303B1"/>
    <w:rPr>
      <w:color w:val="800080"/>
      <w:u w:val="single"/>
    </w:rPr>
  </w:style>
  <w:style w:type="paragraph" w:customStyle="1" w:styleId="Text1">
    <w:name w:val="Text 1"/>
    <w:basedOn w:val="Normal"/>
    <w:rsid w:val="005303B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5303B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5303B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5303B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5303B1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5303B1"/>
    <w:pPr>
      <w:widowControl/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iPriority w:val="99"/>
    <w:unhideWhenUsed/>
    <w:rsid w:val="005303B1"/>
    <w:pPr>
      <w:widowControl/>
      <w:numPr>
        <w:numId w:val="3"/>
      </w:numPr>
      <w:spacing w:before="120" w:after="120"/>
      <w:jc w:val="both"/>
    </w:pPr>
    <w:rPr>
      <w:szCs w:val="22"/>
    </w:rPr>
  </w:style>
  <w:style w:type="paragraph" w:styleId="ListNumber">
    <w:name w:val="List Number"/>
    <w:basedOn w:val="Normal"/>
    <w:unhideWhenUsed/>
    <w:rsid w:val="005303B1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5303B1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5303B1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5303B1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5303B1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5303B1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5303B1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5303B1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5303B1"/>
    <w:rPr>
      <w:rFonts w:eastAsiaTheme="minorHAnsi"/>
      <w:sz w:val="24"/>
      <w:szCs w:val="22"/>
      <w:lang w:val="mt-MT" w:eastAsia="en-US"/>
    </w:rPr>
  </w:style>
  <w:style w:type="paragraph" w:styleId="ListParagraph">
    <w:name w:val="List Paragraph"/>
    <w:aliases w:val="1st level - Bullet List Paragraph,Bullet List,Bullet OFM,Bullet list,EC,Lettre d'introduction,List Paragraph (numbered (a)),List Paragraph1,List Paragraph_Sections,Medium Grid 1 - Accent 21,Normal bullet 2,Numbered List,Paragrafo elenco"/>
    <w:basedOn w:val="Normal"/>
    <w:uiPriority w:val="34"/>
    <w:qFormat/>
    <w:rsid w:val="005303B1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Bullet1">
    <w:name w:val="List Bullet 1"/>
    <w:basedOn w:val="Normal"/>
    <w:uiPriority w:val="99"/>
    <w:semiHidden/>
    <w:rsid w:val="005303B1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5303B1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5303B1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5303B1"/>
    <w:pPr>
      <w:widowControl/>
      <w:numPr>
        <w:numId w:val="1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5303B1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5303B1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5303B1"/>
    <w:pPr>
      <w:widowControl/>
      <w:numPr>
        <w:ilvl w:val="3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5303B1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5303B1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5303B1"/>
    <w:pPr>
      <w:tabs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5303B1"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5303B1"/>
    <w:pPr>
      <w:numPr>
        <w:ilvl w:val="1"/>
        <w:numId w:val="8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5303B1"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5303B1"/>
    <w:pPr>
      <w:numPr>
        <w:ilvl w:val="2"/>
        <w:numId w:val="8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5303B1"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5303B1"/>
    <w:pPr>
      <w:numPr>
        <w:ilvl w:val="3"/>
        <w:numId w:val="8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5303B1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5303B1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5303B1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5303B1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5303B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303B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303B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303B1"/>
    <w:pPr>
      <w:spacing w:after="240"/>
    </w:pPr>
  </w:style>
  <w:style w:type="paragraph" w:customStyle="1" w:styleId="Languesfaisantfoi">
    <w:name w:val="Langues faisant foi"/>
    <w:basedOn w:val="Normal"/>
    <w:next w:val="Normal"/>
    <w:rsid w:val="005303B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5303B1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5303B1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5303B1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5303B1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5303B1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5303B1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5303B1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5303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rsid w:val="005303B1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5303B1"/>
  </w:style>
  <w:style w:type="character" w:customStyle="1" w:styleId="FooterCoverPageChar">
    <w:name w:val="Footer Cover Page Char"/>
    <w:link w:val="FooterCoverPage"/>
    <w:semiHidden/>
    <w:locked/>
    <w:rsid w:val="005303B1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5303B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5303B1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5303B1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FootnoteReference1">
    <w:name w:val="Footnote Reference1"/>
    <w:basedOn w:val="Normal"/>
    <w:uiPriority w:val="99"/>
    <w:semiHidden/>
    <w:rsid w:val="005303B1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itrearticle">
    <w:name w:val="titrearticle"/>
    <w:basedOn w:val="Normal"/>
    <w:uiPriority w:val="99"/>
    <w:semiHidden/>
    <w:rsid w:val="005303B1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li">
    <w:name w:val="li"/>
    <w:basedOn w:val="Normal"/>
    <w:uiPriority w:val="99"/>
    <w:semiHidden/>
    <w:rsid w:val="005303B1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FootnoteTextEP-LC1">
    <w:name w:val="Footnote Text_EP-LC1"/>
    <w:basedOn w:val="Normal"/>
    <w:next w:val="FootnoteText"/>
    <w:uiPriority w:val="99"/>
    <w:semiHidden/>
    <w:qFormat/>
    <w:rsid w:val="005303B1"/>
    <w:pPr>
      <w:widowControl/>
      <w:jc w:val="both"/>
    </w:pPr>
    <w:rPr>
      <w:rFonts w:eastAsia="SimSun"/>
      <w:sz w:val="20"/>
      <w:lang w:eastAsia="en-US"/>
    </w:rPr>
  </w:style>
  <w:style w:type="paragraph" w:customStyle="1" w:styleId="oj-normal">
    <w:name w:val="oj-normal"/>
    <w:basedOn w:val="Normal"/>
    <w:uiPriority w:val="99"/>
    <w:semiHidden/>
    <w:rsid w:val="005303B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1">
    <w:name w:val="Normal1"/>
    <w:basedOn w:val="Normal"/>
    <w:uiPriority w:val="99"/>
    <w:semiHidden/>
    <w:rsid w:val="005303B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efault">
    <w:name w:val="Default"/>
    <w:uiPriority w:val="99"/>
    <w:semiHidden/>
    <w:rsid w:val="005303B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mt-MT" w:eastAsia="en-US"/>
    </w:rPr>
  </w:style>
  <w:style w:type="paragraph" w:customStyle="1" w:styleId="Heading1noPg">
    <w:name w:val="Heading 1noPg"/>
    <w:basedOn w:val="Heading1"/>
    <w:next w:val="BodyText"/>
    <w:uiPriority w:val="6"/>
    <w:semiHidden/>
    <w:qFormat/>
    <w:rsid w:val="005303B1"/>
    <w:pPr>
      <w:numPr>
        <w:numId w:val="18"/>
      </w:numPr>
      <w:spacing w:before="360" w:after="60" w:line="260" w:lineRule="atLeast"/>
    </w:pPr>
    <w:rPr>
      <w:rFonts w:ascii="Arial" w:eastAsiaTheme="majorEastAsia" w:hAnsi="Arial" w:cstheme="majorBidi"/>
      <w:bCs/>
      <w:color w:val="5B9BD5" w:themeColor="accent1"/>
      <w:kern w:val="0"/>
      <w:sz w:val="36"/>
      <w:szCs w:val="28"/>
      <w:lang w:val="mt-MT" w:eastAsia="en-US"/>
    </w:rPr>
  </w:style>
  <w:style w:type="paragraph" w:customStyle="1" w:styleId="FigureLeft">
    <w:name w:val="FigureLeft"/>
    <w:basedOn w:val="Normal"/>
    <w:next w:val="Normal"/>
    <w:uiPriority w:val="6"/>
    <w:semiHidden/>
    <w:qFormat/>
    <w:rsid w:val="005303B1"/>
    <w:pPr>
      <w:keepNext/>
      <w:keepLines/>
      <w:widowControl/>
      <w:numPr>
        <w:ilvl w:val="5"/>
        <w:numId w:val="18"/>
      </w:numPr>
      <w:spacing w:before="120" w:after="120" w:line="260" w:lineRule="atLeast"/>
    </w:pPr>
    <w:rPr>
      <w:rFonts w:ascii="Arial" w:eastAsiaTheme="minorHAnsi" w:hAnsi="Arial"/>
      <w:color w:val="5B9BD5" w:themeColor="accent1"/>
      <w:sz w:val="22"/>
      <w:szCs w:val="24"/>
      <w:lang w:eastAsia="en-US"/>
    </w:rPr>
  </w:style>
  <w:style w:type="paragraph" w:customStyle="1" w:styleId="Titrearticle0">
    <w:name w:val="Titre article"/>
    <w:basedOn w:val="Normal"/>
    <w:next w:val="Normal"/>
    <w:rsid w:val="005303B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HeaderLandscape">
    <w:name w:val="HeaderLandscape"/>
    <w:basedOn w:val="Normal"/>
    <w:rsid w:val="005303B1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5303B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5303B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5303B1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303B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5303B1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5303B1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5303B1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5303B1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5303B1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5303B1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5303B1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5303B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5303B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5303B1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5303B1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5303B1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5303B1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5303B1"/>
    <w:pPr>
      <w:numPr>
        <w:numId w:val="19"/>
      </w:numPr>
    </w:pPr>
  </w:style>
  <w:style w:type="paragraph" w:customStyle="1" w:styleId="Tiret1">
    <w:name w:val="Tiret 1"/>
    <w:basedOn w:val="Point1"/>
    <w:rsid w:val="005303B1"/>
    <w:pPr>
      <w:numPr>
        <w:numId w:val="20"/>
      </w:numPr>
    </w:pPr>
  </w:style>
  <w:style w:type="paragraph" w:customStyle="1" w:styleId="Tiret2">
    <w:name w:val="Tiret 2"/>
    <w:basedOn w:val="Point2"/>
    <w:rsid w:val="005303B1"/>
    <w:pPr>
      <w:numPr>
        <w:numId w:val="21"/>
      </w:numPr>
    </w:pPr>
  </w:style>
  <w:style w:type="paragraph" w:customStyle="1" w:styleId="Tiret3">
    <w:name w:val="Tiret 3"/>
    <w:basedOn w:val="Point3"/>
    <w:rsid w:val="005303B1"/>
    <w:pPr>
      <w:numPr>
        <w:numId w:val="22"/>
      </w:numPr>
    </w:pPr>
  </w:style>
  <w:style w:type="paragraph" w:customStyle="1" w:styleId="Tiret4">
    <w:name w:val="Tiret 4"/>
    <w:basedOn w:val="Point4"/>
    <w:rsid w:val="005303B1"/>
    <w:pPr>
      <w:numPr>
        <w:numId w:val="23"/>
      </w:numPr>
    </w:pPr>
  </w:style>
  <w:style w:type="paragraph" w:customStyle="1" w:styleId="Tiret5">
    <w:name w:val="Tiret 5"/>
    <w:basedOn w:val="Point5"/>
    <w:uiPriority w:val="99"/>
    <w:semiHidden/>
    <w:rsid w:val="005303B1"/>
    <w:pPr>
      <w:numPr>
        <w:numId w:val="24"/>
      </w:numPr>
    </w:pPr>
  </w:style>
  <w:style w:type="paragraph" w:customStyle="1" w:styleId="PointDouble0">
    <w:name w:val="PointDouble 0"/>
    <w:basedOn w:val="Normal"/>
    <w:rsid w:val="005303B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5303B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5303B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5303B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5303B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5303B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5303B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5303B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5303B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5303B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5303B1"/>
    <w:pPr>
      <w:widowControl/>
      <w:numPr>
        <w:ilvl w:val="3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5303B1"/>
    <w:pPr>
      <w:widowControl/>
      <w:numPr>
        <w:ilvl w:val="4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5303B1"/>
    <w:pPr>
      <w:widowControl/>
      <w:numPr>
        <w:ilvl w:val="5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5303B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5303B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5303B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5303B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303B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303B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303B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5303B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5303B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5303B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5303B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303B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303B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303B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303B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5303B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5303B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5303B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303B1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303B1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303B1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303B1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5303B1"/>
    <w:pPr>
      <w:widowControl/>
      <w:numPr>
        <w:ilvl w:val="6"/>
        <w:numId w:val="26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5303B1"/>
    <w:pPr>
      <w:widowControl/>
      <w:numPr>
        <w:ilvl w:val="2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5303B1"/>
    <w:pPr>
      <w:widowControl/>
      <w:numPr>
        <w:ilvl w:val="4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5303B1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5303B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5303B1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5303B1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5303B1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5303B1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5303B1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5303B1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5303B1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5303B1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5303B1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303B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303B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5303B1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303B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303B1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303B1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5303B1"/>
  </w:style>
  <w:style w:type="paragraph" w:customStyle="1" w:styleId="TitreobjetPagedecouverture">
    <w:name w:val="Titre objet (Page de couverture)"/>
    <w:basedOn w:val="Titreobjet"/>
    <w:next w:val="IntrtEEEPagedecouverture"/>
    <w:rsid w:val="005303B1"/>
  </w:style>
  <w:style w:type="paragraph" w:customStyle="1" w:styleId="IntrtEEEPagedecouverture">
    <w:name w:val="Intérêt EEE (Page de couverture)"/>
    <w:basedOn w:val="IntrtEEE"/>
    <w:next w:val="Rfrencecroise"/>
    <w:rsid w:val="005303B1"/>
  </w:style>
  <w:style w:type="paragraph" w:customStyle="1" w:styleId="Rfrencecroise">
    <w:name w:val="Référence croisée"/>
    <w:basedOn w:val="Normal"/>
    <w:rsid w:val="005303B1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303B1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303B1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303B1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5303B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5303B1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5303B1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5303B1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303B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303B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303B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5303B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303B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303B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5303B1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303B1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303B1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5303B1"/>
    <w:pPr>
      <w:widowControl/>
      <w:numPr>
        <w:numId w:val="3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5303B1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303B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303B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0"/>
    <w:rsid w:val="005303B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303B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5303B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5303B1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303B1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5303B1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303B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303B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303B1"/>
  </w:style>
  <w:style w:type="paragraph" w:customStyle="1" w:styleId="StatutPagedecouverture">
    <w:name w:val="Statut (Page de couverture)"/>
    <w:basedOn w:val="Statut"/>
    <w:next w:val="TypedudocumentPagedecouverture"/>
    <w:rsid w:val="005303B1"/>
  </w:style>
  <w:style w:type="paragraph" w:customStyle="1" w:styleId="Volume">
    <w:name w:val="Volume"/>
    <w:basedOn w:val="Normal"/>
    <w:next w:val="Confidentialit"/>
    <w:rsid w:val="005303B1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303B1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0"/>
    <w:rsid w:val="005303B1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5303B1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303B1"/>
  </w:style>
  <w:style w:type="paragraph" w:customStyle="1" w:styleId="ObjetacteprincipalPagedecouverture">
    <w:name w:val="Objet acte principal (Page de couverture)"/>
    <w:basedOn w:val="Objetacteprincipal"/>
    <w:next w:val="Rfrencecroise"/>
    <w:rsid w:val="005303B1"/>
  </w:style>
  <w:style w:type="paragraph" w:customStyle="1" w:styleId="AccompagnantPagedecouverture">
    <w:name w:val="Accompagnant (Page de couverture)"/>
    <w:basedOn w:val="Accompagnant"/>
    <w:next w:val="TypeacteprincipalPagedecouverture"/>
    <w:rsid w:val="005303B1"/>
  </w:style>
  <w:style w:type="paragraph" w:customStyle="1" w:styleId="LanguesfaisantfoiPagedecouverture">
    <w:name w:val="Langues faisant foi (Page de couverture)"/>
    <w:basedOn w:val="Normal"/>
    <w:next w:val="Normal"/>
    <w:rsid w:val="005303B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customStyle="1" w:styleId="tw4winMark">
    <w:name w:val="tw4winMark"/>
    <w:rsid w:val="005303B1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5303B1"/>
    <w:rPr>
      <w:rFonts w:ascii="Times New Roman" w:hAnsi="Times New Roman" w:cs="Times New Roman" w:hint="default"/>
      <w:b/>
      <w:bCs w:val="0"/>
      <w:sz w:val="28"/>
      <w:lang w:val="mt-MT"/>
    </w:rPr>
  </w:style>
  <w:style w:type="character" w:customStyle="1" w:styleId="num">
    <w:name w:val="num"/>
    <w:basedOn w:val="DefaultParagraphFont"/>
    <w:rsid w:val="005303B1"/>
  </w:style>
  <w:style w:type="character" w:customStyle="1" w:styleId="Hyperlink1">
    <w:name w:val="Hyperlink1"/>
    <w:basedOn w:val="DefaultParagraphFont"/>
    <w:uiPriority w:val="99"/>
    <w:qFormat/>
    <w:rsid w:val="005303B1"/>
    <w:rPr>
      <w:color w:val="0000FF"/>
      <w:u w:val="single"/>
    </w:rPr>
  </w:style>
  <w:style w:type="character" w:customStyle="1" w:styleId="oj-italic">
    <w:name w:val="oj-italic"/>
    <w:basedOn w:val="DefaultParagraphFont"/>
    <w:rsid w:val="005303B1"/>
  </w:style>
  <w:style w:type="character" w:customStyle="1" w:styleId="super">
    <w:name w:val="super"/>
    <w:basedOn w:val="DefaultParagraphFont"/>
    <w:rsid w:val="005303B1"/>
  </w:style>
  <w:style w:type="character" w:customStyle="1" w:styleId="CommentTextChar1">
    <w:name w:val="Comment Text Char1"/>
    <w:basedOn w:val="DefaultParagraphFont"/>
    <w:uiPriority w:val="99"/>
    <w:locked/>
    <w:rsid w:val="005303B1"/>
    <w:rPr>
      <w:rFonts w:ascii="Times New Roman" w:eastAsia="Calibri" w:hAnsi="Times New Roman" w:cs="Times New Roman" w:hint="default"/>
      <w:sz w:val="20"/>
      <w:szCs w:val="20"/>
      <w:lang w:val="mt-MT"/>
    </w:rPr>
  </w:style>
  <w:style w:type="character" w:customStyle="1" w:styleId="markedcontent">
    <w:name w:val="markedcontent"/>
    <w:basedOn w:val="DefaultParagraphFont"/>
    <w:rsid w:val="005303B1"/>
  </w:style>
  <w:style w:type="character" w:customStyle="1" w:styleId="tw4winError">
    <w:name w:val="tw4winError"/>
    <w:rsid w:val="005303B1"/>
    <w:rPr>
      <w:color w:val="00FF00"/>
      <w:sz w:val="40"/>
      <w:lang w:val="mt-MT" w:eastAsia="en-GB"/>
    </w:rPr>
  </w:style>
  <w:style w:type="character" w:customStyle="1" w:styleId="tw4winTerm">
    <w:name w:val="tw4winTerm"/>
    <w:rsid w:val="005303B1"/>
    <w:rPr>
      <w:color w:val="0000FF"/>
      <w:lang w:val="mt-MT" w:eastAsia="en-GB"/>
    </w:rPr>
  </w:style>
  <w:style w:type="character" w:customStyle="1" w:styleId="tw4winPopup">
    <w:name w:val="tw4winPopup"/>
    <w:rsid w:val="005303B1"/>
    <w:rPr>
      <w:noProof/>
      <w:color w:val="008000"/>
      <w:lang w:val="mt-MT" w:eastAsia="en-GB"/>
    </w:rPr>
  </w:style>
  <w:style w:type="character" w:customStyle="1" w:styleId="tw4winJump">
    <w:name w:val="tw4winJump"/>
    <w:rsid w:val="005303B1"/>
    <w:rPr>
      <w:noProof/>
      <w:color w:val="008080"/>
      <w:lang w:val="mt-MT" w:eastAsia="en-GB"/>
    </w:rPr>
  </w:style>
  <w:style w:type="character" w:customStyle="1" w:styleId="tw4winExternal">
    <w:name w:val="tw4winExternal"/>
    <w:rsid w:val="005303B1"/>
    <w:rPr>
      <w:noProof/>
      <w:color w:val="808080"/>
      <w:lang w:val="mt-MT" w:eastAsia="en-GB"/>
    </w:rPr>
  </w:style>
  <w:style w:type="character" w:customStyle="1" w:styleId="tw4winInternal">
    <w:name w:val="tw4winInternal"/>
    <w:rsid w:val="005303B1"/>
    <w:rPr>
      <w:noProof/>
      <w:color w:val="FF0000"/>
      <w:lang w:val="mt-MT" w:eastAsia="en-GB"/>
    </w:rPr>
  </w:style>
  <w:style w:type="character" w:customStyle="1" w:styleId="DONOTTRANSLATE">
    <w:name w:val="DO_NOT_TRANSLATE"/>
    <w:rsid w:val="005303B1"/>
    <w:rPr>
      <w:noProof/>
      <w:color w:val="800000"/>
      <w:lang w:val="mt-MT" w:eastAsia="en-GB"/>
    </w:rPr>
  </w:style>
  <w:style w:type="character" w:customStyle="1" w:styleId="Marker">
    <w:name w:val="Marker"/>
    <w:basedOn w:val="DefaultParagraphFont"/>
    <w:rsid w:val="005303B1"/>
    <w:rPr>
      <w:color w:val="0000FF"/>
    </w:rPr>
  </w:style>
  <w:style w:type="character" w:customStyle="1" w:styleId="Marker1">
    <w:name w:val="Marker1"/>
    <w:basedOn w:val="DefaultParagraphFont"/>
    <w:rsid w:val="005303B1"/>
    <w:rPr>
      <w:color w:val="008000"/>
    </w:rPr>
  </w:style>
  <w:style w:type="character" w:customStyle="1" w:styleId="Marker2">
    <w:name w:val="Marker2"/>
    <w:basedOn w:val="DefaultParagraphFont"/>
    <w:rsid w:val="005303B1"/>
    <w:rPr>
      <w:color w:val="FF0000"/>
    </w:rPr>
  </w:style>
  <w:style w:type="character" w:customStyle="1" w:styleId="Added">
    <w:name w:val="Added"/>
    <w:basedOn w:val="DefaultParagraphFont"/>
    <w:rsid w:val="005303B1"/>
    <w:rPr>
      <w:b/>
      <w:bCs w:val="0"/>
      <w:u w:val="single"/>
    </w:rPr>
  </w:style>
  <w:style w:type="character" w:customStyle="1" w:styleId="Deleted">
    <w:name w:val="Deleted"/>
    <w:basedOn w:val="DefaultParagraphFont"/>
    <w:rsid w:val="005303B1"/>
    <w:rPr>
      <w:strike/>
    </w:rPr>
  </w:style>
  <w:style w:type="paragraph" w:customStyle="1" w:styleId="ListNumber4Level4">
    <w:name w:val="List Number 4 (Level 4)"/>
    <w:basedOn w:val="Text4"/>
    <w:uiPriority w:val="99"/>
    <w:semiHidden/>
    <w:rsid w:val="005303B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5303B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semiHidden/>
    <w:rsid w:val="005303B1"/>
    <w:pPr>
      <w:numPr>
        <w:ilvl w:val="2"/>
        <w:numId w:val="10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article">
    <w:name w:val="Title article"/>
    <w:basedOn w:val="Point0number"/>
    <w:uiPriority w:val="99"/>
    <w:semiHidden/>
    <w:rsid w:val="005303B1"/>
    <w:pPr>
      <w:ind w:left="0" w:firstLine="0"/>
      <w:jc w:val="center"/>
    </w:pPr>
    <w:rPr>
      <w:i/>
    </w:rPr>
  </w:style>
  <w:style w:type="paragraph" w:customStyle="1" w:styleId="1">
    <w:name w:val="1."/>
    <w:basedOn w:val="Point1"/>
    <w:uiPriority w:val="99"/>
    <w:semiHidden/>
    <w:rsid w:val="005303B1"/>
  </w:style>
  <w:style w:type="paragraph" w:customStyle="1" w:styleId="ListNumber3Level4">
    <w:name w:val="List Number 3 (Level 4)"/>
    <w:basedOn w:val="Text3"/>
    <w:uiPriority w:val="99"/>
    <w:semiHidden/>
    <w:rsid w:val="005303B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5303B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semiHidden/>
    <w:rsid w:val="005303B1"/>
    <w:pPr>
      <w:numPr>
        <w:ilvl w:val="2"/>
        <w:numId w:val="9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Normal24a">
    <w:name w:val="Normal24a"/>
    <w:basedOn w:val="Normal"/>
    <w:rsid w:val="005303B1"/>
    <w:pPr>
      <w:spacing w:after="480"/>
    </w:pPr>
  </w:style>
  <w:style w:type="paragraph" w:customStyle="1" w:styleId="NormalBoldCenter">
    <w:name w:val="NormalBoldCenter"/>
    <w:basedOn w:val="Normal"/>
    <w:rsid w:val="005303B1"/>
    <w:pPr>
      <w:jc w:val="center"/>
    </w:pPr>
    <w:rPr>
      <w:b/>
    </w:rPr>
  </w:style>
  <w:style w:type="paragraph" w:customStyle="1" w:styleId="point10">
    <w:name w:val="point1"/>
    <w:basedOn w:val="Normal"/>
    <w:rsid w:val="005303B1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PageHeadingNotTOC">
    <w:name w:val="PageHeadingNotTOC"/>
    <w:basedOn w:val="Normal"/>
    <w:rsid w:val="005303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303B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303B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303B1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3B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303B1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5303B1"/>
    <w:rPr>
      <w:b/>
      <w:bCs/>
    </w:rPr>
  </w:style>
  <w:style w:type="paragraph" w:styleId="NoSpacing">
    <w:name w:val="No Spacing"/>
    <w:basedOn w:val="Normal"/>
    <w:uiPriority w:val="1"/>
    <w:qFormat/>
    <w:rsid w:val="005303B1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303B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303B1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3B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3B1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5303B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303B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303B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303B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303B1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5303B1"/>
  </w:style>
  <w:style w:type="paragraph" w:customStyle="1" w:styleId="TOC21">
    <w:name w:val="TOC 21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5303B1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customStyle="1" w:styleId="BodyText1">
    <w:name w:val="Body Text1"/>
    <w:basedOn w:val="Normal"/>
    <w:next w:val="BodyText"/>
    <w:uiPriority w:val="99"/>
    <w:unhideWhenUsed/>
    <w:rsid w:val="005303B1"/>
    <w:pPr>
      <w:widowControl/>
      <w:spacing w:before="120" w:after="120"/>
      <w:jc w:val="both"/>
    </w:pPr>
    <w:rPr>
      <w:rFonts w:asciiTheme="minorHAnsi" w:eastAsia="Calibri" w:hAnsiTheme="minorHAnsi"/>
      <w:szCs w:val="22"/>
      <w:lang w:eastAsia="en-US"/>
    </w:rPr>
  </w:style>
  <w:style w:type="character" w:customStyle="1" w:styleId="BodyTextChar1">
    <w:name w:val="Body Text Char1"/>
    <w:basedOn w:val="DefaultParagraphFont"/>
    <w:uiPriority w:val="99"/>
    <w:semiHidden/>
    <w:rsid w:val="005303B1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5303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3B1"/>
    <w:rPr>
      <w:sz w:val="24"/>
      <w:lang w:val="mt-MT"/>
    </w:rPr>
  </w:style>
  <w:style w:type="paragraph" w:customStyle="1" w:styleId="AmDocTypeTab">
    <w:name w:val="AmDocTypeTab"/>
    <w:basedOn w:val="Normal"/>
    <w:rsid w:val="006C25E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C25E5"/>
    <w:pPr>
      <w:tabs>
        <w:tab w:val="right" w:pos="9072"/>
      </w:tabs>
    </w:pPr>
  </w:style>
  <w:style w:type="paragraph" w:styleId="ListBullet5">
    <w:name w:val="List Bullet 5"/>
    <w:basedOn w:val="Normal"/>
    <w:autoRedefine/>
    <w:rsid w:val="006C25E5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qFormat/>
    <w:rsid w:val="006C25E5"/>
    <w:pPr>
      <w:spacing w:before="120" w:after="120" w:line="360" w:lineRule="auto"/>
      <w:jc w:val="both"/>
    </w:pPr>
    <w:rPr>
      <w:rFonts w:eastAsiaTheme="minorHAnsi"/>
      <w:sz w:val="24"/>
      <w:szCs w:val="22"/>
      <w:lang w:val="mt-MT" w:eastAsia="en-US"/>
    </w:rPr>
  </w:style>
  <w:style w:type="character" w:customStyle="1" w:styleId="Footer2">
    <w:name w:val="Footer2"/>
    <w:uiPriority w:val="1"/>
    <w:qFormat/>
    <w:rsid w:val="006C25E5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6C25E5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6C25E5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6C25E5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6C25E5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6C25E5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6C25E5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6C25E5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6C25E5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6C25E5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6C25E5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6C25E5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6C25E5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6C25E5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6C25E5"/>
    <w:pPr>
      <w:spacing w:before="120"/>
    </w:pPr>
  </w:style>
  <w:style w:type="paragraph" w:customStyle="1" w:styleId="TitlePar3">
    <w:name w:val="TitlePar 3"/>
    <w:basedOn w:val="TitlePar2"/>
    <w:qFormat/>
    <w:rsid w:val="006C25E5"/>
    <w:rPr>
      <w:b w:val="0"/>
      <w:i/>
    </w:rPr>
  </w:style>
  <w:style w:type="paragraph" w:customStyle="1" w:styleId="SubsectionTitle">
    <w:name w:val="SubsectionTitle"/>
    <w:basedOn w:val="SectionTitle"/>
    <w:qFormat/>
    <w:rsid w:val="006C25E5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6C25E5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qFormat/>
    <w:rsid w:val="006C25E5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6C25E5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0"/>
    <w:qFormat/>
    <w:rsid w:val="006C25E5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6C25E5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6C25E5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6C25E5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6C25E5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6C25E5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6C25E5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6C25E5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6C25E5"/>
    <w:pPr>
      <w:spacing w:line="360" w:lineRule="auto"/>
      <w:ind w:left="4253"/>
    </w:pPr>
  </w:style>
  <w:style w:type="numbering" w:customStyle="1" w:styleId="NoList11">
    <w:name w:val="No List11"/>
    <w:next w:val="NoList"/>
    <w:uiPriority w:val="99"/>
    <w:semiHidden/>
    <w:unhideWhenUsed/>
    <w:rsid w:val="006C25E5"/>
  </w:style>
  <w:style w:type="paragraph" w:customStyle="1" w:styleId="HeadingDocType24a">
    <w:name w:val="HeadingDocType24a"/>
    <w:basedOn w:val="Normal"/>
    <w:rsid w:val="00D17632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D17632"/>
    <w:pPr>
      <w:jc w:val="center"/>
    </w:pPr>
  </w:style>
  <w:style w:type="paragraph" w:customStyle="1" w:styleId="LineSingle">
    <w:name w:val="LineSingle"/>
    <w:basedOn w:val="Normal"/>
    <w:next w:val="Normal"/>
    <w:rsid w:val="00D17632"/>
    <w:pPr>
      <w:pBdr>
        <w:bottom w:val="single" w:sz="4" w:space="1" w:color="auto"/>
      </w:pBdr>
      <w:spacing w:after="240"/>
    </w:pPr>
  </w:style>
  <w:style w:type="paragraph" w:customStyle="1" w:styleId="HeadingReferenceERCO">
    <w:name w:val="HeadingReferenceERCO"/>
    <w:basedOn w:val="Normal"/>
    <w:rsid w:val="00D17632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D1763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0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B5FFF-A283-48E2-A581-8844E3C86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2024-12-02T11:24:00Z</dcterms:created>
  <dcterms:modified xsi:type="dcterms:W3CDTF">2024-12-02T11:24:00Z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P9_TA(2024)0130_</vt:lpwstr>
  </property>
  <property fmtid="{D5CDD505-2E9C-101B-9397-08002B2CF9AE}" pid="4" name="&lt;Type&gt;">
    <vt:lpwstr>RR</vt:lpwstr>
  </property>
</Properties>
</file>