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16409" w:rsidRPr="00FA567A" w14:paraId="3DC37520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115C11" w14:textId="77777777" w:rsidR="00716409" w:rsidRPr="00FA567A" w:rsidRDefault="003A067F">
            <w:pPr>
              <w:pStyle w:val="EPName"/>
            </w:pPr>
            <w:r w:rsidRPr="00FA567A">
              <w:t>Európsky parlament</w:t>
            </w:r>
          </w:p>
          <w:p w14:paraId="3705D6BC" w14:textId="77777777" w:rsidR="00716409" w:rsidRPr="00FA567A" w:rsidRDefault="003A067F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567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60BCCF9" w14:textId="77777777" w:rsidR="00716409" w:rsidRPr="00FA567A" w:rsidRDefault="003A067F">
            <w:pPr>
              <w:pStyle w:val="EPLogo"/>
            </w:pPr>
            <w:r w:rsidRPr="00FA567A">
              <w:rPr>
                <w:noProof/>
                <w:lang w:val="en-GB"/>
              </w:rPr>
              <w:drawing>
                <wp:inline distT="0" distB="0" distL="0" distR="0" wp14:anchorId="3ECFD91D" wp14:editId="46C90F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713275" w14:textId="77777777" w:rsidR="00716409" w:rsidRPr="00FA567A" w:rsidRDefault="00716409">
      <w:pPr>
        <w:pStyle w:val="LineTop"/>
      </w:pPr>
    </w:p>
    <w:p w14:paraId="27A96036" w14:textId="77777777" w:rsidR="00716409" w:rsidRPr="00FA567A" w:rsidRDefault="003A067F">
      <w:pPr>
        <w:pStyle w:val="EPBodyTA1"/>
      </w:pPr>
      <w:r w:rsidRPr="00FA567A">
        <w:t>PRIJATÉ TEXTY</w:t>
      </w:r>
    </w:p>
    <w:p w14:paraId="27DCC9D1" w14:textId="77777777" w:rsidR="00716409" w:rsidRPr="00FA567A" w:rsidRDefault="00716409">
      <w:pPr>
        <w:pStyle w:val="LineBottom"/>
      </w:pPr>
    </w:p>
    <w:p w14:paraId="5C37145E" w14:textId="2C755983" w:rsidR="00716409" w:rsidRPr="00FA567A" w:rsidRDefault="003A067F">
      <w:pPr>
        <w:pStyle w:val="ATHeading1"/>
      </w:pPr>
      <w:bookmarkStart w:id="0" w:name="TANumber"/>
      <w:r w:rsidRPr="00FA567A">
        <w:t>P9_TA(2024)0</w:t>
      </w:r>
      <w:r w:rsidR="00897C45" w:rsidRPr="00FA567A">
        <w:t>13</w:t>
      </w:r>
      <w:r w:rsidR="005805DD" w:rsidRPr="00FA567A">
        <w:t>0</w:t>
      </w:r>
      <w:bookmarkEnd w:id="0"/>
    </w:p>
    <w:p w14:paraId="481531E4" w14:textId="68F8A4FD" w:rsidR="00716409" w:rsidRPr="00FA567A" w:rsidRDefault="003A067F">
      <w:pPr>
        <w:pStyle w:val="ATHeading2"/>
      </w:pPr>
      <w:bookmarkStart w:id="1" w:name="title"/>
      <w:r w:rsidRPr="00FA567A">
        <w:t>Akt o kybernetickej odolnosti</w:t>
      </w:r>
      <w:bookmarkEnd w:id="1"/>
    </w:p>
    <w:p w14:paraId="7027C633" w14:textId="77777777" w:rsidR="00716409" w:rsidRPr="00FA567A" w:rsidRDefault="003A067F">
      <w:pPr>
        <w:rPr>
          <w:i/>
          <w:vanish/>
        </w:rPr>
      </w:pPr>
      <w:r w:rsidRPr="00FA567A">
        <w:rPr>
          <w:i/>
        </w:rPr>
        <w:fldChar w:fldCharType="begin"/>
      </w:r>
      <w:r w:rsidRPr="00FA567A">
        <w:rPr>
          <w:i/>
        </w:rPr>
        <w:instrText xml:space="preserve"> TC"(</w:instrText>
      </w:r>
      <w:bookmarkStart w:id="2" w:name="DocNumber"/>
      <w:r w:rsidRPr="00FA567A">
        <w:rPr>
          <w:i/>
        </w:rPr>
        <w:instrText>A9-0253/2023</w:instrText>
      </w:r>
      <w:bookmarkEnd w:id="2"/>
      <w:r w:rsidRPr="00FA567A">
        <w:rPr>
          <w:i/>
        </w:rPr>
        <w:instrText xml:space="preserve"> - Spravodajca: Nicola Danti)"\l3 \n&gt; \* MERGEFORMAT </w:instrText>
      </w:r>
      <w:r w:rsidRPr="00FA567A">
        <w:rPr>
          <w:i/>
        </w:rPr>
        <w:fldChar w:fldCharType="end"/>
      </w:r>
    </w:p>
    <w:p w14:paraId="40EB9294" w14:textId="77777777" w:rsidR="00716409" w:rsidRPr="00FA567A" w:rsidRDefault="003A067F">
      <w:pPr>
        <w:rPr>
          <w:vanish/>
        </w:rPr>
      </w:pPr>
      <w:bookmarkStart w:id="3" w:name="Commission"/>
      <w:r w:rsidRPr="00FA567A">
        <w:rPr>
          <w:vanish/>
        </w:rPr>
        <w:t>Výboru pre priemysel, výskum a energetiku</w:t>
      </w:r>
      <w:bookmarkEnd w:id="3"/>
    </w:p>
    <w:p w14:paraId="286321F1" w14:textId="77777777" w:rsidR="00716409" w:rsidRPr="00FA567A" w:rsidRDefault="003A067F">
      <w:pPr>
        <w:rPr>
          <w:vanish/>
        </w:rPr>
      </w:pPr>
      <w:bookmarkStart w:id="4" w:name="PE"/>
      <w:r w:rsidRPr="00FA567A">
        <w:rPr>
          <w:vanish/>
        </w:rPr>
        <w:t>PE745.538</w:t>
      </w:r>
      <w:bookmarkEnd w:id="4"/>
    </w:p>
    <w:p w14:paraId="7E19DCC9" w14:textId="174542F8" w:rsidR="00716409" w:rsidRPr="00FA567A" w:rsidRDefault="003A067F">
      <w:pPr>
        <w:pStyle w:val="ATHeading3"/>
      </w:pPr>
      <w:bookmarkStart w:id="5" w:name="Sujet"/>
      <w:r w:rsidRPr="00FA567A">
        <w:t>Legislatívne uzne</w:t>
      </w:r>
      <w:r w:rsidR="004F10C2" w:rsidRPr="00FA567A">
        <w:t>senie Európskeho parlamentu z 12</w:t>
      </w:r>
      <w:r w:rsidRPr="00FA567A">
        <w:t xml:space="preserve">. marca 2024 o návrhu nariadenia Európskeho parlamentu a Rady o horizontálnych požiadavkách kybernetickej bezpečnosti pre produkty s digitálnymi prvkami a o zmene nariadenia (EÚ) 2019/1020 </w:t>
      </w:r>
      <w:bookmarkStart w:id="6" w:name="References"/>
      <w:bookmarkEnd w:id="5"/>
      <w:r w:rsidRPr="00FA567A">
        <w:t>(COM(2022)0454 – C9-0308/2022 – 2022/0272(COD))</w:t>
      </w:r>
      <w:bookmarkEnd w:id="6"/>
    </w:p>
    <w:p w14:paraId="4137FABD" w14:textId="77777777" w:rsidR="00716409" w:rsidRPr="00FA567A" w:rsidRDefault="00716409"/>
    <w:p w14:paraId="1B9AF7E8" w14:textId="77777777" w:rsidR="00716409" w:rsidRPr="00FA567A" w:rsidRDefault="003A067F">
      <w:pPr>
        <w:pStyle w:val="NormalBold"/>
      </w:pPr>
      <w:bookmarkStart w:id="7" w:name="TextBodyBegin"/>
      <w:bookmarkEnd w:id="7"/>
      <w:r w:rsidRPr="00FA567A">
        <w:t>(Riadny legislatívny postup: prvé čítanie)</w:t>
      </w:r>
    </w:p>
    <w:p w14:paraId="2325518E" w14:textId="77777777" w:rsidR="00716409" w:rsidRPr="00FA567A" w:rsidRDefault="003A067F">
      <w:pPr>
        <w:pStyle w:val="EPComma"/>
        <w:rPr>
          <w:i/>
        </w:rPr>
      </w:pPr>
      <w:r w:rsidRPr="00FA567A">
        <w:rPr>
          <w:i/>
        </w:rPr>
        <w:t>Európsky parlament,</w:t>
      </w:r>
    </w:p>
    <w:p w14:paraId="69B678FE" w14:textId="77777777" w:rsidR="00716409" w:rsidRPr="00FA567A" w:rsidRDefault="003A067F">
      <w:pPr>
        <w:pStyle w:val="NormalHanging12a"/>
      </w:pPr>
      <w:r w:rsidRPr="00FA567A">
        <w:t>–</w:t>
      </w:r>
      <w:r w:rsidRPr="00FA567A">
        <w:tab/>
        <w:t>so zreteľom na návrh Komisie pre Európsky parlament a Radu (COM(2022)0454),</w:t>
      </w:r>
    </w:p>
    <w:p w14:paraId="184CA242" w14:textId="77777777" w:rsidR="00716409" w:rsidRPr="00FA567A" w:rsidRDefault="003A067F">
      <w:pPr>
        <w:pStyle w:val="NormalHanging12a"/>
      </w:pPr>
      <w:r w:rsidRPr="00FA567A">
        <w:t>–</w:t>
      </w:r>
      <w:r w:rsidRPr="00FA567A">
        <w:tab/>
        <w:t>so zreteľom na článok 294 ods. 2 a článok 114 Zmluvy o fungovaní Európskej únie, v súlade s ktorými Komisia predložila návrh Európskemu parlamentu (C9</w:t>
      </w:r>
      <w:r w:rsidRPr="00FA567A">
        <w:noBreakHyphen/>
        <w:t>0308/2022),</w:t>
      </w:r>
    </w:p>
    <w:p w14:paraId="4EF98CBA" w14:textId="77777777" w:rsidR="00716409" w:rsidRPr="00FA567A" w:rsidRDefault="003A067F">
      <w:pPr>
        <w:pStyle w:val="NormalHanging12a"/>
      </w:pPr>
      <w:r w:rsidRPr="00FA567A">
        <w:t>–</w:t>
      </w:r>
      <w:r w:rsidRPr="00FA567A">
        <w:tab/>
        <w:t>so zreteľom na článok 294 ods. 3 Zmluvy o fungovaní Európskej únie,</w:t>
      </w:r>
    </w:p>
    <w:p w14:paraId="569891BD" w14:textId="77777777" w:rsidR="00716409" w:rsidRPr="00FA567A" w:rsidRDefault="003A067F">
      <w:pPr>
        <w:pStyle w:val="NormalHanging12a"/>
      </w:pPr>
      <w:r w:rsidRPr="00FA567A">
        <w:t>–</w:t>
      </w:r>
      <w:r w:rsidRPr="00FA567A">
        <w:tab/>
        <w:t>so zreteľom na stanovisko Európskeho hospodárskeho a sociálneho výboru zo 14. decembra 2022</w:t>
      </w:r>
      <w:r w:rsidRPr="00FA567A">
        <w:rPr>
          <w:rStyle w:val="FootnoteReference"/>
        </w:rPr>
        <w:footnoteReference w:id="1"/>
      </w:r>
      <w:r w:rsidRPr="00FA567A">
        <w:t>,</w:t>
      </w:r>
    </w:p>
    <w:p w14:paraId="361BD527" w14:textId="77777777" w:rsidR="00716409" w:rsidRPr="00FA567A" w:rsidRDefault="003A067F">
      <w:pPr>
        <w:pStyle w:val="NormalHanging12a"/>
      </w:pPr>
      <w:r w:rsidRPr="00FA567A">
        <w:t>–</w:t>
      </w:r>
      <w:r w:rsidRPr="00FA567A">
        <w:tab/>
        <w:t>so zreteľom na predbežnú dohodu schválenú gestorským výborom podľa článku 74 ods. 4 rokovacieho poriadku, a na záväzok zástupcu Rady, vyjadrený v liste z 20. decembra 2023, schváliť pozíciu Európskeho parlamentu v súlade s článkom 294 ods. 4 Zmluvy o fungovaní Európskej únie,</w:t>
      </w:r>
    </w:p>
    <w:p w14:paraId="64CD1CAC" w14:textId="77777777" w:rsidR="00716409" w:rsidRPr="00FA567A" w:rsidRDefault="003A067F">
      <w:pPr>
        <w:pStyle w:val="NormalHanging12a"/>
      </w:pPr>
      <w:r w:rsidRPr="00FA567A">
        <w:t>–</w:t>
      </w:r>
      <w:r w:rsidRPr="00FA567A">
        <w:tab/>
        <w:t>so zreteľom na článok 59 rokovacieho poriadku,</w:t>
      </w:r>
    </w:p>
    <w:p w14:paraId="2BD1D4B8" w14:textId="77777777" w:rsidR="00716409" w:rsidRPr="00FA567A" w:rsidRDefault="003A067F">
      <w:pPr>
        <w:pStyle w:val="NormalHanging12a"/>
      </w:pPr>
      <w:r w:rsidRPr="00FA567A">
        <w:t>–</w:t>
      </w:r>
      <w:r w:rsidRPr="00FA567A">
        <w:tab/>
        <w:t>so zreteľom na stanovisko Výboru pre vnútorný trh a ochranu spotrebiteľa,</w:t>
      </w:r>
    </w:p>
    <w:p w14:paraId="2BDA4F57" w14:textId="77777777" w:rsidR="00716409" w:rsidRPr="00FA567A" w:rsidRDefault="003A067F">
      <w:pPr>
        <w:pStyle w:val="NormalHanging12a"/>
      </w:pPr>
      <w:r w:rsidRPr="00FA567A">
        <w:t>–</w:t>
      </w:r>
      <w:r w:rsidRPr="00FA567A">
        <w:tab/>
        <w:t>so zreteľom na správu Výboru pre priemysel, výskum a energetiku (A9-0253/2023),</w:t>
      </w:r>
    </w:p>
    <w:p w14:paraId="712294CB" w14:textId="77777777" w:rsidR="00716409" w:rsidRPr="00FA567A" w:rsidRDefault="003A067F">
      <w:pPr>
        <w:pStyle w:val="NormalHanging12a"/>
      </w:pPr>
      <w:r w:rsidRPr="00FA567A">
        <w:t>1.</w:t>
      </w:r>
      <w:r w:rsidRPr="00FA567A">
        <w:tab/>
        <w:t>prijíma nasledujúcu pozíciu v prvom čítaní;</w:t>
      </w:r>
    </w:p>
    <w:p w14:paraId="56B327EE" w14:textId="5012CCE4" w:rsidR="00716409" w:rsidRPr="00FA567A" w:rsidRDefault="003A067F">
      <w:pPr>
        <w:pStyle w:val="NormalHanging12a"/>
      </w:pPr>
      <w:r w:rsidRPr="00FA567A">
        <w:t>2.</w:t>
      </w:r>
      <w:r w:rsidRPr="00FA567A">
        <w:tab/>
        <w:t>schvaľuje spoločné vyhlásenie Európskeho parlamentu</w:t>
      </w:r>
      <w:r w:rsidR="005D06E0" w:rsidRPr="00FA567A">
        <w:t>,</w:t>
      </w:r>
      <w:r w:rsidRPr="00FA567A">
        <w:t xml:space="preserve"> Rady </w:t>
      </w:r>
      <w:r w:rsidR="00AF1FA3" w:rsidRPr="00FA567A">
        <w:t xml:space="preserve">a Komisie </w:t>
      </w:r>
      <w:r w:rsidRPr="00FA567A">
        <w:t xml:space="preserve">uvedené v prílohe k tomuto uzneseniu, ktoré sa uverejní v sérii C </w:t>
      </w:r>
      <w:r w:rsidRPr="00FA567A">
        <w:rPr>
          <w:i/>
          <w:iCs/>
        </w:rPr>
        <w:t xml:space="preserve">Úradného vestníka Európskej </w:t>
      </w:r>
      <w:r w:rsidRPr="00FA567A">
        <w:rPr>
          <w:i/>
          <w:iCs/>
        </w:rPr>
        <w:lastRenderedPageBreak/>
        <w:t>únie</w:t>
      </w:r>
      <w:r w:rsidRPr="00FA567A">
        <w:t>;</w:t>
      </w:r>
      <w:r w:rsidR="00AF1FA3" w:rsidRPr="00FA567A">
        <w:t xml:space="preserve"> </w:t>
      </w:r>
    </w:p>
    <w:p w14:paraId="320FBCCA" w14:textId="6B9DF5DB" w:rsidR="00716409" w:rsidRPr="00FA567A" w:rsidRDefault="003A067F">
      <w:pPr>
        <w:pStyle w:val="NormalHanging12a"/>
      </w:pPr>
      <w:r w:rsidRPr="00FA567A">
        <w:t>3.</w:t>
      </w:r>
      <w:r w:rsidRPr="00FA567A">
        <w:tab/>
        <w:t>žiada Komisiu, aby mu vec znovu predložila, ak nahr</w:t>
      </w:r>
      <w:r w:rsidR="005D06E0" w:rsidRPr="00FA567A">
        <w:t>ádza</w:t>
      </w:r>
      <w:r w:rsidRPr="00FA567A">
        <w:t>, podstatne mení alebo má v úmysle podstatne zmeniť svoj návrh;</w:t>
      </w:r>
    </w:p>
    <w:p w14:paraId="20CA575E" w14:textId="77777777" w:rsidR="00716409" w:rsidRPr="00FA567A" w:rsidRDefault="003A067F">
      <w:pPr>
        <w:pStyle w:val="NormalHanging12a"/>
      </w:pPr>
      <w:r w:rsidRPr="00FA567A">
        <w:t>4.</w:t>
      </w:r>
      <w:r w:rsidRPr="00FA567A">
        <w:tab/>
        <w:t>poveruje svoju predsedníčku, aby postúpila túto pozíciu Rade, Komisii a národným parlamentom.</w:t>
      </w:r>
    </w:p>
    <w:p w14:paraId="0E299828" w14:textId="77777777" w:rsidR="005275F5" w:rsidRPr="00FA567A" w:rsidRDefault="005275F5">
      <w:pPr>
        <w:widowControl/>
        <w:rPr>
          <w:b/>
        </w:rPr>
        <w:sectPr w:rsidR="005275F5" w:rsidRPr="00FA567A" w:rsidSect="005275F5"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14:paraId="616403B9" w14:textId="69D8A5B9" w:rsidR="005275F5" w:rsidRPr="00FA567A" w:rsidRDefault="005275F5" w:rsidP="005275F5">
      <w:pPr>
        <w:pStyle w:val="Institutionquiagit"/>
        <w:keepNext w:val="0"/>
        <w:spacing w:before="120"/>
        <w:jc w:val="left"/>
        <w:outlineLvl w:val="0"/>
        <w:rPr>
          <w:b/>
        </w:rPr>
      </w:pPr>
      <w:r w:rsidRPr="00FA567A">
        <w:rPr>
          <w:b/>
        </w:rPr>
        <w:lastRenderedPageBreak/>
        <w:t>P9_TC1-COD(2022)0272</w:t>
      </w:r>
    </w:p>
    <w:p w14:paraId="713CCF7C" w14:textId="7E32D409" w:rsidR="00523ED3" w:rsidRPr="00FA567A" w:rsidRDefault="005275F5" w:rsidP="005275F5">
      <w:pPr>
        <w:widowControl/>
        <w:rPr>
          <w:b/>
          <w:i/>
          <w:iCs/>
        </w:rPr>
      </w:pPr>
      <w:r w:rsidRPr="00FA567A">
        <w:rPr>
          <w:b/>
        </w:rPr>
        <w:t xml:space="preserve">Pozícia Európskeho parlamentu prijatá v prvom čítaní 12. marca 2024 na účely prijatia nariadenia Európskeho parlamentu a Rady (EÚ) 2024/... o horizontálnych požiadavkách kybernetickej bezpečnosti pre produkty s digitálnymi prvkami a o zmene </w:t>
      </w:r>
      <w:r w:rsidRPr="003879CC">
        <w:rPr>
          <w:b/>
          <w:iCs/>
        </w:rPr>
        <w:t>nariadení (EÚ) č. 168/2013 a (EÚ) 2019/1020 a smernice (EÚ) 2020/1828 (akt o kybernetickej odolnosti)</w:t>
      </w:r>
    </w:p>
    <w:p w14:paraId="684F3C8D" w14:textId="77777777" w:rsidR="003879CC" w:rsidRDefault="003879CC" w:rsidP="00523ED3">
      <w:pPr>
        <w:widowControl/>
        <w:spacing w:before="240"/>
        <w:jc w:val="center"/>
        <w:rPr>
          <w:b/>
        </w:rPr>
      </w:pPr>
    </w:p>
    <w:p w14:paraId="5DFE7D59" w14:textId="71C218CA" w:rsidR="003879CC" w:rsidRPr="00731EF8" w:rsidRDefault="003879CC" w:rsidP="003879CC">
      <w:r w:rsidRPr="00731EF8">
        <w:rPr>
          <w:i/>
          <w:iCs/>
        </w:rPr>
        <w:t>(Keďže bola dosiahnutá dohoda medzi Európskym parlamentom a Radou, pozícia Európskeho parlamentu zodpovedá záverečnému legislatívnemu aktu</w:t>
      </w:r>
      <w:r w:rsidRPr="003879CC">
        <w:rPr>
          <w:i/>
          <w:iCs/>
        </w:rPr>
        <w:t>, nariadeniu (EÚ) 2024/</w:t>
      </w:r>
      <w:r w:rsidRPr="003879CC">
        <w:rPr>
          <w:i/>
          <w:iCs/>
        </w:rPr>
        <w:t>2847</w:t>
      </w:r>
      <w:r w:rsidRPr="003879CC">
        <w:rPr>
          <w:i/>
          <w:iCs/>
        </w:rPr>
        <w:t>.)</w:t>
      </w:r>
    </w:p>
    <w:p w14:paraId="56069E96" w14:textId="071BB0C7" w:rsidR="008A26CF" w:rsidRDefault="008A26CF" w:rsidP="003879CC">
      <w:pPr>
        <w:tabs>
          <w:tab w:val="left" w:pos="5385"/>
        </w:tabs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br w:type="page"/>
      </w:r>
    </w:p>
    <w:p w14:paraId="73FD1938" w14:textId="77777777" w:rsidR="008A26CF" w:rsidRPr="00FA567A" w:rsidRDefault="008A26CF" w:rsidP="008A26CF">
      <w:pPr>
        <w:widowControl/>
        <w:spacing w:after="200" w:line="276" w:lineRule="auto"/>
        <w:jc w:val="right"/>
        <w:rPr>
          <w:rFonts w:eastAsiaTheme="minorHAnsi"/>
          <w:szCs w:val="24"/>
          <w:lang w:eastAsia="en-US"/>
        </w:rPr>
      </w:pPr>
      <w:r w:rsidRPr="00FA567A">
        <w:rPr>
          <w:rFonts w:eastAsiaTheme="minorHAnsi"/>
          <w:szCs w:val="24"/>
          <w:lang w:eastAsia="en-US"/>
        </w:rPr>
        <w:t>PRÍLOHA K LEGISLATÍVNEMU UZNESENIU</w:t>
      </w:r>
    </w:p>
    <w:p w14:paraId="4FBD7ECA" w14:textId="77777777" w:rsidR="008A26CF" w:rsidRPr="00FA567A" w:rsidRDefault="008A26CF" w:rsidP="008A26CF">
      <w:pPr>
        <w:widowControl/>
        <w:spacing w:after="200" w:line="276" w:lineRule="auto"/>
        <w:jc w:val="right"/>
        <w:rPr>
          <w:rFonts w:eastAsiaTheme="minorHAnsi"/>
          <w:szCs w:val="24"/>
          <w:lang w:eastAsia="en-US"/>
        </w:rPr>
      </w:pPr>
    </w:p>
    <w:p w14:paraId="33B5F88E" w14:textId="769DFE29" w:rsidR="008A26CF" w:rsidRPr="008A26CF" w:rsidRDefault="008A26CF" w:rsidP="008A26CF">
      <w:pPr>
        <w:widowControl/>
        <w:spacing w:before="120" w:after="120" w:line="360" w:lineRule="auto"/>
        <w:jc w:val="center"/>
        <w:rPr>
          <w:rFonts w:eastAsiaTheme="minorHAnsi"/>
          <w:sz w:val="32"/>
          <w:szCs w:val="24"/>
          <w:lang w:eastAsia="en-US"/>
        </w:rPr>
      </w:pPr>
      <w:r w:rsidRPr="008A26CF">
        <w:rPr>
          <w:rFonts w:eastAsiaTheme="minorHAnsi"/>
          <w:b/>
          <w:bCs/>
          <w:szCs w:val="24"/>
          <w:lang w:eastAsia="en-US"/>
        </w:rPr>
        <w:t xml:space="preserve">Spoločné politické vyhlásenie Európskeho parlamentu, Rady a Komisie o zdrojoch agentúry ENISA pri príležitosti prijatia nariadenia Európskeho parlamentu a Rady (EÚ) </w:t>
      </w:r>
      <w:r w:rsidR="003879CC">
        <w:rPr>
          <w:rFonts w:eastAsiaTheme="minorHAnsi"/>
          <w:b/>
          <w:bCs/>
          <w:szCs w:val="24"/>
          <w:lang w:eastAsia="en-US"/>
        </w:rPr>
        <w:t>2024/2847</w:t>
      </w:r>
      <w:r w:rsidRPr="008A26CF">
        <w:rPr>
          <w:rFonts w:eastAsiaTheme="minorHAnsi"/>
          <w:b/>
          <w:bCs/>
          <w:szCs w:val="24"/>
          <w:lang w:eastAsia="en-US"/>
        </w:rPr>
        <w:t xml:space="preserve"> o horizontálnych požiadavkách kybernetickej bezpečnosti pre produkty s digitálnymi prvkami a o zmene nariadení (EÚ) č. 168/2013 a (EÚ) 2019/1020 a smernica (EÚ) 2020/1828 (akt o kybernetickej odolnosti)</w:t>
      </w:r>
      <w:bookmarkStart w:id="8" w:name="_GoBack"/>
      <w:bookmarkEnd w:id="8"/>
    </w:p>
    <w:p w14:paraId="7F5E536A" w14:textId="02223D80" w:rsidR="008A26CF" w:rsidRPr="003879CC" w:rsidRDefault="008A26CF" w:rsidP="003879CC">
      <w:pPr>
        <w:widowControl/>
        <w:spacing w:before="120" w:after="120" w:line="360" w:lineRule="auto"/>
        <w:rPr>
          <w:rFonts w:eastAsiaTheme="minorHAnsi"/>
          <w:szCs w:val="24"/>
          <w:lang w:eastAsia="en-US"/>
        </w:rPr>
      </w:pPr>
      <w:r w:rsidRPr="00FA567A">
        <w:rPr>
          <w:rFonts w:eastAsiaTheme="minorHAnsi"/>
          <w:szCs w:val="22"/>
          <w:lang w:eastAsia="en-US"/>
        </w:rPr>
        <w:t>Európsky parlament a Rada sa domnievajú, že týmto nariadením sa agentúre ENISA delegujú dodatočné úlohy, ktoré povedú k dodatočnej pracovnej záťaži a budú si vyžadovať dodatočné zdroje tak z hľadiska odborných znalostí, ako aj počtu odborníkov. Vzhľadom na uvedené skutočnosti a s cieľom umožniť agentúre ENISA účinný výkon úloh podľa tohto nariadenia sa Európsky parlament, Rada a Komisia domnievajú, že môže byť potrebné zvýšiť najmä jej ľudské zdroje s primeranými odbornými znalosťami. Takéto zvýšenie by sa mohlo zabezpečiť v rámci ročného postupu v súvislosti s plánom pracovných miest agentúry ENISA. Komisia, ktorá zodpovedá za vkladanie odhadov, ktoré považuje za potrebné pre plán pracovných miest agentúry ENISA, do návrhu všeobecného rozpočtu Únie v rámci rozpočtového postupu stanoveného v článku 314 ZFEÚ a v súlade s postupom stanoveným v akte o kybernetickej bezpečnosti, posúdi odhad rozpočtu pre plán pracovných miest agentúry ENISA na prvý rok po nadobudnutí účinnosti tohto nariadenia s prihliadnutím na potrebné – najmä ľudské – zdroje, aby agentúra ENISA mohla primerane vykonávať svoje úlohy podľa tohto nariadenia.</w:t>
      </w:r>
    </w:p>
    <w:sectPr w:rsidR="008A26CF" w:rsidRPr="003879CC" w:rsidSect="00D8165F">
      <w:footnotePr>
        <w:numRestart w:val="eachSect"/>
      </w:footnotePr>
      <w:type w:val="continuous"/>
      <w:pgSz w:w="11906" w:h="16838"/>
      <w:pgMar w:top="1134" w:right="1417" w:bottom="1417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A98F2" w14:textId="77777777" w:rsidR="002C1873" w:rsidRDefault="002C1873">
      <w:r>
        <w:separator/>
      </w:r>
    </w:p>
  </w:endnote>
  <w:endnote w:type="continuationSeparator" w:id="0">
    <w:p w14:paraId="6A1D2FDB" w14:textId="77777777" w:rsidR="002C1873" w:rsidRDefault="002C1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9FCF6" w14:textId="77777777" w:rsidR="002C1873" w:rsidRDefault="002C1873">
      <w:r>
        <w:separator/>
      </w:r>
    </w:p>
  </w:footnote>
  <w:footnote w:type="continuationSeparator" w:id="0">
    <w:p w14:paraId="56320221" w14:textId="77777777" w:rsidR="002C1873" w:rsidRDefault="002C1873">
      <w:r>
        <w:continuationSeparator/>
      </w:r>
    </w:p>
  </w:footnote>
  <w:footnote w:id="1">
    <w:p w14:paraId="4ED33A01" w14:textId="77777777" w:rsidR="002C1873" w:rsidRPr="003E6A40" w:rsidRDefault="002C1873" w:rsidP="00AF1FA3">
      <w:pPr>
        <w:pStyle w:val="FootnoteText"/>
        <w:ind w:left="567" w:hanging="567"/>
        <w:rPr>
          <w:sz w:val="24"/>
          <w:szCs w:val="24"/>
          <w:lang w:val="sk-SK"/>
        </w:rPr>
      </w:pPr>
      <w:r w:rsidRPr="003E6A40">
        <w:rPr>
          <w:rStyle w:val="FootnoteReference"/>
          <w:sz w:val="24"/>
          <w:szCs w:val="24"/>
          <w:lang w:val="sk-SK"/>
        </w:rPr>
        <w:footnoteRef/>
      </w:r>
      <w:r w:rsidRPr="003E6A40">
        <w:rPr>
          <w:sz w:val="24"/>
          <w:szCs w:val="24"/>
          <w:lang w:val="sk-SK"/>
        </w:rPr>
        <w:t xml:space="preserve"> </w:t>
      </w:r>
      <w:r w:rsidRPr="003E6A40">
        <w:rPr>
          <w:sz w:val="24"/>
          <w:szCs w:val="24"/>
          <w:lang w:val="sk-SK"/>
        </w:rPr>
        <w:tab/>
        <w:t>Ú. v. EÚ C 100, 16.3.2023, s. 101.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0C1E7D"/>
    <w:multiLevelType w:val="hybridMultilevel"/>
    <w:tmpl w:val="A68614C6"/>
    <w:lvl w:ilvl="0" w:tplc="9FD41EA8">
      <w:start w:val="1"/>
      <w:numFmt w:val="upperLetter"/>
      <w:pStyle w:val="Heading1noPg"/>
      <w:lvlText w:val="%1."/>
      <w:lvlJc w:val="left"/>
      <w:pPr>
        <w:ind w:left="720" w:hanging="360"/>
      </w:pPr>
    </w:lvl>
    <w:lvl w:ilvl="1" w:tplc="8D381CDE">
      <w:start w:val="1"/>
      <w:numFmt w:val="lowerLetter"/>
      <w:lvlText w:val="%2."/>
      <w:lvlJc w:val="left"/>
      <w:pPr>
        <w:ind w:left="1440" w:hanging="360"/>
      </w:pPr>
    </w:lvl>
    <w:lvl w:ilvl="2" w:tplc="CFF0D5D6">
      <w:start w:val="1"/>
      <w:numFmt w:val="lowerRoman"/>
      <w:lvlText w:val="%3."/>
      <w:lvlJc w:val="right"/>
      <w:pPr>
        <w:ind w:left="2160" w:hanging="180"/>
      </w:pPr>
    </w:lvl>
    <w:lvl w:ilvl="3" w:tplc="ED987580">
      <w:start w:val="1"/>
      <w:numFmt w:val="decimal"/>
      <w:lvlText w:val="%4."/>
      <w:lvlJc w:val="left"/>
      <w:pPr>
        <w:ind w:left="2880" w:hanging="360"/>
      </w:pPr>
    </w:lvl>
    <w:lvl w:ilvl="4" w:tplc="25EE6D92">
      <w:start w:val="1"/>
      <w:numFmt w:val="lowerLetter"/>
      <w:lvlText w:val="%5."/>
      <w:lvlJc w:val="left"/>
      <w:pPr>
        <w:ind w:left="3600" w:hanging="360"/>
      </w:pPr>
    </w:lvl>
    <w:lvl w:ilvl="5" w:tplc="E1086E7C">
      <w:start w:val="1"/>
      <w:numFmt w:val="lowerRoman"/>
      <w:pStyle w:val="FigureLeft"/>
      <w:lvlText w:val="%6."/>
      <w:lvlJc w:val="right"/>
      <w:pPr>
        <w:ind w:left="4320" w:hanging="180"/>
      </w:pPr>
    </w:lvl>
    <w:lvl w:ilvl="6" w:tplc="0A501144">
      <w:start w:val="1"/>
      <w:numFmt w:val="decimal"/>
      <w:lvlText w:val="%7."/>
      <w:lvlJc w:val="left"/>
      <w:pPr>
        <w:ind w:left="5040" w:hanging="360"/>
      </w:pPr>
    </w:lvl>
    <w:lvl w:ilvl="7" w:tplc="ABF0C806">
      <w:start w:val="1"/>
      <w:numFmt w:val="lowerLetter"/>
      <w:lvlText w:val="%8."/>
      <w:lvlJc w:val="left"/>
      <w:pPr>
        <w:ind w:left="5760" w:hanging="360"/>
      </w:pPr>
    </w:lvl>
    <w:lvl w:ilvl="8" w:tplc="0F7209F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Level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1numb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560"/>
        </w:tabs>
        <w:ind w:left="1560" w:hanging="567"/>
      </w:pPr>
    </w:lvl>
    <w:lvl w:ilvl="3">
      <w:start w:val="1"/>
      <w:numFmt w:val="lowerLetter"/>
      <w:pStyle w:val="Point2numb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0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2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3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2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3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4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4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1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2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2"/>
  </w:num>
  <w:num w:numId="3">
    <w:abstractNumId w:val="26"/>
  </w:num>
  <w:num w:numId="4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31"/>
  </w:num>
  <w:num w:numId="7">
    <w:abstractNumId w:val="22"/>
  </w:num>
  <w:num w:numId="8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19"/>
  </w:num>
  <w:num w:numId="14">
    <w:abstractNumId w:val="18"/>
  </w:num>
  <w:num w:numId="15">
    <w:abstractNumId w:val="3"/>
  </w:num>
  <w:num w:numId="16">
    <w:abstractNumId w:val="11"/>
  </w:num>
  <w:num w:numId="1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4"/>
  </w:num>
  <w:num w:numId="21">
    <w:abstractNumId w:val="28"/>
  </w:num>
  <w:num w:numId="22">
    <w:abstractNumId w:val="8"/>
  </w:num>
  <w:num w:numId="23">
    <w:abstractNumId w:val="15"/>
  </w:num>
  <w:num w:numId="24">
    <w:abstractNumId w:val="16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3"/>
  </w:num>
  <w:num w:numId="29">
    <w:abstractNumId w:val="24"/>
  </w:num>
  <w:num w:numId="30">
    <w:abstractNumId w:val="7"/>
  </w:num>
  <w:num w:numId="31">
    <w:abstractNumId w:val="21"/>
  </w:num>
  <w:num w:numId="32">
    <w:abstractNumId w:val="32"/>
    <w:lvlOverride w:ilvl="0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3/2023"/>
    <w:docVar w:name="dvlangue" w:val="SK"/>
    <w:docVar w:name="dvnumam" w:val="201"/>
    <w:docVar w:name="dvpe" w:val="745.538"/>
    <w:docVar w:name="dvrapporteur" w:val="Spravodajca: "/>
    <w:docVar w:name="dvstar" w:val="***I"/>
    <w:docVar w:name="dvtitre" w:val="Legislatívne uznesenie Európskeho parlamentu z xx. marca 2024 k návrhu nariadenia Európskeho parlamentu a Rady o horizontálnych požiadavkách kybernetickej bezpečnosti pre produkty s digitálnymi prvkami a o zmene nariadenia (EÚ) 2019/1020 (COM(2022)0454 – C9-0308/2022 – 2022/0272(COD))"/>
  </w:docVars>
  <w:rsids>
    <w:rsidRoot w:val="00716409"/>
    <w:rsid w:val="00001161"/>
    <w:rsid w:val="00137CE7"/>
    <w:rsid w:val="001C6E87"/>
    <w:rsid w:val="001F4CE5"/>
    <w:rsid w:val="00257E3A"/>
    <w:rsid w:val="002C1873"/>
    <w:rsid w:val="003879CC"/>
    <w:rsid w:val="003A067F"/>
    <w:rsid w:val="003E6A40"/>
    <w:rsid w:val="004F10C2"/>
    <w:rsid w:val="00504567"/>
    <w:rsid w:val="00523ED3"/>
    <w:rsid w:val="005275F5"/>
    <w:rsid w:val="005805DD"/>
    <w:rsid w:val="005920F0"/>
    <w:rsid w:val="005D06E0"/>
    <w:rsid w:val="0068033A"/>
    <w:rsid w:val="006F4652"/>
    <w:rsid w:val="00716409"/>
    <w:rsid w:val="00862A53"/>
    <w:rsid w:val="00897C45"/>
    <w:rsid w:val="008A26CF"/>
    <w:rsid w:val="00957F23"/>
    <w:rsid w:val="00971516"/>
    <w:rsid w:val="00975201"/>
    <w:rsid w:val="009B434C"/>
    <w:rsid w:val="009D0495"/>
    <w:rsid w:val="00A47137"/>
    <w:rsid w:val="00AF1FA3"/>
    <w:rsid w:val="00BB57F9"/>
    <w:rsid w:val="00D8165F"/>
    <w:rsid w:val="00E06B6B"/>
    <w:rsid w:val="00F34547"/>
    <w:rsid w:val="00FA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0EF477"/>
  <w15:chartTrackingRefBased/>
  <w15:docId w15:val="{A2F79B19-6639-4515-B2F8-F2587FCC8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character" w:styleId="Hyperlink">
    <w:name w:val="Hyperlink"/>
    <w:unhideWhenUsed/>
    <w:qFormat/>
    <w:rPr>
      <w:color w:val="0000FF"/>
      <w:u w:val="single"/>
    </w:rPr>
  </w:style>
  <w:style w:type="character" w:styleId="FollowedHyperlink">
    <w:name w:val="FollowedHyperlink"/>
    <w:unhideWhenUsed/>
    <w:rPr>
      <w:color w:val="800080"/>
      <w:u w:val="single"/>
    </w:rPr>
  </w:style>
  <w:style w:type="paragraph" w:customStyle="1" w:styleId="Text1">
    <w:name w:val="Text 1"/>
    <w:basedOn w:val="Normal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sk-SK"/>
    </w:rPr>
  </w:style>
  <w:style w:type="paragraph" w:styleId="Caption">
    <w:name w:val="caption"/>
    <w:basedOn w:val="Normal"/>
    <w:next w:val="Normal"/>
    <w:uiPriority w:val="99"/>
    <w:semiHidden/>
    <w:unhideWhenUsed/>
    <w:qFormat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pPr>
      <w:widowControl/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iPriority w:val="99"/>
    <w:unhideWhenUsed/>
    <w:pPr>
      <w:widowControl/>
      <w:numPr>
        <w:numId w:val="3"/>
      </w:numPr>
      <w:spacing w:before="120" w:after="120"/>
      <w:jc w:val="both"/>
    </w:pPr>
    <w:rPr>
      <w:szCs w:val="22"/>
    </w:rPr>
  </w:style>
  <w:style w:type="paragraph" w:styleId="ListNumber">
    <w:name w:val="List Number"/>
    <w:basedOn w:val="Normal"/>
    <w:unhideWhenUsed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BodyText">
    <w:name w:val="Body Text"/>
    <w:basedOn w:val="Normal"/>
    <w:link w:val="BodyTextChar"/>
    <w:uiPriority w:val="99"/>
    <w:unhideWhenUsed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Pr>
      <w:rFonts w:eastAsiaTheme="minorHAnsi"/>
      <w:sz w:val="24"/>
      <w:szCs w:val="22"/>
      <w:lang w:val="sk-SK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BalloonText">
    <w:name w:val="Balloon Text"/>
    <w:basedOn w:val="Normal"/>
    <w:link w:val="BalloonTextChar"/>
    <w:unhideWhenUsed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  <w:lang w:val="sk-SK"/>
    </w:rPr>
  </w:style>
  <w:style w:type="paragraph" w:styleId="Revision">
    <w:name w:val="Revision"/>
    <w:uiPriority w:val="99"/>
    <w:semiHidden/>
    <w:pPr>
      <w:spacing w:after="200" w:line="276" w:lineRule="auto"/>
    </w:pPr>
    <w:rPr>
      <w:rFonts w:ascii="Calibri" w:eastAsia="Calibri" w:hAnsi="Calibri"/>
      <w:sz w:val="24"/>
      <w:szCs w:val="22"/>
      <w:lang w:val="sk-SK"/>
    </w:rPr>
  </w:style>
  <w:style w:type="paragraph" w:styleId="ListParagraph">
    <w:name w:val="List Paragraph"/>
    <w:aliases w:val="1st level - Bullet List Paragraph,Bullet List,Bullet OFM,Bullet list,EC,Lettre d'introduction,List Paragraph (numbered (a)),List Paragraph1,List Paragraph_Sections,Medium Grid 1 - Accent 21,Normal bullet 2,Numbered List,Paragrafo elenco"/>
    <w:basedOn w:val="Normal"/>
    <w:uiPriority w:val="34"/>
    <w:qFormat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istBullet1">
    <w:name w:val="List Bullet 1"/>
    <w:basedOn w:val="Normal"/>
    <w:uiPriority w:val="99"/>
    <w:semiHidden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pPr>
      <w:widowControl/>
      <w:numPr>
        <w:numId w:val="1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pPr>
      <w:widowControl/>
      <w:numPr>
        <w:ilvl w:val="3"/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pPr>
      <w:tabs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pPr>
      <w:numPr>
        <w:ilvl w:val="1"/>
        <w:numId w:val="17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pPr>
      <w:numPr>
        <w:ilvl w:val="1"/>
        <w:numId w:val="8"/>
      </w:numPr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pPr>
      <w:numPr>
        <w:ilvl w:val="2"/>
        <w:numId w:val="17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pPr>
      <w:numPr>
        <w:ilvl w:val="2"/>
        <w:numId w:val="8"/>
      </w:numPr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pPr>
      <w:numPr>
        <w:ilvl w:val="3"/>
        <w:numId w:val="17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pPr>
      <w:numPr>
        <w:ilvl w:val="3"/>
        <w:numId w:val="8"/>
      </w:numPr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Languesfaisantfoi">
    <w:name w:val="Langues faisant foi"/>
    <w:basedOn w:val="Normal"/>
    <w:next w:val="Normal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</w:style>
  <w:style w:type="character" w:customStyle="1" w:styleId="FooterCoverPageChar">
    <w:name w:val="Footer Cover Page Char"/>
    <w:link w:val="FooterCoverPage"/>
    <w:semiHidden/>
    <w:locked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FootnoteReference1">
    <w:name w:val="Footnote Reference1"/>
    <w:basedOn w:val="Normal"/>
    <w:uiPriority w:val="99"/>
    <w:semiHidden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itrearticle">
    <w:name w:val="titrearticle"/>
    <w:basedOn w:val="Normal"/>
    <w:uiPriority w:val="99"/>
    <w:semiHidden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li">
    <w:name w:val="li"/>
    <w:basedOn w:val="Normal"/>
    <w:uiPriority w:val="99"/>
    <w:semiHidden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FootnoteTextEP-LC1">
    <w:name w:val="Footnote Text_EP-LC1"/>
    <w:basedOn w:val="Normal"/>
    <w:next w:val="FootnoteText"/>
    <w:uiPriority w:val="99"/>
    <w:semiHidden/>
    <w:qFormat/>
    <w:pPr>
      <w:widowControl/>
      <w:jc w:val="both"/>
    </w:pPr>
    <w:rPr>
      <w:rFonts w:eastAsia="SimSun"/>
      <w:sz w:val="20"/>
      <w:lang w:eastAsia="en-US"/>
    </w:rPr>
  </w:style>
  <w:style w:type="paragraph" w:customStyle="1" w:styleId="oj-normal">
    <w:name w:val="oj-normal"/>
    <w:basedOn w:val="Normal"/>
    <w:uiPriority w:val="99"/>
    <w:semiHidden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1">
    <w:name w:val="Normal1"/>
    <w:basedOn w:val="Normal"/>
    <w:uiPriority w:val="99"/>
    <w:semiHidden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efault">
    <w:name w:val="Default"/>
    <w:uiPriority w:val="99"/>
    <w:semiHidden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sk-SK" w:eastAsia="en-US"/>
    </w:rPr>
  </w:style>
  <w:style w:type="paragraph" w:customStyle="1" w:styleId="Heading1noPg">
    <w:name w:val="Heading 1noPg"/>
    <w:basedOn w:val="Heading1"/>
    <w:next w:val="BodyText"/>
    <w:uiPriority w:val="6"/>
    <w:semiHidden/>
    <w:qFormat/>
    <w:pPr>
      <w:numPr>
        <w:numId w:val="18"/>
      </w:numPr>
      <w:spacing w:before="360" w:after="60" w:line="260" w:lineRule="atLeast"/>
    </w:pPr>
    <w:rPr>
      <w:rFonts w:ascii="Arial" w:eastAsiaTheme="majorEastAsia" w:hAnsi="Arial" w:cstheme="majorBidi"/>
      <w:bCs/>
      <w:color w:val="5B9BD5" w:themeColor="accent1"/>
      <w:kern w:val="0"/>
      <w:sz w:val="36"/>
      <w:szCs w:val="28"/>
      <w:lang w:val="sk-SK" w:eastAsia="en-US"/>
    </w:rPr>
  </w:style>
  <w:style w:type="paragraph" w:customStyle="1" w:styleId="FigureLeft">
    <w:name w:val="FigureLeft"/>
    <w:basedOn w:val="Normal"/>
    <w:next w:val="Normal"/>
    <w:uiPriority w:val="6"/>
    <w:semiHidden/>
    <w:qFormat/>
    <w:pPr>
      <w:keepNext/>
      <w:keepLines/>
      <w:widowControl/>
      <w:numPr>
        <w:ilvl w:val="5"/>
        <w:numId w:val="18"/>
      </w:numPr>
      <w:spacing w:before="120" w:after="120" w:line="260" w:lineRule="atLeast"/>
    </w:pPr>
    <w:rPr>
      <w:rFonts w:ascii="Arial" w:eastAsiaTheme="minorHAnsi" w:hAnsi="Arial"/>
      <w:color w:val="5B9BD5" w:themeColor="accent1"/>
      <w:sz w:val="22"/>
      <w:szCs w:val="24"/>
      <w:lang w:eastAsia="en-US"/>
    </w:rPr>
  </w:style>
  <w:style w:type="paragraph" w:customStyle="1" w:styleId="Titrearticle0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pPr>
      <w:numPr>
        <w:numId w:val="19"/>
      </w:numPr>
    </w:pPr>
  </w:style>
  <w:style w:type="paragraph" w:customStyle="1" w:styleId="Tiret1">
    <w:name w:val="Tiret 1"/>
    <w:basedOn w:val="Point1"/>
    <w:pPr>
      <w:numPr>
        <w:numId w:val="20"/>
      </w:numPr>
    </w:pPr>
  </w:style>
  <w:style w:type="paragraph" w:customStyle="1" w:styleId="Tiret2">
    <w:name w:val="Tiret 2"/>
    <w:basedOn w:val="Point2"/>
    <w:pPr>
      <w:numPr>
        <w:numId w:val="21"/>
      </w:numPr>
    </w:pPr>
  </w:style>
  <w:style w:type="paragraph" w:customStyle="1" w:styleId="Tiret3">
    <w:name w:val="Tiret 3"/>
    <w:basedOn w:val="Point3"/>
    <w:pPr>
      <w:numPr>
        <w:numId w:val="22"/>
      </w:numPr>
    </w:pPr>
  </w:style>
  <w:style w:type="paragraph" w:customStyle="1" w:styleId="Tiret4">
    <w:name w:val="Tiret 4"/>
    <w:basedOn w:val="Point4"/>
    <w:pPr>
      <w:numPr>
        <w:numId w:val="23"/>
      </w:numPr>
    </w:pPr>
  </w:style>
  <w:style w:type="paragraph" w:customStyle="1" w:styleId="Tiret5">
    <w:name w:val="Tiret 5"/>
    <w:basedOn w:val="Point5"/>
    <w:uiPriority w:val="99"/>
    <w:semiHidden/>
    <w:pPr>
      <w:numPr>
        <w:numId w:val="24"/>
      </w:numPr>
    </w:p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pPr>
      <w:widowControl/>
      <w:numPr>
        <w:ilvl w:val="3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4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5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pPr>
      <w:widowControl/>
      <w:numPr>
        <w:ilvl w:val="6"/>
        <w:numId w:val="26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pPr>
      <w:widowControl/>
      <w:numPr>
        <w:ilvl w:val="4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Rfrencecroise">
    <w:name w:val="Référence croisée"/>
    <w:basedOn w:val="Normal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pPr>
      <w:widowControl/>
      <w:numPr>
        <w:numId w:val="3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Volume">
    <w:name w:val="Volume"/>
    <w:basedOn w:val="Normal"/>
    <w:next w:val="Confidentialit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0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LanguesfaisantfoiPagedecouverture">
    <w:name w:val="Langues faisant foi (Page de couverture)"/>
    <w:basedOn w:val="Normal"/>
    <w:next w:val="Normal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unhideWhenUsed/>
    <w:rPr>
      <w:rFonts w:ascii="Times New Roman" w:hAnsi="Times New Roman" w:cs="Times New Roman" w:hint="default"/>
      <w:sz w:val="16"/>
      <w:szCs w:val="16"/>
    </w:rPr>
  </w:style>
  <w:style w:type="character" w:customStyle="1" w:styleId="tw4winMark">
    <w:name w:val="tw4winMark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Pr>
      <w:rFonts w:ascii="Times New Roman" w:hAnsi="Times New Roman" w:cs="Times New Roman" w:hint="default"/>
      <w:b/>
      <w:bCs w:val="0"/>
      <w:sz w:val="28"/>
      <w:lang w:val="sk-SK"/>
    </w:rPr>
  </w:style>
  <w:style w:type="character" w:customStyle="1" w:styleId="num">
    <w:name w:val="num"/>
    <w:basedOn w:val="DefaultParagraphFont"/>
  </w:style>
  <w:style w:type="character" w:customStyle="1" w:styleId="Hyperlink1">
    <w:name w:val="Hyperlink1"/>
    <w:basedOn w:val="DefaultParagraphFont"/>
    <w:uiPriority w:val="99"/>
    <w:qFormat/>
    <w:rPr>
      <w:color w:val="0000FF"/>
      <w:u w:val="single"/>
    </w:rPr>
  </w:style>
  <w:style w:type="character" w:customStyle="1" w:styleId="oj-italic">
    <w:name w:val="oj-italic"/>
    <w:basedOn w:val="DefaultParagraphFont"/>
  </w:style>
  <w:style w:type="character" w:customStyle="1" w:styleId="super">
    <w:name w:val="super"/>
    <w:basedOn w:val="DefaultParagraphFont"/>
  </w:style>
  <w:style w:type="character" w:customStyle="1" w:styleId="CommentTextChar1">
    <w:name w:val="Comment Text Char1"/>
    <w:basedOn w:val="DefaultParagraphFont"/>
    <w:uiPriority w:val="99"/>
    <w:locked/>
    <w:rPr>
      <w:rFonts w:ascii="Times New Roman" w:eastAsia="Calibri" w:hAnsi="Times New Roman" w:cs="Times New Roman" w:hint="default"/>
      <w:sz w:val="20"/>
      <w:szCs w:val="20"/>
      <w:lang w:val="sk-SK"/>
    </w:rPr>
  </w:style>
  <w:style w:type="character" w:customStyle="1" w:styleId="markedcontent">
    <w:name w:val="markedcontent"/>
    <w:basedOn w:val="DefaultParagraphFont"/>
  </w:style>
  <w:style w:type="character" w:customStyle="1" w:styleId="tw4winError">
    <w:name w:val="tw4winError"/>
    <w:rPr>
      <w:color w:val="00FF00"/>
      <w:sz w:val="40"/>
      <w:lang w:val="sk-SK" w:eastAsia="en-GB"/>
    </w:rPr>
  </w:style>
  <w:style w:type="character" w:customStyle="1" w:styleId="tw4winTerm">
    <w:name w:val="tw4winTerm"/>
    <w:rPr>
      <w:color w:val="0000FF"/>
      <w:lang w:val="sk-SK" w:eastAsia="en-GB"/>
    </w:rPr>
  </w:style>
  <w:style w:type="character" w:customStyle="1" w:styleId="tw4winPopup">
    <w:name w:val="tw4winPopup"/>
    <w:rPr>
      <w:noProof/>
      <w:color w:val="008000"/>
      <w:lang w:val="sk-SK" w:eastAsia="en-GB"/>
    </w:rPr>
  </w:style>
  <w:style w:type="character" w:customStyle="1" w:styleId="tw4winJump">
    <w:name w:val="tw4winJump"/>
    <w:rPr>
      <w:noProof/>
      <w:color w:val="008080"/>
      <w:lang w:val="sk-SK" w:eastAsia="en-GB"/>
    </w:rPr>
  </w:style>
  <w:style w:type="character" w:customStyle="1" w:styleId="tw4winExternal">
    <w:name w:val="tw4winExternal"/>
    <w:rPr>
      <w:noProof/>
      <w:color w:val="808080"/>
      <w:lang w:val="sk-SK" w:eastAsia="en-GB"/>
    </w:rPr>
  </w:style>
  <w:style w:type="character" w:customStyle="1" w:styleId="tw4winInternal">
    <w:name w:val="tw4winInternal"/>
    <w:rPr>
      <w:noProof/>
      <w:color w:val="FF0000"/>
      <w:lang w:val="sk-SK" w:eastAsia="en-GB"/>
    </w:rPr>
  </w:style>
  <w:style w:type="character" w:customStyle="1" w:styleId="DONOTTRANSLATE">
    <w:name w:val="DO_NOT_TRANSLATE"/>
    <w:rPr>
      <w:noProof/>
      <w:color w:val="800000"/>
      <w:lang w:val="sk-SK" w:eastAsia="en-GB"/>
    </w:rPr>
  </w:style>
  <w:style w:type="character" w:customStyle="1" w:styleId="Marker">
    <w:name w:val="Marker"/>
    <w:basedOn w:val="DefaultParagraphFont"/>
    <w:rPr>
      <w:color w:val="0000FF"/>
    </w:rPr>
  </w:style>
  <w:style w:type="character" w:customStyle="1" w:styleId="Marker1">
    <w:name w:val="Marker1"/>
    <w:basedOn w:val="DefaultParagraphFont"/>
    <w:rPr>
      <w:color w:val="008000"/>
    </w:rPr>
  </w:style>
  <w:style w:type="character" w:customStyle="1" w:styleId="Marker2">
    <w:name w:val="Marker2"/>
    <w:basedOn w:val="DefaultParagraphFont"/>
    <w:rPr>
      <w:color w:val="FF0000"/>
    </w:rPr>
  </w:style>
  <w:style w:type="character" w:customStyle="1" w:styleId="Added">
    <w:name w:val="Added"/>
    <w:basedOn w:val="DefaultParagraphFont"/>
    <w:rPr>
      <w:b/>
      <w:bCs w:val="0"/>
      <w:u w:val="single"/>
    </w:rPr>
  </w:style>
  <w:style w:type="character" w:customStyle="1" w:styleId="Deleted">
    <w:name w:val="Deleted"/>
    <w:basedOn w:val="DefaultParagraphFont"/>
    <w:rPr>
      <w:strike/>
    </w:rPr>
  </w:style>
  <w:style w:type="paragraph" w:customStyle="1" w:styleId="ListNumber4Level4">
    <w:name w:val="List Number 4 (Level 4)"/>
    <w:basedOn w:val="Text4"/>
    <w:uiPriority w:val="99"/>
    <w:semiHidden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uiPriority w:val="99"/>
    <w:semiHidden/>
    <w:pPr>
      <w:numPr>
        <w:ilvl w:val="2"/>
        <w:numId w:val="10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itlearticle">
    <w:name w:val="Title article"/>
    <w:basedOn w:val="Point0number"/>
    <w:uiPriority w:val="99"/>
    <w:semiHidden/>
    <w:pPr>
      <w:ind w:left="0" w:firstLine="0"/>
      <w:jc w:val="center"/>
    </w:pPr>
    <w:rPr>
      <w:i/>
    </w:rPr>
  </w:style>
  <w:style w:type="paragraph" w:customStyle="1" w:styleId="1">
    <w:name w:val="1."/>
    <w:basedOn w:val="Point1"/>
    <w:uiPriority w:val="99"/>
    <w:semiHidden/>
  </w:style>
  <w:style w:type="paragraph" w:customStyle="1" w:styleId="ListNumber3Level4">
    <w:name w:val="List Number 3 (Level 4)"/>
    <w:basedOn w:val="Text3"/>
    <w:uiPriority w:val="99"/>
    <w:semiHidden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uiPriority w:val="99"/>
    <w:semiHidden/>
    <w:pPr>
      <w:numPr>
        <w:ilvl w:val="2"/>
        <w:numId w:val="9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Normal24a">
    <w:name w:val="Normal24a"/>
    <w:basedOn w:val="Normal"/>
    <w:pPr>
      <w:spacing w:after="480"/>
    </w:pPr>
  </w:style>
  <w:style w:type="paragraph" w:customStyle="1" w:styleId="NormalBoldCenter">
    <w:name w:val="NormalBoldCenter"/>
    <w:basedOn w:val="Normal"/>
    <w:pPr>
      <w:jc w:val="center"/>
    </w:pPr>
    <w:rPr>
      <w:b/>
    </w:rPr>
  </w:style>
  <w:style w:type="paragraph" w:customStyle="1" w:styleId="point10">
    <w:name w:val="point1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4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character" w:customStyle="1" w:styleId="Normal12Char">
    <w:name w:val="Normal12 Char"/>
    <w:basedOn w:val="DefaultParagraphFont"/>
    <w:link w:val="Normal12"/>
    <w:locked/>
    <w:rPr>
      <w:noProof/>
      <w:sz w:val="24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Normal12Italic">
    <w:name w:val="Normal12Italic"/>
    <w:basedOn w:val="Normal12"/>
    <w:rPr>
      <w:i/>
    </w:rPr>
  </w:style>
  <w:style w:type="paragraph" w:customStyle="1" w:styleId="JustificationTitle">
    <w:name w:val="JustificationTitle"/>
    <w:basedOn w:val="Normal"/>
    <w:next w:val="Normal1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character" w:customStyle="1" w:styleId="Footer2Middle">
    <w:name w:val="Footer2Middl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AmDocTypeTab">
    <w:name w:val="AmDocTypeTab"/>
    <w:basedOn w:val="Normal"/>
    <w:rsid w:val="005275F5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5275F5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5275F5"/>
  </w:style>
  <w:style w:type="paragraph" w:styleId="ListBullet5">
    <w:name w:val="List Bullet 5"/>
    <w:basedOn w:val="Normal"/>
    <w:autoRedefine/>
    <w:rsid w:val="005275F5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qFormat/>
    <w:rsid w:val="005275F5"/>
    <w:pPr>
      <w:spacing w:before="120" w:after="120" w:line="360" w:lineRule="auto"/>
      <w:jc w:val="both"/>
    </w:pPr>
    <w:rPr>
      <w:rFonts w:eastAsiaTheme="minorHAnsi"/>
      <w:sz w:val="24"/>
      <w:szCs w:val="22"/>
      <w:lang w:val="sk-SK" w:eastAsia="en-US"/>
    </w:rPr>
  </w:style>
  <w:style w:type="character" w:customStyle="1" w:styleId="Footer2">
    <w:name w:val="Footer2"/>
    <w:uiPriority w:val="1"/>
    <w:qFormat/>
    <w:rsid w:val="005275F5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5275F5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5275F5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5275F5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5275F5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5275F5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5275F5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5275F5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5275F5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5275F5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5275F5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5275F5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5275F5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5275F5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5275F5"/>
    <w:pPr>
      <w:spacing w:before="120"/>
    </w:pPr>
  </w:style>
  <w:style w:type="paragraph" w:customStyle="1" w:styleId="TitlePar3">
    <w:name w:val="TitlePar 3"/>
    <w:basedOn w:val="TitlePar2"/>
    <w:qFormat/>
    <w:rsid w:val="005275F5"/>
    <w:rPr>
      <w:b w:val="0"/>
      <w:i/>
    </w:rPr>
  </w:style>
  <w:style w:type="paragraph" w:customStyle="1" w:styleId="SubsectionTitle">
    <w:name w:val="SubsectionTitle"/>
    <w:basedOn w:val="SectionTitle"/>
    <w:qFormat/>
    <w:rsid w:val="005275F5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5275F5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qFormat/>
    <w:rsid w:val="005275F5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5275F5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0"/>
    <w:qFormat/>
    <w:rsid w:val="005275F5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5275F5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5275F5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5275F5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5275F5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5275F5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5275F5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5275F5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5275F5"/>
    <w:pPr>
      <w:spacing w:line="360" w:lineRule="auto"/>
      <w:ind w:left="4253"/>
    </w:pPr>
  </w:style>
  <w:style w:type="numbering" w:customStyle="1" w:styleId="NoList11">
    <w:name w:val="No List11"/>
    <w:next w:val="NoList"/>
    <w:uiPriority w:val="99"/>
    <w:semiHidden/>
    <w:unhideWhenUsed/>
    <w:rsid w:val="005275F5"/>
  </w:style>
  <w:style w:type="paragraph" w:customStyle="1" w:styleId="HeadingDocType24a">
    <w:name w:val="HeadingDocType24a"/>
    <w:basedOn w:val="Normal"/>
    <w:rsid w:val="00D8165F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D8165F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D8165F"/>
    <w:pPr>
      <w:jc w:val="center"/>
    </w:pPr>
  </w:style>
  <w:style w:type="paragraph" w:customStyle="1" w:styleId="LineSingle">
    <w:name w:val="LineSingle"/>
    <w:basedOn w:val="Normal"/>
    <w:next w:val="Normal"/>
    <w:rsid w:val="00D8165F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D8165F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0244C-0EE8-43CB-A9C0-2F8DEBADC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555</Words>
  <Characters>3436</Characters>
  <Application>Microsoft Office Word</Application>
  <DocSecurity>0</DocSecurity>
  <Lines>67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2024-12-02T14:33:00Z</dcterms:created>
  <dcterms:modified xsi:type="dcterms:W3CDTF">2024-12-02T14:33:00Z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P9_TA(2024)0130_</vt:lpwstr>
  </property>
  <property fmtid="{D5CDD505-2E9C-101B-9397-08002B2CF9AE}" pid="4" name="&lt;Type&gt;">
    <vt:lpwstr>RR</vt:lpwstr>
  </property>
</Properties>
</file>