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1E9B" w:rsidTr="0010095E">
        <w:trPr>
          <w:trHeight w:hRule="exact" w:val="1418"/>
        </w:trPr>
        <w:tc>
          <w:tcPr>
            <w:tcW w:w="6804" w:type="dxa"/>
            <w:shd w:val="clear" w:color="auto" w:fill="auto"/>
            <w:vAlign w:val="center"/>
          </w:tcPr>
          <w:p w:rsidR="00751A4A" w:rsidRPr="00471E9B" w:rsidRDefault="007557CE" w:rsidP="0010095E">
            <w:pPr>
              <w:pStyle w:val="EPName"/>
            </w:pPr>
            <w:r w:rsidRPr="00471E9B">
              <w:t>Ευρωπαϊκό Κοινοβούλιο</w:t>
            </w:r>
          </w:p>
          <w:p w:rsidR="00751A4A" w:rsidRPr="00471E9B" w:rsidRDefault="00817416" w:rsidP="00756632">
            <w:pPr>
              <w:pStyle w:val="EPTerm"/>
              <w:rPr>
                <w:rStyle w:val="HideTWBExt"/>
                <w:noProof w:val="0"/>
                <w:vanish w:val="0"/>
                <w:color w:val="auto"/>
              </w:rPr>
            </w:pPr>
            <w:r w:rsidRPr="00471E9B">
              <w:t>2019-2024</w:t>
            </w:r>
          </w:p>
        </w:tc>
        <w:tc>
          <w:tcPr>
            <w:tcW w:w="2268" w:type="dxa"/>
            <w:shd w:val="clear" w:color="auto" w:fill="auto"/>
          </w:tcPr>
          <w:p w:rsidR="00751A4A" w:rsidRPr="00471E9B" w:rsidRDefault="00187494" w:rsidP="0010095E">
            <w:pPr>
              <w:pStyle w:val="EPLogo"/>
            </w:pPr>
            <w:r w:rsidRPr="00471E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1E9B" w:rsidRDefault="00D058B8" w:rsidP="004C5D52">
      <w:pPr>
        <w:pStyle w:val="LineTop"/>
      </w:pPr>
    </w:p>
    <w:p w:rsidR="00680577" w:rsidRPr="00471E9B" w:rsidRDefault="007557CE" w:rsidP="00680577">
      <w:pPr>
        <w:pStyle w:val="EPBodyTA1"/>
      </w:pPr>
      <w:r w:rsidRPr="00471E9B">
        <w:t>ΚΕΙΜΕΝΑ ΠΟΥ ΕΓΚΡΙΘΗΚΑΝ</w:t>
      </w:r>
    </w:p>
    <w:p w:rsidR="00D058B8" w:rsidRPr="00471E9B" w:rsidRDefault="00D058B8" w:rsidP="00D058B8">
      <w:pPr>
        <w:pStyle w:val="LineBottom"/>
      </w:pPr>
    </w:p>
    <w:p w:rsidR="007557CE" w:rsidRPr="00471E9B" w:rsidRDefault="007557CE" w:rsidP="007557CE">
      <w:pPr>
        <w:pStyle w:val="ATHeading1"/>
      </w:pPr>
      <w:bookmarkStart w:id="0" w:name="TANumber"/>
      <w:r w:rsidRPr="00471E9B">
        <w:t>P9_TA(2024)0</w:t>
      </w:r>
      <w:r w:rsidR="009C55DD">
        <w:t>134</w:t>
      </w:r>
      <w:bookmarkEnd w:id="0"/>
    </w:p>
    <w:p w:rsidR="007557CE" w:rsidRPr="00471E9B" w:rsidRDefault="00844ACF" w:rsidP="00844ACF">
      <w:pPr>
        <w:pStyle w:val="ATHeading2"/>
      </w:pPr>
      <w:bookmarkStart w:id="1" w:name="title"/>
      <w:r>
        <w:t>Ευρωπαϊκός Οργανισμός για την Ασφάλεια στη Θάλασσα και κατάργηση του κανονισμού (ΕΚ) αριθ.</w:t>
      </w:r>
      <w:r w:rsidRPr="009C55DD">
        <w:t xml:space="preserve"> </w:t>
      </w:r>
      <w:r>
        <w:t>1406/2002</w:t>
      </w:r>
      <w:bookmarkEnd w:id="1"/>
    </w:p>
    <w:p w:rsidR="007557CE" w:rsidRPr="00471E9B" w:rsidRDefault="007557CE" w:rsidP="007557CE">
      <w:pPr>
        <w:rPr>
          <w:i/>
          <w:vanish/>
        </w:rPr>
      </w:pPr>
      <w:r w:rsidRPr="00471E9B">
        <w:rPr>
          <w:i/>
        </w:rPr>
        <w:fldChar w:fldCharType="begin"/>
      </w:r>
      <w:r w:rsidRPr="00471E9B">
        <w:rPr>
          <w:i/>
        </w:rPr>
        <w:instrText xml:space="preserve"> TC"(</w:instrText>
      </w:r>
      <w:bookmarkStart w:id="2" w:name="DocNumber"/>
      <w:r w:rsidRPr="00471E9B">
        <w:rPr>
          <w:i/>
        </w:rPr>
        <w:instrText>A9-0423/2023</w:instrText>
      </w:r>
      <w:bookmarkEnd w:id="2"/>
      <w:r w:rsidRPr="00471E9B">
        <w:rPr>
          <w:i/>
        </w:rPr>
        <w:instrText xml:space="preserve"> - Εισηγήτρια: Cláudia Monteiro de Aguiar)"\l3 \n&gt; \* MERGEFORMAT </w:instrText>
      </w:r>
      <w:r w:rsidRPr="00471E9B">
        <w:rPr>
          <w:i/>
        </w:rPr>
        <w:fldChar w:fldCharType="end"/>
      </w:r>
    </w:p>
    <w:p w:rsidR="007557CE" w:rsidRPr="00471E9B" w:rsidRDefault="007557CE" w:rsidP="007557CE">
      <w:pPr>
        <w:rPr>
          <w:vanish/>
        </w:rPr>
      </w:pPr>
      <w:bookmarkStart w:id="3" w:name="Commission"/>
      <w:r w:rsidRPr="00471E9B">
        <w:rPr>
          <w:vanish/>
        </w:rPr>
        <w:t>Επιτροπή Μεταφορών και Τουρισμού</w:t>
      </w:r>
      <w:bookmarkEnd w:id="3"/>
    </w:p>
    <w:p w:rsidR="007557CE" w:rsidRPr="00471E9B" w:rsidRDefault="007557CE" w:rsidP="007557CE">
      <w:pPr>
        <w:rPr>
          <w:vanish/>
        </w:rPr>
      </w:pPr>
      <w:bookmarkStart w:id="4" w:name="PE"/>
      <w:r w:rsidRPr="00471E9B">
        <w:rPr>
          <w:vanish/>
        </w:rPr>
        <w:t>PE753.514</w:t>
      </w:r>
      <w:bookmarkEnd w:id="4"/>
    </w:p>
    <w:p w:rsidR="007557CE" w:rsidRPr="00471E9B" w:rsidRDefault="007557CE" w:rsidP="007557CE">
      <w:pPr>
        <w:pStyle w:val="ATHeading3"/>
      </w:pPr>
      <w:bookmarkStart w:id="5" w:name="Sujet"/>
      <w:r w:rsidRPr="00471E9B">
        <w:t xml:space="preserve">Νομοθετικό ψήφισμα του Ευρωπαϊκού Κοινοβουλίου </w:t>
      </w:r>
      <w:r w:rsidR="00D1712A">
        <w:t xml:space="preserve">της </w:t>
      </w:r>
      <w:r w:rsidR="00C33D58">
        <w:t>12</w:t>
      </w:r>
      <w:r w:rsidR="00D1712A">
        <w:t xml:space="preserve">ης Μαρτίου 2024 </w:t>
      </w:r>
      <w:r w:rsidRPr="00471E9B">
        <w:t>σχετικά με την πρόταση κανονισμού (ΕΕ) του Ευρωπαϊκού Κοινοβουλίου και του Συμβουλίου που αφορά τον ευρωπαϊκό οργανισμό για την ασφάλεια στη θάλασσα και την κατάργηση του κανονισμού (ΕΚ) αριθ. 1406/2002</w:t>
      </w:r>
      <w:bookmarkEnd w:id="5"/>
      <w:r w:rsidRPr="00471E9B">
        <w:t xml:space="preserve"> </w:t>
      </w:r>
      <w:bookmarkStart w:id="6" w:name="References"/>
      <w:r w:rsidRPr="00471E9B">
        <w:t>(COM(2023)0269 – C9-0190/2023 – 2023/0163(COD))</w:t>
      </w:r>
      <w:bookmarkEnd w:id="6"/>
    </w:p>
    <w:p w:rsidR="00254650" w:rsidRPr="00471E9B" w:rsidRDefault="00254650" w:rsidP="00254650">
      <w:pPr>
        <w:pStyle w:val="NormalBold"/>
      </w:pPr>
      <w:bookmarkStart w:id="7" w:name="TextBodyBegin"/>
      <w:bookmarkEnd w:id="7"/>
      <w:r w:rsidRPr="00471E9B">
        <w:t>(Συνήθης νομοθετική διαδικασία: πρώτη ανάγνωση)</w:t>
      </w:r>
    </w:p>
    <w:p w:rsidR="00254650" w:rsidRPr="00471E9B" w:rsidRDefault="00254650" w:rsidP="00254650">
      <w:pPr>
        <w:pStyle w:val="EPComma"/>
      </w:pPr>
      <w:r w:rsidRPr="00471E9B">
        <w:rPr>
          <w:i/>
        </w:rPr>
        <w:t>Το Ευρωπαϊκό Κοινοβούλιο</w:t>
      </w:r>
      <w:r w:rsidRPr="00471E9B">
        <w:t>,</w:t>
      </w:r>
    </w:p>
    <w:p w:rsidR="00254650" w:rsidRPr="00471E9B" w:rsidRDefault="00254650" w:rsidP="00254650">
      <w:pPr>
        <w:pStyle w:val="NormalHanging12a"/>
      </w:pPr>
      <w:r w:rsidRPr="00471E9B">
        <w:t>–</w:t>
      </w:r>
      <w:r w:rsidRPr="00471E9B">
        <w:tab/>
        <w:t>έχοντας υπόψη την πρόταση της Επιτροπής προς το Κοινοβούλιο και το Συμβούλιο (COM(2023)0269),</w:t>
      </w:r>
    </w:p>
    <w:p w:rsidR="00254650" w:rsidRPr="00471E9B" w:rsidRDefault="00254650" w:rsidP="00254650">
      <w:pPr>
        <w:pStyle w:val="NormalHanging12a"/>
      </w:pPr>
      <w:r w:rsidRPr="00471E9B">
        <w:t>–</w:t>
      </w:r>
      <w:r w:rsidRPr="00471E9B">
        <w:tab/>
        <w:t>έχοντας υπόψη το άρθρο 294 παράγραφος 2 και το άρθρο 100 παράγραφος 2 της Συνθήκης για τη λειτουργία της Ευρωπαϊκής Ένωσης, σύμφωνα με τα οποία του υποβλήθηκε η πρόταση από την Επιτροπή (C9</w:t>
      </w:r>
      <w:r w:rsidRPr="00471E9B">
        <w:noBreakHyphen/>
        <w:t>0190/2023),</w:t>
      </w:r>
    </w:p>
    <w:p w:rsidR="00254650" w:rsidRPr="00471E9B" w:rsidRDefault="00254650" w:rsidP="00254650">
      <w:pPr>
        <w:pStyle w:val="NormalHanging12a"/>
      </w:pPr>
      <w:r w:rsidRPr="00471E9B">
        <w:t>–</w:t>
      </w:r>
      <w:r w:rsidRPr="00471E9B">
        <w:tab/>
        <w:t>έχοντας υπόψη το άρθρο 294 παράγραφος 3 της Συνθήκης για τη λειτουργία της Ευρωπαϊκής Ένωσης,</w:t>
      </w:r>
    </w:p>
    <w:p w:rsidR="00254650" w:rsidRPr="00471E9B" w:rsidRDefault="00254650" w:rsidP="00254650">
      <w:pPr>
        <w:pStyle w:val="NormalHanging12a"/>
      </w:pPr>
      <w:r w:rsidRPr="00471E9B">
        <w:t>–</w:t>
      </w:r>
      <w:r w:rsidRPr="00471E9B">
        <w:tab/>
        <w:t>έχοντας υπόψη τη γνώμη της Ευρωπαϊκής Οικονομικής και Κοινωνικής Επιτροπής, της 20ής Σεπτεμβρίου 2023</w:t>
      </w:r>
      <w:r w:rsidRPr="00471E9B">
        <w:rPr>
          <w:rStyle w:val="FootnoteReference"/>
        </w:rPr>
        <w:footnoteReference w:id="1"/>
      </w:r>
      <w:r w:rsidRPr="00471E9B">
        <w:t>,</w:t>
      </w:r>
    </w:p>
    <w:p w:rsidR="00254650" w:rsidRPr="00471E9B" w:rsidRDefault="00254650" w:rsidP="00254650">
      <w:pPr>
        <w:pStyle w:val="NormalHanging12a"/>
      </w:pPr>
      <w:r w:rsidRPr="00471E9B">
        <w:t>–</w:t>
      </w:r>
      <w:r w:rsidRPr="00471E9B">
        <w:tab/>
        <w:t>αφού ζήτησε τη γνώμη της Επιτροπής των Περιφερειών,</w:t>
      </w:r>
    </w:p>
    <w:p w:rsidR="00254650" w:rsidRPr="00471E9B" w:rsidRDefault="00254650" w:rsidP="00254650">
      <w:pPr>
        <w:pStyle w:val="NormalHanging12a"/>
      </w:pPr>
      <w:r w:rsidRPr="00471E9B">
        <w:t>–</w:t>
      </w:r>
      <w:r w:rsidRPr="00471E9B">
        <w:tab/>
        <w:t>έχοντας υπόψη το άρθρο 59 του Κανονισμού του,</w:t>
      </w:r>
    </w:p>
    <w:p w:rsidR="00254650" w:rsidRPr="00471E9B" w:rsidRDefault="00254650" w:rsidP="00254650">
      <w:pPr>
        <w:pStyle w:val="NormalHanging12a"/>
      </w:pPr>
      <w:r w:rsidRPr="00471E9B">
        <w:t>–</w:t>
      </w:r>
      <w:r w:rsidRPr="00471E9B">
        <w:tab/>
        <w:t xml:space="preserve">έχοντας υπόψη τις γνωμοδοτήσεις της Επιτροπής Προϋπολογισμών και της Επιτροπής Αλιείας, </w:t>
      </w:r>
    </w:p>
    <w:p w:rsidR="00254650" w:rsidRPr="00471E9B" w:rsidRDefault="00254650" w:rsidP="00254650">
      <w:pPr>
        <w:pStyle w:val="NormalHanging12a"/>
      </w:pPr>
      <w:r w:rsidRPr="00471E9B">
        <w:t>–</w:t>
      </w:r>
      <w:r w:rsidRPr="00471E9B">
        <w:tab/>
        <w:t>έχοντας υπόψη την έκθεση της Επιτροπής Μεταφορών και Τουρισμού (A9-0423/2023),</w:t>
      </w:r>
    </w:p>
    <w:p w:rsidR="00254650" w:rsidRPr="00471E9B" w:rsidRDefault="00254650" w:rsidP="00254650">
      <w:pPr>
        <w:pStyle w:val="NormalHanging12a"/>
      </w:pPr>
      <w:r w:rsidRPr="00471E9B">
        <w:lastRenderedPageBreak/>
        <w:t>1.</w:t>
      </w:r>
      <w:r w:rsidRPr="00471E9B">
        <w:tab/>
        <w:t>εγκρίνει τη θέση του σε πρώτη ανάγνωση όπως παρατίθεται κατωτέρω·</w:t>
      </w:r>
    </w:p>
    <w:p w:rsidR="00254650" w:rsidRPr="00471E9B" w:rsidRDefault="00254650" w:rsidP="00254650">
      <w:pPr>
        <w:pStyle w:val="NormalHanging12a"/>
      </w:pPr>
      <w:r w:rsidRPr="00471E9B">
        <w:t>2.</w:t>
      </w:r>
      <w:r w:rsidRPr="00471E9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01356A" w:rsidRDefault="00254650" w:rsidP="00254650">
      <w:pPr>
        <w:pStyle w:val="NormalHanging12a"/>
        <w:sectPr w:rsidR="0001356A" w:rsidSect="00471E9B">
          <w:footnotePr>
            <w:numRestart w:val="eachPage"/>
          </w:footnotePr>
          <w:endnotePr>
            <w:numFmt w:val="decimal"/>
          </w:endnotePr>
          <w:pgSz w:w="11906" w:h="16838" w:code="9"/>
          <w:pgMar w:top="1134" w:right="1418" w:bottom="1418" w:left="1418" w:header="1134" w:footer="567" w:gutter="0"/>
          <w:cols w:space="720"/>
          <w:noEndnote/>
          <w:docGrid w:linePitch="326"/>
        </w:sectPr>
      </w:pPr>
      <w:r w:rsidRPr="00471E9B">
        <w:t>3.</w:t>
      </w:r>
      <w:r w:rsidRPr="00471E9B">
        <w:tab/>
        <w:t>αναθέτει στην Πρόεδρό του να διαβιβάσει τη θέση του Κοινοβουλίου στο Συμβούλιο, στην Επιτροπή και στα εθνικά κοινοβούλια.</w:t>
      </w:r>
    </w:p>
    <w:p w:rsidR="0001356A" w:rsidRPr="00C6367F" w:rsidRDefault="0001356A" w:rsidP="0001356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AB45FC">
        <w:rPr>
          <w:b/>
        </w:rPr>
        <w:t>9</w:t>
      </w:r>
      <w:r>
        <w:rPr>
          <w:b/>
        </w:rPr>
        <w:t>_TC</w:t>
      </w:r>
      <w:r w:rsidRPr="00AB45FC">
        <w:rPr>
          <w:b/>
        </w:rPr>
        <w:t>1</w:t>
      </w:r>
      <w:r>
        <w:rPr>
          <w:b/>
        </w:rPr>
        <w:t>-COD(</w:t>
      </w:r>
      <w:r w:rsidRPr="00AB45FC">
        <w:rPr>
          <w:b/>
        </w:rPr>
        <w:t>202</w:t>
      </w:r>
      <w:r w:rsidRPr="00C6367F">
        <w:rPr>
          <w:b/>
        </w:rPr>
        <w:t>3</w:t>
      </w:r>
      <w:r w:rsidRPr="00C96A0A">
        <w:rPr>
          <w:b/>
        </w:rPr>
        <w:t>)</w:t>
      </w:r>
      <w:r w:rsidRPr="00AB45FC">
        <w:rPr>
          <w:b/>
        </w:rPr>
        <w:t>0</w:t>
      </w:r>
      <w:r>
        <w:rPr>
          <w:b/>
        </w:rPr>
        <w:t>163</w:t>
      </w:r>
    </w:p>
    <w:p w:rsidR="001F0F0A" w:rsidRPr="001F0F0A" w:rsidRDefault="0001356A" w:rsidP="001F0F0A">
      <w:pPr>
        <w:pStyle w:val="NormalHanging12a"/>
        <w:ind w:left="0" w:firstLine="0"/>
        <w:rPr>
          <w:b/>
          <w:szCs w:val="24"/>
          <w:lang w:eastAsia="en-US"/>
        </w:rPr>
      </w:pPr>
      <w:r w:rsidRPr="00BC6FFE">
        <w:rPr>
          <w:b/>
        </w:rPr>
        <w:t>Θέση του Ευρωπαϊκού Κοινοβουλίου που καθορίστηκε σε πρώτη ανάγνωση στις 1</w:t>
      </w:r>
      <w:r w:rsidRPr="0001356A">
        <w:rPr>
          <w:b/>
        </w:rPr>
        <w:t>2</w:t>
      </w:r>
      <w:r w:rsidRPr="00BC6FFE">
        <w:rPr>
          <w:b/>
        </w:rPr>
        <w:t xml:space="preserve"> Μαρτίου 2024 εν όψει της έγκρισης </w:t>
      </w:r>
      <w:r>
        <w:rPr>
          <w:b/>
        </w:rPr>
        <w:t>κανονισμού</w:t>
      </w:r>
      <w:r w:rsidRPr="00BC6FFE">
        <w:rPr>
          <w:b/>
        </w:rPr>
        <w:t xml:space="preserve"> (ΕΕ) 2024/... του Ευρωπαϊκού Κοινοβουλίου και του Συμβουλίου </w:t>
      </w:r>
      <w:r w:rsidR="001F0F0A" w:rsidRPr="001F0F0A">
        <w:rPr>
          <w:b/>
          <w:szCs w:val="24"/>
          <w:lang w:eastAsia="en-US"/>
        </w:rPr>
        <w:t>σχετικά με τον ευρωπαϊκό οργανισμό για την ασφάλεια στη θάλασσα και την κατάργηση του κανονισμού (ΕΚ) αριθ. 1406/2002</w:t>
      </w:r>
    </w:p>
    <w:p w:rsidR="001F0F0A" w:rsidRPr="001F0F0A" w:rsidRDefault="001F0F0A" w:rsidP="001F0F0A">
      <w:pPr>
        <w:widowControl/>
        <w:spacing w:before="360" w:after="240" w:line="360" w:lineRule="auto"/>
        <w:jc w:val="center"/>
        <w:rPr>
          <w:szCs w:val="24"/>
          <w:lang w:eastAsia="en-US"/>
        </w:rPr>
      </w:pPr>
      <w:r w:rsidRPr="001F0F0A">
        <w:rPr>
          <w:szCs w:val="24"/>
          <w:lang w:eastAsia="en-US"/>
        </w:rPr>
        <w:t>(Κείμενο που παρουσιάζει ενδιαφέρον για τον ΕΟΧ)</w:t>
      </w:r>
    </w:p>
    <w:p w:rsidR="001F0F0A" w:rsidRPr="001F0F0A" w:rsidRDefault="001F0F0A" w:rsidP="001F0F0A">
      <w:pPr>
        <w:keepNext/>
        <w:spacing w:before="600" w:after="120" w:line="360" w:lineRule="auto"/>
        <w:rPr>
          <w:szCs w:val="24"/>
          <w:lang w:eastAsia="en-US"/>
        </w:rPr>
      </w:pPr>
      <w:r w:rsidRPr="001F0F0A">
        <w:rPr>
          <w:szCs w:val="24"/>
          <w:lang w:eastAsia="en-US"/>
        </w:rPr>
        <w:t>ΤΟ ΕΥΡΩΠΑΪΚΟ ΚΟΙΝΟΒΟΥΛΙΟ ΚΑΙ ΤΟ ΣΥΜΒΟΥΛΙΟ ΤΗΣ ΕΥΡΩΠΑΪΚΗΣ ΕΝΩΣΗΣ,</w:t>
      </w:r>
    </w:p>
    <w:p w:rsidR="001F0F0A" w:rsidRPr="001F0F0A" w:rsidRDefault="001F0F0A" w:rsidP="001F0F0A">
      <w:pPr>
        <w:spacing w:before="120" w:after="120" w:line="360" w:lineRule="auto"/>
        <w:rPr>
          <w:lang w:eastAsia="en-US"/>
        </w:rPr>
      </w:pPr>
      <w:r w:rsidRPr="001F0F0A">
        <w:rPr>
          <w:lang w:eastAsia="en-US"/>
        </w:rPr>
        <w:t>Έχοντας υπόψη τη Συνθήκη για τη λειτουργία της Ευρωπαϊκής Ένωσης και ιδίως το άρθρο 100 παράγραφος 2,</w:t>
      </w:r>
    </w:p>
    <w:p w:rsidR="001F0F0A" w:rsidRPr="001F0F0A" w:rsidRDefault="001F0F0A" w:rsidP="001F0F0A">
      <w:pPr>
        <w:spacing w:before="120" w:after="120" w:line="360" w:lineRule="auto"/>
        <w:rPr>
          <w:lang w:eastAsia="en-US"/>
        </w:rPr>
      </w:pPr>
      <w:r w:rsidRPr="001F0F0A">
        <w:rPr>
          <w:lang w:eastAsia="en-US"/>
        </w:rPr>
        <w:t>Έχοντας υπόψη την πρόταση της Ευρωπαϊκής Επιτροπής,</w:t>
      </w:r>
    </w:p>
    <w:p w:rsidR="001F0F0A" w:rsidRPr="001F0F0A" w:rsidRDefault="001F0F0A" w:rsidP="001F0F0A">
      <w:pPr>
        <w:spacing w:before="120" w:after="120" w:line="360" w:lineRule="auto"/>
        <w:rPr>
          <w:lang w:eastAsia="en-US"/>
        </w:rPr>
      </w:pPr>
      <w:r w:rsidRPr="001F0F0A">
        <w:rPr>
          <w:lang w:eastAsia="en-US"/>
        </w:rPr>
        <w:t>Κατόπιν διαβίβασης του σχεδίου νομοθετικής πράξης στα εθνικά κοινοβούλια,</w:t>
      </w:r>
    </w:p>
    <w:p w:rsidR="001F0F0A" w:rsidRPr="001F0F0A" w:rsidRDefault="001F0F0A" w:rsidP="001F0F0A">
      <w:pPr>
        <w:spacing w:before="120" w:after="120" w:line="360" w:lineRule="auto"/>
        <w:rPr>
          <w:lang w:eastAsia="en-US"/>
        </w:rPr>
      </w:pPr>
      <w:r w:rsidRPr="001F0F0A">
        <w:rPr>
          <w:lang w:eastAsia="en-US"/>
        </w:rPr>
        <w:t>Έχοντας υπόψη τη γνώμη της Ευρωπαϊκής Οικονομικής και Κοινωνικής Επιτροπής</w:t>
      </w:r>
      <w:r w:rsidRPr="001F0F0A">
        <w:rPr>
          <w:vertAlign w:val="superscript"/>
          <w:lang w:val="en-GB" w:eastAsia="en-US"/>
        </w:rPr>
        <w:footnoteReference w:id="2"/>
      </w:r>
      <w:r w:rsidRPr="001F0F0A">
        <w:rPr>
          <w:lang w:eastAsia="en-US"/>
        </w:rPr>
        <w:t>,</w:t>
      </w:r>
    </w:p>
    <w:p w:rsidR="001F0F0A" w:rsidRPr="001F0F0A" w:rsidRDefault="001F0F0A" w:rsidP="001F0F0A">
      <w:pPr>
        <w:spacing w:before="120" w:after="120" w:line="360" w:lineRule="auto"/>
        <w:rPr>
          <w:lang w:eastAsia="en-US"/>
        </w:rPr>
      </w:pPr>
      <w:r w:rsidRPr="001F0F0A">
        <w:rPr>
          <w:lang w:eastAsia="en-US"/>
        </w:rPr>
        <w:t>Έχοντας υπόψη τη γνώμη της Επιτροπής των Περιφερειών</w:t>
      </w:r>
      <w:r w:rsidRPr="001F0F0A">
        <w:rPr>
          <w:vertAlign w:val="superscript"/>
          <w:lang w:val="en-GB" w:eastAsia="en-US"/>
        </w:rPr>
        <w:footnoteReference w:id="3"/>
      </w:r>
      <w:r w:rsidRPr="001F0F0A">
        <w:rPr>
          <w:lang w:eastAsia="en-US"/>
        </w:rPr>
        <w:t>,</w:t>
      </w:r>
    </w:p>
    <w:p w:rsidR="001F0F0A" w:rsidRPr="001F0F0A" w:rsidRDefault="001F0F0A" w:rsidP="001F0F0A">
      <w:pPr>
        <w:spacing w:before="120" w:after="120" w:line="360" w:lineRule="auto"/>
        <w:rPr>
          <w:lang w:eastAsia="en-US"/>
        </w:rPr>
      </w:pPr>
      <w:r w:rsidRPr="001F0F0A">
        <w:rPr>
          <w:lang w:eastAsia="en-US"/>
        </w:rPr>
        <w:t>Αποφασίζοντας σύμφωνα με τη συνήθη νομοθετική διαδικασία,</w:t>
      </w:r>
    </w:p>
    <w:p w:rsidR="006F1DCD" w:rsidRDefault="006F1DCD">
      <w:pPr>
        <w:widowControl/>
        <w:rPr>
          <w:lang w:eastAsia="en-US"/>
        </w:rPr>
      </w:pPr>
      <w:r>
        <w:rPr>
          <w:lang w:eastAsia="en-US"/>
        </w:rPr>
        <w:br w:type="page"/>
      </w:r>
    </w:p>
    <w:p w:rsidR="001F0F0A" w:rsidRPr="001F0F0A" w:rsidRDefault="001F0F0A" w:rsidP="001F0F0A">
      <w:pPr>
        <w:spacing w:before="120" w:after="120" w:line="360" w:lineRule="auto"/>
        <w:rPr>
          <w:lang w:eastAsia="en-US"/>
        </w:rPr>
      </w:pPr>
      <w:r w:rsidRPr="001F0F0A">
        <w:rPr>
          <w:lang w:eastAsia="en-US"/>
        </w:rPr>
        <w:lastRenderedPageBreak/>
        <w:t>Εκτιμώντας τα ακόλουθα: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Στην Ένωση έχουν εγκριθεί ορισμένα νομοθετικά μέτρα με σκοπό την ενίσχυση της ασφάλειας στη θάλασσα και της ναυτιλιακής ασφάλειας, την προώθηση της βιωσιμότητας, μέσω της πρόληψης της ρύπανσης και της απανθρακοποίησης της ναυτιλίας, καθώς και τη διευκόλυνση της ανταλλαγής πληροφοριών και της ψηφιοποίησης του ναυτιλιακού τομέα. Για να είναι αποτελεσματική, η εν λόγω νομοθεσία θα πρέπει να εφαρμόζεται με κατάλληλο και ομοιόμορφο τρόπο σε όλη την Ένωση. Αυτό θα εξασφαλίσει ισότιμους όρους ανταγωνισμού, θα μειώσει τη στρέβλωση του ανταγωνισμού που προκύπτει από τα οικονομικά πλεονεκτήματα που απολαμβάνουν τα μη συμμορφούμενα πλοία και θα επιβραβεύσει τους σοβαρούς παράγοντες της ναυτιλίας.</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(1α)</w:t>
      </w:r>
      <w:r w:rsidRPr="001F0F0A">
        <w:rPr>
          <w:szCs w:val="24"/>
          <w:lang w:eastAsia="en-US"/>
        </w:rPr>
        <w:tab/>
      </w:r>
      <w:r w:rsidRPr="001F0F0A">
        <w:rPr>
          <w:b/>
          <w:i/>
          <w:szCs w:val="24"/>
          <w:lang w:eastAsia="en-US"/>
        </w:rPr>
        <w:t>Ο τομέας της αλιείας έχει υψηλά ποσοστά ατυχημάτων, τα οποία έχουν επίσης υψηλά επίπεδα θνησιμότητας, και παίζει σημαντικό ρόλο η εκπαίδευση των αλιέων όσον αφορά την ασφάλεια στην εργασία.</w:t>
      </w:r>
      <w:r>
        <w:rPr>
          <w:b/>
          <w:szCs w:val="24"/>
          <w:lang w:eastAsia="en-US"/>
        </w:rPr>
        <w:t xml:space="preserve"> [Τροπολογία 1]</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 xml:space="preserve">Η επιδίωξη των στόχων αυτών απαιτεί σημαντική τεχνική εργασία υπό την καθοδήγηση ειδικευμένου φορέα. Αυτός είναι ο λόγος για τον οποίο ήταν αναγκαίο, στο πλαίσιο της δεύτερης «δέσμης μέτρων </w:t>
      </w:r>
      <w:r w:rsidRPr="001F0F0A">
        <w:rPr>
          <w:szCs w:val="24"/>
          <w:lang w:val="en-GB" w:eastAsia="en-US"/>
        </w:rPr>
        <w:t>Erika</w:t>
      </w:r>
      <w:r w:rsidRPr="001F0F0A">
        <w:rPr>
          <w:szCs w:val="24"/>
          <w:lang w:eastAsia="en-US"/>
        </w:rPr>
        <w:t>» το 2002, να συσταθεί, εντός του υφιστάμενου θεσμικού πλαισίου και με σεβασμό των ευθυνών και των δικαιωμάτων των κρατών μελών ως κρατών σημαίας, κρατών λιμένα και παράκτιων κρατών, ένας ευρωπαϊκός οργανισμός με σκοπό την εξασφάλιση υψηλού, ομοιόμορφου και αποτελεσματικού επιπέδου ασφάλειας στη θάλασσα και πρόληψης της ρύπανσης από τα πλοία.</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Με τον κανονισμό (ΕΚ) αριθ. 1406/2002 του Ευρωπαϊκού Κοινοβουλίου και του Συμβουλίου</w:t>
      </w:r>
      <w:r w:rsidRPr="001F0F0A">
        <w:rPr>
          <w:szCs w:val="24"/>
          <w:vertAlign w:val="superscript"/>
          <w:lang w:val="en-GB" w:eastAsia="en-US"/>
        </w:rPr>
        <w:footnoteReference w:id="4"/>
      </w:r>
      <w:r w:rsidRPr="001F0F0A">
        <w:rPr>
          <w:szCs w:val="24"/>
          <w:lang w:eastAsia="en-US"/>
        </w:rPr>
        <w:t xml:space="preserve"> ιδρύθηκε ο ευρωπαϊκός οργανισμός για την ασφάλεια στη θάλασσα (στο εξής: Οργανισμός) ώστε να επικουρεί την Επιτροπή και τα κράτη μέλη στην αποτελεσματική εφαρμογή της νομοθεσίας σε επίπεδο Ένωσης στους τομείς της ασφάλειας στη θάλασσα και της πρόληψης της ρύπανσης μέσω κατάλληλων επισκέψεων στα κράτη μέλη για την παρακολούθηση της σχετικής νομοθεσίας και την παροχή κατάρτισης και την ανάπτυξη ικανοτήτων.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Μετά την ίδρυση του Οργανισμού το 2002, η νομοθεσία της Ένωσης στους τομείς της ασφάλειας στη θάλασσα, της βιωσιμότητας, της πρόληψης της ρύπανσης και της ναυτιλιακής ασφάλειας επεκτάθηκε σημαντικά, με αποτέλεσμα να επέλθουν πέντε τροποποιήσεις της εντολής του Οργανισμού.</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Από το 2013, ο Οργανισμός συνέχισε να επεκτείνει σημαντικά τα καθήκοντά του είτε μέσω της ενεργοποίησης των σχετικών δευτερευόντων καθηκόντων που προβλέπονται στο άρθρο 2α του κανονισμού (ΕΚ) αριθ. 1406/2002 είτε μέσω αιτημάτων για τεχνική συνδρομή προς την Επιτροπή και τα κράτη μέλη, ιδίως στον τομέα της απανθρακοποίησης και της ψηφιοποίησης του ναυτιλιακού τομέα. Επιπλέον, οι τροποποιήσεις των οδηγιών 2005/35/ΕΚ</w:t>
      </w:r>
      <w:r w:rsidRPr="001F0F0A">
        <w:rPr>
          <w:szCs w:val="24"/>
          <w:vertAlign w:val="superscript"/>
          <w:lang w:val="en-GB" w:eastAsia="en-US"/>
        </w:rPr>
        <w:footnoteReference w:id="5"/>
      </w:r>
      <w:r w:rsidRPr="001F0F0A">
        <w:rPr>
          <w:szCs w:val="24"/>
          <w:lang w:eastAsia="en-US"/>
        </w:rPr>
        <w:t>, 2009/16/ΕΚ</w:t>
      </w:r>
      <w:r w:rsidRPr="001F0F0A">
        <w:rPr>
          <w:szCs w:val="24"/>
          <w:vertAlign w:val="superscript"/>
          <w:lang w:val="en-GB" w:eastAsia="en-US"/>
        </w:rPr>
        <w:footnoteReference w:id="6"/>
      </w:r>
      <w:r w:rsidRPr="001F0F0A">
        <w:rPr>
          <w:szCs w:val="24"/>
          <w:lang w:eastAsia="en-US"/>
        </w:rPr>
        <w:t>, 2009/18/ΕΚ</w:t>
      </w:r>
      <w:r w:rsidRPr="001F0F0A">
        <w:rPr>
          <w:szCs w:val="24"/>
          <w:vertAlign w:val="superscript"/>
          <w:lang w:val="en-GB" w:eastAsia="en-US"/>
        </w:rPr>
        <w:footnoteReference w:id="7"/>
      </w:r>
      <w:r w:rsidRPr="001F0F0A">
        <w:rPr>
          <w:szCs w:val="24"/>
          <w:lang w:eastAsia="en-US"/>
        </w:rPr>
        <w:t xml:space="preserve"> και 2009/21/ΕΚ</w:t>
      </w:r>
      <w:r w:rsidRPr="001F0F0A">
        <w:rPr>
          <w:szCs w:val="24"/>
          <w:vertAlign w:val="superscript"/>
          <w:lang w:val="en-GB" w:eastAsia="en-US"/>
        </w:rPr>
        <w:footnoteReference w:id="8"/>
      </w:r>
      <w:r w:rsidRPr="001F0F0A">
        <w:rPr>
          <w:szCs w:val="24"/>
          <w:lang w:eastAsia="en-US"/>
        </w:rPr>
        <w:t xml:space="preserve"> του Ευρωπαϊκού Κοινοβουλίου και του Συμβουλίου έχουν άμεσο αντίκτυπο στα καθήκοντα του Οργανισμού. Οι εν λόγω οδηγίες προβλέπουν ιδίως την εκτέλεση καθηκόντων από τον Οργανισμό σχετικά με τη ρύπανση από τα πλοία, το καθεστώς ελέγχου από το κράτος λιμένα σε επίπεδο Ένωσης, τις δραστηριότητες των κρατών μελών όσον αφορά τη διερεύνηση που σχετίζεται με ναυτικά ατυχήματα στα ύδατα της Ένωσης και τις υποχρεώσεις των κρατών μελών ως κρατών σημαίας.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(6)</w:t>
      </w:r>
      <w:r w:rsidRPr="001F0F0A">
        <w:rPr>
          <w:szCs w:val="24"/>
          <w:lang w:eastAsia="en-US"/>
        </w:rPr>
        <w:tab/>
        <w:t>Επιπλέον, η διοικητική και δημοσιονομική διακυβέρνηση του Οργανισμού πρέπει να ευθυγραμμιστεί με τη διοργανική συμφωνία για τη διακυβέρνηση των αποκεντρωμένων οργανισμών</w:t>
      </w:r>
      <w:r w:rsidRPr="001F0F0A">
        <w:rPr>
          <w:szCs w:val="24"/>
          <w:vertAlign w:val="superscript"/>
          <w:lang w:val="en-GB" w:eastAsia="en-US"/>
        </w:rPr>
        <w:footnoteReference w:id="9"/>
      </w:r>
      <w:r w:rsidRPr="001F0F0A">
        <w:rPr>
          <w:szCs w:val="24"/>
          <w:lang w:eastAsia="en-US"/>
        </w:rPr>
        <w:t xml:space="preserve"> και τον δημοσιονομικό κανονισμό-πλαίσιο για τους αποκεντρωμένους οργανισμούς της Ένωσης</w:t>
      </w:r>
      <w:r w:rsidRPr="001F0F0A">
        <w:rPr>
          <w:szCs w:val="24"/>
          <w:vertAlign w:val="superscript"/>
          <w:lang w:val="en-GB" w:eastAsia="en-US"/>
        </w:rPr>
        <w:footnoteReference w:id="10"/>
      </w:r>
      <w:r w:rsidRPr="001F0F0A">
        <w:rPr>
          <w:szCs w:val="24"/>
          <w:lang w:eastAsia="en-US"/>
        </w:rPr>
        <w:t>.</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(7)</w:t>
      </w:r>
      <w:r w:rsidRPr="001F0F0A">
        <w:rPr>
          <w:szCs w:val="24"/>
          <w:lang w:eastAsia="en-US"/>
        </w:rPr>
        <w:tab/>
        <w:t>Λόγω του σημαντικού αριθμού μεταβολών ενόψει των ανωτέρω εξελίξεων, είναι σκόπιμο να καταργηθεί ο κανονισμός (ΕΚ) αριθ. 1406/2002 και να αντικατασταθεί με νέα νομική πράξη.</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(8)</w:t>
      </w:r>
      <w:r w:rsidRPr="001F0F0A">
        <w:rPr>
          <w:szCs w:val="24"/>
          <w:lang w:eastAsia="en-US"/>
        </w:rPr>
        <w:tab/>
        <w:t>Ο Οργανισμός ιδρύθηκε αρχικά με στόχο να συμβάλει στην καθιέρωση υψηλού επιπέδου ασφάλειας στη θάλασσα σε ολόκληρη την Ένωση, ενώ παράλληλα συνέβαλε στην πρόληψη της ρύπανσης από τα πλοία και αργότερα και από τις εγκαταστάσεις πετρελαίου και αερίου. Παρότι οι στόχοι αυτοί ενισχύθηκαν περαιτέρω με την προσθήκη της προώθησης της ναυτιλιακής ασφάλειας, η εστίαση του Οργανισμού κατά τα τελευταία έτη στη στήριξη των κανονιστικών εξελίξεων στον τομέα της απανθρακοποίησης και της ψηφιοποίησης της ναυτιλίας</w:t>
      </w:r>
      <w:r w:rsidRPr="001F0F0A">
        <w:rPr>
          <w:b/>
          <w:i/>
          <w:szCs w:val="24"/>
          <w:lang w:eastAsia="en-US"/>
        </w:rPr>
        <w:t>, συμπεριλαμβανομένων των λιμενικών περιοχών</w:t>
      </w:r>
      <w:r w:rsidRPr="001F0F0A">
        <w:rPr>
          <w:szCs w:val="24"/>
          <w:lang w:eastAsia="en-US"/>
        </w:rPr>
        <w:t xml:space="preserve"> αξίζει να προστεθεί στους γενικούς στόχους του Οργανισμού, ώστε αυτός να μπορέσει να συμβάλει στην επίτευξη των στόχων της διττής, πράσινης και ψηφιακής μετάβασης του κλάδου. Ομοίως, ο κρίσιμος ρόλος του Οργανισμού στην παροχή μιας εικόνας για την κατάσταση στη θάλασσα, μέσω δορυφορικών εικόνων και της λειτουργίας τηλεκατευθυνόμενων αεροπορικών συστημάτων, δικαιολογεί την προσθήκη ενός σχετικού γενικού στόχου για τον Οργανισμό.</w:t>
      </w:r>
      <w:r>
        <w:rPr>
          <w:b/>
          <w:szCs w:val="24"/>
          <w:lang w:eastAsia="en-US"/>
        </w:rPr>
        <w:t xml:space="preserve"> [Τροπολογία 2]</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(9)</w:t>
      </w:r>
      <w:r w:rsidRPr="001F0F0A">
        <w:rPr>
          <w:szCs w:val="24"/>
          <w:lang w:eastAsia="en-US"/>
        </w:rPr>
        <w:tab/>
        <w:t>Οι στόχοι αυτοί θα πρέπει να καθορίζουν τους τομείς συμμετοχής του Οργανισμού κατά την υποστήριξη της Επιτροπής και των κρατών μελών με τεχνική και επιχειρησιακή συνδρομή για την εφαρμογή των πολιτικών της Ένωσης στον ναυτιλιακό τομέα.</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(10)</w:t>
      </w:r>
      <w:r w:rsidRPr="001F0F0A">
        <w:rPr>
          <w:szCs w:val="24"/>
          <w:lang w:eastAsia="en-US"/>
        </w:rPr>
        <w:tab/>
        <w:t>Για την ορθή επίτευξη των στόχων αυτών, είναι σκόπιμο ο Οργανισμός να εκτελεί ειδικά καθήκοντα στο πεδίο της ασφάλειας στη θάλασσα</w:t>
      </w:r>
      <w:r w:rsidRPr="001F0F0A">
        <w:rPr>
          <w:b/>
          <w:i/>
          <w:szCs w:val="24"/>
          <w:lang w:eastAsia="en-US"/>
        </w:rPr>
        <w:t>, της πρόληψης της ρύπανσης από τα πλοία</w:t>
      </w:r>
      <w:r w:rsidRPr="001F0F0A">
        <w:rPr>
          <w:szCs w:val="24"/>
          <w:lang w:eastAsia="en-US"/>
        </w:rPr>
        <w:t>, της βιωσιμότητας, της απανθρακοποίησης του ναυτιλιακού τομέα, της ναυτιλιακής ασφάλειας και της κυβερνοασφάλειας, της θαλάσσιας επιτήρησης και των ναυτιλιακών κρίσεων και της προώθησης της ψηφιοποίησης και της διευκόλυνσης των ανταλλαγών δεδομένων στον ναυτιλιακό τομέα.</w:t>
      </w:r>
      <w:r w:rsidRPr="001F0F0A">
        <w:rPr>
          <w:b/>
          <w:i/>
          <w:szCs w:val="24"/>
          <w:lang w:eastAsia="en-US"/>
        </w:rPr>
        <w:t xml:space="preserve"> Κατά την εκτέλεση αυτών των καθηκόντων, ο Οργανισμός θα πρέπει να δίνει προσοχή στις ιδιαιτερότητες των διαφορετικών τύπων θαλάσσιων δραστηριοτήτων με ιδιαίτερη προσοχή στις συνθήκες που ισχύουν στον αλιευτικό τομέα.</w:t>
      </w:r>
      <w:r>
        <w:rPr>
          <w:b/>
          <w:szCs w:val="24"/>
          <w:lang w:eastAsia="en-US"/>
        </w:rPr>
        <w:t xml:space="preserve"> [Τροπολογία 3]</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(11)</w:t>
      </w:r>
      <w:r w:rsidRPr="001F0F0A">
        <w:rPr>
          <w:szCs w:val="24"/>
          <w:lang w:eastAsia="en-US"/>
        </w:rPr>
        <w:tab/>
        <w:t>Εκτός από τα ειδικά καθήκοντα, ο Οργανισμός θα πρέπει να παρέχει οριζόντια τεχνική υποστήριξη, κατόπιν αιτήματος της Επιτροπής ή των κρατών μελών, για την εκτέλεση κάθε καθήκοντος που εμπίπτει στις αρμοδιότητες και στους στόχους του και απορρέει από μελλοντικές ανάγκες και εξελίξεις σε επίπεδο Ένωσης</w:t>
      </w:r>
      <w:r w:rsidRPr="001F0F0A">
        <w:rPr>
          <w:b/>
          <w:i/>
          <w:szCs w:val="24"/>
          <w:lang w:eastAsia="en-US"/>
        </w:rPr>
        <w:t xml:space="preserve"> στο πλαίσιο των αρμοδιοτήτων που ορίζει η νομοθεσία για τις θαλάσσιες μεταφορές</w:t>
      </w:r>
      <w:r w:rsidRPr="001F0F0A">
        <w:rPr>
          <w:szCs w:val="24"/>
          <w:lang w:eastAsia="en-US"/>
        </w:rPr>
        <w:t xml:space="preserve">. Τα εν λόγω πρόσθετα καθήκοντα υπόκεινται σε εξέταση των διαθέσιμων ανθρώπινων και οικονομικών πόρων, τους οποίους θα πρέπει να λαμβάνει υπόψη το διοικητικό συμβούλιο του Οργανισμού προτού αποφασίσει να συμπεριλάβει τα εν λόγω καθήκοντα στο ενιαίο έγγραφο προγραμματισμού του Οργανισμού ως μέρος του ετήσιου ή πολυετούς προγράμματος εργασίας του. </w:t>
      </w:r>
      <w:r w:rsidRPr="001F0F0A">
        <w:rPr>
          <w:b/>
          <w:i/>
          <w:szCs w:val="24"/>
          <w:lang w:eastAsia="en-US"/>
        </w:rPr>
        <w:t xml:space="preserve">Ως εκ τούτου, τα νέα πρόσθετα καθήκοντα θα πρέπει να συνοδεύονται από νομοθετικό δημοσιονομικό δελτίο που θα υποβάλλεται στις νομοθετικές και δημοσιονομικές αρχές. </w:t>
      </w:r>
      <w:r w:rsidRPr="001F0F0A">
        <w:rPr>
          <w:szCs w:val="24"/>
          <w:lang w:eastAsia="en-US"/>
        </w:rPr>
        <w:t>Τούτο είναι απαραίτητο ώστε να διασφαλιστεί ότι ορισμένα καθήκοντα που αποτελούν τον πυρήνα του Οργανισμού θα μπορούσαν να αποτελέσουν προτεραιότητα, εάν χρειαστεί.</w:t>
      </w:r>
      <w:r>
        <w:rPr>
          <w:b/>
          <w:szCs w:val="24"/>
          <w:lang w:eastAsia="en-US"/>
        </w:rPr>
        <w:t xml:space="preserve"> [Τροπολογία 4]</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(11α)</w:t>
      </w:r>
      <w:r w:rsidRPr="001F0F0A">
        <w:rPr>
          <w:szCs w:val="24"/>
          <w:lang w:eastAsia="en-US"/>
        </w:rPr>
        <w:tab/>
      </w:r>
      <w:r w:rsidRPr="001F0F0A">
        <w:rPr>
          <w:b/>
          <w:i/>
          <w:szCs w:val="24"/>
          <w:lang w:eastAsia="en-US"/>
        </w:rPr>
        <w:t>Ο Οργανισμός θα πρέπει κατά την εκτέλεση των καθηκόντων του να δίνει ιδιαίτερη προσοχή στον τομέα της αλιείας, δεδομένου ότι ο τομέας αυτός έχει σημαντικό οικονομικό και κοινωνικό αντίκτυπο στην ΕΕ. Ειδικότερα, τα αλιευτικά σκάφη και οι εργαζόμενοι είναι σε ιδιαίτερα ευάλωτη θέση όσον αφορά τους κινδύνους για την ασφάλεια στη θάλασσα και διαδραματίζουν σημαντικό ρόλο στην πράσινη μετάβαση.</w:t>
      </w:r>
      <w:r>
        <w:rPr>
          <w:b/>
          <w:szCs w:val="24"/>
          <w:lang w:eastAsia="en-US"/>
        </w:rPr>
        <w:t xml:space="preserve"> [Τροπολογία 5]</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(12)</w:t>
      </w:r>
      <w:r w:rsidRPr="001F0F0A">
        <w:rPr>
          <w:szCs w:val="24"/>
          <w:lang w:eastAsia="en-US"/>
        </w:rPr>
        <w:tab/>
        <w:t>Ο Οργανισμός βρίσκεται στην πρώτη γραμμή της τεχνικής εμπειρογνωσίας στους τομείς της αρμοδιότητάς του και, ως εκ τούτου, θα πρέπει να παρέχει στα κράτη μέλη δραστηριότητες κατάρτισης και ανάπτυξης ικανοτήτων με την ανάπτυξη κοινών βασικών κορμών μαθημάτων και τη χρήση των πλέον προηγμένων τεχνολογικά εργαλείων για την υλοποίησή τους.</w:t>
      </w:r>
      <w:r w:rsidRPr="001F0F0A">
        <w:rPr>
          <w:b/>
          <w:i/>
          <w:szCs w:val="24"/>
          <w:lang w:eastAsia="en-US"/>
        </w:rPr>
        <w:t xml:space="preserve"> </w:t>
      </w:r>
      <w:proofErr w:type="gramStart"/>
      <w:r w:rsidRPr="001F0F0A">
        <w:rPr>
          <w:b/>
          <w:i/>
          <w:szCs w:val="24"/>
          <w:lang w:val="en-GB" w:eastAsia="en-US"/>
        </w:rPr>
        <w:t>O</w:t>
      </w:r>
      <w:r w:rsidRPr="001F0F0A">
        <w:rPr>
          <w:b/>
          <w:i/>
          <w:szCs w:val="24"/>
          <w:lang w:eastAsia="en-US"/>
        </w:rPr>
        <w:t xml:space="preserve"> Οργανισμός θα πρέπει, μεταξύ άλλων, να στηρίζει την κατάρτιση των επιθεωρητών που διεξάγουν τον έλεγχο του κράτους λιμένα των κρατών μελών και των υπαλλήλων των αρχών του κράτους σημαίας για τη διεξαγωγή στοχευμένων επιθεωρήσεων όσον αφορά την εφαρμογή και την επιβολή της Σύμβασης Ναυτικής Εργασίας 2006 σε σχέση με την εφαρμογή των δικαιωμάτων των ναυτικών και των συνθηκών εργασίας και διαβίωσης επί των πλοίων.</w:t>
      </w:r>
      <w:proofErr w:type="gramEnd"/>
      <w:r w:rsidRPr="001F0F0A">
        <w:rPr>
          <w:b/>
          <w:i/>
          <w:szCs w:val="24"/>
          <w:lang w:eastAsia="en-US"/>
        </w:rPr>
        <w:t xml:space="preserve"> Προκειμένου να αυξηθεί η ελκυστικότητα των θαλάσσιων επαγγελμάτων, ο Οργανισμός θα πρέπει να αξιολογήσει τη δημιουργία ενός δικτύου που θα περιλαμβάνει την ακαδημαϊκή κοινότητα και κάθε άλλο ίδρυμα που παρέχει τα κατάλληλα προσόντα για την προώθηση των αναγκών διά βίου μάθησης.</w:t>
      </w:r>
      <w:r>
        <w:rPr>
          <w:b/>
          <w:szCs w:val="24"/>
          <w:lang w:eastAsia="en-US"/>
        </w:rPr>
        <w:t xml:space="preserve"> [Τροπολογία 6]</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(13)</w:t>
      </w:r>
      <w:r w:rsidRPr="001F0F0A">
        <w:rPr>
          <w:szCs w:val="24"/>
          <w:lang w:eastAsia="en-US"/>
        </w:rPr>
        <w:tab/>
        <w:t xml:space="preserve">Αυτή η τεχνική εμπειρογνωσία του Οργανισμού θα πρέπει να καλλιεργηθεί περαιτέρω με τη διεξαγωγή έρευνας στον τομέα της ναυτιλίας και τη συμβολή στις σχετικές δραστηριότητες της Ένωσης στον τομέα αυτόν. Ο Οργανισμός θα πρέπει να συμβάλει με μια προορατική προσέγγιση στους στόχους της ενίσχυσης της ασφάλειας στη θάλασσα, της ναυτιλιακής ασφάλειας, της απανθρακοποίησης της ναυτιλίας και </w:t>
      </w:r>
      <w:r w:rsidRPr="001F0F0A">
        <w:rPr>
          <w:b/>
          <w:i/>
          <w:szCs w:val="24"/>
          <w:lang w:eastAsia="en-US"/>
        </w:rPr>
        <w:t xml:space="preserve">των θαλάσσιων λιμένων και </w:t>
      </w:r>
      <w:r w:rsidRPr="001F0F0A">
        <w:rPr>
          <w:szCs w:val="24"/>
          <w:lang w:eastAsia="en-US"/>
        </w:rPr>
        <w:t>της πρόληψης της ρύπανσης από τα πλοία. Στο πλαίσιο τούτο, ο Οργανισμός θα μπορούσε να εκδίδει σχετικές μη δεσμευτικές κατευθυντήριες γραμμές, συστάσεις ή εγχειρίδια που θα μπορούσαν να βοηθήσουν την Επιτροπή, τα κράτη μέλη και/ή τον ναυτιλιακό κλάδο στην επίτευξη των στόχων αυτών.</w:t>
      </w:r>
      <w:r>
        <w:rPr>
          <w:b/>
          <w:szCs w:val="24"/>
          <w:lang w:eastAsia="en-US"/>
        </w:rPr>
        <w:t xml:space="preserve"> [Τροπολογία 7]</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(14)</w:t>
      </w:r>
      <w:r w:rsidRPr="001F0F0A">
        <w:rPr>
          <w:szCs w:val="24"/>
          <w:lang w:eastAsia="en-US"/>
        </w:rPr>
        <w:tab/>
        <w:t xml:space="preserve">Όσον αφορά την ασφάλεια στη θάλασσα, ο Οργανισμός θα πρέπει να αναπτύξει μια προορατική προσέγγιση για τον προσδιορισμό των κινδύνων και των προκλήσεων για την ασφάλεια, βάσει της οποίας θα πρέπει να υποβάλλει στην Επιτροπή ανά τριετία έκθεση σχετικά με την πρόοδο στον τομέα της ασφάλειας στη θάλασσα. Επιπλέον, ο Οργανισμός θα πρέπει να συνεχίσει να επικουρεί την Επιτροπή και τα κράτη μέλη στην εφαρμογή της σχετικής νομοθεσίας της Ένωσης, ιδίως στους τομείς των υποχρεώσεων του κράτους σημαίας και του κράτους λιμένα, </w:t>
      </w:r>
      <w:r w:rsidRPr="001F0F0A">
        <w:rPr>
          <w:strike/>
          <w:szCs w:val="24"/>
          <w:lang w:eastAsia="en-US"/>
        </w:rPr>
        <w:t>της διερεύνησης</w:t>
      </w:r>
      <w:r w:rsidR="008B104A">
        <w:rPr>
          <w:strike/>
          <w:szCs w:val="24"/>
          <w:lang w:eastAsia="en-US"/>
        </w:rPr>
        <w:t xml:space="preserve"> </w:t>
      </w:r>
      <w:r w:rsidRPr="001F0F0A">
        <w:rPr>
          <w:b/>
          <w:i/>
          <w:szCs w:val="24"/>
          <w:lang w:eastAsia="en-US"/>
        </w:rPr>
        <w:t>υποστηρίζοντας άμεσα τη διερεύνηση</w:t>
      </w:r>
      <w:r w:rsidRPr="001F0F0A">
        <w:rPr>
          <w:szCs w:val="24"/>
          <w:lang w:eastAsia="en-US"/>
        </w:rPr>
        <w:t xml:space="preserve"> ναυτικών ατυχημάτων, </w:t>
      </w:r>
      <w:proofErr w:type="spellStart"/>
      <w:r w:rsidRPr="001F0F0A">
        <w:rPr>
          <w:strike/>
          <w:szCs w:val="24"/>
          <w:lang w:eastAsia="en-US"/>
        </w:rPr>
        <w:t>της</w:t>
      </w:r>
      <w:r w:rsidRPr="001F0F0A">
        <w:rPr>
          <w:b/>
          <w:i/>
          <w:szCs w:val="24"/>
          <w:lang w:eastAsia="en-US"/>
        </w:rPr>
        <w:t>τη</w:t>
      </w:r>
      <w:proofErr w:type="spellEnd"/>
      <w:r w:rsidRPr="001F0F0A">
        <w:rPr>
          <w:szCs w:val="24"/>
          <w:lang w:eastAsia="en-US"/>
        </w:rPr>
        <w:t xml:space="preserve"> νομοθεσίας για την ασφάλεια των επιβατηγών πλοίων, </w:t>
      </w:r>
      <w:r w:rsidRPr="001F0F0A">
        <w:rPr>
          <w:strike/>
          <w:szCs w:val="24"/>
          <w:lang w:eastAsia="en-US"/>
        </w:rPr>
        <w:t>των αναγνωρισμένων οργανισμών και του εξοπλισμού</w:t>
      </w:r>
      <w:r w:rsidR="008B104A">
        <w:rPr>
          <w:strike/>
          <w:szCs w:val="24"/>
          <w:lang w:eastAsia="en-US"/>
        </w:rPr>
        <w:t xml:space="preserve"> </w:t>
      </w:r>
      <w:r w:rsidRPr="001F0F0A">
        <w:rPr>
          <w:b/>
          <w:i/>
          <w:szCs w:val="24"/>
          <w:lang w:eastAsia="en-US"/>
        </w:rPr>
        <w:t>τους αναγνωρισμένους οργανισμούς και τον εξοπλισμό</w:t>
      </w:r>
      <w:r w:rsidRPr="001F0F0A">
        <w:rPr>
          <w:szCs w:val="24"/>
          <w:lang w:eastAsia="en-US"/>
        </w:rPr>
        <w:t xml:space="preserve"> πλοίων. Τέλος, ο Οργανισμός θα πρέπει να διαδραματίζει προορατικό ρόλο στην υποστήριξη της ανάπτυξης θαλάσσιων αυτόνομων και αυτοματοποιημένων πλοίων επιφανείας, ενώ είναι επίσης σημαντικό να συλλέγονται περαιτέρω δεδομένα στον τομέα της εκπαίδευσης και της πιστοποίησης των ναυτικών και της Σύμβασης Ναυτικής Εργασίας (</w:t>
      </w:r>
      <w:r w:rsidRPr="001F0F0A">
        <w:rPr>
          <w:szCs w:val="24"/>
          <w:lang w:val="en-GB" w:eastAsia="en-US"/>
        </w:rPr>
        <w:t>MLC</w:t>
      </w:r>
      <w:r w:rsidRPr="001F0F0A">
        <w:rPr>
          <w:szCs w:val="24"/>
          <w:lang w:eastAsia="en-US"/>
        </w:rPr>
        <w:t>, 2006).</w:t>
      </w:r>
      <w:r>
        <w:rPr>
          <w:b/>
          <w:szCs w:val="24"/>
          <w:lang w:eastAsia="en-US"/>
        </w:rPr>
        <w:t xml:space="preserve"> [Τροπολογία 8]</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(14α)</w:t>
      </w:r>
      <w:r w:rsidRPr="001F0F0A">
        <w:rPr>
          <w:szCs w:val="24"/>
          <w:lang w:eastAsia="en-US"/>
        </w:rPr>
        <w:tab/>
      </w:r>
      <w:r w:rsidRPr="001F0F0A">
        <w:rPr>
          <w:b/>
          <w:i/>
          <w:szCs w:val="24"/>
          <w:lang w:eastAsia="en-US"/>
        </w:rPr>
        <w:t>Καλεί την Επιτροπή να μεταφέρει στη νομοθεσία της ΕΕ τη Διεθνή Σύμβαση του ΔΝΟ για τα πρότυπα εκπαίδευσης, πιστοποίησης και τήρησης φυλακών για το προσωπικό αλιευτικών σκαφών (</w:t>
      </w:r>
      <w:r w:rsidRPr="001F0F0A">
        <w:rPr>
          <w:b/>
          <w:i/>
          <w:szCs w:val="24"/>
          <w:lang w:val="en-GB" w:eastAsia="en-US"/>
        </w:rPr>
        <w:t>STCW</w:t>
      </w:r>
      <w:r w:rsidRPr="001F0F0A">
        <w:rPr>
          <w:b/>
          <w:i/>
          <w:szCs w:val="24"/>
          <w:lang w:eastAsia="en-US"/>
        </w:rPr>
        <w:t>-</w:t>
      </w:r>
      <w:r w:rsidRPr="001F0F0A">
        <w:rPr>
          <w:b/>
          <w:i/>
          <w:szCs w:val="24"/>
          <w:lang w:val="en-GB" w:eastAsia="en-US"/>
        </w:rPr>
        <w:t>F</w:t>
      </w:r>
      <w:r w:rsidRPr="001F0F0A">
        <w:rPr>
          <w:b/>
          <w:i/>
          <w:szCs w:val="24"/>
          <w:lang w:eastAsia="en-US"/>
        </w:rPr>
        <w:t xml:space="preserve"> 1995), προκειμένου να επιτευχθεί ένα εναρμονισμένο πλαίσιο για το ελάχιστο επίπεδο εκπαίδευσης των αλιέων στην Ευρώπη.</w:t>
      </w:r>
      <w:r>
        <w:rPr>
          <w:b/>
          <w:szCs w:val="24"/>
          <w:lang w:eastAsia="en-US"/>
        </w:rPr>
        <w:t xml:space="preserve"> [Τροπολογία 9]</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(15)</w:t>
      </w:r>
      <w:r w:rsidRPr="001F0F0A">
        <w:rPr>
          <w:szCs w:val="24"/>
          <w:lang w:eastAsia="en-US"/>
        </w:rPr>
        <w:tab/>
        <w:t>Μετά την τελευταία ουσιαστική τροποποίηση του κανονισμού το 2013, έχουν σημειωθεί σημαντικές νομοθετικές εξελίξεις στον ναυτιλιακό τομέα όσον αφορά τη βιωσιμότητα. Εκτός από τα καθήκοντα που κάλυπτε μέχρι σήμερα η εντολή του Οργανισμού, όπως η πρόληψη της ρύπανσης από πλοία και από εγκαταστάσεις πετρελαίου και αερίου, κυρίως μέσω της λειτουργίας της ευρωπαϊκής υπηρεσίας παρακολούθησης πετρελαιοκηλίδων μέσω δορυφόρου (</w:t>
      </w:r>
      <w:r w:rsidRPr="001F0F0A">
        <w:rPr>
          <w:szCs w:val="24"/>
          <w:lang w:val="en-GB" w:eastAsia="en-US"/>
        </w:rPr>
        <w:t>CleanSeaNet</w:t>
      </w:r>
      <w:r w:rsidRPr="001F0F0A">
        <w:rPr>
          <w:szCs w:val="24"/>
          <w:lang w:eastAsia="en-US"/>
        </w:rPr>
        <w:t>), ο Οργανισμός θα πρέπει να συνεχίσει να επικουρεί την Επιτροπή στην εφαρμογή της οδηγίας (ΕΕ) 2019/883 του Ευρωπαϊκού Κοινοβουλίου και του Συμβουλίου</w:t>
      </w:r>
      <w:r w:rsidRPr="001F0F0A">
        <w:rPr>
          <w:szCs w:val="24"/>
          <w:vertAlign w:val="superscript"/>
          <w:lang w:val="en-GB" w:eastAsia="en-US"/>
        </w:rPr>
        <w:footnoteReference w:id="11"/>
      </w:r>
      <w:r w:rsidRPr="001F0F0A">
        <w:rPr>
          <w:szCs w:val="24"/>
          <w:lang w:eastAsia="en-US"/>
        </w:rPr>
        <w:t>, αποτυπώνοντας το καθήκον αυτό στην επικαιροποιημένη εντολή του. Επιπλέον, υπάρχει αυξημένη ανάγκη να συνεχίσει ο Οργανισμός να συνδράμει στην εφαρμογή των σχετικών με τη ναυτιλία στοιχείων των οδηγιών 2008/56/ΕΚ</w:t>
      </w:r>
      <w:r w:rsidRPr="001F0F0A">
        <w:rPr>
          <w:szCs w:val="24"/>
          <w:vertAlign w:val="superscript"/>
          <w:lang w:val="en-GB" w:eastAsia="en-US"/>
        </w:rPr>
        <w:footnoteReference w:id="12"/>
      </w:r>
      <w:r w:rsidRPr="001F0F0A">
        <w:rPr>
          <w:szCs w:val="24"/>
          <w:lang w:eastAsia="en-US"/>
        </w:rPr>
        <w:t xml:space="preserve"> και (ΕΕ) 2016/802</w:t>
      </w:r>
      <w:r w:rsidRPr="001F0F0A">
        <w:rPr>
          <w:szCs w:val="24"/>
          <w:vertAlign w:val="superscript"/>
          <w:lang w:val="en-GB" w:eastAsia="en-US"/>
        </w:rPr>
        <w:footnoteReference w:id="13"/>
      </w:r>
      <w:r w:rsidRPr="001F0F0A">
        <w:rPr>
          <w:szCs w:val="24"/>
          <w:lang w:eastAsia="en-US"/>
        </w:rPr>
        <w:t xml:space="preserve"> του Ευρωπαϊκού Κοινοβουλίου και του Συμβουλίου. Οι δύο αυτοί τομείς, σε συνδυασμό με τη συμμετοχή του Οργανισμού στη συλλογή, ανάλυση και ανταλλαγή δεδομένων σχετικά με τις εκπομπές οξειδίων του αζώτου (</w:t>
      </w:r>
      <w:r w:rsidRPr="001F0F0A">
        <w:rPr>
          <w:szCs w:val="24"/>
          <w:lang w:val="en-GB" w:eastAsia="en-US"/>
        </w:rPr>
        <w:t>NOx</w:t>
      </w:r>
      <w:r w:rsidRPr="001F0F0A">
        <w:rPr>
          <w:szCs w:val="24"/>
          <w:lang w:eastAsia="en-US"/>
        </w:rPr>
        <w:t>) από τα πλοία, είναι σημαντικοί για την προώθηση της βιωσιμότητας στον ναυτιλιακό τομέα, για την οποία ο Οργανισμός θα πρέπει να υποβάλλει ανά τριετία έκθεση σχετικά με την πρόοδο που σημειώνεται.</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(16)</w:t>
      </w:r>
      <w:r w:rsidRPr="001F0F0A">
        <w:rPr>
          <w:szCs w:val="24"/>
          <w:lang w:eastAsia="en-US"/>
        </w:rPr>
        <w:tab/>
        <w:t xml:space="preserve">Στον τομέα της απανθρακοποίησης του κλάδου της ναυτιλίας, οι προσπάθειες για τον περιορισμό των παγκόσμιων εκπομπών της ναυτιλίας μέσω του Διεθνούς Ναυτιλιακού Οργανισμού (ΔΝΟ) βρίσκονται σε εξέλιξη και θα πρέπει να ενθαρρυνθούν, συμπεριλαμβανομένης της ταχείας εφαρμογής της αρχικής στρατηγικής του ΔΝΟ για τη μείωση των εκπομπών αερίων του θερμοκηπίου από τα πλοία, η οποία εγκρίθηκε το 2018. Διεξάγονται </w:t>
      </w:r>
      <w:r w:rsidRPr="001F0F0A">
        <w:rPr>
          <w:b/>
          <w:i/>
          <w:szCs w:val="24"/>
          <w:lang w:eastAsia="en-US"/>
        </w:rPr>
        <w:t xml:space="preserve">επί του παρόντος </w:t>
      </w:r>
      <w:r w:rsidRPr="001F0F0A">
        <w:rPr>
          <w:szCs w:val="24"/>
          <w:lang w:eastAsia="en-US"/>
        </w:rPr>
        <w:t>συζητήσεις σχετικά με τα μέσα για την έμπρακτη υλοποίηση αυτής της φιλοδοξίας</w:t>
      </w:r>
      <w:r w:rsidRPr="001F0F0A">
        <w:rPr>
          <w:strike/>
          <w:szCs w:val="24"/>
          <w:lang w:eastAsia="en-US"/>
        </w:rPr>
        <w:t>, συμπεριλαμβανομένης της</w:t>
      </w:r>
      <w:r w:rsidRPr="001F0F0A">
        <w:rPr>
          <w:b/>
          <w:i/>
          <w:szCs w:val="24"/>
          <w:lang w:eastAsia="en-US"/>
        </w:rPr>
        <w:t>. Οι εν λόγω συζητήσεις καλύπτουν τη δυνατότητα</w:t>
      </w:r>
      <w:r w:rsidRPr="001F0F0A">
        <w:rPr>
          <w:szCs w:val="24"/>
          <w:lang w:eastAsia="en-US"/>
        </w:rPr>
        <w:t xml:space="preserve"> αναθεώρησης της αρχικής στρατηγικής</w:t>
      </w:r>
      <w:r w:rsidRPr="001F0F0A">
        <w:rPr>
          <w:b/>
          <w:i/>
          <w:szCs w:val="24"/>
          <w:lang w:eastAsia="en-US"/>
        </w:rPr>
        <w:t xml:space="preserve"> και προσφέρουν την ευκαιρία για προβληματισμό σχετικά με τις φιλοδοξίες της Ένωσης σε διεθνές επίπεδο και τη σημασία της διασφάλισης ισότιμων όρων ανταγωνισμού σε παγκόσμιο επίπεδο που θα έχουν ως αποτέλεσμα την ενίσχυση της ανταγωνιστικότητας της ΕΕ στον τομέα της ναυτιλίας</w:t>
      </w:r>
      <w:r w:rsidRPr="001F0F0A">
        <w:rPr>
          <w:szCs w:val="24"/>
          <w:lang w:eastAsia="en-US"/>
        </w:rPr>
        <w:t xml:space="preserve">. Σε επίπεδο Ένωσης, έχει αναπτυχθεί ένα σύνολο πολιτικών και νομοθετικών προτάσεων για τη στήριξη της απανθρακοποίησης και την περαιτέρω προώθηση της βιωσιμότητας του ναυτιλιακού τομέα, όπως αντικατοπτρίζεται ιδίως στην Ευρωπαϊκή Πράσινη Συμφωνία, στη στρατηγική για βιώσιμη και έξυπνη κινητικότητα, στη δέσμη </w:t>
      </w:r>
      <w:r w:rsidRPr="001F0F0A">
        <w:rPr>
          <w:szCs w:val="24"/>
          <w:lang w:val="en-GB" w:eastAsia="en-US"/>
        </w:rPr>
        <w:t>Fit</w:t>
      </w:r>
      <w:r w:rsidRPr="001F0F0A">
        <w:rPr>
          <w:szCs w:val="24"/>
          <w:lang w:eastAsia="en-US"/>
        </w:rPr>
        <w:t xml:space="preserve"> </w:t>
      </w:r>
      <w:r w:rsidRPr="001F0F0A">
        <w:rPr>
          <w:szCs w:val="24"/>
          <w:lang w:val="en-GB" w:eastAsia="en-US"/>
        </w:rPr>
        <w:t>for</w:t>
      </w:r>
      <w:r w:rsidRPr="001F0F0A">
        <w:rPr>
          <w:szCs w:val="24"/>
          <w:lang w:eastAsia="en-US"/>
        </w:rPr>
        <w:t xml:space="preserve"> 55 και στη στρατηγική μηδενικής ρύπανσης. Ως εκ τούτου, η ανάγκη μείωσης των εκπομπών αερίων του θερμοκηπίου από τον ναυτιλιακό τομέα θα πρέπει να αντικατοπτρίζεται στην εντολή του Οργανισμού.</w:t>
      </w:r>
      <w:r>
        <w:rPr>
          <w:b/>
          <w:szCs w:val="24"/>
          <w:lang w:eastAsia="en-US"/>
        </w:rPr>
        <w:t xml:space="preserve"> [Τροπολογία 10]</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(17)</w:t>
      </w:r>
      <w:r w:rsidRPr="001F0F0A">
        <w:rPr>
          <w:szCs w:val="24"/>
          <w:lang w:eastAsia="en-US"/>
        </w:rPr>
        <w:tab/>
        <w:t>Στο πλαίσιο αυτό, ενώ ο Οργανισμός θα πρέπει να συνεχίσει να επικουρεί την Επιτροπή και τα κράτη μέλη στην εφαρμογή του κανονισμού (ΕΕ) 2015/757 του Ευρωπαϊκού Κοινοβουλίου και του Συμβουλίου</w:t>
      </w:r>
      <w:r w:rsidRPr="001F0F0A">
        <w:rPr>
          <w:szCs w:val="24"/>
          <w:vertAlign w:val="superscript"/>
          <w:lang w:val="en-GB" w:eastAsia="en-US"/>
        </w:rPr>
        <w:footnoteReference w:id="14"/>
      </w:r>
      <w:r w:rsidRPr="001F0F0A">
        <w:rPr>
          <w:szCs w:val="24"/>
          <w:lang w:eastAsia="en-US"/>
        </w:rPr>
        <w:t xml:space="preserve">, θα πρέπει να συνδράμει περαιτέρω στην εφαρμογή των νέων κανονιστικών μέτρων για την απανθρακοποίηση του ναυτιλιακού τομέα που απορρέουν από τη δέσμη νομοθετικών μέτρων </w:t>
      </w:r>
      <w:r w:rsidRPr="001F0F0A">
        <w:rPr>
          <w:szCs w:val="24"/>
          <w:lang w:val="en-GB" w:eastAsia="en-US"/>
        </w:rPr>
        <w:t>Fit</w:t>
      </w:r>
      <w:r w:rsidRPr="001F0F0A">
        <w:rPr>
          <w:szCs w:val="24"/>
          <w:lang w:eastAsia="en-US"/>
        </w:rPr>
        <w:t xml:space="preserve"> </w:t>
      </w:r>
      <w:r w:rsidRPr="001F0F0A">
        <w:rPr>
          <w:szCs w:val="24"/>
          <w:lang w:val="en-GB" w:eastAsia="en-US"/>
        </w:rPr>
        <w:t>for</w:t>
      </w:r>
      <w:r w:rsidRPr="001F0F0A">
        <w:rPr>
          <w:szCs w:val="24"/>
          <w:lang w:eastAsia="en-US"/>
        </w:rPr>
        <w:t xml:space="preserve"> 55, όπως ο κανονισμός [...] για τη χρήση ανανεώσιμων καυσίμων και καυσίμων χαμηλών ανθρακούχων εκπομπών στις θαλάσσιες μεταφορές και τα σχετικά με τη ναυτιλία στοιχεία της οδηγίας 2003/87/ΕΚ του Ευρωπαϊκού Κοινοβουλίου και του Συμβουλίου</w:t>
      </w:r>
      <w:r w:rsidRPr="001F0F0A">
        <w:rPr>
          <w:szCs w:val="24"/>
          <w:vertAlign w:val="superscript"/>
          <w:lang w:val="en-GB" w:eastAsia="en-US"/>
        </w:rPr>
        <w:footnoteReference w:id="15"/>
      </w:r>
      <w:r w:rsidRPr="001F0F0A">
        <w:rPr>
          <w:szCs w:val="24"/>
          <w:lang w:eastAsia="en-US"/>
        </w:rPr>
        <w:t xml:space="preserve"> σχετικά με τη θέσπιση συστήματος εμπορίας δικαιωμάτων εκπομπής αερίων θερμοκηπίου εντός της Κοινότητας. </w:t>
      </w:r>
      <w:r w:rsidRPr="001F0F0A">
        <w:rPr>
          <w:b/>
          <w:i/>
          <w:szCs w:val="24"/>
          <w:lang w:eastAsia="en-US"/>
        </w:rPr>
        <w:t xml:space="preserve">Σε αυτό περιλαμβάνονται η παρακολούθηση και η υποβολή εκθέσεων σχετικά με τις επιπτώσεις του ΣΕΔΕ της ΕΕ για τη ναυτιλία και την πρωτοβουλία </w:t>
      </w:r>
      <w:r w:rsidRPr="001F0F0A">
        <w:rPr>
          <w:b/>
          <w:i/>
          <w:szCs w:val="24"/>
          <w:lang w:val="en-GB" w:eastAsia="en-US"/>
        </w:rPr>
        <w:t>FuelEU</w:t>
      </w:r>
      <w:r w:rsidRPr="001F0F0A">
        <w:rPr>
          <w:b/>
          <w:i/>
          <w:szCs w:val="24"/>
          <w:lang w:eastAsia="en-US"/>
        </w:rPr>
        <w:t xml:space="preserve"> </w:t>
      </w:r>
      <w:r w:rsidRPr="001F0F0A">
        <w:rPr>
          <w:b/>
          <w:i/>
          <w:szCs w:val="24"/>
          <w:lang w:val="en-GB" w:eastAsia="en-US"/>
        </w:rPr>
        <w:t>Maritime</w:t>
      </w:r>
      <w:r w:rsidRPr="001F0F0A">
        <w:rPr>
          <w:b/>
          <w:i/>
          <w:szCs w:val="24"/>
          <w:lang w:eastAsia="en-US"/>
        </w:rPr>
        <w:t xml:space="preserve"> στην κυκλοφορία των λιμένων, την αποφυγή λιμένων και τη μετατόπιση της κυκλοφορίας σε λιμένες μεταφόρτωσης σε τρίτες χώρες, εις βάρος των λιμένων της ΕΕ. </w:t>
      </w:r>
      <w:r w:rsidRPr="001F0F0A">
        <w:rPr>
          <w:szCs w:val="24"/>
          <w:lang w:eastAsia="en-US"/>
        </w:rPr>
        <w:t>Ο Οργανισμός θα πρέπει να συνεχίσει να πρωτοστατεί στην παροχή εμπειρογνωσίας σε επίπεδο Ένωσης προκειμένου να συνδράμει στη μετάβαση του τομέα σε ανανεώσιμα καύσιμα και καύσιμα χαμηλών ανθρακούχων εκπομπών, διεξάγοντας έρευνα και παρέχοντας καθοδήγηση σχετικά με την υιοθέτηση και την ανάπτυξη βιώσιμων εναλλακτικών πηγών ενέργειας για τα πλοία</w:t>
      </w:r>
      <w:r w:rsidRPr="001F0F0A">
        <w:rPr>
          <w:strike/>
          <w:szCs w:val="24"/>
          <w:lang w:eastAsia="en-US"/>
        </w:rPr>
        <w:t>, συμπεριλαμβανομένης της</w:t>
      </w:r>
      <w:r w:rsidRPr="001F0F0A">
        <w:rPr>
          <w:b/>
          <w:i/>
          <w:szCs w:val="24"/>
          <w:lang w:eastAsia="en-US"/>
        </w:rPr>
        <w:t xml:space="preserve"> και τις σχετικές υποδομές στις λιμενικές περιοχές,</w:t>
      </w:r>
      <w:r w:rsidRPr="001F0F0A">
        <w:rPr>
          <w:szCs w:val="24"/>
          <w:lang w:eastAsia="en-US"/>
        </w:rPr>
        <w:t xml:space="preserve"> από ξηράς παροχής ηλεκτρικής ενέργειας στα πλοία και σε σχέση με την ανάπτυξη λύσεων ενεργειακής απόδοσης και </w:t>
      </w:r>
      <w:r w:rsidRPr="001F0F0A">
        <w:rPr>
          <w:strike/>
          <w:szCs w:val="24"/>
          <w:lang w:eastAsia="en-US"/>
        </w:rPr>
        <w:t>υποβοήθησης αιολικής</w:t>
      </w:r>
      <w:r w:rsidR="008B104A">
        <w:rPr>
          <w:strike/>
          <w:szCs w:val="24"/>
          <w:lang w:eastAsia="en-US"/>
        </w:rPr>
        <w:t xml:space="preserve"> </w:t>
      </w:r>
      <w:r w:rsidRPr="001F0F0A">
        <w:rPr>
          <w:b/>
          <w:i/>
          <w:szCs w:val="24"/>
          <w:lang w:eastAsia="en-US"/>
        </w:rPr>
        <w:t>υποβοηθούμενης από αιολική ενέργεια, ηλιακής και κυματικής</w:t>
      </w:r>
      <w:r w:rsidRPr="001F0F0A">
        <w:rPr>
          <w:szCs w:val="24"/>
          <w:lang w:eastAsia="en-US"/>
        </w:rPr>
        <w:t xml:space="preserve"> πρόωσης</w:t>
      </w:r>
      <w:r w:rsidRPr="001F0F0A">
        <w:rPr>
          <w:b/>
          <w:i/>
          <w:szCs w:val="24"/>
          <w:lang w:eastAsia="en-US"/>
        </w:rPr>
        <w:t xml:space="preserve">. Αυτό περιλαμβάνει επίσης νέες τεχνολογίες καταπολέμησης των αερίων του θερμοκηπίου, όπως τεχνολογιών δέσμευσης του άνθρακα επί των πλοίων και ενεργειακής απόδοσης, όπως βραδεία πλεύση. Επιπλέον, θα πρέπει επίσης να μοιραστεί την εμπειρογνωσία του σχετικά με τους κινδύνους που σχετίζονται με την ασφάλεια των λιμένων, τον ανεφοδιασμό και την αποθήκευση υπό το πρίσμα της υιοθέτησης βιώσιμων </w:t>
      </w:r>
      <w:r w:rsidRPr="001F0F0A">
        <w:rPr>
          <w:b/>
          <w:i/>
          <w:szCs w:val="24"/>
          <w:lang w:eastAsia="en-US"/>
        </w:rPr>
        <w:lastRenderedPageBreak/>
        <w:t>εναλλακτικών καυσίμων, καθώς και τους τεχνολογικούς και κανονιστικούς φραγμούς</w:t>
      </w:r>
      <w:r w:rsidRPr="001F0F0A">
        <w:rPr>
          <w:szCs w:val="24"/>
          <w:lang w:eastAsia="en-US"/>
        </w:rPr>
        <w:t>. Για να παρακολουθείται η πρόοδος</w:t>
      </w:r>
      <w:r w:rsidRPr="001F0F0A">
        <w:rPr>
          <w:b/>
          <w:i/>
          <w:szCs w:val="24"/>
          <w:lang w:eastAsia="en-US"/>
        </w:rPr>
        <w:t xml:space="preserve"> και να προετοιμαστεί το έδαφος</w:t>
      </w:r>
      <w:r w:rsidRPr="001F0F0A">
        <w:rPr>
          <w:szCs w:val="24"/>
          <w:lang w:eastAsia="en-US"/>
        </w:rPr>
        <w:t xml:space="preserve"> στον τομέα της απανθρακοποίησης του ναυτιλιακού τομέα</w:t>
      </w:r>
      <w:r w:rsidRPr="001F0F0A">
        <w:rPr>
          <w:b/>
          <w:i/>
          <w:szCs w:val="24"/>
          <w:lang w:eastAsia="en-US"/>
        </w:rPr>
        <w:t xml:space="preserve"> και των λιμενικών περιοχών</w:t>
      </w:r>
      <w:r w:rsidRPr="001F0F0A">
        <w:rPr>
          <w:szCs w:val="24"/>
          <w:lang w:eastAsia="en-US"/>
        </w:rPr>
        <w:t>, ο Οργανισμός θα πρέπει να υποβάλλει ανά τριετία έκθεση στην Επιτροπή</w:t>
      </w:r>
      <w:r w:rsidRPr="001F0F0A">
        <w:rPr>
          <w:b/>
          <w:i/>
          <w:szCs w:val="24"/>
          <w:lang w:eastAsia="en-US"/>
        </w:rPr>
        <w:t xml:space="preserve"> και στο Κοινοβούλιο</w:t>
      </w:r>
      <w:r w:rsidRPr="001F0F0A">
        <w:rPr>
          <w:szCs w:val="24"/>
          <w:lang w:eastAsia="en-US"/>
        </w:rPr>
        <w:t xml:space="preserve"> σχετικά με τις προσπάθειες μείωσης των εκπομπών αερίων του θερμοκηπίου και τυχόν συστάσεις που μπορεί να έχει.</w:t>
      </w:r>
      <w:r w:rsidRPr="001F0F0A">
        <w:rPr>
          <w:b/>
          <w:i/>
          <w:szCs w:val="24"/>
          <w:lang w:eastAsia="en-US"/>
        </w:rPr>
        <w:t xml:space="preserve"> Ο Οργανισμός θα πρέπει επίσης να υποβάλλει έκθεση σχετικά με όλες τις διοικητικές και πρακτικές δυσκολίες που αντιμετωπίζουν τα κράτη μέλη κατά την εφαρμογή των σχετικών νομοθετικών πράξεων.</w:t>
      </w:r>
      <w:r>
        <w:rPr>
          <w:b/>
          <w:szCs w:val="24"/>
          <w:lang w:eastAsia="en-US"/>
        </w:rPr>
        <w:t xml:space="preserve"> [Τροπολογία 11]</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(18)</w:t>
      </w:r>
      <w:r w:rsidRPr="001F0F0A">
        <w:rPr>
          <w:szCs w:val="24"/>
          <w:lang w:eastAsia="en-US"/>
        </w:rPr>
        <w:tab/>
        <w:t>Στον τομέα της ναυτιλιακής ασφάλειας, ο Οργανισμός θα πρέπει να συνεχίσει να παρέχει τεχνική συνδρομή στις επιθεωρήσεις της Επιτροπής στο πλαίσιο του κανονισμού (ΕΚ) αριθ. 725/2004 του Ευρωπαϊκού Κοινοβουλίου και του Συμβουλίου</w:t>
      </w:r>
      <w:r w:rsidRPr="001F0F0A">
        <w:rPr>
          <w:szCs w:val="24"/>
          <w:vertAlign w:val="superscript"/>
          <w:lang w:val="en-GB" w:eastAsia="en-US"/>
        </w:rPr>
        <w:footnoteReference w:id="16"/>
      </w:r>
      <w:r w:rsidRPr="001F0F0A">
        <w:rPr>
          <w:szCs w:val="24"/>
          <w:lang w:eastAsia="en-US"/>
        </w:rPr>
        <w:t xml:space="preserve"> για τη βελτίωση της ασφάλειας στα πλοία και στις λιμενικές εγκαταστάσεις. Δεδομένου ότι ο αριθμός των συμβάντων κυβερνοασφάλειας στον ναυτιλιακό τομέα έχει αυξηθεί σημαντικά τα τελευταία έτη, ο Οργανισμός θα πρέπει να συνδράμει τις προσπάθειες της Ένωσης για την </w:t>
      </w:r>
      <w:r w:rsidRPr="001F0F0A">
        <w:rPr>
          <w:strike/>
          <w:szCs w:val="24"/>
          <w:lang w:eastAsia="en-US"/>
        </w:rPr>
        <w:t>ενίσχυση της ανθεκτικότητας έναντι</w:t>
      </w:r>
      <w:r w:rsidR="008B104A">
        <w:rPr>
          <w:strike/>
          <w:szCs w:val="24"/>
          <w:lang w:eastAsia="en-US"/>
        </w:rPr>
        <w:t xml:space="preserve"> </w:t>
      </w:r>
      <w:r w:rsidRPr="001F0F0A">
        <w:rPr>
          <w:b/>
          <w:i/>
          <w:szCs w:val="24"/>
          <w:lang w:eastAsia="en-US"/>
        </w:rPr>
        <w:t>πρόληψη</w:t>
      </w:r>
      <w:r w:rsidRPr="001F0F0A">
        <w:rPr>
          <w:szCs w:val="24"/>
          <w:lang w:eastAsia="en-US"/>
        </w:rPr>
        <w:t xml:space="preserve"> συμβάντων κυβερνοασφάλειας </w:t>
      </w:r>
      <w:r w:rsidRPr="001F0F0A">
        <w:rPr>
          <w:b/>
          <w:i/>
          <w:szCs w:val="24"/>
          <w:lang w:eastAsia="en-US"/>
        </w:rPr>
        <w:t xml:space="preserve">και την ενίσχυση της κυβερνοανθεκτικότητας </w:t>
      </w:r>
      <w:r w:rsidRPr="001F0F0A">
        <w:rPr>
          <w:szCs w:val="24"/>
          <w:lang w:eastAsia="en-US"/>
        </w:rPr>
        <w:t>στον ναυτιλιακό τομέα,</w:t>
      </w:r>
      <w:r w:rsidRPr="001F0F0A">
        <w:rPr>
          <w:b/>
          <w:i/>
          <w:szCs w:val="24"/>
          <w:lang w:eastAsia="en-US"/>
        </w:rPr>
        <w:t xml:space="preserve"> καταρτίζοντας κατευθυντήριες γραμμές και</w:t>
      </w:r>
      <w:r w:rsidRPr="001F0F0A">
        <w:rPr>
          <w:szCs w:val="24"/>
          <w:lang w:eastAsia="en-US"/>
        </w:rPr>
        <w:t xml:space="preserve"> διευκολύνοντας την ανταλλαγή βέλτιστων πρακτικών και πληροφοριών μεταξύ των κρατών μελών σχετικά με συμβάντα κυβερνοασφάλειας.</w:t>
      </w:r>
      <w:r w:rsidRPr="001F0F0A">
        <w:rPr>
          <w:b/>
          <w:i/>
          <w:szCs w:val="24"/>
          <w:lang w:eastAsia="en-US"/>
        </w:rPr>
        <w:t>.</w:t>
      </w:r>
      <w:r>
        <w:rPr>
          <w:b/>
          <w:szCs w:val="24"/>
          <w:lang w:eastAsia="en-US"/>
        </w:rPr>
        <w:t xml:space="preserve"> [Τροπολογία 12]</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(19)</w:t>
      </w:r>
      <w:r w:rsidRPr="001F0F0A">
        <w:rPr>
          <w:szCs w:val="24"/>
          <w:lang w:eastAsia="en-US"/>
        </w:rPr>
        <w:tab/>
        <w:t>Ο Οργανισμός θα πρέπει να συνεχίσει να φιλοξενεί το σύστημα παρακολούθησης των πλοίων και ενημέρωσης που θεσπίστηκε δυνάμει της οδηγίας 2002/59/ΕΚ του Ευρωπαϊκού Κοινοβουλίου και του Συμβουλίου</w:t>
      </w:r>
      <w:r w:rsidRPr="001F0F0A">
        <w:rPr>
          <w:szCs w:val="24"/>
          <w:vertAlign w:val="superscript"/>
          <w:lang w:val="en-GB" w:eastAsia="en-US"/>
        </w:rPr>
        <w:footnoteReference w:id="17"/>
      </w:r>
      <w:r w:rsidRPr="001F0F0A">
        <w:rPr>
          <w:szCs w:val="24"/>
          <w:lang w:eastAsia="en-US"/>
        </w:rPr>
        <w:t xml:space="preserve"> μαζί με άλλα συστήματα στα οποία βασίζεται η διαμόρφωση εικόνας για την επίγνωση του τομέα της ναυτιλίας. Στο πλαίσιο αυτό, ο Οργανισμός θα πρέπει να συνεχίσει να διαδραματίζει ζωτικό ρόλο στη διαχείριση της συνιστώσας για τη ναυτιλιακή ασφάλεια του προγράμματος </w:t>
      </w:r>
      <w:r w:rsidRPr="001F0F0A">
        <w:rPr>
          <w:szCs w:val="24"/>
          <w:lang w:val="en-GB" w:eastAsia="en-US"/>
        </w:rPr>
        <w:t>Copernicus</w:t>
      </w:r>
      <w:r w:rsidRPr="001F0F0A">
        <w:rPr>
          <w:szCs w:val="24"/>
          <w:lang w:eastAsia="en-US"/>
        </w:rPr>
        <w:t xml:space="preserve"> και θα πρέπει να συνεχίσει να χρησιμοποιεί τη διαθέσιμη τεχνολογία αιχμής, όπως τα τηλεκατευθυνόμενα αεροπορικά συστήματα, τα οποία αποτελούν για τα κράτη μέλη και για άλλους φορείς της Ένωσης χρήσιμο εργαλείο επιτήρησης και παρακολούθησης. Εκτός από τις υπηρεσίες αυτές, ο Οργανισμός έχει αποδείξει τον στρατηγικό του ρόλο στην παροχή επίγνωσης σχετικά με την κατάσταση του τομέα της ναυτιλίας παρέχοντας υποστήριξη σε διάφορες κρίσεις, όπως η νόσος </w:t>
      </w:r>
      <w:r w:rsidRPr="001F0F0A">
        <w:rPr>
          <w:szCs w:val="24"/>
          <w:lang w:val="en-GB" w:eastAsia="en-US"/>
        </w:rPr>
        <w:t>COVID</w:t>
      </w:r>
      <w:r w:rsidRPr="001F0F0A">
        <w:rPr>
          <w:szCs w:val="24"/>
          <w:lang w:eastAsia="en-US"/>
        </w:rPr>
        <w:t xml:space="preserve">-19 και ο επιθετικός πόλεμος της Ρωσίας κατά της Ουκρανίας. Ως εκ τούτου, ο Οργανισμός θα πρέπει να θέσει σε λειτουργία ένα κέντρο, ανοικτό 24 ώρες την ημέρα και 7 ημέρες την εβδομάδα, το οποίο θα πρέπει να επικουρεί την Επιτροπή και τα κράτη μέλη </w:t>
      </w:r>
      <w:r w:rsidRPr="001F0F0A">
        <w:rPr>
          <w:strike/>
          <w:szCs w:val="24"/>
          <w:lang w:eastAsia="en-US"/>
        </w:rPr>
        <w:t>σε τέτοιες</w:t>
      </w:r>
      <w:r w:rsidR="008B104A">
        <w:rPr>
          <w:strike/>
          <w:szCs w:val="24"/>
          <w:lang w:eastAsia="en-US"/>
        </w:rPr>
        <w:t xml:space="preserve"> </w:t>
      </w:r>
      <w:r w:rsidRPr="001F0F0A">
        <w:rPr>
          <w:b/>
          <w:i/>
          <w:szCs w:val="24"/>
          <w:lang w:eastAsia="en-US"/>
        </w:rPr>
        <w:t>και να παρέχει πληροφορίες σχετικά με δυνητικές και πραγματικές</w:t>
      </w:r>
      <w:r w:rsidRPr="001F0F0A">
        <w:rPr>
          <w:szCs w:val="24"/>
          <w:lang w:eastAsia="en-US"/>
        </w:rPr>
        <w:t xml:space="preserve"> καταστάσεις έκτακτης ανάγκης.</w:t>
      </w:r>
      <w:r w:rsidRPr="001F0F0A">
        <w:rPr>
          <w:b/>
          <w:i/>
          <w:szCs w:val="24"/>
          <w:lang w:eastAsia="en-US"/>
        </w:rPr>
        <w:t xml:space="preserve"> Προς υποστήριξη μιας ισχυρής και ενιαίας απάντησης της Ένωσης και των κρατών μελών της στον επιθετικό πόλεμο της Ρωσίας κατά της Ουκρανίας, ο Οργανισμός θα πρέπει, μεταξύ άλλων, να παρακολουθεί τυχόν ύποπτη συμπεριφορά γύρω από τους αγωγούς και να εντοπίζει την αποφυγή κυρώσεων στη θάλασσα.</w:t>
      </w:r>
      <w:r>
        <w:rPr>
          <w:b/>
          <w:szCs w:val="24"/>
          <w:lang w:eastAsia="en-US"/>
        </w:rPr>
        <w:t xml:space="preserve"> [Τροπολογία 13]</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(20)</w:t>
      </w:r>
      <w:r w:rsidRPr="001F0F0A">
        <w:rPr>
          <w:szCs w:val="24"/>
          <w:lang w:eastAsia="en-US"/>
        </w:rPr>
        <w:tab/>
        <w:t>Η ψηφιοποίηση των δεδομένων αποτελεί μέρος της τεχνολογικής προόδου στον τομέα της συλλογής και της διαβίβασης δεδομένων και έχει σκοπό να συμβάλει στη μείωση του κόστους</w:t>
      </w:r>
      <w:r w:rsidRPr="001F0F0A">
        <w:rPr>
          <w:b/>
          <w:i/>
          <w:szCs w:val="24"/>
          <w:lang w:eastAsia="en-US"/>
        </w:rPr>
        <w:t xml:space="preserve"> και του διοικητικού φόρτου, καθώς</w:t>
      </w:r>
      <w:r w:rsidRPr="001F0F0A">
        <w:rPr>
          <w:szCs w:val="24"/>
          <w:lang w:eastAsia="en-US"/>
        </w:rPr>
        <w:t xml:space="preserve"> και στην αποδοτική χρήση των ανθρώπινων πόρων. Η ανάπτυξη και λειτουργία των αυτόνομων θαλάσσιων πλοίων επιφανείας (</w:t>
      </w:r>
      <w:r w:rsidRPr="001F0F0A">
        <w:rPr>
          <w:szCs w:val="24"/>
          <w:lang w:val="en-GB" w:eastAsia="en-US"/>
        </w:rPr>
        <w:t>MASS</w:t>
      </w:r>
      <w:r w:rsidRPr="001F0F0A">
        <w:rPr>
          <w:szCs w:val="24"/>
          <w:lang w:eastAsia="en-US"/>
        </w:rPr>
        <w:t>) καθώς και οι ψηφιακές και τεχνολογικές εξελίξεις παρέχουν ευρύ φάσμα νέων ευκαιριών όσον αφορά τη συλλογή δεδομένων και τη διαχείριση ολοκληρωμένων συστημάτων. Τούτο δημιουργεί ευκαιρίες για τη δυνητική ψηφιοποίηση, αυτοματοποίηση και τυποποίηση διαφόρων διαδικασιών, οι οποίες θα επιτρέψουν τη διευκόλυνση της ασφάλειας, της προστασίας, της βιωσιμότητας και της αποτελεσματικότητας των ναυτικών επιχειρήσεων, συμπεριλαμβανομένων των μηχανισμών επιτήρησης, σε επίπεδο Ένωσης, με παράλληλη μείωση της διοικητικής επιβάρυνσης για τα κράτη μέλη. Στο πλαίσιο αυτό, ο Οργανισμός θα πρέπει, μεταξύ άλλων, να διευκολύνει και να προωθεί τη χρήση ηλεκτρονικών πιστοποιητικών, τη συλλογή, την καταγραφή και την αξιολόγηση τεχνικών δεδομένων, τη συστηματική αξιοποίηση των υφιστάμενων βάσεων δεδομένων, συμπεριλαμβανομένου του αμφίδρομου εμπλουτισμού τους μέσω της χρήσης καινοτόμων εργαλείων ΤΠ και τεχνητής νοημοσύνης, και, κατά περίπτωση, την ανάπτυξη πρόσθετων διαλειτουργικών βάσεων δεδομένων.</w:t>
      </w:r>
      <w:r>
        <w:rPr>
          <w:b/>
          <w:szCs w:val="24"/>
          <w:lang w:eastAsia="en-US"/>
        </w:rPr>
        <w:t xml:space="preserve"> [Τροπολογία 14]</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(21)</w:t>
      </w:r>
      <w:r w:rsidRPr="001F0F0A">
        <w:rPr>
          <w:szCs w:val="24"/>
          <w:lang w:eastAsia="en-US"/>
        </w:rPr>
        <w:tab/>
        <w:t>Για την ορθή εκτέλεση των καθηκόντων που έχουν ανατεθεί στον Οργανισμό, οι μόνιμοι υπάλληλοί του θα πρέπει να πραγματοποιούν επισκέψεις στα κράτη μέλη, με σκοπό την παρακολούθηση της συνολικής λειτουργίας του ενωσιακού συστήματος ασφάλειας στη θάλασσα και πρόληψης της ρύπανσης από πλοία. Ο Οργανισμός θα πρέπει επίσης να διενεργεί επιθεωρήσεις προκειμένου να συνδράμει την Επιτροπή στην αξιολόγηση της αποτελεσματικής εφαρμογής του δικαίου της Ένωσης.</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(22)</w:t>
      </w:r>
      <w:r w:rsidRPr="001F0F0A">
        <w:rPr>
          <w:szCs w:val="24"/>
          <w:lang w:eastAsia="en-US"/>
        </w:rPr>
        <w:tab/>
        <w:t>Στο πλαίσιο του ΔΝΟ, της Διεθνούς Οργάνωσης Εργασίας (ΔΟΕ) και του Μνημονίου Συνεννόησης των Παρισίων για τον έλεγχο των πλοίων από το κράτος λιμένα, που υπεγράφη στο Παρίσι στις 26 Ιανουαρίου 1982 (στο εξής: ΜΣ των Παρισίων), η Επιτροπή και τα κράτη μέλη ενδέχεται να χρειαστούν τεχνική συνδρομή και εμπειρογνωσία</w:t>
      </w:r>
      <w:r w:rsidRPr="001F0F0A">
        <w:rPr>
          <w:b/>
          <w:i/>
          <w:szCs w:val="24"/>
          <w:lang w:eastAsia="en-US"/>
        </w:rPr>
        <w:t xml:space="preserve">, με αποτέλεσμα να πρέπει να ενισχυθεί ο ρόλος του </w:t>
      </w:r>
      <w:r w:rsidRPr="001F0F0A">
        <w:rPr>
          <w:b/>
          <w:i/>
          <w:szCs w:val="24"/>
          <w:lang w:val="en-GB" w:eastAsia="en-US"/>
        </w:rPr>
        <w:t>EMSA</w:t>
      </w:r>
      <w:r w:rsidRPr="001F0F0A">
        <w:rPr>
          <w:b/>
          <w:i/>
          <w:szCs w:val="24"/>
          <w:lang w:eastAsia="en-US"/>
        </w:rPr>
        <w:t xml:space="preserve">, ιδίως στο πλαίσιο του ΔΝΟ, όπου ο </w:t>
      </w:r>
      <w:r w:rsidRPr="001F0F0A">
        <w:rPr>
          <w:b/>
          <w:i/>
          <w:szCs w:val="24"/>
          <w:lang w:val="en-GB" w:eastAsia="en-US"/>
        </w:rPr>
        <w:t>EMSA</w:t>
      </w:r>
      <w:r w:rsidRPr="001F0F0A">
        <w:rPr>
          <w:b/>
          <w:i/>
          <w:szCs w:val="24"/>
          <w:lang w:eastAsia="en-US"/>
        </w:rPr>
        <w:t xml:space="preserve"> θα πρέπει να συμμετέχει και να παρίσταται στις συζητήσεις</w:t>
      </w:r>
      <w:r w:rsidRPr="001F0F0A">
        <w:rPr>
          <w:szCs w:val="24"/>
          <w:lang w:eastAsia="en-US"/>
        </w:rPr>
        <w:t>. Ομοίως, η Επιτροπή μπορεί επίσης να χρειαστεί την τεχνική συνδρομή του Οργανισμού για τη στήριξη τρίτων χωρών στον ναυτιλιακό τομέα, ειδικότερα με την ανάπτυξη ικανοτήτων και την πρόληψη και αντιμετώπιση της ρύπανσης. Το διοικητικό συμβούλιο του Οργανισμού θα πρέπει να αναλάβει την έκδοση στρατηγικής για τις διεθνείς σχέσεις του Οργανισμού όσον αφορά θέματα που εμπίπτουν στην αρμοδιότητά του, στο πλαίσιο του ενιαίου εγγράφου προγραμματισμού.</w:t>
      </w:r>
      <w:r>
        <w:rPr>
          <w:b/>
          <w:szCs w:val="24"/>
          <w:lang w:eastAsia="en-US"/>
        </w:rPr>
        <w:t xml:space="preserve"> [Τροπολογία 15]</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(23)</w:t>
      </w:r>
      <w:r w:rsidRPr="001F0F0A">
        <w:rPr>
          <w:szCs w:val="24"/>
          <w:lang w:eastAsia="en-US"/>
        </w:rPr>
        <w:tab/>
        <w:t>Οι εθνικές αρχές που ασκούν έργο ακτοφυλακής είναι υπεύθυνες για ευρύ φάσμα καθηκόντων, που μπορεί να περιλαμβάνει τη θαλάσσια ασφάλεια, τη ναυτιλιακή ασφάλεια, την έρευνα και διάσωση, τον έλεγχο των συνόρων, τον έλεγχο της αλιείας, τους τελωνειακούς ελέγχους, την εν γένει επιβολή του νόμου και την προστασία του περιβάλλοντος. Ο Οργανισμός, η Ευρωπαϊκή Συνοριοφυλακή και Ακτοφυλακή, που θεσπίστηκε με τον κανονισμό (ΕΕ) 2019/1896 του Ευρωπαϊκού Κοινοβουλίου και του Συμβουλίου</w:t>
      </w:r>
      <w:r w:rsidRPr="001F0F0A">
        <w:rPr>
          <w:szCs w:val="24"/>
          <w:vertAlign w:val="superscript"/>
          <w:lang w:val="en-GB" w:eastAsia="en-US"/>
        </w:rPr>
        <w:footnoteReference w:id="18"/>
      </w:r>
      <w:r w:rsidRPr="001F0F0A">
        <w:rPr>
          <w:szCs w:val="24"/>
          <w:lang w:eastAsia="en-US"/>
        </w:rPr>
        <w:t>, και η Ευρωπαϊκή Υπηρεσία Ελέγχου της Αλιείας, που θεσπίστηκε με τον κανονισμό (ΕΕ) 2019/473 του Ευρωπαϊκού Κοινοβουλίου και του Συμβουλίου</w:t>
      </w:r>
      <w:r w:rsidRPr="001F0F0A">
        <w:rPr>
          <w:szCs w:val="24"/>
          <w:vertAlign w:val="superscript"/>
          <w:lang w:val="en-GB" w:eastAsia="en-US"/>
        </w:rPr>
        <w:footnoteReference w:id="19"/>
      </w:r>
      <w:r w:rsidRPr="001F0F0A">
        <w:rPr>
          <w:szCs w:val="24"/>
          <w:lang w:eastAsia="en-US"/>
        </w:rPr>
        <w:t>, θα πρέπει, συνεπώς, να ενισχύσουν τη συνεργασία τους, στο πλαίσιο της εντολής τους, τόσο μεταξύ τους όσο και με τις εθνικές αρχές που εκτελούν καθήκοντα ακτοφυλακής, για την παροχή καλύτερης επίγνωσης σχετικά με την κατάσταση του τομέα της ναυτιλίας και τη στήριξη της ανάληψης συνεκτικής και οικονομικά αποδοτικής δράσης</w:t>
      </w:r>
      <w:r w:rsidRPr="001F0F0A">
        <w:rPr>
          <w:b/>
          <w:i/>
          <w:szCs w:val="24"/>
          <w:lang w:eastAsia="en-US"/>
        </w:rPr>
        <w:t>, με την παροχή υπηρεσιών, πληροφοριών, τεχνολογίας, εξοπλισμού και εκπαίδευσης, καθώς και με το συντονισμό επιχειρήσεων πολλαπλών χρήσεων, τη συλλογή δεδομένων για επιστημονική έρευνα, την παρακολούθηση των ευρωπαϊκών υδάτων και την εφαρμογή προγραμμάτων συνεργασίας με τρίτες χώρες</w:t>
      </w:r>
      <w:r w:rsidRPr="001F0F0A">
        <w:rPr>
          <w:szCs w:val="24"/>
          <w:lang w:eastAsia="en-US"/>
        </w:rPr>
        <w:t>.</w:t>
      </w:r>
      <w:r>
        <w:rPr>
          <w:b/>
          <w:szCs w:val="24"/>
          <w:lang w:eastAsia="en-US"/>
        </w:rPr>
        <w:t xml:space="preserve"> [Τροπολογία 16]</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(24)</w:t>
      </w:r>
      <w:r w:rsidRPr="001F0F0A">
        <w:rPr>
          <w:szCs w:val="24"/>
          <w:lang w:eastAsia="en-US"/>
        </w:rPr>
        <w:tab/>
        <w:t>Η εφαρμογή του παρόντος κανονισμού δεν θα πρέπει να θίγει την κατανομή αρμοδιοτήτων μεταξύ της Ένωσης και των κρατών μελών ούτε τις υποχρεώσεις των κρατών μελών που απορρέουν από διεθνείς συμβάσεις, όπως η Σύμβαση των Ηνωμένων Εθνών για το Δίκαιο της Θάλασσας, η Διεθνής Σύμβαση για την ασφάλεια της ανθρώπινης ζωής στη θάλασσα, η Διεθνής Σύμβαση για τη ναυτική έρευνα και διάσωση, η Διεθνής Σύμβαση για την πρόληψη της ρύπανσης από πλοία, η Διεθνής Σύμβαση για πρότυπα εκπαίδευσης, έκδοσης πιστοποιητικών και τήρησης φυλακών των ναυτικών και άλλες συναφείς διεθνείς πράξεις για τη ναυτιλία.</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(25)</w:t>
      </w:r>
      <w:r w:rsidRPr="001F0F0A">
        <w:rPr>
          <w:szCs w:val="24"/>
          <w:lang w:eastAsia="en-US"/>
        </w:rPr>
        <w:tab/>
        <w:t>Για τον εξορθολογισμό της διαδικασίας λήψης αποφάσεων εντός του Οργανισμού και προκειμένου να ενισχυθεί η αποτελεσματικότητα και η αποδοτικότητα, θα πρέπει να θεσπιστεί δομή δύο επιπέδων διακυβέρνησης. Για τον σκοπό αυτόν, τα κράτη μέλη και η Επιτροπή θα πρέπει να εκπροσωπούνται σε διοικητικό συμβούλιο το οποίο διαθέτει τις απαραίτητες εξουσίες, συμπεριλαμβανομένων των εξουσιών κατάρτισης του προϋπολογισμού και έγκρισης του εγγράφου προγραμματισμού</w:t>
      </w:r>
      <w:r w:rsidRPr="001F0F0A">
        <w:rPr>
          <w:b/>
          <w:i/>
          <w:szCs w:val="24"/>
          <w:lang w:eastAsia="en-US"/>
        </w:rPr>
        <w:t>. Το Ευρωπαϊκό Κοινοβούλιο πρέπει να εκπροσωπείται ως παρατηρητής</w:t>
      </w:r>
      <w:r w:rsidRPr="001F0F0A">
        <w:rPr>
          <w:szCs w:val="24"/>
          <w:lang w:eastAsia="en-US"/>
        </w:rPr>
        <w:t>. Το διοικητικό συμβούλιο θα πρέπει να παρέχει γενικούς προσανατολισμούς για τις δραστηριότητες του Οργανισμού και να συμμετέχει στενότερα στις δραστηριότητες του Οργανισμού, με σκοπό να ενισχυθεί η εποπτεία διοικητικών και δημοσιονομικών θεμάτων. Θα πρέπει να συσταθεί ένα μικρότερου μεγέθους εκτελεστικό συμβούλιο με σκοπό την κατάλληλη προετοιμασία των συνεδριάσεων του διοικητικού συμβουλίου και την υποστήριξή του κατά τη διαδικασία λήψης αποφάσεων. Οι εξουσίες του εκτελεστικού συμβουλίου θα πρέπει να καθορίζονται σε εντολή που θα εγκρίνει το διοικητικό συμβούλιο και θα πρέπει, εάν απαιτείται, να περιλαμβάνουν γνωμοδοτήσεις και προσωρινές αποφάσεις με την επιφύλαξη τελικής έγκρισης από το διοικητικό συμβούλιο. Επικεφαλής του Οργανισμού θα πρέπει να είναι εκτελεστικός διευθυντής.</w:t>
      </w:r>
      <w:r>
        <w:rPr>
          <w:b/>
          <w:szCs w:val="24"/>
          <w:lang w:eastAsia="en-US"/>
        </w:rPr>
        <w:t xml:space="preserve"> [Τροπολογία 17]</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(26)</w:t>
      </w:r>
      <w:r w:rsidRPr="001F0F0A">
        <w:rPr>
          <w:szCs w:val="24"/>
          <w:lang w:eastAsia="en-US"/>
        </w:rPr>
        <w:tab/>
        <w:t>Για να εξασφαλίζεται η διαφάνεια των αποφάσεων του διοικητικού συμβουλίου, θα πρέπει να παρίστανται στις συνεδριάσεις του αντιπρόσωποι των ενδιαφερόμενων κλάδων, χωρίς όμως δικαίωμα ψήφου. Οι αντιπρόσωποι των διαφόρων ενδιαφερόμενων μερών θα πρέπει να διορίζονται από την Επιτροπή με βάση την αντιπροσωπευτικότητά τους σε επίπεδο Ένωσης.</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(27)</w:t>
      </w:r>
      <w:r w:rsidRPr="001F0F0A">
        <w:rPr>
          <w:szCs w:val="24"/>
          <w:lang w:eastAsia="en-US"/>
        </w:rPr>
        <w:tab/>
        <w:t>Προκειμένου να εκτελεί τα καθήκοντά του σωστά, ο Οργανισμός θα πρέπει να διαθέτει νομική προσωπικότητα και αυτόνομο προϋπολογισμό χρηματοδοτούμενο κυρίως από την Ένωση και με την καταβολή</w:t>
      </w:r>
      <w:r w:rsidRPr="001F0F0A">
        <w:rPr>
          <w:b/>
          <w:i/>
          <w:szCs w:val="24"/>
          <w:lang w:eastAsia="en-US"/>
        </w:rPr>
        <w:t xml:space="preserve"> αναλογικών</w:t>
      </w:r>
      <w:r w:rsidRPr="001F0F0A">
        <w:rPr>
          <w:szCs w:val="24"/>
          <w:lang w:eastAsia="en-US"/>
        </w:rPr>
        <w:t xml:space="preserve"> τελών και επιβαρύνσεων από τρίτες χώρες ή άλλες οντότητες. Η ανεξαρτησία και η αμεροληψία του Οργανισμού δεν θα πρέπει να τίθενται σε κίνδυνο από οικονομικές συνεισφορές που λαμβάνει ο Οργανισμός από κράτη μέλη, τρίτες χώρες ή άλλες οντότητες. Για να διασφαλίζεται η ανεξαρτησία του Οργανισμού κατά τη διαχείριση των τρεχουσών υποθέσεων και στο πλαίσιο των γνωμοδοτήσεων, των συστάσεων και των αποφάσεων που εκδίδει, η οργάνωση του Οργανισμού θα πρέπει να είναι διαφανής και ο εκτελεστικός διευθυντής θα πρέπει να διαθέτει πλήρεις αρμοδιότητες. Το προσωπικό του Οργανισμού θα πρέπει να είναι ανεξάρτητο και να απασχολείται μέσω τόσο βραχυπρόθεσμων όσο και μακροπρόθεσμων συμβάσεων, ώστε να διατηρούνται η οργανωτική γνώση και η συνέχεια των δραστηριοτήτων του, καθώς και η απαραίτητη και συνεχής ανταλλαγή εμπειρογνωσίας με τον ναυτιλιακό τομέα. Στις δαπάνες του Οργανισμού θα πρέπει να περιλαμβάνονται οι δαπάνες προσωπικού, διοίκησης, υποδομών και λειτουργίας.</w:t>
      </w:r>
      <w:r>
        <w:rPr>
          <w:b/>
          <w:szCs w:val="24"/>
          <w:lang w:eastAsia="en-US"/>
        </w:rPr>
        <w:t xml:space="preserve"> [Τροπολογία 18]</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(28)</w:t>
      </w:r>
      <w:r w:rsidRPr="001F0F0A">
        <w:rPr>
          <w:szCs w:val="24"/>
          <w:lang w:eastAsia="en-US"/>
        </w:rPr>
        <w:tab/>
        <w:t xml:space="preserve">Σε ό,τι αφορά την πρόληψη και τη διαχείριση συγκρούσεων συμφερόντων, έχει πρωταρχική σημασία ο Οργανισμός να ενεργεί αμερόληπτα, να επιδεικνύει ακεραιότητα και να θεσπίζει υψηλά επαγγελματικά πρότυπα. Δεν θα πρέπει να γεννάται επ’ </w:t>
      </w:r>
      <w:proofErr w:type="spellStart"/>
      <w:r w:rsidRPr="001F0F0A">
        <w:rPr>
          <w:szCs w:val="24"/>
          <w:lang w:eastAsia="en-US"/>
        </w:rPr>
        <w:t>ουδενί</w:t>
      </w:r>
      <w:proofErr w:type="spellEnd"/>
      <w:r w:rsidRPr="001F0F0A">
        <w:rPr>
          <w:szCs w:val="24"/>
          <w:lang w:eastAsia="en-US"/>
        </w:rPr>
        <w:t xml:space="preserve"> η υποψία ότι οι αποφάσεις ενδέχεται να επηρεάζονται από συμφέροντα που συγκρούονται με τον ρόλο του Οργανισμού ως φορέα που εξυπηρετεί την Ένωση στο σύνολό της ή από ιδιωτικά συμφέροντα ή προσωπικές σχέσεις οποιουδήποτε μέλους του διοικητικού συμβουλίου, τα οποία θα δημιουργούσαν ή είναι πιθανό να δημιουργήσουν σύγκρουση με αυτή καθαυτή την εκτέλεση των επίσημων καθηκόντων του εν λόγω μέλους. Ως εκ τούτου, το διοικητικό συμβούλιο θα πρέπει να θεσπίσει </w:t>
      </w:r>
      <w:r w:rsidRPr="001F0F0A">
        <w:rPr>
          <w:b/>
          <w:i/>
          <w:szCs w:val="24"/>
          <w:lang w:eastAsia="en-US"/>
        </w:rPr>
        <w:t xml:space="preserve">και να δημοσιοποιήσει </w:t>
      </w:r>
      <w:r w:rsidRPr="001F0F0A">
        <w:rPr>
          <w:szCs w:val="24"/>
          <w:lang w:eastAsia="en-US"/>
        </w:rPr>
        <w:t>ολοκληρωμένους κανόνες σχετικά με τη σύγκρουση συμφερόντων</w:t>
      </w:r>
      <w:r w:rsidRPr="001F0F0A">
        <w:rPr>
          <w:b/>
          <w:i/>
          <w:szCs w:val="24"/>
          <w:lang w:eastAsia="en-US"/>
        </w:rPr>
        <w:t>, λαμβάνοντας δεόντως υπόψη τις συστάσεις του Ευρωπαίου Διαμεσολαβητή</w:t>
      </w:r>
      <w:r w:rsidRPr="001F0F0A">
        <w:rPr>
          <w:szCs w:val="24"/>
          <w:lang w:eastAsia="en-US"/>
        </w:rPr>
        <w:t>.</w:t>
      </w:r>
      <w:r>
        <w:rPr>
          <w:b/>
          <w:szCs w:val="24"/>
          <w:lang w:eastAsia="en-US"/>
        </w:rPr>
        <w:t xml:space="preserve"> [Τροπολογία 19]</w:t>
      </w:r>
    </w:p>
    <w:p w:rsidR="001F0F0A" w:rsidRPr="001F0F0A" w:rsidRDefault="001F0F0A" w:rsidP="001F0F0A">
      <w:pPr>
        <w:spacing w:before="120" w:after="120" w:line="360" w:lineRule="auto"/>
        <w:ind w:left="850" w:hanging="850"/>
        <w:rPr>
          <w:szCs w:val="24"/>
          <w:lang w:eastAsia="en-US"/>
        </w:rPr>
      </w:pPr>
      <w:r w:rsidRPr="001F0F0A">
        <w:rPr>
          <w:szCs w:val="24"/>
          <w:lang w:eastAsia="en-US"/>
        </w:rPr>
        <w:t>(29)</w:t>
      </w:r>
      <w:r w:rsidRPr="001F0F0A">
        <w:rPr>
          <w:szCs w:val="24"/>
          <w:lang w:eastAsia="en-US"/>
        </w:rPr>
        <w:tab/>
        <w:t>Μια ευρύτερη στρατηγική διάσταση όσον αφορά τις δραστηριότητες του Οργανισμού θα διευκόλυνε τον σχεδιασμό και τη διαχείριση των πόρων του κατά τρόπο αποτελεσματικότερο και θα συνέβαλλε στην υψηλότερη ποιότητα των αποτελεσμάτων του. Τούτο επιβεβαιώνεται και ενισχύεται από τον κατ’ εξουσιοδότηση κανονισμό (ΕΕ) 2019/715. Συνεπώς, το διοικητικό συμβούλιο θα πρέπει να εγκρίνει και να ενημερώνει τακτικά ενιαίο έγγραφο προγραμματισμού που να περιέχει τα ετήσια και πολυετή προγράμματα εργασιών, κατόπιν κατάλληλης διαβούλευσης με τα σχετικά ενδιαφερόμενα μέρη.</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(30)</w:t>
      </w:r>
      <w:r w:rsidRPr="001F0F0A">
        <w:rPr>
          <w:szCs w:val="24"/>
          <w:lang w:eastAsia="en-US"/>
        </w:rPr>
        <w:tab/>
        <w:t>Όταν ο Οργανισμός καλείται να εκτελέσει νέο καθήκον που δεν προβλέπεται ρητά στην εντολή του ή ορισμένα καθήκοντα για τα οποία απαιτείται εξέταση και ανάλυση των επιπτώσεων στους πόρους του, σε ανθρώπινο δυναμικό και προϋπολογισμό, σύμφωνα με την εντολή του, το διοικητικό συμβούλιο θα πρέπει να περιλαμβάνει τα εν λόγω καθήκοντα στο έγγραφο προγραμματισμού μόνο μετά την εν λόγω ανάλυση. Η συγκεκριμένη ανάλυση θα πρέπει να προσδιορίζει τους αναγκαίους πόρους με τους οποίους ο Οργανισμός θα μπορούσε να εκτελέσει τα εν λόγω νέα καθήκοντα και το αν επηρεάζονται αρνητικά τα υφιστάμενα καθήκοντα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(31)</w:t>
      </w:r>
      <w:r w:rsidRPr="001F0F0A">
        <w:rPr>
          <w:szCs w:val="24"/>
          <w:lang w:eastAsia="en-US"/>
        </w:rPr>
        <w:tab/>
        <w:t>Ο Οργανισμός θα πρέπει να διαθέτει κατάλληλους πόρους για την άσκηση των καθηκόντων του, καθώς και αυτόνομο προϋπολογισμό. Θα πρέπει να χρηματοδοτείται κυρίως από τον γενικό προϋπολογισμό της Ένωσης. Όσον αφορά τη συνεισφορά της Ένωσης και κάθε άλλη επιδότηση που βαρύνει τον γενικό προϋπολογισμό της Ένωσης, θα πρέπει να εφαρμόζεται η διαδικασία προϋπολογισμού της Ένωσης. Ο έλεγχος των λογαριασμών θα πρέπει να διενεργείται από το Ελεγκτικό Συνέδριο της Ένωσης.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(32)</w:t>
      </w:r>
      <w:r w:rsidRPr="001F0F0A">
        <w:rPr>
          <w:szCs w:val="24"/>
          <w:lang w:eastAsia="en-US"/>
        </w:rPr>
        <w:tab/>
        <w:t>Τα τέλη βελτιώνουν τη χρηματοδότηση ενός οργανισμού και μπορούν να εξεταστούν για συγκεκριμένες υπηρεσίες που εμπίπτουν στο πεδίο των αρμοδιοτήτων του και παρέχονται από τον Οργανισμό προς τρίτες χώρες ή προς τον κλάδο. Τυχόν τέλη που εισπράττει ο Οργανισμός θα πρέπει να καλύπτουν τα έξοδά του για την παροχή των αντίστοιχων υπηρεσιών.</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(33)</w:t>
      </w:r>
      <w:r w:rsidRPr="001F0F0A">
        <w:rPr>
          <w:szCs w:val="24"/>
          <w:lang w:eastAsia="en-US"/>
        </w:rPr>
        <w:tab/>
        <w:t>Προκειμένου να εξασφαλιστούν ενιαίες συνθήκες εφαρμογής του παρόντος κανονισμού όσον αφορά τα τέλη και τις επιβαρύνσεις, θα πρέπει να ανατεθούν στην Επιτροπή εκτελεστικές αρμοδιότητες</w:t>
      </w:r>
      <w:r w:rsidRPr="001F0F0A">
        <w:rPr>
          <w:b/>
          <w:i/>
          <w:szCs w:val="24"/>
          <w:lang w:eastAsia="en-US"/>
        </w:rPr>
        <w:t xml:space="preserve"> που θα αφορούν τον καθορισμό των τελών και των επιβαρύνσεων για την παροχή υπηρεσιών</w:t>
      </w:r>
      <w:r w:rsidRPr="001F0F0A">
        <w:rPr>
          <w:szCs w:val="24"/>
          <w:lang w:eastAsia="en-US"/>
        </w:rPr>
        <w:t>. Οι εν λόγω αρμοδιότητες θα πρέπει να ασκούνται σύμφωνα με τον κανονισμό (ΕΕ) αριθ. 182/2011 του Ευρωπαϊκού Κοινοβουλίου και του Συμβουλίου</w:t>
      </w:r>
      <w:r w:rsidRPr="001F0F0A">
        <w:rPr>
          <w:szCs w:val="24"/>
          <w:vertAlign w:val="superscript"/>
          <w:lang w:val="en-GB" w:eastAsia="en-US"/>
        </w:rPr>
        <w:footnoteReference w:id="20"/>
      </w:r>
      <w:r w:rsidRPr="001F0F0A">
        <w:rPr>
          <w:szCs w:val="24"/>
          <w:lang w:eastAsia="en-US"/>
        </w:rPr>
        <w:t>.</w:t>
      </w:r>
      <w:r>
        <w:rPr>
          <w:b/>
          <w:szCs w:val="24"/>
          <w:lang w:eastAsia="en-US"/>
        </w:rPr>
        <w:t xml:space="preserve"> [Τροπολογία 20]</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lastRenderedPageBreak/>
        <w:t>(33α)</w:t>
      </w:r>
      <w:r w:rsidRPr="001F0F0A">
        <w:rPr>
          <w:szCs w:val="24"/>
          <w:lang w:eastAsia="en-US"/>
        </w:rPr>
        <w:tab/>
      </w:r>
      <w:r w:rsidRPr="001F0F0A">
        <w:rPr>
          <w:b/>
          <w:i/>
          <w:szCs w:val="24"/>
          <w:lang w:eastAsia="en-US"/>
        </w:rPr>
        <w:t>Προκειμένου να οριστεί η μεθοδολογία για τον υπολογισμό των εν λόγω τελών και επιβαρύνσεων, η εξουσία έκδοσης πράξεων σύμφωνα με το άρθρο 290 της Συνθήκης για τη λειτουργία της Ευρωπαϊκής Ένωσης θα πρέπει να ανατεθεί στην Επιτροπή όσον αφορά ... [περιεχόμενο και πεδίο εφαρμογής]. Είναι ιδιαίτερα σημαντικό να διενεργεί η Επιτροπή κατάλληλες διαβουλεύσεις κατά τις προπαρασκευαστικές εργασίες της, μεταξύ άλλων σε επίπεδο εμπειρογνωμόνων, και οι εν λόγω διαβουλεύσεις να διενεργούνται σύμφωνα με τις αρχές που προβλέπονται στη διοργανική συμφωνία της 13ης Απριλίου 2016 για τη βελτίωση του νομοθετικού έργου</w:t>
      </w:r>
      <w:r w:rsidRPr="001F0F0A">
        <w:rPr>
          <w:szCs w:val="24"/>
          <w:vertAlign w:val="superscript"/>
          <w:lang w:val="en-GB" w:eastAsia="en-US"/>
        </w:rPr>
        <w:footnoteReference w:id="21"/>
      </w:r>
      <w:r w:rsidRPr="001F0F0A">
        <w:rPr>
          <w:b/>
          <w:i/>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r>
        <w:rPr>
          <w:b/>
          <w:szCs w:val="24"/>
          <w:lang w:eastAsia="en-US"/>
        </w:rPr>
        <w:t xml:space="preserve"> [Τροπολογία 21]</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(34)</w:t>
      </w:r>
      <w:r w:rsidRPr="001F0F0A">
        <w:rPr>
          <w:szCs w:val="24"/>
          <w:lang w:eastAsia="en-US"/>
        </w:rPr>
        <w:tab/>
        <w:t>Τα τελευταία έτη, με τη δημιουργία ολοένα και περισσότερων αποκεντρωμένων οργανισμών, έχουν βελτιωθεί η διαφάνεια και ο έλεγχος της διαχείρισης των ενωσιακών χρηματοδοτήσεων προς αυτούς, ιδίως σε ό,τι αφορά την εγγραφή των εισφορών στον προϋπολογισμό, τον δημοσιονομικό έλεγχο, την εξουσία χορήγησης απαλλαγής, τη συμμετοχή στο συνταξιοδοτικό καθεστώς και την εσωτερική διαδικασία του προϋπολογισμού (κώδικας δεοντολογίας). Παρομοίως, ο κανονισμός (</w:t>
      </w:r>
      <w:r w:rsidRPr="001F0F0A">
        <w:rPr>
          <w:szCs w:val="24"/>
          <w:lang w:val="en-GB" w:eastAsia="en-US"/>
        </w:rPr>
        <w:t>EE</w:t>
      </w:r>
      <w:r w:rsidRPr="001F0F0A">
        <w:rPr>
          <w:szCs w:val="24"/>
          <w:lang w:eastAsia="en-US"/>
        </w:rPr>
        <w:t>, Ευρατόμ) αριθ. 883/2013 του Ευρωπαϊκού Κοινοβουλίου και του Συμβουλίου</w:t>
      </w:r>
      <w:r w:rsidRPr="001F0F0A">
        <w:rPr>
          <w:szCs w:val="24"/>
          <w:vertAlign w:val="superscript"/>
          <w:lang w:val="en-GB" w:eastAsia="en-US"/>
        </w:rPr>
        <w:footnoteReference w:id="22"/>
      </w:r>
      <w:r w:rsidRPr="001F0F0A">
        <w:rPr>
          <w:szCs w:val="24"/>
          <w:lang w:eastAsia="en-US"/>
        </w:rPr>
        <w:t xml:space="preserve"> θα πρέπει να εφαρμόζεται άνευ περιορισμών στον Οργανισμό, ο οποίος θα πρέπει να προσχωρήσει στη διοργανική συμφωνία, της 25ης Μαΐου 1999, μεταξύ του Ευρωπαϊκού Κοινοβουλίου, του Συμβουλίου της Ευρωπαϊκής Ένωσης και της Επιτροπής των Ευρωπαϊκών Κοινοτήτων σχετικά με τις εσωτερικές έρευνες που πραγματοποιούνται από την Ευρωπαϊκή Υπηρεσία Καταπολέμησης της Απάτης (</w:t>
      </w:r>
      <w:r w:rsidRPr="001F0F0A">
        <w:rPr>
          <w:szCs w:val="24"/>
          <w:lang w:val="en-GB" w:eastAsia="en-US"/>
        </w:rPr>
        <w:t>OLAF</w:t>
      </w:r>
      <w:r w:rsidRPr="001F0F0A">
        <w:rPr>
          <w:szCs w:val="24"/>
          <w:lang w:eastAsia="en-US"/>
        </w:rPr>
        <w:t>)</w:t>
      </w:r>
      <w:r w:rsidRPr="001F0F0A">
        <w:rPr>
          <w:szCs w:val="24"/>
          <w:vertAlign w:val="superscript"/>
          <w:lang w:val="en-GB" w:eastAsia="en-US"/>
        </w:rPr>
        <w:footnoteReference w:id="23"/>
      </w:r>
      <w:r w:rsidRPr="001F0F0A">
        <w:rPr>
          <w:szCs w:val="24"/>
          <w:lang w:eastAsia="en-US"/>
        </w:rPr>
        <w:t>.</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(34α)</w:t>
      </w:r>
      <w:r w:rsidRPr="001F0F0A">
        <w:rPr>
          <w:szCs w:val="24"/>
          <w:lang w:eastAsia="en-US"/>
        </w:rPr>
        <w:tab/>
      </w:r>
      <w:r w:rsidRPr="001F0F0A">
        <w:rPr>
          <w:b/>
          <w:i/>
          <w:szCs w:val="24"/>
          <w:lang w:eastAsia="en-US"/>
        </w:rPr>
        <w:t xml:space="preserve">Η προτεινόμενη αύξηση των πόρων του </w:t>
      </w:r>
      <w:r w:rsidRPr="001F0F0A">
        <w:rPr>
          <w:b/>
          <w:i/>
          <w:szCs w:val="24"/>
          <w:lang w:val="en-GB" w:eastAsia="en-US"/>
        </w:rPr>
        <w:t>EMSA</w:t>
      </w:r>
      <w:r w:rsidRPr="001F0F0A">
        <w:rPr>
          <w:b/>
          <w:i/>
          <w:szCs w:val="24"/>
          <w:lang w:eastAsia="en-US"/>
        </w:rPr>
        <w:t xml:space="preserve"> είναι ανεπαρκής, δεδομένης της έκτασης της προτεινόμενης αύξησης των καθηκόντων του Οργανισμού και της κλίμακας των φιλοδοξιών της ΕΕ για τη θαλάσσια πολιτική. Επομένως, το ποσό των οικονομικών πόρων που διατίθενται για την παρούσα πρόταση θα πρέπει να αντληθεί από τα αδιάθετα περιθώρια κάτω από τα ανώτατα όρια του ΠΔΠ ή να κινητοποιηθεί μέσω των μη θεματικών ειδικών μέσων του ΠΔΠ. Δεδομένου ότι η πρόταση της Επιτροπής για την αναθεώρηση του ΠΔΠ δεν ενίσχυσε τον προϋπολογισμό του </w:t>
      </w:r>
      <w:r w:rsidRPr="001F0F0A">
        <w:rPr>
          <w:b/>
          <w:i/>
          <w:szCs w:val="24"/>
          <w:lang w:val="en-GB" w:eastAsia="en-US"/>
        </w:rPr>
        <w:t>EMSA</w:t>
      </w:r>
      <w:r w:rsidRPr="001F0F0A">
        <w:rPr>
          <w:b/>
          <w:i/>
          <w:szCs w:val="24"/>
          <w:lang w:eastAsia="en-US"/>
        </w:rPr>
        <w:t xml:space="preserve">, η αύξηση των πιστώσεων για τον </w:t>
      </w:r>
      <w:r w:rsidRPr="001F0F0A">
        <w:rPr>
          <w:b/>
          <w:i/>
          <w:szCs w:val="24"/>
          <w:lang w:val="en-GB" w:eastAsia="en-US"/>
        </w:rPr>
        <w:t>EMSA</w:t>
      </w:r>
      <w:r w:rsidRPr="001F0F0A">
        <w:rPr>
          <w:b/>
          <w:i/>
          <w:szCs w:val="24"/>
          <w:lang w:eastAsia="en-US"/>
        </w:rPr>
        <w:t xml:space="preserve"> δεν μπορεί να συμψηφιστεί με αντισταθμιστική μείωση των προγραμματισμένων δαπανών στο πλαίσιο του μηχανισμού ΜΣΕ «Μεταφορές» ή να οδηγήσει σε μείωση της χρηματοδότησης για άλλα προγράμματα της Ένωσης.</w:t>
      </w:r>
      <w:r>
        <w:rPr>
          <w:b/>
          <w:szCs w:val="24"/>
          <w:lang w:eastAsia="en-US"/>
        </w:rPr>
        <w:t xml:space="preserve"> [Τροπολογία 22]</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(35)</w:t>
      </w:r>
      <w:r w:rsidRPr="001F0F0A">
        <w:rPr>
          <w:szCs w:val="24"/>
          <w:lang w:eastAsia="en-US"/>
        </w:rPr>
        <w:tab/>
        <w:t>Δεδομένου ότι οι στόχοι του παρόντος κανονισμού, δηλαδή η σύσταση ειδικευμένου φορέα που μπορεί να συνδράμει την Επιτροπή και τα κράτη μέλη στην εφαρμογή και την παρακολούθηση της νομοθεσίας της Ένωσης στον τομέα της ασφάλειας στη θάλασσα, καθώς και στην αξιολόγηση της αποτελεσματικότητάς της, δεν μπορούν να επιτευχθούν επαρκώς από τα κράτη μέλη, μπορούν όμως, λόγω της συνεργασίας που απαιτείται, να επιτευχθούν καλύτερα σε ενωσιακό επίπεδο, η Ένωση μπορεί να λάβει μέτρα σύμφωνα με την αρχή της επικουρικότητας του άρθρου 5 της Συνθήκης για την Ευρωπαϊκή Ένωση. Σύμφωνα με την αρχή της αναλογικότητας, όπως διατυπώνεται στο εν λόγω άρθρο, ο παρών κανονισμός δεν υπερβαίνει τα αναγκαία όρια για την επίτευξη των στόχων αυτών.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(36)</w:t>
      </w:r>
      <w:r w:rsidRPr="001F0F0A">
        <w:rPr>
          <w:szCs w:val="24"/>
          <w:lang w:eastAsia="en-US"/>
        </w:rPr>
        <w:tab/>
        <w:t>Είναι απαραίτητη για την ορθή λειτουργία του Οργανισμού η εφαρμογή ορισμένων αρχών σχετικά με τη διακυβέρνηση του Οργανισμού, ώστε να συμμορφώνεται με την κοινή δήλωση και την κοινή προσέγγιση που συμφωνήθηκαν από τη διοργανική ομάδα εργασίας για τους αποκεντρωμένους οργανισμούς της ΕΕ τον Ιούλιο του 2012, με σκοπό την απλούστευση των δραστηριοτήτων των οργανισμών και τη βελτίωση των επιδόσεών τους.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(37)</w:t>
      </w:r>
      <w:r w:rsidRPr="001F0F0A">
        <w:rPr>
          <w:szCs w:val="24"/>
          <w:lang w:eastAsia="en-US"/>
        </w:rPr>
        <w:tab/>
        <w:t>Ο παρών κανονισμός σέβεται τα θεμελιώδη δικαιώματα και τηρεί τις αρχές που αναγνωρίζονται ιδίως από τον Χάρτη Θεμελιωδών Δικαιωμάτων της Ευρωπαϊκής Ένωσης.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(38)</w:t>
      </w:r>
      <w:r w:rsidRPr="001F0F0A">
        <w:rPr>
          <w:szCs w:val="24"/>
          <w:lang w:eastAsia="en-US"/>
        </w:rPr>
        <w:tab/>
        <w:t>Ο Ευρωπαϊκός Οργανισμός για την Ασφάλεια στη Θάλασσα που ιδρύθηκε με τον κανονισμό (ΕΚ) αριθ. 1406/2022 παραμένει το ίδιο νομικό πρόσωπο και θα συνεχίσει όλες τις δραστηριότητες και τις διαδικασίες του,</w:t>
      </w:r>
    </w:p>
    <w:p w:rsidR="001F0F0A" w:rsidRPr="001F0F0A" w:rsidRDefault="001F0F0A" w:rsidP="001F0F0A">
      <w:pPr>
        <w:keepNext/>
        <w:widowControl/>
        <w:spacing w:before="120" w:after="120" w:line="360" w:lineRule="auto"/>
        <w:rPr>
          <w:szCs w:val="24"/>
          <w:lang w:eastAsia="en-US"/>
        </w:rPr>
      </w:pPr>
      <w:r w:rsidRPr="001F0F0A">
        <w:rPr>
          <w:szCs w:val="24"/>
          <w:lang w:eastAsia="en-US"/>
        </w:rPr>
        <w:t>ΕΞΕΔΩΣΑΝ ΤΟΝ ΠΑΡΟΝΤΑ ΚΑΝΟΝΙΣΜΟ:</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 xml:space="preserve">ΚΕΦΑΛΑΙΟ </w:t>
      </w:r>
      <w:r w:rsidRPr="001F0F0A">
        <w:rPr>
          <w:szCs w:val="24"/>
          <w:lang w:val="en-GB" w:eastAsia="en-US"/>
        </w:rPr>
        <w:t>I</w:t>
      </w:r>
      <w:r w:rsidRPr="001F0F0A">
        <w:rPr>
          <w:szCs w:val="24"/>
          <w:lang w:eastAsia="en-US"/>
        </w:rPr>
        <w:br/>
        <w:t>ΑΝΤΙΚΕΙΜΕΝΟ, ΠΕΔΙΟ ΕΦΑΡΜΟΓΗΣ ΚΑΙ ΣΤΟΧΟΙ</w:t>
      </w:r>
    </w:p>
    <w:p w:rsidR="001F0F0A" w:rsidRPr="001F0F0A" w:rsidRDefault="001F0F0A" w:rsidP="001F0F0A">
      <w:pPr>
        <w:spacing w:before="120" w:after="120" w:line="360" w:lineRule="auto"/>
        <w:jc w:val="center"/>
        <w:rPr>
          <w:szCs w:val="24"/>
          <w:lang w:eastAsia="en-US"/>
        </w:rPr>
      </w:pPr>
      <w:r w:rsidRPr="001F0F0A">
        <w:rPr>
          <w:szCs w:val="24"/>
          <w:lang w:eastAsia="en-US"/>
        </w:rPr>
        <w:t>Άρθρο 1</w:t>
      </w:r>
      <w:r w:rsidRPr="001F0F0A">
        <w:rPr>
          <w:szCs w:val="24"/>
          <w:lang w:eastAsia="en-US"/>
        </w:rPr>
        <w:br/>
        <w:t>Ίδρυση, αντικείμενο και πεδίο εφαρμογής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παρών κανονισμός προβλέπει ολοκληρωμένους κανόνες σχετικά με τα καθήκοντα, τη λειτουργία και τη διακυβέρνηση του Ευρωπαϊκού Οργανισμού για την Ασφάλεια στη Θάλασσα που ιδρύθηκε με τον κανονισμό (ΕΚ) αριθ. 1406/2002 (στο εξής: Οργανισμός).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Ο Οργανισμός επικουρεί τα κράτη μέλη και την Επιτροπή στην αποτελεσματική εφαρμογή και εκτέλεση του δικαίου της Ένωσης που αφορά τις θαλάσσιες μεταφορές σε ολόκληρη την Ένωση. Για τον σκοπό αυτόν, ο Οργανισμός συνεργάζεται με τα κράτη μέλη και την Επιτροπή και τους παρέχει τεχνική, επιχειρησιακή και επιστημονική συνδρομή στο πλαίσιο των στόχων και των καθηκόντων του Οργανισμού που καθορίζονται στο άρθρο 2 και στα κεφάλαια ΙΙ και ΙΙΙ.</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Με την παροχή της συνδρομής που αναφέρεται στην παράγραφο 2, ο Οργανισμός παρέχει ιδίως υποστήριξη στα κράτη μέλη και στην Επιτροπή για την ορθή εφαρμογή των σχετικών νομικών πράξεων της Ένωσης, συμβάλλοντας παράλληλα στη συνολική αποτελεσματικότητα της θαλάσσιας κίνησης και των θαλάσσιων μεταφορών κατά τα οριζόμενα στον παρόντα κανονισμό, ώστε να διευκολύνει την επίτευξη των στόχων της Ένωσης στον τομέα των θαλάσσιων μεταφορών.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Κάθε συνδρομή που παρέχεται από τον Οργανισμό δεν θίγει τα δικαιώματα και τις υποχρεώσεις των κρατών μελών ως κρατών σημαίας, κρατών λιμένα ή παράκτιων κρατών.</w:t>
      </w:r>
    </w:p>
    <w:p w:rsidR="001F0F0A" w:rsidRPr="001F0F0A" w:rsidRDefault="001F0F0A" w:rsidP="001F0F0A">
      <w:pPr>
        <w:spacing w:before="120" w:after="120" w:line="360" w:lineRule="auto"/>
        <w:jc w:val="center"/>
        <w:rPr>
          <w:szCs w:val="24"/>
          <w:lang w:eastAsia="en-US"/>
        </w:rPr>
      </w:pPr>
      <w:r w:rsidRPr="001F0F0A">
        <w:rPr>
          <w:szCs w:val="24"/>
          <w:lang w:eastAsia="en-US"/>
        </w:rPr>
        <w:t>Άρθρο 2</w:t>
      </w:r>
      <w:r w:rsidRPr="001F0F0A">
        <w:rPr>
          <w:szCs w:val="24"/>
          <w:lang w:eastAsia="en-US"/>
        </w:rPr>
        <w:br/>
        <w:t>Στόχοι του Οργανισμού</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 xml:space="preserve">Οι στόχοι του Οργανισμού είναι η προώθηση και η καθιέρωση υψηλού, ομοιόμορφου και αποτελεσματικού επιπέδου ασφάλειας στη θάλασσα με στόχο την </w:t>
      </w:r>
      <w:r w:rsidRPr="001F0F0A">
        <w:rPr>
          <w:strike/>
          <w:szCs w:val="24"/>
          <w:lang w:eastAsia="en-US"/>
        </w:rPr>
        <w:t>εξάλειψη</w:t>
      </w:r>
      <w:r w:rsidR="008B104A">
        <w:rPr>
          <w:strike/>
          <w:szCs w:val="24"/>
          <w:lang w:eastAsia="en-US"/>
        </w:rPr>
        <w:t xml:space="preserve"> </w:t>
      </w:r>
      <w:r w:rsidRPr="001F0F0A">
        <w:rPr>
          <w:b/>
          <w:i/>
          <w:szCs w:val="24"/>
          <w:lang w:eastAsia="en-US"/>
        </w:rPr>
        <w:t>μεγαλύτερη δυνατή ελάττωση</w:t>
      </w:r>
      <w:r w:rsidRPr="001F0F0A">
        <w:rPr>
          <w:szCs w:val="24"/>
          <w:lang w:eastAsia="en-US"/>
        </w:rPr>
        <w:t xml:space="preserve"> των ατυχημάτων, τη ναυτιλιακή ασφάλεια, τη μείωση των εκπομπών αερίων του θερμοκηπίου από τα πλοία και τη βιωσιμότητα του ναυτιλιακού τομέα, καθώς και την πρόληψη και την αντιμετώπιση της ρύπανσης που προκαλείται από τα πλοία και την αντιμετώπιση της ρύπανσης της θάλασσας που προκαλείται από εγκαταστάσεις πετρελαίου και αερίου.</w:t>
      </w:r>
      <w:r>
        <w:rPr>
          <w:b/>
          <w:szCs w:val="24"/>
          <w:lang w:eastAsia="en-US"/>
        </w:rPr>
        <w:t xml:space="preserve"> [Τροπολογία 23]</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2.</w:t>
      </w:r>
      <w:r w:rsidRPr="001F0F0A">
        <w:rPr>
          <w:szCs w:val="24"/>
          <w:lang w:eastAsia="en-US"/>
        </w:rPr>
        <w:tab/>
        <w:t>Περαιτέρω στόχοι του Οργανισμού είναι η προώθηση της ψηφιοποίησης του ναυτιλιακού τομέα με τη διευκόλυνση της ηλεκτρονικής διαβίβασης δεδομένων που υποστηρίζουν την απλούστευση</w:t>
      </w:r>
      <w:r w:rsidRPr="001F0F0A">
        <w:rPr>
          <w:b/>
          <w:i/>
          <w:szCs w:val="24"/>
          <w:lang w:eastAsia="en-US"/>
        </w:rPr>
        <w:t>, τη μείωση του διοικητικού φόρτου</w:t>
      </w:r>
      <w:r w:rsidRPr="001F0F0A">
        <w:rPr>
          <w:szCs w:val="24"/>
          <w:lang w:eastAsia="en-US"/>
        </w:rPr>
        <w:t xml:space="preserve"> και την παροχή ολοκληρωμένων συστημάτων και υπηρεσιών θαλάσσιας επιτήρησης και επίγνωσης της κατάστασης του τομέα της ναυτιλίας στην Επιτροπή και στα κράτη μέλη.</w:t>
      </w:r>
      <w:r>
        <w:rPr>
          <w:b/>
          <w:szCs w:val="24"/>
          <w:lang w:eastAsia="en-US"/>
        </w:rPr>
        <w:t xml:space="preserve"> [Τροπολογία 24]</w:t>
      </w:r>
    </w:p>
    <w:p w:rsidR="001F0F0A" w:rsidRPr="001F0F0A" w:rsidRDefault="001F0F0A" w:rsidP="001F0F0A">
      <w:pPr>
        <w:spacing w:before="120" w:after="120" w:line="360" w:lineRule="auto"/>
        <w:jc w:val="center"/>
        <w:rPr>
          <w:szCs w:val="24"/>
          <w:lang w:eastAsia="en-US"/>
        </w:rPr>
      </w:pPr>
      <w:r w:rsidRPr="001F0F0A">
        <w:rPr>
          <w:szCs w:val="24"/>
          <w:lang w:eastAsia="en-US"/>
        </w:rPr>
        <w:t xml:space="preserve">ΚΕΦΑΛΑΙΟ </w:t>
      </w:r>
      <w:r w:rsidRPr="001F0F0A">
        <w:rPr>
          <w:szCs w:val="24"/>
          <w:lang w:val="en-GB" w:eastAsia="en-US"/>
        </w:rPr>
        <w:t>II</w:t>
      </w:r>
      <w:r w:rsidRPr="001F0F0A">
        <w:rPr>
          <w:szCs w:val="24"/>
          <w:lang w:eastAsia="en-US"/>
        </w:rPr>
        <w:br/>
        <w:t xml:space="preserve">ΚΑΘΗΚΟΝΤΑ ΤΟΥ ΟΡΓΑΝΙΣΜΟΥ </w:t>
      </w:r>
    </w:p>
    <w:p w:rsidR="001F0F0A" w:rsidRPr="001F0F0A" w:rsidRDefault="001F0F0A" w:rsidP="001F0F0A">
      <w:pPr>
        <w:spacing w:before="120" w:after="120" w:line="360" w:lineRule="auto"/>
        <w:jc w:val="center"/>
        <w:rPr>
          <w:szCs w:val="24"/>
          <w:lang w:eastAsia="en-US"/>
        </w:rPr>
      </w:pPr>
      <w:r w:rsidRPr="001F0F0A">
        <w:rPr>
          <w:szCs w:val="24"/>
          <w:lang w:eastAsia="en-US"/>
        </w:rPr>
        <w:t>Άρθρο 3</w:t>
      </w:r>
      <w:r w:rsidRPr="001F0F0A">
        <w:rPr>
          <w:szCs w:val="24"/>
          <w:lang w:eastAsia="en-US"/>
        </w:rPr>
        <w:br/>
        <w:t xml:space="preserve">Οριζόντια τεχνική υποστήριξη </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Ο Οργανισμός επικουρεί την Επιτροπή</w:t>
      </w:r>
      <w:r w:rsidRPr="001F0F0A">
        <w:rPr>
          <w:b/>
          <w:i/>
          <w:szCs w:val="24"/>
          <w:lang w:eastAsia="en-US"/>
        </w:rPr>
        <w:t xml:space="preserve"> και τα κράτη μέλη</w:t>
      </w:r>
      <w:r w:rsidRPr="001F0F0A">
        <w:rPr>
          <w:szCs w:val="24"/>
          <w:lang w:eastAsia="en-US"/>
        </w:rPr>
        <w:t>:</w:t>
      </w:r>
      <w:r>
        <w:rPr>
          <w:b/>
          <w:szCs w:val="24"/>
          <w:lang w:eastAsia="en-US"/>
        </w:rPr>
        <w:t xml:space="preserve"> [Τροπολογία 25]</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στον έλεγχο της αποτελεσματικής εφαρμογής των σχετικών δεσμευτικών νομικών πράξεων της Ένωσης, οι οποίες εμπίπτουν στους στόχους του Οργανισμού, ειδικότερα με τη διενέργεια των επισκέψεων και επιθεωρήσεων που αναφέρονται στο άρθρο 10. Στο πλαίσιο αυτό, ο Οργανισμός μπορεί να απευθύνει προτάσεις στην Επιτροπή για πιθανές βελτιώσεις·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β)</w:t>
      </w:r>
      <w:r w:rsidRPr="001F0F0A">
        <w:rPr>
          <w:szCs w:val="24"/>
          <w:lang w:eastAsia="en-US"/>
        </w:rPr>
        <w:tab/>
        <w:t>στις προπαρασκευαστικές εργασίες επικαιροποίησης και εκπόνησης των σχετικών νομικών πράξεων της Ένωσης που εμπίπτουν στους στόχους του Οργανισμού, ειδικότερα σύμφωνα με την ανάπτυξη του διεθνούς δικαίου·</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στην εκτέλεση τυχόν άλλων καθηκόντων που ανατίθενται στην Επιτροπή στο πλαίσιο νομοθετικών πράξεων της Ένωσης σχετικών με τους στόχους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Ο Οργανισμός συνεργάζεται με τα κράτη μέλη:</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για τη διοργάνωση, κατά περίπτωση, σχετικών δραστηριοτήτων ανάπτυξης ικανοτήτων και κατάρτισης σε τομείς που εμπίπτουν στους στόχους του Οργανισμού, καθώς και στην αρμοδιότητα των κρατών μελών. Στο πλαίσιο αυτό, ο Οργανισμός δημιουργεί τις κατάλληλες ικανότητες με στόχο την ανάπτυξη, την υλοποίηση και τον συντονισμό δραστηριοτήτων κατάρτισης σχετικών με τους στόχους του Οργανισμού, μεταξύ άλλων μέσω της ανάπτυξης κοινών βασικών κορμών μαθημάτων, σεμιναρίων, συνεδρίων, εργαστηρίων, καθώς και διαδικτυακών, ηλεκτρονικών και άλλων καινοτόμων και προηγμένων εργαλείων κατάρτισης. Οι λεπτομέρειες των εν λόγω δραστηριοτήτων κατάρτισης που παρέχονται εκτός της τυπικής εκπαίδευσης αναπτύσσονται σε στενή διαβούλευση με τα κράτη μέλη και την Επιτροπή και εγκρίνονται από το διοικητικό συμβούλιο σύμφωνα με το άρθρο 17 του παρόντος κανονισμού, με πλήρη σεβασμό του άρθρου 166 της Συνθήκης για τη λειτουργία της Ευρωπαϊκής Ένωσης (ΣΛΕΕ)·</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β)</w:t>
      </w:r>
      <w:r w:rsidRPr="001F0F0A">
        <w:rPr>
          <w:szCs w:val="24"/>
          <w:lang w:eastAsia="en-US"/>
        </w:rPr>
        <w:tab/>
        <w:t>για την εξεύρεση τεχνικών λύσεων, συμπεριλαμβανομένης της παροχής σχετικών επιχειρησιακών υπηρεσιών, και την παροχή τεχνικής συνδρομής με σκοπό την ανάπτυξη των εθνικών ικανοτήτων που απαιτούνται για την εφαρμογή σχετικών νομικών πράξεων της Ένωσης που αφορούν τους στόχους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Ο Οργανισμός προάγει και διευκολύνει τη συνεργασία μεταξύ των κρατών μελών και μεταξύ αυτών και της Επιτροπής κατά την εφαρμογή της νομοθεσίας της Ένωσης, προωθώντας την ανταλλαγή και τη διάδοση πείρας και ορθών πρακτικών.</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4.</w:t>
      </w:r>
      <w:r w:rsidRPr="001F0F0A">
        <w:rPr>
          <w:szCs w:val="24"/>
          <w:lang w:eastAsia="en-US"/>
        </w:rPr>
        <w:tab/>
        <w:t xml:space="preserve">Ο Οργανισμός συμβάλλει, κατόπιν αιτήματος της Επιτροπής ή με δική του πρωτοβουλία, με την επιφύλαξη της έγκρισης του διοικητικού συμβουλίου σύμφωνα με το άρθρο 17, σε δραστηριότητες θαλάσσιας έρευνας σε επίπεδο Ένωσης που συνάδουν με τους στόχους του Οργανισμού. Εν προκειμένω, ο Οργανισμός επικουρεί την Επιτροπή και τα κράτη μέλη στον προσδιορισμό βασικών ερευνητικών θεμάτων, με την επιφύλαξη άλλων ερευνητικών δραστηριοτήτων σε επίπεδο Ένωσης, και στην ανάλυση εξελισσόμενων και περατωθέντων ερευνητικών έργων που σχετίζονται με τους στόχους του Οργανισμού. Κατά περίπτωση, με την επιφύλαξη των εφαρμοστέων κανόνων για θέματα διανοητικής ιδιοκτησίας και ασφάλειας, ο Οργανισμός </w:t>
      </w:r>
      <w:r w:rsidRPr="001F0F0A">
        <w:rPr>
          <w:strike/>
          <w:szCs w:val="24"/>
          <w:lang w:eastAsia="en-US"/>
        </w:rPr>
        <w:t xml:space="preserve">μπορεί να </w:t>
      </w:r>
      <w:r w:rsidRPr="001F0F0A">
        <w:rPr>
          <w:szCs w:val="24"/>
          <w:lang w:eastAsia="en-US"/>
        </w:rPr>
        <w:t>διαδίδει τα αποτελέσματα των δραστηριοτήτων έρευνας και καινοτομίας του, κατόπιν έγκρισης της Επιτροπής, στο πλαίσιο της συμβολής του στη δημιουργία συνεργειών μεταξύ των δραστηριοτήτων έρευνας και καινοτομίας άλλων φορέων της Ένωσης και των κρατών μελών.</w:t>
      </w:r>
      <w:r>
        <w:rPr>
          <w:b/>
          <w:szCs w:val="24"/>
          <w:lang w:eastAsia="en-US"/>
        </w:rPr>
        <w:t xml:space="preserve"> [Τροπολογία 26]</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Όταν απαιτείται για την εκτέλεση των καθηκόντων του, ο Οργανισμός αναλαμβάνει την εκπόνηση μελετών με τη συμμετοχή, αφενός, της Επιτροπής και, κατά περίπτωση, μέσω συντονιστικών ομάδων διαβούλευσης, και, αφετέρου, των κρατών μελών και, κατά περίπτωση, των κοινωνικών εταίρων και εκπροσώπων του κλάδου που διαθέτουν εμπειρογνωσία στα σχετικά θέματα.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6.</w:t>
      </w:r>
      <w:r w:rsidRPr="001F0F0A">
        <w:rPr>
          <w:szCs w:val="24"/>
          <w:lang w:eastAsia="en-US"/>
        </w:rPr>
        <w:tab/>
        <w:t>Με βάση τις έρευνες και τις μελέτες που διεξάγει ο Οργανισμός, αλλά και με βάση την πείρα που αποκτάται από τις δικές του δραστηριότητες, ιδίως τις επισκέψεις και τις επιθεωρήσεις, καθώς και από την ανταλλαγή πληροφοριών και ορθών πρακτικών με τα κράτη μέλη και την Επιτροπή, ο Οργανισμός μπορεί να εκδίδει, κατόπιν προηγούμενης διαβούλευσης με την Επιτροπή, σχετικές μη δεσμευτικές συστάσεις, κατευθυντήριες γραμμές ή εγχειρίδια για την υποστήριξη και τη διευκόλυνση των κρατών μελών και, κατά περίπτωση, του κλάδου, κατά την εφαρμογή της νομοθεσίας της Ένωσης.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4</w:t>
      </w:r>
      <w:r w:rsidRPr="001F0F0A">
        <w:rPr>
          <w:szCs w:val="24"/>
          <w:lang w:eastAsia="en-US"/>
        </w:rPr>
        <w:br/>
        <w:t>Καθήκοντα σχετικά με την ασφάλεια στη θάλασσα</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 xml:space="preserve">Ο Οργανισμός παρακολουθεί την πρόοδο όσον αφορά την ασφάλεια των θαλάσσιων μεταφορών στην Ένωση, διενεργεί ανάλυση κινδύνου με βάση τα διαθέσιμα δεδομένα και αναπτύσσει μοντέλα εκτίμησης κινδύνων για τον εντοπισμό των προκλήσεων και των κινδύνων που αφορούν την ασφάλεια. Ανά τριετία υποβάλλει στην Επιτροπή έκθεση σχετικά με την πρόοδο που έχει σημειωθεί στον τομέα της ασφάλειας στη θάλασσα, συνοδευόμενη από πιθανές τεχνικές συστάσεις που θα μπορούσαν να ληφθούν υπόψη σε ενωσιακό ή διεθνές επίπεδο. Στο πλαίσιο αυτό, ο Οργανισμός αναλύει και προτείνει ειδικότερα σχετικές κατευθυντήριες γραμμές ή συστάσεις σε σχέση με πιθανούς κινδύνους για την ασφάλεια που απορρέουν από την υιοθέτηση και την ανάπτυξη βιώσιμων εναλλακτικών πηγών ενέργειας για τα πλοία, </w:t>
      </w:r>
      <w:r w:rsidRPr="001F0F0A">
        <w:rPr>
          <w:strike/>
          <w:szCs w:val="24"/>
          <w:lang w:eastAsia="en-US"/>
        </w:rPr>
        <w:t>συμπεριλαμβανομένης</w:t>
      </w:r>
      <w:r w:rsidR="008B104A">
        <w:rPr>
          <w:strike/>
          <w:szCs w:val="24"/>
          <w:lang w:eastAsia="en-US"/>
        </w:rPr>
        <w:t xml:space="preserve"> </w:t>
      </w:r>
      <w:r w:rsidRPr="001F0F0A">
        <w:rPr>
          <w:b/>
          <w:i/>
          <w:szCs w:val="24"/>
          <w:lang w:eastAsia="en-US"/>
        </w:rPr>
        <w:t>συμπεριλαμβανομένων</w:t>
      </w:r>
      <w:r w:rsidRPr="001F0F0A">
        <w:rPr>
          <w:szCs w:val="24"/>
          <w:lang w:eastAsia="en-US"/>
        </w:rPr>
        <w:t xml:space="preserve"> της από ξηράς ηλεκτροδότησης ελλιμενισμένων πλοίων</w:t>
      </w:r>
      <w:r w:rsidRPr="001F0F0A">
        <w:rPr>
          <w:b/>
          <w:i/>
          <w:szCs w:val="24"/>
          <w:lang w:eastAsia="en-US"/>
        </w:rPr>
        <w:t xml:space="preserve">, τεχνολογιών μπαταριών που θα χρησιμοποιούνται για την πρόωση, «τεχνολογιών μηδενικών εκπομπών», όπως ορίζονται στον [κανονισμό </w:t>
      </w:r>
      <w:r w:rsidRPr="001F0F0A">
        <w:rPr>
          <w:b/>
          <w:i/>
          <w:szCs w:val="24"/>
          <w:lang w:val="en-GB" w:eastAsia="en-US"/>
        </w:rPr>
        <w:t>FuelEU</w:t>
      </w:r>
      <w:r w:rsidRPr="001F0F0A">
        <w:rPr>
          <w:b/>
          <w:i/>
          <w:szCs w:val="24"/>
          <w:lang w:eastAsia="en-US"/>
        </w:rPr>
        <w:t xml:space="preserve"> </w:t>
      </w:r>
      <w:r w:rsidRPr="001F0F0A">
        <w:rPr>
          <w:b/>
          <w:i/>
          <w:szCs w:val="24"/>
          <w:lang w:val="en-GB" w:eastAsia="en-US"/>
        </w:rPr>
        <w:t>Maritime</w:t>
      </w:r>
      <w:r w:rsidRPr="001F0F0A">
        <w:rPr>
          <w:b/>
          <w:i/>
          <w:szCs w:val="24"/>
          <w:lang w:eastAsia="en-US"/>
        </w:rPr>
        <w:t>] ή άλλων μελλοντικών τεχνολογιών σε πλοία ή σε λιμενικές περιοχές</w:t>
      </w:r>
      <w:r w:rsidRPr="001F0F0A">
        <w:rPr>
          <w:szCs w:val="24"/>
          <w:lang w:eastAsia="en-US"/>
        </w:rPr>
        <w:t>.</w:t>
      </w:r>
      <w:r>
        <w:rPr>
          <w:b/>
          <w:szCs w:val="24"/>
          <w:lang w:eastAsia="en-US"/>
        </w:rPr>
        <w:t xml:space="preserve"> [Τροπολογία 27]</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Ο Οργανισμός επικουρεί την Επιτροπή και τα κράτη μέλη στην εφαρμογή της οδηγίας 2009/21/ΕΚ. Ειδικότερα, ο Οργανισμός αναπτύσσει και διατηρεί τη βάση δεδομένων των επιθεωρήσεων σύμφωνα με το [άρθρο 6α] της εν λόγω οδηγίας, καθιερώνει το εργαλείο ηλεκτρονικής υποβολής εκθέσεων που αναφέρεται στο [άρθρο 9β] της εν λόγω οδηγίας, διατηρεί τον δημόσιο ιστότοπο που αναφέρεται στο άρθρο 8 παράγραφος 2γ και παρέχει στην Επιτροπή συστάσεις με βάση τα δεδομένα που συλλέγονται.</w:t>
      </w:r>
    </w:p>
    <w:p w:rsidR="001F0F0A" w:rsidRPr="001F0F0A" w:rsidRDefault="001F0F0A" w:rsidP="001F0F0A">
      <w:pPr>
        <w:spacing w:before="120" w:after="120" w:line="360" w:lineRule="auto"/>
        <w:ind w:left="850"/>
        <w:rPr>
          <w:szCs w:val="24"/>
          <w:lang w:eastAsia="en-US"/>
        </w:rPr>
      </w:pPr>
      <w:r w:rsidRPr="001F0F0A">
        <w:rPr>
          <w:szCs w:val="24"/>
          <w:lang w:eastAsia="en-US"/>
        </w:rPr>
        <w:t>Ο Οργανισμός επικουρεί την Επιτροπή στη συμμετοχή της ως παρατηρητή στη διαδικασία ελέγχου του Διεθνούς Ναυτιλιακού Οργανισμού σύμφωνα με το [άρθρο 7] της οδηγίας 2009/21/ΕΚ. Ο Οργανισμός αναπτύσσει επίσης σχετικά εργαλεία και υπηρεσίες που βοηθούν τα κράτη μέλη, κατόπιν αιτήματός τους, στην εκπλήρωση των υποχρεώσεών τους δυνάμει της οδηγίας 2009/21/ΕΚ.</w:t>
      </w:r>
    </w:p>
    <w:p w:rsidR="001F0F0A" w:rsidRPr="001F0F0A" w:rsidRDefault="001F0F0A" w:rsidP="001F0F0A">
      <w:pPr>
        <w:spacing w:before="120" w:after="120" w:line="360" w:lineRule="auto"/>
        <w:ind w:left="850"/>
        <w:rPr>
          <w:szCs w:val="24"/>
          <w:lang w:eastAsia="en-US"/>
        </w:rPr>
      </w:pPr>
      <w:r w:rsidRPr="001F0F0A">
        <w:rPr>
          <w:szCs w:val="24"/>
          <w:lang w:eastAsia="en-US"/>
        </w:rPr>
        <w:t>Ο Οργανισμός παρέχει επίσης κοινό σύστημα ανάπτυξης ικανοτήτων για τους επιτηρητές και επιθεωρητές του κράτους σημαίας των κρατών μελών, όπως αναφέρεται στο [άρθρο 4γ] της προαναφερθείσας οδηγίας.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3.</w:t>
      </w:r>
      <w:r w:rsidRPr="001F0F0A">
        <w:rPr>
          <w:szCs w:val="24"/>
          <w:lang w:eastAsia="en-US"/>
        </w:rPr>
        <w:tab/>
        <w:t>Ο Οργανισμός επικουρεί την Επιτροπή</w:t>
      </w:r>
      <w:r w:rsidRPr="001F0F0A">
        <w:rPr>
          <w:b/>
          <w:i/>
          <w:szCs w:val="24"/>
          <w:lang w:eastAsia="en-US"/>
        </w:rPr>
        <w:t xml:space="preserve"> και τα κράτη μέλη</w:t>
      </w:r>
      <w:r w:rsidRPr="001F0F0A">
        <w:rPr>
          <w:szCs w:val="24"/>
          <w:lang w:eastAsia="en-US"/>
        </w:rPr>
        <w:t xml:space="preserve"> στην ανάπτυξη και συντήρηση των βάσεων δεδομένων που προβλέπονται στα άρθρα 24 και 24α της οδηγίας 2009/16/ΕΚ. Με βάση τα δεδομένα που συλλέγονται, ο Οργανισμός επικουρεί την Επιτροπή στην ανάλυση των σχετικών πληροφοριών και στη δημοσίευση πληροφοριών σχετικά με πλοία και εταιρείες με χαμηλές και πολύ χαμηλές επιδόσεις σύμφωνα με την οδηγία 2009/16/ΕΚ.</w:t>
      </w:r>
      <w:r>
        <w:rPr>
          <w:b/>
          <w:szCs w:val="24"/>
          <w:lang w:eastAsia="en-US"/>
        </w:rPr>
        <w:t xml:space="preserve"> [Τροπολογία 28]</w:t>
      </w:r>
    </w:p>
    <w:p w:rsidR="001F0F0A" w:rsidRPr="001F0F0A" w:rsidRDefault="001F0F0A" w:rsidP="001F0F0A">
      <w:pPr>
        <w:spacing w:before="120" w:after="120" w:line="360" w:lineRule="auto"/>
        <w:ind w:left="850"/>
        <w:rPr>
          <w:szCs w:val="24"/>
          <w:lang w:eastAsia="en-US"/>
        </w:rPr>
      </w:pPr>
      <w:r w:rsidRPr="001F0F0A">
        <w:rPr>
          <w:szCs w:val="24"/>
          <w:lang w:eastAsia="en-US"/>
        </w:rPr>
        <w:t>Ο Οργανισμός αναπτύσσει σχετικά εργαλεία και υπηρεσίες που βοηθούν τα κράτη μέλη, κατόπιν αιτήματός τους, στην εκπλήρωση των υποχρεώσεών τους δυνάμει της οδηγίας 2009/16/ΕΚ.</w:t>
      </w:r>
    </w:p>
    <w:p w:rsidR="001F0F0A" w:rsidRPr="001F0F0A" w:rsidRDefault="001F0F0A" w:rsidP="001F0F0A">
      <w:pPr>
        <w:spacing w:before="120" w:after="120" w:line="360" w:lineRule="auto"/>
        <w:ind w:left="850"/>
        <w:rPr>
          <w:szCs w:val="24"/>
          <w:lang w:eastAsia="en-US"/>
        </w:rPr>
      </w:pPr>
      <w:r w:rsidRPr="001F0F0A">
        <w:rPr>
          <w:szCs w:val="24"/>
          <w:lang w:eastAsia="en-US"/>
        </w:rPr>
        <w:t>Ο Οργανισμός παρέχει επίσης πρόγραμμα επαγγελματικής ανάπτυξης και κατάρτισης για τους επιθεωρητές που διεξάγουν τον έλεγχο του κράτους λιμένα των κρατών μελών, όπως προβλέπεται στο [άρθρο 22 παράγραφος 7] της προαναφερθείσας οδηγίας 2009/16/ΕΚ.</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4.</w:t>
      </w:r>
      <w:r w:rsidRPr="001F0F0A">
        <w:rPr>
          <w:szCs w:val="24"/>
          <w:lang w:eastAsia="en-US"/>
        </w:rPr>
        <w:tab/>
        <w:t>Ο Οργανισμός επικουρεί την Επιτροπή στην ανάπτυξη και συντήρηση της βάσης δεδομένων που προβλέπεται στο άρθρο 17 της οδηγίας 2009/18/ΕΚ. Με βάση τα δεδομένα που συλλέγονται, ο Οργανισμός καταρτίζει ετήσια επισκόπηση των ναυτικών ατυχημάτων και περιστατικών. Ο Οργανισμός</w:t>
      </w:r>
      <w:r w:rsidRPr="001F0F0A">
        <w:rPr>
          <w:strike/>
          <w:szCs w:val="24"/>
          <w:lang w:eastAsia="en-US"/>
        </w:rPr>
        <w:t>, εάν του ζητηθεί</w:t>
      </w:r>
      <w:r w:rsidRPr="001F0F0A">
        <w:rPr>
          <w:b/>
          <w:i/>
          <w:szCs w:val="24"/>
          <w:lang w:eastAsia="en-US"/>
        </w:rPr>
        <w:t xml:space="preserve"> μπορεί να κληθεί</w:t>
      </w:r>
      <w:r w:rsidRPr="001F0F0A">
        <w:rPr>
          <w:szCs w:val="24"/>
          <w:lang w:eastAsia="en-US"/>
        </w:rPr>
        <w:t xml:space="preserve"> από τα</w:t>
      </w:r>
      <w:r w:rsidRPr="001F0F0A">
        <w:rPr>
          <w:strike/>
          <w:szCs w:val="24"/>
          <w:lang w:eastAsia="en-US"/>
        </w:rPr>
        <w:t xml:space="preserve"> ενδιαφερόμενα</w:t>
      </w:r>
      <w:r w:rsidRPr="001F0F0A">
        <w:rPr>
          <w:szCs w:val="24"/>
          <w:lang w:eastAsia="en-US"/>
        </w:rPr>
        <w:t xml:space="preserve"> κράτη μέλη </w:t>
      </w:r>
      <w:r w:rsidRPr="001F0F0A">
        <w:rPr>
          <w:strike/>
          <w:szCs w:val="24"/>
          <w:lang w:eastAsia="en-US"/>
        </w:rPr>
        <w:t>και όπου δεν προκύπτει σύγκρουση συμφερόντων, παρέχει</w:t>
      </w:r>
      <w:r w:rsidR="008B104A">
        <w:rPr>
          <w:strike/>
          <w:szCs w:val="24"/>
          <w:lang w:eastAsia="en-US"/>
        </w:rPr>
        <w:t xml:space="preserve"> </w:t>
      </w:r>
      <w:r w:rsidRPr="001F0F0A">
        <w:rPr>
          <w:b/>
          <w:i/>
          <w:szCs w:val="24"/>
          <w:lang w:eastAsia="en-US"/>
        </w:rPr>
        <w:t>να παράσχει</w:t>
      </w:r>
      <w:r w:rsidRPr="001F0F0A">
        <w:rPr>
          <w:szCs w:val="24"/>
          <w:lang w:eastAsia="en-US"/>
        </w:rPr>
        <w:t xml:space="preserve"> επιχειρησιακή </w:t>
      </w:r>
      <w:r w:rsidRPr="001F0F0A">
        <w:rPr>
          <w:b/>
          <w:i/>
          <w:szCs w:val="24"/>
          <w:lang w:eastAsia="en-US"/>
        </w:rPr>
        <w:t xml:space="preserve">και τεχνική </w:t>
      </w:r>
      <w:r w:rsidRPr="001F0F0A">
        <w:rPr>
          <w:szCs w:val="24"/>
          <w:lang w:eastAsia="en-US"/>
        </w:rPr>
        <w:t>υποστήριξη</w:t>
      </w:r>
      <w:r w:rsidRPr="001F0F0A">
        <w:rPr>
          <w:strike/>
          <w:szCs w:val="24"/>
          <w:lang w:eastAsia="en-US"/>
        </w:rPr>
        <w:t xml:space="preserve"> στα εν λόγω κράτη μέλη</w:t>
      </w:r>
      <w:r w:rsidRPr="001F0F0A">
        <w:rPr>
          <w:szCs w:val="24"/>
          <w:lang w:eastAsia="en-US"/>
        </w:rPr>
        <w:t xml:space="preserve"> όσον αφορά τις διερευνήσεις θεμάτων ασφάλειας</w:t>
      </w:r>
      <w:r w:rsidRPr="001F0F0A">
        <w:rPr>
          <w:b/>
          <w:i/>
          <w:szCs w:val="24"/>
          <w:lang w:eastAsia="en-US"/>
        </w:rPr>
        <w:t>. Ο Οργανισμός συμμορφώνεται με τα αιτήματα αυτά όπου δεν προκύπτει σύγκρουση συμφερόντων για τον Οργανισμό</w:t>
      </w:r>
      <w:r w:rsidRPr="001F0F0A">
        <w:rPr>
          <w:szCs w:val="24"/>
          <w:lang w:eastAsia="en-US"/>
        </w:rPr>
        <w:t>. Ο Οργανισμός διενεργεί επίσης ανάλυση των εκθέσεων διερεύνησης θεμάτων ασφάλειας με σκοπό τον προσδιορισμό της προστιθέμενης αξίας σε επίπεδο Ένωσης όσον αφορά τυχόν συναφή διδάγματα που μπορούν να αντληθούν.</w:t>
      </w:r>
      <w:r>
        <w:rPr>
          <w:b/>
          <w:szCs w:val="24"/>
          <w:lang w:eastAsia="en-US"/>
        </w:rPr>
        <w:t xml:space="preserve"> [Τροπολογία 29]</w:t>
      </w:r>
    </w:p>
    <w:p w:rsidR="001F0F0A" w:rsidRPr="001F0F0A" w:rsidRDefault="001F0F0A" w:rsidP="001F0F0A">
      <w:pPr>
        <w:spacing w:before="120" w:after="120" w:line="360" w:lineRule="auto"/>
        <w:ind w:left="850"/>
        <w:rPr>
          <w:szCs w:val="24"/>
          <w:lang w:eastAsia="en-US"/>
        </w:rPr>
      </w:pPr>
      <w:r w:rsidRPr="001F0F0A">
        <w:rPr>
          <w:szCs w:val="24"/>
          <w:lang w:eastAsia="en-US"/>
        </w:rPr>
        <w:t>Ο Οργανισμός παρέχει πρόγραμμα επαγγελματικής ανάπτυξης και κατάρτισης στις αρμόδιες αρχές διερεύνησης ατυχημάτων στον τομέα της ασφάλειας στη θάλασσα.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Ο Οργανισμός επικουρεί την Επιτροπή και τα κράτη μέλη στην εφαρμογή των οδηγιών 2009/45/ΕΚ</w:t>
      </w:r>
      <w:r w:rsidRPr="001F0F0A">
        <w:rPr>
          <w:szCs w:val="24"/>
          <w:vertAlign w:val="superscript"/>
          <w:lang w:val="en-GB" w:eastAsia="en-US"/>
        </w:rPr>
        <w:footnoteReference w:id="24"/>
      </w:r>
      <w:r w:rsidRPr="001F0F0A">
        <w:rPr>
          <w:szCs w:val="24"/>
          <w:lang w:eastAsia="en-US"/>
        </w:rPr>
        <w:t xml:space="preserve"> και 2003/25/ΕΚ του Ευρωπαϊκού Κοινοβουλίου και του Συμβουλίου</w:t>
      </w:r>
      <w:r w:rsidRPr="001F0F0A">
        <w:rPr>
          <w:szCs w:val="24"/>
          <w:vertAlign w:val="superscript"/>
          <w:lang w:val="en-GB" w:eastAsia="en-US"/>
        </w:rPr>
        <w:footnoteReference w:id="25"/>
      </w:r>
      <w:r w:rsidRPr="001F0F0A">
        <w:rPr>
          <w:szCs w:val="24"/>
          <w:lang w:eastAsia="en-US"/>
        </w:rPr>
        <w:t xml:space="preserve"> και της οδηγίας 98/41/ΕΚ του Συμβουλίου</w:t>
      </w:r>
      <w:r w:rsidRPr="001F0F0A">
        <w:rPr>
          <w:szCs w:val="24"/>
          <w:vertAlign w:val="superscript"/>
          <w:lang w:val="en-GB" w:eastAsia="en-US"/>
        </w:rPr>
        <w:footnoteReference w:id="26"/>
      </w:r>
      <w:r w:rsidRPr="001F0F0A">
        <w:rPr>
          <w:szCs w:val="24"/>
          <w:lang w:eastAsia="en-US"/>
        </w:rPr>
        <w:t>. Ειδικότερα, ο Οργανισμός αναπτύσσει και διατηρεί βάση δεδομένων για την καταγραφή των μέτρων που προβλέπονται στο άρθρο 9 της οδηγίας 2009/45/ΕΚ και στο άρθρο 9 της οδηγίας 98/41/ΕΚ και επικουρεί την Επιτροπή στην αξιολόγηση των εν λόγω μέτρων.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6.</w:t>
      </w:r>
      <w:r w:rsidRPr="001F0F0A">
        <w:rPr>
          <w:szCs w:val="24"/>
          <w:lang w:eastAsia="en-US"/>
        </w:rPr>
        <w:tab/>
        <w:t>Ο Οργανισμός διευκολύνει τη συνεργασία και την ανταλλαγή πληροφοριών μεταξύ της Επιτροπής και των κρατών μελών για την αξιολόγηση των αναγνωρισμένων οργανισμών που εκτελούν καθήκοντα επιθεώρησης και πιστοποίησης σύμφωνα με το άρθρο 8 παράγραφος 1 του κανονισμού (ΕΚ) αριθ. 391/2009</w:t>
      </w:r>
      <w:r w:rsidRPr="001F0F0A">
        <w:rPr>
          <w:szCs w:val="24"/>
          <w:vertAlign w:val="superscript"/>
          <w:lang w:val="en-GB" w:eastAsia="en-US"/>
        </w:rPr>
        <w:footnoteReference w:id="27"/>
      </w:r>
      <w:r w:rsidRPr="001F0F0A">
        <w:rPr>
          <w:szCs w:val="24"/>
          <w:lang w:eastAsia="en-US"/>
        </w:rPr>
        <w:t>. Ειδικότερα, ο Οργανισμός:</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υποβάλλει στην Επιτροπή γνώμη σχετικά με την αξιολόγησή της όσον αφορά τους αναγνωρισμένους οργανισμούς σύμφωνα με το άρθρο 8 παράγραφος 1 του κανονισμού (ΕΚ) αριθ. 391/2009·</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παρέχει στα κράτη μέλη τις κατάλληλες πληροφορίες στο πλαίσιο των επιθεωρήσεων που διενεργούνται για την υποστήριξη της αξιολόγησης της Επιτροπής σύμφωνα με το άρθρο 8 παράγραφος 1 του κανονισμού (ΕΚ) αριθ. 391/2009, ώστε να υποστηριχτεί η παρακολούθηση και η εποπτεία των αναγνωρισμένων οργανισμών σύμφωνα με το άρθρο 9 της οδηγίας 2009/15/ΕΚ του Ευρωπαϊκού Κοινοβουλίου και του Συμβουλίου</w:t>
      </w:r>
      <w:r w:rsidRPr="001F0F0A">
        <w:rPr>
          <w:szCs w:val="24"/>
          <w:vertAlign w:val="superscript"/>
          <w:lang w:val="en-GB" w:eastAsia="en-US"/>
        </w:rPr>
        <w:footnoteReference w:id="28"/>
      </w:r>
      <w:r w:rsidRPr="001F0F0A">
        <w:rPr>
          <w:szCs w:val="24"/>
          <w:lang w:eastAsia="en-US"/>
        </w:rPr>
        <w:t>, με σκοπό την υποστήριξη των κρατών μελών στην εκπλήρωση των ενωσιακών και διεθνών υποχρεώσεών τους ως κρατών σημαίας. Στο πλαίσιο αυτό, ο Οργανισμός επικουρεί την Επιτροπή στη διαχείριση της ομάδας υψηλού επιπέδου για θέματα κράτους σημαίας δυνάμει του [άρθρου 9 παράγραφος 1] της οδηγίας 2009/21/ΕΚ·</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γ)</w:t>
      </w:r>
      <w:r w:rsidRPr="001F0F0A">
        <w:rPr>
          <w:szCs w:val="24"/>
          <w:lang w:eastAsia="en-US"/>
        </w:rPr>
        <w:tab/>
        <w:t>παρέχει, με δική του πρωτοβουλία ή κατόπιν αιτήματος της Επιτροπής, σύσταση και τεχνική συνδρομή στην Επιτροπή σχετικά με πιθανά διορθωτικά μέτρα ή την επιβολή προστίμων στους αναγνωρισμένους οργανισμούς σύμφωνα με τα άρθρα 5 και 6 του κανονισμού (ΕΚ) αριθ. 391/2009.</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7.</w:t>
      </w:r>
      <w:r w:rsidRPr="001F0F0A">
        <w:rPr>
          <w:szCs w:val="24"/>
          <w:lang w:eastAsia="en-US"/>
        </w:rPr>
        <w:tab/>
        <w:t>Ο Οργανισμός επικουρεί την Επιτροπή</w:t>
      </w:r>
      <w:r w:rsidRPr="001F0F0A">
        <w:rPr>
          <w:b/>
          <w:i/>
          <w:szCs w:val="24"/>
          <w:lang w:eastAsia="en-US"/>
        </w:rPr>
        <w:t xml:space="preserve"> και τα κράτη μέλη</w:t>
      </w:r>
      <w:r w:rsidRPr="001F0F0A">
        <w:rPr>
          <w:szCs w:val="24"/>
          <w:lang w:eastAsia="en-US"/>
        </w:rPr>
        <w:t xml:space="preserve"> στην εφαρμογή της οδηγίας 2014/90/ΕΕ του Ευρωπαϊκού Κοινοβουλίου και του Συμβουλίου</w:t>
      </w:r>
      <w:r w:rsidRPr="001F0F0A">
        <w:rPr>
          <w:szCs w:val="24"/>
          <w:vertAlign w:val="superscript"/>
          <w:lang w:val="en-GB" w:eastAsia="en-US"/>
        </w:rPr>
        <w:footnoteReference w:id="29"/>
      </w:r>
      <w:r w:rsidRPr="001F0F0A">
        <w:rPr>
          <w:szCs w:val="24"/>
          <w:lang w:eastAsia="en-US"/>
        </w:rPr>
        <w:t xml:space="preserve"> παρέχοντας την τεχνική αξιολόγησή του σχετικά με τις πτυχές ασφάλειας, καθώς και συστάσεις με καταλόγους των αντίστοιχων απαιτήσεων σχεδιασμού, κατασκευής και επιδόσεων και προτύπων δοκιμών, αναπτύσσοντας και διατηρώντας τη βάση δεδομένων που προβλέπεται στο άρθρο 35 παράγραφος 4 της εν λόγω οδηγίας και διευκολύνοντας τη συνεργασία μεταξύ των κοινοποιημένων οργανισμών αξιολόγησης που ενεργούν ως τεχνική γραμματεία της ομάδας συντονισμού τους.</w:t>
      </w:r>
      <w:r>
        <w:rPr>
          <w:b/>
          <w:szCs w:val="24"/>
          <w:lang w:eastAsia="en-US"/>
        </w:rPr>
        <w:t xml:space="preserve"> [Τροπολογία 30]</w:t>
      </w:r>
    </w:p>
    <w:p w:rsidR="001F0F0A" w:rsidRPr="001F0F0A" w:rsidRDefault="001F0F0A" w:rsidP="001F0F0A">
      <w:pPr>
        <w:spacing w:before="120" w:after="120" w:line="360" w:lineRule="auto"/>
        <w:ind w:left="850" w:hanging="850"/>
        <w:rPr>
          <w:szCs w:val="24"/>
          <w:lang w:eastAsia="en-US"/>
        </w:rPr>
      </w:pPr>
      <w:r w:rsidRPr="001F0F0A">
        <w:rPr>
          <w:szCs w:val="24"/>
          <w:lang w:eastAsia="en-US"/>
        </w:rPr>
        <w:t>8.</w:t>
      </w:r>
      <w:r w:rsidRPr="001F0F0A">
        <w:rPr>
          <w:szCs w:val="24"/>
          <w:lang w:eastAsia="en-US"/>
        </w:rPr>
        <w:tab/>
        <w:t>Ο Οργανισμός επικουρεί την Επιτροπή και τα κράτη μέλη στον εντοπισμό των κινδύνων για την ασφάλεια που σχετίζονται με την ανάπτυξη αυτόνομων και αυτοματοποιημένων ναυτικών σκαφών επιφανείας (</w:t>
      </w:r>
      <w:r w:rsidRPr="001F0F0A">
        <w:rPr>
          <w:szCs w:val="24"/>
          <w:lang w:val="en-GB" w:eastAsia="en-US"/>
        </w:rPr>
        <w:t>MASS</w:t>
      </w:r>
      <w:r w:rsidRPr="001F0F0A">
        <w:rPr>
          <w:szCs w:val="24"/>
          <w:lang w:eastAsia="en-US"/>
        </w:rPr>
        <w:t xml:space="preserve">) και επικουρεί τα κράτη μέλη διευκολύνοντας την έγκριση έργων και/ή λειτουργιών </w:t>
      </w:r>
      <w:r w:rsidRPr="001F0F0A">
        <w:rPr>
          <w:szCs w:val="24"/>
          <w:lang w:val="en-GB" w:eastAsia="en-US"/>
        </w:rPr>
        <w:t>MASS</w:t>
      </w:r>
      <w:r w:rsidRPr="001F0F0A">
        <w:rPr>
          <w:szCs w:val="24"/>
          <w:lang w:eastAsia="en-US"/>
        </w:rPr>
        <w:t xml:space="preserve"> μέσω της έρευνας και της ανάπτυξης σχετικών ψηφιακών εργαλείων και της παροχής κατευθυντήριων γραμμών και εγχειριδίων.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9.</w:t>
      </w:r>
      <w:r w:rsidRPr="001F0F0A">
        <w:rPr>
          <w:szCs w:val="24"/>
          <w:lang w:eastAsia="en-US"/>
        </w:rPr>
        <w:tab/>
        <w:t>Ο Οργανισμός συλλέγει και αναλύει δεδομένα σχετικά με τους ναυτικούς που παρέχονται και χρησιμοποιούνται σύμφωνα με την οδηγία (ΕΕ) 2022/993 του Ευρωπαϊκού Κοινοβουλίου και του Συμβουλίου</w:t>
      </w:r>
      <w:r w:rsidRPr="001F0F0A">
        <w:rPr>
          <w:szCs w:val="24"/>
          <w:vertAlign w:val="superscript"/>
          <w:lang w:val="en-GB" w:eastAsia="en-US"/>
        </w:rPr>
        <w:footnoteReference w:id="30"/>
      </w:r>
      <w:r w:rsidRPr="001F0F0A">
        <w:rPr>
          <w:szCs w:val="24"/>
          <w:lang w:eastAsia="en-US"/>
        </w:rPr>
        <w:t>. Μπορεί επίσης να συλλέγει και να αναλύει δεδομένα σχετικά με την εφαρμογή της Σύμβασης Ναυτικής Εργασίας του 2006 (</w:t>
      </w:r>
      <w:r w:rsidRPr="001F0F0A">
        <w:rPr>
          <w:szCs w:val="24"/>
          <w:lang w:val="en-GB" w:eastAsia="en-US"/>
        </w:rPr>
        <w:t>MLC</w:t>
      </w:r>
      <w:r w:rsidRPr="001F0F0A">
        <w:rPr>
          <w:szCs w:val="24"/>
          <w:lang w:eastAsia="en-US"/>
        </w:rPr>
        <w:t>, 2006), με σκοπό να συμβάλει στη βελτίωση των συνθηκών εργασίας και διαβίωσης των ναυτικών επί των πλοίων.</w:t>
      </w:r>
      <w:r w:rsidRPr="001F0F0A">
        <w:rPr>
          <w:b/>
          <w:i/>
          <w:szCs w:val="24"/>
          <w:lang w:eastAsia="en-US"/>
        </w:rPr>
        <w:t xml:space="preserve"> Η Επιτροπή χρησιμοποιεί τα εν λόγω δεδομένα, μαζί με τα δεδομένα που παράγονται από το σύστημα πληροφοριών που προβλέπεται από τη Διεθνή Σύμβαση για πρότυπα εκπαίδευσης, έκδοσης πιστοποιητικών και τήρησης φυλακών των ναυτικών (</w:t>
      </w:r>
      <w:r w:rsidRPr="001F0F0A">
        <w:rPr>
          <w:b/>
          <w:i/>
          <w:szCs w:val="24"/>
          <w:lang w:val="en-GB" w:eastAsia="en-US"/>
        </w:rPr>
        <w:t>STCW</w:t>
      </w:r>
      <w:r w:rsidRPr="001F0F0A">
        <w:rPr>
          <w:b/>
          <w:i/>
          <w:szCs w:val="24"/>
          <w:lang w:eastAsia="en-US"/>
        </w:rPr>
        <w:t xml:space="preserve"> </w:t>
      </w:r>
      <w:r w:rsidRPr="001F0F0A">
        <w:rPr>
          <w:b/>
          <w:i/>
          <w:szCs w:val="24"/>
          <w:lang w:val="en-GB" w:eastAsia="en-US"/>
        </w:rPr>
        <w:t>IS</w:t>
      </w:r>
      <w:r w:rsidRPr="001F0F0A">
        <w:rPr>
          <w:b/>
          <w:i/>
          <w:szCs w:val="24"/>
          <w:lang w:eastAsia="en-US"/>
        </w:rPr>
        <w:t>), για την ανάπτυξη κατάλληλων στρατηγικών απαντήσεων για την πρόσληψη και τη διατήρηση εν ενεργεία ναυτικών.</w:t>
      </w:r>
      <w:r>
        <w:rPr>
          <w:b/>
          <w:szCs w:val="24"/>
          <w:lang w:eastAsia="en-US"/>
        </w:rPr>
        <w:t xml:space="preserve"> [Τροπολογία 31]</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5</w:t>
      </w:r>
      <w:r w:rsidRPr="001F0F0A">
        <w:rPr>
          <w:szCs w:val="24"/>
          <w:lang w:eastAsia="en-US"/>
        </w:rPr>
        <w:br/>
        <w:t xml:space="preserve">Καθήκοντα σχετικά με τη βιωσιμότητα </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Οργανισμός υποστηρίζει, με οικονομικά αποδοτικό τρόπο, τα κράτη μέλη με πρόσθετα μέσα αντιμετώπισης της ρύπανσης που προκαλείται από πλοία, καθώς και της ρύπανσης της θάλασσας που προκαλείται από εγκαταστάσεις πετρελαίου και αερίου. Ο Οργανισμός ενεργεί κατόπιν αιτήματος του πληττόμενου κράτους μέλους υπό την εποπτεία του οποίου διεξάγονται οι εργασίες καθαρισμού. Η συνδρομή αυτή δεν θίγει την ευθύνη των παράκτιων κρατών να διαθέτουν κατάλληλους μηχανισμούς αντιμετώπισης της ρύπανσης, σέβεται δε την υφιστάμενη συνεργασία μεταξύ των κρατών μελών στον συγκεκριμένο τομέα. Τα επιχειρησιακά μέσα που παρέχει ο Οργανισμός στα κράτη μέλη λαμβάνουν υπόψη και μεριμνούν για τη μετάβαση του τομέα στη χρήση βιώσιμων εναλλακτικών πηγών ενέργειας για τα πλοία. Κατά περίπτωση, οι αιτήσεις κινητοποίησης αντιρρυπαντικών δράσεων περνούν μέσα από τον μηχανισμό πολιτικής προστασίας της Ένωσης που καθιερώθηκε με την απόφαση αριθ. 1313/2013/ΕΕ του Ευρωπαϊκού Κοινοβουλίου και του Συμβουλίου</w:t>
      </w:r>
      <w:r w:rsidRPr="001F0F0A">
        <w:rPr>
          <w:szCs w:val="24"/>
          <w:vertAlign w:val="superscript"/>
          <w:lang w:val="en-GB" w:eastAsia="en-US"/>
        </w:rPr>
        <w:footnoteReference w:id="31"/>
      </w:r>
      <w:r w:rsidRPr="001F0F0A">
        <w:rPr>
          <w:szCs w:val="24"/>
          <w:lang w:eastAsia="en-US"/>
        </w:rPr>
        <w:t>.</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Ο Οργανισμός επικουρεί την Επιτροπή και τα κράτη μέλη στον εντοπισμό πιθανής ρύπανσης και στη δίωξη των πλοίων που πραγματοποιούν παράνομες απορρίψεις σύμφωνα με την οδηγία 2005/35/ΕΚ. Ο Οργανισμός συνδράμει ειδικότερα στην εφαρμογή των άρθρων [10, 10α, 10β, 10γ και 10δ] της εν λόγω οδηγίας με:</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την ανάπτυξη και διατήρηση του απαραίτητου συστήματος πληροφοριών (</w:t>
      </w:r>
      <w:r w:rsidRPr="001F0F0A">
        <w:rPr>
          <w:szCs w:val="24"/>
          <w:lang w:val="en-GB" w:eastAsia="en-US"/>
        </w:rPr>
        <w:t>CleanSeaNet</w:t>
      </w:r>
      <w:r w:rsidRPr="001F0F0A">
        <w:rPr>
          <w:szCs w:val="24"/>
          <w:lang w:eastAsia="en-US"/>
        </w:rPr>
        <w:t>), στο πλαίσιο του ενωσιακού συστήματος ανταλλαγής πληροφοριών για τη θαλάσσια κυκλοφορία (</w:t>
      </w:r>
      <w:r w:rsidRPr="001F0F0A">
        <w:rPr>
          <w:szCs w:val="24"/>
          <w:lang w:val="en-GB" w:eastAsia="en-US"/>
        </w:rPr>
        <w:t>SafeSeaNet</w:t>
      </w:r>
      <w:r w:rsidRPr="001F0F0A">
        <w:rPr>
          <w:szCs w:val="24"/>
          <w:lang w:eastAsia="en-US"/>
        </w:rPr>
        <w:t>), και βάσεων δεδομένων·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τη συλλογή, την ανάλυση και τη διάδοση των σχετικών πληροφοριών για την εφαρμογή και την επιβολή της οδηγίας 2005/35/ΕΚ·</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την παροχή ανάπτυξης ικανοτήτων στις αρμόδιες εθνικές αρχές και τη διευκόλυνση της ανταλλαγής βέλτιστων πρακτικών·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δ)</w:t>
      </w:r>
      <w:r w:rsidRPr="001F0F0A">
        <w:rPr>
          <w:szCs w:val="24"/>
          <w:lang w:eastAsia="en-US"/>
        </w:rPr>
        <w:tab/>
        <w:t>την ανάπτυξη και τη διατήρηση του διαδικτυακού εξωτερικού διαύλου υποβολής εκθέσεων για τη λήψη και τον χειρισμό πληροφοριών σχετικά με πιθανές παράνομες απορρίψεις που κοινοποιούνται από το πλήρωμα, και διαβιβάζει τις πληροφορίες αυτές στο οικείο κράτος μέλος ή στα οικεία κράτη μέλη.</w:t>
      </w:r>
    </w:p>
    <w:p w:rsidR="001F0F0A" w:rsidRPr="001F0F0A" w:rsidRDefault="001F0F0A" w:rsidP="001F0F0A">
      <w:pPr>
        <w:spacing w:before="120" w:after="120" w:line="360" w:lineRule="auto"/>
        <w:ind w:left="1416" w:hanging="566"/>
        <w:rPr>
          <w:b/>
          <w:szCs w:val="24"/>
          <w:lang w:eastAsia="en-US"/>
        </w:rPr>
      </w:pPr>
      <w:r w:rsidRPr="001F0F0A">
        <w:rPr>
          <w:b/>
          <w:i/>
          <w:szCs w:val="24"/>
          <w:lang w:eastAsia="en-US"/>
        </w:rPr>
        <w:t>δα)</w:t>
      </w:r>
      <w:r w:rsidRPr="001F0F0A">
        <w:rPr>
          <w:szCs w:val="24"/>
          <w:lang w:eastAsia="en-US"/>
        </w:rPr>
        <w:tab/>
      </w:r>
      <w:r w:rsidRPr="001F0F0A">
        <w:rPr>
          <w:b/>
          <w:i/>
          <w:szCs w:val="24"/>
          <w:lang w:eastAsia="en-US"/>
        </w:rPr>
        <w:t xml:space="preserve">ανταλλαγή και λήψη σχετικών πληροφοριών από άλλους οργανισμούς της ΕΕ, όπως η </w:t>
      </w:r>
      <w:r w:rsidRPr="001F0F0A">
        <w:rPr>
          <w:b/>
          <w:i/>
          <w:szCs w:val="24"/>
          <w:lang w:val="en-GB" w:eastAsia="en-US"/>
        </w:rPr>
        <w:t>EFCA</w:t>
      </w:r>
      <w:r w:rsidRPr="001F0F0A">
        <w:rPr>
          <w:b/>
          <w:i/>
          <w:szCs w:val="24"/>
          <w:lang w:eastAsia="en-US"/>
        </w:rPr>
        <w:t>, ειδικά σε σχέση με χαμένα αλιευτικά εργαλεία.</w:t>
      </w:r>
      <w:r>
        <w:rPr>
          <w:b/>
          <w:szCs w:val="24"/>
          <w:lang w:eastAsia="en-US"/>
        </w:rPr>
        <w:t xml:space="preserve"> [Τροπολογία 32]</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 xml:space="preserve">Ο Οργανισμός παρέχει την υπηρεσία </w:t>
      </w:r>
      <w:r w:rsidRPr="001F0F0A">
        <w:rPr>
          <w:szCs w:val="24"/>
          <w:lang w:val="en-GB" w:eastAsia="en-US"/>
        </w:rPr>
        <w:t>CleanSeaNet</w:t>
      </w:r>
      <w:r w:rsidRPr="001F0F0A">
        <w:rPr>
          <w:szCs w:val="24"/>
          <w:lang w:eastAsia="en-US"/>
        </w:rPr>
        <w:t xml:space="preserve"> και κάθε άλλο εργαλείο ώστε να συνδράμει την Επιτροπή και τα κράτη μέλη, κατόπιν αιτήματός τους, στην παρακολούθηση της έκτασης και των περιβαλλοντικών επιπτώσεων της πετρελαϊκής ρύπανσης της θάλασσας που προκαλείται από εγκαταστάσεις πετρελαίου και αερίου.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Ο Οργανισμός επικουρεί την Επιτροπή και τα κράτη μέλη στην εφαρμογή της οδηγίας (ΕΕ) 2019/883 σχετικά με τις λιμενικές εγκαταστάσεις παραλαβής για την παράδοση αποβλήτων από πλοία. Ειδικότερα, ο Οργανισμός επικουρεί την Επιτροπή στην ανάπτυξη και διατήρηση της βάσης δεδομένων των επιθεωρήσεων που προβλέπεται στο άρθρο 14 της εν λόγω οδηγίας.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Ο Οργανισμός επικουρεί την Επιτροπή και τα κράτη μέλη στο πλαίσιο της εφαρμογής της οδηγίας 2008/56/ΕΚ, συμβάλλοντας στον στόχο της επίτευξης καλής περιβαλλοντικής κατάστασης των θαλάσσιων υδάτων μέσω των σχετικών με τη ναυτιλία στοιχείων της εν λόγω οδηγίας, και στην αξιοποίηση των αποτελεσμάτων των υφιστάμενων εργαλείων, όπως οι ολοκληρωμένες θαλάσσιες υπηρεσίες. Στο πλαίσιο αυτό, ο Οργανισμός διεξάγει περαιτέρω έρευνα σε θέματα που αφορούν την απώλεια εμπορευματοκιβωτίων, συμπεριλαμβανομένων των πλαστικών συσσωματωμάτων, και τον υποθαλάσσιο θόρυβο και υποβάλλει συστάσεις στην Επιτροπή και στα κράτη μέλη.</w:t>
      </w:r>
    </w:p>
    <w:p w:rsidR="001F0F0A" w:rsidRPr="001F0F0A" w:rsidRDefault="001F0F0A" w:rsidP="001F0F0A">
      <w:pPr>
        <w:spacing w:before="120" w:after="120" w:line="360" w:lineRule="auto"/>
        <w:ind w:left="850"/>
        <w:rPr>
          <w:b/>
          <w:szCs w:val="24"/>
          <w:lang w:eastAsia="en-US"/>
        </w:rPr>
      </w:pPr>
      <w:r w:rsidRPr="001F0F0A">
        <w:rPr>
          <w:b/>
          <w:i/>
          <w:szCs w:val="24"/>
          <w:lang w:eastAsia="en-US"/>
        </w:rPr>
        <w:t>Όσον αφορά τα απολεσθέντα εμπορευματοκιβώτια στη θάλασσα, ο Οργανισμός παρέχει καθοδήγηση στα ενδιαφερόμενα μέρη του κλάδου και στο κράτος σημαίας σχετικά με τις απαιτήσεις που συμφωνήθηκαν στο ΔΝΟ για την υποχρεωτική αναφορά των απολεσθέντων εμπορευματοκιβωτίων. Η δυνατότητα συλλογικών και συντονισμένων μηχανισμών αντίδρασης σε ενωσιακό και διεθνές επίπεδο θα πρέπει επίσης να εξεταστεί.</w:t>
      </w:r>
      <w:r>
        <w:rPr>
          <w:b/>
          <w:szCs w:val="24"/>
          <w:lang w:eastAsia="en-US"/>
        </w:rPr>
        <w:t xml:space="preserve"> [Τροπολογία 33]</w:t>
      </w:r>
    </w:p>
    <w:p w:rsidR="001F0F0A" w:rsidRPr="001F0F0A" w:rsidRDefault="001F0F0A" w:rsidP="001F0F0A">
      <w:pPr>
        <w:spacing w:before="120" w:after="120" w:line="360" w:lineRule="auto"/>
        <w:ind w:left="850" w:hanging="850"/>
        <w:rPr>
          <w:szCs w:val="24"/>
          <w:lang w:eastAsia="en-US"/>
        </w:rPr>
      </w:pPr>
      <w:r w:rsidRPr="001F0F0A">
        <w:rPr>
          <w:szCs w:val="24"/>
          <w:lang w:eastAsia="en-US"/>
        </w:rPr>
        <w:t>6.</w:t>
      </w:r>
      <w:r w:rsidRPr="001F0F0A">
        <w:rPr>
          <w:szCs w:val="24"/>
          <w:lang w:eastAsia="en-US"/>
        </w:rPr>
        <w:tab/>
        <w:t>Ο Οργανισμός επικουρεί την Επιτροπή και τα κράτη μέλη, μεταξύ άλλων με επιχειρησιακά εργαλεία και υπηρεσίες, στην εφαρμογή των σχετικών με τη ναυτιλία στοιχείων της οδηγίας (ΕΕ) 2016/802. Στο πλαίσιο αυτό, ο Οργανισμός ενισχύει και διατηρεί επίσης βάση δεδομένων που παρέχει συνδρομή στα κράτη μέλη όσον αφορά την κατάλληλη στόχευση και ιεράρχηση των πλοίων για επιθεωρήσεις βάσει του κινδύνου μη συμμόρφωσης με την εν λόγω οδηγία.</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7.</w:t>
      </w:r>
      <w:r w:rsidRPr="001F0F0A">
        <w:rPr>
          <w:szCs w:val="24"/>
          <w:lang w:eastAsia="en-US"/>
        </w:rPr>
        <w:tab/>
        <w:t>Ο Οργανισμός επικουρεί την Επιτροπή και τα κράτη μέλη, κατόπιν αιτήματός τους, με κατάλληλα επιχειρησιακά εργαλεία και υπηρεσίες που αφορούν την παρακολούθηση και τη συλλογή δεδομένων σχετικά με τις εκπομπές οξειδίων του αζώτου (</w:t>
      </w:r>
      <w:r w:rsidRPr="001F0F0A">
        <w:rPr>
          <w:szCs w:val="24"/>
          <w:lang w:val="en-GB" w:eastAsia="en-US"/>
        </w:rPr>
        <w:t>NOx</w:t>
      </w:r>
      <w:r w:rsidRPr="001F0F0A">
        <w:rPr>
          <w:szCs w:val="24"/>
          <w:lang w:eastAsia="en-US"/>
        </w:rPr>
        <w:t>) από πλοία.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8.</w:t>
      </w:r>
      <w:r w:rsidRPr="001F0F0A">
        <w:rPr>
          <w:szCs w:val="24"/>
          <w:lang w:eastAsia="en-US"/>
        </w:rPr>
        <w:tab/>
        <w:t>Ο Οργανισμός επικουρεί την Επιτροπή και τα κράτη μέλη στην εφαρμογή του κανονισμού (ΕΕ) αριθ. 1257/2013 του Ευρωπαϊκού Κοινοβουλίου και του Συμβουλίου</w:t>
      </w:r>
      <w:r w:rsidRPr="001F0F0A">
        <w:rPr>
          <w:szCs w:val="24"/>
          <w:vertAlign w:val="superscript"/>
          <w:lang w:val="en-GB" w:eastAsia="en-US"/>
        </w:rPr>
        <w:footnoteReference w:id="32"/>
      </w:r>
      <w:r w:rsidRPr="001F0F0A">
        <w:rPr>
          <w:szCs w:val="24"/>
          <w:lang w:eastAsia="en-US"/>
        </w:rPr>
        <w:t>, με την έκδοση κατάλληλων οδηγιών και μέσω της συλλογής και ανάλυσης δεδομένων σχετικά με τη συμμόρφωση με τις διατάξεις του εν λόγω κανονισμού.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9.</w:t>
      </w:r>
      <w:r w:rsidRPr="001F0F0A">
        <w:rPr>
          <w:szCs w:val="24"/>
          <w:lang w:eastAsia="en-US"/>
        </w:rPr>
        <w:tab/>
        <w:t>Ο Οργανισμός υποβάλλει ανά τριετία στην Επιτροπή έκθεση σχετικά με την πρόοδο που έχει σημειωθεί όσον αφορά τη μείωση των περιβαλλοντικών επιπτώσεων των θαλάσσιων μεταφορών σε επίπεδο Ένωσης.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6</w:t>
      </w:r>
      <w:r w:rsidRPr="001F0F0A">
        <w:rPr>
          <w:szCs w:val="24"/>
          <w:lang w:eastAsia="en-US"/>
        </w:rPr>
        <w:br/>
        <w:t>Καθήκοντα σχετικά με την απανθρακοποίηση</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 xml:space="preserve">Ο Οργανισμός παρακολουθεί την πρόοδο όσον αφορά τα επιχειρησιακά και τεχνικά μέτρα που λαμβάνονται για την αύξηση της ενεργειακής απόδοσης των πλοίων και </w:t>
      </w:r>
      <w:r w:rsidRPr="001F0F0A">
        <w:rPr>
          <w:b/>
          <w:i/>
          <w:szCs w:val="24"/>
          <w:lang w:eastAsia="en-US"/>
        </w:rPr>
        <w:t xml:space="preserve">των λιμένων και </w:t>
      </w:r>
      <w:r w:rsidRPr="001F0F0A">
        <w:rPr>
          <w:szCs w:val="24"/>
          <w:lang w:eastAsia="en-US"/>
        </w:rPr>
        <w:t xml:space="preserve">την ανάπτυξη βιώσιμων εναλλακτικών καυσίμων, συστημάτων ενέργειας και ισχύος για τα πλοία, </w:t>
      </w:r>
      <w:r w:rsidRPr="001F0F0A">
        <w:rPr>
          <w:strike/>
          <w:szCs w:val="24"/>
          <w:lang w:eastAsia="en-US"/>
        </w:rPr>
        <w:t>συμπεριλαμβανομένης</w:t>
      </w:r>
      <w:r w:rsidR="008B104A">
        <w:rPr>
          <w:strike/>
          <w:szCs w:val="24"/>
          <w:lang w:eastAsia="en-US"/>
        </w:rPr>
        <w:t xml:space="preserve"> </w:t>
      </w:r>
      <w:r w:rsidRPr="001F0F0A">
        <w:rPr>
          <w:b/>
          <w:i/>
          <w:szCs w:val="24"/>
          <w:lang w:eastAsia="en-US"/>
        </w:rPr>
        <w:t>συμπεριλαμβανομένων</w:t>
      </w:r>
      <w:r w:rsidRPr="001F0F0A">
        <w:rPr>
          <w:szCs w:val="24"/>
          <w:lang w:eastAsia="en-US"/>
        </w:rPr>
        <w:t xml:space="preserve"> της από ξηράς παροχής ενέργειας</w:t>
      </w:r>
      <w:r w:rsidRPr="001F0F0A">
        <w:rPr>
          <w:b/>
          <w:i/>
          <w:szCs w:val="24"/>
          <w:lang w:eastAsia="en-US"/>
        </w:rPr>
        <w:t>, της υποβοηθούμενης από αιολική ενέργεια πρόωσης</w:t>
      </w:r>
      <w:r w:rsidRPr="001F0F0A">
        <w:rPr>
          <w:szCs w:val="24"/>
          <w:lang w:eastAsia="en-US"/>
        </w:rPr>
        <w:t xml:space="preserve"> και της </w:t>
      </w:r>
      <w:r w:rsidRPr="001F0F0A">
        <w:rPr>
          <w:strike/>
          <w:szCs w:val="24"/>
          <w:lang w:eastAsia="en-US"/>
        </w:rPr>
        <w:t>υποβοήθησης της αιολικής πρόωσης</w:t>
      </w:r>
      <w:r w:rsidR="008B104A">
        <w:rPr>
          <w:strike/>
          <w:szCs w:val="24"/>
          <w:lang w:eastAsia="en-US"/>
        </w:rPr>
        <w:t xml:space="preserve"> </w:t>
      </w:r>
      <w:r w:rsidRPr="001F0F0A">
        <w:rPr>
          <w:b/>
          <w:i/>
          <w:szCs w:val="24"/>
          <w:lang w:eastAsia="en-US"/>
        </w:rPr>
        <w:t>δέσμευσης του άνθρακα επί των πλοίων</w:t>
      </w:r>
      <w:r w:rsidRPr="001F0F0A">
        <w:rPr>
          <w:szCs w:val="24"/>
          <w:lang w:eastAsia="en-US"/>
        </w:rPr>
        <w:t>, με σκοπό τη μείωση των εκπομπών αερίων του θερμοκηπίου από τα πλοία.</w:t>
      </w:r>
      <w:r>
        <w:rPr>
          <w:b/>
          <w:szCs w:val="24"/>
          <w:lang w:eastAsia="en-US"/>
        </w:rPr>
        <w:t xml:space="preserve"> [Τροπολογία 34]</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lastRenderedPageBreak/>
        <w:t>1α.</w:t>
      </w:r>
      <w:r w:rsidRPr="001F0F0A">
        <w:rPr>
          <w:szCs w:val="24"/>
          <w:lang w:eastAsia="en-US"/>
        </w:rPr>
        <w:tab/>
      </w:r>
      <w:r w:rsidRPr="001F0F0A">
        <w:rPr>
          <w:b/>
          <w:i/>
          <w:szCs w:val="24"/>
          <w:lang w:eastAsia="en-US"/>
        </w:rPr>
        <w:t>Ο Οργανισμός αξιολογεί την ανάγκη εφαρμογής πρόσθετων ενοτήτων κατάρτισης για επαγγελματίες του ναυτιλιακού κλάδου που χειρίζονται νέα και συχνά πολύπλοκα υβριδικά συστήματα και συστήματα μηδενικών εκπομπών.</w:t>
      </w:r>
      <w:r>
        <w:rPr>
          <w:b/>
          <w:szCs w:val="24"/>
          <w:lang w:eastAsia="en-US"/>
        </w:rPr>
        <w:t xml:space="preserve"> [Τροπολογία 35]</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2.</w:t>
      </w:r>
      <w:r w:rsidRPr="001F0F0A">
        <w:rPr>
          <w:szCs w:val="24"/>
          <w:lang w:eastAsia="en-US"/>
        </w:rPr>
        <w:tab/>
        <w:t>Ο Οργανισμός παρέχει τεχνική συνδρομή στην Επιτροπή και στα κράτη μέλη, κατόπιν αιτήματός τους, σε σχέση με τις κανονιστικές προσπάθειες για τη μείωση των εκπομπών αερίων του θερμοκηπίου από τα πλοία</w:t>
      </w:r>
      <w:r w:rsidRPr="001F0F0A">
        <w:rPr>
          <w:b/>
          <w:i/>
          <w:szCs w:val="24"/>
          <w:lang w:eastAsia="en-US"/>
        </w:rPr>
        <w:t xml:space="preserve"> και τους λιμένες</w:t>
      </w:r>
      <w:r w:rsidRPr="001F0F0A">
        <w:rPr>
          <w:szCs w:val="24"/>
          <w:lang w:eastAsia="en-US"/>
        </w:rPr>
        <w:t xml:space="preserve">. Στο πλαίσιο αυτό, ο Οργανισμός μπορεί να χρησιμοποιεί κάθε επιχειρησιακό εργαλείο ή υπηρεσία που σχετίζεται με το καθήκον. Ειδικότερα, ο Οργανισμός ερευνά, αναλύει και προτείνει σχετικές κατευθυντήριες γραμμές ή συστάσεις σε σχέση με την υιοθέτηση και την ανάπτυξη βιώσιμων εναλλακτικών καυσίμων, συστημάτων ενέργειας και ισχύος για τα πλοία, </w:t>
      </w:r>
      <w:r w:rsidRPr="001F0F0A">
        <w:rPr>
          <w:strike/>
          <w:szCs w:val="24"/>
          <w:lang w:eastAsia="en-US"/>
        </w:rPr>
        <w:t>συμπεριλαμβανομένης</w:t>
      </w:r>
      <w:r w:rsidR="008B104A">
        <w:rPr>
          <w:strike/>
          <w:szCs w:val="24"/>
          <w:lang w:eastAsia="en-US"/>
        </w:rPr>
        <w:t xml:space="preserve"> </w:t>
      </w:r>
      <w:r w:rsidRPr="001F0F0A">
        <w:rPr>
          <w:b/>
          <w:i/>
          <w:szCs w:val="24"/>
          <w:lang w:eastAsia="en-US"/>
        </w:rPr>
        <w:t>συμπεριλαμβανομένων</w:t>
      </w:r>
      <w:r w:rsidRPr="001F0F0A">
        <w:rPr>
          <w:szCs w:val="24"/>
          <w:lang w:eastAsia="en-US"/>
        </w:rPr>
        <w:t xml:space="preserve"> της από ξηράς παροχής ενέργειας</w:t>
      </w:r>
      <w:r w:rsidRPr="001F0F0A">
        <w:rPr>
          <w:b/>
          <w:i/>
          <w:szCs w:val="24"/>
          <w:lang w:eastAsia="en-US"/>
        </w:rPr>
        <w:t>, της υποβοηθούμενης από αιολική ενέργεια, ηλιακής και κυματικής πρόωσης</w:t>
      </w:r>
      <w:r w:rsidRPr="001F0F0A">
        <w:rPr>
          <w:szCs w:val="24"/>
          <w:lang w:eastAsia="en-US"/>
        </w:rPr>
        <w:t xml:space="preserve"> και της </w:t>
      </w:r>
      <w:r w:rsidRPr="001F0F0A">
        <w:rPr>
          <w:strike/>
          <w:szCs w:val="24"/>
          <w:lang w:eastAsia="en-US"/>
        </w:rPr>
        <w:t>υποβοήθησης της αιολικής πρόωσης</w:t>
      </w:r>
      <w:r w:rsidR="008B104A">
        <w:rPr>
          <w:strike/>
          <w:szCs w:val="24"/>
          <w:lang w:eastAsia="en-US"/>
        </w:rPr>
        <w:t xml:space="preserve"> </w:t>
      </w:r>
      <w:r w:rsidRPr="001F0F0A">
        <w:rPr>
          <w:b/>
          <w:i/>
          <w:szCs w:val="24"/>
          <w:lang w:eastAsia="en-US"/>
        </w:rPr>
        <w:t>δέσμευσης του άνθρακα επί των πλοίων, με ταυτόχρονη εξασφάλιση της τεχνολογικής ουδετερότητας</w:t>
      </w:r>
      <w:r w:rsidRPr="001F0F0A">
        <w:rPr>
          <w:szCs w:val="24"/>
          <w:lang w:eastAsia="en-US"/>
        </w:rPr>
        <w:t>, καθώς και σε σχέση με μέτρα ενεργειακής απόδοσης</w:t>
      </w:r>
      <w:r w:rsidRPr="001F0F0A">
        <w:rPr>
          <w:b/>
          <w:i/>
          <w:szCs w:val="24"/>
          <w:lang w:eastAsia="en-US"/>
        </w:rPr>
        <w:t>, με πρακτικές όπως η βραδεία πλεύση και η βελτιστοποίηση της ταχύτητας</w:t>
      </w:r>
      <w:r w:rsidRPr="001F0F0A">
        <w:rPr>
          <w:szCs w:val="24"/>
          <w:lang w:eastAsia="en-US"/>
        </w:rPr>
        <w:t>.</w:t>
      </w:r>
      <w:r>
        <w:rPr>
          <w:b/>
          <w:szCs w:val="24"/>
          <w:lang w:eastAsia="en-US"/>
        </w:rPr>
        <w:t xml:space="preserve"> [Τροπολογία 36]</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 xml:space="preserve">Ο Οργανισμός επικουρεί την Επιτροπή και τα κράτη μέλη στην εφαρμογή του κανονισμού (ΕΕ) [..., για τη χρήση ανανεώσιμων καυσίμων και καυσίμων χαμηλών ανθρακούχων εκπομπών στις θαλάσσιες μεταφορές]. Ειδικότερα, ο Οργανισμός επικουρεί την Επιτροπή στην ανάπτυξη και διατήρηση της βάσης δεδομένων </w:t>
      </w:r>
      <w:r w:rsidRPr="001F0F0A">
        <w:rPr>
          <w:szCs w:val="24"/>
          <w:lang w:val="en-GB" w:eastAsia="en-US"/>
        </w:rPr>
        <w:t>FuelEU</w:t>
      </w:r>
      <w:r w:rsidRPr="001F0F0A">
        <w:rPr>
          <w:szCs w:val="24"/>
          <w:lang w:eastAsia="en-US"/>
        </w:rPr>
        <w:t xml:space="preserve"> και άλλων σχετικών εργαλείων ΤΠ που αναφέρονται στο [άρθρο 16] του εν λόγω κανονισμού, στην ανάπτυξη των κατάλληλων εργαλείων παρακολούθησης, εργαλείων καθοδήγησης και στόχευσης βάσει κινδύνου για τη διευκόλυνση των δραστηριοτήτων επαλήθευσης και επιβολής που προβλέπονται στο [άρθρο 15β] του εν λόγω κανονισμού, καθώς και στην ανάλυση των σχετικών δεδομένων και στην προετοιμασία της υποβολής εκθέσεων σύμφωνα με το [άρθρο 28] του εν λόγω κανονισμού.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Ο Οργανισμός επικουρεί την Επιτροπή και τα κράτη μέλη στην εφαρμογή του κανονισμού (ΕΕ) 2015/757. Ειδικότερα, ο Οργανισμός επικουρεί την Επιτροπή στην ανάπτυξη, επικαιροποίηση και διατήρηση σχετικών εργαλείων ΤΠ, βάσεων δεδομένων και οδηγιών για τους σκοπούς της εφαρμογής του εν λόγω κανονισμού και της διευκόλυνσης των δραστηριοτήτων επιβολής, επικουρεί την Επιτροπή στην ανάλυση των σχετικών δεδομένων που υποβάλλονται δυνάμει του εν λόγω κανονισμού και υποστηρίζει την Επιτροπή στις δραστηριότητές της για τη συμμόρφωση με τις υποχρεώσεις που απορρέουν από το άρθρο 21 του εν λόγω κανονισμού.</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Ο Οργανισμός επικουρεί την Επιτροπή και τα κράτη μέλη στην εφαρμογή της οδηγίας 2003/87/ΕΚ, όσον αφορά τον ναυτιλιακό τομέα. Ειδικότερα, ο Οργανισμός επικουρεί την Επιτροπή στην ανάπτυξη των κατάλληλων εργαλείων εφαρμογής ΤΠ, εργαλείων παρακολούθησης, εργαλείων καθοδήγησης και στόχευσης βάσει κινδύνου για τη διευκόλυνση των δραστηριοτήτων επαλήθευσης, επιβολής και εφαρμογής που σχετίζονται με την οδηγία 2003/87/ΕΚ, όσον αφορά τον ναυτιλιακό τομέα, αξιοποιώντας παράλληλα τα αποτελέσματα των υφιστάμενων σχετικών εργαλείων, υπηρεσιών και βάσεων δεδομένων.</w:t>
      </w:r>
    </w:p>
    <w:p w:rsidR="001F0F0A" w:rsidRPr="001F0F0A" w:rsidRDefault="001F0F0A" w:rsidP="00EF41D3">
      <w:pPr>
        <w:spacing w:before="120" w:after="120" w:line="360" w:lineRule="auto"/>
        <w:ind w:left="850"/>
        <w:rPr>
          <w:b/>
          <w:szCs w:val="24"/>
          <w:lang w:eastAsia="en-US"/>
        </w:rPr>
      </w:pPr>
      <w:r w:rsidRPr="00471E9B">
        <w:rPr>
          <w:b/>
          <w:i/>
        </w:rPr>
        <w:t xml:space="preserve">Αυτή η υποστήριξη περιλαμβάνει επίσης </w:t>
      </w:r>
      <w:r w:rsidRPr="001F0F0A">
        <w:rPr>
          <w:b/>
          <w:i/>
          <w:szCs w:val="24"/>
          <w:lang w:eastAsia="en-US"/>
        </w:rPr>
        <w:t>την παρακολούθηση και την υποβολή εκθέσεων σχετικά με τις επιπτώσεις στην κυκλοφορία των λιμένων, τη φοροδιαφυγή και τη μετατόπιση της κυκλοφορίας στους γειτονικούς λιμένες μεταφόρτωσης εμπορευματοκιβωτίων, εις βάρος των λιμένων της ΕΕ.</w:t>
      </w:r>
      <w:r>
        <w:rPr>
          <w:b/>
          <w:szCs w:val="24"/>
          <w:lang w:eastAsia="en-US"/>
        </w:rPr>
        <w:t xml:space="preserve"> [Τροπολογία 37]</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6.</w:t>
      </w:r>
      <w:r w:rsidRPr="001F0F0A">
        <w:rPr>
          <w:szCs w:val="24"/>
          <w:lang w:eastAsia="en-US"/>
        </w:rPr>
        <w:tab/>
        <w:t>Ο Οργανισμός υποβάλλει ανά τριετία στην Επιτροπή έκθεση σχετικά με την πρόοδο που έχει σημειωθεί όσον αφορά την απανθρακοποίηση των θαλάσσιων μεταφορών σε επίπεδο Ένωσης. Όπου είναι δυνατόν, η έκθεση περιλαμβάνει τεχνική ανάλυση των εντοπισθέντων ζητημάτων που θα μπορούσαν να αντιμετωπιστούν σε επίπεδο Ένωσης.</w:t>
      </w:r>
      <w:r w:rsidRPr="001F0F0A">
        <w:rPr>
          <w:b/>
          <w:i/>
          <w:szCs w:val="24"/>
          <w:lang w:eastAsia="en-US"/>
        </w:rPr>
        <w:t xml:space="preserve"> Η έκθεση δημοσιοποιείται στον δικτυακό τόπο του Οργανισμού σε </w:t>
      </w:r>
      <w:proofErr w:type="spellStart"/>
      <w:r w:rsidRPr="001F0F0A">
        <w:rPr>
          <w:b/>
          <w:i/>
          <w:szCs w:val="24"/>
          <w:lang w:eastAsia="en-US"/>
        </w:rPr>
        <w:t>αναζητήσιμη</w:t>
      </w:r>
      <w:proofErr w:type="spellEnd"/>
      <w:r w:rsidRPr="001F0F0A">
        <w:rPr>
          <w:b/>
          <w:i/>
          <w:szCs w:val="24"/>
          <w:lang w:eastAsia="en-US"/>
        </w:rPr>
        <w:t xml:space="preserve"> μορφή και με αναλυτικό τρόπο.</w:t>
      </w:r>
      <w:r>
        <w:rPr>
          <w:b/>
          <w:szCs w:val="24"/>
          <w:lang w:eastAsia="en-US"/>
        </w:rPr>
        <w:t xml:space="preserve"> [Τροπολογία 38]</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7</w:t>
      </w:r>
      <w:r w:rsidRPr="001F0F0A">
        <w:rPr>
          <w:szCs w:val="24"/>
          <w:lang w:eastAsia="en-US"/>
        </w:rPr>
        <w:br/>
        <w:t>Καθήκοντα που σχετίζονται με τη ναυτιλιακή ασφάλεια και την κυβερνοασφάλεια</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 xml:space="preserve">Ο Οργανισμός παρέχει τεχνική συνδρομή στην Επιτροπή </w:t>
      </w:r>
      <w:r w:rsidRPr="001F0F0A">
        <w:rPr>
          <w:b/>
          <w:i/>
          <w:szCs w:val="24"/>
          <w:lang w:eastAsia="en-US"/>
        </w:rPr>
        <w:t xml:space="preserve">και τα κράτη μέλη </w:t>
      </w:r>
      <w:r w:rsidRPr="001F0F0A">
        <w:rPr>
          <w:szCs w:val="24"/>
          <w:lang w:eastAsia="en-US"/>
        </w:rPr>
        <w:t>κατά την εκτέλεση των καθηκόντων</w:t>
      </w:r>
      <w:r w:rsidRPr="001F0F0A">
        <w:rPr>
          <w:strike/>
          <w:szCs w:val="24"/>
          <w:lang w:eastAsia="en-US"/>
        </w:rPr>
        <w:t xml:space="preserve"> επιθεώρησης</w:t>
      </w:r>
      <w:r w:rsidRPr="001F0F0A">
        <w:rPr>
          <w:szCs w:val="24"/>
          <w:lang w:eastAsia="en-US"/>
        </w:rPr>
        <w:t xml:space="preserve"> που της έχουν ανατεθεί σύμφωνα με το άρθρο 9 </w:t>
      </w:r>
      <w:r w:rsidRPr="001F0F0A">
        <w:rPr>
          <w:strike/>
          <w:szCs w:val="24"/>
          <w:lang w:eastAsia="en-US"/>
        </w:rPr>
        <w:t xml:space="preserve">παράγραφος 4 </w:t>
      </w:r>
      <w:r w:rsidRPr="001F0F0A">
        <w:rPr>
          <w:szCs w:val="24"/>
          <w:lang w:eastAsia="en-US"/>
        </w:rPr>
        <w:t>του κανονισμού (ΕΚ) αριθ. 725/2004.</w:t>
      </w:r>
      <w:r>
        <w:rPr>
          <w:b/>
          <w:szCs w:val="24"/>
          <w:lang w:eastAsia="en-US"/>
        </w:rPr>
        <w:t xml:space="preserve"> [Τροπολογία 39]</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2.</w:t>
      </w:r>
      <w:r w:rsidRPr="001F0F0A">
        <w:rPr>
          <w:szCs w:val="24"/>
          <w:lang w:eastAsia="en-US"/>
        </w:rPr>
        <w:tab/>
        <w:t xml:space="preserve">Ο Οργανισμός επικουρεί την Επιτροπή και τα κράτη μέλη, από κοινού με οποιονδήποτε άλλον οικείο φορέα της Ένωσης, στην ανάπτυξη ανθεκτικότητας έναντι συμβάντων κυβερνοασφάλειας στον ναυτιλιακό τομέα, ειδικότερα μέσω της </w:t>
      </w:r>
      <w:r w:rsidRPr="001F0F0A">
        <w:rPr>
          <w:b/>
          <w:i/>
          <w:szCs w:val="24"/>
          <w:lang w:eastAsia="en-US"/>
        </w:rPr>
        <w:t xml:space="preserve">παροχής κατευθυντήριων γραμμών και της </w:t>
      </w:r>
      <w:r w:rsidRPr="001F0F0A">
        <w:rPr>
          <w:szCs w:val="24"/>
          <w:lang w:eastAsia="en-US"/>
        </w:rPr>
        <w:t>διευκόλυνσης της ανταλλαγής βέλτιστων πρακτικών και πληροφοριών μεταξύ των κρατών μελών σχετικά με συμβάντα κυβερνοασφάλειας.</w:t>
      </w:r>
      <w:r w:rsidR="00CF11F6">
        <w:rPr>
          <w:b/>
          <w:szCs w:val="24"/>
          <w:lang w:eastAsia="en-US"/>
        </w:rPr>
        <w:t xml:space="preserve"> [Τροπολογία 40]</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8</w:t>
      </w:r>
      <w:r w:rsidRPr="001F0F0A">
        <w:rPr>
          <w:szCs w:val="24"/>
          <w:lang w:eastAsia="en-US"/>
        </w:rPr>
        <w:br/>
        <w:t>Καθήκοντα σχετικά με τη θαλάσσια επιτήρηση και τις ναυτιλιακές κρίσεις</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Ο Οργανισμός παρέχει στην Επιτροπή και στα κράτη μέλη, κατόπιν αιτήματός τους, υπηρεσίες θαλάσσιας επιτήρησης και επικοινωνίας που βασίζονται σε προηγμένες τεχνολογίες, συμπεριλαμβανομένων διαστημικών και επίγειων υποδομών και αισθητήρων συνδεδεμένων σε οποιοδήποτε είδος πλατφόρμας, που βελτιώνουν την επίγνωση της κατάστασης του τομέα της ναυτιλίας</w:t>
      </w:r>
      <w:r w:rsidRPr="001F0F0A">
        <w:rPr>
          <w:b/>
          <w:i/>
          <w:szCs w:val="24"/>
          <w:lang w:eastAsia="en-US"/>
        </w:rPr>
        <w:t>, μεταξύ άλλων όσον αφορά τις νέες γεωπολιτικές προκλήσεις, όπως ο επιθετικός πόλεμος της Ρωσίας κατά της Ουκρανίας και οι σχετικές απειλές για την ασφάλεια συγκεκριμένων κρατών μελών και της Ένωσης στο συνολικά</w:t>
      </w:r>
      <w:r w:rsidRPr="001F0F0A">
        <w:rPr>
          <w:szCs w:val="24"/>
          <w:lang w:eastAsia="en-US"/>
        </w:rPr>
        <w:t>.</w:t>
      </w:r>
      <w:r w:rsidR="00CF11F6">
        <w:rPr>
          <w:b/>
          <w:szCs w:val="24"/>
          <w:lang w:eastAsia="en-US"/>
        </w:rPr>
        <w:t xml:space="preserve"> [Τροπολογία 41]</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Στο πεδίο της παρακολούθησης της κυκλοφορίας που καλύπτεται από την οδηγία 2002/59/ΕΚ, ο Οργανισμός προωθεί ιδίως τη συνεργασία μεταξύ παράκτιων κρατών στις αντίστοιχες περιοχές ναυτιλίας, καθώς επίσης αναπτύσσει και θέτει σε λειτουργία το Ευρωπαϊκό Κέντρο Δεδομένων της Ευρωπαϊκής Ένωσης για την ταυτοποίηση και τον εντοπισμό σκαφών εξ αποστάσεως και το ενωσιακό σύστημα ανταλλαγής πληροφοριών για τη θαλάσσια κυκλοφορία (</w:t>
      </w:r>
      <w:r w:rsidRPr="001F0F0A">
        <w:rPr>
          <w:szCs w:val="24"/>
          <w:lang w:val="en-GB" w:eastAsia="en-US"/>
        </w:rPr>
        <w:t>SafeSeaNet</w:t>
      </w:r>
      <w:r w:rsidRPr="001F0F0A">
        <w:rPr>
          <w:szCs w:val="24"/>
          <w:lang w:eastAsia="en-US"/>
        </w:rPr>
        <w:t>), όπως προβλέπεται στα άρθρα 6β και 22α της εν λόγω οδηγίας, καθώς και το διεθνές σύστημα ανταλλαγής πληροφοριών για την ταυτοποίηση και τον εντοπισμό σκαφών εξ αποστάσεως σύμφωνα με την ανειλημμένη έναντι του ΔΝΟ δέσμευση.</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Ο Οργανισμός παρέχει, κατόπιν αιτήματος και με την επιφύλαξη του εθνικού και ενωσιακού δικαίου, στην Επιτροπή, στις αρμόδιες εθνικές αρχές και στους οικείους φορείς της Ένωσης εντός των ορίων της εντολής καθηκόντων τους, συναφή δεδομένα θέσης πλοίων και γεωσκόπησης, για να διευκολύνεται η λήψη μέτρων κατά απειλών πειρατείας και ηθελημένων παράνομων πράξεων, κατά την έννοια του εφαρμοστέου ενωσιακού δικαίου ή διεθνώς συμφωνημένων νομικών πράξεων στον τομέα των θαλάσσιων μεταφορών, με σεβασμό των εφαρμοστέων κανόνων προστασίας δεδομένων και σύμφωνα με διοικητικές διαδικασίες που θα καθοριστούν από τη διευθύνουσα ομάδα υψηλού επιπέδου που έχει συσταθεί με την οδηγία 2002/59/ΕΚ, κατά περίπτωση. Η παροχή δεδομένων ταυτοποίησης και εντοπισμού σκαφών εξ αποστάσεως υπόκειται στη συναίνεση του οικείου κράτους σημαίας.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4.</w:t>
      </w:r>
      <w:r w:rsidRPr="001F0F0A">
        <w:rPr>
          <w:szCs w:val="24"/>
          <w:lang w:eastAsia="en-US"/>
        </w:rPr>
        <w:tab/>
        <w:t>Ο Οργανισμός θέτει σε λειτουργία κέντρο διαθέσιμο 24 ώρες την ημέρα και 7 ημέρες την εβδομάδα, το οποίο παρέχει</w:t>
      </w:r>
      <w:r w:rsidRPr="001F0F0A">
        <w:rPr>
          <w:strike/>
          <w:szCs w:val="24"/>
          <w:lang w:eastAsia="en-US"/>
        </w:rPr>
        <w:t>, κατόπιν αιτήματος και</w:t>
      </w:r>
      <w:r w:rsidRPr="001F0F0A">
        <w:rPr>
          <w:szCs w:val="24"/>
          <w:lang w:eastAsia="en-US"/>
        </w:rPr>
        <w:t xml:space="preserve"> με την επιφύλαξη του εθνικού και του ενωσιακού δικαίου, στην Επιτροπή, στις αρμόδιες εθνικές αρχές, με την επιφύλαξη των δικαιωμάτων και των υποχρεώσεών τους ως κρατών σημαίας, παράκτιων κρατών και κρατών λιμένα, καθώς και στους σχετικούς φορείς της Ένωσης, στο πλαίσιο της εντολής τους, επίγνωση της κατάστασης στον τομέα της ναυτιλίας καθώς και αναλυτικά δεδομένα, κατά περίπτωση, τα οποία τους παρέχουν υποστήριξη σε σχέση με:</w:t>
      </w:r>
      <w:r w:rsidR="00CF11F6">
        <w:rPr>
          <w:b/>
          <w:szCs w:val="24"/>
          <w:lang w:eastAsia="en-US"/>
        </w:rPr>
        <w:t xml:space="preserve"> [Τροπολογία 42]</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την ασφάλεια, την προστασία και τη ρύπανση στη θάλασσα·</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τις καταστάσεις έκτακτης ανάγκης στη θάλασσα·</w:t>
      </w:r>
    </w:p>
    <w:p w:rsidR="001F0F0A" w:rsidRPr="001F0F0A" w:rsidRDefault="001F0F0A" w:rsidP="001F0F0A">
      <w:pPr>
        <w:spacing w:before="120" w:after="120" w:line="360" w:lineRule="auto"/>
        <w:ind w:left="1416" w:hanging="566"/>
        <w:rPr>
          <w:b/>
          <w:szCs w:val="24"/>
          <w:lang w:eastAsia="en-US"/>
        </w:rPr>
      </w:pPr>
      <w:r w:rsidRPr="001F0F0A">
        <w:rPr>
          <w:szCs w:val="24"/>
          <w:lang w:eastAsia="en-US"/>
        </w:rPr>
        <w:t>γ)</w:t>
      </w:r>
      <w:r w:rsidRPr="001F0F0A">
        <w:rPr>
          <w:szCs w:val="24"/>
          <w:lang w:eastAsia="en-US"/>
        </w:rPr>
        <w:tab/>
        <w:t>την εφαρμογή οποιασδήποτε νομοθεσίας της Ένωσης που απαιτεί την παρακολούθηση των κινήσεων των πλοίων</w:t>
      </w:r>
      <w:r w:rsidRPr="001F0F0A">
        <w:rPr>
          <w:strike/>
          <w:szCs w:val="24"/>
          <w:lang w:eastAsia="en-US"/>
        </w:rPr>
        <w:t>·</w:t>
      </w:r>
      <w:r w:rsidRPr="001F0F0A">
        <w:rPr>
          <w:b/>
          <w:i/>
          <w:szCs w:val="24"/>
          <w:lang w:eastAsia="en-US"/>
        </w:rPr>
        <w:t xml:space="preserve"> και των απολεσθέντων εμπορευματοκιβωτίων στη θάλασσα·</w:t>
      </w:r>
      <w:r w:rsidR="00CF11F6">
        <w:rPr>
          <w:b/>
          <w:szCs w:val="24"/>
          <w:lang w:eastAsia="en-US"/>
        </w:rPr>
        <w:t xml:space="preserve"> [Τροπολογία 43]</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δ)</w:t>
      </w:r>
      <w:r w:rsidRPr="001F0F0A">
        <w:rPr>
          <w:szCs w:val="24"/>
          <w:lang w:eastAsia="en-US"/>
        </w:rPr>
        <w:tab/>
        <w:t>τα μέτρα κατά απειλών πειρατείας και σκόπιμων παράνομων πράξεων, όπως προβλέπεται στο εφαρμοστέο δίκαιο της Ένωσης ή σε διεθνώς συμφωνημένες νομικές πράξεις στον τομέα των θαλάσσιων μεταφορών·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ε)</w:t>
      </w:r>
      <w:r w:rsidRPr="001F0F0A">
        <w:rPr>
          <w:szCs w:val="24"/>
          <w:lang w:eastAsia="en-US"/>
        </w:rPr>
        <w:tab/>
        <w:t xml:space="preserve">την ανάπτυξη των </w:t>
      </w:r>
      <w:r w:rsidRPr="001F0F0A">
        <w:rPr>
          <w:szCs w:val="24"/>
          <w:lang w:val="en-GB" w:eastAsia="en-US"/>
        </w:rPr>
        <w:t>MASS</w:t>
      </w:r>
      <w:r w:rsidRPr="001F0F0A">
        <w:rPr>
          <w:szCs w:val="24"/>
          <w:lang w:eastAsia="en-US"/>
        </w:rPr>
        <w:t xml:space="preserve"> και την αλληλεπίδρασή τους με τα συμβατικά πλοία.</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rPr>
          <w:szCs w:val="24"/>
          <w:lang w:eastAsia="en-US"/>
        </w:rPr>
      </w:pPr>
      <w:r w:rsidRPr="001F0F0A">
        <w:rPr>
          <w:szCs w:val="24"/>
          <w:lang w:eastAsia="en-US"/>
        </w:rPr>
        <w:lastRenderedPageBreak/>
        <w:t>Η παροχή των εν λόγω πληροφοριών υπόκειται στους ισχύοντες κανόνες προστασίας των δεδομένων και συνάδει με τις διοικητικές διαδικασίες που θα καθοριστούν από τη διευθύνουσα ομάδα υψηλού επιπέδου που έχει συσταθεί σύμφωνα με την οδηγία 2002/59/ΕΚ, κατά περίπτωση. Η παροχή δεδομένων ταυτοποίησης και εντοπισμού σκαφών εξ αποστάσεως υπόκειται στη συναίνεση του ενδιαφερόμενου κράτους σημαίας.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Ο Οργανισμός, στο πλαίσιο των αρμοδιοτήτων του, συμβάλλει στην έγκαιρη αντιμετώπιση και στον μετριασμό των κρίσεων, συνδράμοντας, κατόπιν αιτήματος, τα κράτη μέλη και την Επιτροπή στην εκτέλεση σχεδίων έκτακτης ανάγκης και διευκολύνοντας την ανταλλαγή πληροφοριών και βέλτιστων πρακτικών.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6.</w:t>
      </w:r>
      <w:r w:rsidRPr="001F0F0A">
        <w:rPr>
          <w:szCs w:val="24"/>
          <w:lang w:eastAsia="en-US"/>
        </w:rPr>
        <w:tab/>
        <w:t xml:space="preserve">Ο Οργανισμός επικουρεί την Επιτροπή στη λειτουργία της συνιστώσας θαλάσσιας επιτήρησης της υπηρεσίας ασφαλείας του </w:t>
      </w:r>
      <w:r w:rsidRPr="001F0F0A">
        <w:rPr>
          <w:szCs w:val="24"/>
          <w:lang w:val="en-GB" w:eastAsia="en-US"/>
        </w:rPr>
        <w:t>Copernicus</w:t>
      </w:r>
      <w:r w:rsidRPr="001F0F0A">
        <w:rPr>
          <w:szCs w:val="24"/>
          <w:lang w:eastAsia="en-US"/>
        </w:rPr>
        <w:t xml:space="preserve"> εντός του πλαισίου διακυβέρνησης και χρηματοδότησης του προγράμματος </w:t>
      </w:r>
      <w:r w:rsidRPr="001F0F0A">
        <w:rPr>
          <w:szCs w:val="24"/>
          <w:lang w:val="en-GB" w:eastAsia="en-US"/>
        </w:rPr>
        <w:t>Copernicus</w:t>
      </w:r>
      <w:r w:rsidRPr="001F0F0A">
        <w:rPr>
          <w:szCs w:val="24"/>
          <w:lang w:eastAsia="en-US"/>
        </w:rPr>
        <w:t>.</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Ο Οργανισμός επικουρεί την Επιτροπή και τα κράτη μέλη στην ανάπτυξη και διατήρηση του εθελοντικού κοινού περιβάλλοντος ανταλλαγής πληροφοριών (</w:t>
      </w:r>
      <w:r w:rsidRPr="001F0F0A">
        <w:rPr>
          <w:szCs w:val="24"/>
          <w:lang w:val="en-GB" w:eastAsia="en-US"/>
        </w:rPr>
        <w:t>CISE</w:t>
      </w:r>
      <w:r w:rsidRPr="001F0F0A">
        <w:rPr>
          <w:szCs w:val="24"/>
          <w:lang w:eastAsia="en-US"/>
        </w:rPr>
        <w:t>), μιας λύσης διαλειτουργικότητας, με στόχο τη διευκόλυνση της ανταλλαγής πληροφοριών μεταξύ των διαφόρων συστημάτων που χρησιμοποιούνται από πολιτικές και στρατιωτικές αρχές αρμόδιες στον θαλάσσιο τομέα, συμπληρώνοντας τις πληροφορίες που είναι ήδη διαθέσιμες μέσω των υποχρεωτικών συστημάτων πληροφοριών.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9</w:t>
      </w:r>
      <w:r w:rsidRPr="001F0F0A">
        <w:rPr>
          <w:szCs w:val="24"/>
          <w:lang w:eastAsia="en-US"/>
        </w:rPr>
        <w:br/>
        <w:t>Καθήκοντα σχετικά με την ψηφιοποίηση και την απλούστευση</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 xml:space="preserve">Ο Οργανισμός συλλέγει και παρέχει, κατά περίπτωση, στους τομείς του δικαίου της Ένωσης που εμπίπτουν στην αρμοδιότητά του, αντικειμενικές, αξιόπιστες και συγκρίσιμες στατιστικές, πληροφορίες και δεδομένα ώστε να καθιστά δυνατή για την Επιτροπή και τα κράτη μέλη τη λήψη των αναγκαίων μέτρων με σκοπό τη βελτίωση των </w:t>
      </w:r>
      <w:proofErr w:type="spellStart"/>
      <w:r w:rsidRPr="001F0F0A">
        <w:rPr>
          <w:szCs w:val="24"/>
          <w:lang w:eastAsia="en-US"/>
        </w:rPr>
        <w:t>δράσεών</w:t>
      </w:r>
      <w:proofErr w:type="spellEnd"/>
      <w:r w:rsidRPr="001F0F0A">
        <w:rPr>
          <w:szCs w:val="24"/>
          <w:lang w:eastAsia="en-US"/>
        </w:rPr>
        <w:t xml:space="preserve"> τους και την αξιολόγηση της αποτελεσματικότητας και οικονομικής αποδοτικότητας των υφιστάμενων μέτρων. Στα καθήκοντα αυτά περιλαμβάνονται η διευκόλυνση και η προώθηση των ηλεκτρονικών πιστοποιητικών, η συλλογή, η καταγραφή και η αξιολόγηση τεχνικών δεδομένων, η συστηματική αξιοποίηση των υφιστάμενων βάσεων δεδομένων, συμπεριλαμβανομένου του αμφίδρομου εμπλουτισμού τους μέσω της χρήσης καινοτόμων εργαλείων ΤΠ και τεχνητής νοημοσύνης, και, κατά περίπτωση, η ανάπτυξη πρόσθετων διαλειτουργικών βάσεων δεδομένων. Στο πλαίσιο αυτό, ο Οργανισμός συμβάλλει επίσης στον θαλάσσιο τομέα του κοινού ευρωπαϊκού χώρου δεδομένων κινητικότητας, διερευνώντας συνδέσεις με συστήματα άλλων τρόπων μεταφοράς.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Ο Οργανισμός επικουρεί την Επιτροπή στην εφαρμογή του κανονισμού (ΕΕ) 2019/1239 του Ευρωπαϊκού Κοινοβουλίου και του Συμβουλίου</w:t>
      </w:r>
      <w:r w:rsidRPr="001F0F0A">
        <w:rPr>
          <w:szCs w:val="24"/>
          <w:vertAlign w:val="superscript"/>
          <w:lang w:val="en-GB" w:eastAsia="en-US"/>
        </w:rPr>
        <w:footnoteReference w:id="33"/>
      </w:r>
      <w:r w:rsidRPr="001F0F0A">
        <w:rPr>
          <w:szCs w:val="24"/>
          <w:lang w:eastAsia="en-US"/>
        </w:rPr>
        <w:t>, με τα ακόλουθα καθήκοντα:</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ανάπτυξη, διάθεση και διατήρηση των κοινών στοιχείων και υπηρεσιών ΤΠ του ευρωπαϊκού περιβάλλοντος ναυτιλιακής ενιαίας θυρίδας (</w:t>
      </w:r>
      <w:r w:rsidRPr="001F0F0A">
        <w:rPr>
          <w:szCs w:val="24"/>
          <w:lang w:val="en-GB" w:eastAsia="en-US"/>
        </w:rPr>
        <w:t>EMSWe</w:t>
      </w:r>
      <w:r w:rsidRPr="001F0F0A">
        <w:rPr>
          <w:szCs w:val="24"/>
          <w:lang w:eastAsia="en-US"/>
        </w:rPr>
        <w:t>) υπό την ευθύνη της Επιτροπής·</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 xml:space="preserve">διατήρηση του συνόλου δεδομένων </w:t>
      </w:r>
      <w:r w:rsidRPr="001F0F0A">
        <w:rPr>
          <w:szCs w:val="24"/>
          <w:lang w:val="en-GB" w:eastAsia="en-US"/>
        </w:rPr>
        <w:t>EMSWe</w:t>
      </w:r>
      <w:r w:rsidRPr="001F0F0A">
        <w:rPr>
          <w:szCs w:val="24"/>
          <w:lang w:eastAsia="en-US"/>
        </w:rPr>
        <w:t>, του οδηγού υλοποίησης μηνυμάτων και των υποδειγμάτων των ψηφιακών λογιστικών φύλλων·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 xml:space="preserve">παροχή τεχνικής καθοδήγησης στα κράτη μέλη για την εφαρμογή του </w:t>
      </w:r>
      <w:r w:rsidRPr="001F0F0A">
        <w:rPr>
          <w:szCs w:val="24"/>
          <w:lang w:val="en-GB" w:eastAsia="en-US"/>
        </w:rPr>
        <w:t>EMSWe</w:t>
      </w:r>
      <w:r w:rsidRPr="001F0F0A">
        <w:rPr>
          <w:szCs w:val="24"/>
          <w:lang w:eastAsia="en-US"/>
        </w:rPr>
        <w:t>·</w:t>
      </w:r>
    </w:p>
    <w:p w:rsidR="001F0F0A" w:rsidRPr="001F0F0A" w:rsidRDefault="001F0F0A" w:rsidP="001F0F0A">
      <w:pPr>
        <w:spacing w:before="120" w:after="120" w:line="360" w:lineRule="auto"/>
        <w:ind w:left="1416" w:hanging="566"/>
        <w:rPr>
          <w:b/>
          <w:szCs w:val="24"/>
          <w:lang w:eastAsia="en-US"/>
        </w:rPr>
      </w:pPr>
      <w:r w:rsidRPr="001F0F0A">
        <w:rPr>
          <w:szCs w:val="24"/>
          <w:lang w:eastAsia="en-US"/>
        </w:rPr>
        <w:t>δ)</w:t>
      </w:r>
      <w:r w:rsidRPr="001F0F0A">
        <w:rPr>
          <w:szCs w:val="24"/>
          <w:lang w:eastAsia="en-US"/>
        </w:rPr>
        <w:tab/>
        <w:t>διευκόλυνση</w:t>
      </w:r>
      <w:r w:rsidRPr="001F0F0A">
        <w:rPr>
          <w:b/>
          <w:i/>
          <w:szCs w:val="24"/>
          <w:lang w:eastAsia="en-US"/>
        </w:rPr>
        <w:t xml:space="preserve"> και βελτίωση</w:t>
      </w:r>
      <w:r w:rsidRPr="001F0F0A">
        <w:rPr>
          <w:szCs w:val="24"/>
          <w:lang w:eastAsia="en-US"/>
        </w:rPr>
        <w:t xml:space="preserve"> της περαιτέρω χρήσης και της ανταλλαγής δεδομένων που ανταλλάσσονται στο </w:t>
      </w:r>
      <w:r w:rsidRPr="001F0F0A">
        <w:rPr>
          <w:szCs w:val="24"/>
          <w:lang w:val="en-GB" w:eastAsia="en-US"/>
        </w:rPr>
        <w:t>EMSWe</w:t>
      </w:r>
      <w:r w:rsidRPr="001F0F0A">
        <w:rPr>
          <w:szCs w:val="24"/>
          <w:lang w:eastAsia="en-US"/>
        </w:rPr>
        <w:t xml:space="preserve"> με χρήση του </w:t>
      </w:r>
      <w:r w:rsidRPr="001F0F0A">
        <w:rPr>
          <w:szCs w:val="24"/>
          <w:lang w:val="en-GB" w:eastAsia="en-US"/>
        </w:rPr>
        <w:t>SafeSeaNet</w:t>
      </w:r>
      <w:r w:rsidRPr="001F0F0A">
        <w:rPr>
          <w:szCs w:val="24"/>
          <w:lang w:eastAsia="en-US"/>
        </w:rPr>
        <w:t>.</w:t>
      </w:r>
      <w:r w:rsidR="00CF11F6">
        <w:rPr>
          <w:b/>
          <w:szCs w:val="24"/>
          <w:lang w:eastAsia="en-US"/>
        </w:rPr>
        <w:t xml:space="preserve"> [Τροπολογία 44]</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3.</w:t>
      </w:r>
      <w:r w:rsidRPr="001F0F0A">
        <w:rPr>
          <w:szCs w:val="24"/>
          <w:lang w:eastAsia="en-US"/>
        </w:rPr>
        <w:tab/>
        <w:t xml:space="preserve">Ο Οργανισμός παρέχει τεχνική </w:t>
      </w:r>
      <w:r w:rsidRPr="001F0F0A">
        <w:rPr>
          <w:b/>
          <w:i/>
          <w:szCs w:val="24"/>
          <w:lang w:eastAsia="en-US"/>
        </w:rPr>
        <w:t xml:space="preserve">και επιχειρησιακή </w:t>
      </w:r>
      <w:r w:rsidRPr="001F0F0A">
        <w:rPr>
          <w:szCs w:val="24"/>
          <w:lang w:eastAsia="en-US"/>
        </w:rPr>
        <w:t>συνδρομή</w:t>
      </w:r>
      <w:r w:rsidRPr="001F0F0A">
        <w:rPr>
          <w:b/>
          <w:i/>
          <w:szCs w:val="24"/>
          <w:lang w:eastAsia="en-US"/>
        </w:rPr>
        <w:t>, καθώς και τακτική κατάρτιση και προγράμματα πιστοποίησης</w:t>
      </w:r>
      <w:r w:rsidRPr="001F0F0A">
        <w:rPr>
          <w:szCs w:val="24"/>
          <w:lang w:eastAsia="en-US"/>
        </w:rPr>
        <w:t xml:space="preserve"> στα κράτη μέλη, κατόπιν αιτήματός τους και με την επιφύλαξη των δικαιωμάτων και των υποχρεώσεών τους ως κρατών σημαίας, όσον αφορά την ψηφιοποίηση των μητρώων τους και των διαδικασιών προς διευκόλυνση της υιοθέτησης ηλεκτρονικών πιστοποιητικών</w:t>
      </w:r>
      <w:r w:rsidRPr="001F0F0A">
        <w:rPr>
          <w:b/>
          <w:i/>
          <w:szCs w:val="24"/>
          <w:lang w:eastAsia="en-US"/>
        </w:rPr>
        <w:t>, καθώς και την ψηφιοποίηση άλλων τυχών διαδικασιών που μπορεί να έχουν θετικό αντίκτυπο στη μείωση του διοικητικού φόρτου των αρχών κράτους σημαίας ή λιμένα ή του παράκτιου κράτους</w:t>
      </w:r>
      <w:r w:rsidRPr="001F0F0A">
        <w:rPr>
          <w:szCs w:val="24"/>
          <w:lang w:eastAsia="en-US"/>
        </w:rPr>
        <w:t>.</w:t>
      </w:r>
      <w:r w:rsidR="00CF11F6">
        <w:rPr>
          <w:b/>
          <w:szCs w:val="24"/>
          <w:lang w:eastAsia="en-US"/>
        </w:rPr>
        <w:t xml:space="preserve"> [Τροπολογία 45]</w:t>
      </w:r>
    </w:p>
    <w:p w:rsidR="001F0F0A" w:rsidRPr="001F0F0A" w:rsidRDefault="001F0F0A" w:rsidP="001F0F0A">
      <w:pPr>
        <w:spacing w:before="120" w:after="120" w:line="360" w:lineRule="auto"/>
        <w:jc w:val="center"/>
        <w:rPr>
          <w:szCs w:val="24"/>
          <w:lang w:eastAsia="en-US"/>
        </w:rPr>
      </w:pPr>
      <w:r w:rsidRPr="001F0F0A">
        <w:rPr>
          <w:szCs w:val="24"/>
          <w:lang w:eastAsia="en-US"/>
        </w:rPr>
        <w:t>Άρθρο 10</w:t>
      </w:r>
      <w:r w:rsidRPr="001F0F0A">
        <w:rPr>
          <w:szCs w:val="24"/>
          <w:lang w:eastAsia="en-US"/>
        </w:rPr>
        <w:br/>
        <w:t>Επισκέψεις σ</w:t>
      </w:r>
      <w:r w:rsidR="00657388">
        <w:rPr>
          <w:szCs w:val="24"/>
          <w:lang w:eastAsia="en-US"/>
        </w:rPr>
        <w:t>τα κράτη μέλη και επιθεωρήσεις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Για να επικουρεί την Επιτροπή στην εκπλήρωση των καθηκόντων της με βάση τη ΣΛΕΕ, και ιδίως στην αξιολόγηση της αποτελεσματικής εφαρμογής του σχετικού δικαίου της Ένωσης, ο Οργανισμός διενεργεί επισκέψεις στα κράτη μέλη σύμφωνα με τη μεθοδολογία που έχει καθορίσει το διοικητικό συμβούλιο. Η μεθοδολογία αυτή λαμβάνει υπόψη μια ολοκληρωμένη προσέγγιση, με κάθε επίσκεψη να αποσκοπεί στην επαλήθευση της συμμόρφωσης με πλέον της μίας νομοθετικές πράξεις κάθε φορά, οι οποίες σχετίζονται με τη λειτουργία του εξεταζόμενου κράτους μέλους ως κράτος σημαίας, ως κράτος λιμένα ή ως παράκτιο κράτος κατά τη διάρκεια της επίσκεψης.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Ο Οργανισμός ενημερώνει το ενδιαφερόμενο κράτος μέλος εγκαίρως σχετικά με τη σχεδιαζόμενη επίσκεψη, την ταυτότητα των εξουσιοδοτημένων μόνιμων υπαλλήλων, καθώς και την ημερομηνία έναρξης της επίσκεψης και την αναμενόμενη διάρκειά της. Οι εξουσιοδοτημένοι μόνιμοι υπάλληλοι του Οργανισμού πραγματοποιούν τις επισκέψεις αυτές αφού παρουσιάσουν έγγραφη απόφαση του εκτελεστικού διευθυντή του Οργανισμού, στην οποία προσδιορίζονται το αντικείμενο και οι στόχοι της αποστολής τους.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Ο Οργανισμός μπορεί να διενεργεί επιθεωρήσεις εξ ονόματος της Επιτροπής, όπως απαιτείται από τις δεσμευτικές νομικές πράξεις της Ένωσης που αφορούν οργανισμούς αναγνωρισμένους από την Ένωση σύμφωνα με τον κανονισμό (ΕΚ) αριθ. 391/2009, και όσον αφορά την εκπαίδευση και πιστοποίηση των ναυτικών σε τρίτες χώρες σύμφωνα με την οδηγία (ΕΕ) 2022/993.</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Ο Οργανισμός μπορεί επίσης να διενεργεί επιθεωρήσεις εξ ονόματος της Επιτροπής, όπως απαιτείται από οποιαδήποτε άλλη δεσμευτική νομική πράξη της Ένωσης, εάν η Επιτροπή αποφασίσει να αναθέσει ένα τέτοιο καθήκον στον Οργανισμό.</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Μετά το τέλος κάθε επίσκεψης ή επιθεώρησης, ο Οργανισμός συντάσσει έκθεση και τη διαβιβάζει στην Επιτροπή και στο οικείο κράτος μέλος. Η έκθεση ακολουθεί το υπόδειγμα που έχει καταρτίσει προηγουμένως η Επιτροπή.</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6.</w:t>
      </w:r>
      <w:r w:rsidRPr="001F0F0A">
        <w:rPr>
          <w:szCs w:val="24"/>
          <w:lang w:eastAsia="en-US"/>
        </w:rPr>
        <w:tab/>
        <w:t>Όποτε χρειάζεται, και εν πάση περιπτώσει όταν ολοκληρώνεται ένας κύκλος επισκέψεων ή επιθεωρήσεων, ο Οργανισμός αναλύει τις εκθέσεις που συντάχθηκαν κατά τη διάρκεια του κύκλου για να προσδιορισθούν οριζόντια πορίσματα και να συναχθούν γενικά συμπεράσματα σχετικά με την αποτελεσματικότητα και την οικονομική αποδοτικότητα των εφαρμοζόμενων μέτρων. Ο Οργανισμός υποβάλλει την εν λόγω ανάλυση στην Επιτροπή για περαιτέρω συζήτηση με τα κράτη μέλη, προκειμένου να συναχθούν τυχόν σχετικά διδάγματα και να διευκολυνθεί η διάδοση των ορθών εργασιακών πρακτικών</w:t>
      </w:r>
      <w:r w:rsidRPr="001F0F0A">
        <w:rPr>
          <w:b/>
          <w:i/>
          <w:szCs w:val="24"/>
          <w:lang w:eastAsia="en-US"/>
        </w:rPr>
        <w:t>, ιδίως όσον αφορά την εφαρμογή του ενωσιακού δικαίου</w:t>
      </w:r>
      <w:r w:rsidRPr="001F0F0A">
        <w:rPr>
          <w:szCs w:val="24"/>
          <w:lang w:eastAsia="en-US"/>
        </w:rPr>
        <w:t>.</w:t>
      </w:r>
      <w:r w:rsidR="00CF11F6">
        <w:rPr>
          <w:b/>
          <w:szCs w:val="24"/>
          <w:lang w:eastAsia="en-US"/>
        </w:rPr>
        <w:t xml:space="preserve"> [Τροπολογία 46]</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ΚΕΦΑΛΑΙΟ ΙΙΙ</w:t>
      </w:r>
      <w:r w:rsidRPr="001F0F0A">
        <w:rPr>
          <w:szCs w:val="24"/>
          <w:lang w:eastAsia="en-US"/>
        </w:rPr>
        <w:br/>
        <w:t xml:space="preserve">ΑΛΛΑ ΚΑΘΗΚΟΝΤΑ ΤΟΥ ΟΡΓΑΝΙΣΜΟΥ ΣΧΕΤΙΚΑ ΜΕ ΤΙΣ ΔΙΕΘΝΕΙΣ ΣΧΕΣΕΙΣ ΚΑΙ ΤΗ ΣΥΝΕΡΓΑΣΙΑ </w:t>
      </w:r>
      <w:r w:rsidRPr="001F0F0A">
        <w:rPr>
          <w:szCs w:val="24"/>
          <w:lang w:val="en-GB" w:eastAsia="en-US"/>
        </w:rPr>
        <w:t>ME</w:t>
      </w:r>
      <w:r w:rsidRPr="001F0F0A">
        <w:rPr>
          <w:szCs w:val="24"/>
          <w:lang w:eastAsia="en-US"/>
        </w:rPr>
        <w:t xml:space="preserve"> ΤΗ</w:t>
      </w:r>
      <w:r w:rsidRPr="001F0F0A">
        <w:rPr>
          <w:szCs w:val="24"/>
          <w:lang w:val="en-GB" w:eastAsia="en-US"/>
        </w:rPr>
        <w:t>N</w:t>
      </w:r>
      <w:r w:rsidRPr="001F0F0A">
        <w:rPr>
          <w:szCs w:val="24"/>
          <w:lang w:eastAsia="en-US"/>
        </w:rPr>
        <w:t xml:space="preserve"> ΕΥΡΩΠΑΪΚΗ ΑΚΤΟΦΥΛΑΚΗ</w:t>
      </w:r>
    </w:p>
    <w:p w:rsidR="001F0F0A" w:rsidRPr="001F0F0A" w:rsidRDefault="001F0F0A" w:rsidP="001F0F0A">
      <w:pPr>
        <w:spacing w:before="120" w:after="120" w:line="360" w:lineRule="auto"/>
        <w:jc w:val="center"/>
        <w:rPr>
          <w:szCs w:val="24"/>
          <w:lang w:eastAsia="en-US"/>
        </w:rPr>
      </w:pPr>
      <w:r w:rsidRPr="001F0F0A">
        <w:rPr>
          <w:szCs w:val="24"/>
          <w:lang w:eastAsia="en-US"/>
        </w:rPr>
        <w:t>Άρθρο 11</w:t>
      </w:r>
      <w:r w:rsidRPr="001F0F0A">
        <w:rPr>
          <w:szCs w:val="24"/>
          <w:lang w:eastAsia="en-US"/>
        </w:rPr>
        <w:br/>
        <w:t xml:space="preserve">Διεθνείς σχέσεις </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 xml:space="preserve">Ο Οργανισμός παρέχει την αναγκαία τεχνική συνδρομή στα κράτη μέλη και στην Επιτροπή, κατόπιν αιτήματός τους, ώστε να συμβάλλουν στις σχετικές εργασίες των τεχνικών φορέων του ΔΝΟ, </w:t>
      </w:r>
      <w:r w:rsidRPr="001F0F0A">
        <w:rPr>
          <w:b/>
          <w:i/>
          <w:szCs w:val="24"/>
          <w:lang w:eastAsia="en-US"/>
        </w:rPr>
        <w:t xml:space="preserve">όπου ο </w:t>
      </w:r>
      <w:r w:rsidRPr="001F0F0A">
        <w:rPr>
          <w:b/>
          <w:i/>
          <w:szCs w:val="24"/>
          <w:lang w:val="en-GB" w:eastAsia="en-US"/>
        </w:rPr>
        <w:t>EMSA</w:t>
      </w:r>
      <w:r w:rsidRPr="001F0F0A">
        <w:rPr>
          <w:b/>
          <w:i/>
          <w:szCs w:val="24"/>
          <w:lang w:eastAsia="en-US"/>
        </w:rPr>
        <w:t xml:space="preserve"> θα πρέπει, στο πλαίσιο της αντιπροσωπείας της Επιτροπή, να συμμετέχει και να παρίσταται στις συζητήσεις, </w:t>
      </w:r>
      <w:r w:rsidRPr="001F0F0A">
        <w:rPr>
          <w:szCs w:val="24"/>
          <w:lang w:eastAsia="en-US"/>
        </w:rPr>
        <w:t xml:space="preserve">της Διεθνούς Οργάνωσης Εργασίας όσον αφορά τη ναυτιλία, </w:t>
      </w:r>
      <w:r w:rsidRPr="001F0F0A">
        <w:rPr>
          <w:strike/>
          <w:szCs w:val="24"/>
          <w:lang w:eastAsia="en-US"/>
        </w:rPr>
        <w:t>του Μνημονίου</w:t>
      </w:r>
      <w:r w:rsidR="008B104A">
        <w:rPr>
          <w:strike/>
          <w:szCs w:val="24"/>
          <w:lang w:eastAsia="en-US"/>
        </w:rPr>
        <w:t xml:space="preserve"> </w:t>
      </w:r>
      <w:r w:rsidRPr="001F0F0A">
        <w:rPr>
          <w:b/>
          <w:i/>
          <w:szCs w:val="24"/>
          <w:lang w:eastAsia="en-US"/>
        </w:rPr>
        <w:t>των σχετικών Μνημονίων</w:t>
      </w:r>
      <w:r w:rsidRPr="001F0F0A">
        <w:rPr>
          <w:szCs w:val="24"/>
          <w:lang w:eastAsia="en-US"/>
        </w:rPr>
        <w:t xml:space="preserve"> Συνεννόησης</w:t>
      </w:r>
      <w:r w:rsidRPr="001F0F0A">
        <w:rPr>
          <w:strike/>
          <w:szCs w:val="24"/>
          <w:lang w:eastAsia="en-US"/>
        </w:rPr>
        <w:t xml:space="preserve"> των Παρισίων</w:t>
      </w:r>
      <w:r w:rsidRPr="001F0F0A">
        <w:rPr>
          <w:szCs w:val="24"/>
          <w:lang w:eastAsia="en-US"/>
        </w:rPr>
        <w:t xml:space="preserve"> για τον έλεγχο των πλοίων από το κράτος λιμένα</w:t>
      </w:r>
      <w:r w:rsidRPr="001F0F0A">
        <w:rPr>
          <w:strike/>
          <w:szCs w:val="24"/>
          <w:lang w:eastAsia="en-US"/>
        </w:rPr>
        <w:t xml:space="preserve"> (στο εξής: ΜΣ των Παρισίων)</w:t>
      </w:r>
      <w:r w:rsidRPr="001F0F0A">
        <w:rPr>
          <w:szCs w:val="24"/>
          <w:lang w:eastAsia="en-US"/>
        </w:rPr>
        <w:t xml:space="preserve"> και άλλων σχετικών περιφερειακών οργανισμών στους οποίους έχει προσχωρήσει η Ένωση, όσον αφορά θέματα αρμοδιότητας της Ένωσης.</w:t>
      </w:r>
      <w:r w:rsidR="00CF11F6">
        <w:rPr>
          <w:b/>
          <w:szCs w:val="24"/>
          <w:lang w:eastAsia="en-US"/>
        </w:rPr>
        <w:t xml:space="preserve"> [Τροπολογία 47]</w:t>
      </w:r>
    </w:p>
    <w:p w:rsidR="001F0F0A" w:rsidRPr="001F0F0A" w:rsidRDefault="001F0F0A" w:rsidP="001F0F0A">
      <w:pPr>
        <w:spacing w:before="120" w:after="120" w:line="360" w:lineRule="auto"/>
        <w:ind w:left="850"/>
        <w:rPr>
          <w:szCs w:val="24"/>
          <w:lang w:eastAsia="en-US"/>
        </w:rPr>
      </w:pPr>
      <w:r w:rsidRPr="001F0F0A">
        <w:rPr>
          <w:szCs w:val="24"/>
          <w:lang w:eastAsia="en-US"/>
        </w:rPr>
        <w:t>Για τους σκοπούς της αποδοτικής και αποτελεσματικής εκτέλεσης των καθηκόντων αυτών, ο εκτελεστικός διευθυντής μπορεί να αποφασίσει να τοποθετήσει προσωπικό σε αντιπροσωπείες της Ένωσης σε τρίτες χώρες, με την επιφύλαξη των κατάλληλων συμφωνιών με την Ευρωπαϊκή Υπηρεσία Εξωτερικής Δράσης. Η απόφαση αυτή προϋποθέτει την προηγούμενη συγκατάθεση της Επιτροπής και του διοικητικού συμβουλίου. Στην εν λόγω απόφαση προσδιορίζεται το πεδίο εφαρμογής των δραστηριοτήτων που πρόκειται να εκτελούνται από το εγκατεστημένο προσωπικό κατά τρόπον ώστε να αποφεύγεται το αδικαιολόγητο κόστος και η επικάλυψη διοικητικών καθηκόντων του Οργανισμού.</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2.</w:t>
      </w:r>
      <w:r w:rsidRPr="001F0F0A">
        <w:rPr>
          <w:szCs w:val="24"/>
          <w:lang w:eastAsia="en-US"/>
        </w:rPr>
        <w:tab/>
        <w:t xml:space="preserve">Ο Οργανισμός, κατόπιν </w:t>
      </w:r>
      <w:r w:rsidRPr="001F0F0A">
        <w:rPr>
          <w:strike/>
          <w:szCs w:val="24"/>
          <w:lang w:eastAsia="en-US"/>
        </w:rPr>
        <w:t>αιτήματος της Επιτροπής</w:t>
      </w:r>
      <w:r w:rsidR="008B104A">
        <w:rPr>
          <w:strike/>
          <w:szCs w:val="24"/>
          <w:lang w:eastAsia="en-US"/>
        </w:rPr>
        <w:t xml:space="preserve"> </w:t>
      </w:r>
      <w:r w:rsidRPr="001F0F0A">
        <w:rPr>
          <w:b/>
          <w:i/>
          <w:szCs w:val="24"/>
          <w:lang w:eastAsia="en-US"/>
        </w:rPr>
        <w:t>διαβούλευσης με την Επιτροπή</w:t>
      </w:r>
      <w:r w:rsidRPr="001F0F0A">
        <w:rPr>
          <w:szCs w:val="24"/>
          <w:lang w:eastAsia="en-US"/>
        </w:rPr>
        <w:t>, μπορεί να παρέχει τεχνική συνδρομή, συμπεριλαμβανομένης της διοργάνωσης σχετικών δραστηριοτήτων επιμόρφωσης όσον αφορά τις σχετικές νομικές πράξεις της Ένωσης, στα υποψήφια για προσχώρηση κράτη, και, κατά περίπτωση, σε όλες τις χώρες-εταίρους της Ευρωπαϊκής Γειτονίας και σε χώρες που συμμετέχουν στο ΜΣ των Παρισίων.</w:t>
      </w:r>
      <w:r w:rsidR="00CF11F6">
        <w:rPr>
          <w:b/>
          <w:szCs w:val="24"/>
          <w:lang w:eastAsia="en-US"/>
        </w:rPr>
        <w:t xml:space="preserve"> [Τροπολογία 48]</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3.</w:t>
      </w:r>
      <w:r w:rsidRPr="001F0F0A">
        <w:rPr>
          <w:szCs w:val="24"/>
          <w:lang w:eastAsia="en-US"/>
        </w:rPr>
        <w:tab/>
        <w:t xml:space="preserve">Ο Οργανισμός μπορεί, κατόπιν </w:t>
      </w:r>
      <w:r w:rsidRPr="001F0F0A">
        <w:rPr>
          <w:strike/>
          <w:szCs w:val="24"/>
          <w:lang w:eastAsia="en-US"/>
        </w:rPr>
        <w:t>αιτήματος της Επιτροπής ή της Ευρωπαϊκής Υπηρεσίας</w:t>
      </w:r>
      <w:r w:rsidR="008B104A">
        <w:rPr>
          <w:strike/>
          <w:szCs w:val="24"/>
          <w:lang w:eastAsia="en-US"/>
        </w:rPr>
        <w:t xml:space="preserve"> </w:t>
      </w:r>
      <w:r w:rsidRPr="001F0F0A">
        <w:rPr>
          <w:b/>
          <w:i/>
          <w:szCs w:val="24"/>
          <w:lang w:eastAsia="en-US"/>
        </w:rPr>
        <w:t>διαβούλευσης με την Επιτροπή ή την Ευρωπαϊκή Υπηρεσία</w:t>
      </w:r>
      <w:r w:rsidRPr="001F0F0A">
        <w:rPr>
          <w:szCs w:val="24"/>
          <w:lang w:eastAsia="en-US"/>
        </w:rPr>
        <w:t xml:space="preserve"> Εξωτερικής Δράσης ή και </w:t>
      </w:r>
      <w:r w:rsidRPr="001F0F0A">
        <w:rPr>
          <w:strike/>
          <w:szCs w:val="24"/>
          <w:lang w:eastAsia="en-US"/>
        </w:rPr>
        <w:t>των</w:t>
      </w:r>
      <w:r w:rsidR="008B104A">
        <w:rPr>
          <w:strike/>
          <w:szCs w:val="24"/>
          <w:lang w:eastAsia="en-US"/>
        </w:rPr>
        <w:t xml:space="preserve"> </w:t>
      </w:r>
      <w:r w:rsidRPr="001F0F0A">
        <w:rPr>
          <w:b/>
          <w:i/>
          <w:szCs w:val="24"/>
          <w:lang w:eastAsia="en-US"/>
        </w:rPr>
        <w:t>τις</w:t>
      </w:r>
      <w:r w:rsidRPr="001F0F0A">
        <w:rPr>
          <w:szCs w:val="24"/>
          <w:lang w:eastAsia="en-US"/>
        </w:rPr>
        <w:t xml:space="preserve"> δύο, να παρέχει συνδρομή σε περίπτωση ρύπανσης που προκαλείται από πλοία, καθώς και ρύπανσης της θάλασσας που προκαλείται από εγκαταστάσεις πετρελαίου και αερίου και επηρεάζει τρίτες χώρες που μοιράζονται περιφερειακή θαλάσσια λεκάνη με την Ένωση. Ο Οργανισμός παρέχει τη συνδρομή σύμφωνα με τον μηχανισμό πολιτικής προστασίας της Ένωσης που θεσπίστηκε με την απόφαση αριθ. 1313/2013/ΕΕ και με τους όρους που ισχύουν για τα κράτη μέλη, όπως αναφέρεται στο άρθρο 5 παράγραφος 1 του παρόντος κανονισμού, οι οποίοι εφαρμόζονται κατ’ αναλογία στις τρίτες χώρες. Τα καθήκοντα αυτά εκτελούνται σε συντονισμό με τις υφιστάμενες ρυθμίσεις περιφερειακής συνεργασίας που αφορούν τη ρύπανση της θάλασσας.</w:t>
      </w:r>
      <w:r w:rsidR="00CF11F6">
        <w:rPr>
          <w:b/>
          <w:szCs w:val="24"/>
          <w:lang w:eastAsia="en-US"/>
        </w:rPr>
        <w:t xml:space="preserve"> [Τροπολογία 49]</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4.</w:t>
      </w:r>
      <w:r w:rsidRPr="001F0F0A">
        <w:rPr>
          <w:szCs w:val="24"/>
          <w:lang w:eastAsia="en-US"/>
        </w:rPr>
        <w:tab/>
        <w:t xml:space="preserve">Με την επιφύλαξη του άρθρου 24, ο Οργανισμός μπορεί να παρέχει, κατόπιν </w:t>
      </w:r>
      <w:r w:rsidRPr="001F0F0A">
        <w:rPr>
          <w:strike/>
          <w:szCs w:val="24"/>
          <w:lang w:eastAsia="en-US"/>
        </w:rPr>
        <w:t>αιτήματος της Επιτροπής</w:t>
      </w:r>
      <w:r w:rsidR="008B104A">
        <w:rPr>
          <w:strike/>
          <w:szCs w:val="24"/>
          <w:lang w:eastAsia="en-US"/>
        </w:rPr>
        <w:t xml:space="preserve"> </w:t>
      </w:r>
      <w:r w:rsidRPr="001F0F0A">
        <w:rPr>
          <w:b/>
          <w:i/>
          <w:szCs w:val="24"/>
          <w:lang w:eastAsia="en-US"/>
        </w:rPr>
        <w:t>διαβούλευσης με την Επιτροπή</w:t>
      </w:r>
      <w:r w:rsidRPr="001F0F0A">
        <w:rPr>
          <w:szCs w:val="24"/>
          <w:lang w:eastAsia="en-US"/>
        </w:rPr>
        <w:t>, τεχνική συνδρομή σε τρίτες χώρες για θέματα που εμπίπτουν στην αρμοδιότητά του.</w:t>
      </w:r>
      <w:r w:rsidR="00CF11F6">
        <w:rPr>
          <w:b/>
          <w:szCs w:val="24"/>
          <w:lang w:eastAsia="en-US"/>
        </w:rPr>
        <w:t xml:space="preserve"> [Τροπολογία 50]</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5.</w:t>
      </w:r>
      <w:r w:rsidRPr="001F0F0A">
        <w:rPr>
          <w:szCs w:val="24"/>
          <w:lang w:eastAsia="en-US"/>
        </w:rPr>
        <w:tab/>
        <w:t>Ο Οργανισμός μπορεί να συνάπτει διοικητικούς διακανονισμούς και να συνεργάζεται με άλλους φορείς της Ένωσης που δραστηριοποιούνται σε θέματα που εμπίπτουν στο πεδίο αρμοδιοτήτων του Οργανισμού</w:t>
      </w:r>
      <w:r w:rsidRPr="001F0F0A">
        <w:rPr>
          <w:strike/>
          <w:szCs w:val="24"/>
          <w:lang w:eastAsia="en-US"/>
        </w:rPr>
        <w:t>, κατόπιν έγκρισης της Επιτροπής</w:t>
      </w:r>
      <w:r w:rsidRPr="001F0F0A">
        <w:rPr>
          <w:szCs w:val="24"/>
          <w:lang w:eastAsia="en-US"/>
        </w:rPr>
        <w:t>. Οι εν λόγω ρυθμίσεις και η συνεργασία υπόκεινται στη γνώμη της Επιτροπής και στην υποβολή περιοδικών εκθέσεων προς αυτήν.</w:t>
      </w:r>
      <w:r w:rsidR="00CF11F6">
        <w:rPr>
          <w:b/>
          <w:szCs w:val="24"/>
          <w:lang w:eastAsia="en-US"/>
        </w:rPr>
        <w:t xml:space="preserve"> [Τροπολογία 51]</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6.</w:t>
      </w:r>
      <w:r w:rsidRPr="001F0F0A">
        <w:rPr>
          <w:szCs w:val="24"/>
          <w:lang w:eastAsia="en-US"/>
        </w:rPr>
        <w:tab/>
        <w:t xml:space="preserve">Το διοικητικό συμβούλιο εκδίδει στρατηγική για τις διεθνείς σχέσεις του Οργανισμού όσον αφορά θέματα που εμπίπτουν στην αρμοδιότητά του. Η στρατηγική αυτή </w:t>
      </w:r>
      <w:r w:rsidRPr="001F0F0A">
        <w:rPr>
          <w:strike/>
          <w:szCs w:val="24"/>
          <w:lang w:eastAsia="en-US"/>
        </w:rPr>
        <w:t xml:space="preserve">ευθυγραμμίζεται με τις πολιτικές προτεραιότητες της Επιτροπής και </w:t>
      </w:r>
      <w:r w:rsidRPr="001F0F0A">
        <w:rPr>
          <w:szCs w:val="24"/>
          <w:lang w:eastAsia="en-US"/>
        </w:rPr>
        <w:t xml:space="preserve">αποσκοπεί στην παροχή συνδρομής στην Επιτροπή και στην Ευρωπαϊκή Υπηρεσία Εξωτερικής Δράσης για την εκπλήρωση </w:t>
      </w:r>
      <w:r w:rsidRPr="001F0F0A">
        <w:rPr>
          <w:strike/>
          <w:szCs w:val="24"/>
          <w:lang w:eastAsia="en-US"/>
        </w:rPr>
        <w:t xml:space="preserve">αυτών </w:t>
      </w:r>
      <w:r w:rsidRPr="001F0F0A">
        <w:rPr>
          <w:szCs w:val="24"/>
          <w:lang w:eastAsia="en-US"/>
        </w:rPr>
        <w:t>των προτεραιοτήτων</w:t>
      </w:r>
      <w:r w:rsidRPr="001F0F0A">
        <w:rPr>
          <w:b/>
          <w:i/>
          <w:szCs w:val="24"/>
          <w:lang w:eastAsia="en-US"/>
        </w:rPr>
        <w:t xml:space="preserve"> της Ένωσης</w:t>
      </w:r>
      <w:r w:rsidRPr="001F0F0A">
        <w:rPr>
          <w:szCs w:val="24"/>
          <w:lang w:eastAsia="en-US"/>
        </w:rPr>
        <w:t>. Περιλαμβάνεται στο έγγραφο προγραμματισμού του Οργανισμού με προσδιορισμό των σχετικών πόρων.</w:t>
      </w:r>
      <w:r w:rsidR="00CF11F6">
        <w:rPr>
          <w:b/>
          <w:szCs w:val="24"/>
          <w:lang w:eastAsia="en-US"/>
        </w:rPr>
        <w:t xml:space="preserve"> [Τροπολογία 52]</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12</w:t>
      </w:r>
      <w:r w:rsidRPr="001F0F0A">
        <w:rPr>
          <w:szCs w:val="24"/>
          <w:lang w:eastAsia="en-US"/>
        </w:rPr>
        <w:br/>
        <w:t>Ευρωπαϊκή συνεργασία σχετικά με τα καθήκοντα ακτοφυλακής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Οργανισμός, σε συνεργασία με τον Ευρωπαϊκό Οργανισμό Συνοριοφυλακής και Ακτοφυλακής, που θεσπίστηκε με τον κανονισμό (ΕΕ) 2019/1896, και την Ευρωπαϊκή Υπηρεσία Ελέγχου της Αλιείας, που θεσπίστηκε με τον κανονισμό (ΕΕ) 2019/473, στο πλαίσιο των αντίστοιχων εντολών τους, υποστηρίζει τις εθνικές αρχές που εκτελούν καθήκοντα ακτοφυλακής σε εθνικό και ενωσιακό επίπεδο και, κατά περίπτωση, σε διεθνές επίπεδο, με τους εξής τρόπους:</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ανταλλαγή, συγκερασμό και ανάλυση πληροφοριών διαθέσιμων στα συστήματα υποβολής αναφορών από τα πλοία και σε άλλα συστήματα πληροφοριών, τα οποία τηρούνται ή είναι προσβάσιμα από τους ανωτέρω οργανισμούς, σύμφωνα με τις αντίστοιχες νομικές βάσεις τους και με την επιφύλαξη της κυριότητας των δεδομένων από τα κράτη μέλη·</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παροχή υπηρεσιών επιτήρησης και επικοινωνίας, βασισμένων σε τεχνολογία αιχμής, συμπεριλαμβανομένων διαστημικών και επίγειων υποδομών και αισθητήρων συνδεδεμένων σε οποιοδήποτε είδος πλατφόρμας·</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ανάπτυξη ικανοτήτων μέσω της εφαρμογής κατευθυντήριων γραμμών και συστάσεων και του καθορισμού βέλτιστων πρακτικών, καθώς και μέσω της παροχής εκπαίδευσης και της ανταλλαγής προσωπικού·</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b/>
          <w:szCs w:val="24"/>
          <w:lang w:eastAsia="en-US"/>
        </w:rPr>
      </w:pPr>
      <w:r w:rsidRPr="001F0F0A">
        <w:rPr>
          <w:szCs w:val="24"/>
          <w:lang w:eastAsia="en-US"/>
        </w:rPr>
        <w:lastRenderedPageBreak/>
        <w:t>δ)</w:t>
      </w:r>
      <w:r w:rsidRPr="001F0F0A">
        <w:rPr>
          <w:szCs w:val="24"/>
          <w:lang w:eastAsia="en-US"/>
        </w:rPr>
        <w:tab/>
        <w:t>ενίσχυση της ανταλλαγής πληροφοριών και της συνεργασίας κατά την εκτέλεση καθηκόντων ακτοφυλακής, μεταξύ άλλων με την ανάλυση των επιχειρησιακών προκλήσεων και των αναδυόμενων κινδύνων στον ναυτιλιακό τομέα</w:t>
      </w:r>
      <w:r w:rsidRPr="001F0F0A">
        <w:rPr>
          <w:strike/>
          <w:szCs w:val="24"/>
          <w:lang w:eastAsia="en-US"/>
        </w:rPr>
        <w:t>·</w:t>
      </w:r>
      <w:r w:rsidRPr="001F0F0A">
        <w:rPr>
          <w:b/>
          <w:i/>
          <w:szCs w:val="24"/>
          <w:lang w:eastAsia="en-US"/>
        </w:rPr>
        <w:t>, και μεταξύ άλλων με τη χρήση ψηφιακών εργαλείων προσομοίωσης για να μελετηθούν οι επιπτώσεις των ατυχημάτων·</w:t>
      </w:r>
      <w:r w:rsidR="00CF11F6">
        <w:rPr>
          <w:b/>
          <w:szCs w:val="24"/>
          <w:lang w:eastAsia="en-US"/>
        </w:rPr>
        <w:t xml:space="preserve"> [Τροπολογία 53]</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ε)</w:t>
      </w:r>
      <w:r w:rsidRPr="001F0F0A">
        <w:rPr>
          <w:szCs w:val="24"/>
          <w:lang w:eastAsia="en-US"/>
        </w:rPr>
        <w:tab/>
        <w:t>ανταλλαγή ικανοτήτων μέσω του σχεδιασμού και της υλοποίησης επιχειρήσεων πολλαπλού σκοπού αλλά και της κοινής χρήσης πόρων και λοιπών δυνατοτήτων, στον βαθμό που αυτές οι δραστηριότητες συντονίζονται από τους εν λόγω οργανισμούς με τη συμφωνία των αρμόδιων αρχών των ενδιαφερόμενων κρατών μελών.</w:t>
      </w:r>
    </w:p>
    <w:p w:rsidR="001F0F0A" w:rsidRPr="001F0F0A" w:rsidRDefault="001F0F0A" w:rsidP="001F0F0A">
      <w:pPr>
        <w:spacing w:before="120" w:after="120" w:line="360" w:lineRule="auto"/>
        <w:ind w:left="1416" w:hanging="566"/>
        <w:rPr>
          <w:b/>
          <w:szCs w:val="24"/>
          <w:lang w:eastAsia="en-US"/>
        </w:rPr>
      </w:pPr>
      <w:r w:rsidRPr="001F0F0A">
        <w:rPr>
          <w:b/>
          <w:i/>
          <w:szCs w:val="24"/>
          <w:lang w:eastAsia="en-US"/>
        </w:rPr>
        <w:t>εα)</w:t>
      </w:r>
      <w:r w:rsidRPr="001F0F0A">
        <w:rPr>
          <w:szCs w:val="24"/>
          <w:lang w:eastAsia="en-US"/>
        </w:rPr>
        <w:tab/>
      </w:r>
      <w:r w:rsidRPr="001F0F0A">
        <w:rPr>
          <w:b/>
          <w:i/>
          <w:szCs w:val="24"/>
          <w:lang w:eastAsia="en-US"/>
        </w:rPr>
        <w:t>κοινή χρήση της σχετικής έρευνας και των σχετικών εξελίξεων και τεχνολογιών, συμπεριλαμβανομένης της τεχνητής νοημοσύνης, με συνεργατικό και ευέλικτο τρόπο, για την εξεύρεση λύσεων στις προκλήσεις που αντιμετωπίζονται στους διάφορους τομείς·</w:t>
      </w:r>
      <w:r w:rsidR="00CF11F6">
        <w:rPr>
          <w:b/>
          <w:szCs w:val="24"/>
          <w:lang w:eastAsia="en-US"/>
        </w:rPr>
        <w:t xml:space="preserve"> [Τροπολογία 54]</w:t>
      </w:r>
    </w:p>
    <w:p w:rsidR="001F0F0A" w:rsidRPr="001F0F0A" w:rsidRDefault="001F0F0A" w:rsidP="001F0F0A">
      <w:pPr>
        <w:spacing w:before="120" w:after="120" w:line="360" w:lineRule="auto"/>
        <w:ind w:left="1416" w:hanging="566"/>
        <w:rPr>
          <w:b/>
          <w:szCs w:val="24"/>
          <w:lang w:eastAsia="en-US"/>
        </w:rPr>
      </w:pPr>
      <w:proofErr w:type="spellStart"/>
      <w:r w:rsidRPr="001F0F0A">
        <w:rPr>
          <w:b/>
          <w:i/>
          <w:szCs w:val="24"/>
          <w:lang w:eastAsia="en-US"/>
        </w:rPr>
        <w:t>εβ</w:t>
      </w:r>
      <w:proofErr w:type="spellEnd"/>
      <w:r w:rsidRPr="001F0F0A">
        <w:rPr>
          <w:b/>
          <w:i/>
          <w:szCs w:val="24"/>
          <w:lang w:eastAsia="en-US"/>
        </w:rPr>
        <w:t>)</w:t>
      </w:r>
      <w:r w:rsidRPr="001F0F0A">
        <w:rPr>
          <w:szCs w:val="24"/>
          <w:lang w:eastAsia="en-US"/>
        </w:rPr>
        <w:tab/>
      </w:r>
      <w:r w:rsidRPr="001F0F0A">
        <w:rPr>
          <w:b/>
          <w:i/>
          <w:szCs w:val="24"/>
          <w:lang w:eastAsia="en-US"/>
        </w:rPr>
        <w:t>αύξηση της συνεργασίας για τη συλλογή δεδομένων για σκοπούς θαλάσσιας επιστημονικής έρευνας για θαλάσσια οικοσυστήματα, φυσική ωκεανογραφία, θαλάσσια χημεία, θαλάσσια βιολογία, αλιεία, επιστημονική γεώτρηση ωκεανού και πυρηνοληψία, γεωλογική και γεωφυσική έρευνα και άλλες δραστηριότητες·</w:t>
      </w:r>
      <w:r w:rsidR="00CF11F6">
        <w:rPr>
          <w:b/>
          <w:szCs w:val="24"/>
          <w:lang w:eastAsia="en-US"/>
        </w:rPr>
        <w:t xml:space="preserve"> [Τροπολογία 55]</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1416" w:hanging="566"/>
        <w:rPr>
          <w:b/>
          <w:szCs w:val="24"/>
          <w:lang w:eastAsia="en-US"/>
        </w:rPr>
      </w:pPr>
      <w:proofErr w:type="spellStart"/>
      <w:r w:rsidRPr="001F0F0A">
        <w:rPr>
          <w:b/>
          <w:i/>
          <w:szCs w:val="24"/>
          <w:lang w:eastAsia="en-US"/>
        </w:rPr>
        <w:lastRenderedPageBreak/>
        <w:t>εγ</w:t>
      </w:r>
      <w:proofErr w:type="spellEnd"/>
      <w:r w:rsidRPr="001F0F0A">
        <w:rPr>
          <w:b/>
          <w:i/>
          <w:szCs w:val="24"/>
          <w:lang w:eastAsia="en-US"/>
        </w:rPr>
        <w:t>)</w:t>
      </w:r>
      <w:r w:rsidRPr="001F0F0A">
        <w:rPr>
          <w:szCs w:val="24"/>
          <w:lang w:eastAsia="en-US"/>
        </w:rPr>
        <w:tab/>
      </w:r>
      <w:r w:rsidRPr="001F0F0A">
        <w:rPr>
          <w:b/>
          <w:i/>
          <w:szCs w:val="24"/>
          <w:lang w:eastAsia="en-US"/>
        </w:rPr>
        <w:t>υλοποίηση έργων συνεργασίας με τρίτες χώρες για τη βελτίωση της ασφάλειας στη θάλασσα, την πρόληψη της ρύπανσης από πλοία, την ασφάλεια στη θάλασσα και τη διατήρηση του θαλάσσιου περιβάλλοντος·</w:t>
      </w:r>
      <w:r w:rsidR="00CF11F6">
        <w:rPr>
          <w:b/>
          <w:szCs w:val="24"/>
          <w:lang w:eastAsia="en-US"/>
        </w:rPr>
        <w:t xml:space="preserve"> [Τροπολογία 56]</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Με την επιφύλαξη των αρμοδιοτήτων του διοικητικού συμβουλίου του Οργανισμού που περιγράφονται στο άρθρο 15, οι ακριβείς τρόποι συνεργασίας, όσον αφορά τα καθήκοντα ακτοφυλακής, μεταξύ του Οργανισμού, του Ευρωπαϊκού Οργανισμού Συνοριοφυλακής και Ακτοφυλακής και της Ευρωπαϊκής Υπηρεσίας Ελέγχου της Αλιείας καθορίζονται σε συμφωνία συνεργασίας, σύμφωνα με τις αντίστοιχες εντολές τους και τους δημοσιονομικούς κανονισμούς που ισχύουν για τους εν λόγω οργανισμούς. Η ρύθμιση αυτή εγκρίνεται από το διοικητικό συμβούλιο του Οργανισμού, το διοικητικό συμβούλιο της Ευρωπαϊκής Υπηρεσίας Ελέγχου της Αλιείας και το διοικητικό συμβούλιο του Ευρωπαϊκού Οργανισμού Συνοριοφυλακής και Ακτοφυλακής.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Η Επιτροπή, σε στενή συνεργασία με τα κράτη μέλη, τον Οργανισμό, τον Ευρωπαϊκό Οργανισμό Συνοριοφυλακής και Ακτοφυλακής και την Ευρωπαϊκή Υπηρεσία Ελέγχου της Αλιείας, καθιστά διαθέσιμο πρακτικό εγχειρίδιο σχετικά με την ευρωπαϊκή συνεργασία στα καθήκοντα ακτοφυλακής. Το εν λόγω εγχειρίδιο περιέχει κατευθυντήριες γραμμές, συστάσεις και βέλτιστες πρακτικές για την ανταλλαγή πληροφοριών. Η Επιτροπή εκδίδει το εγχειρίδιο υπό τη μορφή σύστασης.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4.</w:t>
      </w:r>
      <w:r w:rsidRPr="001F0F0A">
        <w:rPr>
          <w:szCs w:val="24"/>
          <w:lang w:eastAsia="en-US"/>
        </w:rPr>
        <w:tab/>
        <w:t>Τα καθήκοντα που περιγράφονται στο παρόν άρθρο δεν λειτουργούν εις βάρος των καθηκόντων του Οργανισμού που αναφέρονται στα άρθρα 4 έως 12 και δεν παραβιάζουν τα δικαιώματα και τις υποχρεώσεις των κρατών μελών, ειδικότερα όσον αφορά την ιδιότητα του κράτους σημαίας, του κράτους λιμένα ή του παράκτιου κράτους.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13</w:t>
      </w:r>
      <w:r w:rsidRPr="001F0F0A">
        <w:rPr>
          <w:szCs w:val="24"/>
          <w:lang w:eastAsia="en-US"/>
        </w:rPr>
        <w:br/>
        <w:t xml:space="preserve">Επικοινωνία και διάδοση </w:t>
      </w:r>
    </w:p>
    <w:p w:rsidR="001F0F0A" w:rsidRPr="001F0F0A" w:rsidRDefault="001F0F0A" w:rsidP="001F0F0A">
      <w:pPr>
        <w:spacing w:before="120" w:after="120" w:line="360" w:lineRule="auto"/>
        <w:rPr>
          <w:szCs w:val="24"/>
          <w:lang w:eastAsia="en-US"/>
        </w:rPr>
      </w:pPr>
      <w:r w:rsidRPr="001F0F0A">
        <w:rPr>
          <w:szCs w:val="24"/>
          <w:lang w:eastAsia="en-US"/>
        </w:rPr>
        <w:t>Ο Οργανισμός μπορεί να αναλαμβάνει δραστηριότητες επικοινωνίας με δική του πρωτοβουλία στο πλαίσιο της εντολής του. Οι δραστηριότητες επικοινωνίας δεν αποβαίνουν εις βάρος των υπόλοιπων καθηκόντων που αναφέρονται στα άρθρα 4 έως 13 και εκτελούνται σύμφωνα με τα συναφή σχέδια επικοινωνίας και διάδοσης που εγκρίνονται από το διοικητικό συμβούλιο. Το διοικητικό συμβούλιο επικαιροποιεί τακτικά τα εν λόγω σχέδια βασιζόμενο σε ανάλυση των αναγκών.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ΚΕΦΑΛΑΙΟ Ι</w:t>
      </w:r>
      <w:r w:rsidRPr="001F0F0A">
        <w:rPr>
          <w:szCs w:val="24"/>
          <w:lang w:val="en-GB" w:eastAsia="en-US"/>
        </w:rPr>
        <w:t>V</w:t>
      </w:r>
      <w:r w:rsidRPr="001F0F0A">
        <w:rPr>
          <w:szCs w:val="24"/>
          <w:lang w:eastAsia="en-US"/>
        </w:rPr>
        <w:br/>
        <w:t xml:space="preserve">ΟΡΓΑΝΩΣΗ ΤΟΥ ΟΡΓΑΝΙΣΜΟΥ </w:t>
      </w:r>
    </w:p>
    <w:p w:rsidR="001F0F0A" w:rsidRPr="001F0F0A" w:rsidRDefault="001F0F0A" w:rsidP="001F0F0A">
      <w:pPr>
        <w:spacing w:before="120" w:after="120" w:line="360" w:lineRule="auto"/>
        <w:jc w:val="center"/>
        <w:rPr>
          <w:szCs w:val="24"/>
          <w:lang w:eastAsia="en-US"/>
        </w:rPr>
      </w:pPr>
      <w:r w:rsidRPr="001F0F0A">
        <w:rPr>
          <w:szCs w:val="24"/>
          <w:lang w:eastAsia="en-US"/>
        </w:rPr>
        <w:t>Άρθρο 14</w:t>
      </w:r>
      <w:r w:rsidRPr="001F0F0A">
        <w:rPr>
          <w:szCs w:val="24"/>
          <w:lang w:eastAsia="en-US"/>
        </w:rPr>
        <w:br/>
        <w:t xml:space="preserve">Διοικητική και διαχειριστική δομή </w:t>
      </w:r>
    </w:p>
    <w:p w:rsidR="001F0F0A" w:rsidRPr="001F0F0A" w:rsidRDefault="001F0F0A" w:rsidP="001F0F0A">
      <w:pPr>
        <w:spacing w:before="120" w:after="120" w:line="360" w:lineRule="auto"/>
        <w:rPr>
          <w:szCs w:val="24"/>
          <w:lang w:eastAsia="en-US"/>
        </w:rPr>
      </w:pPr>
      <w:r w:rsidRPr="001F0F0A">
        <w:rPr>
          <w:szCs w:val="24"/>
          <w:lang w:eastAsia="en-US"/>
        </w:rPr>
        <w:t>Η διοικητική και διαχειριστική δομή του Οργανισμού περιλαμβάνει:</w:t>
      </w:r>
    </w:p>
    <w:p w:rsidR="001F0F0A" w:rsidRPr="001F0F0A" w:rsidRDefault="001F0F0A" w:rsidP="001F0F0A">
      <w:pPr>
        <w:spacing w:before="120" w:after="120" w:line="360" w:lineRule="auto"/>
        <w:ind w:left="850" w:hanging="850"/>
        <w:rPr>
          <w:szCs w:val="24"/>
          <w:lang w:eastAsia="en-US"/>
        </w:rPr>
      </w:pPr>
      <w:r w:rsidRPr="001F0F0A">
        <w:rPr>
          <w:szCs w:val="24"/>
          <w:lang w:eastAsia="en-US"/>
        </w:rPr>
        <w:t>α)</w:t>
      </w:r>
      <w:r w:rsidRPr="001F0F0A">
        <w:rPr>
          <w:szCs w:val="24"/>
          <w:lang w:eastAsia="en-US"/>
        </w:rPr>
        <w:tab/>
        <w:t>διοικητικό συμβούλιο, το οποίο ασκεί τα καθήκοντα που καθορίζονται στο άρθρο 16·</w:t>
      </w:r>
    </w:p>
    <w:p w:rsidR="001F0F0A" w:rsidRPr="001F0F0A" w:rsidRDefault="001F0F0A" w:rsidP="001F0F0A">
      <w:pPr>
        <w:spacing w:before="120" w:after="120" w:line="360" w:lineRule="auto"/>
        <w:ind w:left="850" w:hanging="850"/>
        <w:rPr>
          <w:szCs w:val="24"/>
          <w:lang w:eastAsia="en-US"/>
        </w:rPr>
      </w:pPr>
      <w:r w:rsidRPr="001F0F0A">
        <w:rPr>
          <w:szCs w:val="24"/>
          <w:lang w:eastAsia="en-US"/>
        </w:rPr>
        <w:t>β)</w:t>
      </w:r>
      <w:r w:rsidRPr="001F0F0A">
        <w:rPr>
          <w:szCs w:val="24"/>
          <w:lang w:eastAsia="en-US"/>
        </w:rPr>
        <w:tab/>
        <w:t>εκτελεστικό συμβούλιο, το οποίο ασκεί τα καθήκοντα που καθορίζονται στο άρθρο 21·</w:t>
      </w:r>
    </w:p>
    <w:p w:rsidR="001F0F0A" w:rsidRPr="001F0F0A" w:rsidRDefault="001F0F0A" w:rsidP="001F0F0A">
      <w:pPr>
        <w:spacing w:before="120" w:after="120" w:line="360" w:lineRule="auto"/>
        <w:ind w:left="850" w:hanging="850"/>
        <w:rPr>
          <w:szCs w:val="24"/>
          <w:lang w:eastAsia="en-US"/>
        </w:rPr>
      </w:pPr>
      <w:r w:rsidRPr="001F0F0A">
        <w:rPr>
          <w:szCs w:val="24"/>
          <w:lang w:eastAsia="en-US"/>
        </w:rPr>
        <w:t>γ)</w:t>
      </w:r>
      <w:r w:rsidRPr="001F0F0A">
        <w:rPr>
          <w:szCs w:val="24"/>
          <w:lang w:eastAsia="en-US"/>
        </w:rPr>
        <w:tab/>
        <w:t>εκτελεστικό διευθυντή, ο οποίος ασκεί τα καθήκοντα που καθορίζονται στο άρθρο 23.</w:t>
      </w:r>
    </w:p>
    <w:p w:rsidR="001F0F0A" w:rsidRPr="001F0F0A" w:rsidRDefault="001F0F0A" w:rsidP="001F0F0A">
      <w:pPr>
        <w:spacing w:before="120" w:after="120" w:line="360" w:lineRule="auto"/>
        <w:jc w:val="center"/>
        <w:rPr>
          <w:szCs w:val="24"/>
          <w:lang w:eastAsia="en-US"/>
        </w:rPr>
      </w:pPr>
      <w:r w:rsidRPr="001F0F0A">
        <w:rPr>
          <w:szCs w:val="24"/>
          <w:lang w:eastAsia="en-US"/>
        </w:rPr>
        <w:t>Άρθρο 15</w:t>
      </w:r>
      <w:r w:rsidRPr="001F0F0A">
        <w:rPr>
          <w:szCs w:val="24"/>
          <w:lang w:eastAsia="en-US"/>
        </w:rPr>
        <w:br/>
        <w:t>Σύνθεση του διοικητικού συμβουλίου</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Το διοικητικό συμβούλιο απαρτίζεται από έναν αντιπρόσωπο κάθε κράτους μέλους και από τέσσερις αντιπροσώπους της Επιτροπής. Όλα τα μέλη του διοικητικού συμβουλίου έχουν δικαίωμα ψήφου.</w:t>
      </w:r>
      <w:r w:rsidR="00CF11F6">
        <w:rPr>
          <w:b/>
          <w:szCs w:val="24"/>
          <w:lang w:eastAsia="en-US"/>
        </w:rPr>
        <w:t xml:space="preserve"> [Τροπολογία 57 - δεν αφορά το ελληνικό κείμενο]</w:t>
      </w:r>
    </w:p>
    <w:p w:rsidR="001F0F0A" w:rsidRPr="001F0F0A" w:rsidRDefault="001F0F0A" w:rsidP="001F0F0A">
      <w:pPr>
        <w:spacing w:before="120" w:after="120" w:line="360" w:lineRule="auto"/>
        <w:ind w:left="850"/>
        <w:rPr>
          <w:szCs w:val="24"/>
          <w:lang w:eastAsia="en-US"/>
        </w:rPr>
      </w:pPr>
      <w:r w:rsidRPr="001F0F0A">
        <w:rPr>
          <w:szCs w:val="24"/>
          <w:lang w:eastAsia="en-US"/>
        </w:rPr>
        <w:t>Το διοικητικό συμβούλιο περιλαμβάνει επίσης τέσσερις επαγγελματίες από τους πλέον ενδιαφερόμενους τομείς, όπως αναφέρεται στο άρθρο 2, οι οποίοι διορίζονται από την Επιτροπή, χωρίς δικαίωμα ψήφου.</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850"/>
        <w:rPr>
          <w:b/>
          <w:szCs w:val="24"/>
          <w:lang w:eastAsia="en-US"/>
        </w:rPr>
      </w:pPr>
      <w:r w:rsidRPr="001F0F0A">
        <w:rPr>
          <w:b/>
          <w:i/>
          <w:szCs w:val="24"/>
          <w:lang w:eastAsia="en-US"/>
        </w:rPr>
        <w:lastRenderedPageBreak/>
        <w:t>Το διοικητικό συμβούλιο περιλαμβάνει επίσης δύο εκπροσώπους του Ευρωπαϊκού Κοινοβουλίου, με ρόλο παρατηρητή, χωρίς δικαίωμα ψήφου.</w:t>
      </w:r>
      <w:r w:rsidR="00CF11F6">
        <w:rPr>
          <w:b/>
          <w:szCs w:val="24"/>
          <w:lang w:eastAsia="en-US"/>
        </w:rPr>
        <w:t xml:space="preserve"> [Τροπολογία 58]</w:t>
      </w:r>
    </w:p>
    <w:p w:rsidR="001F0F0A" w:rsidRPr="001F0F0A" w:rsidRDefault="001F0F0A" w:rsidP="001F0F0A">
      <w:pPr>
        <w:spacing w:before="120" w:after="120" w:line="360" w:lineRule="auto"/>
        <w:ind w:left="850"/>
        <w:rPr>
          <w:szCs w:val="24"/>
          <w:lang w:eastAsia="en-US"/>
        </w:rPr>
      </w:pPr>
      <w:r w:rsidRPr="001F0F0A">
        <w:rPr>
          <w:szCs w:val="24"/>
          <w:lang w:eastAsia="en-US"/>
        </w:rPr>
        <w:t>Τα μέλη του διοικητικού συμβουλίου διορίζονται με βάση την πείρα και την εμπειρογνωσία τους στους τομείς που μνημονεύονται στο άρθρο 2. Τα κράτη μέλη και η Επιτροπή επιδιώκουν να υπάρχει ισόρροπη αντιπροσώπευση ανδρών και γυναικών στο διοικητικό συμβούλιο. Ένας από τους τέσσερις επαγγελματίες είναι εκπρόσωπος του πλαισίου μόνιμης συνεργασίας των φορέων διερεύνησης ατυχημάτων σύμφωνα με το άρθρο 10 της οδηγίας 2009/18/ΕΚ.</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2.</w:t>
      </w:r>
      <w:r w:rsidRPr="001F0F0A">
        <w:rPr>
          <w:szCs w:val="24"/>
          <w:lang w:eastAsia="en-US"/>
        </w:rPr>
        <w:tab/>
        <w:t>Κάθε κράτος μέλος</w:t>
      </w:r>
      <w:r w:rsidRPr="001F0F0A">
        <w:rPr>
          <w:b/>
          <w:i/>
          <w:szCs w:val="24"/>
          <w:lang w:eastAsia="en-US"/>
        </w:rPr>
        <w:t>, το Ευρωπαϊκό Κοινοβούλιο</w:t>
      </w:r>
      <w:r w:rsidRPr="001F0F0A">
        <w:rPr>
          <w:szCs w:val="24"/>
          <w:lang w:eastAsia="en-US"/>
        </w:rPr>
        <w:t xml:space="preserve"> και η Επιτροπή διορίζουν τα αντίστοιχα μέλη του διοικητικού συμβουλίου καθώς και τους αναπληρωτές που θα εκπροσωπούν τα τακτικά μέλη κατά την απουσία τους.</w:t>
      </w:r>
      <w:r w:rsidR="00CF11F6">
        <w:rPr>
          <w:b/>
          <w:szCs w:val="24"/>
          <w:lang w:eastAsia="en-US"/>
        </w:rPr>
        <w:t xml:space="preserve"> [Τροπολογία 59]</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Η διάρκεια της θητείας τους είναι τετραετής. Η θητεία είναι ανανεώσιμη.</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4.</w:t>
      </w:r>
      <w:r w:rsidRPr="001F0F0A">
        <w:rPr>
          <w:szCs w:val="24"/>
          <w:lang w:eastAsia="en-US"/>
        </w:rPr>
        <w:tab/>
        <w:t>Κατά τη στιγμή της ανάληψης καθηκόντων κάθε τακτικό και αναπληρωματικό μέλος υπογράφει γραπτή δήλωση ότι δεν τελεί σε κατάσταση σύγκρουσης συμφερόντων. Κάθε τακτικό και αναπληρωματικό μέλος επικαιροποιεί τη δήλωσή του όταν μεταβάλλονται οι περιστάσεις όσον αφορά τις συγκρούσεις συμφερόντων. Ο Οργανισμός δημοσιοποιεί στον ιστότοπό του τις δηλώσεις και τις σχετικές επικαιροποιήσεις.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16</w:t>
      </w:r>
      <w:r w:rsidRPr="001F0F0A">
        <w:rPr>
          <w:szCs w:val="24"/>
          <w:lang w:eastAsia="en-US"/>
        </w:rPr>
        <w:br/>
        <w:t>Καθήκοντα του διοικητικού συμβουλίου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Για να εξασφαλίζεται η εκτέλεση των καθηκόντων του Οργανισμού, το διοικητικό συμβούλιο:</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παρέχει τις γενικές και στρατηγικές κατευθύνσεις για τις δραστηριότητες του Οργανισμού·</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εγκρίνει σε ετήσια βάση, με πλειοψηφία δύο τρίτων των μελών του που έχουν δικαίωμα ψήφου, αφού λάβει τη γνώμη της Επιτροπής και σύμφωνα με το άρθρο 17, το ενιαίο έγγραφο προγραμματισμού του Οργανισμού·</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 xml:space="preserve">εγκρίνει, με πλειοψηφία δύο τρίτων των μελών του που έχουν δικαίωμα ψήφου, τον ετήσιο προϋπολογισμό και τον πίνακα προσωπικού του Οργανισμού και ασκεί άλλα καθήκοντα σε σχέση με τον προϋπολογισμό του Οργανισμού, σύμφωνα με το κεφάλαιο </w:t>
      </w:r>
      <w:r w:rsidRPr="001F0F0A">
        <w:rPr>
          <w:szCs w:val="24"/>
          <w:lang w:val="en-GB" w:eastAsia="en-US"/>
        </w:rPr>
        <w:t>V</w:t>
      </w:r>
      <w:r w:rsidRPr="001F0F0A">
        <w:rPr>
          <w:szCs w:val="24"/>
          <w:lang w:eastAsia="en-US"/>
        </w:rPr>
        <w:t>Ι·</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δ)</w:t>
      </w:r>
      <w:r w:rsidRPr="001F0F0A">
        <w:rPr>
          <w:szCs w:val="24"/>
          <w:lang w:eastAsia="en-US"/>
        </w:rPr>
        <w:tab/>
        <w:t>εγκρίνει, με πλειοψηφία δύο τρίτων των μελών του που έχουν δικαίωμα ψήφου, την ενοποιημένη ετήσια έκθεση για τις δραστηριότητες του Οργανισμού και τη διαβιβάζει το αργότερο έως την 1η Ιουλίου κάθε έτους στο Ευρωπαϊκό Κοινοβούλιο, στο Συμβούλιο, στην Επιτροπή, στο Ελεγκτικό Συνέδριο και στα κράτη μέλη. Η έκθεση δημοσιοποιείται·</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ε)</w:t>
      </w:r>
      <w:r w:rsidRPr="001F0F0A">
        <w:rPr>
          <w:szCs w:val="24"/>
          <w:lang w:eastAsia="en-US"/>
        </w:rPr>
        <w:tab/>
        <w:t>εκδίδει τους δημοσιονομικούς κανόνες που εφαρμόζονται στον Οργανισμό κατά το άρθρο 25·</w:t>
      </w:r>
    </w:p>
    <w:p w:rsidR="001F0F0A" w:rsidRPr="001F0F0A" w:rsidRDefault="001F0F0A" w:rsidP="001F0F0A">
      <w:pPr>
        <w:spacing w:before="120" w:after="120" w:line="360" w:lineRule="auto"/>
        <w:ind w:left="1416" w:hanging="566"/>
        <w:rPr>
          <w:szCs w:val="24"/>
          <w:lang w:eastAsia="en-US"/>
        </w:rPr>
      </w:pPr>
      <w:r w:rsidRPr="001F0F0A">
        <w:rPr>
          <w:szCs w:val="24"/>
          <w:lang w:eastAsia="en-US"/>
        </w:rPr>
        <w:t>στ)</w:t>
      </w:r>
      <w:r w:rsidRPr="001F0F0A">
        <w:rPr>
          <w:szCs w:val="24"/>
          <w:lang w:eastAsia="en-US"/>
        </w:rPr>
        <w:tab/>
        <w:t>γνωμοδοτεί σχετικά με τους οριστικούς λογαριασμούς του Οργανισμού·</w:t>
      </w:r>
    </w:p>
    <w:p w:rsidR="001F0F0A" w:rsidRPr="001F0F0A" w:rsidRDefault="001F0F0A" w:rsidP="001F0F0A">
      <w:pPr>
        <w:spacing w:before="120" w:after="120" w:line="360" w:lineRule="auto"/>
        <w:ind w:left="1416" w:hanging="566"/>
        <w:rPr>
          <w:b/>
          <w:szCs w:val="24"/>
          <w:lang w:eastAsia="en-US"/>
        </w:rPr>
      </w:pPr>
      <w:r w:rsidRPr="001F0F0A">
        <w:rPr>
          <w:szCs w:val="24"/>
          <w:lang w:eastAsia="en-US"/>
        </w:rPr>
        <w:t>ζ)</w:t>
      </w:r>
      <w:r w:rsidRPr="001F0F0A">
        <w:rPr>
          <w:szCs w:val="24"/>
          <w:lang w:eastAsia="en-US"/>
        </w:rPr>
        <w:tab/>
        <w:t>καθορίζει τη μεθοδολογία για τις επισκέψεις που πραγματοποιούνται δυνάμει του άρθρου 10</w:t>
      </w:r>
      <w:r w:rsidRPr="001F0F0A">
        <w:rPr>
          <w:strike/>
          <w:szCs w:val="24"/>
          <w:lang w:eastAsia="en-US"/>
        </w:rPr>
        <w:t>. Σε περίπτωση που η Επιτροπή εκφράσει τη διαφωνία της εντός 15 ημερών από την ημερομηνία έγκρισης της μεθοδολογίας, το διοικητικό συμβούλιο την επανεξετάζει και την εγκρίνει, ενδεχομένως τροποποιημένη, σε δεύτερη ανάγνωση είτε με πλειοψηφία δύο τρίτων, συμπεριλαμβανομένων των αντιπροσώπων της Επιτροπής, είτε με ομοφωνία των αντιπροσώπων των κρατών μελών·</w:t>
      </w:r>
      <w:r w:rsidRPr="001F0F0A">
        <w:rPr>
          <w:b/>
          <w:i/>
          <w:szCs w:val="24"/>
          <w:lang w:eastAsia="en-US"/>
        </w:rPr>
        <w:t>·</w:t>
      </w:r>
      <w:r w:rsidR="00CF11F6">
        <w:rPr>
          <w:b/>
          <w:szCs w:val="24"/>
          <w:lang w:eastAsia="en-US"/>
        </w:rPr>
        <w:t xml:space="preserve"> [Τροπολογία 60]</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η)</w:t>
      </w:r>
      <w:r w:rsidRPr="001F0F0A">
        <w:rPr>
          <w:szCs w:val="24"/>
          <w:lang w:eastAsia="en-US"/>
        </w:rPr>
        <w:tab/>
        <w:t>εξετάζει και εγκρίνει τους διοικητικούς διακανονισμούς, όπως αναφέρονται στο άρθρο 11 παράγραφος 5·</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θ)</w:t>
      </w:r>
      <w:r w:rsidRPr="001F0F0A">
        <w:rPr>
          <w:szCs w:val="24"/>
          <w:lang w:eastAsia="en-US"/>
        </w:rPr>
        <w:tab/>
        <w:t>εγκρίνει στρατηγική για την καταπολέμηση της απάτης, ανάλογη των κινδύνων απάτης, λαμβάνοντας υπόψη το κόστος και τα οφέλη των μέτρων που θα εφαρμοστούν·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b/>
          <w:szCs w:val="24"/>
          <w:lang w:eastAsia="en-US"/>
        </w:rPr>
      </w:pPr>
      <w:r w:rsidRPr="001F0F0A">
        <w:rPr>
          <w:szCs w:val="24"/>
          <w:lang w:eastAsia="en-US"/>
        </w:rPr>
        <w:lastRenderedPageBreak/>
        <w:t>ι)</w:t>
      </w:r>
      <w:r w:rsidRPr="001F0F0A">
        <w:rPr>
          <w:szCs w:val="24"/>
          <w:lang w:eastAsia="en-US"/>
        </w:rPr>
        <w:tab/>
        <w:t>εκδίδει</w:t>
      </w:r>
      <w:r w:rsidRPr="001F0F0A">
        <w:rPr>
          <w:b/>
          <w:i/>
          <w:szCs w:val="24"/>
          <w:lang w:eastAsia="en-US"/>
        </w:rPr>
        <w:t xml:space="preserve"> και δημοσιοποιεί</w:t>
      </w:r>
      <w:r w:rsidRPr="001F0F0A">
        <w:rPr>
          <w:szCs w:val="24"/>
          <w:lang w:eastAsia="en-US"/>
        </w:rPr>
        <w:t xml:space="preserve"> κανόνες για την πρόληψη και τη διαχείριση συγκρούσεων συμφερόντων όσον αφορά τα μέλη του και δημοσιεύει ετησίως στον ιστότοπό του τη δήλωση συμφερόντων των μελών του διοικητικού συμβουλίου</w:t>
      </w:r>
      <w:r w:rsidRPr="001F0F0A">
        <w:rPr>
          <w:strike/>
          <w:szCs w:val="24"/>
          <w:lang w:eastAsia="en-US"/>
        </w:rPr>
        <w:t>·</w:t>
      </w:r>
      <w:r w:rsidRPr="001F0F0A">
        <w:rPr>
          <w:b/>
          <w:i/>
          <w:szCs w:val="24"/>
          <w:lang w:eastAsia="en-US"/>
        </w:rPr>
        <w:t>·</w:t>
      </w:r>
      <w:r w:rsidR="00CF11F6">
        <w:rPr>
          <w:b/>
          <w:szCs w:val="24"/>
          <w:lang w:eastAsia="en-US"/>
        </w:rPr>
        <w:t xml:space="preserve"> [Τροπολογία 61]</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ια)</w:t>
      </w:r>
      <w:r w:rsidRPr="001F0F0A">
        <w:rPr>
          <w:szCs w:val="24"/>
          <w:lang w:eastAsia="en-US"/>
        </w:rPr>
        <w:tab/>
        <w:t>εγκρίνει και επικαιροποιεί τακτικά τα σχέδια επικοινωνίας και διάδοσης που αναφέρονται στο άρθρο 13, βάσει ανάλυσης των αναγκών·</w:t>
      </w:r>
    </w:p>
    <w:p w:rsidR="001F0F0A" w:rsidRPr="001F0F0A" w:rsidRDefault="001F0F0A" w:rsidP="001F0F0A">
      <w:pPr>
        <w:spacing w:before="120" w:after="120" w:line="360" w:lineRule="auto"/>
        <w:ind w:left="1416" w:hanging="566"/>
        <w:rPr>
          <w:b/>
          <w:szCs w:val="24"/>
          <w:lang w:eastAsia="en-US"/>
        </w:rPr>
      </w:pPr>
      <w:r w:rsidRPr="001F0F0A">
        <w:rPr>
          <w:szCs w:val="24"/>
          <w:lang w:eastAsia="en-US"/>
        </w:rPr>
        <w:t>ιβ)</w:t>
      </w:r>
      <w:r w:rsidRPr="001F0F0A">
        <w:rPr>
          <w:szCs w:val="24"/>
          <w:lang w:eastAsia="en-US"/>
        </w:rPr>
        <w:tab/>
        <w:t>θεσπίζει</w:t>
      </w:r>
      <w:r w:rsidRPr="001F0F0A">
        <w:rPr>
          <w:b/>
          <w:i/>
          <w:szCs w:val="24"/>
          <w:lang w:eastAsia="en-US"/>
        </w:rPr>
        <w:t xml:space="preserve"> και δημοσιοποιεί</w:t>
      </w:r>
      <w:r w:rsidRPr="001F0F0A">
        <w:rPr>
          <w:szCs w:val="24"/>
          <w:lang w:eastAsia="en-US"/>
        </w:rPr>
        <w:t xml:space="preserve"> τον εσωτερικό κανονισμό του</w:t>
      </w:r>
      <w:r w:rsidRPr="001F0F0A">
        <w:rPr>
          <w:strike/>
          <w:szCs w:val="24"/>
          <w:lang w:eastAsia="en-US"/>
        </w:rPr>
        <w:t>·</w:t>
      </w:r>
      <w:r w:rsidRPr="001F0F0A">
        <w:rPr>
          <w:b/>
          <w:i/>
          <w:szCs w:val="24"/>
          <w:lang w:eastAsia="en-US"/>
        </w:rPr>
        <w:t>·</w:t>
      </w:r>
      <w:r w:rsidR="00CF11F6">
        <w:rPr>
          <w:b/>
          <w:szCs w:val="24"/>
          <w:lang w:eastAsia="en-US"/>
        </w:rPr>
        <w:t xml:space="preserve"> [Τροπολογία 62]</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ιγ)</w:t>
      </w:r>
      <w:r w:rsidRPr="001F0F0A">
        <w:rPr>
          <w:szCs w:val="24"/>
          <w:lang w:eastAsia="en-US"/>
        </w:rPr>
        <w:tab/>
        <w:t>διορίζει τα μέλη του εκτελεστικού συμβουλίου, με πλειοψηφία δύο τρίτων των μελών του που έχουν δικαίωμα ψήφου, σύμφωνα με το άρθρο 21·</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ιδ)</w:t>
      </w:r>
      <w:r w:rsidRPr="001F0F0A">
        <w:rPr>
          <w:szCs w:val="24"/>
          <w:lang w:eastAsia="en-US"/>
        </w:rPr>
        <w:tab/>
        <w:t>εγκρίνει εντολή για τα καθήκοντα του εκτελεστικού συμβουλίου που αναφέρονται στο άρθρο 21·</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ιε)</w:t>
      </w:r>
      <w:r w:rsidRPr="001F0F0A">
        <w:rPr>
          <w:szCs w:val="24"/>
          <w:lang w:eastAsia="en-US"/>
        </w:rPr>
        <w:tab/>
        <w:t>σύμφωνα με την παράγραφο 2, ασκεί, όσον αφορά το προσωπικό του Οργανισμού, τις εξουσίες οι οποίες ανατίθενται στην αρμόδια για τους διορισμούς αρχή δυνάμει του κανονισμού υπηρεσιακής κατάστασης, και στην αρμόδια για τη σύναψη των συμβάσεων πρόσληψης αρχή δυνάμει του καθεστώτος που εφαρμόζεται στο λοιπό προσωπικό</w:t>
      </w:r>
      <w:r w:rsidRPr="001F0F0A">
        <w:rPr>
          <w:szCs w:val="24"/>
          <w:vertAlign w:val="superscript"/>
          <w:lang w:val="en-GB" w:eastAsia="en-US"/>
        </w:rPr>
        <w:footnoteReference w:id="34"/>
      </w:r>
      <w:r w:rsidRPr="001F0F0A">
        <w:rPr>
          <w:szCs w:val="24"/>
          <w:lang w:eastAsia="en-US"/>
        </w:rPr>
        <w:t>·</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ιστ)</w:t>
      </w:r>
      <w:r w:rsidRPr="001F0F0A">
        <w:rPr>
          <w:szCs w:val="24"/>
          <w:lang w:eastAsia="en-US"/>
        </w:rPr>
        <w:tab/>
        <w:t>θεσπίζει εκτελεστικούς κανόνες για την εφαρμογή του κανονισμού υπηρεσιακής κατάστασης και του καθεστώτος που εφαρμόζεται στο λοιπό προσωπικό σύμφωνα με το άρθρο 110 παράγραφος 2 του κανονισμού υπηρεσιακής κατάστασης·</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ιζ)</w:t>
      </w:r>
      <w:r w:rsidRPr="001F0F0A">
        <w:rPr>
          <w:szCs w:val="24"/>
          <w:lang w:eastAsia="en-US"/>
        </w:rPr>
        <w:tab/>
        <w:t>διορίζει τον εκτελεστικό διευθυντή, του παρέχει καθοδήγηση και παρακολουθεί την επίδοσή του και, κατά περίπτωση, παρατείνει τη θητεία του ή τον παύει από τα καθήκοντά του σύμφωνα με το άρθρο 22·</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ιη)</w:t>
      </w:r>
      <w:r w:rsidRPr="001F0F0A">
        <w:rPr>
          <w:szCs w:val="24"/>
          <w:lang w:eastAsia="en-US"/>
        </w:rPr>
        <w:tab/>
        <w:t>θεσπίζει τις διαδικασίες λήψης αποφάσεων εκ μέρους του εκτελεστικού διευθυντή·</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ιθ)</w:t>
      </w:r>
      <w:r w:rsidRPr="001F0F0A">
        <w:rPr>
          <w:szCs w:val="24"/>
          <w:lang w:eastAsia="en-US"/>
        </w:rPr>
        <w:tab/>
        <w:t>κατά περίπτωση, διορίζει υπόλογο, δυνάμει του κανονισμού υπηρεσιακής κατάστασης και του καθεστώτος που εφαρμόζεται στο λοιπό προσωπικό, ο οποίος λειτουργεί υπό καθεστώς πλήρους ανεξαρτησίας κατά την άσκηση των καθηκόντων του·</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κ)</w:t>
      </w:r>
      <w:r w:rsidRPr="001F0F0A">
        <w:rPr>
          <w:szCs w:val="24"/>
          <w:lang w:eastAsia="en-US"/>
        </w:rPr>
        <w:tab/>
        <w:t>μεριμνά ώστε να δοθεί η δέουσα συνέχεια στα πορίσματα και στις συστάσεις που προκύπτουν από εσωτερικές ή εξωτερικές εκθέσεις ελέγχου και αξιολογήσεις, καθώς και από τις έρευνες της Ευρωπαϊκής Υπηρεσίας Καταπολέμησης της Απάτης (</w:t>
      </w:r>
      <w:r w:rsidRPr="001F0F0A">
        <w:rPr>
          <w:szCs w:val="24"/>
          <w:lang w:val="en-GB" w:eastAsia="en-US"/>
        </w:rPr>
        <w:t>OLAF</w:t>
      </w:r>
      <w:r w:rsidRPr="001F0F0A">
        <w:rPr>
          <w:szCs w:val="24"/>
          <w:lang w:eastAsia="en-US"/>
        </w:rPr>
        <w:t>) και της Ευρωπαϊκής Εισαγγελίας (</w:t>
      </w:r>
      <w:r w:rsidRPr="001F0F0A">
        <w:rPr>
          <w:szCs w:val="24"/>
          <w:lang w:val="en-GB" w:eastAsia="en-US"/>
        </w:rPr>
        <w:t>EPPO</w:t>
      </w:r>
      <w:r w:rsidRPr="001F0F0A">
        <w:rPr>
          <w:szCs w:val="24"/>
          <w:lang w:eastAsia="en-US"/>
        </w:rPr>
        <w:t>)·</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b/>
          <w:szCs w:val="24"/>
          <w:lang w:eastAsia="en-US"/>
        </w:rPr>
      </w:pPr>
      <w:r w:rsidRPr="001F0F0A">
        <w:rPr>
          <w:szCs w:val="24"/>
          <w:lang w:eastAsia="en-US"/>
        </w:rPr>
        <w:lastRenderedPageBreak/>
        <w:t>κα)</w:t>
      </w:r>
      <w:r w:rsidRPr="001F0F0A">
        <w:rPr>
          <w:szCs w:val="24"/>
          <w:lang w:eastAsia="en-US"/>
        </w:rPr>
        <w:tab/>
        <w:t>λαμβάνει όλες τις αποφάσεις σχετικά με τη σύσταση των εσωτερικών δομών του Οργανισμού, συμπεριλαμβανομένης της σύστασης συμβουλευτικών ομάδων ή ομάδων εργασίας και, όπου απαιτείται, σχετικά με την τροποποίησή τους</w:t>
      </w:r>
      <w:r w:rsidRPr="001F0F0A">
        <w:rPr>
          <w:strike/>
          <w:szCs w:val="24"/>
          <w:lang w:eastAsia="en-US"/>
        </w:rPr>
        <w:t>·</w:t>
      </w:r>
      <w:r w:rsidRPr="001F0F0A">
        <w:rPr>
          <w:b/>
          <w:i/>
          <w:szCs w:val="24"/>
          <w:lang w:eastAsia="en-US"/>
        </w:rPr>
        <w:t xml:space="preserve"> συνεκτιμώντας τις ανάγκες που αφορούν τις δραστηριότητες του Οργανισμού, καθώς και τη χρηστή δημοσιονομική διαχείριση·</w:t>
      </w:r>
      <w:r w:rsidR="00CF11F6">
        <w:rPr>
          <w:b/>
          <w:szCs w:val="24"/>
          <w:lang w:eastAsia="en-US"/>
        </w:rPr>
        <w:t xml:space="preserve"> [Τροπολογία 63]</w:t>
      </w:r>
    </w:p>
    <w:p w:rsidR="001F0F0A" w:rsidRPr="001F0F0A" w:rsidRDefault="001F0F0A" w:rsidP="001F0F0A">
      <w:pPr>
        <w:spacing w:before="120" w:after="120" w:line="360" w:lineRule="auto"/>
        <w:ind w:left="1416" w:hanging="566"/>
        <w:rPr>
          <w:b/>
          <w:szCs w:val="24"/>
          <w:lang w:eastAsia="en-US"/>
        </w:rPr>
      </w:pPr>
      <w:proofErr w:type="spellStart"/>
      <w:r w:rsidRPr="001F0F0A">
        <w:rPr>
          <w:szCs w:val="24"/>
          <w:lang w:eastAsia="en-US"/>
        </w:rPr>
        <w:t>κβ</w:t>
      </w:r>
      <w:proofErr w:type="spellEnd"/>
      <w:r w:rsidRPr="001F0F0A">
        <w:rPr>
          <w:szCs w:val="24"/>
          <w:lang w:eastAsia="en-US"/>
        </w:rPr>
        <w:t>)</w:t>
      </w:r>
      <w:r w:rsidRPr="001F0F0A">
        <w:rPr>
          <w:szCs w:val="24"/>
          <w:lang w:eastAsia="en-US"/>
        </w:rPr>
        <w:tab/>
        <w:t>αποφασίζει σχετικά με τις υπηρεσίες που μπορεί να προσφέρει ο Οργανισμός έναντι τελών και επιβαρύνσεων και θεσπίζει πρότυπο-πλαίσιο για τον οικονομικό επιμερισμό των καταβλητέων τελών και επιβαρύνσεων, όπως αναφέρεται στο άρθρο 26 παράγραφος 3 στοιχείο γ)</w:t>
      </w:r>
      <w:r w:rsidRPr="001F0F0A">
        <w:rPr>
          <w:strike/>
          <w:szCs w:val="24"/>
          <w:lang w:eastAsia="en-US"/>
        </w:rPr>
        <w:t>. Σε περίπτωση που η Επιτροπή εκφράσει τη διαφωνία της εντός 15 ημερών από την ημερομηνία έγκρισης της απόφασης του διοικητικού συμβουλίου σχετικά με τις υπηρεσίες που προσφέρονται έναντι τελών ή το μοντέλο-πλαίσιο, το διοικητικό συμβούλιο την επανεξετάζει και την εγκρίνει, ενδεχομένως τροποποιημένη, σε δεύτερη ανάγνωση είτε με πλειοψηφία δύο τρίτων, συμπεριλαμβανομένων των αντιπροσώπων της Επιτροπής, είτε με ομοφωνία των αντιπροσώπων των κρατών μελών·</w:t>
      </w:r>
      <w:r w:rsidRPr="001F0F0A">
        <w:rPr>
          <w:b/>
          <w:i/>
          <w:szCs w:val="24"/>
          <w:lang w:eastAsia="en-US"/>
        </w:rPr>
        <w:t>·</w:t>
      </w:r>
      <w:r w:rsidR="00CF11F6">
        <w:rPr>
          <w:b/>
          <w:szCs w:val="24"/>
          <w:lang w:eastAsia="en-US"/>
        </w:rPr>
        <w:t xml:space="preserve"> [Τροπολογία 64]</w:t>
      </w:r>
    </w:p>
    <w:p w:rsidR="001F0F0A" w:rsidRPr="001F0F0A" w:rsidRDefault="001F0F0A" w:rsidP="001F0F0A">
      <w:pPr>
        <w:spacing w:before="120" w:after="120" w:line="360" w:lineRule="auto"/>
        <w:ind w:left="1416" w:hanging="566"/>
        <w:rPr>
          <w:szCs w:val="24"/>
          <w:lang w:eastAsia="en-US"/>
        </w:rPr>
      </w:pPr>
      <w:proofErr w:type="spellStart"/>
      <w:r w:rsidRPr="001F0F0A">
        <w:rPr>
          <w:szCs w:val="24"/>
          <w:lang w:eastAsia="en-US"/>
        </w:rPr>
        <w:t>κγ</w:t>
      </w:r>
      <w:proofErr w:type="spellEnd"/>
      <w:r w:rsidRPr="001F0F0A">
        <w:rPr>
          <w:szCs w:val="24"/>
          <w:lang w:eastAsia="en-US"/>
        </w:rPr>
        <w:t>)</w:t>
      </w:r>
      <w:r w:rsidRPr="001F0F0A">
        <w:rPr>
          <w:szCs w:val="24"/>
          <w:lang w:eastAsia="en-US"/>
        </w:rPr>
        <w:tab/>
        <w:t>εγκρίνει στρατηγική για τη βελτίωση της αποτελεσματικότητας και των συνεργειών·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b/>
          <w:szCs w:val="24"/>
          <w:lang w:eastAsia="en-US"/>
        </w:rPr>
      </w:pPr>
      <w:r w:rsidRPr="001F0F0A">
        <w:rPr>
          <w:szCs w:val="24"/>
          <w:lang w:eastAsia="en-US"/>
        </w:rPr>
        <w:lastRenderedPageBreak/>
        <w:t>κδ)</w:t>
      </w:r>
      <w:r w:rsidRPr="001F0F0A">
        <w:rPr>
          <w:szCs w:val="24"/>
          <w:lang w:eastAsia="en-US"/>
        </w:rPr>
        <w:tab/>
        <w:t>εγκρίνει στρατηγική για τη συνεργασία με τρίτες χώρες ή διεθνείς οργανισμούς, ή και με τους δύο, όπως αναφέρεται στο άρθρο 11 παράγραφος 6</w:t>
      </w:r>
      <w:r w:rsidRPr="001F0F0A">
        <w:rPr>
          <w:strike/>
          <w:szCs w:val="24"/>
          <w:lang w:eastAsia="en-US"/>
        </w:rPr>
        <w:t>. Σε περίπτωση που η Επιτροπή εκφράσει τη διαφωνία της εντός 15 ημερών από την ημερομηνία έγκρισης της στρατηγικής, το διοικητικό συμβούλιο την επανεξετάζει και την εγκρίνει, ενδεχομένως τροποποιημένη, σε δεύτερη ανάγνωση είτε με πλειοψηφία δύο τρίτων, συμπεριλαμβανομένων των αντιπροσώπων της Επιτροπής, είτε με ομοφωνία των αντιπροσώπων των κρατών μελών·</w:t>
      </w:r>
      <w:r w:rsidRPr="001F0F0A">
        <w:rPr>
          <w:b/>
          <w:i/>
          <w:szCs w:val="24"/>
          <w:lang w:eastAsia="en-US"/>
        </w:rPr>
        <w:t>·</w:t>
      </w:r>
      <w:r w:rsidR="00CF11F6">
        <w:rPr>
          <w:b/>
          <w:szCs w:val="24"/>
          <w:lang w:eastAsia="en-US"/>
        </w:rPr>
        <w:t xml:space="preserve"> [Τροπολογία 65]</w:t>
      </w:r>
    </w:p>
    <w:p w:rsidR="001F0F0A" w:rsidRPr="001F0F0A" w:rsidRDefault="001F0F0A" w:rsidP="001F0F0A">
      <w:pPr>
        <w:spacing w:before="120" w:after="120" w:line="360" w:lineRule="auto"/>
        <w:ind w:left="1416" w:hanging="566"/>
        <w:rPr>
          <w:szCs w:val="24"/>
          <w:lang w:eastAsia="en-US"/>
        </w:rPr>
      </w:pPr>
      <w:proofErr w:type="spellStart"/>
      <w:r w:rsidRPr="001F0F0A">
        <w:rPr>
          <w:szCs w:val="24"/>
          <w:lang w:eastAsia="en-US"/>
        </w:rPr>
        <w:t>κε</w:t>
      </w:r>
      <w:proofErr w:type="spellEnd"/>
      <w:r w:rsidRPr="001F0F0A">
        <w:rPr>
          <w:szCs w:val="24"/>
          <w:lang w:eastAsia="en-US"/>
        </w:rPr>
        <w:t>)</w:t>
      </w:r>
      <w:r w:rsidRPr="001F0F0A">
        <w:rPr>
          <w:szCs w:val="24"/>
          <w:lang w:eastAsia="en-US"/>
        </w:rPr>
        <w:tab/>
        <w:t>εγκρίνει τους εσωτερικούς κανόνες ασφαλείας του Οργανισμού, όπως αναφέρεται στο άρθρο 41·</w:t>
      </w:r>
    </w:p>
    <w:p w:rsidR="001F0F0A" w:rsidRPr="001F0F0A" w:rsidRDefault="001F0F0A" w:rsidP="001F0F0A">
      <w:pPr>
        <w:spacing w:before="120" w:after="120" w:line="360" w:lineRule="auto"/>
        <w:ind w:left="1416" w:hanging="566"/>
        <w:rPr>
          <w:szCs w:val="24"/>
          <w:lang w:eastAsia="en-US"/>
        </w:rPr>
      </w:pPr>
      <w:proofErr w:type="spellStart"/>
      <w:r w:rsidRPr="001F0F0A">
        <w:rPr>
          <w:szCs w:val="24"/>
          <w:lang w:eastAsia="en-US"/>
        </w:rPr>
        <w:t>κστ</w:t>
      </w:r>
      <w:proofErr w:type="spellEnd"/>
      <w:r w:rsidRPr="001F0F0A">
        <w:rPr>
          <w:szCs w:val="24"/>
          <w:lang w:eastAsia="en-US"/>
        </w:rPr>
        <w:t>)</w:t>
      </w:r>
      <w:r w:rsidRPr="001F0F0A">
        <w:rPr>
          <w:szCs w:val="24"/>
          <w:lang w:eastAsia="en-US"/>
        </w:rPr>
        <w:tab/>
        <w:t>διορίζει τον υπεύθυνο προστασίας δεδομένων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διοικητικό συμβούλιο εκδίδει, σύμφωνα με το άρθρο 110 παράγραφος 2 του κανονισμού υπηρεσιακής κατάστασης, απόφαση, βάσει του άρθρου 2 παράγραφος 1 του κανονισμού υπηρεσιακής κατάστασης και του άρθρου 6 του καθεστώτος που εφαρμόζεται στο λοιπό προσωπικό, για την ανάθεση των σχετικών εξουσιών αρμόδιας για τους διορισμούς αρχής στον εκτελεστικό διευθυντή, καθώς και για τον προσδιορισμό των προϋποθέσεων βάσει των οποίων η εν λόγω ανάθεση μπορεί να ανασταλεί. Ο εκτελεστικός διευθυντής έχει το δικαίωμα να αναθέσει περαιτέρω τις εν λόγω εξουσίες.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rPr>
          <w:szCs w:val="24"/>
          <w:lang w:eastAsia="en-US"/>
        </w:rPr>
      </w:pPr>
      <w:r w:rsidRPr="001F0F0A">
        <w:rPr>
          <w:szCs w:val="24"/>
          <w:lang w:eastAsia="en-US"/>
        </w:rPr>
        <w:lastRenderedPageBreak/>
        <w:t>Όταν εξαιρετικές περιστάσεις το επιβάλλουν, το διοικητικό συμβούλιο δύναται, με απόφασή του, να αναστείλει προσωρινά την ανάθεση των εξουσιών της αρμόδιας για τους διορισμούς αρχής στον εκτελεστικό διευθυντή και σε όσους ο τελευταίος έχει επιλέξει να αναθέσει περαιτέρω τις εν λόγω εξουσίες, και να τις ασκήσει το ίδιο ή να τις αναθέσει σε κάποιο από τα μέλη του ή σε άλλο μέλος του προσωπικού πλην του εκτελεστικού διευθυντή.</w:t>
      </w:r>
    </w:p>
    <w:p w:rsidR="001F0F0A" w:rsidRPr="001F0F0A" w:rsidRDefault="001F0F0A" w:rsidP="001F0F0A">
      <w:pPr>
        <w:spacing w:before="120" w:after="120" w:line="360" w:lineRule="auto"/>
        <w:jc w:val="center"/>
        <w:rPr>
          <w:szCs w:val="24"/>
          <w:lang w:eastAsia="en-US"/>
        </w:rPr>
      </w:pPr>
      <w:r w:rsidRPr="001F0F0A">
        <w:rPr>
          <w:szCs w:val="24"/>
          <w:lang w:eastAsia="en-US"/>
        </w:rPr>
        <w:t>Άρθρο 17</w:t>
      </w:r>
      <w:r w:rsidRPr="001F0F0A">
        <w:rPr>
          <w:szCs w:val="24"/>
          <w:lang w:eastAsia="en-US"/>
        </w:rPr>
        <w:br/>
        <w:t>Ετήσιος και πολυετής προγραμματισμός</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 xml:space="preserve">Έως τις 30 Νοεμβρίου κάθε έτους, το διοικητικό συμβούλιο εγκρίνει ενιαίο έγγραφο προγραμματισμού που περιέχει τον ετήσιο και </w:t>
      </w:r>
      <w:r w:rsidRPr="001F0F0A">
        <w:rPr>
          <w:b/>
          <w:i/>
          <w:szCs w:val="24"/>
          <w:lang w:eastAsia="en-US"/>
        </w:rPr>
        <w:t xml:space="preserve">τον </w:t>
      </w:r>
      <w:r w:rsidRPr="001F0F0A">
        <w:rPr>
          <w:szCs w:val="24"/>
          <w:lang w:eastAsia="en-US"/>
        </w:rPr>
        <w:t>πολυετή προγραμματισμό, βάσει σχεδίου που υποβάλλει ο εκτελεστικός διευθυντής, λαμβάνοντας υπόψη τη γνώμη της Επιτροπής</w:t>
      </w:r>
      <w:r w:rsidRPr="001F0F0A">
        <w:rPr>
          <w:strike/>
          <w:szCs w:val="24"/>
          <w:lang w:eastAsia="en-US"/>
        </w:rPr>
        <w:t>. Ακολούθως</w:t>
      </w:r>
      <w:r w:rsidRPr="001F0F0A">
        <w:rPr>
          <w:b/>
          <w:i/>
          <w:szCs w:val="24"/>
          <w:lang w:eastAsia="en-US"/>
        </w:rPr>
        <w:t xml:space="preserve"> και</w:t>
      </w:r>
      <w:r w:rsidRPr="001F0F0A">
        <w:rPr>
          <w:szCs w:val="24"/>
          <w:lang w:eastAsia="en-US"/>
        </w:rPr>
        <w:t>,</w:t>
      </w:r>
      <w:r w:rsidRPr="001F0F0A">
        <w:rPr>
          <w:b/>
          <w:i/>
          <w:szCs w:val="24"/>
          <w:lang w:eastAsia="en-US"/>
        </w:rPr>
        <w:t xml:space="preserve"> όσον αφορά τον πολυετή προγραμματισμό, κατόπιν διαβούλευσης με το Ευρωπαϊκό Κοινοβούλιο. Εάν το διοικητικό συμβούλιο αποφασίσει να μη λάβει υπόψη στοιχεία της γνώμης της Επιτροπής, παρέχει εμπεριστατωμένη αιτιολόγηση. Η υποχρέωση εμπεριστατωμένης αιτιολόγησης ισχύει επίσης για τα στοιχεία που συγκεντρώθηκαν από το Ευρωπαϊκό Κοινοβούλιο κατά τη διάρκεια των διαβουλεύσεων. Το διοικητικό συμβούλιο</w:t>
      </w:r>
      <w:r w:rsidRPr="001F0F0A">
        <w:rPr>
          <w:strike/>
          <w:szCs w:val="24"/>
          <w:lang w:eastAsia="en-US"/>
        </w:rPr>
        <w:t xml:space="preserve"> το</w:t>
      </w:r>
      <w:r w:rsidRPr="001F0F0A">
        <w:rPr>
          <w:szCs w:val="24"/>
          <w:lang w:eastAsia="en-US"/>
        </w:rPr>
        <w:t xml:space="preserve"> διαβιβάζει</w:t>
      </w:r>
      <w:r w:rsidRPr="001F0F0A">
        <w:rPr>
          <w:b/>
          <w:i/>
          <w:szCs w:val="24"/>
          <w:lang w:eastAsia="en-US"/>
        </w:rPr>
        <w:t xml:space="preserve"> το ενιαίο έγγραφο προγραμματισμού</w:t>
      </w:r>
      <w:r w:rsidRPr="001F0F0A">
        <w:rPr>
          <w:szCs w:val="24"/>
          <w:lang w:eastAsia="en-US"/>
        </w:rPr>
        <w:t xml:space="preserve"> στο Ευρωπαϊκό Κοινοβούλιο, στο Συμβούλιο και στην Επιτροπή</w:t>
      </w:r>
      <w:r w:rsidRPr="001F0F0A">
        <w:rPr>
          <w:b/>
          <w:i/>
          <w:szCs w:val="24"/>
          <w:lang w:eastAsia="en-US"/>
        </w:rPr>
        <w:t xml:space="preserve"> το αργότερο έως την 31η Ιανουαρίου του επόμενου έτους</w:t>
      </w:r>
      <w:r w:rsidRPr="001F0F0A">
        <w:rPr>
          <w:szCs w:val="24"/>
          <w:lang w:eastAsia="en-US"/>
        </w:rPr>
        <w:t>.</w:t>
      </w:r>
      <w:r w:rsidR="00CF11F6">
        <w:rPr>
          <w:b/>
          <w:szCs w:val="24"/>
          <w:lang w:eastAsia="en-US"/>
        </w:rPr>
        <w:t xml:space="preserve"> [Τροπολογία 66]</w:t>
      </w:r>
    </w:p>
    <w:p w:rsidR="006F1DCD" w:rsidRDefault="006F1DCD">
      <w:pPr>
        <w:widowControl/>
        <w:rPr>
          <w:strike/>
          <w:szCs w:val="24"/>
          <w:lang w:eastAsia="en-US"/>
        </w:rPr>
      </w:pPr>
      <w:r>
        <w:rPr>
          <w:strike/>
          <w:szCs w:val="24"/>
          <w:lang w:eastAsia="en-US"/>
        </w:rPr>
        <w:br w:type="page"/>
      </w:r>
    </w:p>
    <w:p w:rsidR="001F0F0A" w:rsidRPr="001F0F0A" w:rsidRDefault="001F0F0A" w:rsidP="001F0F0A">
      <w:pPr>
        <w:spacing w:before="120" w:after="120" w:line="360" w:lineRule="auto"/>
        <w:ind w:left="850"/>
        <w:rPr>
          <w:b/>
          <w:szCs w:val="24"/>
          <w:lang w:eastAsia="en-US"/>
        </w:rPr>
      </w:pPr>
      <w:r w:rsidRPr="001F0F0A">
        <w:rPr>
          <w:strike/>
          <w:szCs w:val="24"/>
          <w:lang w:eastAsia="en-US"/>
        </w:rPr>
        <w:lastRenderedPageBreak/>
        <w:t>Σε περίπτωση που η Επιτροπή δηλώσει, εντός δεκαπέντε ημερών από την ημερομηνία έγκρισης του ενιαίου εγγράφου προγραμματισμού, ότι διαφωνεί με το εν λόγω έγγραφο, το διοικητικό συμβούλιο επανεξετάζει το ενιαίο έγγραφο προγραμματισμού, και το εγκρίνει, ενδεχομένως τροποποιημένο, εντός διμήνου, σε δεύτερη ανάγνωση είτε με πλειοψηφία δύο τρίτων, συμπεριλαμβανομένων των αντιπροσώπων της Επιτροπής, είτε με ομοφωνία των αντιπροσώπων των κρατών μελών.</w:t>
      </w:r>
      <w:r w:rsidR="00CF11F6" w:rsidRPr="00CF11F6">
        <w:rPr>
          <w:b/>
          <w:szCs w:val="24"/>
          <w:lang w:eastAsia="en-US"/>
        </w:rPr>
        <w:t xml:space="preserve"> [Τροπολογία 67]</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ενιαίο έγγραφο προγραμματισμού οριστικοποιείται μετά την τελική έγκριση του γενικού προϋπολογισμού και, εάν κριθεί αναγκαίο, προσαρμόζεται ανάλογα.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Το ετήσιο πρόγραμμα εργασιών περιλαμβάνει λεπτομερείς στόχους και προσδοκώμενα αποτελέσματα, καθώς και δείκτες επιδόσεων. Περιλαμβάνει επίσης περιγραφή των δράσεων προς χρηματοδότηση και αναφέρει τους χρηματοδοτικούς και ανθρώπινους πόρους που διατίθενται για κάθε δράση, σύμφωνα με τις αρχές κατάρτισης και διαχείρισης του προϋπολογισμού βάσει δραστηριοτήτων. Το ετήσιο πρόγραμμα εργασιών συμβαδίζει με το πολυετές πρόγραμμα εργασιών που αναφέρεται στην παράγραφο 7. Υποδεικνύει με σαφήνεια τα καθήκοντα που έχουν προστεθεί, τροποποιηθεί ή καταργηθεί σε σχέση με το προηγούμενο οικονομικό έτος. Ο ετήσιος ή ο πολυετής προγραμματισμός, ή αμφότεροι, περιλαμβάνουν τη στρατηγική για τις σχέσεις με τρίτες χώρες ή διεθνείς οργανισμούς που αναφέρονται στο άρθρο 11 και τις δράσεις που συνδέονται με την εν λόγω στρατηγική.</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4.</w:t>
      </w:r>
      <w:r w:rsidRPr="001F0F0A">
        <w:rPr>
          <w:szCs w:val="24"/>
          <w:lang w:eastAsia="en-US"/>
        </w:rPr>
        <w:tab/>
        <w:t>Όταν ανατίθεται στον Οργανισμό νέο καθήκον, το διοικητικό συμβούλιο τροποποιεί το εγκεκριμένο ετήσιο πρόγραμμα εργασιών. Η συμπερίληψη ενός τέτοιου νέου καθήκοντος υπόκειται σε ανάλυση των επιπτώσεων σε ανθρώπινους και δημοσιονομικούς πόρους και μπορεί να υπόκειται σε απόφαση αναβολής άλλων καθηκόντων.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Το διοικητικό συμβούλιο εξετάζει και εγκρίνει, στο πλαίσιο της κατάρτισης του ενιαίου εγγράφου προγραμματισμού, τα αιτήματα της Επιτροπής ή των κρατών μελών για τεχνική συνδρομή, όπως αναφέρεται στο άρθρο 3 παράγραφος 1 στοιχείο γ), στο άρθρο 3 παράγραφος 2 στοιχείο β), στο άρθρο 5 παράγραφοι 5 έως 8, στο άρθρο 8 παράγραφοι 6 και 7, στο άρθρο 9 παράγραφος 3, στο άρθρο 10 παράγραφος 4 και στο άρθρο 11 παράγραφοι 2 και 4. Η έγκριση των αιτημάτων αυτών: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δεν είναι επιζήμια για τα άλλα καθήκοντα του Οργανισμού·</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αποτρέπει την αλληλεπικάλυψη προσπαθειών·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υποβάλλεται σε ανάλυση των επιπτώσεων σε ανθρώπινους και δημοσιονομικούς πόρους· και</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δ)</w:t>
      </w:r>
      <w:r w:rsidRPr="001F0F0A">
        <w:rPr>
          <w:szCs w:val="24"/>
          <w:lang w:eastAsia="en-US"/>
        </w:rPr>
        <w:tab/>
        <w:t>μπορεί να υπόκειται σε απόφαση αναβολής άλλων καθηκόντων.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6.</w:t>
      </w:r>
      <w:r w:rsidRPr="001F0F0A">
        <w:rPr>
          <w:szCs w:val="24"/>
          <w:lang w:eastAsia="en-US"/>
        </w:rPr>
        <w:tab/>
        <w:t>Οποιαδήποτε ουσιώδης τροποποίηση στο ετήσιο πρόγραμμα εργασιών εγκρίνεται σύμφωνα με την ίδια διαδικασία που εφαρμόζεται και για το αρχικό ετήσιο πρόγραμμα εργασιών. Το διοικητικό συμβούλιο μπορεί να αναθέσει στον εκτελεστικό διευθυντή την εξουσία να επιφέρει μη ουσιώδεις τροποποιήσεις στο ετήσιο πρόγραμμα εργασιών.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Στο πολυετές πρόγραμμα εργασιών καθορίζεται ο συνολικός στρατηγικός προγραμματισμός, ο οποίος περιλαμβάνει στόχους, αναμενόμενα αποτελέσματα και δείκτες επιδόσεων. Καθορίζεται επίσης ο προγραμματισμός των πόρων, συμπεριλαμβανομένου του πολυετούς προϋπολογισμού και των ανθρώπινων πόρων.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8.</w:t>
      </w:r>
      <w:r w:rsidRPr="001F0F0A">
        <w:rPr>
          <w:szCs w:val="24"/>
          <w:lang w:eastAsia="en-US"/>
        </w:rPr>
        <w:tab/>
        <w:t>Ο προγραμματισμός των πόρων επικαιροποιείται σε ετήσια βάση. Ο στρατηγικός προγραμματισμός επικαιροποιείται κατά περίπτωση, και ιδίως για την αντιμετώπιση θεμάτων που προκύπτουν από την αξιολόγηση που αναφέρεται στο άρθρο 41.</w:t>
      </w:r>
    </w:p>
    <w:p w:rsidR="001F0F0A" w:rsidRPr="001F0F0A" w:rsidRDefault="001F0F0A" w:rsidP="001F0F0A">
      <w:pPr>
        <w:spacing w:before="120" w:after="120" w:line="360" w:lineRule="auto"/>
        <w:jc w:val="center"/>
        <w:rPr>
          <w:szCs w:val="24"/>
          <w:lang w:eastAsia="en-US"/>
        </w:rPr>
      </w:pPr>
      <w:r w:rsidRPr="001F0F0A">
        <w:rPr>
          <w:szCs w:val="24"/>
          <w:lang w:eastAsia="en-US"/>
        </w:rPr>
        <w:t>Άρθρο 18</w:t>
      </w:r>
      <w:r w:rsidRPr="001F0F0A">
        <w:rPr>
          <w:szCs w:val="24"/>
          <w:lang w:eastAsia="en-US"/>
        </w:rPr>
        <w:br/>
        <w:t>Πρόεδρος του διοικητικού συμβουλίου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Το διοικητικό συμβούλιο εκλέγει πρόεδρο και αντιπρόεδρο μεταξύ των μελών του που έχουν δικαίωμα ψήφου. Ο πρόεδρος και ο αντιπρόεδρος εκλέγονται με πλειοψηφία δύο τρίτων των μελών του διοικητικού συμβουλίου που διαθέτουν δικαίωμα ψήφου.</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Ο αντιπρόεδρος αναλαμβάνει αυτοδικαίως τη θέση του προέδρου, εάν ο πρόεδρος κωλύεται να ασκήσει τα καθήκοντά του.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 xml:space="preserve">Η θητεία του προέδρου και του αντιπροέδρου είναι τετραετής. Η θητεία τους μπορεί να ανανεωθεί άπαξ. Ωστόσο, εάν </w:t>
      </w:r>
      <w:proofErr w:type="spellStart"/>
      <w:r w:rsidRPr="001F0F0A">
        <w:rPr>
          <w:szCs w:val="24"/>
          <w:lang w:eastAsia="en-US"/>
        </w:rPr>
        <w:t>απολέσουν</w:t>
      </w:r>
      <w:proofErr w:type="spellEnd"/>
      <w:r w:rsidRPr="001F0F0A">
        <w:rPr>
          <w:szCs w:val="24"/>
          <w:lang w:eastAsia="en-US"/>
        </w:rPr>
        <w:t xml:space="preserve"> την ιδιότητα του μέλους του διοικητικού συμβουλίου σε οποιαδήποτε στιγμή της θητείας τους, η θητεία τους λήγει την ίδια ημερομηνία αυτομάτως.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19</w:t>
      </w:r>
      <w:r w:rsidRPr="001F0F0A">
        <w:rPr>
          <w:szCs w:val="24"/>
          <w:lang w:eastAsia="en-US"/>
        </w:rPr>
        <w:br/>
        <w:t>Συνεδριάσεις του διοικητικού συμβουλίου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 xml:space="preserve">Οι συνεδριάσεις του διοικητικού συμβουλίου διεξάγονται σύμφωνα με τον εσωτερικό κανονισμό του και </w:t>
      </w:r>
      <w:proofErr w:type="spellStart"/>
      <w:r w:rsidRPr="001F0F0A">
        <w:rPr>
          <w:szCs w:val="24"/>
          <w:lang w:eastAsia="en-US"/>
        </w:rPr>
        <w:t>συγκαλούνται</w:t>
      </w:r>
      <w:proofErr w:type="spellEnd"/>
      <w:r w:rsidRPr="001F0F0A">
        <w:rPr>
          <w:szCs w:val="24"/>
          <w:lang w:eastAsia="en-US"/>
        </w:rPr>
        <w:t xml:space="preserve"> από τον πρόεδρό του.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Ο εκτελεστικός διευθυντής του Οργανισμού συμμετέχει στις συζητήσεις, εκτός από τις περιπτώσεις που, σύμφωνα με το άρθρο 35, η συμμετοχή του μπορεί να οδηγήσει, κατά την κρίση του προέδρου, σε σύγκρουση συμφερόντων ή το διοικητικό συμβούλιο πρόκειται να λάβει απόφαση.</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3.</w:t>
      </w:r>
      <w:r w:rsidRPr="001F0F0A">
        <w:rPr>
          <w:szCs w:val="24"/>
          <w:lang w:eastAsia="en-US"/>
        </w:rPr>
        <w:tab/>
        <w:t xml:space="preserve">Το διοικητικό συμβούλιο συνέρχεται σε τακτική συνεδρίαση δύο φορές ετησίως. Επίσης, συνέρχεται κατόπιν πρωτοβουλίας του προέδρου του ή εάν το ζητήσει η Επιτροπή ή το ένα τρίτο των </w:t>
      </w:r>
      <w:r w:rsidRPr="001F0F0A">
        <w:rPr>
          <w:strike/>
          <w:szCs w:val="24"/>
          <w:lang w:eastAsia="en-US"/>
        </w:rPr>
        <w:t xml:space="preserve">κρατών </w:t>
      </w:r>
      <w:r w:rsidRPr="001F0F0A">
        <w:rPr>
          <w:szCs w:val="24"/>
          <w:lang w:eastAsia="en-US"/>
        </w:rPr>
        <w:t>μελών</w:t>
      </w:r>
      <w:r w:rsidRPr="001F0F0A">
        <w:rPr>
          <w:b/>
          <w:i/>
          <w:szCs w:val="24"/>
          <w:lang w:eastAsia="en-US"/>
        </w:rPr>
        <w:t xml:space="preserve"> του</w:t>
      </w:r>
      <w:r w:rsidRPr="001F0F0A">
        <w:rPr>
          <w:szCs w:val="24"/>
          <w:lang w:eastAsia="en-US"/>
        </w:rPr>
        <w:t>.</w:t>
      </w:r>
      <w:r w:rsidR="00CF11F6">
        <w:rPr>
          <w:b/>
          <w:szCs w:val="24"/>
          <w:lang w:eastAsia="en-US"/>
        </w:rPr>
        <w:t xml:space="preserve"> [Τροπολογία 68]</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Όταν ανακύπτει θέμα εμπιστευτικότητας ή σύγκρουσης συμφερόντων, το διοικητικό συμβούλιο μπορεί να αποφασίσει να εξετάσει συγκεκριμένα σημεία της ημερήσιας διάταξής του χωρίς την παρουσία των ενδιαφερόμενων μελών. Αυτό δεν θίγει το δικαίωμα των κρατών μελών και της Επιτροπής να εκπροσωπούνται από αναπληρωματικά μέλη ή από οποιοδήποτε άλλο πρόσωπο. Στον εσωτερικό κανονισμό του διοικητικού συμβουλίου ορίζονται λεπτομερείς κανόνες για την εφαρμογή αυτής της διάταξης.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Το διοικητικό συμβούλιο μπορεί να προσκαλεί οποιοδήποτε άτομο, η γνώμη του οποίου παρουσιάζει ενδιαφέρον, να συμμετέχει στις συνεδριάσεις του ως παρατηρητής.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6.</w:t>
      </w:r>
      <w:r w:rsidRPr="001F0F0A">
        <w:rPr>
          <w:szCs w:val="24"/>
          <w:lang w:eastAsia="en-US"/>
        </w:rPr>
        <w:tab/>
        <w:t>Τα μέλη του διοικητικού συμβουλίου μπορούν, με την επιφύλαξη των διατάξεων του εσωτερικού του κανονισμού, να επικουρούνται από συμβούλους ή ειδικούς.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Η γραμματειακή υποστήριξη του διοικητικού συμβουλίου εξασφαλίζεται από τον Οργανισμό.</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20</w:t>
      </w:r>
      <w:r w:rsidRPr="001F0F0A">
        <w:rPr>
          <w:szCs w:val="24"/>
          <w:lang w:eastAsia="en-US"/>
        </w:rPr>
        <w:br/>
        <w:t>Κανόνες ψηφοφορίας του διοικητικού συμβουλίου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Το διοικητικό συμβούλιο λαμβάνει τις αποφάσεις του με την απόλυτη πλειοψηφία των μελών του που έχουν δικαίωμα ψήφου, εκτός εάν προβλέπεται διαφορετικά στον παρόντα κανονισμό.</w:t>
      </w:r>
    </w:p>
    <w:p w:rsidR="001F0F0A" w:rsidRPr="001F0F0A" w:rsidRDefault="001F0F0A" w:rsidP="001F0F0A">
      <w:pPr>
        <w:spacing w:before="120" w:after="120" w:line="360" w:lineRule="auto"/>
        <w:ind w:left="850" w:hanging="850"/>
        <w:rPr>
          <w:b/>
          <w:szCs w:val="24"/>
          <w:lang w:eastAsia="en-US"/>
        </w:rPr>
      </w:pPr>
      <w:r w:rsidRPr="001F0F0A">
        <w:rPr>
          <w:strike/>
          <w:szCs w:val="24"/>
          <w:lang w:eastAsia="en-US"/>
        </w:rPr>
        <w:t>2.</w:t>
      </w:r>
      <w:r w:rsidRPr="001F0F0A">
        <w:rPr>
          <w:szCs w:val="24"/>
          <w:lang w:eastAsia="en-US"/>
        </w:rPr>
        <w:tab/>
      </w:r>
      <w:r w:rsidRPr="001F0F0A">
        <w:rPr>
          <w:strike/>
          <w:szCs w:val="24"/>
          <w:lang w:eastAsia="en-US"/>
        </w:rPr>
        <w:t>Οι αποφάσεις που αναφέρονται στο άρθρο 16 παράγραφος 1 στοιχεία γ) έως ε), καθώς και στοιχεία θ), ι), ιδ), ιε), ιστ), ιζ), κ) και κα), και στο άρθρο 16 παράγραφος 2 μπορούν να ληφθούν μόνο αν οι αντιπρόσωποι της Επιτροπής δώσουν θετική ψήφο. Για τους σκοπούς της λήψης των αποφάσεων που αναφέρονται στο άρθρο 16 παράγραφος 1 στοιχείο β), απαιτείται η θετική ψήφος του/της αντιπροσώπου της Επιτροπής μόνο για τα στοιχεία της απόφασης που δεν σχετίζονται με το ετήσιο και το πολυετές πρόγραμμα εργασίας του Οργανισμού.</w:t>
      </w:r>
      <w:r w:rsidR="00CF11F6">
        <w:rPr>
          <w:b/>
          <w:szCs w:val="24"/>
          <w:lang w:eastAsia="en-US"/>
        </w:rPr>
        <w:t xml:space="preserve"> [Τροπολογία 69]</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3.</w:t>
      </w:r>
      <w:r w:rsidRPr="001F0F0A">
        <w:rPr>
          <w:szCs w:val="24"/>
          <w:lang w:eastAsia="en-US"/>
        </w:rPr>
        <w:tab/>
        <w:t>Κάθε μέλος</w:t>
      </w:r>
      <w:r w:rsidRPr="001F0F0A">
        <w:rPr>
          <w:b/>
          <w:i/>
          <w:szCs w:val="24"/>
          <w:lang w:eastAsia="en-US"/>
        </w:rPr>
        <w:t xml:space="preserve"> με δικαίωμα ψήφου</w:t>
      </w:r>
      <w:r w:rsidRPr="001F0F0A">
        <w:rPr>
          <w:szCs w:val="24"/>
          <w:lang w:eastAsia="en-US"/>
        </w:rPr>
        <w:t xml:space="preserve"> έχει δικαίωμα μίας ψήφου. Ο εκτελεστικός διευθυντής του Οργανισμού δεν ψηφίζει.</w:t>
      </w:r>
      <w:r w:rsidR="00CF11F6">
        <w:rPr>
          <w:b/>
          <w:szCs w:val="24"/>
          <w:lang w:eastAsia="en-US"/>
        </w:rPr>
        <w:t xml:space="preserve"> [Τροπολογία 70]</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Κατά την απουσία μέλους, το δικαίωμα ψήφου του δικαιούται να ασκεί ο αναπληρωτής του.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Στον εσωτερικό κανονισμό καθορίζονται λεπτομερέστεροι κανόνες ψηφοφορίας, μεταξύ άλλων οι προϋποθέσεις υπό τις οποίες ένα μέλος μπορεί να ενεργεί για λογαριασμό άλλου μέλους.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21</w:t>
      </w:r>
      <w:r w:rsidRPr="001F0F0A">
        <w:rPr>
          <w:szCs w:val="24"/>
          <w:lang w:eastAsia="en-US"/>
        </w:rPr>
        <w:br/>
        <w:t xml:space="preserve">Εκτελεστικό συμβούλιο </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Το διοικητικό συμβούλιο επικουρείται από εκτελεστικό συμβούλιο.</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εκτελεστικό συμβούλιο:</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εποπτεύει την εφαρμογή των αποφάσεων του διοικητικού συμβουλίου σχετικά με τη διοικητική και δημοσιονομική διαχείριση·</w:t>
      </w:r>
    </w:p>
    <w:p w:rsidR="001F0F0A" w:rsidRPr="001F0F0A" w:rsidRDefault="001F0F0A" w:rsidP="001F0F0A">
      <w:pPr>
        <w:spacing w:before="120" w:after="120" w:line="360" w:lineRule="auto"/>
        <w:ind w:left="1416" w:hanging="566"/>
        <w:rPr>
          <w:b/>
          <w:szCs w:val="24"/>
          <w:lang w:eastAsia="en-US"/>
        </w:rPr>
      </w:pPr>
      <w:proofErr w:type="spellStart"/>
      <w:r w:rsidRPr="001F0F0A">
        <w:rPr>
          <w:b/>
          <w:i/>
          <w:szCs w:val="24"/>
          <w:lang w:eastAsia="en-US"/>
        </w:rPr>
        <w:t>αα</w:t>
      </w:r>
      <w:proofErr w:type="spellEnd"/>
      <w:r w:rsidRPr="001F0F0A">
        <w:rPr>
          <w:b/>
          <w:i/>
          <w:szCs w:val="24"/>
          <w:lang w:eastAsia="en-US"/>
        </w:rPr>
        <w:t>)</w:t>
      </w:r>
      <w:r w:rsidRPr="001F0F0A">
        <w:rPr>
          <w:szCs w:val="24"/>
          <w:lang w:eastAsia="en-US"/>
        </w:rPr>
        <w:tab/>
      </w:r>
      <w:r w:rsidRPr="001F0F0A">
        <w:rPr>
          <w:b/>
          <w:i/>
          <w:szCs w:val="24"/>
          <w:lang w:eastAsia="en-US"/>
        </w:rPr>
        <w:t>αποφασίζει για τα θέματα που προβλέπονται στους δημοσιονομικούς κανόνες που εγκρίνονται σύμφωνα με το άρθρο 25 τα οποία δεν υπάγονται στην αποκλειστική αρμοδιότητα του διοικητικού συμβουλίου δυνάμει του παρόντος κανονισμού·</w:t>
      </w:r>
      <w:r w:rsidR="00CF11F6">
        <w:rPr>
          <w:b/>
          <w:szCs w:val="24"/>
          <w:lang w:eastAsia="en-US"/>
        </w:rPr>
        <w:t xml:space="preserve"> [Τροπολογία 71]</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προετοιμάζει τις αποφάσεις που πρόκειται να ληφθούν από το διοικητικό συμβούλιο·</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 xml:space="preserve">μεριμνά ώστε, από κοινού με το διοικητικό συμβούλιο, να δίδεται η δέουσα συνέχεια σε πορίσματα και συστάσεις που απορρέουν από τις εσωτερικές ή εξωτερικές εκθέσεις ελέγχου και τις αξιολογήσεις, καθώς και από έρευνες της </w:t>
      </w:r>
      <w:r w:rsidRPr="001F0F0A">
        <w:rPr>
          <w:szCs w:val="24"/>
          <w:lang w:val="en-GB" w:eastAsia="en-US"/>
        </w:rPr>
        <w:t>OLAF</w:t>
      </w:r>
      <w:r w:rsidRPr="001F0F0A">
        <w:rPr>
          <w:szCs w:val="24"/>
          <w:lang w:eastAsia="en-US"/>
        </w:rPr>
        <w:t xml:space="preserve"> και της Ευρωπαϊκής Εισαγγελίας.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Όταν καθίσταται απαραίτητο, λόγω έκτακτης ανάγκης, το εκτελεστικό συμβούλιο δύναται να λάβει ορισμένες προσωρινές αποφάσεις εξ ονόματος του διοικητικού συμβουλίου, ιδίως σε θέματα διοικητικής διαχείρισης, συμπεριλαμβανομένης της αναστολής της ανάθεσης εξουσιών αρμόδιας για τους διορισμούς αρχής, καθώς και σε θέματα προϋπολογισμού.</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4.</w:t>
      </w:r>
      <w:r w:rsidRPr="001F0F0A">
        <w:rPr>
          <w:szCs w:val="24"/>
          <w:lang w:eastAsia="en-US"/>
        </w:rPr>
        <w:tab/>
        <w:t>Το εκτελεστικό συμβούλιο απαρτίζεται από τον πρόεδρο</w:t>
      </w:r>
      <w:r w:rsidRPr="001F0F0A">
        <w:rPr>
          <w:b/>
          <w:i/>
          <w:szCs w:val="24"/>
          <w:lang w:eastAsia="en-US"/>
        </w:rPr>
        <w:t xml:space="preserve"> και τον αντιπρόεδρο</w:t>
      </w:r>
      <w:r w:rsidRPr="001F0F0A">
        <w:rPr>
          <w:szCs w:val="24"/>
          <w:lang w:eastAsia="en-US"/>
        </w:rPr>
        <w:t xml:space="preserve"> του διοικητικού συμβουλίου, έναν αντιπρόσωπο της Επιτροπής στο διοικητικό συμβούλιο και τρία άλλα μέλη που ορίζονται από το διοικητικό συμβούλιο μεταξύ των μελών του με δικαίωμα ψήφου. Ο πρόεδρος του διοικητικού συμβουλίου τελεί και πρόεδρος του εκτελεστικού συμβουλίου. Ο εκτελεστικός διευθυντής συμμετέχει στις συνεδριάσεις του εκτελεστικού συμβουλίου χωρίς δικαίωμα ψήφου.</w:t>
      </w:r>
      <w:r w:rsidRPr="001F0F0A">
        <w:rPr>
          <w:b/>
          <w:i/>
          <w:szCs w:val="24"/>
          <w:lang w:eastAsia="en-US"/>
        </w:rPr>
        <w:t xml:space="preserve"> Το εκτελεστικό συμβούλιο μπορεί να προσκαλεί άλλους παρατηρητές να συμμετάσχουν στις συνεδριάσεις του.</w:t>
      </w:r>
      <w:r w:rsidR="00CF11F6">
        <w:rPr>
          <w:b/>
          <w:szCs w:val="24"/>
          <w:lang w:eastAsia="en-US"/>
        </w:rPr>
        <w:t xml:space="preserve"> [Τροπολογία 72]</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Η διάρκεια της θητείας των μελών του εκτελεστικού συμβουλίου είναι τετραετής με δυνατότητα ανανέωσης. Η θητεία των μελών του εκτελεστικού συμβουλίου λήγει όταν παύουν να είναι μέλη του διοικητικού συμβουλίου.</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6.</w:t>
      </w:r>
      <w:r w:rsidRPr="001F0F0A">
        <w:rPr>
          <w:szCs w:val="24"/>
          <w:lang w:eastAsia="en-US"/>
        </w:rPr>
        <w:tab/>
        <w:t>Το εκτελεστικό συμβούλιο πραγματοποιεί τουλάχιστον μία τακτική συνεδρίαση κάθε τρεις μήνες. Επιπλέον, συνέρχεται με πρωτοβουλία του προέδρου του ή κατόπιν αιτήματος των μελών του.</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6α.</w:t>
      </w:r>
      <w:r w:rsidRPr="001F0F0A">
        <w:rPr>
          <w:szCs w:val="24"/>
          <w:lang w:eastAsia="en-US"/>
        </w:rPr>
        <w:tab/>
      </w:r>
      <w:r w:rsidRPr="001F0F0A">
        <w:rPr>
          <w:b/>
          <w:i/>
          <w:szCs w:val="24"/>
          <w:lang w:eastAsia="en-US"/>
        </w:rPr>
        <w:t>Το εκτελεστικό συμβούλιο αποφασίζει με συναίνεση. Εάν το εκτελεστικό συμβούλιο δεν είναι σε θέση να αποφασίσει με συναίνεση, το ζήτημα παραπέμπεται στο διοικητικό συμβούλιο.</w:t>
      </w:r>
      <w:r w:rsidR="00CF11F6">
        <w:rPr>
          <w:b/>
          <w:szCs w:val="24"/>
          <w:lang w:eastAsia="en-US"/>
        </w:rPr>
        <w:t xml:space="preserve"> [Τροπολογία 73]</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Το διοικητικό συμβούλιο θεσπίζει τον εσωτερικό κανονισμό του εκτελεστικού συμβουλίου.</w:t>
      </w:r>
    </w:p>
    <w:p w:rsidR="001F0F0A" w:rsidRPr="001F0F0A" w:rsidRDefault="001F0F0A" w:rsidP="001F0F0A">
      <w:pPr>
        <w:spacing w:before="120" w:after="120" w:line="360" w:lineRule="auto"/>
        <w:jc w:val="center"/>
        <w:rPr>
          <w:szCs w:val="24"/>
          <w:lang w:eastAsia="en-US"/>
        </w:rPr>
      </w:pPr>
      <w:r w:rsidRPr="001F0F0A">
        <w:rPr>
          <w:szCs w:val="24"/>
          <w:lang w:eastAsia="en-US"/>
        </w:rPr>
        <w:t xml:space="preserve">ΚΕΦΑΛΑΙΟ </w:t>
      </w:r>
      <w:r w:rsidRPr="001F0F0A">
        <w:rPr>
          <w:szCs w:val="24"/>
          <w:lang w:val="en-GB" w:eastAsia="en-US"/>
        </w:rPr>
        <w:t>V</w:t>
      </w:r>
      <w:r w:rsidRPr="001F0F0A">
        <w:rPr>
          <w:szCs w:val="24"/>
          <w:lang w:eastAsia="en-US"/>
        </w:rPr>
        <w:br/>
        <w:t>ΕΚΤΕΛΕΣΤΙΚΟΣ ΔΙΕΥΘΥΝΤΗΣ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22</w:t>
      </w:r>
      <w:r w:rsidRPr="001F0F0A">
        <w:rPr>
          <w:szCs w:val="24"/>
          <w:lang w:eastAsia="en-US"/>
        </w:rPr>
        <w:br/>
        <w:t xml:space="preserve">Διορισμός, παράταση της θητείας και παύση καθηκόντων </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Ο εκτελεστικός διευθυντής διορίζεται από το διοικητικό συμβούλιο με βάση τα προσόντα</w:t>
      </w:r>
      <w:r w:rsidRPr="001F0F0A">
        <w:rPr>
          <w:strike/>
          <w:szCs w:val="24"/>
          <w:lang w:eastAsia="en-US"/>
        </w:rPr>
        <w:t xml:space="preserve"> και τις ικανότητές του</w:t>
      </w:r>
      <w:r w:rsidRPr="001F0F0A">
        <w:rPr>
          <w:b/>
          <w:i/>
          <w:szCs w:val="24"/>
          <w:lang w:eastAsia="en-US"/>
        </w:rPr>
        <w:t>, τις ικανότητες, την εμπειρογνωσία και την αποδεδειγμένη σχετική με τον ναυτιλιακό τομέα ικανότητα και εμπειρία του,</w:t>
      </w:r>
      <w:r w:rsidRPr="001F0F0A">
        <w:rPr>
          <w:szCs w:val="24"/>
          <w:lang w:eastAsia="en-US"/>
        </w:rPr>
        <w:t xml:space="preserve"> από κατάλογο υποψηφίων που προτείνει η Επιτροπή, ύστερα από ανοικτή και διαφανή διαδικασία επιλογής η οποία τηρεί την αρχή της ισόρροπης εκπροσώπησης των φύλων.</w:t>
      </w:r>
      <w:r w:rsidR="00CF11F6">
        <w:rPr>
          <w:b/>
          <w:szCs w:val="24"/>
          <w:lang w:eastAsia="en-US"/>
        </w:rPr>
        <w:t xml:space="preserve"> [Τροπολογία 74]</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lastRenderedPageBreak/>
        <w:t>1α.</w:t>
      </w:r>
      <w:r w:rsidRPr="001F0F0A">
        <w:rPr>
          <w:szCs w:val="24"/>
          <w:lang w:eastAsia="en-US"/>
        </w:rPr>
        <w:tab/>
      </w:r>
      <w:r w:rsidRPr="001F0F0A">
        <w:rPr>
          <w:b/>
          <w:i/>
          <w:szCs w:val="24"/>
          <w:lang w:eastAsia="en-US"/>
        </w:rPr>
        <w:t>Προτού διορισθεί, ο επιλεγείς από το διοικητικό συμβούλιο υποψήφιος καλείται να προβεί σε δήλωση ενώπιον της αρμόδιας επιτροπής του Ευρωπαϊκού Κοινοβουλίου και να απαντήσει σε ερωτήσεις των μελών του.</w:t>
      </w:r>
      <w:r w:rsidR="00CF11F6">
        <w:rPr>
          <w:b/>
          <w:szCs w:val="24"/>
          <w:lang w:eastAsia="en-US"/>
        </w:rPr>
        <w:t xml:space="preserve"> [Τροπολογία 75]</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Για τη σύναψη της σύμβασης του εκτελεστικού διευθυντή, ο Οργανισμός εκπροσωπείται από τον πρόεδρο του διοικητικού συμβουλίου.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 xml:space="preserve">Η θητεία του εκτελεστικού διευθυντή είναι πενταετής. Εν ευθέτω </w:t>
      </w:r>
      <w:proofErr w:type="spellStart"/>
      <w:r w:rsidRPr="001F0F0A">
        <w:rPr>
          <w:szCs w:val="24"/>
          <w:lang w:eastAsia="en-US"/>
        </w:rPr>
        <w:t>χρόνω</w:t>
      </w:r>
      <w:proofErr w:type="spellEnd"/>
      <w:r w:rsidRPr="001F0F0A">
        <w:rPr>
          <w:szCs w:val="24"/>
          <w:lang w:eastAsia="en-US"/>
        </w:rPr>
        <w:t xml:space="preserve"> πριν από τη λήξη της περιόδου αυτής, η Επιτροπή διενεργεί αξιολόγηση στην οποία λαμβάνεται υπόψη η αξιολόγηση των επιδόσεων του εκτελεστικού διευθυντή, καθώς και των μελλοντικών καθηκόντων και προκλήσεων του Οργανισμού.</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4.</w:t>
      </w:r>
      <w:r w:rsidRPr="001F0F0A">
        <w:rPr>
          <w:szCs w:val="24"/>
          <w:lang w:eastAsia="en-US"/>
        </w:rPr>
        <w:tab/>
        <w:t>Το διοικητικό συμβούλιο, κατόπιν πρότασης της Επιτροπής που λαμβάνει υπόψη την αναφερόμενη στην παράγραφο 3 αξιολόγηση, μπορεί να παρατείνει άπαξ τη θητεία του εκτελεστικού διευθυντή για μέγιστη περίοδο πέντε ετών.</w:t>
      </w:r>
      <w:r w:rsidRPr="001F0F0A">
        <w:rPr>
          <w:b/>
          <w:i/>
          <w:szCs w:val="24"/>
          <w:lang w:eastAsia="en-US"/>
        </w:rPr>
        <w:t xml:space="preserve"> Το διοικητικό συμβούλιο ενημερώνει το Ευρωπαϊκό Κοινοβούλιο και το Συμβούλιο για την πρόθεσή του να παρατείνει τη θητεία του εκτελεστικού διευθυντή. Προτού το διοικητικό συμβούλιο αποφασίσει να παρατείνει τη θητεία, μπορεί να ζητηθεί από τον εκτελεστικό διευθυντή να προβεί σε δήλωση προς την αρμόδια επιτροπή του Ευρωπαϊκού Κοινοβουλίου και να απαντήσει σε ερωτήσεις των μελών της.</w:t>
      </w:r>
      <w:r w:rsidR="00CF11F6">
        <w:rPr>
          <w:b/>
          <w:szCs w:val="24"/>
          <w:lang w:eastAsia="en-US"/>
        </w:rPr>
        <w:t xml:space="preserve"> [Τροπολογία 76]</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Εκτελεστικός διευθυντής του οποίου η θητεία έχει παραταθεί δεν επιτρέπεται να συμμετάσχει σε άλλη διαδικασία επιλογής για την ίδια θέση.</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6.</w:t>
      </w:r>
      <w:r w:rsidRPr="001F0F0A">
        <w:rPr>
          <w:szCs w:val="24"/>
          <w:lang w:eastAsia="en-US"/>
        </w:rPr>
        <w:tab/>
        <w:t>Ο εκτελεστικός διευθυντής μπορεί να απαλλαγεί από τα καθήκοντά του μόνο με απόφαση του διοικητικού συμβουλίου βάσει πρότασης της Επιτροπής.</w:t>
      </w:r>
      <w:r w:rsidRPr="001F0F0A">
        <w:rPr>
          <w:b/>
          <w:i/>
          <w:szCs w:val="24"/>
          <w:lang w:eastAsia="en-US"/>
        </w:rPr>
        <w:t xml:space="preserve"> Το Ευρωπαϊκό Κοινοβούλιο και το Συμβούλιο ενημερώνονται, κατά τρόπο που συνάδει με τις οικείες απαιτήσεις εμπιστευτικότητας, για τους λόγους μιας τέτοιας απόφασης.</w:t>
      </w:r>
      <w:r w:rsidR="00CF11F6">
        <w:rPr>
          <w:b/>
          <w:szCs w:val="24"/>
          <w:lang w:eastAsia="en-US"/>
        </w:rPr>
        <w:t xml:space="preserve"> [Τροπολογία 77]</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6α.</w:t>
      </w:r>
      <w:r w:rsidRPr="001F0F0A">
        <w:rPr>
          <w:szCs w:val="24"/>
          <w:lang w:eastAsia="en-US"/>
        </w:rPr>
        <w:tab/>
      </w:r>
      <w:r w:rsidRPr="001F0F0A">
        <w:rPr>
          <w:b/>
          <w:i/>
          <w:szCs w:val="24"/>
          <w:lang w:eastAsia="en-US"/>
        </w:rPr>
        <w:t>Οι αποφάσεις του διοικητικού συμβουλίου σχετικά με τον διορισμό, την παράταση της θητείας ή την απαλλαγή από τα καθήκοντα του εκτελεστικού διευθυντή λαμβάνονται με πλειοψηφία των δύο τρίτων των μελών του που έχουν δικαίωμα ψήφου.</w:t>
      </w:r>
      <w:r w:rsidR="00CF11F6">
        <w:rPr>
          <w:b/>
          <w:szCs w:val="24"/>
          <w:lang w:eastAsia="en-US"/>
        </w:rPr>
        <w:t xml:space="preserve"> [Τροπολογία 78]</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Ο εκτελεστικός διευθυντής διορίζεται ως έκτακτος υπάλληλος του Οργανισμού σύμφωνα με το άρθρο 2 στοιχείο α) του καθεστώτος που εφαρμόζεται στο λοιπό προσωπικό.</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23</w:t>
      </w:r>
      <w:r w:rsidRPr="001F0F0A">
        <w:rPr>
          <w:szCs w:val="24"/>
          <w:lang w:eastAsia="en-US"/>
        </w:rPr>
        <w:br/>
        <w:t>Καθήκοντα και αρμοδιότητες του εκτελεστικού διευθυντή</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εκτελεστικός διευθυντής είναι αρμόδιος για τη διαχείριση του Οργανισμού σύμφωνα με τις αποφάσεις του διοικητικού συμβουλίου και λογοδοτεί στο διοικητικό συμβούλιο.</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Με την επιφύλαξη των εξουσιών της Επιτροπής, του διοικητικού συμβουλίου και του εκτελεστικού συμβουλίου, ο εκτελεστικός διευθυντής ενεργεί υπό καθεστώς πλήρους ανεξαρτησίας κατά την εκτέλεση των καθηκόντων του και δεν επιζητεί ούτε λαμβάνει οδηγίες από κυβέρνηση ή από οποιονδήποτε άλλον φορέα.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Ο εκτελεστικός διευθυντής υποβάλλει έκθεση στο Ευρωπαϊκό Κοινοβούλιο σχετικά με την εκτέλεση των καθηκόντων του κατόπιν σχετικού αιτήματος. Το Συμβούλιο μπορεί να ζητήσει από τον εκτελεστικό διευθυντή να υποβάλει έκθεση σχετικά με την εκτέλεση των καθηκόντων του.</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4.</w:t>
      </w:r>
      <w:r w:rsidRPr="001F0F0A">
        <w:rPr>
          <w:szCs w:val="24"/>
          <w:lang w:eastAsia="en-US"/>
        </w:rPr>
        <w:tab/>
        <w:t>Ο εκτελεστικός διευθυντής είναι ο νόμιμος εκπρόσωπος του Οργανισμού.</w:t>
      </w:r>
      <w:r w:rsidRPr="001F0F0A">
        <w:rPr>
          <w:b/>
          <w:i/>
          <w:szCs w:val="24"/>
          <w:lang w:eastAsia="en-US"/>
        </w:rPr>
        <w:t xml:space="preserve"> Συνεπώς, ο εκτελεστικός διευθυντής:</w:t>
      </w:r>
      <w:r w:rsidR="00CF11F6">
        <w:rPr>
          <w:b/>
          <w:szCs w:val="24"/>
          <w:lang w:eastAsia="en-US"/>
        </w:rPr>
        <w:t xml:space="preserve"> [Τροπολογία 79]</w:t>
      </w:r>
    </w:p>
    <w:p w:rsidR="001F0F0A" w:rsidRPr="001F0F0A" w:rsidRDefault="001F0F0A" w:rsidP="001F0F0A">
      <w:pPr>
        <w:spacing w:before="120" w:after="120" w:line="360" w:lineRule="auto"/>
        <w:ind w:left="1416" w:hanging="566"/>
        <w:rPr>
          <w:b/>
          <w:szCs w:val="24"/>
          <w:lang w:eastAsia="en-US"/>
        </w:rPr>
      </w:pPr>
      <w:r w:rsidRPr="001F0F0A">
        <w:rPr>
          <w:b/>
          <w:i/>
          <w:szCs w:val="24"/>
          <w:lang w:eastAsia="en-US"/>
        </w:rPr>
        <w:t>α)</w:t>
      </w:r>
      <w:r w:rsidRPr="001F0F0A">
        <w:rPr>
          <w:szCs w:val="24"/>
          <w:lang w:eastAsia="en-US"/>
        </w:rPr>
        <w:tab/>
      </w:r>
      <w:r w:rsidRPr="001F0F0A">
        <w:rPr>
          <w:b/>
          <w:i/>
          <w:szCs w:val="24"/>
          <w:lang w:eastAsia="en-US"/>
        </w:rPr>
        <w:t>παρέχει τεχνική βοήθεια και εμπειρογνωμοσύνη στην Επιτροπή και στα κράτη μέλη στο πλαίσιο του ΔΝΟ·</w:t>
      </w:r>
      <w:r w:rsidR="00CF11F6">
        <w:rPr>
          <w:b/>
          <w:szCs w:val="24"/>
          <w:lang w:eastAsia="en-US"/>
        </w:rPr>
        <w:t xml:space="preserve"> [Τροπολογία 80]</w:t>
      </w:r>
    </w:p>
    <w:p w:rsidR="001F0F0A" w:rsidRPr="001F0F0A" w:rsidRDefault="001F0F0A" w:rsidP="001F0F0A">
      <w:pPr>
        <w:spacing w:before="120" w:after="120" w:line="360" w:lineRule="auto"/>
        <w:ind w:left="1416" w:hanging="566"/>
        <w:rPr>
          <w:b/>
          <w:szCs w:val="24"/>
          <w:lang w:eastAsia="en-US"/>
        </w:rPr>
      </w:pPr>
      <w:r w:rsidRPr="001F0F0A">
        <w:rPr>
          <w:b/>
          <w:i/>
          <w:szCs w:val="24"/>
          <w:lang w:eastAsia="en-US"/>
        </w:rPr>
        <w:t>β)</w:t>
      </w:r>
      <w:r w:rsidRPr="001F0F0A">
        <w:rPr>
          <w:szCs w:val="24"/>
          <w:lang w:eastAsia="en-US"/>
        </w:rPr>
        <w:tab/>
      </w:r>
      <w:r w:rsidRPr="001F0F0A">
        <w:rPr>
          <w:b/>
          <w:i/>
          <w:szCs w:val="24"/>
          <w:lang w:eastAsia="en-US"/>
        </w:rPr>
        <w:t>λογοδοτεί στο διοικητικό συμβούλιο του Οργανισμού, όταν λαμβάνει πολιτικά ευαίσθητες αποφάσεις προς το συμφέρον της Ένωσης.</w:t>
      </w:r>
      <w:r w:rsidR="00CF11F6">
        <w:rPr>
          <w:b/>
          <w:szCs w:val="24"/>
          <w:lang w:eastAsia="en-US"/>
        </w:rPr>
        <w:t xml:space="preserve"> [Τροπολογία 81]</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Ο εκτελεστικός διευθυντής είναι υπεύθυνος για την εκτέλεση των καθηκόντων που ανατίθενται στον Οργανισμό δυνάμει του παρόντος κανονισμού. Ειδικότερα, ο εκτελεστικός διευθυντής:</w:t>
      </w:r>
    </w:p>
    <w:p w:rsidR="001F0F0A" w:rsidRPr="001F0F0A" w:rsidRDefault="001F0F0A" w:rsidP="001F0F0A">
      <w:pPr>
        <w:spacing w:before="120" w:after="120" w:line="360" w:lineRule="auto"/>
        <w:ind w:left="1416" w:hanging="566"/>
        <w:rPr>
          <w:b/>
          <w:szCs w:val="24"/>
          <w:lang w:eastAsia="en-US"/>
        </w:rPr>
      </w:pPr>
      <w:r w:rsidRPr="001F0F0A">
        <w:rPr>
          <w:szCs w:val="24"/>
          <w:lang w:eastAsia="en-US"/>
        </w:rPr>
        <w:t>α)</w:t>
      </w:r>
      <w:r w:rsidRPr="001F0F0A">
        <w:rPr>
          <w:szCs w:val="24"/>
          <w:lang w:eastAsia="en-US"/>
        </w:rPr>
        <w:tab/>
        <w:t xml:space="preserve">διασφαλίζει </w:t>
      </w:r>
      <w:r w:rsidRPr="001F0F0A">
        <w:rPr>
          <w:strike/>
          <w:szCs w:val="24"/>
          <w:lang w:eastAsia="en-US"/>
        </w:rPr>
        <w:t xml:space="preserve">τη βιώσιμη και </w:t>
      </w:r>
      <w:proofErr w:type="spellStart"/>
      <w:r w:rsidRPr="001F0F0A">
        <w:rPr>
          <w:strike/>
          <w:szCs w:val="24"/>
          <w:lang w:eastAsia="en-US"/>
        </w:rPr>
        <w:t>αποτελεσματική</w:t>
      </w:r>
      <w:r w:rsidRPr="001F0F0A">
        <w:rPr>
          <w:b/>
          <w:i/>
          <w:szCs w:val="24"/>
          <w:lang w:eastAsia="en-US"/>
        </w:rPr>
        <w:t>την</w:t>
      </w:r>
      <w:proofErr w:type="spellEnd"/>
      <w:r w:rsidRPr="001F0F0A">
        <w:rPr>
          <w:szCs w:val="24"/>
          <w:lang w:eastAsia="en-US"/>
        </w:rPr>
        <w:t xml:space="preserve"> καθημερινή διοίκηση του Οργανισμού</w:t>
      </w:r>
      <w:r w:rsidRPr="001F0F0A">
        <w:rPr>
          <w:strike/>
          <w:szCs w:val="24"/>
          <w:lang w:eastAsia="en-US"/>
        </w:rPr>
        <w:t>·</w:t>
      </w:r>
      <w:r w:rsidRPr="001F0F0A">
        <w:rPr>
          <w:b/>
          <w:i/>
          <w:szCs w:val="24"/>
          <w:lang w:eastAsia="en-US"/>
        </w:rPr>
        <w:t>·</w:t>
      </w:r>
      <w:r w:rsidR="00CF11F6">
        <w:rPr>
          <w:b/>
          <w:szCs w:val="24"/>
          <w:lang w:eastAsia="en-US"/>
        </w:rPr>
        <w:t xml:space="preserve"> [Τροπολογία 82]</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οργανώνει, διευθύνει και εποπτεύει τις δραστηριότητες και το προσωπικό του Οργανισμού εντός των ορίων των αποφάσεων του διοικητικού συμβουλίου·</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γ)</w:t>
      </w:r>
      <w:r w:rsidRPr="001F0F0A">
        <w:rPr>
          <w:szCs w:val="24"/>
          <w:lang w:eastAsia="en-US"/>
        </w:rPr>
        <w:tab/>
        <w:t>προετοιμάζει και εφαρμόζει τις αποφάσεις που εγκρίνει το διοικητικό συμβούλιο·</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δ)</w:t>
      </w:r>
      <w:r w:rsidRPr="001F0F0A">
        <w:rPr>
          <w:szCs w:val="24"/>
          <w:lang w:eastAsia="en-US"/>
        </w:rPr>
        <w:tab/>
        <w:t>εκπονεί σχέδιο των δημοσιονομικών κανόνων που εφαρμόζονται στον Οργανισμό προς έγκριση από το διοικητικό συμβούλιο·</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ε)</w:t>
      </w:r>
      <w:r w:rsidRPr="001F0F0A">
        <w:rPr>
          <w:szCs w:val="24"/>
          <w:lang w:eastAsia="en-US"/>
        </w:rPr>
        <w:tab/>
        <w:t>καταρτίζει εκτιμήσεις των εσόδων και εξόδων του Οργανισμού σύμφωνα με το άρθρο 27 και εκτελεί τον προϋπολογισμό σύμφωνα με το άρθρο 28·</w:t>
      </w:r>
    </w:p>
    <w:p w:rsidR="001F0F0A" w:rsidRPr="001F0F0A" w:rsidRDefault="001F0F0A" w:rsidP="001F0F0A">
      <w:pPr>
        <w:spacing w:before="120" w:after="120" w:line="360" w:lineRule="auto"/>
        <w:ind w:left="1416" w:hanging="566"/>
        <w:rPr>
          <w:szCs w:val="24"/>
          <w:lang w:eastAsia="en-US"/>
        </w:rPr>
      </w:pPr>
      <w:r w:rsidRPr="001F0F0A">
        <w:rPr>
          <w:szCs w:val="24"/>
          <w:lang w:eastAsia="en-US"/>
        </w:rPr>
        <w:t>στ)</w:t>
      </w:r>
      <w:r w:rsidRPr="001F0F0A">
        <w:rPr>
          <w:szCs w:val="24"/>
          <w:lang w:eastAsia="en-US"/>
        </w:rPr>
        <w:tab/>
        <w:t>καταρτίζει το σχέδιο ενιαίου εγγράφου προγραμματισμού και το υποβάλλει προς έγκριση στο διοικητικό συμβούλιο ύστερα από διαβούλευση με την Επιτροπή τουλάχιστον τέσσερις εβδομάδες πριν από τη σχετική συνεδρίαση του διοικητικού συμβουλίου·</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ζ)</w:t>
      </w:r>
      <w:r w:rsidRPr="001F0F0A">
        <w:rPr>
          <w:szCs w:val="24"/>
          <w:lang w:eastAsia="en-US"/>
        </w:rPr>
        <w:tab/>
        <w:t>εφαρμόζει το ενιαίο έγγραφο προγραμματισμού, αξιολογώντας την πρόοδο που έχει σημειωθεί σε σύγκριση με τους σχετικούς δείκτες και υποβάλλει έκθεση στο διοικητικό συμβούλιο σχετικά με την εφαρμογή του·</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η)</w:t>
      </w:r>
      <w:r w:rsidRPr="001F0F0A">
        <w:rPr>
          <w:szCs w:val="24"/>
          <w:lang w:eastAsia="en-US"/>
        </w:rPr>
        <w:tab/>
        <w:t>εκπονεί την ενοποιημένη ετήσια έκθεση δραστηριοτήτων του Οργανισμού και την υποβάλλει στο διοικητικό συμβούλιο για αξιολόγηση και έγκριση·</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θ)</w:t>
      </w:r>
      <w:r w:rsidRPr="001F0F0A">
        <w:rPr>
          <w:szCs w:val="24"/>
          <w:lang w:eastAsia="en-US"/>
        </w:rPr>
        <w:tab/>
        <w:t>ανταποκρίνεται σε τυχόν αιτήματα παροχής συνδρομής σύμφωνα με το άρθρο 17 παράγραφος 5·</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w:t>
      </w:r>
      <w:r w:rsidRPr="001F0F0A">
        <w:rPr>
          <w:szCs w:val="24"/>
          <w:lang w:eastAsia="en-US"/>
        </w:rPr>
        <w:tab/>
        <w:t>αποφασίζει τη διενέργεια των επισκέψεων και επιθεωρήσεων που προβλέπονται στο άρθρο 10, ύστερα από διαβούλευση με την Επιτροπή και σύμφωνα με τη μεθοδολογία επισκέψεων που καθορίζει το διοικητικό συμβούλιο δυνάμει του άρθρου 16 παράγραφος 1 στοιχείο ζ)·</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ια)</w:t>
      </w:r>
      <w:r w:rsidRPr="001F0F0A">
        <w:rPr>
          <w:szCs w:val="24"/>
          <w:lang w:eastAsia="en-US"/>
        </w:rPr>
        <w:tab/>
        <w:t>αποφασίζει να συνάπτει διοικητικούς διακανονισμούς με άλλους φορείς της Ένωσης που δραστηριοποιούνται στους τομείς δραστηριοτήτων του Οργανισμού, υπό την προϋπόθεση ότι το σχέδιο διακανονισμού έχει υποβληθεί προς διαβούλευση στην Επιτροπή πρώτα και στο διοικητικό συμβούλιο σύμφωνα με το άρθρο 11 παράγραφος 5 και ότι το διοικητικό συμβούλιο δεν έχει προβάλει αντιρρήσεις εντός τεσσάρων εβδομάδων·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ιβ)</w:t>
      </w:r>
      <w:r w:rsidRPr="001F0F0A">
        <w:rPr>
          <w:szCs w:val="24"/>
          <w:lang w:eastAsia="en-US"/>
        </w:rPr>
        <w:tab/>
        <w:t>λαμβάνει όλα τα αναγκαία μέτρα, μεταξύ άλλων την έκδοση εσωτερικών διοικητικών οδηγιών και τη δημοσίευση ανακοινώσεων, ώστε να διασφαλίσει τη λειτουργία του Οργανισμού σύμφωνα με τις διατάξεις του παρόντος κανονισμού·</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ιγ)</w:t>
      </w:r>
      <w:r w:rsidRPr="001F0F0A">
        <w:rPr>
          <w:szCs w:val="24"/>
          <w:lang w:eastAsia="en-US"/>
        </w:rPr>
        <w:tab/>
        <w:t>οργανώνει αποτελεσματικό σύστημα παρακολούθησης ώστε να μπορεί να συγκρίνει τα επιτεύγματα του Οργανισμού με τους στόχους και τα καθήκοντά του, όπως ορίζει ο παρών κανονισμός. Για τον σκοπό αυτόν, καταρτίζει, σε συμφωνία με την Επιτροπή και το διοικητικό συμβούλιο, προσαρμοσμένους δείκτες επιδόσεων που επιτρέπουν την αποτελεσματική αξιολόγηση των επιτευχθέντων αποτελεσμάτων. Μεριμνά ώστε η οργανωτική δομή του Οργανισμού να προσαρμόζεται τακτικά στις εξελισσόμενες ανάγκες, μέσα στα όρια των διαθέσιμων δημοσιονομικών και ανθρώπινων πόρων. Στο πλαίσιο αυτό θεσπίζει διαδικασίες τακτικής αξιολόγησης, οι οποίες πληρούν αναγνωρισμένα επαγγελματικά πρότυπα·</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ιδ)</w:t>
      </w:r>
      <w:r w:rsidRPr="001F0F0A">
        <w:rPr>
          <w:szCs w:val="24"/>
          <w:lang w:eastAsia="en-US"/>
        </w:rPr>
        <w:tab/>
        <w:t>καθιερώνει και διασφαλίζει τη λειτουργία ενός αποτελεσματικού και αποδοτικού συστήματος εσωτερικού ελέγχου και υποβάλλει έκθεση στο διοικητικό συμβούλιο σχετικά με τυχόν σημαντικές αλλαγές επ’ αυτού·</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ιε)</w:t>
      </w:r>
      <w:r w:rsidRPr="001F0F0A">
        <w:rPr>
          <w:szCs w:val="24"/>
          <w:lang w:eastAsia="en-US"/>
        </w:rPr>
        <w:tab/>
        <w:t>διασφαλίζει τη διενέργεια εκτιμήσεων κινδύνου και τη διαχείριση κινδύνου για τον Οργανισμό·</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ιστ)</w:t>
      </w:r>
      <w:r w:rsidRPr="001F0F0A">
        <w:rPr>
          <w:szCs w:val="24"/>
          <w:lang w:eastAsia="en-US"/>
        </w:rPr>
        <w:tab/>
        <w:t xml:space="preserve">καταρτίζει σχέδιο δράσης για τη </w:t>
      </w:r>
      <w:proofErr w:type="spellStart"/>
      <w:r w:rsidRPr="001F0F0A">
        <w:rPr>
          <w:szCs w:val="24"/>
          <w:lang w:eastAsia="en-US"/>
        </w:rPr>
        <w:t>μεταπαρακολούθηση</w:t>
      </w:r>
      <w:proofErr w:type="spellEnd"/>
      <w:r w:rsidRPr="001F0F0A">
        <w:rPr>
          <w:szCs w:val="24"/>
          <w:lang w:eastAsia="en-US"/>
        </w:rPr>
        <w:t xml:space="preserve"> των συμπερασμάτων των εκθέσεων εσωτερικού ή εξωτερικού λογιστικού ελέγχου και των αξιολογήσεων, καθώς και των ερευνών της </w:t>
      </w:r>
      <w:r w:rsidRPr="001F0F0A">
        <w:rPr>
          <w:szCs w:val="24"/>
          <w:lang w:val="en-GB" w:eastAsia="en-US"/>
        </w:rPr>
        <w:t>OLAF</w:t>
      </w:r>
      <w:r w:rsidRPr="001F0F0A">
        <w:rPr>
          <w:szCs w:val="24"/>
          <w:lang w:eastAsia="en-US"/>
        </w:rPr>
        <w:t xml:space="preserve"> και της Ευρωπαϊκής Εισαγγελίας, όπως προβλέπεται στο άρθρο 38, και υποβάλλει έκθεση προόδου στην Επιτροπή δύο φορές ετησίως και ανά τακτά χρονικά διαστήματα στο διοικητικό συμβούλιο·</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ιζ)</w:t>
      </w:r>
      <w:r w:rsidRPr="001F0F0A">
        <w:rPr>
          <w:szCs w:val="24"/>
          <w:lang w:eastAsia="en-US"/>
        </w:rPr>
        <w:tab/>
        <w:t xml:space="preserve">προστατεύει τα οικονομικά συμφέροντα της Ένωσης μέσω της εφαρμογής προληπτικών μέτρων κατά της απάτης, της διαφθοράς και κάθε άλλης παράνομης δραστηριότητας, χωρίς να διακυβεύεται η ερευνητική αρμοδιότητα της </w:t>
      </w:r>
      <w:r w:rsidRPr="001F0F0A">
        <w:rPr>
          <w:szCs w:val="24"/>
          <w:lang w:val="en-GB" w:eastAsia="en-US"/>
        </w:rPr>
        <w:t>OLAF</w:t>
      </w:r>
      <w:r w:rsidRPr="001F0F0A">
        <w:rPr>
          <w:szCs w:val="24"/>
          <w:lang w:eastAsia="en-US"/>
        </w:rPr>
        <w:t xml:space="preserve"> και της Ευρωπαϊκής Εισαγγελίας, μέσω αποτελεσματικών ελέγχων και, σε περίπτωση που εντοπίζονται παρατυπίες, μέσω της ανάκτησης αχρεωστήτως καταβληθέντων ποσών και, εάν ενδείκνυται, μέσω της επιβολής αποτελεσματικών, αναλογικών και αποτρεπτικών διοικητικών, έως και οικονομικών, κυρώσεων·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ιη)</w:t>
      </w:r>
      <w:r w:rsidRPr="001F0F0A">
        <w:rPr>
          <w:szCs w:val="24"/>
          <w:lang w:eastAsia="en-US"/>
        </w:rPr>
        <w:tab/>
        <w:t>εκπονεί στρατηγική για την καταπολέμηση της απάτης, στρατηγική συνεργειών και βελτίωσης της αποτελεσματικότητας, στρατηγική συνεργασίας με τρίτες χώρες ή διεθνείς οργανισμούς ή και τα δύο, καθώς και στρατηγική για τα συστήματα οργανωτικής διαχείρισης και εσωτερικού ελέγχου του Οργανισμού, και τις υποβάλλει στο διοικητικό συμβούλιο προς έγκριση·</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1416" w:hanging="566"/>
        <w:rPr>
          <w:szCs w:val="24"/>
          <w:lang w:eastAsia="en-US"/>
        </w:rPr>
      </w:pPr>
      <w:r w:rsidRPr="001F0F0A">
        <w:rPr>
          <w:szCs w:val="24"/>
          <w:lang w:eastAsia="en-US"/>
        </w:rPr>
        <w:lastRenderedPageBreak/>
        <w:t>ιθ)</w:t>
      </w:r>
      <w:r w:rsidRPr="001F0F0A">
        <w:rPr>
          <w:szCs w:val="24"/>
          <w:lang w:eastAsia="en-US"/>
        </w:rPr>
        <w:tab/>
        <w:t>προάγει την πολυμορφία και διασφαλίζει την ισόρροπη εκπροσώπηση των φύλων όσον αφορά την πρόσληψη του προσωπικού του Οργανισμού·</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κ)</w:t>
      </w:r>
      <w:r w:rsidRPr="001F0F0A">
        <w:rPr>
          <w:szCs w:val="24"/>
          <w:lang w:eastAsia="en-US"/>
        </w:rPr>
        <w:tab/>
        <w:t>προσλαμβάνει προσωπικό με την ευρύτερη δυνατή γεωγραφική βάση·</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κα)</w:t>
      </w:r>
      <w:r w:rsidRPr="001F0F0A">
        <w:rPr>
          <w:szCs w:val="24"/>
          <w:lang w:eastAsia="en-US"/>
        </w:rPr>
        <w:tab/>
        <w:t>σχεδιάζει και εφαρμόζει επικοινωνιακή πολιτική για τον Οργανισμό·</w:t>
      </w:r>
    </w:p>
    <w:p w:rsidR="001F0F0A" w:rsidRPr="001F0F0A" w:rsidRDefault="001F0F0A" w:rsidP="001F0F0A">
      <w:pPr>
        <w:spacing w:before="120" w:after="120" w:line="360" w:lineRule="auto"/>
        <w:ind w:left="1416" w:hanging="566"/>
        <w:rPr>
          <w:szCs w:val="24"/>
          <w:lang w:eastAsia="en-US"/>
        </w:rPr>
      </w:pPr>
      <w:proofErr w:type="spellStart"/>
      <w:r w:rsidRPr="001F0F0A">
        <w:rPr>
          <w:szCs w:val="24"/>
          <w:lang w:eastAsia="en-US"/>
        </w:rPr>
        <w:t>κβ</w:t>
      </w:r>
      <w:proofErr w:type="spellEnd"/>
      <w:r w:rsidRPr="001F0F0A">
        <w:rPr>
          <w:szCs w:val="24"/>
          <w:lang w:eastAsia="en-US"/>
        </w:rPr>
        <w:t>)</w:t>
      </w:r>
      <w:r w:rsidRPr="001F0F0A">
        <w:rPr>
          <w:szCs w:val="24"/>
          <w:lang w:eastAsia="en-US"/>
        </w:rPr>
        <w:tab/>
        <w:t>εκτελεί κάθε άλλο καθήκον που του αναθέτει ή του μεταβιβάζει το διοικητικό συμβούλιο ή όπως απαιτείται από τον παρόντα κανονισμό.</w:t>
      </w:r>
    </w:p>
    <w:p w:rsidR="001F0F0A" w:rsidRPr="001F0F0A" w:rsidRDefault="001F0F0A" w:rsidP="001F0F0A">
      <w:pPr>
        <w:spacing w:before="120" w:after="120" w:line="360" w:lineRule="auto"/>
        <w:jc w:val="center"/>
        <w:rPr>
          <w:szCs w:val="24"/>
          <w:lang w:eastAsia="en-US"/>
        </w:rPr>
      </w:pPr>
      <w:r w:rsidRPr="001F0F0A">
        <w:rPr>
          <w:szCs w:val="24"/>
          <w:lang w:eastAsia="en-US"/>
        </w:rPr>
        <w:t>Άρθρο 24</w:t>
      </w:r>
      <w:r w:rsidRPr="001F0F0A">
        <w:rPr>
          <w:szCs w:val="24"/>
          <w:lang w:eastAsia="en-US"/>
        </w:rPr>
        <w:br/>
        <w:t>Συμμετοχή τρίτων χωρών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Οργανισμός είναι ανοικτός στη συμμετοχή τρίτων χωρών, οι οποίες έχουν συνάψει συμφωνίες με την Ένωση, βάσει των οποίων έχουν εγκρίνει και εφαρμόζουν το ενωσιακό δίκαιο στον τομέα της ασφάλειας στη θάλασσα, της ναυτιλιακής ασφάλειας, της πρόληψης της ρύπανσης και της αντιμετώπισης της ρύπανσης που προκαλείται από πλοία.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Βάσει των σχετικών διατάξεων των εν λόγω συμφωνιών, ο Οργανισμός συνάπτει διακανονισμούς που διευκρινίζουν τη φύση και την έκταση των λεπτομερών κανόνων για τη συμμετοχή των εν λόγω χωρών στις εργασίες του Οργανισμού, συμπεριλαμβανομένων διατάξεων σχετικά με τις οικονομικές συνεισφορές και το προσωπικό, ύστερα από γνώμη της Επιτροπής.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 xml:space="preserve">ΚΕΦΑΛΑΙΟ </w:t>
      </w:r>
      <w:r w:rsidRPr="001F0F0A">
        <w:rPr>
          <w:szCs w:val="24"/>
          <w:lang w:val="en-GB" w:eastAsia="en-US"/>
        </w:rPr>
        <w:t>VI</w:t>
      </w:r>
      <w:r w:rsidRPr="001F0F0A">
        <w:rPr>
          <w:szCs w:val="24"/>
          <w:lang w:eastAsia="en-US"/>
        </w:rPr>
        <w:br/>
        <w:t>ΔΗΜΟΣΙΟΝΟΜΙΚΕΣ ΔΙΑΤΑΞΕΙΣ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25</w:t>
      </w:r>
      <w:r w:rsidRPr="001F0F0A">
        <w:rPr>
          <w:szCs w:val="24"/>
          <w:lang w:eastAsia="en-US"/>
        </w:rPr>
        <w:br/>
        <w:t>Δημοσιονομικοί κανόνες</w:t>
      </w:r>
    </w:p>
    <w:p w:rsidR="001F0F0A" w:rsidRPr="001F0F0A" w:rsidRDefault="001F0F0A" w:rsidP="001F0F0A">
      <w:pPr>
        <w:spacing w:before="120" w:after="120" w:line="360" w:lineRule="auto"/>
        <w:rPr>
          <w:szCs w:val="24"/>
          <w:lang w:eastAsia="en-US"/>
        </w:rPr>
      </w:pPr>
      <w:r w:rsidRPr="001F0F0A">
        <w:rPr>
          <w:szCs w:val="24"/>
          <w:lang w:eastAsia="en-US"/>
        </w:rPr>
        <w:t>Οι δημοσιονομικοί κανόνες που ισχύουν για τον Οργανισμό θεσπίζονται από το διοικητικό συμβούλιο αφού ζητήσει τη γνώμη της Επιτροπής. Οι δημοσιονομικοί κανόνες παρεκκλίνουν από τον κατ’ εξουσιοδότηση κανονισμό (ΕΕ) 2019/715 της Επιτροπής μόνο εάν η παρέκκλιση απαιτείται συγκεκριμένα για λόγους λειτουργίας του Οργανισμού και εφόσον έχει προηγουμένως συγκατατεθεί η Επιτροπή.</w:t>
      </w:r>
    </w:p>
    <w:p w:rsidR="001F0F0A" w:rsidRPr="001F0F0A" w:rsidRDefault="001F0F0A" w:rsidP="001F0F0A">
      <w:pPr>
        <w:spacing w:before="120" w:after="120" w:line="360" w:lineRule="auto"/>
        <w:jc w:val="center"/>
        <w:rPr>
          <w:szCs w:val="24"/>
          <w:lang w:eastAsia="en-US"/>
        </w:rPr>
      </w:pPr>
      <w:r w:rsidRPr="001F0F0A">
        <w:rPr>
          <w:szCs w:val="24"/>
          <w:lang w:eastAsia="en-US"/>
        </w:rPr>
        <w:t>Άρθρο 26</w:t>
      </w:r>
      <w:r w:rsidRPr="001F0F0A">
        <w:rPr>
          <w:szCs w:val="24"/>
          <w:lang w:eastAsia="en-US"/>
        </w:rPr>
        <w:br/>
        <w:t>Προϋπολογισμός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Για κάθε οικονομικό έτος, το οποίο αντιστοιχεί στο ημερολογιακό έτος, καταρτίζονται προβλέψεις για το σύνολο των εσόδων και των δαπανών του Οργανισμού, οι οποίες εγγράφονται στον προϋπολογισμό του.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Ο προϋπολογισμός του Οργανισμού πρέπει να είναι ισοσκελισμένος ως προς τα έσοδα και τις δαπάνες.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3.</w:t>
      </w:r>
      <w:r w:rsidRPr="001F0F0A">
        <w:rPr>
          <w:szCs w:val="24"/>
          <w:lang w:eastAsia="en-US"/>
        </w:rPr>
        <w:tab/>
        <w:t>Με την επιφύλαξη άλλων πόρων, τα έσοδα του Οργανισμού περιλαμβάνουν:</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α)</w:t>
      </w:r>
      <w:r w:rsidRPr="001F0F0A">
        <w:rPr>
          <w:szCs w:val="24"/>
          <w:lang w:eastAsia="en-US"/>
        </w:rPr>
        <w:tab/>
        <w:t>συνεισφορά της Ένωσης που εγγράφεται στον γενικό προϋπολογισμό της Ευρωπαϊκής Ένωσης και επιχορηγήσεις από φορείς της Ένωσης·</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β)</w:t>
      </w:r>
      <w:r w:rsidRPr="001F0F0A">
        <w:rPr>
          <w:szCs w:val="24"/>
          <w:lang w:eastAsia="en-US"/>
        </w:rPr>
        <w:tab/>
        <w:t>πιθανές εισφορές τρίτων χωρών που συμμετέχουν στις εργασίες του Οργανισμού σύμφωνα με τις διατάξεις του άρθρου 24·</w:t>
      </w:r>
    </w:p>
    <w:p w:rsidR="001F0F0A" w:rsidRPr="001F0F0A" w:rsidRDefault="001F0F0A" w:rsidP="001F0F0A">
      <w:pPr>
        <w:spacing w:before="120" w:after="120" w:line="360" w:lineRule="auto"/>
        <w:ind w:left="1416" w:hanging="566"/>
        <w:rPr>
          <w:b/>
          <w:szCs w:val="24"/>
          <w:lang w:eastAsia="en-US"/>
        </w:rPr>
      </w:pPr>
      <w:r w:rsidRPr="001F0F0A">
        <w:rPr>
          <w:szCs w:val="24"/>
          <w:lang w:eastAsia="en-US"/>
        </w:rPr>
        <w:t>γ)</w:t>
      </w:r>
      <w:r w:rsidRPr="001F0F0A">
        <w:rPr>
          <w:szCs w:val="24"/>
          <w:lang w:eastAsia="en-US"/>
        </w:rPr>
        <w:tab/>
        <w:t xml:space="preserve">τυχόν τέλη και επιβαρύνσεις για υποδομές, δημοσιεύσεις, κατάρτιση ή άλλες υπηρεσίες που εμπίπτουν στο πεδίο εφαρμογής του παρόντος κανονισμού και παρέχονται από τον Οργανισμό σύμφωνα με τις </w:t>
      </w:r>
      <w:r w:rsidRPr="001F0F0A">
        <w:rPr>
          <w:b/>
          <w:i/>
          <w:szCs w:val="24"/>
          <w:lang w:eastAsia="en-US"/>
        </w:rPr>
        <w:t xml:space="preserve">κατ’ εξουσιοδότηση πράξεις και τις </w:t>
      </w:r>
      <w:r w:rsidRPr="001F0F0A">
        <w:rPr>
          <w:szCs w:val="24"/>
          <w:lang w:eastAsia="en-US"/>
        </w:rPr>
        <w:t xml:space="preserve">εκτελεστικές πράξεις που </w:t>
      </w:r>
      <w:r w:rsidRPr="001F0F0A">
        <w:rPr>
          <w:strike/>
          <w:szCs w:val="24"/>
          <w:lang w:eastAsia="en-US"/>
        </w:rPr>
        <w:t>εκδίδονται δυνάμει του άρθρου 33·</w:t>
      </w:r>
      <w:r w:rsidRPr="001F0F0A">
        <w:rPr>
          <w:b/>
          <w:i/>
          <w:szCs w:val="24"/>
          <w:lang w:eastAsia="en-US"/>
        </w:rPr>
        <w:t>αναφέρονται στο άρθρο 33·</w:t>
      </w:r>
      <w:r w:rsidR="00CF11F6">
        <w:rPr>
          <w:b/>
          <w:szCs w:val="24"/>
          <w:lang w:eastAsia="en-US"/>
        </w:rPr>
        <w:t xml:space="preserve"> [Τροπολογία 83]</w:t>
      </w:r>
    </w:p>
    <w:p w:rsidR="001F0F0A" w:rsidRPr="001F0F0A" w:rsidRDefault="001F0F0A" w:rsidP="001F0F0A">
      <w:pPr>
        <w:spacing w:before="120" w:after="120" w:line="360" w:lineRule="auto"/>
        <w:ind w:left="1416" w:hanging="566"/>
        <w:rPr>
          <w:szCs w:val="24"/>
          <w:lang w:eastAsia="en-US"/>
        </w:rPr>
      </w:pPr>
      <w:r w:rsidRPr="001F0F0A">
        <w:rPr>
          <w:szCs w:val="24"/>
          <w:lang w:eastAsia="en-US"/>
        </w:rPr>
        <w:t>δ)</w:t>
      </w:r>
      <w:r w:rsidRPr="001F0F0A">
        <w:rPr>
          <w:szCs w:val="24"/>
          <w:lang w:eastAsia="en-US"/>
        </w:rPr>
        <w:tab/>
        <w:t>οποιαδήποτε εθελοντική οικονομική συνεισφορά κρατών μελών, τρίτων χωρών ή άλλων οντοτήτων, υπό την προϋπόθεση ότι η συνεισφορά αυτή είναι διαφανής, σημειώνεται με σαφήνεια στον προϋπολογισμό και δεν θίγει την ανεξαρτησία και την αμεροληψία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Οι δαπάνες του Οργανισμού περιλαμβάνουν τις αμοιβές του προσωπικού, τις διοικητικές δαπάνες και τις δαπάνες υποδομών, καθώς και τις λειτουργικές δαπάνες.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27</w:t>
      </w:r>
      <w:r w:rsidRPr="001F0F0A">
        <w:rPr>
          <w:szCs w:val="24"/>
          <w:lang w:eastAsia="en-US"/>
        </w:rPr>
        <w:br/>
        <w:t>Κατάρτιση του προϋπολογισμού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Κάθε έτος ο εκτελεστικός διευθυντής καταρτίζει σχέδιο κατάστασης προβλέψεων των εσόδων και των δαπανών του Οργανισμού για το επόμενο οικονομικό έτος, το οποίο περιλαμβάνει και τον πίνακα προσωπικού, και το διαβιβάζει στο διοικητικό συμβούλιο.</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Βάσει του σχεδίου αυτού, το διοικητικό συμβούλιο εκδίδει προσωρινό σχέδιο προβλέψεων των εσόδων και των δαπανών του Οργανισμού για το επόμενο οικονομικό έτος.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Το προσωρινό σχέδιο προβλέψεων των εσόδων και των δαπανών του Οργανισμού διαβιβάζεται στην Επιτροπή μέχρι την 31η Ιανουαρίου κάθε έτους. Το διοικητικό συμβούλιο διαβιβάζει το τελικό σχέδιο προβλέψεων στην Επιτροπή έως την 31η Μαρτίου του ίδιου έτους.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Η Επιτροπή διαβιβάζει την κατάσταση προβλέψεων στην αρμόδια για τον προϋπολογισμό αρχή μαζί με το σχέδιο γενικού προϋπολογισμού της Ευρωπαϊκής Ένωσης.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Βάσει της κατάστασης προβλέψεων, η Επιτροπή εγγράφει στο σχέδιο γενικού προϋπολογισμού της Ευρωπαϊκής Ένωσης τις προβλέψεις που κρίνει αναγκαίες όσον αφορά τον πίνακα προσωπικού και το ύψος της επιχορήγησης από τον γενικό προϋπολογισμό, και το υποβάλλει στην αρμόδια για τον προϋπολογισμό αρχή σύμφωνα με τα άρθρα 313 και 314 ΣΛΕΕ.</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6.</w:t>
      </w:r>
      <w:r w:rsidRPr="001F0F0A">
        <w:rPr>
          <w:szCs w:val="24"/>
          <w:lang w:eastAsia="en-US"/>
        </w:rPr>
        <w:tab/>
        <w:t>Η αρμόδια για τον προϋπολογισμό αρχή εγκρίνει τις πιστώσεις για τη συνεισφορά που προορίζεται για τον Οργανισμό.</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Η αρμόδια για τον προϋπολογισμό αρχή εγκρίνει τον πίνακα προσωπικού του Οργανισμού.</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8.</w:t>
      </w:r>
      <w:r w:rsidRPr="001F0F0A">
        <w:rPr>
          <w:szCs w:val="24"/>
          <w:lang w:eastAsia="en-US"/>
        </w:rPr>
        <w:tab/>
        <w:t>Ο προϋπολογισμός του Οργανισμού εγκρίνεται από το διοικητικό συμβούλιο</w:t>
      </w:r>
      <w:r w:rsidRPr="001F0F0A">
        <w:rPr>
          <w:b/>
          <w:i/>
          <w:szCs w:val="24"/>
          <w:lang w:eastAsia="en-US"/>
        </w:rPr>
        <w:t xml:space="preserve"> με πλειοψηφία δύο τρίτων των μελών του που έχουν δικαίωμα ψήφου</w:t>
      </w:r>
      <w:r w:rsidRPr="001F0F0A">
        <w:rPr>
          <w:szCs w:val="24"/>
          <w:lang w:eastAsia="en-US"/>
        </w:rPr>
        <w:t>. Ο προϋπολογισμός καθίσταται οριστικός μετά την τελική έγκριση του γενικού προϋπολογισμού της Ευρωπαϊκής Ένωσης. Εάν κριθεί αναγκαίο, αναπροσαρμόζεται δεόντως.</w:t>
      </w:r>
      <w:r w:rsidR="00CF11F6">
        <w:rPr>
          <w:b/>
          <w:szCs w:val="24"/>
          <w:lang w:eastAsia="en-US"/>
        </w:rPr>
        <w:t xml:space="preserve"> [Τροπολογία 84]</w:t>
      </w:r>
    </w:p>
    <w:p w:rsidR="001F0F0A" w:rsidRPr="001F0F0A" w:rsidRDefault="001F0F0A" w:rsidP="001F0F0A">
      <w:pPr>
        <w:spacing w:before="120" w:after="120" w:line="360" w:lineRule="auto"/>
        <w:ind w:left="850" w:hanging="850"/>
        <w:rPr>
          <w:szCs w:val="24"/>
          <w:lang w:eastAsia="en-US"/>
        </w:rPr>
      </w:pPr>
      <w:r w:rsidRPr="001F0F0A">
        <w:rPr>
          <w:szCs w:val="24"/>
          <w:lang w:eastAsia="en-US"/>
        </w:rPr>
        <w:t>9.</w:t>
      </w:r>
      <w:r w:rsidRPr="001F0F0A">
        <w:rPr>
          <w:szCs w:val="24"/>
          <w:lang w:eastAsia="en-US"/>
        </w:rPr>
        <w:tab/>
        <w:t>Για τυχόν έργα κατασκευής κτιρίων που ενδέχεται να έχουν σημαντικές επιπτώσεις στον προϋπολογισμό του Οργανισμού, εφαρμόζονται οι διατάξεις του κατ’ εξουσιοδότηση κανονισμού (ΕΕ) 2019/715 της Επιτροπής.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28</w:t>
      </w:r>
      <w:r w:rsidRPr="001F0F0A">
        <w:rPr>
          <w:szCs w:val="24"/>
          <w:lang w:eastAsia="en-US"/>
        </w:rPr>
        <w:br/>
        <w:t>Εκτέλεση του προϋπολογισμού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εκτελεστικός διευθυντής εκτελεί τον προϋπολογισμό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Ο εκτελεστικός διευθυντής διαβιβάζει ετησίως στην αρμόδια για τον προϋπολογισμό αρχή όλες τις πληροφορίες σχετικά με τα πορίσματα των διαδικασιών αξιολόγησης.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29</w:t>
      </w:r>
      <w:r w:rsidRPr="001F0F0A">
        <w:rPr>
          <w:szCs w:val="24"/>
          <w:lang w:eastAsia="en-US"/>
        </w:rPr>
        <w:br/>
        <w:t>Απόδοση λογαριασμών και απαλλαγή</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Μέχρι την 1η Μαρτίου του επόμενου οικονομικού έτους, ο υπόλογος του Οργανισμού διαβιβάζει τους προσωρινούς λογαριασμούς στον υπόλογο της Επιτροπής και στο Ελεγκτικό Συνέδριο.</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Μέχρι την 31η Μαρτίου του επόμενου οικονομικού έτους, ο Οργανισμός διαβιβάζει την έκθεση σχετικά με τη δημοσιονομική και οικονομική διαχείριση στο Ευρωπαϊκό Κοινοβούλιο, στο Συμβούλιο και στο Ελεγκτικό Συνέδριο.</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Μέχρι την 31η Μαρτίου του επόμενου οικονομικού έτους, ο υπόλογος της Επιτροπής διαβιβάζει στο Ελεγκτικό Συνέδριο τους προσωρινούς λογαριασμούς του Οργανισμού, κατόπιν ενοποίησης με τους λογαριασμούς της Επιτροπής.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Μετά τη λήψη των παρατηρήσεων του Ελεγκτικού Συνεδρίου σχετικά με τους προσωρινούς λογαριασμούς του Οργανισμού σύμφωνα με το άρθρο 246 του δημοσιονομικού κανονισμού, ο εκτελεστικός διευθυντής καταρτίζει τους οριστικούς λογαριασμούς με δική του ευθύνη και τους διαβιβάζει στο διοικητικό συμβούλιο για την έκδοση γνώμης.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5.</w:t>
      </w:r>
      <w:r w:rsidRPr="001F0F0A">
        <w:rPr>
          <w:szCs w:val="24"/>
          <w:lang w:eastAsia="en-US"/>
        </w:rPr>
        <w:tab/>
        <w:t>Το διοικητικό συμβούλιο διατυπώνει γνώμη σχετικά με τους οριστικούς λογαριασμούς του Οργανισμού.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6.</w:t>
      </w:r>
      <w:r w:rsidRPr="001F0F0A">
        <w:rPr>
          <w:szCs w:val="24"/>
          <w:lang w:eastAsia="en-US"/>
        </w:rPr>
        <w:tab/>
        <w:t>Την 1η Ιουλίου του επόμενου οικονομικού έτους, ο υπόλογος διαβιβάζει στο Ευρωπαϊκό Κοινοβούλιο, στο Συμβούλιο, στην Επιτροπή και στο Ευρωπαϊκό Ελεγκτικό Συνέδριο τους οριστικούς λογαριασμούς, συνοδευόμενους από τη γνώμη του διοικητικού συμβουλίου.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7.</w:t>
      </w:r>
      <w:r w:rsidRPr="001F0F0A">
        <w:rPr>
          <w:szCs w:val="24"/>
          <w:lang w:eastAsia="en-US"/>
        </w:rPr>
        <w:tab/>
        <w:t xml:space="preserve">Οι οριστικοί λογαριασμοί δημοσιεύονται στην </w:t>
      </w:r>
      <w:r w:rsidRPr="008B104A">
        <w:rPr>
          <w:i/>
          <w:szCs w:val="24"/>
          <w:lang w:eastAsia="en-US"/>
        </w:rPr>
        <w:t>Επίσημη Εφημερίδα της Ευρωπαϊκής Ένωσης</w:t>
      </w:r>
      <w:r w:rsidRPr="001F0F0A">
        <w:rPr>
          <w:szCs w:val="24"/>
          <w:lang w:eastAsia="en-US"/>
        </w:rPr>
        <w:t xml:space="preserve"> έως τις 15 Νοεμβρίου του επόμενου οικονομικού έτους.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8.</w:t>
      </w:r>
      <w:r w:rsidRPr="001F0F0A">
        <w:rPr>
          <w:szCs w:val="24"/>
          <w:lang w:eastAsia="en-US"/>
        </w:rPr>
        <w:tab/>
        <w:t>Ο εκτελεστικός διευθυντής διαβιβάζει στο Ελεγκτικό Συνέδριο απάντηση στις παρατηρήσεις του έως τις 30 Σεπτεμβρίου. Την εν λόγω απάντηση διαβιβάζει ο εκτελεστικός διευθυντής και στο διοικητικό συμβούλιο.</w:t>
      </w:r>
    </w:p>
    <w:p w:rsidR="001F0F0A" w:rsidRPr="001F0F0A" w:rsidRDefault="001F0F0A" w:rsidP="001F0F0A">
      <w:pPr>
        <w:spacing w:before="120" w:after="120" w:line="360" w:lineRule="auto"/>
        <w:ind w:left="850" w:hanging="850"/>
        <w:rPr>
          <w:szCs w:val="24"/>
          <w:lang w:eastAsia="en-US"/>
        </w:rPr>
      </w:pPr>
      <w:r w:rsidRPr="001F0F0A">
        <w:rPr>
          <w:szCs w:val="24"/>
          <w:lang w:eastAsia="en-US"/>
        </w:rPr>
        <w:t>9.</w:t>
      </w:r>
      <w:r w:rsidRPr="001F0F0A">
        <w:rPr>
          <w:szCs w:val="24"/>
          <w:lang w:eastAsia="en-US"/>
        </w:rPr>
        <w:tab/>
        <w:t>Ο εκτελεστικός διευθυντής υποβάλλει στο Ευρωπαϊκό Κοινοβούλιο, κατόπιν αιτήματος του τελευταίου, κάθε πληροφορία που απαιτείται για την ομαλή εφαρμογή της διαδικασίας απαλλαγής για το συγκεκριμένο οικονομικό έτος, σύμφωνα με το άρθρο 261 παράγραφος 3 του δημοσιονομικού κανονισμού.</w:t>
      </w:r>
    </w:p>
    <w:p w:rsidR="001F0F0A" w:rsidRPr="001F0F0A" w:rsidRDefault="001F0F0A" w:rsidP="001F0F0A">
      <w:pPr>
        <w:spacing w:before="120" w:after="120" w:line="360" w:lineRule="auto"/>
        <w:ind w:left="850" w:hanging="850"/>
        <w:rPr>
          <w:szCs w:val="24"/>
          <w:lang w:eastAsia="en-US"/>
        </w:rPr>
      </w:pPr>
      <w:r w:rsidRPr="001F0F0A">
        <w:rPr>
          <w:szCs w:val="24"/>
          <w:lang w:eastAsia="en-US"/>
        </w:rPr>
        <w:t>10.</w:t>
      </w:r>
      <w:r w:rsidRPr="001F0F0A">
        <w:rPr>
          <w:szCs w:val="24"/>
          <w:lang w:eastAsia="en-US"/>
        </w:rPr>
        <w:tab/>
        <w:t xml:space="preserve">Το Ευρωπαϊκό Κοινοβούλιο, λαμβάνοντας υπόψη σύσταση του Συμβουλίου που αποφασίζει με ειδική πλειοψηφία, απαλλάσσει τον εκτελεστικό διευθυντή, πριν από τις 15 Μαΐου του έτους </w:t>
      </w:r>
      <w:r w:rsidRPr="001F0F0A">
        <w:rPr>
          <w:szCs w:val="24"/>
          <w:lang w:val="en-GB" w:eastAsia="en-US"/>
        </w:rPr>
        <w:t>N</w:t>
      </w:r>
      <w:r w:rsidRPr="001F0F0A">
        <w:rPr>
          <w:szCs w:val="24"/>
          <w:lang w:eastAsia="en-US"/>
        </w:rPr>
        <w:t xml:space="preserve"> + 2, από την ευθύνη εκτέλεσης του προϋπολογισμού για το έτος </w:t>
      </w:r>
      <w:r w:rsidRPr="001F0F0A">
        <w:rPr>
          <w:szCs w:val="24"/>
          <w:lang w:val="en-GB" w:eastAsia="en-US"/>
        </w:rPr>
        <w:t>N</w:t>
      </w:r>
      <w:r w:rsidRPr="001F0F0A">
        <w:rPr>
          <w:szCs w:val="24"/>
          <w:lang w:eastAsia="en-US"/>
        </w:rPr>
        <w:t>.</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 xml:space="preserve">ΚΕΦΑΛΑΙΟ </w:t>
      </w:r>
      <w:r w:rsidRPr="001F0F0A">
        <w:rPr>
          <w:szCs w:val="24"/>
          <w:lang w:val="en-GB" w:eastAsia="en-US"/>
        </w:rPr>
        <w:t>VII</w:t>
      </w:r>
      <w:r w:rsidRPr="001F0F0A">
        <w:rPr>
          <w:szCs w:val="24"/>
          <w:lang w:eastAsia="en-US"/>
        </w:rPr>
        <w:br/>
        <w:t>ΠΡΟΣΩΠΙΚΟ</w:t>
      </w:r>
    </w:p>
    <w:p w:rsidR="001F0F0A" w:rsidRPr="001F0F0A" w:rsidRDefault="001F0F0A" w:rsidP="001F0F0A">
      <w:pPr>
        <w:spacing w:before="120" w:after="120" w:line="360" w:lineRule="auto"/>
        <w:jc w:val="center"/>
        <w:rPr>
          <w:szCs w:val="24"/>
          <w:lang w:eastAsia="en-US"/>
        </w:rPr>
      </w:pPr>
      <w:r w:rsidRPr="001F0F0A">
        <w:rPr>
          <w:szCs w:val="24"/>
          <w:lang w:eastAsia="en-US"/>
        </w:rPr>
        <w:t>Άρθρο 30</w:t>
      </w:r>
      <w:r w:rsidRPr="001F0F0A">
        <w:rPr>
          <w:szCs w:val="24"/>
          <w:lang w:eastAsia="en-US"/>
        </w:rPr>
        <w:br/>
        <w:t>Γενική διάταξη</w:t>
      </w:r>
    </w:p>
    <w:p w:rsidR="001F0F0A" w:rsidRPr="001F0F0A" w:rsidRDefault="001F0F0A" w:rsidP="001F0F0A">
      <w:pPr>
        <w:spacing w:before="120" w:after="120" w:line="360" w:lineRule="auto"/>
        <w:rPr>
          <w:szCs w:val="24"/>
          <w:lang w:eastAsia="en-US"/>
        </w:rPr>
      </w:pPr>
      <w:r w:rsidRPr="001F0F0A">
        <w:rPr>
          <w:szCs w:val="24"/>
          <w:lang w:eastAsia="en-US"/>
        </w:rPr>
        <w:t>Στο προσωπικό του Οργανισμού εφαρμόζονται ο κανονισμός υπηρεσιακής κατάστασης και το καθεστώς που εφαρμόζεται στο λοιπό προσωπικό, καθώς και οι κανόνες που θεσπίζονται κατόπιν συμφωνίας μεταξύ των θεσμικών οργάνων της Ένωσης για την εφαρμογή του κανονισμού υπηρεσιακής κατάστασης και του καθεστώτος που εφαρμόζεται στο λοιπό προσωπικό.</w:t>
      </w:r>
    </w:p>
    <w:p w:rsidR="001F0F0A" w:rsidRPr="001F0F0A" w:rsidRDefault="001F0F0A" w:rsidP="001F0F0A">
      <w:pPr>
        <w:spacing w:before="120" w:after="120" w:line="360" w:lineRule="auto"/>
        <w:jc w:val="center"/>
        <w:rPr>
          <w:szCs w:val="24"/>
          <w:lang w:eastAsia="en-US"/>
        </w:rPr>
      </w:pPr>
      <w:r w:rsidRPr="001F0F0A">
        <w:rPr>
          <w:szCs w:val="24"/>
          <w:lang w:eastAsia="en-US"/>
        </w:rPr>
        <w:t>Άρθρο 31</w:t>
      </w:r>
      <w:r w:rsidRPr="001F0F0A">
        <w:rPr>
          <w:szCs w:val="24"/>
          <w:lang w:eastAsia="en-US"/>
        </w:rPr>
        <w:br/>
        <w:t>Αποσπασμένοι εθνικοί εμπειρογνώμονες και λοιπό προσωπικό</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Οργανισμός δύναται να χρησιμοποιεί αποσπασμένους εθνικούς εμπειρογνώμονες ή άλλο προσωπικό που δεν απασχολείται από τον Οργανισμό.</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διοικητικό συμβούλιο εκδίδει απόφαση για τον καθορισμό κανόνων σχετικά με την απόσπαση εθνικών εμπειρογνωμόνων στον Οργανισμό.</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 xml:space="preserve">ΚΕΦΑΛΑΙΟ </w:t>
      </w:r>
      <w:r w:rsidRPr="001F0F0A">
        <w:rPr>
          <w:szCs w:val="24"/>
          <w:lang w:val="en-GB" w:eastAsia="en-US"/>
        </w:rPr>
        <w:t>VIII</w:t>
      </w:r>
      <w:r w:rsidRPr="001F0F0A">
        <w:rPr>
          <w:szCs w:val="24"/>
          <w:lang w:eastAsia="en-US"/>
        </w:rPr>
        <w:br/>
        <w:t>ΓΕΝΙΚΕΣ ΚΑΙ ΤΕΛΙΚΕΣ ΔΙΑΤΑΞΕΙΣ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32</w:t>
      </w:r>
      <w:r w:rsidRPr="001F0F0A">
        <w:rPr>
          <w:szCs w:val="24"/>
          <w:lang w:eastAsia="en-US"/>
        </w:rPr>
        <w:br/>
        <w:t>Νομικό καθεστώς και έδρα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Οργανισμός είναι όργανο της Ένωσης και διαθέτει νομική προσωπικότητα.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Σε κάθε κράτος μέλος, ο Οργανισμός διαθέτει την ευρύτερη δυνατή νομική ικανότητα που αναγνωρίζεται σε νομικά πρόσωπα από τις εθνικές νομοθεσίες τους. Μπορεί ιδίως να αποκτά και να διαθέτει κινητή και ακίνητη περιουσία και να παρίσταται ενώπιον δικαστηρίου.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Ο Οργανισμός αντιπροσωπεύεται από τον εκτελεστικό διευθυντή του.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Έδρα του Οργανισμού είναι η Λισαβόνα, στη Δημοκρατία της Πορτογαλίας.</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4α.</w:t>
      </w:r>
      <w:r w:rsidRPr="001F0F0A">
        <w:rPr>
          <w:szCs w:val="24"/>
          <w:lang w:eastAsia="en-US"/>
        </w:rPr>
        <w:tab/>
      </w:r>
      <w:r w:rsidRPr="001F0F0A">
        <w:rPr>
          <w:b/>
          <w:i/>
          <w:szCs w:val="24"/>
          <w:lang w:eastAsia="en-US"/>
        </w:rPr>
        <w:t>Προκειμένου να επιτευχθεί εξοικονόμηση πόρων, ο Οργανισμός συνεργάζεται όπου είναι σκόπιμο στενά με τα άλλα θεσμικά και λοιπά όργανα και τους οργανισμούς της Ένωσης, ιδίως με εκείνα που έχουν την έδρα τους στο ίδιο κράτος μέλος.</w:t>
      </w:r>
      <w:r w:rsidR="00CF11F6">
        <w:rPr>
          <w:b/>
          <w:szCs w:val="24"/>
          <w:lang w:eastAsia="en-US"/>
        </w:rPr>
        <w:t xml:space="preserve"> [Τροπολογία 85]</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szCs w:val="24"/>
          <w:lang w:eastAsia="en-US"/>
        </w:rPr>
        <w:lastRenderedPageBreak/>
        <w:t>5.</w:t>
      </w:r>
      <w:r w:rsidRPr="001F0F0A">
        <w:rPr>
          <w:szCs w:val="24"/>
          <w:lang w:eastAsia="en-US"/>
        </w:rPr>
        <w:tab/>
        <w:t>Κατόπιν αιτήματος της Επιτροπής το διοικητικό συμβούλιο μπορεί να αποφασίσει</w:t>
      </w:r>
      <w:r w:rsidRPr="001F0F0A">
        <w:rPr>
          <w:b/>
          <w:i/>
          <w:szCs w:val="24"/>
          <w:lang w:eastAsia="en-US"/>
        </w:rPr>
        <w:t>, αφού ενημερώσει την αρμόδια επιτροπή του Ευρωπαϊκού Κοινοβουλίου</w:t>
      </w:r>
      <w:r w:rsidRPr="001F0F0A">
        <w:rPr>
          <w:szCs w:val="24"/>
          <w:lang w:eastAsia="en-US"/>
        </w:rPr>
        <w:t>, με τη συμφωνία και συνεργασία των οικείων κρατών μελών και λαμβανομένων δεόντως υπόψη των δημοσιονομικών επιπτώσεων, συμπεριλαμβανομένης της τυχόν συνεισφοράς των οικείων κρατών μελών, να ιδρύσει τα περιφερειακά κέντρα που είναι αναγκαία για την εκτέλεση, κατά τον πλέον αποτελεσματικό και αποδοτικό τρόπο, ορισμένων εκ των καθηκόντων του Οργανισμού. Κατά τη λήψη αυτής της απόφασης το διοικητικό συμβούλιο ορίζει το ακριβές πεδίο εφαρμογής των δραστηριοτήτων του περιφερειακού κέντρου, μεριμνώντας παράλληλα για την αποφυγή μη αναγκαίων στοιχείων χρηματικού κόστους και για την τόνωση της συνεργασίας με τα υπάρχοντα περιφερειακά και εθνικά δίκτυα.</w:t>
      </w:r>
      <w:r w:rsidR="00CF11F6">
        <w:rPr>
          <w:b/>
          <w:szCs w:val="24"/>
          <w:lang w:eastAsia="en-US"/>
        </w:rPr>
        <w:t xml:space="preserve"> [Τροπολογία 86]</w:t>
      </w:r>
    </w:p>
    <w:p w:rsidR="001F0F0A" w:rsidRPr="001F0F0A" w:rsidRDefault="001F0F0A" w:rsidP="001F0F0A">
      <w:pPr>
        <w:spacing w:before="120" w:after="120" w:line="360" w:lineRule="auto"/>
        <w:jc w:val="center"/>
        <w:rPr>
          <w:b/>
          <w:szCs w:val="24"/>
          <w:lang w:eastAsia="en-US"/>
        </w:rPr>
      </w:pPr>
      <w:r w:rsidRPr="001F0F0A">
        <w:rPr>
          <w:szCs w:val="24"/>
          <w:lang w:eastAsia="en-US"/>
        </w:rPr>
        <w:t>Άρθρο 33</w:t>
      </w:r>
      <w:r w:rsidRPr="001F0F0A">
        <w:rPr>
          <w:szCs w:val="24"/>
          <w:lang w:eastAsia="en-US"/>
        </w:rPr>
        <w:br/>
      </w:r>
      <w:r w:rsidRPr="001F0F0A">
        <w:rPr>
          <w:strike/>
          <w:szCs w:val="24"/>
          <w:lang w:eastAsia="en-US"/>
        </w:rPr>
        <w:t xml:space="preserve">Εκτελεστικές πράξεις που αφορούν τα </w:t>
      </w:r>
      <w:r w:rsidRPr="001F0F0A">
        <w:rPr>
          <w:szCs w:val="24"/>
          <w:lang w:eastAsia="en-US"/>
        </w:rPr>
        <w:t>Τέλη και</w:t>
      </w:r>
      <w:r w:rsidRPr="001F0F0A">
        <w:rPr>
          <w:strike/>
          <w:szCs w:val="24"/>
          <w:lang w:eastAsia="en-US"/>
        </w:rPr>
        <w:t xml:space="preserve"> τις</w:t>
      </w:r>
      <w:r w:rsidRPr="001F0F0A">
        <w:rPr>
          <w:szCs w:val="24"/>
          <w:lang w:eastAsia="en-US"/>
        </w:rPr>
        <w:t xml:space="preserve"> επιβαρύνσεις</w:t>
      </w:r>
      <w:r w:rsidR="00CF11F6">
        <w:rPr>
          <w:b/>
          <w:szCs w:val="24"/>
          <w:lang w:eastAsia="en-US"/>
        </w:rPr>
        <w:t xml:space="preserve"> [Τροπολογία 87]</w:t>
      </w:r>
    </w:p>
    <w:p w:rsidR="001F0F0A" w:rsidRPr="001F0F0A" w:rsidRDefault="001F0F0A" w:rsidP="001F0F0A">
      <w:pPr>
        <w:spacing w:before="120" w:after="120" w:line="360" w:lineRule="auto"/>
        <w:ind w:left="850" w:hanging="850"/>
        <w:rPr>
          <w:szCs w:val="24"/>
          <w:lang w:eastAsia="en-US"/>
        </w:rPr>
      </w:pPr>
      <w:r w:rsidRPr="001F0F0A">
        <w:rPr>
          <w:strike/>
          <w:szCs w:val="24"/>
          <w:lang w:eastAsia="en-US"/>
        </w:rPr>
        <w:t>1.</w:t>
      </w:r>
      <w:r w:rsidRPr="001F0F0A">
        <w:rPr>
          <w:szCs w:val="24"/>
          <w:lang w:eastAsia="en-US"/>
        </w:rPr>
        <w:tab/>
      </w:r>
      <w:r w:rsidRPr="001F0F0A">
        <w:rPr>
          <w:strike/>
          <w:szCs w:val="24"/>
          <w:lang w:eastAsia="en-US"/>
        </w:rPr>
        <w:t>Η Επιτροπή, σύμφωνα με τις αρχές που ορίζονται στις παραγράφους 2, 3 και 4, εκδίδει εκτελεστικές πράξεις που ορίζουν:</w:t>
      </w:r>
    </w:p>
    <w:p w:rsidR="001F0F0A" w:rsidRPr="001F0F0A" w:rsidRDefault="001F0F0A" w:rsidP="001F0F0A">
      <w:pPr>
        <w:spacing w:before="120" w:after="120" w:line="360" w:lineRule="auto"/>
        <w:ind w:left="1416" w:hanging="566"/>
        <w:rPr>
          <w:szCs w:val="24"/>
          <w:lang w:eastAsia="en-US"/>
        </w:rPr>
      </w:pPr>
      <w:r w:rsidRPr="001F0F0A">
        <w:rPr>
          <w:strike/>
          <w:szCs w:val="24"/>
          <w:lang w:eastAsia="en-US"/>
        </w:rPr>
        <w:t>α)</w:t>
      </w:r>
      <w:r w:rsidRPr="001F0F0A">
        <w:rPr>
          <w:szCs w:val="24"/>
          <w:lang w:eastAsia="en-US"/>
        </w:rPr>
        <w:tab/>
      </w:r>
      <w:r w:rsidRPr="001F0F0A">
        <w:rPr>
          <w:strike/>
          <w:szCs w:val="24"/>
          <w:lang w:eastAsia="en-US"/>
        </w:rPr>
        <w:t>τα τέλη και τις επιβαρύνσεις που πρέπει να καταβάλλονται στον Οργανισμό, ιδίως κατ’ εφαρμογή του άρθρου 26 παράγραφος 3 στοιχείο γ)· και</w:t>
      </w:r>
    </w:p>
    <w:p w:rsidR="001F0F0A" w:rsidRPr="001F0F0A" w:rsidRDefault="001F0F0A" w:rsidP="001F0F0A">
      <w:pPr>
        <w:spacing w:before="120" w:after="120" w:line="360" w:lineRule="auto"/>
        <w:ind w:left="1416" w:hanging="566"/>
        <w:rPr>
          <w:szCs w:val="24"/>
          <w:lang w:eastAsia="en-US"/>
        </w:rPr>
      </w:pPr>
      <w:r w:rsidRPr="001F0F0A">
        <w:rPr>
          <w:strike/>
          <w:szCs w:val="24"/>
          <w:lang w:eastAsia="en-US"/>
        </w:rPr>
        <w:t>β)</w:t>
      </w:r>
      <w:r w:rsidRPr="001F0F0A">
        <w:rPr>
          <w:szCs w:val="24"/>
          <w:lang w:eastAsia="en-US"/>
        </w:rPr>
        <w:tab/>
      </w:r>
      <w:r w:rsidRPr="001F0F0A">
        <w:rPr>
          <w:strike/>
          <w:szCs w:val="24"/>
          <w:lang w:eastAsia="en-US"/>
        </w:rPr>
        <w:t>τους όρους πληρωμής.</w:t>
      </w:r>
    </w:p>
    <w:p w:rsidR="001F0F0A" w:rsidRPr="001F0F0A" w:rsidRDefault="001F0F0A" w:rsidP="001F0F0A">
      <w:pPr>
        <w:spacing w:before="120" w:after="120" w:line="360" w:lineRule="auto"/>
        <w:ind w:left="850"/>
        <w:rPr>
          <w:b/>
          <w:szCs w:val="24"/>
          <w:lang w:eastAsia="en-US"/>
        </w:rPr>
      </w:pPr>
      <w:r w:rsidRPr="001F0F0A">
        <w:rPr>
          <w:strike/>
          <w:szCs w:val="24"/>
          <w:lang w:eastAsia="en-US"/>
        </w:rPr>
        <w:t>Οι εν λόγω εκτελεστικές πράξεις εκδίδονται σύμφωνα με τη διαδικασία εξέτασης που αναφέρεται στο άρθρο 34 παράγραφος 2.</w:t>
      </w:r>
      <w:r w:rsidR="00CF11F6">
        <w:rPr>
          <w:b/>
          <w:szCs w:val="24"/>
          <w:lang w:eastAsia="en-US"/>
        </w:rPr>
        <w:t xml:space="preserve"> [Τροπολογία 88]</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Τα τέλη και οι επιβαρύνσεις επιβάλλονται για πιθανές υπηρεσίες που παρέχονται από τον Οργανισμό, ιδίως σε τρίτες χώρες και στον κλάδο, για καθήκοντα που εμπίπτουν στις αρμοδιότητές του.</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Όλα τα τέλη και οι επιβαρύνσεις εκφράζονται και καταβάλλονται σε ευρώ. Τα τέλη και οι επιβαρύνσεις καθορίζονται με διαφανή, δίκαιο και ομοιόμορφο τρόπο. Λαμβάνονται υπόψη, ανάλογα με την περίπτωση, οι ειδικές ανάγκες των μικρών και μεσαίων επιχειρήσεων, συμπεριλαμβανομένης της δυνατότητας μερισμού των πληρωμών σε περισσότερες δόσεις και στάδια. Ο επιμερισμός των τελών προσδιορίζεται με σαφήνεια στους λογαριασμούς. Ορίζονται εύλογες προθεσμίες για την καταβολή των τελών και των επιβαρύνσεων.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Το ύψος των τελών και επιβαρύνσεων καθορίζεται σε τέτοιο επίπεδο ώστε να εξασφαλίζεται ότι τα σχετικά έσοδα επαρκούν για την κάλυψη του συνολικού κόστους των παρεχόμενων υπηρεσιών. Στο κόστος αυτό συνυπολογίζονται ιδίως όλες οι δαπάνες του Οργανισμού για το προσωπικό που συμμετέχει στις αναφερόμενες στην παράγραφο 2 δραστηριότητες, συμπεριλαμβανομένης της αναλογικής εισφοράς του εργοδότη στο συνταξιοδοτικό σύστημα. Σε περίπτωση που εξακριβώνεται επανειλημμένα μεγάλη ανισορροπία επειδή τα τέλη και οι επιβαρύνσεις δεν καλύπτουν την παροχή των υπηρεσιών, το επίπεδο των τελών και επιβαρύνσεων αναθεωρείται. Τα εν λόγω τέλη και επιβαρύνσεις θεωρούνται έσοδα του Οργανισμού.</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lastRenderedPageBreak/>
        <w:t>4α.</w:t>
      </w:r>
      <w:r w:rsidRPr="001F0F0A">
        <w:rPr>
          <w:szCs w:val="24"/>
          <w:lang w:eastAsia="en-US"/>
        </w:rPr>
        <w:tab/>
      </w:r>
      <w:r w:rsidRPr="001F0F0A">
        <w:rPr>
          <w:b/>
          <w:i/>
          <w:szCs w:val="24"/>
          <w:lang w:eastAsia="en-US"/>
        </w:rPr>
        <w:t>Η Επιτροπή η εκδίδει κατ’ εξουσιοδότηση πράξεις, σύμφωνα με το άρθρο 261, για τη συμπλήρωση του παρόντος κανονισμού με τον ορισμό της μεθοδολογίας για τον υπολογισμό των τελών και επιβαρύνσεων που αναφέρονται στην παράγραφο 2. Η εν λόγω μεθοδολογία βασίζεται στις αρχές που ορίζονται στις παραγράφους 3 και 4.</w:t>
      </w:r>
      <w:r w:rsidR="00CF11F6">
        <w:rPr>
          <w:b/>
          <w:szCs w:val="24"/>
          <w:lang w:eastAsia="en-US"/>
        </w:rPr>
        <w:t xml:space="preserve"> [Τροπολογία 89]</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4β.</w:t>
      </w:r>
      <w:r w:rsidRPr="001F0F0A">
        <w:rPr>
          <w:szCs w:val="24"/>
          <w:lang w:eastAsia="en-US"/>
        </w:rPr>
        <w:tab/>
      </w:r>
      <w:r w:rsidRPr="001F0F0A">
        <w:rPr>
          <w:b/>
          <w:i/>
          <w:szCs w:val="24"/>
          <w:lang w:eastAsia="en-US"/>
        </w:rPr>
        <w:t>Με βάση τη μεθοδολογία που ορίζεται σύμφωνα με την παράγραφο 4α, η Επιτροπή εκδίδει εκτελεστικές πράξεις που καθορίζουν τα τέλη και τις επιβαρύνσεις για την παροχή υπηρεσιών. Οι εν λόγω πράξεις εκδίδονται σύμφωνα με τη διαδικασία εξέτασης που αναφέρεται στο άρθρο 34 παράγραφος 2.</w:t>
      </w:r>
      <w:r w:rsidR="00CF11F6">
        <w:rPr>
          <w:b/>
          <w:szCs w:val="24"/>
          <w:lang w:eastAsia="en-US"/>
        </w:rPr>
        <w:t xml:space="preserve"> [Τροπολογία 90]</w:t>
      </w:r>
    </w:p>
    <w:p w:rsidR="001F0F0A" w:rsidRPr="001F0F0A" w:rsidRDefault="001F0F0A" w:rsidP="001F0F0A">
      <w:pPr>
        <w:spacing w:before="120" w:after="120" w:line="360" w:lineRule="auto"/>
        <w:jc w:val="center"/>
        <w:rPr>
          <w:szCs w:val="24"/>
          <w:lang w:eastAsia="en-US"/>
        </w:rPr>
      </w:pPr>
      <w:r w:rsidRPr="001F0F0A">
        <w:rPr>
          <w:b/>
          <w:i/>
          <w:szCs w:val="24"/>
          <w:lang w:eastAsia="en-US"/>
        </w:rPr>
        <w:t>Άρθρο 33α</w:t>
      </w:r>
      <w:r w:rsidRPr="001F0F0A">
        <w:rPr>
          <w:szCs w:val="24"/>
          <w:lang w:eastAsia="en-US"/>
        </w:rPr>
        <w:br/>
      </w:r>
      <w:r w:rsidRPr="001F0F0A">
        <w:rPr>
          <w:b/>
          <w:i/>
          <w:szCs w:val="24"/>
          <w:lang w:eastAsia="en-US"/>
        </w:rPr>
        <w:t>Άσκηση της εξουσιοδότησης</w:t>
      </w:r>
    </w:p>
    <w:p w:rsidR="001F0F0A" w:rsidRPr="001F0F0A" w:rsidRDefault="001F0F0A" w:rsidP="001F0F0A">
      <w:pPr>
        <w:spacing w:before="120" w:after="120" w:line="360" w:lineRule="auto"/>
        <w:ind w:left="850" w:hanging="850"/>
        <w:rPr>
          <w:szCs w:val="24"/>
          <w:lang w:eastAsia="en-US"/>
        </w:rPr>
      </w:pPr>
      <w:r w:rsidRPr="001F0F0A">
        <w:rPr>
          <w:b/>
          <w:i/>
          <w:szCs w:val="24"/>
          <w:lang w:eastAsia="en-US"/>
        </w:rPr>
        <w:t>1.</w:t>
      </w:r>
      <w:r w:rsidRPr="001F0F0A">
        <w:rPr>
          <w:szCs w:val="24"/>
          <w:lang w:eastAsia="en-US"/>
        </w:rPr>
        <w:tab/>
      </w:r>
      <w:r w:rsidRPr="001F0F0A">
        <w:rPr>
          <w:b/>
          <w:i/>
          <w:szCs w:val="24"/>
          <w:lang w:eastAsia="en-US"/>
        </w:rPr>
        <w:t>Ανατίθεται στην Επιτροπή η εξουσία να εκδίδει κατ’ εξουσιοδότηση πράξεις υπό τους όρους του παρόντος άρθρου.</w:t>
      </w:r>
    </w:p>
    <w:p w:rsidR="001F0F0A" w:rsidRPr="001F0F0A" w:rsidRDefault="001F0F0A" w:rsidP="001F0F0A">
      <w:pPr>
        <w:spacing w:before="120" w:after="120" w:line="360" w:lineRule="auto"/>
        <w:ind w:left="850" w:hanging="850"/>
        <w:rPr>
          <w:szCs w:val="24"/>
          <w:lang w:eastAsia="en-US"/>
        </w:rPr>
      </w:pPr>
      <w:r w:rsidRPr="001F0F0A">
        <w:rPr>
          <w:b/>
          <w:i/>
          <w:szCs w:val="24"/>
          <w:lang w:eastAsia="en-US"/>
        </w:rPr>
        <w:t>2.</w:t>
      </w:r>
      <w:r w:rsidRPr="001F0F0A">
        <w:rPr>
          <w:szCs w:val="24"/>
          <w:lang w:eastAsia="en-US"/>
        </w:rPr>
        <w:tab/>
      </w:r>
      <w:r w:rsidRPr="001F0F0A">
        <w:rPr>
          <w:b/>
          <w:i/>
          <w:szCs w:val="24"/>
          <w:lang w:eastAsia="en-US"/>
        </w:rPr>
        <w:t>Η προβλεπόμενη στο άρθρο 33 παράγραφος 4α εξουσία έκδοσης κατ’ εξουσιοδότηση πράξεων ανατίθεται στην Επιτροπή για αόριστο χρονικό διάστημα από ... [ημερομηνία έναρξης ισχύος του κανονισμού] / για διάστημα ... ετών από ...</w:t>
      </w:r>
    </w:p>
    <w:p w:rsidR="006F1DCD" w:rsidRDefault="006F1DCD">
      <w:pPr>
        <w:widowControl/>
        <w:rPr>
          <w:b/>
          <w:i/>
          <w:szCs w:val="24"/>
          <w:lang w:eastAsia="en-US"/>
        </w:rPr>
      </w:pPr>
      <w:r>
        <w:rPr>
          <w:b/>
          <w:i/>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b/>
          <w:i/>
          <w:szCs w:val="24"/>
          <w:lang w:eastAsia="en-US"/>
        </w:rPr>
        <w:lastRenderedPageBreak/>
        <w:t>3.</w:t>
      </w:r>
      <w:r w:rsidRPr="001F0F0A">
        <w:rPr>
          <w:szCs w:val="24"/>
          <w:lang w:eastAsia="en-US"/>
        </w:rPr>
        <w:tab/>
      </w:r>
      <w:r w:rsidRPr="001F0F0A">
        <w:rPr>
          <w:b/>
          <w:i/>
          <w:szCs w:val="24"/>
          <w:lang w:eastAsia="en-US"/>
        </w:rPr>
        <w:t xml:space="preserve">Η εξουσιοδότηση που προβλέπεται στο άρθρο 33 παράγραφος 4α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Αρχίζει να ισχύει την επομένη της δημοσίευσής της στην </w:t>
      </w:r>
      <w:bookmarkStart w:id="8" w:name="_GoBack"/>
      <w:r w:rsidRPr="001F0F0A">
        <w:rPr>
          <w:b/>
          <w:i/>
          <w:szCs w:val="24"/>
          <w:lang w:eastAsia="en-US"/>
        </w:rPr>
        <w:t>Επίσημη Εφημερίδα της Ευρωπαϊκής Ένωσης</w:t>
      </w:r>
      <w:bookmarkEnd w:id="8"/>
      <w:r w:rsidRPr="001F0F0A">
        <w:rPr>
          <w:b/>
          <w:i/>
          <w:szCs w:val="24"/>
          <w:lang w:eastAsia="en-US"/>
        </w:rPr>
        <w:t xml:space="preserve"> ή σε μεταγενέστερη ημερομηνία η οποία προσδιορίζεται στην εν λόγω απόφαση. Δεν επηρεάζει το κύρος των ήδη εν ισχύι κατ’ εξουσιοδότηση πράξεων.</w:t>
      </w:r>
    </w:p>
    <w:p w:rsidR="001F0F0A" w:rsidRPr="001F0F0A" w:rsidRDefault="001F0F0A" w:rsidP="001F0F0A">
      <w:pPr>
        <w:spacing w:before="120" w:after="120" w:line="360" w:lineRule="auto"/>
        <w:ind w:left="850" w:hanging="850"/>
        <w:rPr>
          <w:szCs w:val="24"/>
          <w:lang w:eastAsia="en-US"/>
        </w:rPr>
      </w:pPr>
      <w:r w:rsidRPr="001F0F0A">
        <w:rPr>
          <w:b/>
          <w:i/>
          <w:szCs w:val="24"/>
          <w:lang w:eastAsia="en-US"/>
        </w:rPr>
        <w:t>4.</w:t>
      </w:r>
      <w:r w:rsidRPr="001F0F0A">
        <w:rPr>
          <w:szCs w:val="24"/>
          <w:lang w:eastAsia="en-US"/>
        </w:rPr>
        <w:tab/>
      </w:r>
      <w:r w:rsidRPr="001F0F0A">
        <w:rPr>
          <w:b/>
          <w:i/>
          <w:szCs w:val="24"/>
          <w:lang w:eastAsia="en-US"/>
        </w:rPr>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1F0F0A" w:rsidRPr="001F0F0A" w:rsidRDefault="001F0F0A" w:rsidP="001F0F0A">
      <w:pPr>
        <w:spacing w:before="120" w:after="120" w:line="360" w:lineRule="auto"/>
        <w:ind w:left="850" w:hanging="850"/>
        <w:rPr>
          <w:szCs w:val="24"/>
          <w:lang w:eastAsia="en-US"/>
        </w:rPr>
      </w:pPr>
      <w:r w:rsidRPr="001F0F0A">
        <w:rPr>
          <w:b/>
          <w:i/>
          <w:szCs w:val="24"/>
          <w:lang w:eastAsia="en-US"/>
        </w:rPr>
        <w:t>5.</w:t>
      </w:r>
      <w:r w:rsidRPr="001F0F0A">
        <w:rPr>
          <w:szCs w:val="24"/>
          <w:lang w:eastAsia="en-US"/>
        </w:rPr>
        <w:tab/>
      </w:r>
      <w:r w:rsidRPr="001F0F0A">
        <w:rPr>
          <w:b/>
          <w:i/>
          <w:szCs w:val="24"/>
          <w:lang w:eastAsia="en-US"/>
        </w:rPr>
        <w:t>Μόλις εκδώσει κατ’ εξουσιοδότηση πράξη, η Επιτροπή την κοινοποιεί ταυτόχρονα στο Ευρωπαϊκό Κοινοβούλιο και στο Συμβούλιο.</w:t>
      </w:r>
    </w:p>
    <w:p w:rsidR="001F0F0A" w:rsidRPr="001F0F0A" w:rsidRDefault="001F0F0A" w:rsidP="001F0F0A">
      <w:pPr>
        <w:spacing w:before="120" w:after="120" w:line="360" w:lineRule="auto"/>
        <w:ind w:left="850" w:hanging="850"/>
        <w:rPr>
          <w:b/>
          <w:szCs w:val="24"/>
          <w:lang w:eastAsia="en-US"/>
        </w:rPr>
      </w:pPr>
      <w:r w:rsidRPr="001F0F0A">
        <w:rPr>
          <w:b/>
          <w:i/>
          <w:szCs w:val="24"/>
          <w:lang w:eastAsia="en-US"/>
        </w:rPr>
        <w:t>6.</w:t>
      </w:r>
      <w:r w:rsidRPr="001F0F0A">
        <w:rPr>
          <w:szCs w:val="24"/>
          <w:lang w:eastAsia="en-US"/>
        </w:rPr>
        <w:tab/>
      </w:r>
      <w:r w:rsidRPr="001F0F0A">
        <w:rPr>
          <w:b/>
          <w:i/>
          <w:szCs w:val="24"/>
          <w:lang w:eastAsia="en-US"/>
        </w:rPr>
        <w:t>Κάθε κατ’ εξουσιοδότηση πράξη που εκδίδεται δυνάμει του άρθρου 33 παράγραφος 4α αρχίζει να ισχύει μόνον εφόσον δεν διατυπωθούν αντιρρήσεις είτε από το Ευρωπαϊκό Κοινοβούλιο είτε από το Συμβούλιο εντός προθεσμίας δύο μηνών από την κοινοποίηση της πράξης στο Ευρωπαϊκό Κοινοβούλιο και το Συμβούλιο ή εάν, πριν από τη λήξη της εν λόγω προθεσμίας, το Ευρωπαϊκό Κοινοβούλιο και το Συμβούλιο ενημερώσουν αμφότερα την Επιτροπή ότι δεν θα διατυπώσουν αντιρρήσεις. Η περίοδος αυτή παρατείνεται κατά δύο μήνες κατόπιν πρωτοβουλίας του Ευρωπαϊκού Κοινοβουλίου ή του Συμβουλίου.</w:t>
      </w:r>
      <w:r w:rsidR="00CF11F6">
        <w:rPr>
          <w:b/>
          <w:szCs w:val="24"/>
          <w:lang w:eastAsia="en-US"/>
        </w:rPr>
        <w:t xml:space="preserve"> [Τροπολογία 91]</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34</w:t>
      </w:r>
      <w:r w:rsidRPr="001F0F0A">
        <w:rPr>
          <w:szCs w:val="24"/>
          <w:lang w:eastAsia="en-US"/>
        </w:rPr>
        <w:br/>
        <w:t>Διαδικασία επιτροπής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Η Επιτροπή επικουρείται από την επιτροπή ασφάλειας στη ναυτιλία και πρόληψης της ρύπανσης από τα πλοία (</w:t>
      </w:r>
      <w:r w:rsidRPr="001F0F0A">
        <w:rPr>
          <w:szCs w:val="24"/>
          <w:lang w:val="en-GB" w:eastAsia="en-US"/>
        </w:rPr>
        <w:t>COSS</w:t>
      </w:r>
      <w:r w:rsidRPr="001F0F0A">
        <w:rPr>
          <w:szCs w:val="24"/>
          <w:lang w:eastAsia="en-US"/>
        </w:rPr>
        <w:t>), που συστάθηκε βάσει του κανονισμού (ΕΚ) αριθ. 2099/2002 του Ευρωπαϊκού Κοινοβουλίου και του Συμβουλίου</w:t>
      </w:r>
      <w:r w:rsidRPr="001F0F0A">
        <w:rPr>
          <w:szCs w:val="24"/>
          <w:vertAlign w:val="superscript"/>
          <w:lang w:val="en-GB" w:eastAsia="en-US"/>
        </w:rPr>
        <w:footnoteReference w:id="35"/>
      </w:r>
      <w:r w:rsidRPr="001F0F0A">
        <w:rPr>
          <w:szCs w:val="24"/>
          <w:lang w:eastAsia="en-US"/>
        </w:rPr>
        <w:t>. Πρόκειται για επιτροπή κατά την έννοια του κανονισμού (ΕΕ) αριθ. 182/2011.</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Όταν γίνεται παραπομπή στην παρούσα παράγραφο εφαρμόζεται το άρθρο 5 του κανονισμού (ΕΕ) αριθ. 182/2011.</w:t>
      </w:r>
    </w:p>
    <w:p w:rsidR="001F0F0A" w:rsidRPr="001F0F0A" w:rsidRDefault="001F0F0A" w:rsidP="001F0F0A">
      <w:pPr>
        <w:spacing w:before="120" w:after="120" w:line="360" w:lineRule="auto"/>
        <w:jc w:val="center"/>
        <w:rPr>
          <w:szCs w:val="24"/>
          <w:lang w:eastAsia="en-US"/>
        </w:rPr>
      </w:pPr>
      <w:r w:rsidRPr="001F0F0A">
        <w:rPr>
          <w:szCs w:val="24"/>
          <w:lang w:eastAsia="en-US"/>
        </w:rPr>
        <w:t>Άρθρο 35</w:t>
      </w:r>
      <w:r w:rsidRPr="001F0F0A">
        <w:rPr>
          <w:szCs w:val="24"/>
          <w:lang w:eastAsia="en-US"/>
        </w:rPr>
        <w:br/>
        <w:t>Προνόμια και ασυλίες</w:t>
      </w:r>
    </w:p>
    <w:p w:rsidR="001F0F0A" w:rsidRPr="001F0F0A" w:rsidRDefault="001F0F0A" w:rsidP="001F0F0A">
      <w:pPr>
        <w:spacing w:before="120" w:after="120" w:line="360" w:lineRule="auto"/>
        <w:rPr>
          <w:szCs w:val="24"/>
          <w:lang w:eastAsia="en-US"/>
        </w:rPr>
      </w:pPr>
      <w:r w:rsidRPr="001F0F0A">
        <w:rPr>
          <w:szCs w:val="24"/>
          <w:lang w:eastAsia="en-US"/>
        </w:rPr>
        <w:t>Το πρωτόκολλο περί προνομίων και ασυλιών της Ευρωπαϊκής Ένωσης εφαρμόζεται στον Οργανισμό και στο προσωπικό του.</w:t>
      </w:r>
    </w:p>
    <w:p w:rsidR="001F0F0A" w:rsidRPr="001F0F0A" w:rsidRDefault="001F0F0A" w:rsidP="001F0F0A">
      <w:pPr>
        <w:spacing w:before="120" w:after="120" w:line="360" w:lineRule="auto"/>
        <w:jc w:val="center"/>
        <w:rPr>
          <w:szCs w:val="24"/>
          <w:lang w:eastAsia="en-US"/>
        </w:rPr>
      </w:pPr>
      <w:r w:rsidRPr="001F0F0A">
        <w:rPr>
          <w:szCs w:val="24"/>
          <w:lang w:eastAsia="en-US"/>
        </w:rPr>
        <w:t>Άρθρο 36</w:t>
      </w:r>
      <w:r w:rsidRPr="001F0F0A">
        <w:rPr>
          <w:szCs w:val="24"/>
          <w:lang w:eastAsia="en-US"/>
        </w:rPr>
        <w:br/>
        <w:t>Γλωσσικό καθεστώς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Ο Οργανισμός υπόκειται στις διατάξεις του κανονισμού αριθ. 1 του Συμβουλίου</w:t>
      </w:r>
      <w:r w:rsidRPr="001F0F0A">
        <w:rPr>
          <w:szCs w:val="24"/>
          <w:vertAlign w:val="superscript"/>
          <w:lang w:val="en-GB" w:eastAsia="en-US"/>
        </w:rPr>
        <w:footnoteReference w:id="36"/>
      </w:r>
      <w:r w:rsidRPr="001F0F0A">
        <w:rPr>
          <w:szCs w:val="24"/>
          <w:lang w:eastAsia="en-US"/>
        </w:rPr>
        <w:t>.</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Οι μεταφραστικές υπηρεσίες που απαιτούνται για τη λειτουργία του Οργανισμού παρέχονται από το Μεταφραστικό Κέντρο των Οργάνων της Ευρωπαϊκής Ένωσης.</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37</w:t>
      </w:r>
      <w:r w:rsidRPr="001F0F0A">
        <w:rPr>
          <w:szCs w:val="24"/>
          <w:lang w:eastAsia="en-US"/>
        </w:rPr>
        <w:br/>
        <w:t>Διαφάνεια</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Για τα έγγραφα που τηρούνται από τον Οργανισμό εφαρμόζεται ο κανονισμός (ΕΚ) αριθ. 1049/2001 του Ευρωπαϊκού Κοινοβουλίου και του Συμβουλίου</w:t>
      </w:r>
      <w:r w:rsidRPr="001F0F0A">
        <w:rPr>
          <w:szCs w:val="24"/>
          <w:vertAlign w:val="superscript"/>
          <w:lang w:val="en-GB" w:eastAsia="en-US"/>
        </w:rPr>
        <w:footnoteReference w:id="37"/>
      </w:r>
      <w:r w:rsidRPr="001F0F0A">
        <w:rPr>
          <w:szCs w:val="24"/>
          <w:lang w:eastAsia="en-US"/>
        </w:rPr>
        <w:t>.</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διοικητικό συμβούλιο, εντός έξι μηνών από την ημερομηνία της πρώτης συνεδρίασής του, θεσπίζει τους λεπτομερείς κανόνες εφαρμογής του κανονισμού (ΕΚ) αριθ. 1049/2001.</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Οι αποφάσεις που λαμβάνει ο Οργανισμός δυνάμει του άρθρου 8 του κανονισμού (ΕΚ) αριθ. 1049/2001 δύνανται να αποτελούν αντικείμενο καταγγελίας στον Ευρωπαίο Διαμεσολαβητή ή προσφυγής στο Δικαστήριο της Ευρωπαϊκής Ένωσης, υπό τους όρους που προβλέπονται στα άρθρα 228 και 263 της ΣΛΕΕ, αντιστοίχως.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Η επεξεργασία δεδομένων προσωπικού χαρακτήρα από τον Οργανισμό υπόκειται στον κανονισμό (ΕΕ) 2018/1725 του Ευρωπαϊκού Κοινοβουλίου και του Συμβουλίου</w:t>
      </w:r>
      <w:r w:rsidRPr="001F0F0A">
        <w:rPr>
          <w:szCs w:val="24"/>
          <w:vertAlign w:val="superscript"/>
          <w:lang w:val="en-GB" w:eastAsia="en-US"/>
        </w:rPr>
        <w:footnoteReference w:id="38"/>
      </w:r>
      <w:r w:rsidRPr="001F0F0A">
        <w:rPr>
          <w:szCs w:val="24"/>
          <w:lang w:eastAsia="en-US"/>
        </w:rPr>
        <w:t>.</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38</w:t>
      </w:r>
      <w:r w:rsidRPr="001F0F0A">
        <w:rPr>
          <w:szCs w:val="24"/>
          <w:lang w:eastAsia="en-US"/>
        </w:rPr>
        <w:br/>
        <w:t>Καταπολέμηση της απάτης</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Για να διευκολυνθεί η καταπολέμηση της απάτης, της διαφθοράς</w:t>
      </w:r>
      <w:r w:rsidRPr="001F0F0A">
        <w:rPr>
          <w:b/>
          <w:i/>
          <w:szCs w:val="24"/>
          <w:lang w:eastAsia="en-US"/>
        </w:rPr>
        <w:t>, της κατάχρησης εξουσίας</w:t>
      </w:r>
      <w:r w:rsidRPr="001F0F0A">
        <w:rPr>
          <w:szCs w:val="24"/>
          <w:lang w:eastAsia="en-US"/>
        </w:rPr>
        <w:t xml:space="preserve"> και άλλων παράνομων δραστηριοτήτων δυνάμει του κανονισμού (ΕΕ, Ευρατόμ) αριθ. 883/2013, ο Οργανισμός εκδίδει τις κατάλληλες διατάξεις που ισχύουν για όλους τους εργαζομένους του Οργανισμού.</w:t>
      </w:r>
      <w:r w:rsidR="00CF11F6">
        <w:rPr>
          <w:b/>
          <w:szCs w:val="24"/>
          <w:lang w:eastAsia="en-US"/>
        </w:rPr>
        <w:t xml:space="preserve"> [Τροπολογία 92]</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Ευρωπαϊκό Ελεγκτικό Συνέδριο έχει την εξουσία να ελέγχει, βάσει παραστατικών και επιτόπιου ελέγχου, όλους τους δικαιούχους επιχορηγήσεων, τους εργολάβους και τους υπεργολάβους που έλαβαν κονδύλια της Ένωσης από τον Οργανισμό.</w:t>
      </w:r>
    </w:p>
    <w:p w:rsidR="001F0F0A" w:rsidRPr="001F0F0A" w:rsidRDefault="001F0F0A" w:rsidP="001F0F0A">
      <w:pPr>
        <w:spacing w:before="120" w:after="120" w:line="360" w:lineRule="auto"/>
        <w:ind w:left="850" w:hanging="850"/>
        <w:rPr>
          <w:b/>
          <w:szCs w:val="24"/>
          <w:lang w:eastAsia="en-US"/>
        </w:rPr>
      </w:pPr>
      <w:r w:rsidRPr="001F0F0A">
        <w:rPr>
          <w:szCs w:val="24"/>
          <w:lang w:eastAsia="en-US"/>
        </w:rPr>
        <w:t>3.</w:t>
      </w:r>
      <w:r w:rsidRPr="001F0F0A">
        <w:rPr>
          <w:szCs w:val="24"/>
          <w:lang w:eastAsia="en-US"/>
        </w:rPr>
        <w:tab/>
        <w:t xml:space="preserve">Η </w:t>
      </w:r>
      <w:r w:rsidRPr="001F0F0A">
        <w:rPr>
          <w:szCs w:val="24"/>
          <w:lang w:val="en-GB" w:eastAsia="en-US"/>
        </w:rPr>
        <w:t>OLAF</w:t>
      </w:r>
      <w:r w:rsidRPr="001F0F0A">
        <w:rPr>
          <w:szCs w:val="24"/>
          <w:lang w:eastAsia="en-US"/>
        </w:rPr>
        <w:t xml:space="preserve"> μπορεί να διενεργεί έρευνες, καθώς και επιτόπιους ελέγχους και επιθεωρήσεις, με σκοπό να διαπιστωθεί αν υπάρχει απάτη, διαφθορά</w:t>
      </w:r>
      <w:r w:rsidRPr="001F0F0A">
        <w:rPr>
          <w:b/>
          <w:i/>
          <w:szCs w:val="24"/>
          <w:lang w:eastAsia="en-US"/>
        </w:rPr>
        <w:t>, κατάχρηση εξουσίας</w:t>
      </w:r>
      <w:r w:rsidRPr="001F0F0A">
        <w:rPr>
          <w:szCs w:val="24"/>
          <w:lang w:eastAsia="en-US"/>
        </w:rPr>
        <w:t xml:space="preserve"> ή άλλη παράνομη δραστηριότητα εις βάρος των οικονομικών συμφερόντων της Ένωσης συνδεόμενη με επιχορήγηση ή σύμβαση χρηματοδοτούμενη από τον Οργανισμό, σύμφωνα με τις διατάξεις και τις διαδικασίες που προβλέπονται στον κανονισμό (ΕΕ, Ευρατόμ) αριθ. 883/2013.</w:t>
      </w:r>
      <w:r w:rsidR="00CF11F6">
        <w:rPr>
          <w:b/>
          <w:szCs w:val="24"/>
          <w:lang w:eastAsia="en-US"/>
        </w:rPr>
        <w:t xml:space="preserve"> [Τροπολογία 93]</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4.</w:t>
      </w:r>
      <w:r w:rsidRPr="001F0F0A">
        <w:rPr>
          <w:szCs w:val="24"/>
          <w:lang w:eastAsia="en-US"/>
        </w:rPr>
        <w:tab/>
        <w:t xml:space="preserve">Με την επιφύλαξη των παραγράφων 1, 2 και 3, οι συμφωνίες συνεργασίας με τρίτες χώρες και διεθνείς οργανισμούς, οι συμβάσεις, οι συμφωνίες επιχορήγησης και οι αποφάσεις επιχορήγησης του Οργανισμού περιέχουν διατάξεις με τις οποίες παρέχεται ρητώς στο Ευρωπαϊκό Ελεγκτικό Συνέδριο, στην </w:t>
      </w:r>
      <w:r w:rsidRPr="001F0F0A">
        <w:rPr>
          <w:szCs w:val="24"/>
          <w:lang w:val="en-GB" w:eastAsia="en-US"/>
        </w:rPr>
        <w:t>OLAF</w:t>
      </w:r>
      <w:r w:rsidRPr="001F0F0A">
        <w:rPr>
          <w:szCs w:val="24"/>
          <w:lang w:eastAsia="en-US"/>
        </w:rPr>
        <w:t xml:space="preserve"> και στην Ευρωπαϊκή Εισαγγελία εξουσία διενέργειας των εν λόγω ελέγχων και ερευνών, σύμφωνα με τις αντίστοιχες αρμοδιότητές τους.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39</w:t>
      </w:r>
      <w:r w:rsidRPr="001F0F0A">
        <w:rPr>
          <w:szCs w:val="24"/>
          <w:lang w:eastAsia="en-US"/>
        </w:rPr>
        <w:br/>
        <w:t>Κανόνες ασφαλείας για την προστασία των διαβαθμισμένων και των ευαίσθητων μη διαβαθμισμένων πληροφοριών</w:t>
      </w:r>
    </w:p>
    <w:p w:rsidR="001F0F0A" w:rsidRPr="001F0F0A" w:rsidRDefault="001F0F0A" w:rsidP="001F0F0A">
      <w:pPr>
        <w:spacing w:before="120" w:after="120" w:line="360" w:lineRule="auto"/>
        <w:rPr>
          <w:szCs w:val="24"/>
          <w:lang w:eastAsia="en-US"/>
        </w:rPr>
      </w:pPr>
      <w:r w:rsidRPr="001F0F0A">
        <w:rPr>
          <w:szCs w:val="24"/>
          <w:lang w:eastAsia="en-US"/>
        </w:rPr>
        <w:t>Ο Οργανισμός εγκρίνει δικούς του κανόνες ασφαλείας που είναι ισοδύναμοι των κανόνων ασφαλείας της Επιτροπής για την προστασία των διαβαθμισμένων πληροφοριών της Ευρωπαϊκής Ένωσης (ΔΠΕΕ) και των ευαίσθητων μη διαβαθμισμένων πληροφοριών, όπως ορίζουν οι αποφάσεις (ΕΕ, Ευρατόμ) 2015/443</w:t>
      </w:r>
      <w:r w:rsidRPr="001F0F0A">
        <w:rPr>
          <w:szCs w:val="24"/>
          <w:vertAlign w:val="superscript"/>
          <w:lang w:val="en-GB" w:eastAsia="en-US"/>
        </w:rPr>
        <w:footnoteReference w:id="39"/>
      </w:r>
      <w:r w:rsidRPr="001F0F0A">
        <w:rPr>
          <w:szCs w:val="24"/>
          <w:lang w:eastAsia="en-US"/>
        </w:rPr>
        <w:t xml:space="preserve"> και 2015/444</w:t>
      </w:r>
      <w:r w:rsidRPr="001F0F0A">
        <w:rPr>
          <w:szCs w:val="24"/>
          <w:vertAlign w:val="superscript"/>
          <w:lang w:val="en-GB" w:eastAsia="en-US"/>
        </w:rPr>
        <w:footnoteReference w:id="40"/>
      </w:r>
      <w:r w:rsidRPr="001F0F0A">
        <w:rPr>
          <w:szCs w:val="24"/>
          <w:lang w:eastAsia="en-US"/>
        </w:rPr>
        <w:t xml:space="preserve"> της Επιτροπής. Στους κανόνες ασφαλείας του Οργανισμού περιλαμβάνονται διατάξεις περί ανταλλαγής, επεξεργασίας και αποθήκευσης τέτοιων πληροφοριών.</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40</w:t>
      </w:r>
      <w:r w:rsidRPr="001F0F0A">
        <w:rPr>
          <w:szCs w:val="24"/>
          <w:lang w:eastAsia="en-US"/>
        </w:rPr>
        <w:br/>
        <w:t>Ευθύνη</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Η συμβατική ευθύνη του Οργανισμού διέπεται από το δίκαιο που εφαρμόζεται στη σχετική σύμβαση.</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Το Δικαστήριο της Ευρωπαϊκής Ένωσης είναι αρμόδιο να αποφαίνεται δυνάμει τυχόν ρήτρας διαιτησίας που περιλαμβάνεται σε σύμβαση που συνάπτει ο Οργανισμός.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Σε περίπτωση εξωσυμβατικής ευθύνης, ο Οργανισμός αποκαθιστά κάθε ζημία που προκαλείται από τις υπηρεσίες ή το προσωπικό του κατά την άσκηση των καθηκόντων τους, σύμφωνα με τις γενικές αρχές που είναι κοινές στα δίκαια των κρατών μελών.</w:t>
      </w:r>
    </w:p>
    <w:p w:rsidR="001F0F0A" w:rsidRPr="001F0F0A" w:rsidRDefault="001F0F0A" w:rsidP="001F0F0A">
      <w:pPr>
        <w:spacing w:before="120" w:after="120" w:line="360" w:lineRule="auto"/>
        <w:ind w:left="850" w:hanging="850"/>
        <w:rPr>
          <w:szCs w:val="24"/>
          <w:lang w:eastAsia="en-US"/>
        </w:rPr>
      </w:pPr>
      <w:r w:rsidRPr="001F0F0A">
        <w:rPr>
          <w:szCs w:val="24"/>
          <w:lang w:eastAsia="en-US"/>
        </w:rPr>
        <w:t>4.</w:t>
      </w:r>
      <w:r w:rsidRPr="001F0F0A">
        <w:rPr>
          <w:szCs w:val="24"/>
          <w:lang w:eastAsia="en-US"/>
        </w:rPr>
        <w:tab/>
        <w:t>Αρμόδιο για την εκδίκαση των διαφορών αποζημίωσης για τις ζημίες που αναφέρονται στην παράγραφο 3 είναι το Δικαστήριο της Ευρωπαϊκής Ένωσης.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5.</w:t>
      </w:r>
      <w:r w:rsidRPr="001F0F0A">
        <w:rPr>
          <w:szCs w:val="24"/>
          <w:lang w:eastAsia="en-US"/>
        </w:rPr>
        <w:tab/>
        <w:t>Η προσωπική ευθύνη των μελών του προσωπικού έναντι του Οργανισμού διέπεται από τις διατάξεις του κανονισμού υπηρεσιακής κατάστασης ή του καθεστώτος που εφαρμόζεται στο λοιπό προσωπικό.</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41</w:t>
      </w:r>
      <w:r w:rsidRPr="001F0F0A">
        <w:rPr>
          <w:szCs w:val="24"/>
          <w:lang w:eastAsia="en-US"/>
        </w:rPr>
        <w:br/>
        <w:t>Αξιολόγηση και επανεξέταση</w:t>
      </w:r>
    </w:p>
    <w:p w:rsidR="001F0F0A" w:rsidRPr="002C7B78" w:rsidRDefault="001F0F0A" w:rsidP="001F0F0A">
      <w:pPr>
        <w:spacing w:before="120" w:after="120" w:line="360" w:lineRule="auto"/>
        <w:ind w:left="850" w:hanging="850"/>
        <w:rPr>
          <w:b/>
          <w:szCs w:val="24"/>
          <w:lang w:eastAsia="en-US"/>
        </w:rPr>
      </w:pPr>
      <w:r w:rsidRPr="001F0F0A">
        <w:rPr>
          <w:szCs w:val="24"/>
          <w:lang w:eastAsia="en-US"/>
        </w:rPr>
        <w:t>1.</w:t>
      </w:r>
      <w:r w:rsidRPr="001F0F0A">
        <w:rPr>
          <w:szCs w:val="24"/>
          <w:lang w:eastAsia="en-US"/>
        </w:rPr>
        <w:tab/>
        <w:t>Έως 5 έτη μετά την [ημερομηνία έναρξης ισχύος] και, στη συνέχεια, ανά πενταετία, η Επιτροπή διενεργεί αξιολόγηση για να εκτιμηθούν, ιδίως, ο αντίκτυπος, η αποτελεσματικότητα</w:t>
      </w:r>
      <w:r w:rsidRPr="001F0F0A">
        <w:rPr>
          <w:strike/>
          <w:szCs w:val="24"/>
          <w:lang w:eastAsia="en-US"/>
        </w:rPr>
        <w:t xml:space="preserve"> και</w:t>
      </w:r>
      <w:r w:rsidRPr="001F0F0A">
        <w:rPr>
          <w:b/>
          <w:i/>
          <w:szCs w:val="24"/>
          <w:lang w:eastAsia="en-US"/>
        </w:rPr>
        <w:t>,</w:t>
      </w:r>
      <w:r w:rsidRPr="001F0F0A">
        <w:rPr>
          <w:szCs w:val="24"/>
          <w:lang w:eastAsia="en-US"/>
        </w:rPr>
        <w:t xml:space="preserve"> η αποδοτικότητα</w:t>
      </w:r>
      <w:r w:rsidRPr="001F0F0A">
        <w:rPr>
          <w:b/>
          <w:i/>
          <w:szCs w:val="24"/>
          <w:lang w:eastAsia="en-US"/>
        </w:rPr>
        <w:t xml:space="preserve"> και η ανάλυση κόστους-οφέλους</w:t>
      </w:r>
      <w:r w:rsidRPr="001F0F0A">
        <w:rPr>
          <w:szCs w:val="24"/>
          <w:lang w:eastAsia="en-US"/>
        </w:rPr>
        <w:t xml:space="preserve"> του Οργανισμού και των εργασιακών πρακτικών του. Στην αξιολόγηση εξετάζονται, ειδικότερα, η ενδεχόμενη ανάγκη τροποποίησης της εντολής του Οργανισμού, καθώς και οι δημοσιονομικές επιπτώσεις τυχόν τροποποίησης.</w:t>
      </w:r>
      <w:r w:rsidR="002C7B78">
        <w:rPr>
          <w:b/>
          <w:szCs w:val="24"/>
          <w:lang w:eastAsia="en-US"/>
        </w:rPr>
        <w:t xml:space="preserve"> [Τροπολογία 94]</w:t>
      </w:r>
    </w:p>
    <w:p w:rsidR="001F0F0A" w:rsidRPr="001F0F0A" w:rsidRDefault="001F0F0A" w:rsidP="001F0F0A">
      <w:pPr>
        <w:spacing w:before="120" w:after="120" w:line="360" w:lineRule="auto"/>
        <w:ind w:left="850" w:hanging="850"/>
        <w:rPr>
          <w:szCs w:val="24"/>
          <w:lang w:eastAsia="en-US"/>
        </w:rPr>
      </w:pPr>
      <w:r w:rsidRPr="001F0F0A">
        <w:rPr>
          <w:szCs w:val="24"/>
          <w:lang w:eastAsia="en-US"/>
        </w:rPr>
        <w:t>2.</w:t>
      </w:r>
      <w:r w:rsidRPr="001F0F0A">
        <w:rPr>
          <w:szCs w:val="24"/>
          <w:lang w:eastAsia="en-US"/>
        </w:rPr>
        <w:tab/>
        <w:t>Η Επιτροπή διαβιβάζει την έκθεση αξιολόγησης, καθώς και τα συμπεράσματά της επί της έκθεσης, στο Ευρωπαϊκό Κοινοβούλιο, στο Συμβούλιο και στο διοικητικό συμβούλιο. Τα πορίσματα της αξιολόγησης δημοσιοποιούνται.</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 xml:space="preserve">Με κάθε δεύτερη αξιολόγηση, διενεργείται επίσης εκτίμηση των αποτελεσμάτων που επιτεύχθηκαν από τον Οργανισμό υπό το πρίσμα των στόχων του, της εντολής του και των καθηκόντων του. Εάν η Επιτροπή θεωρεί ότι η συνέχιση της ύπαρξης του Οργανισμού δεν δικαιολογείται πλέον σε σχέση με τους </w:t>
      </w:r>
      <w:proofErr w:type="spellStart"/>
      <w:r w:rsidRPr="001F0F0A">
        <w:rPr>
          <w:szCs w:val="24"/>
          <w:lang w:eastAsia="en-US"/>
        </w:rPr>
        <w:t>τεθέντες</w:t>
      </w:r>
      <w:proofErr w:type="spellEnd"/>
      <w:r w:rsidRPr="001F0F0A">
        <w:rPr>
          <w:szCs w:val="24"/>
          <w:lang w:eastAsia="en-US"/>
        </w:rPr>
        <w:t xml:space="preserve"> στόχους, την εντολή και τα καθήκοντά του, δύναται να προτείνει την ανάλογη τροποποίηση ή την κατάργηση του παρόντος κανονισμού.</w:t>
      </w:r>
    </w:p>
    <w:p w:rsidR="006F1DCD" w:rsidRDefault="006F1DCD">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42</w:t>
      </w:r>
      <w:r w:rsidRPr="001F0F0A">
        <w:rPr>
          <w:szCs w:val="24"/>
          <w:lang w:eastAsia="en-US"/>
        </w:rPr>
        <w:br/>
        <w:t>Διοικητικές έρευνες του Ευρωπαίου Διαμεσολαβητή</w:t>
      </w:r>
    </w:p>
    <w:p w:rsidR="001F0F0A" w:rsidRPr="001F0F0A" w:rsidRDefault="001F0F0A" w:rsidP="001F0F0A">
      <w:pPr>
        <w:spacing w:before="120" w:after="120" w:line="360" w:lineRule="auto"/>
        <w:rPr>
          <w:szCs w:val="24"/>
          <w:lang w:eastAsia="en-US"/>
        </w:rPr>
      </w:pPr>
      <w:r w:rsidRPr="001F0F0A">
        <w:rPr>
          <w:szCs w:val="24"/>
          <w:lang w:eastAsia="en-US"/>
        </w:rPr>
        <w:t>Οι δραστηριότητες του Οργανισμού υπόκεινται στις έρευνες του Ευρωπαίου Διαμεσολαβητή σύμφωνα με το άρθρο 228 της ΣΛΕΕ.</w:t>
      </w:r>
    </w:p>
    <w:p w:rsidR="001F0F0A" w:rsidRPr="001F0F0A" w:rsidRDefault="001F0F0A" w:rsidP="001F0F0A">
      <w:pPr>
        <w:spacing w:before="120" w:after="120" w:line="360" w:lineRule="auto"/>
        <w:jc w:val="center"/>
        <w:rPr>
          <w:szCs w:val="24"/>
          <w:lang w:eastAsia="en-US"/>
        </w:rPr>
      </w:pPr>
      <w:r w:rsidRPr="001F0F0A">
        <w:rPr>
          <w:szCs w:val="24"/>
          <w:lang w:eastAsia="en-US"/>
        </w:rPr>
        <w:t>Άρθρο 43</w:t>
      </w:r>
      <w:r w:rsidRPr="001F0F0A">
        <w:rPr>
          <w:szCs w:val="24"/>
          <w:lang w:eastAsia="en-US"/>
        </w:rPr>
        <w:br/>
        <w:t>Μεταβατικές διατάξεις</w:t>
      </w:r>
    </w:p>
    <w:p w:rsidR="001F0F0A" w:rsidRPr="001F0F0A" w:rsidRDefault="001F0F0A" w:rsidP="001F0F0A">
      <w:pPr>
        <w:spacing w:before="120" w:after="120" w:line="360" w:lineRule="auto"/>
        <w:ind w:left="850" w:hanging="850"/>
        <w:rPr>
          <w:szCs w:val="24"/>
          <w:lang w:eastAsia="en-US"/>
        </w:rPr>
      </w:pPr>
      <w:r w:rsidRPr="001F0F0A">
        <w:rPr>
          <w:szCs w:val="24"/>
          <w:lang w:eastAsia="en-US"/>
        </w:rPr>
        <w:t>1.</w:t>
      </w:r>
      <w:r w:rsidRPr="001F0F0A">
        <w:rPr>
          <w:szCs w:val="24"/>
          <w:lang w:eastAsia="en-US"/>
        </w:rPr>
        <w:tab/>
        <w:t>Κατά παρέκκλιση από το άρθρο 15 του παρόντος κανονισμού, τα μέλη του διοικητικού συμβουλίου που έχουν διοριστεί σύμφωνα με τον κανονισμό (ΕΚ) αριθ. 1406/2002 πριν από [την ημερομηνία έναρξης ισχύος] παραμένουν στη θέση τους ως μέλη του διοικητικού συμβουλίου έως την ημερομηνία λήξης της θητείας τους, με την επιφύλαξη του δικαιώματος εκάστου κράτους μέλους να διορίζει νέο αντιπρόσωπο.</w:t>
      </w:r>
    </w:p>
    <w:p w:rsidR="00657388" w:rsidRDefault="00657388">
      <w:pPr>
        <w:widowControl/>
        <w:rPr>
          <w:szCs w:val="24"/>
          <w:lang w:eastAsia="en-US"/>
        </w:rPr>
      </w:pPr>
      <w:r>
        <w:rPr>
          <w:szCs w:val="24"/>
          <w:lang w:eastAsia="en-US"/>
        </w:rPr>
        <w:br w:type="page"/>
      </w:r>
    </w:p>
    <w:p w:rsidR="001F0F0A" w:rsidRPr="001F0F0A" w:rsidRDefault="001F0F0A" w:rsidP="001F0F0A">
      <w:pPr>
        <w:spacing w:before="120" w:after="120" w:line="360" w:lineRule="auto"/>
        <w:ind w:left="850" w:hanging="850"/>
        <w:rPr>
          <w:szCs w:val="24"/>
          <w:lang w:eastAsia="en-US"/>
        </w:rPr>
      </w:pPr>
      <w:r w:rsidRPr="001F0F0A">
        <w:rPr>
          <w:szCs w:val="24"/>
          <w:lang w:eastAsia="en-US"/>
        </w:rPr>
        <w:lastRenderedPageBreak/>
        <w:t>2.</w:t>
      </w:r>
      <w:r w:rsidRPr="001F0F0A">
        <w:rPr>
          <w:szCs w:val="24"/>
          <w:lang w:eastAsia="en-US"/>
        </w:rPr>
        <w:tab/>
        <w:t xml:space="preserve">Ο εκτελεστικός διευθυντής του Οργανισμού που διορίζεται βάσει του άρθρου 16 του κανονισμού (ΕΕ) αριθ. 1406/2002 παραμένει στη θέση του εκτελεστικού διευθυντή με τα καθήκοντα και τις αρμοδιότητες που προβλέπονται στο άρθρο 23 του παρόντος κανονισμού. Εάν εκδοθεί απόφαση παράτασης της θητείας του εκτελεστικού διευθυντή σύμφωνα με το άρθρο 16 παράγραφος 2 του κανονισμού (ΕΕ) αριθ. 1406/2002 πριν από την έναρξη ισχύος του παρόντος κανονισμού, η διάρκεια της </w:t>
      </w:r>
      <w:proofErr w:type="spellStart"/>
      <w:r w:rsidRPr="001F0F0A">
        <w:rPr>
          <w:szCs w:val="24"/>
          <w:lang w:eastAsia="en-US"/>
        </w:rPr>
        <w:t>παραταθείσας</w:t>
      </w:r>
      <w:proofErr w:type="spellEnd"/>
      <w:r w:rsidRPr="001F0F0A">
        <w:rPr>
          <w:szCs w:val="24"/>
          <w:lang w:eastAsia="en-US"/>
        </w:rPr>
        <w:t xml:space="preserve"> θητείας είναι 5 έτη. Οι λοιποί όροι της σύμβασης παραμένουν αμετάβλητοι.</w:t>
      </w:r>
    </w:p>
    <w:p w:rsidR="001F0F0A" w:rsidRPr="001F0F0A" w:rsidRDefault="001F0F0A" w:rsidP="001F0F0A">
      <w:pPr>
        <w:spacing w:before="120" w:after="120" w:line="360" w:lineRule="auto"/>
        <w:ind w:left="850" w:hanging="850"/>
        <w:rPr>
          <w:szCs w:val="24"/>
          <w:lang w:eastAsia="en-US"/>
        </w:rPr>
      </w:pPr>
      <w:r w:rsidRPr="001F0F0A">
        <w:rPr>
          <w:szCs w:val="24"/>
          <w:lang w:eastAsia="en-US"/>
        </w:rPr>
        <w:t>3.</w:t>
      </w:r>
      <w:r w:rsidRPr="001F0F0A">
        <w:rPr>
          <w:szCs w:val="24"/>
          <w:lang w:eastAsia="en-US"/>
        </w:rPr>
        <w:tab/>
        <w:t>Η έναρξη ισχύος του παρόντος κανονισμού δεν θίγει καμία από τις συμβάσεις εργασίας που ισχύουν την [ημερομηνία έναρξης ισχύος].</w:t>
      </w:r>
    </w:p>
    <w:p w:rsidR="001F0F0A" w:rsidRPr="001F0F0A" w:rsidRDefault="001F0F0A" w:rsidP="001F0F0A">
      <w:pPr>
        <w:spacing w:before="120" w:after="120" w:line="360" w:lineRule="auto"/>
        <w:jc w:val="center"/>
        <w:rPr>
          <w:szCs w:val="24"/>
          <w:lang w:eastAsia="en-US"/>
        </w:rPr>
      </w:pPr>
      <w:r w:rsidRPr="001F0F0A">
        <w:rPr>
          <w:szCs w:val="24"/>
          <w:lang w:eastAsia="en-US"/>
        </w:rPr>
        <w:t>Άρθρο 44</w:t>
      </w:r>
      <w:r w:rsidRPr="001F0F0A">
        <w:rPr>
          <w:szCs w:val="24"/>
          <w:lang w:eastAsia="en-US"/>
        </w:rPr>
        <w:br/>
        <w:t>Κατάργηση</w:t>
      </w:r>
    </w:p>
    <w:p w:rsidR="001F0F0A" w:rsidRPr="001F0F0A" w:rsidRDefault="001F0F0A" w:rsidP="001F0F0A">
      <w:pPr>
        <w:spacing w:before="120" w:after="120" w:line="360" w:lineRule="auto"/>
        <w:rPr>
          <w:szCs w:val="24"/>
          <w:lang w:eastAsia="en-US"/>
        </w:rPr>
      </w:pPr>
      <w:r w:rsidRPr="001F0F0A">
        <w:rPr>
          <w:szCs w:val="24"/>
          <w:lang w:eastAsia="en-US"/>
        </w:rPr>
        <w:t>Ο κανονισμός (ΕΚ) αριθ. 1406/2002 καταργείται.</w:t>
      </w:r>
    </w:p>
    <w:p w:rsidR="00657388" w:rsidRDefault="00657388">
      <w:pPr>
        <w:widowControl/>
        <w:rPr>
          <w:szCs w:val="24"/>
          <w:lang w:eastAsia="en-US"/>
        </w:rPr>
      </w:pPr>
      <w:r>
        <w:rPr>
          <w:szCs w:val="24"/>
          <w:lang w:eastAsia="en-US"/>
        </w:rPr>
        <w:br w:type="page"/>
      </w:r>
    </w:p>
    <w:p w:rsidR="001F0F0A" w:rsidRPr="001F0F0A" w:rsidRDefault="001F0F0A" w:rsidP="001F0F0A">
      <w:pPr>
        <w:spacing w:before="120" w:after="120" w:line="360" w:lineRule="auto"/>
        <w:jc w:val="center"/>
        <w:rPr>
          <w:szCs w:val="24"/>
          <w:lang w:eastAsia="en-US"/>
        </w:rPr>
      </w:pPr>
      <w:r w:rsidRPr="001F0F0A">
        <w:rPr>
          <w:szCs w:val="24"/>
          <w:lang w:eastAsia="en-US"/>
        </w:rPr>
        <w:lastRenderedPageBreak/>
        <w:t>Άρθρο 45</w:t>
      </w:r>
      <w:r w:rsidRPr="001F0F0A">
        <w:rPr>
          <w:szCs w:val="24"/>
          <w:lang w:eastAsia="en-US"/>
        </w:rPr>
        <w:br/>
        <w:t>Έναρξη ισχύος</w:t>
      </w:r>
    </w:p>
    <w:p w:rsidR="001F0F0A" w:rsidRPr="001F0F0A" w:rsidRDefault="001F0F0A" w:rsidP="001F0F0A">
      <w:pPr>
        <w:spacing w:before="120" w:after="120" w:line="360" w:lineRule="auto"/>
        <w:rPr>
          <w:szCs w:val="24"/>
          <w:lang w:eastAsia="en-US"/>
        </w:rPr>
      </w:pPr>
      <w:r w:rsidRPr="001F0F0A">
        <w:rPr>
          <w:szCs w:val="24"/>
          <w:lang w:eastAsia="en-US"/>
        </w:rPr>
        <w:t xml:space="preserve">Ο παρών κανονισμός αρχίζει να ισχύει την εικοστή ημέρα από τη δημοσίευσή του στην </w:t>
      </w:r>
      <w:r w:rsidRPr="008B104A">
        <w:rPr>
          <w:i/>
          <w:szCs w:val="24"/>
          <w:lang w:eastAsia="en-US"/>
        </w:rPr>
        <w:t>Επίσημη Εφημερίδα της Ευρωπαϊκής Ένωσης</w:t>
      </w:r>
      <w:r w:rsidRPr="001F0F0A">
        <w:rPr>
          <w:szCs w:val="24"/>
          <w:lang w:eastAsia="en-US"/>
        </w:rPr>
        <w:t>.</w:t>
      </w:r>
    </w:p>
    <w:p w:rsidR="001F0F0A" w:rsidRPr="001F0F0A" w:rsidRDefault="001F0F0A" w:rsidP="008B104A">
      <w:pPr>
        <w:spacing w:before="480" w:after="120" w:line="360" w:lineRule="auto"/>
        <w:rPr>
          <w:szCs w:val="24"/>
          <w:lang w:eastAsia="en-US"/>
        </w:rPr>
      </w:pPr>
      <w:r w:rsidRPr="001F0F0A">
        <w:rPr>
          <w:szCs w:val="24"/>
          <w:lang w:eastAsia="en-US"/>
        </w:rPr>
        <w:t>Ο παρών κανονισμός είναι δεσμευτικός ως προς όλα τα μέρη του και ισχύει άμεσα σε κάθε κράτος μέλος.</w:t>
      </w:r>
    </w:p>
    <w:p w:rsidR="001F0F0A" w:rsidRPr="001F0F0A" w:rsidRDefault="00657388" w:rsidP="001F0F0A">
      <w:pPr>
        <w:keepNext/>
        <w:widowControl/>
        <w:spacing w:before="120" w:line="360" w:lineRule="auto"/>
        <w:rPr>
          <w:szCs w:val="24"/>
          <w:lang w:eastAsia="en-US"/>
        </w:rPr>
      </w:pPr>
      <w:r>
        <w:rPr>
          <w:szCs w:val="24"/>
          <w:lang w:eastAsia="en-US"/>
        </w:rPr>
        <w:t>...</w:t>
      </w:r>
      <w:r w:rsidR="001F0F0A" w:rsidRPr="001F0F0A">
        <w:rPr>
          <w:szCs w:val="24"/>
          <w:lang w:eastAsia="en-US"/>
        </w:rPr>
        <w:t>,</w:t>
      </w:r>
    </w:p>
    <w:p w:rsidR="001F0F0A" w:rsidRPr="001F0F0A" w:rsidRDefault="001F0F0A" w:rsidP="008B104A">
      <w:pPr>
        <w:keepNext/>
        <w:widowControl/>
        <w:tabs>
          <w:tab w:val="left" w:pos="4252"/>
        </w:tabs>
        <w:spacing w:before="720" w:line="360" w:lineRule="auto"/>
        <w:jc w:val="both"/>
        <w:rPr>
          <w:i/>
          <w:szCs w:val="24"/>
          <w:lang w:eastAsia="en-US"/>
        </w:rPr>
      </w:pPr>
      <w:r w:rsidRPr="001F0F0A">
        <w:rPr>
          <w:i/>
          <w:szCs w:val="24"/>
          <w:lang w:eastAsia="en-US"/>
        </w:rPr>
        <w:t>Για το Ευρωπαϊκό Κοινοβούλιο</w:t>
      </w:r>
      <w:r w:rsidRPr="001F0F0A">
        <w:rPr>
          <w:i/>
          <w:szCs w:val="24"/>
          <w:lang w:eastAsia="en-US"/>
        </w:rPr>
        <w:tab/>
        <w:t>Για το Συμβούλιο</w:t>
      </w:r>
    </w:p>
    <w:p w:rsidR="001F0F0A" w:rsidRPr="00657388" w:rsidRDefault="001F0F0A" w:rsidP="001F0F0A">
      <w:pPr>
        <w:widowControl/>
        <w:tabs>
          <w:tab w:val="left" w:pos="4252"/>
        </w:tabs>
        <w:spacing w:line="360" w:lineRule="auto"/>
        <w:rPr>
          <w:i/>
          <w:szCs w:val="24"/>
          <w:lang w:eastAsia="en-US"/>
        </w:rPr>
      </w:pPr>
      <w:r w:rsidRPr="00657388">
        <w:rPr>
          <w:i/>
          <w:szCs w:val="24"/>
          <w:lang w:eastAsia="en-US"/>
        </w:rPr>
        <w:t>Η Πρόεδρος</w:t>
      </w:r>
      <w:r w:rsidRPr="00657388">
        <w:rPr>
          <w:i/>
          <w:szCs w:val="24"/>
          <w:lang w:eastAsia="en-US"/>
        </w:rPr>
        <w:tab/>
        <w:t>Ο</w:t>
      </w:r>
      <w:r w:rsidR="00657388">
        <w:rPr>
          <w:i/>
          <w:szCs w:val="24"/>
          <w:lang w:eastAsia="en-US"/>
        </w:rPr>
        <w:t>/Η</w:t>
      </w:r>
      <w:r w:rsidRPr="00657388">
        <w:rPr>
          <w:i/>
          <w:szCs w:val="24"/>
          <w:lang w:eastAsia="en-US"/>
        </w:rPr>
        <w:t xml:space="preserve"> Πρόεδρος</w:t>
      </w:r>
    </w:p>
    <w:p w:rsidR="001F0F0A" w:rsidRPr="00471E9B" w:rsidRDefault="001F0F0A" w:rsidP="0001356A">
      <w:pPr>
        <w:pStyle w:val="NormalHanging12a"/>
        <w:ind w:left="0" w:firstLine="0"/>
      </w:pPr>
    </w:p>
    <w:sectPr w:rsidR="001F0F0A" w:rsidRPr="00471E9B" w:rsidSect="00471E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F6" w:rsidRPr="00471E9B" w:rsidRDefault="00CF11F6">
      <w:r w:rsidRPr="00471E9B">
        <w:separator/>
      </w:r>
    </w:p>
  </w:endnote>
  <w:endnote w:type="continuationSeparator" w:id="0">
    <w:p w:rsidR="00CF11F6" w:rsidRPr="00471E9B" w:rsidRDefault="00CF11F6">
      <w:r w:rsidRPr="00471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F6" w:rsidRPr="00471E9B" w:rsidRDefault="00CF11F6">
      <w:r w:rsidRPr="00471E9B">
        <w:separator/>
      </w:r>
    </w:p>
  </w:footnote>
  <w:footnote w:type="continuationSeparator" w:id="0">
    <w:p w:rsidR="00CF11F6" w:rsidRPr="00471E9B" w:rsidRDefault="00CF11F6">
      <w:r w:rsidRPr="00471E9B">
        <w:continuationSeparator/>
      </w:r>
    </w:p>
  </w:footnote>
  <w:footnote w:id="1">
    <w:p w:rsidR="00CF11F6" w:rsidRPr="009C55DD" w:rsidRDefault="00CF11F6" w:rsidP="00471E9B">
      <w:pPr>
        <w:pStyle w:val="FootnoteText"/>
        <w:ind w:left="567" w:hanging="567"/>
        <w:rPr>
          <w:sz w:val="24"/>
          <w:lang w:val="fi-FI"/>
        </w:rPr>
      </w:pPr>
      <w:r w:rsidRPr="00471E9B">
        <w:rPr>
          <w:rStyle w:val="FootnoteReference"/>
          <w:sz w:val="24"/>
          <w:lang w:val="el-GR"/>
        </w:rPr>
        <w:footnoteRef/>
      </w:r>
      <w:r w:rsidRPr="009C55DD">
        <w:rPr>
          <w:sz w:val="24"/>
          <w:lang w:val="fi-FI"/>
        </w:rPr>
        <w:t xml:space="preserve"> </w:t>
      </w:r>
      <w:r w:rsidRPr="009C55DD">
        <w:rPr>
          <w:sz w:val="24"/>
          <w:lang w:val="fi-FI"/>
        </w:rPr>
        <w:tab/>
      </w:r>
      <w:r>
        <w:rPr>
          <w:sz w:val="24"/>
          <w:lang w:val="fi-FI"/>
        </w:rPr>
        <w:t>EE</w:t>
      </w:r>
      <w:r w:rsidRPr="00C7399D">
        <w:rPr>
          <w:sz w:val="24"/>
          <w:lang w:val="fi-FI"/>
        </w:rPr>
        <w:t xml:space="preserve"> C, C/2023/873, 8.12.2023, ELI: </w:t>
      </w:r>
      <w:r w:rsidR="00A9587F">
        <w:fldChar w:fldCharType="begin"/>
      </w:r>
      <w:r w:rsidR="00A9587F" w:rsidRPr="00A9587F">
        <w:rPr>
          <w:lang w:val="fi-FI"/>
        </w:rPr>
        <w:instrText xml:space="preserve"> HYPERLINK "http://data.europa.eu/eli/C/2023/873/oj" </w:instrText>
      </w:r>
      <w:r w:rsidR="00A9587F">
        <w:fldChar w:fldCharType="separate"/>
      </w:r>
      <w:r w:rsidRPr="00505D46">
        <w:rPr>
          <w:rStyle w:val="Hyperlink"/>
          <w:sz w:val="24"/>
          <w:lang w:val="fi-FI"/>
        </w:rPr>
        <w:t>http://data.europa.eu/eli/C/2023/873/oj</w:t>
      </w:r>
      <w:r w:rsidR="00A9587F">
        <w:rPr>
          <w:rStyle w:val="Hyperlink"/>
          <w:sz w:val="24"/>
          <w:lang w:val="fi-FI"/>
        </w:rPr>
        <w:fldChar w:fldCharType="end"/>
      </w:r>
      <w:r w:rsidRPr="009C55DD">
        <w:rPr>
          <w:sz w:val="24"/>
          <w:lang w:val="fi-FI"/>
        </w:rPr>
        <w:t>.</w:t>
      </w:r>
      <w:r>
        <w:rPr>
          <w:sz w:val="24"/>
          <w:lang w:val="fi-FI"/>
        </w:rPr>
        <w:t xml:space="preserve"> </w:t>
      </w:r>
    </w:p>
  </w:footnote>
  <w:footnote w:id="2">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ΕΕ </w:t>
      </w:r>
      <w:r>
        <w:t>C</w:t>
      </w:r>
      <w:r w:rsidRPr="001F0F0A">
        <w:rPr>
          <w:lang w:val="el-GR"/>
        </w:rPr>
        <w:t xml:space="preserve">  της , σ. .</w:t>
      </w:r>
    </w:p>
  </w:footnote>
  <w:footnote w:id="3">
    <w:p w:rsidR="00CF11F6" w:rsidRPr="001F0F0A" w:rsidRDefault="00CF11F6" w:rsidP="001F0F0A">
      <w:pPr>
        <w:pStyle w:val="FootnoteTextForceStyle"/>
        <w:rPr>
          <w:lang w:val="el-GR"/>
        </w:rPr>
      </w:pPr>
      <w:r>
        <w:rPr>
          <w:vertAlign w:val="superscript"/>
        </w:rPr>
        <w:footnoteRef/>
      </w:r>
      <w:r w:rsidRPr="001F0F0A">
        <w:rPr>
          <w:lang w:val="el-GR"/>
        </w:rPr>
        <w:tab/>
        <w:t xml:space="preserve">ΕΕ </w:t>
      </w:r>
      <w:r>
        <w:t>C</w:t>
      </w:r>
      <w:r w:rsidRPr="001F0F0A">
        <w:rPr>
          <w:lang w:val="el-GR"/>
        </w:rPr>
        <w:t xml:space="preserve">  της , σ. .</w:t>
      </w:r>
    </w:p>
  </w:footnote>
  <w:footnote w:id="4">
    <w:p w:rsidR="00CF11F6" w:rsidRPr="001F0F0A" w:rsidRDefault="00CF11F6" w:rsidP="001F0F0A">
      <w:pPr>
        <w:pStyle w:val="FootnoteTextForceStyle"/>
        <w:rPr>
          <w:lang w:val="el-GR"/>
        </w:rPr>
      </w:pPr>
      <w:r>
        <w:rPr>
          <w:vertAlign w:val="superscript"/>
        </w:rPr>
        <w:footnoteRef/>
      </w:r>
      <w:r w:rsidRPr="001F0F0A">
        <w:rPr>
          <w:lang w:val="el-GR"/>
        </w:rPr>
        <w:tab/>
        <w:t xml:space="preserve">Κανονισμός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 (ΕΕ </w:t>
      </w:r>
      <w:r>
        <w:t>L</w:t>
      </w:r>
      <w:r w:rsidRPr="001F0F0A">
        <w:rPr>
          <w:lang w:val="el-GR"/>
        </w:rPr>
        <w:t xml:space="preserve"> 208 της 5.8.2002, σ. 1).</w:t>
      </w:r>
    </w:p>
  </w:footnote>
  <w:footnote w:id="5">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2005/35/ΕΚ του Ευρωπαϊκού Κοινοβουλίου και του Συμβουλίου, της 7ης Σεπτεμβρίου 2005, σχετικά με τη ρύπανση από τα πλοία και τη θέσπιση κυρώσεων, περιλαμβανομένων των ποινικών κυρώσεων, για αδικήματα ρύπανσης (ΕΕ </w:t>
      </w:r>
      <w:r>
        <w:t>L</w:t>
      </w:r>
      <w:r w:rsidRPr="001F0F0A">
        <w:rPr>
          <w:lang w:val="el-GR"/>
        </w:rPr>
        <w:t xml:space="preserve"> 255 της 30.9.2005, σ. 11).</w:t>
      </w:r>
    </w:p>
  </w:footnote>
  <w:footnote w:id="6">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2009/16/ΕΚ του Ευρωπαϊκού Κοινοβουλίου και του Συμβουλίου, της 23ης Απριλίου 2009, σχετικά με τον έλεγχο των πλοίων από το κράτος λιμένα (ΕΕ </w:t>
      </w:r>
      <w:r>
        <w:t>L</w:t>
      </w:r>
      <w:r w:rsidRPr="001F0F0A">
        <w:rPr>
          <w:lang w:val="el-GR"/>
        </w:rPr>
        <w:t xml:space="preserve"> 131 της 28.5.2009, σ. 57).</w:t>
      </w:r>
    </w:p>
  </w:footnote>
  <w:footnote w:id="7">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2009/18/ΕΚ του Ευρωπαϊκού Κοινοβουλίου και του Συμβουλίου, της 23ης Απριλίου 2009, για τον καθορισμό των θεμελιωδών αρχών που διέπουν τη διερεύνηση των ατυχημάτων στον τομέα των θαλάσσιων μεταφορών και για την τροποποίηση της οδηγίας 1999/35/ΕΚ του Συμβουλίου και της οδηγίας 2002/59/ΕΚ του Ευρωπαϊκού Κοινοβουλίου και του Συμβουλίου (ΕΕ </w:t>
      </w:r>
      <w:r>
        <w:t>L</w:t>
      </w:r>
      <w:r w:rsidRPr="001F0F0A">
        <w:rPr>
          <w:lang w:val="el-GR"/>
        </w:rPr>
        <w:t xml:space="preserve"> 131 της 28.5.2009, σ. 114).</w:t>
      </w:r>
    </w:p>
  </w:footnote>
  <w:footnote w:id="8">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2009/21/ΕΚ του Ευρωπαϊκού Κοινοβουλίου και του Συμβουλίου, της 23ης Απριλίου 2009, για την τήρηση των υποχρεώσεων του κράτους σημαίας (ΕΕ </w:t>
      </w:r>
      <w:r>
        <w:t>L</w:t>
      </w:r>
      <w:r w:rsidRPr="001F0F0A">
        <w:rPr>
          <w:lang w:val="el-GR"/>
        </w:rPr>
        <w:t xml:space="preserve"> 131 της 28.5.2009, σ. 132).</w:t>
      </w:r>
    </w:p>
  </w:footnote>
  <w:footnote w:id="9">
    <w:p w:rsidR="00CF11F6" w:rsidRPr="001F0F0A" w:rsidRDefault="00CF11F6" w:rsidP="001F0F0A">
      <w:pPr>
        <w:pStyle w:val="FootnoteTextForceStyle"/>
        <w:rPr>
          <w:lang w:val="el-GR"/>
        </w:rPr>
      </w:pPr>
      <w:r>
        <w:rPr>
          <w:vertAlign w:val="superscript"/>
        </w:rPr>
        <w:footnoteRef/>
      </w:r>
      <w:r w:rsidRPr="001F0F0A">
        <w:rPr>
          <w:lang w:val="el-GR"/>
        </w:rPr>
        <w:tab/>
      </w:r>
      <w:r w:rsidR="00A9587F">
        <w:fldChar w:fldCharType="begin"/>
      </w:r>
      <w:r w:rsidR="00A9587F" w:rsidRPr="00A9587F">
        <w:rPr>
          <w:lang w:val="el-GR"/>
        </w:rPr>
        <w:instrText xml:space="preserve"> </w:instrText>
      </w:r>
      <w:r w:rsidR="00A9587F">
        <w:instrText>HYP</w:instrText>
      </w:r>
      <w:r w:rsidR="00A9587F">
        <w:instrText>ERLINK</w:instrText>
      </w:r>
      <w:r w:rsidR="00A9587F" w:rsidRPr="00A9587F">
        <w:rPr>
          <w:lang w:val="el-GR"/>
        </w:rPr>
        <w:instrText xml:space="preserve"> "</w:instrText>
      </w:r>
      <w:r w:rsidR="00A9587F">
        <w:instrText>https</w:instrText>
      </w:r>
      <w:r w:rsidR="00A9587F" w:rsidRPr="00A9587F">
        <w:rPr>
          <w:lang w:val="el-GR"/>
        </w:rPr>
        <w:instrText>://</w:instrText>
      </w:r>
      <w:r w:rsidR="00A9587F">
        <w:instrText>european</w:instrText>
      </w:r>
      <w:r w:rsidR="00A9587F" w:rsidRPr="00A9587F">
        <w:rPr>
          <w:lang w:val="el-GR"/>
        </w:rPr>
        <w:instrText>-</w:instrText>
      </w:r>
      <w:r w:rsidR="00A9587F">
        <w:instrText>union</w:instrText>
      </w:r>
      <w:r w:rsidR="00A9587F" w:rsidRPr="00A9587F">
        <w:rPr>
          <w:lang w:val="el-GR"/>
        </w:rPr>
        <w:instrText>.</w:instrText>
      </w:r>
      <w:r w:rsidR="00A9587F">
        <w:instrText>europa</w:instrText>
      </w:r>
      <w:r w:rsidR="00A9587F" w:rsidRPr="00A9587F">
        <w:rPr>
          <w:lang w:val="el-GR"/>
        </w:rPr>
        <w:instrText>.</w:instrText>
      </w:r>
      <w:r w:rsidR="00A9587F">
        <w:instrText>eu</w:instrText>
      </w:r>
      <w:r w:rsidR="00A9587F" w:rsidRPr="00A9587F">
        <w:rPr>
          <w:lang w:val="el-GR"/>
        </w:rPr>
        <w:instrText>/</w:instrText>
      </w:r>
      <w:r w:rsidR="00A9587F">
        <w:instrText>system</w:instrText>
      </w:r>
      <w:r w:rsidR="00A9587F" w:rsidRPr="00A9587F">
        <w:rPr>
          <w:lang w:val="el-GR"/>
        </w:rPr>
        <w:instrText>/</w:instrText>
      </w:r>
      <w:r w:rsidR="00A9587F">
        <w:instrText>files</w:instrText>
      </w:r>
      <w:r w:rsidR="00A9587F" w:rsidRPr="00A9587F">
        <w:rPr>
          <w:lang w:val="el-GR"/>
        </w:rPr>
        <w:instrText>/2022-06/</w:instrText>
      </w:r>
      <w:r w:rsidR="00A9587F">
        <w:instrText>joint</w:instrText>
      </w:r>
      <w:r w:rsidR="00A9587F" w:rsidRPr="00A9587F">
        <w:rPr>
          <w:lang w:val="el-GR"/>
        </w:rPr>
        <w:instrText>_</w:instrText>
      </w:r>
      <w:r w:rsidR="00A9587F">
        <w:instrText>statement</w:instrText>
      </w:r>
      <w:r w:rsidR="00A9587F" w:rsidRPr="00A9587F">
        <w:rPr>
          <w:lang w:val="el-GR"/>
        </w:rPr>
        <w:instrText>_</w:instrText>
      </w:r>
      <w:r w:rsidR="00A9587F">
        <w:instrText>on</w:instrText>
      </w:r>
      <w:r w:rsidR="00A9587F" w:rsidRPr="00A9587F">
        <w:rPr>
          <w:lang w:val="el-GR"/>
        </w:rPr>
        <w:instrText>_</w:instrText>
      </w:r>
      <w:r w:rsidR="00A9587F">
        <w:instrText>decentralised</w:instrText>
      </w:r>
      <w:r w:rsidR="00A9587F" w:rsidRPr="00A9587F">
        <w:rPr>
          <w:lang w:val="el-GR"/>
        </w:rPr>
        <w:instrText>_</w:instrText>
      </w:r>
      <w:r w:rsidR="00A9587F">
        <w:instrText>agencies</w:instrText>
      </w:r>
      <w:r w:rsidR="00A9587F" w:rsidRPr="00A9587F">
        <w:rPr>
          <w:lang w:val="el-GR"/>
        </w:rPr>
        <w:instrText>_</w:instrText>
      </w:r>
      <w:r w:rsidR="00A9587F">
        <w:instrText>en</w:instrText>
      </w:r>
      <w:r w:rsidR="00A9587F" w:rsidRPr="00A9587F">
        <w:rPr>
          <w:lang w:val="el-GR"/>
        </w:rPr>
        <w:instrText>.</w:instrText>
      </w:r>
      <w:r w:rsidR="00A9587F">
        <w:instrText>pdf</w:instrText>
      </w:r>
      <w:r w:rsidR="00A9587F" w:rsidRPr="00A9587F">
        <w:rPr>
          <w:lang w:val="el-GR"/>
        </w:rPr>
        <w:instrText xml:space="preserve">" </w:instrText>
      </w:r>
      <w:r w:rsidR="00A9587F">
        <w:fldChar w:fldCharType="separate"/>
      </w:r>
      <w:r w:rsidR="006F1DCD" w:rsidRPr="00391047">
        <w:rPr>
          <w:rStyle w:val="Hyperlink"/>
        </w:rPr>
        <w:t>https</w:t>
      </w:r>
      <w:r w:rsidR="006F1DCD" w:rsidRPr="00391047">
        <w:rPr>
          <w:rStyle w:val="Hyperlink"/>
          <w:lang w:val="el-GR"/>
        </w:rPr>
        <w:t>://</w:t>
      </w:r>
      <w:proofErr w:type="spellStart"/>
      <w:r w:rsidR="006F1DCD" w:rsidRPr="00391047">
        <w:rPr>
          <w:rStyle w:val="Hyperlink"/>
        </w:rPr>
        <w:t>european</w:t>
      </w:r>
      <w:proofErr w:type="spellEnd"/>
      <w:r w:rsidR="006F1DCD" w:rsidRPr="00391047">
        <w:rPr>
          <w:rStyle w:val="Hyperlink"/>
          <w:lang w:val="el-GR"/>
        </w:rPr>
        <w:t>-</w:t>
      </w:r>
      <w:r w:rsidR="006F1DCD" w:rsidRPr="00391047">
        <w:rPr>
          <w:rStyle w:val="Hyperlink"/>
        </w:rPr>
        <w:t>union</w:t>
      </w:r>
      <w:r w:rsidR="006F1DCD" w:rsidRPr="00391047">
        <w:rPr>
          <w:rStyle w:val="Hyperlink"/>
          <w:lang w:val="el-GR"/>
        </w:rPr>
        <w:t>.</w:t>
      </w:r>
      <w:proofErr w:type="spellStart"/>
      <w:r w:rsidR="006F1DCD" w:rsidRPr="00391047">
        <w:rPr>
          <w:rStyle w:val="Hyperlink"/>
        </w:rPr>
        <w:t>europa</w:t>
      </w:r>
      <w:proofErr w:type="spellEnd"/>
      <w:r w:rsidR="006F1DCD" w:rsidRPr="00391047">
        <w:rPr>
          <w:rStyle w:val="Hyperlink"/>
          <w:lang w:val="el-GR"/>
        </w:rPr>
        <w:t>.</w:t>
      </w:r>
      <w:proofErr w:type="spellStart"/>
      <w:r w:rsidR="006F1DCD" w:rsidRPr="00391047">
        <w:rPr>
          <w:rStyle w:val="Hyperlink"/>
        </w:rPr>
        <w:t>eu</w:t>
      </w:r>
      <w:proofErr w:type="spellEnd"/>
      <w:r w:rsidR="006F1DCD" w:rsidRPr="00391047">
        <w:rPr>
          <w:rStyle w:val="Hyperlink"/>
          <w:lang w:val="el-GR"/>
        </w:rPr>
        <w:t>/</w:t>
      </w:r>
      <w:r w:rsidR="006F1DCD" w:rsidRPr="00391047">
        <w:rPr>
          <w:rStyle w:val="Hyperlink"/>
        </w:rPr>
        <w:t>system</w:t>
      </w:r>
      <w:r w:rsidR="006F1DCD" w:rsidRPr="00391047">
        <w:rPr>
          <w:rStyle w:val="Hyperlink"/>
          <w:lang w:val="el-GR"/>
        </w:rPr>
        <w:t>/</w:t>
      </w:r>
      <w:r w:rsidR="006F1DCD" w:rsidRPr="00391047">
        <w:rPr>
          <w:rStyle w:val="Hyperlink"/>
        </w:rPr>
        <w:t>files</w:t>
      </w:r>
      <w:r w:rsidR="006F1DCD" w:rsidRPr="00391047">
        <w:rPr>
          <w:rStyle w:val="Hyperlink"/>
          <w:lang w:val="el-GR"/>
        </w:rPr>
        <w:t>/2022-06/</w:t>
      </w:r>
      <w:r w:rsidR="006F1DCD" w:rsidRPr="00391047">
        <w:rPr>
          <w:rStyle w:val="Hyperlink"/>
        </w:rPr>
        <w:t>joint</w:t>
      </w:r>
      <w:r w:rsidR="006F1DCD" w:rsidRPr="00391047">
        <w:rPr>
          <w:rStyle w:val="Hyperlink"/>
          <w:lang w:val="el-GR"/>
        </w:rPr>
        <w:t>_</w:t>
      </w:r>
      <w:r w:rsidR="006F1DCD" w:rsidRPr="00391047">
        <w:rPr>
          <w:rStyle w:val="Hyperlink"/>
        </w:rPr>
        <w:t>statement</w:t>
      </w:r>
      <w:r w:rsidR="006F1DCD" w:rsidRPr="00391047">
        <w:rPr>
          <w:rStyle w:val="Hyperlink"/>
          <w:lang w:val="el-GR"/>
        </w:rPr>
        <w:t>_</w:t>
      </w:r>
      <w:r w:rsidR="006F1DCD" w:rsidRPr="00391047">
        <w:rPr>
          <w:rStyle w:val="Hyperlink"/>
        </w:rPr>
        <w:t>on</w:t>
      </w:r>
      <w:r w:rsidR="006F1DCD" w:rsidRPr="00391047">
        <w:rPr>
          <w:rStyle w:val="Hyperlink"/>
          <w:lang w:val="el-GR"/>
        </w:rPr>
        <w:t>_</w:t>
      </w:r>
      <w:r w:rsidR="006F1DCD" w:rsidRPr="00391047">
        <w:rPr>
          <w:rStyle w:val="Hyperlink"/>
        </w:rPr>
        <w:t>decentralised</w:t>
      </w:r>
      <w:r w:rsidR="006F1DCD" w:rsidRPr="00391047">
        <w:rPr>
          <w:rStyle w:val="Hyperlink"/>
          <w:lang w:val="el-GR"/>
        </w:rPr>
        <w:t>_</w:t>
      </w:r>
      <w:r w:rsidR="006F1DCD" w:rsidRPr="00391047">
        <w:rPr>
          <w:rStyle w:val="Hyperlink"/>
        </w:rPr>
        <w:t>agencies</w:t>
      </w:r>
      <w:r w:rsidR="006F1DCD" w:rsidRPr="00391047">
        <w:rPr>
          <w:rStyle w:val="Hyperlink"/>
          <w:lang w:val="el-GR"/>
        </w:rPr>
        <w:t>_</w:t>
      </w:r>
      <w:proofErr w:type="spellStart"/>
      <w:r w:rsidR="006F1DCD" w:rsidRPr="00391047">
        <w:rPr>
          <w:rStyle w:val="Hyperlink"/>
        </w:rPr>
        <w:t>en</w:t>
      </w:r>
      <w:proofErr w:type="spellEnd"/>
      <w:r w:rsidR="006F1DCD" w:rsidRPr="00391047">
        <w:rPr>
          <w:rStyle w:val="Hyperlink"/>
          <w:lang w:val="el-GR"/>
        </w:rPr>
        <w:t>.</w:t>
      </w:r>
      <w:r w:rsidR="006F1DCD" w:rsidRPr="00391047">
        <w:rPr>
          <w:rStyle w:val="Hyperlink"/>
        </w:rPr>
        <w:t>pdf</w:t>
      </w:r>
      <w:r w:rsidR="00A9587F">
        <w:rPr>
          <w:rStyle w:val="Hyperlink"/>
        </w:rPr>
        <w:fldChar w:fldCharType="end"/>
      </w:r>
      <w:r w:rsidRPr="001F0F0A">
        <w:rPr>
          <w:lang w:val="el-GR"/>
        </w:rPr>
        <w:t>.</w:t>
      </w:r>
      <w:r w:rsidR="006F1DCD">
        <w:rPr>
          <w:lang w:val="el-GR"/>
        </w:rPr>
        <w:t xml:space="preserve"> </w:t>
      </w:r>
    </w:p>
  </w:footnote>
  <w:footnote w:id="10">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 (ΕΕ </w:t>
      </w:r>
      <w:r>
        <w:t>L</w:t>
      </w:r>
      <w:r w:rsidRPr="001F0F0A">
        <w:rPr>
          <w:lang w:val="el-GR"/>
        </w:rPr>
        <w:t xml:space="preserve"> 122 της 10.5.2019, σ. 1).</w:t>
      </w:r>
    </w:p>
  </w:footnote>
  <w:footnote w:id="11">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(ΕΕ) 2019/883 του Ευρωπαϊκού Κοινοβουλίου και του Συμβουλίου, της 17ης Απριλίου 2019, σχετικά με τις λιμενικές εγκαταστάσεις παραλαβής για την παράδοση αποβλήτων από πλοία, για την τροποποίηση της οδηγίας 2010/65/ΕΕ και την κατάργηση της οδηγίας 2000/59/ΕΚ (ΕΕ </w:t>
      </w:r>
      <w:r>
        <w:t>L</w:t>
      </w:r>
      <w:r w:rsidRPr="001F0F0A">
        <w:rPr>
          <w:lang w:val="el-GR"/>
        </w:rPr>
        <w:t xml:space="preserve"> 151 της 7.6.2019, σ. 116).</w:t>
      </w:r>
    </w:p>
  </w:footnote>
  <w:footnote w:id="12">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 (ΕΕ </w:t>
      </w:r>
      <w:r>
        <w:t>L</w:t>
      </w:r>
      <w:r w:rsidRPr="001F0F0A">
        <w:rPr>
          <w:lang w:val="el-GR"/>
        </w:rPr>
        <w:t xml:space="preserve"> 164 της 25.6.2008, σ. 19).</w:t>
      </w:r>
    </w:p>
  </w:footnote>
  <w:footnote w:id="13">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(ΕΕ) 2016/802 του Ευρωπαϊκού Κοινοβουλίου και του Συμβουλίου, της 11ης Μαΐου 2016, σχετικά με τη μείωση της περιεκτικότητας ορισμένων υγρών καυσίμων σε θείο (ΕΕ </w:t>
      </w:r>
      <w:r>
        <w:t>L</w:t>
      </w:r>
      <w:r w:rsidRPr="001F0F0A">
        <w:rPr>
          <w:lang w:val="el-GR"/>
        </w:rPr>
        <w:t xml:space="preserve"> 132 της 21.5.2016, σ. 58).</w:t>
      </w:r>
    </w:p>
  </w:footnote>
  <w:footnote w:id="14">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(ΕΕ) 2015/757 του Ευρωπαϊκού Κοινοβουλίου και του Συμβουλίου, της 29ης Απριλίου 2015, για την παρακολούθηση, την υποβολή εκθέσεων και επαλήθευση των εκπομπών διοξειδίου του άνθρακα από θαλάσσιες μεταφορές και για την τροποποίηση της οδηγίας 2009/16/ΕΚ (ΕΕ </w:t>
      </w:r>
      <w:r>
        <w:t>L</w:t>
      </w:r>
      <w:r w:rsidRPr="001F0F0A">
        <w:rPr>
          <w:lang w:val="el-GR"/>
        </w:rPr>
        <w:t xml:space="preserve"> 123 της 19.5.2015, σ. 55).</w:t>
      </w:r>
    </w:p>
  </w:footnote>
  <w:footnote w:id="15">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2003/87/ΕΚ του Ευρωπαϊκού Κοινοβουλίου και του Συμβουλίου, της 13ης Οκτωβρίου 2003, σχετικά με τη θέσπιση συστήματος εμπορίας δικαιωμάτων εκπομπής αερίων θερμοκηπίου εντός της Ένωσης και την τροποποίηση της οδηγίας 96/61/ΕΚ του Συμβουλίου (ΕΕ </w:t>
      </w:r>
      <w:r>
        <w:t>L</w:t>
      </w:r>
      <w:r w:rsidRPr="001F0F0A">
        <w:rPr>
          <w:lang w:val="el-GR"/>
        </w:rPr>
        <w:t xml:space="preserve"> 275 της 25.10.2003, σ. 32).</w:t>
      </w:r>
    </w:p>
  </w:footnote>
  <w:footnote w:id="16">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(ΕΚ) αριθ. 725/2004 του Ευρωπαϊκού Κοινοβουλίου και του Συμβουλίου, της 31ης Μαρτίου 2004, για </w:t>
      </w:r>
      <w:proofErr w:type="spellStart"/>
      <w:r w:rsidRPr="001F0F0A">
        <w:rPr>
          <w:lang w:val="el-GR"/>
        </w:rPr>
        <w:t>τηβελτίωση</w:t>
      </w:r>
      <w:proofErr w:type="spellEnd"/>
      <w:r w:rsidRPr="001F0F0A">
        <w:rPr>
          <w:lang w:val="el-GR"/>
        </w:rPr>
        <w:t xml:space="preserve"> της ασφάλειας στα πλοία και στις λιμενικές εγκαταστάσεις (ΕΕ </w:t>
      </w:r>
      <w:r>
        <w:t>L</w:t>
      </w:r>
      <w:r w:rsidRPr="001F0F0A">
        <w:rPr>
          <w:lang w:val="el-GR"/>
        </w:rPr>
        <w:t xml:space="preserve"> 129 της 29.4.2004, σ. 6).</w:t>
      </w:r>
    </w:p>
  </w:footnote>
  <w:footnote w:id="17">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2002/59/ΕΚ του Ευρωπαϊκού Κοινοβουλίου και του Συμβουλίου, της 27ης Ιουνίου 2002, για τη δημιουργία κοινοτικού συστήματος παρακολούθησης της κυκλοφορίας των πλοίων και ενημέρωσης και την κατάργηση της οδηγίας 93/75/ΕΟΚ του Συμβουλίου (ΕΕ </w:t>
      </w:r>
      <w:r>
        <w:t>L</w:t>
      </w:r>
      <w:r w:rsidRPr="001F0F0A">
        <w:rPr>
          <w:lang w:val="el-GR"/>
        </w:rPr>
        <w:t xml:space="preserve"> 208 της 5.8.2002, σ. 10).</w:t>
      </w:r>
    </w:p>
  </w:footnote>
  <w:footnote w:id="18">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Κανονισμός (</w:t>
      </w:r>
      <w:r>
        <w:t>EE</w:t>
      </w:r>
      <w:r w:rsidRPr="001F0F0A">
        <w:rPr>
          <w:lang w:val="el-GR"/>
        </w:rPr>
        <w:t xml:space="preserv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w:t>
      </w:r>
      <w:r>
        <w:t>L</w:t>
      </w:r>
      <w:r w:rsidRPr="001F0F0A">
        <w:rPr>
          <w:lang w:val="el-GR"/>
        </w:rPr>
        <w:t xml:space="preserve"> 295 της 14.11.2019, σ. 1).</w:t>
      </w:r>
    </w:p>
  </w:footnote>
  <w:footnote w:id="19">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(ΕΕ) 2019/473 του Ευρωπαϊκού Κοινοβουλίου και του Συμβουλίου, της 19ης Μαρτίου 2019, για την Ευρωπαϊκή Υπηρεσία Ελέγχου της Αλιείας (ΕΕ </w:t>
      </w:r>
      <w:r>
        <w:t>L</w:t>
      </w:r>
      <w:r w:rsidRPr="001F0F0A">
        <w:rPr>
          <w:lang w:val="el-GR"/>
        </w:rPr>
        <w:t xml:space="preserve"> 83 της 25.3.2019, σ. 18).</w:t>
      </w:r>
    </w:p>
  </w:footnote>
  <w:footnote w:id="20">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1F0F0A">
        <w:rPr>
          <w:lang w:val="el-GR"/>
        </w:rPr>
        <w:t xml:space="preserve"> 55 της 28.2.2011, σ. 13).</w:t>
      </w:r>
    </w:p>
  </w:footnote>
  <w:footnote w:id="21">
    <w:p w:rsidR="00CF11F6" w:rsidRPr="001F0F0A" w:rsidRDefault="00CF11F6" w:rsidP="001F0F0A">
      <w:pPr>
        <w:pStyle w:val="FootnoteTextForceStyle"/>
        <w:rPr>
          <w:lang w:val="el-GR"/>
        </w:rPr>
      </w:pPr>
      <w:r>
        <w:rPr>
          <w:vertAlign w:val="superscript"/>
        </w:rPr>
        <w:footnoteRef/>
      </w:r>
      <w:r w:rsidRPr="001F0F0A">
        <w:rPr>
          <w:lang w:val="el-GR"/>
        </w:rPr>
        <w:tab/>
      </w:r>
      <w:r w:rsidRPr="001F0F0A">
        <w:rPr>
          <w:b/>
          <w:i/>
          <w:lang w:val="el-GR"/>
        </w:rPr>
        <w:t xml:space="preserve">ΕΕ </w:t>
      </w:r>
      <w:r>
        <w:rPr>
          <w:b/>
          <w:i/>
        </w:rPr>
        <w:t>L</w:t>
      </w:r>
      <w:r w:rsidRPr="001F0F0A">
        <w:rPr>
          <w:b/>
          <w:i/>
          <w:lang w:val="el-GR"/>
        </w:rPr>
        <w:t xml:space="preserve"> 123 της 12.5.2016, σ. 1.</w:t>
      </w:r>
    </w:p>
  </w:footnote>
  <w:footnote w:id="22">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w:t>
      </w:r>
      <w:r>
        <w:t>OLAF</w:t>
      </w:r>
      <w:r w:rsidRPr="001F0F0A">
        <w:rPr>
          <w:lang w:val="el-GR"/>
        </w:rPr>
        <w:t xml:space="preserve">) και την κατάργηση του κανονισμού (ΕΚ) αριθ. 1073/1999 του Ευρωπαϊκού Κοινοβουλίου και του Συμβουλίου και του κανονισμού (Ευρατόμ) αριθ. 1074/1999 του Συμβουλίου (ΕΕ </w:t>
      </w:r>
      <w:r>
        <w:t>L</w:t>
      </w:r>
      <w:r w:rsidRPr="001F0F0A">
        <w:rPr>
          <w:lang w:val="el-GR"/>
        </w:rPr>
        <w:t xml:space="preserve"> 248 της 18.9.2013, σ. 1).</w:t>
      </w:r>
    </w:p>
  </w:footnote>
  <w:footnote w:id="23">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ΕΕ </w:t>
      </w:r>
      <w:r>
        <w:t>L</w:t>
      </w:r>
      <w:r w:rsidRPr="001F0F0A">
        <w:rPr>
          <w:lang w:val="el-GR"/>
        </w:rPr>
        <w:t xml:space="preserve"> 136 της 31.5.1999, σ. 15.</w:t>
      </w:r>
    </w:p>
  </w:footnote>
  <w:footnote w:id="24">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2009/45/ΕΚ του Ευρωπαϊκού Κοινοβουλίου και του Συμβουλίου, της 6ης Μαΐου 2009, για τους κανόνες και τα πρότυπα ασφαλείας για τα επιβατηγά πλοία (ΕΕ </w:t>
      </w:r>
      <w:r>
        <w:t>L</w:t>
      </w:r>
      <w:r w:rsidRPr="001F0F0A">
        <w:rPr>
          <w:lang w:val="el-GR"/>
        </w:rPr>
        <w:t xml:space="preserve"> 163 της 25.6.2009, σ. 1).</w:t>
      </w:r>
    </w:p>
  </w:footnote>
  <w:footnote w:id="25">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2003/25/ΕΚ του Ευρωπαϊκού Κοινοβουλίου και του Συμβουλίου, της </w:t>
      </w:r>
      <w:proofErr w:type="spellStart"/>
      <w:r w:rsidRPr="001F0F0A">
        <w:rPr>
          <w:lang w:val="el-GR"/>
        </w:rPr>
        <w:t>14ης</w:t>
      </w:r>
      <w:proofErr w:type="spellEnd"/>
      <w:r w:rsidRPr="001F0F0A">
        <w:rPr>
          <w:lang w:val="el-GR"/>
        </w:rPr>
        <w:t xml:space="preserve"> Απριλίου 2003, σχετικά με ειδικές απαιτήσεις ευστάθειας για επιβατηγά οχηματαγωγά πλοία (</w:t>
      </w:r>
      <w:proofErr w:type="spellStart"/>
      <w:r>
        <w:t>ro</w:t>
      </w:r>
      <w:proofErr w:type="spellEnd"/>
      <w:r w:rsidRPr="001F0F0A">
        <w:rPr>
          <w:lang w:val="el-GR"/>
        </w:rPr>
        <w:t>-</w:t>
      </w:r>
      <w:proofErr w:type="spellStart"/>
      <w:r>
        <w:t>ro</w:t>
      </w:r>
      <w:proofErr w:type="spellEnd"/>
      <w:r w:rsidRPr="001F0F0A">
        <w:rPr>
          <w:lang w:val="el-GR"/>
        </w:rPr>
        <w:t xml:space="preserve">) (ΕΕ </w:t>
      </w:r>
      <w:r>
        <w:t>L</w:t>
      </w:r>
      <w:r w:rsidRPr="001F0F0A">
        <w:rPr>
          <w:lang w:val="el-GR"/>
        </w:rPr>
        <w:t xml:space="preserve"> 123 της 17.5.2003, σ. 22).</w:t>
      </w:r>
    </w:p>
  </w:footnote>
  <w:footnote w:id="26">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98/41/ΕΚ του Συμβουλίου, της 18ης Ιουνίου 1998, σχετικά με την καταγραφή των ατόμων που ταξιδεύουν με επιβατηγά πλοία που εκτελούν δρομολόγια προς ή από λιμένες των κρατών μελών της Κοινότητας (ΕΕ </w:t>
      </w:r>
      <w:r>
        <w:t>L</w:t>
      </w:r>
      <w:r w:rsidRPr="001F0F0A">
        <w:rPr>
          <w:lang w:val="el-GR"/>
        </w:rPr>
        <w:t xml:space="preserve"> 188 της 2.7.1998, σ. 35).</w:t>
      </w:r>
    </w:p>
  </w:footnote>
  <w:footnote w:id="27">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(ΕΚ) αριθ. 391/2009 του Ευρωπαϊκού Κοινοβουλίου και του Συμβουλίου, της 23ης Απριλίου 2009, σχετικά με κοινούς κανόνες και πρότυπα για τους οργανισμούς επιθεώρησης και ελέγχου πλοίων (ΕΕ </w:t>
      </w:r>
      <w:r>
        <w:t>L</w:t>
      </w:r>
      <w:r w:rsidRPr="001F0F0A">
        <w:rPr>
          <w:lang w:val="el-GR"/>
        </w:rPr>
        <w:t xml:space="preserve"> 131 της 28.5.2009, σ. 11).</w:t>
      </w:r>
    </w:p>
  </w:footnote>
  <w:footnote w:id="28">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2009/15/ΕΚ του Ευρωπαϊκού Κοινοβουλίου και του Συμβουλίου, της 23ης Απριλίου 2009, σχετικά με κοινούς κανόνες και πρότυπα για τους οργανισμούς επιθεώρησης και ελέγχου πλοίων και για τις συναφείς δραστηριότητες των ναυτικών αρχών (ΕΕ </w:t>
      </w:r>
      <w:r>
        <w:t>L</w:t>
      </w:r>
      <w:r w:rsidRPr="001F0F0A">
        <w:rPr>
          <w:lang w:val="el-GR"/>
        </w:rPr>
        <w:t xml:space="preserve"> 131 της 28.5.2009, σ. 47).</w:t>
      </w:r>
    </w:p>
  </w:footnote>
  <w:footnote w:id="29">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2014/90/ΕΕ του Ευρωπαϊκού Κοινοβουλίου και του Συμβουλίου, της 23ης Ιουλίου 2014, σχετικά με τον εξοπλισμό πλοίων και για την κατάργηση της οδηγίας 96/98/ΕΚ του Συμβουλίου (ΕΕ </w:t>
      </w:r>
      <w:r>
        <w:t>L</w:t>
      </w:r>
      <w:r w:rsidRPr="001F0F0A">
        <w:rPr>
          <w:lang w:val="el-GR"/>
        </w:rPr>
        <w:t xml:space="preserve"> 257 της 28.8.2014, σ. 146).</w:t>
      </w:r>
    </w:p>
  </w:footnote>
  <w:footnote w:id="30">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Οδηγία (ΕΕ) 2022/993 του Ευρωπαϊκού Κοινοβουλίου και του Συμβουλίου, της 8ης Ιουνίου 2022, για το ελάχιστο επίπεδο εκπαίδευσης των ναυτικών (ΕΕ </w:t>
      </w:r>
      <w:r>
        <w:t>L</w:t>
      </w:r>
      <w:r w:rsidRPr="001F0F0A">
        <w:rPr>
          <w:lang w:val="el-GR"/>
        </w:rPr>
        <w:t xml:space="preserve"> 169 της 27.6.2022, σ. 45).</w:t>
      </w:r>
    </w:p>
  </w:footnote>
  <w:footnote w:id="31">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Απόφαση αριθ. 1313/2013/ΕΕ του Ευρωπαϊκού Κοινοβουλίου και του Συμβουλίου, της 17ης Δεκεμβρίου 2013, περί μηχανισμού πολιτικής προστασίας της Ένωσης (ΕΕ </w:t>
      </w:r>
      <w:r>
        <w:t>L</w:t>
      </w:r>
      <w:r w:rsidRPr="001F0F0A">
        <w:rPr>
          <w:lang w:val="el-GR"/>
        </w:rPr>
        <w:t xml:space="preserve"> 347 της 20.12.2013, σ. 924).</w:t>
      </w:r>
    </w:p>
  </w:footnote>
  <w:footnote w:id="32">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(ΕΕ) αριθ. 1257/2013 του Ευρωπαϊκού Κοινοβουλίου και του Συμβουλίου, της 20ής Νοεμβρίου 2013, για την ανακύκλωση πλοίων και την τροποποίηση του κανονισμού (ΕΚ) αριθ. 1013/2006 και της οδηγίας 2009/16/ΕΚ (ΕΕ </w:t>
      </w:r>
      <w:r>
        <w:t>L</w:t>
      </w:r>
      <w:r w:rsidRPr="001F0F0A">
        <w:rPr>
          <w:lang w:val="el-GR"/>
        </w:rPr>
        <w:t xml:space="preserve"> 330 της 10.12.2013, σ. 1).</w:t>
      </w:r>
    </w:p>
  </w:footnote>
  <w:footnote w:id="33">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(ΕΕ) 2019/1239 του Ευρωπαϊκού Κοινοβουλίου και του Συμβουλίου, της 20ής Ιουνίου 2019, για τη θέσπιση ευρωπαϊκού περιβάλλοντος ναυτιλιακής ενιαίας θυρίδας και για την κατάργηση της οδηγίας 2010/65/ΕΕ (ΕΕ </w:t>
      </w:r>
      <w:r>
        <w:t>L</w:t>
      </w:r>
      <w:r w:rsidRPr="001F0F0A">
        <w:rPr>
          <w:lang w:val="el-GR"/>
        </w:rPr>
        <w:t xml:space="preserve"> 198 της 25.7.2019, σ. 64).</w:t>
      </w:r>
    </w:p>
  </w:footnote>
  <w:footnote w:id="34">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τής Επιτροπής (ΕΕ </w:t>
      </w:r>
      <w:r>
        <w:t>L</w:t>
      </w:r>
      <w:r w:rsidRPr="001F0F0A">
        <w:rPr>
          <w:lang w:val="el-GR"/>
        </w:rPr>
        <w:t xml:space="preserve"> 56 της 4.3.1968, σ. 1).</w:t>
      </w:r>
    </w:p>
  </w:footnote>
  <w:footnote w:id="35">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Κανονισμός (ΕΚ) αριθ. 2099/2002 του Ευρωπαϊκού Κοινοβουλίου και του Συμβουλίου, της 5ης Νοεμβρίου 2002, για την επιτροπή ασφάλειας στη ναυτιλία και πρόληψης της ρύπανσης από τα πλοία (</w:t>
      </w:r>
      <w:r>
        <w:t>COSS</w:t>
      </w:r>
      <w:r w:rsidRPr="001F0F0A">
        <w:rPr>
          <w:lang w:val="el-GR"/>
        </w:rPr>
        <w:t xml:space="preserve">) και για την τροποποίηση των κανονισμών για την ασφάλεια στη ναυτιλία και την πρόληψη της ρύπανσης από τα πλοία (ΕΕ </w:t>
      </w:r>
      <w:r>
        <w:t>L</w:t>
      </w:r>
      <w:r w:rsidRPr="001F0F0A">
        <w:rPr>
          <w:lang w:val="el-GR"/>
        </w:rPr>
        <w:t xml:space="preserve"> 324 της 29.11.2002, σ. 1).</w:t>
      </w:r>
    </w:p>
  </w:footnote>
  <w:footnote w:id="36">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ΕΕ 17 της 6.10.1958, σ. 385. Κανονισμός όπως τροποποιήθηκε τελευταία με τον κανονισμό (ΕΚ) αριθ. 1791/2006, της 20ής Νοεμβρίου 2006, για την προσαρμογή ορισμένων κανονισμών και αποφάσεων λόγω της προσχώρησης της Βουλγαρίας και της Ρουμανίας.</w:t>
      </w:r>
    </w:p>
  </w:footnote>
  <w:footnote w:id="37">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t>EE</w:t>
      </w:r>
      <w:r w:rsidRPr="001F0F0A">
        <w:rPr>
          <w:lang w:val="el-GR"/>
        </w:rPr>
        <w:t xml:space="preserve"> </w:t>
      </w:r>
      <w:r>
        <w:t>L</w:t>
      </w:r>
      <w:r w:rsidRPr="001F0F0A">
        <w:rPr>
          <w:lang w:val="el-GR"/>
        </w:rPr>
        <w:t xml:space="preserve"> 145 της 31.5.2001, σ. 43).</w:t>
      </w:r>
    </w:p>
  </w:footnote>
  <w:footnote w:id="38">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t>L</w:t>
      </w:r>
      <w:r w:rsidRPr="001F0F0A">
        <w:rPr>
          <w:lang w:val="el-GR"/>
        </w:rPr>
        <w:t xml:space="preserve"> 295 της 21.11.2018, σ. 39).</w:t>
      </w:r>
    </w:p>
  </w:footnote>
  <w:footnote w:id="39">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Απόφαση (ΕΕ, Ευρατόμ) 2015/443 της Επιτροπής, της 13ης Μαρτίου 2015, σχετικά με την ασφάλεια στην Επιτροπή (ΕΕ </w:t>
      </w:r>
      <w:r>
        <w:t>L</w:t>
      </w:r>
      <w:r w:rsidRPr="001F0F0A">
        <w:rPr>
          <w:lang w:val="el-GR"/>
        </w:rPr>
        <w:t xml:space="preserve"> 72 της 17.3.2015, σ. 41).</w:t>
      </w:r>
    </w:p>
  </w:footnote>
  <w:footnote w:id="40">
    <w:p w:rsidR="00CF11F6" w:rsidRPr="001F0F0A" w:rsidRDefault="00CF11F6" w:rsidP="001F0F0A">
      <w:pPr>
        <w:pStyle w:val="FootnoteTextForceStyle"/>
        <w:rPr>
          <w:lang w:val="el-GR"/>
        </w:rPr>
      </w:pPr>
      <w:r>
        <w:rPr>
          <w:vertAlign w:val="superscript"/>
        </w:rPr>
        <w:footnoteRef/>
      </w:r>
      <w:r w:rsidRPr="001F0F0A">
        <w:rPr>
          <w:lang w:val="el-GR"/>
        </w:rPr>
        <w:tab/>
      </w:r>
      <w:r w:rsidRPr="001F0F0A">
        <w:rPr>
          <w:lang w:val="el-GR"/>
        </w:rPr>
        <w:t xml:space="preserve">Απόφαση (ΕΕ, Ευρατόμ) 2015/444 της Επιτροπής, της 13ης Μαρτίου 2015, σχετικά με τους κανόνες ασφαλείας για την προστασία των διαβαθμισμένων πληροφοριών της ΕΕ (ΕΕ </w:t>
      </w:r>
      <w:r>
        <w:t>L</w:t>
      </w:r>
      <w:r w:rsidRPr="001F0F0A">
        <w:rPr>
          <w:lang w:val="el-GR"/>
        </w:rPr>
        <w:t xml:space="preserve"> 72 της 17.3.2015, σ.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DD384FEA">
      <w:start w:val="1"/>
      <w:numFmt w:val="decimal"/>
      <w:lvlText w:val="%1."/>
      <w:lvlJc w:val="left"/>
      <w:pPr>
        <w:ind w:left="720" w:hanging="360"/>
      </w:pPr>
      <w:rPr>
        <w:rFonts w:hint="default"/>
      </w:rPr>
    </w:lvl>
    <w:lvl w:ilvl="1" w:tplc="2DD0D600" w:tentative="1">
      <w:start w:val="1"/>
      <w:numFmt w:val="lowerLetter"/>
      <w:lvlText w:val="%2."/>
      <w:lvlJc w:val="left"/>
      <w:pPr>
        <w:ind w:left="1440" w:hanging="360"/>
      </w:pPr>
    </w:lvl>
    <w:lvl w:ilvl="2" w:tplc="3624857A" w:tentative="1">
      <w:start w:val="1"/>
      <w:numFmt w:val="lowerRoman"/>
      <w:lvlText w:val="%3."/>
      <w:lvlJc w:val="right"/>
      <w:pPr>
        <w:ind w:left="2160" w:hanging="180"/>
      </w:pPr>
    </w:lvl>
    <w:lvl w:ilvl="3" w:tplc="33CA51DE" w:tentative="1">
      <w:start w:val="1"/>
      <w:numFmt w:val="decimal"/>
      <w:lvlText w:val="%4."/>
      <w:lvlJc w:val="left"/>
      <w:pPr>
        <w:ind w:left="2880" w:hanging="360"/>
      </w:pPr>
    </w:lvl>
    <w:lvl w:ilvl="4" w:tplc="01DA7304" w:tentative="1">
      <w:start w:val="1"/>
      <w:numFmt w:val="lowerLetter"/>
      <w:lvlText w:val="%5."/>
      <w:lvlJc w:val="left"/>
      <w:pPr>
        <w:ind w:left="3600" w:hanging="360"/>
      </w:pPr>
    </w:lvl>
    <w:lvl w:ilvl="5" w:tplc="E362B27A" w:tentative="1">
      <w:start w:val="1"/>
      <w:numFmt w:val="lowerRoman"/>
      <w:lvlText w:val="%6."/>
      <w:lvlJc w:val="right"/>
      <w:pPr>
        <w:ind w:left="4320" w:hanging="180"/>
      </w:pPr>
    </w:lvl>
    <w:lvl w:ilvl="6" w:tplc="81CE2D5A" w:tentative="1">
      <w:start w:val="1"/>
      <w:numFmt w:val="decimal"/>
      <w:lvlText w:val="%7."/>
      <w:lvlJc w:val="left"/>
      <w:pPr>
        <w:ind w:left="5040" w:hanging="360"/>
      </w:pPr>
    </w:lvl>
    <w:lvl w:ilvl="7" w:tplc="651435C4" w:tentative="1">
      <w:start w:val="1"/>
      <w:numFmt w:val="lowerLetter"/>
      <w:lvlText w:val="%8."/>
      <w:lvlJc w:val="left"/>
      <w:pPr>
        <w:ind w:left="5760" w:hanging="360"/>
      </w:pPr>
    </w:lvl>
    <w:lvl w:ilvl="8" w:tplc="1B86248C"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4F84DF3E">
      <w:start w:val="1"/>
      <w:numFmt w:val="bullet"/>
      <w:lvlText w:val=""/>
      <w:lvlJc w:val="left"/>
      <w:pPr>
        <w:ind w:left="720" w:hanging="360"/>
      </w:pPr>
      <w:rPr>
        <w:rFonts w:ascii="Symbol" w:hAnsi="Symbol" w:hint="default"/>
      </w:rPr>
    </w:lvl>
    <w:lvl w:ilvl="1" w:tplc="C95A27CC" w:tentative="1">
      <w:start w:val="1"/>
      <w:numFmt w:val="bullet"/>
      <w:lvlText w:val="o"/>
      <w:lvlJc w:val="left"/>
      <w:pPr>
        <w:ind w:left="1440" w:hanging="360"/>
      </w:pPr>
      <w:rPr>
        <w:rFonts w:ascii="Courier New" w:hAnsi="Courier New" w:cs="Courier New" w:hint="default"/>
      </w:rPr>
    </w:lvl>
    <w:lvl w:ilvl="2" w:tplc="29BC6F18" w:tentative="1">
      <w:start w:val="1"/>
      <w:numFmt w:val="bullet"/>
      <w:lvlText w:val=""/>
      <w:lvlJc w:val="left"/>
      <w:pPr>
        <w:ind w:left="2160" w:hanging="360"/>
      </w:pPr>
      <w:rPr>
        <w:rFonts w:ascii="Wingdings" w:hAnsi="Wingdings" w:hint="default"/>
      </w:rPr>
    </w:lvl>
    <w:lvl w:ilvl="3" w:tplc="51A8F6D4" w:tentative="1">
      <w:start w:val="1"/>
      <w:numFmt w:val="bullet"/>
      <w:lvlText w:val=""/>
      <w:lvlJc w:val="left"/>
      <w:pPr>
        <w:ind w:left="2880" w:hanging="360"/>
      </w:pPr>
      <w:rPr>
        <w:rFonts w:ascii="Symbol" w:hAnsi="Symbol" w:hint="default"/>
      </w:rPr>
    </w:lvl>
    <w:lvl w:ilvl="4" w:tplc="E6E2F434" w:tentative="1">
      <w:start w:val="1"/>
      <w:numFmt w:val="bullet"/>
      <w:lvlText w:val="o"/>
      <w:lvlJc w:val="left"/>
      <w:pPr>
        <w:ind w:left="3600" w:hanging="360"/>
      </w:pPr>
      <w:rPr>
        <w:rFonts w:ascii="Courier New" w:hAnsi="Courier New" w:cs="Courier New" w:hint="default"/>
      </w:rPr>
    </w:lvl>
    <w:lvl w:ilvl="5" w:tplc="F0605878" w:tentative="1">
      <w:start w:val="1"/>
      <w:numFmt w:val="bullet"/>
      <w:lvlText w:val=""/>
      <w:lvlJc w:val="left"/>
      <w:pPr>
        <w:ind w:left="4320" w:hanging="360"/>
      </w:pPr>
      <w:rPr>
        <w:rFonts w:ascii="Wingdings" w:hAnsi="Wingdings" w:hint="default"/>
      </w:rPr>
    </w:lvl>
    <w:lvl w:ilvl="6" w:tplc="63B808F8" w:tentative="1">
      <w:start w:val="1"/>
      <w:numFmt w:val="bullet"/>
      <w:lvlText w:val=""/>
      <w:lvlJc w:val="left"/>
      <w:pPr>
        <w:ind w:left="5040" w:hanging="360"/>
      </w:pPr>
      <w:rPr>
        <w:rFonts w:ascii="Symbol" w:hAnsi="Symbol" w:hint="default"/>
      </w:rPr>
    </w:lvl>
    <w:lvl w:ilvl="7" w:tplc="6EC6241E" w:tentative="1">
      <w:start w:val="1"/>
      <w:numFmt w:val="bullet"/>
      <w:lvlText w:val="o"/>
      <w:lvlJc w:val="left"/>
      <w:pPr>
        <w:ind w:left="5760" w:hanging="360"/>
      </w:pPr>
      <w:rPr>
        <w:rFonts w:ascii="Courier New" w:hAnsi="Courier New" w:cs="Courier New" w:hint="default"/>
      </w:rPr>
    </w:lvl>
    <w:lvl w:ilvl="8" w:tplc="D74AEA3C"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5B9A916C">
      <w:start w:val="1"/>
      <w:numFmt w:val="bullet"/>
      <w:lvlText w:val=""/>
      <w:lvlJc w:val="left"/>
      <w:pPr>
        <w:ind w:left="720" w:hanging="360"/>
      </w:pPr>
      <w:rPr>
        <w:rFonts w:ascii="Symbol" w:hAnsi="Symbol" w:hint="default"/>
      </w:rPr>
    </w:lvl>
    <w:lvl w:ilvl="1" w:tplc="80D4CF1E">
      <w:start w:val="1"/>
      <w:numFmt w:val="bullet"/>
      <w:lvlText w:val="o"/>
      <w:lvlJc w:val="left"/>
      <w:pPr>
        <w:ind w:left="1440" w:hanging="360"/>
      </w:pPr>
      <w:rPr>
        <w:rFonts w:ascii="Courier New" w:hAnsi="Courier New" w:cs="Courier New" w:hint="default"/>
      </w:rPr>
    </w:lvl>
    <w:lvl w:ilvl="2" w:tplc="4F4A4414">
      <w:start w:val="1"/>
      <w:numFmt w:val="bullet"/>
      <w:lvlText w:val=""/>
      <w:lvlJc w:val="left"/>
      <w:pPr>
        <w:ind w:left="2160" w:hanging="360"/>
      </w:pPr>
      <w:rPr>
        <w:rFonts w:ascii="Wingdings" w:hAnsi="Wingdings" w:hint="default"/>
      </w:rPr>
    </w:lvl>
    <w:lvl w:ilvl="3" w:tplc="286C20AC">
      <w:start w:val="1"/>
      <w:numFmt w:val="bullet"/>
      <w:lvlText w:val=""/>
      <w:lvlJc w:val="left"/>
      <w:pPr>
        <w:ind w:left="2880" w:hanging="360"/>
      </w:pPr>
      <w:rPr>
        <w:rFonts w:ascii="Symbol" w:hAnsi="Symbol" w:hint="default"/>
      </w:rPr>
    </w:lvl>
    <w:lvl w:ilvl="4" w:tplc="DBDAF0BE">
      <w:start w:val="1"/>
      <w:numFmt w:val="bullet"/>
      <w:lvlText w:val="o"/>
      <w:lvlJc w:val="left"/>
      <w:pPr>
        <w:ind w:left="3600" w:hanging="360"/>
      </w:pPr>
      <w:rPr>
        <w:rFonts w:ascii="Courier New" w:hAnsi="Courier New" w:cs="Courier New" w:hint="default"/>
      </w:rPr>
    </w:lvl>
    <w:lvl w:ilvl="5" w:tplc="3E1E923C">
      <w:start w:val="1"/>
      <w:numFmt w:val="bullet"/>
      <w:lvlText w:val=""/>
      <w:lvlJc w:val="left"/>
      <w:pPr>
        <w:ind w:left="4320" w:hanging="360"/>
      </w:pPr>
      <w:rPr>
        <w:rFonts w:ascii="Wingdings" w:hAnsi="Wingdings" w:hint="default"/>
      </w:rPr>
    </w:lvl>
    <w:lvl w:ilvl="6" w:tplc="B2C83A2A">
      <w:start w:val="1"/>
      <w:numFmt w:val="bullet"/>
      <w:lvlText w:val=""/>
      <w:lvlJc w:val="left"/>
      <w:pPr>
        <w:ind w:left="5040" w:hanging="360"/>
      </w:pPr>
      <w:rPr>
        <w:rFonts w:ascii="Symbol" w:hAnsi="Symbol" w:hint="default"/>
      </w:rPr>
    </w:lvl>
    <w:lvl w:ilvl="7" w:tplc="EDEE6256">
      <w:start w:val="1"/>
      <w:numFmt w:val="bullet"/>
      <w:lvlText w:val="o"/>
      <w:lvlJc w:val="left"/>
      <w:pPr>
        <w:ind w:left="5760" w:hanging="360"/>
      </w:pPr>
      <w:rPr>
        <w:rFonts w:ascii="Courier New" w:hAnsi="Courier New" w:cs="Courier New" w:hint="default"/>
      </w:rPr>
    </w:lvl>
    <w:lvl w:ilvl="8" w:tplc="F9B2EDE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EL"/>
    <w:docVar w:name="dvnumam" w:val="187"/>
    <w:docVar w:name="dvpe" w:val="753.514"/>
    <w:docVar w:name="dvrapporteur" w:val="Εισηγήτρια: "/>
    <w:docVar w:name="dvtitre" w:val="Νομοθετικό ψήφισμα του Ευρωπαϊκού Κοινοβουλίου σχετικά με την πρόταση κανονισμού (ΕΕ) του Ευρωπαϊκού Κοινοβουλίου και του Συμβουλίου που αφορά τον ευρωπαϊκό οργανισμό για την ασφάλεια στη θάλασσα και την κατάργηση του κανονισμού (ΕΚ) αριθ. 1406/2002(COM(2023)0269 – C9-0190/2023 – 2023/0163(COD))"/>
  </w:docVars>
  <w:rsids>
    <w:rsidRoot w:val="007557CE"/>
    <w:rsid w:val="00002272"/>
    <w:rsid w:val="0001356A"/>
    <w:rsid w:val="00064002"/>
    <w:rsid w:val="000677B9"/>
    <w:rsid w:val="000831BA"/>
    <w:rsid w:val="000A42CC"/>
    <w:rsid w:val="000E7DD9"/>
    <w:rsid w:val="0010095E"/>
    <w:rsid w:val="00125B37"/>
    <w:rsid w:val="00187494"/>
    <w:rsid w:val="001F0F0A"/>
    <w:rsid w:val="001F32AE"/>
    <w:rsid w:val="00254650"/>
    <w:rsid w:val="002767FF"/>
    <w:rsid w:val="002B18FE"/>
    <w:rsid w:val="002B33EA"/>
    <w:rsid w:val="002B5493"/>
    <w:rsid w:val="002C7B78"/>
    <w:rsid w:val="00343214"/>
    <w:rsid w:val="00361C00"/>
    <w:rsid w:val="00395FA1"/>
    <w:rsid w:val="003E15D4"/>
    <w:rsid w:val="00411CCE"/>
    <w:rsid w:val="0041666E"/>
    <w:rsid w:val="00421060"/>
    <w:rsid w:val="00471C19"/>
    <w:rsid w:val="00471E9B"/>
    <w:rsid w:val="004867E3"/>
    <w:rsid w:val="00494A28"/>
    <w:rsid w:val="004C0004"/>
    <w:rsid w:val="004C5D52"/>
    <w:rsid w:val="0050519A"/>
    <w:rsid w:val="005072A1"/>
    <w:rsid w:val="00514517"/>
    <w:rsid w:val="00545827"/>
    <w:rsid w:val="00560270"/>
    <w:rsid w:val="0056061F"/>
    <w:rsid w:val="005C2568"/>
    <w:rsid w:val="005F40E4"/>
    <w:rsid w:val="006037C0"/>
    <w:rsid w:val="00615405"/>
    <w:rsid w:val="00657388"/>
    <w:rsid w:val="006631B6"/>
    <w:rsid w:val="00680577"/>
    <w:rsid w:val="006F1DCD"/>
    <w:rsid w:val="006F74FA"/>
    <w:rsid w:val="00731ADD"/>
    <w:rsid w:val="00734777"/>
    <w:rsid w:val="00747932"/>
    <w:rsid w:val="00751A4A"/>
    <w:rsid w:val="007557CE"/>
    <w:rsid w:val="00756632"/>
    <w:rsid w:val="00762C74"/>
    <w:rsid w:val="00786EC0"/>
    <w:rsid w:val="007D1690"/>
    <w:rsid w:val="007E22AD"/>
    <w:rsid w:val="00817416"/>
    <w:rsid w:val="00842779"/>
    <w:rsid w:val="00844ACF"/>
    <w:rsid w:val="008627A9"/>
    <w:rsid w:val="00865F67"/>
    <w:rsid w:val="00881A7B"/>
    <w:rsid w:val="00882012"/>
    <w:rsid w:val="008840E5"/>
    <w:rsid w:val="00887B3E"/>
    <w:rsid w:val="008B104A"/>
    <w:rsid w:val="008C2AC6"/>
    <w:rsid w:val="00930C23"/>
    <w:rsid w:val="0093193B"/>
    <w:rsid w:val="009509D8"/>
    <w:rsid w:val="00950B64"/>
    <w:rsid w:val="00981893"/>
    <w:rsid w:val="009C55DD"/>
    <w:rsid w:val="00A1687D"/>
    <w:rsid w:val="00A43E52"/>
    <w:rsid w:val="00A4678D"/>
    <w:rsid w:val="00A778C7"/>
    <w:rsid w:val="00A9587F"/>
    <w:rsid w:val="00AB441E"/>
    <w:rsid w:val="00AB6293"/>
    <w:rsid w:val="00AE0928"/>
    <w:rsid w:val="00AF3B82"/>
    <w:rsid w:val="00B12E95"/>
    <w:rsid w:val="00B22876"/>
    <w:rsid w:val="00B558F0"/>
    <w:rsid w:val="00BD48FE"/>
    <w:rsid w:val="00BD7BD8"/>
    <w:rsid w:val="00BE6ADC"/>
    <w:rsid w:val="00C05BFE"/>
    <w:rsid w:val="00C23CD4"/>
    <w:rsid w:val="00C33D58"/>
    <w:rsid w:val="00C61C0C"/>
    <w:rsid w:val="00C941CB"/>
    <w:rsid w:val="00CC2357"/>
    <w:rsid w:val="00CF071A"/>
    <w:rsid w:val="00CF11F6"/>
    <w:rsid w:val="00D058B8"/>
    <w:rsid w:val="00D1712A"/>
    <w:rsid w:val="00D56C11"/>
    <w:rsid w:val="00D834A0"/>
    <w:rsid w:val="00D872DF"/>
    <w:rsid w:val="00D91E21"/>
    <w:rsid w:val="00DA7FCD"/>
    <w:rsid w:val="00E365E1"/>
    <w:rsid w:val="00E820A4"/>
    <w:rsid w:val="00EB006A"/>
    <w:rsid w:val="00EB4772"/>
    <w:rsid w:val="00ED169E"/>
    <w:rsid w:val="00ED4235"/>
    <w:rsid w:val="00EF41D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6C686D1-1CEB-480D-BFB9-854F0E9C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54650"/>
    <w:rPr>
      <w:b/>
      <w:kern w:val="28"/>
      <w:sz w:val="28"/>
      <w:lang w:val="fr-FR" w:eastAsia="fr-FR"/>
    </w:rPr>
  </w:style>
  <w:style w:type="character" w:customStyle="1" w:styleId="Heading2Char">
    <w:name w:val="Heading 2 Char"/>
    <w:basedOn w:val="DefaultParagraphFont"/>
    <w:link w:val="Heading2"/>
    <w:semiHidden/>
    <w:rsid w:val="00254650"/>
    <w:rPr>
      <w:sz w:val="24"/>
      <w:lang w:val="fr-FR" w:eastAsia="fr-FR"/>
    </w:rPr>
  </w:style>
  <w:style w:type="character" w:customStyle="1" w:styleId="Heading3Char">
    <w:name w:val="Heading 3 Char"/>
    <w:basedOn w:val="DefaultParagraphFont"/>
    <w:link w:val="Heading3"/>
    <w:semiHidden/>
    <w:rsid w:val="00254650"/>
    <w:rPr>
      <w:rFonts w:ascii="Arial" w:hAnsi="Arial"/>
      <w:sz w:val="24"/>
      <w:lang w:val="fr-FR" w:eastAsia="fr-FR"/>
    </w:rPr>
  </w:style>
  <w:style w:type="character" w:customStyle="1" w:styleId="Heading4Char">
    <w:name w:val="Heading 4 Char"/>
    <w:basedOn w:val="DefaultParagraphFont"/>
    <w:link w:val="Heading4"/>
    <w:semiHidden/>
    <w:rsid w:val="00254650"/>
    <w:rPr>
      <w:sz w:val="24"/>
      <w:lang w:val="en-US" w:eastAsia="fr-FR"/>
    </w:rPr>
  </w:style>
  <w:style w:type="character" w:customStyle="1" w:styleId="Heading5Char">
    <w:name w:val="Heading 5 Char"/>
    <w:basedOn w:val="DefaultParagraphFont"/>
    <w:link w:val="Heading5"/>
    <w:semiHidden/>
    <w:rsid w:val="00254650"/>
    <w:rPr>
      <w:sz w:val="24"/>
      <w:lang w:val="en-US" w:eastAsia="fr-FR"/>
    </w:rPr>
  </w:style>
  <w:style w:type="character" w:customStyle="1" w:styleId="Heading6Char">
    <w:name w:val="Heading 6 Char"/>
    <w:basedOn w:val="DefaultParagraphFont"/>
    <w:link w:val="Heading6"/>
    <w:semiHidden/>
    <w:rsid w:val="00254650"/>
    <w:rPr>
      <w:i/>
      <w:sz w:val="22"/>
      <w:lang w:val="el-GR"/>
    </w:rPr>
  </w:style>
  <w:style w:type="character" w:customStyle="1" w:styleId="Heading7Char">
    <w:name w:val="Heading 7 Char"/>
    <w:basedOn w:val="DefaultParagraphFont"/>
    <w:link w:val="Heading7"/>
    <w:semiHidden/>
    <w:rsid w:val="00254650"/>
    <w:rPr>
      <w:rFonts w:ascii="Arial" w:hAnsi="Arial"/>
      <w:sz w:val="24"/>
      <w:lang w:val="el-GR"/>
    </w:rPr>
  </w:style>
  <w:style w:type="character" w:customStyle="1" w:styleId="Heading8Char">
    <w:name w:val="Heading 8 Char"/>
    <w:basedOn w:val="DefaultParagraphFont"/>
    <w:link w:val="Heading8"/>
    <w:semiHidden/>
    <w:rsid w:val="00254650"/>
    <w:rPr>
      <w:rFonts w:ascii="Arial" w:hAnsi="Arial"/>
      <w:i/>
      <w:sz w:val="24"/>
      <w:lang w:val="el-GR"/>
    </w:rPr>
  </w:style>
  <w:style w:type="character" w:customStyle="1" w:styleId="Heading9Char">
    <w:name w:val="Heading 9 Char"/>
    <w:basedOn w:val="DefaultParagraphFont"/>
    <w:link w:val="Heading9"/>
    <w:semiHidden/>
    <w:rsid w:val="00254650"/>
    <w:rPr>
      <w:rFonts w:ascii="Arial" w:hAnsi="Arial"/>
      <w:b/>
      <w:i/>
      <w:sz w:val="18"/>
      <w:lang w:val="el-GR"/>
    </w:rPr>
  </w:style>
  <w:style w:type="paragraph" w:styleId="TOCHeading">
    <w:name w:val="TOC Heading"/>
    <w:basedOn w:val="Normal"/>
    <w:next w:val="Normal"/>
    <w:uiPriority w:val="39"/>
    <w:unhideWhenUsed/>
    <w:qFormat/>
    <w:rsid w:val="00254650"/>
    <w:pPr>
      <w:widowControl/>
      <w:spacing w:after="240"/>
    </w:pPr>
    <w:rPr>
      <w:lang w:val="en-GB"/>
    </w:rPr>
  </w:style>
  <w:style w:type="paragraph" w:customStyle="1" w:styleId="EPFooter2">
    <w:name w:val="EPFooter2"/>
    <w:basedOn w:val="Normal"/>
    <w:next w:val="Normal"/>
    <w:rsid w:val="0025465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54650"/>
    <w:pPr>
      <w:keepNext/>
      <w:spacing w:after="240"/>
      <w:jc w:val="right"/>
    </w:pPr>
    <w:rPr>
      <w:rFonts w:ascii="Arial" w:hAnsi="Arial"/>
      <w:b/>
    </w:rPr>
  </w:style>
  <w:style w:type="paragraph" w:customStyle="1" w:styleId="Normal6a">
    <w:name w:val="Normal6a"/>
    <w:basedOn w:val="Normal"/>
    <w:rsid w:val="00254650"/>
    <w:pPr>
      <w:spacing w:after="120"/>
    </w:pPr>
  </w:style>
  <w:style w:type="paragraph" w:customStyle="1" w:styleId="PageHeading">
    <w:name w:val="PageHeading"/>
    <w:basedOn w:val="Normal"/>
    <w:rsid w:val="00254650"/>
    <w:pPr>
      <w:keepNext/>
      <w:spacing w:after="480"/>
      <w:jc w:val="center"/>
    </w:pPr>
    <w:rPr>
      <w:rFonts w:ascii="Arial" w:hAnsi="Arial" w:cs="Arial"/>
      <w:b/>
    </w:rPr>
  </w:style>
  <w:style w:type="paragraph" w:customStyle="1" w:styleId="NormalBold">
    <w:name w:val="NormalBold"/>
    <w:basedOn w:val="Normal"/>
    <w:link w:val="NormalBoldChar"/>
    <w:rsid w:val="00254650"/>
    <w:rPr>
      <w:b/>
    </w:rPr>
  </w:style>
  <w:style w:type="paragraph" w:customStyle="1" w:styleId="NormalBold12a">
    <w:name w:val="NormalBold12a"/>
    <w:basedOn w:val="Normal"/>
    <w:rsid w:val="00254650"/>
    <w:pPr>
      <w:spacing w:after="240"/>
    </w:pPr>
    <w:rPr>
      <w:b/>
    </w:rPr>
  </w:style>
  <w:style w:type="paragraph" w:customStyle="1" w:styleId="AmJustText">
    <w:name w:val="AmJustText"/>
    <w:basedOn w:val="Normal"/>
    <w:rsid w:val="00254650"/>
    <w:pPr>
      <w:spacing w:after="240"/>
    </w:pPr>
    <w:rPr>
      <w:i/>
    </w:rPr>
  </w:style>
  <w:style w:type="paragraph" w:customStyle="1" w:styleId="NormalHanging12a">
    <w:name w:val="NormalHanging12a"/>
    <w:basedOn w:val="Normal"/>
    <w:rsid w:val="00254650"/>
    <w:pPr>
      <w:spacing w:after="240"/>
      <w:ind w:left="567" w:hanging="567"/>
    </w:pPr>
  </w:style>
  <w:style w:type="paragraph" w:customStyle="1" w:styleId="CoverNormal24a">
    <w:name w:val="CoverNormal24a"/>
    <w:basedOn w:val="Normal"/>
    <w:rsid w:val="00254650"/>
    <w:pPr>
      <w:spacing w:after="480"/>
      <w:ind w:left="1417"/>
    </w:pPr>
  </w:style>
  <w:style w:type="paragraph" w:customStyle="1" w:styleId="CoverNormal">
    <w:name w:val="CoverNormal"/>
    <w:basedOn w:val="Normal"/>
    <w:rsid w:val="00254650"/>
    <w:pPr>
      <w:ind w:left="1418"/>
    </w:pPr>
  </w:style>
  <w:style w:type="paragraph" w:customStyle="1" w:styleId="AmCrossRef">
    <w:name w:val="AmCrossRef"/>
    <w:basedOn w:val="Normal"/>
    <w:rsid w:val="00254650"/>
    <w:pPr>
      <w:spacing w:before="240" w:after="240"/>
      <w:jc w:val="center"/>
    </w:pPr>
    <w:rPr>
      <w:i/>
    </w:rPr>
  </w:style>
  <w:style w:type="paragraph" w:customStyle="1" w:styleId="AmJustTitle">
    <w:name w:val="AmJustTitle"/>
    <w:basedOn w:val="Normal"/>
    <w:next w:val="AmJustText"/>
    <w:rsid w:val="00254650"/>
    <w:pPr>
      <w:keepNext/>
      <w:spacing w:before="240" w:after="240"/>
      <w:jc w:val="center"/>
    </w:pPr>
    <w:rPr>
      <w:i/>
    </w:rPr>
  </w:style>
  <w:style w:type="paragraph" w:customStyle="1" w:styleId="CoverReference">
    <w:name w:val="CoverReference"/>
    <w:basedOn w:val="Normal"/>
    <w:rsid w:val="00254650"/>
    <w:pPr>
      <w:spacing w:before="1080"/>
      <w:jc w:val="right"/>
    </w:pPr>
    <w:rPr>
      <w:rFonts w:ascii="Arial" w:hAnsi="Arial" w:cs="Arial"/>
      <w:b/>
    </w:rPr>
  </w:style>
  <w:style w:type="paragraph" w:customStyle="1" w:styleId="CoverDocType">
    <w:name w:val="CoverDocType"/>
    <w:basedOn w:val="Normal"/>
    <w:rsid w:val="00254650"/>
    <w:pPr>
      <w:ind w:left="1418"/>
    </w:pPr>
    <w:rPr>
      <w:rFonts w:ascii="Arial" w:hAnsi="Arial"/>
      <w:b/>
      <w:sz w:val="48"/>
    </w:rPr>
  </w:style>
  <w:style w:type="paragraph" w:customStyle="1" w:styleId="CoverDocType24a">
    <w:name w:val="CoverDocType24a"/>
    <w:basedOn w:val="Normal"/>
    <w:rsid w:val="00254650"/>
    <w:pPr>
      <w:spacing w:after="480"/>
      <w:ind w:left="1418"/>
    </w:pPr>
    <w:rPr>
      <w:rFonts w:ascii="Arial" w:hAnsi="Arial"/>
      <w:b/>
      <w:sz w:val="48"/>
    </w:rPr>
  </w:style>
  <w:style w:type="paragraph" w:customStyle="1" w:styleId="CoverDate">
    <w:name w:val="CoverDate"/>
    <w:basedOn w:val="Normal"/>
    <w:rsid w:val="00254650"/>
    <w:pPr>
      <w:spacing w:before="240" w:after="1200"/>
    </w:pPr>
  </w:style>
  <w:style w:type="paragraph" w:styleId="Header">
    <w:name w:val="header"/>
    <w:basedOn w:val="Normal"/>
    <w:link w:val="HeaderChar"/>
    <w:rsid w:val="00254650"/>
    <w:pPr>
      <w:tabs>
        <w:tab w:val="center" w:pos="4513"/>
        <w:tab w:val="right" w:pos="9026"/>
      </w:tabs>
    </w:pPr>
  </w:style>
  <w:style w:type="character" w:customStyle="1" w:styleId="HeaderChar">
    <w:name w:val="Header Char"/>
    <w:basedOn w:val="DefaultParagraphFont"/>
    <w:link w:val="Header"/>
    <w:rsid w:val="00254650"/>
    <w:rPr>
      <w:sz w:val="24"/>
      <w:lang w:val="el-GR"/>
    </w:rPr>
  </w:style>
  <w:style w:type="paragraph" w:customStyle="1" w:styleId="AmOrLang">
    <w:name w:val="AmOrLang"/>
    <w:basedOn w:val="Normal"/>
    <w:rsid w:val="00254650"/>
    <w:pPr>
      <w:spacing w:before="240" w:after="240"/>
      <w:jc w:val="right"/>
    </w:pPr>
  </w:style>
  <w:style w:type="paragraph" w:customStyle="1" w:styleId="AmColumnHeading">
    <w:name w:val="AmColumnHeading"/>
    <w:basedOn w:val="Normal"/>
    <w:rsid w:val="00254650"/>
    <w:pPr>
      <w:spacing w:after="240"/>
      <w:jc w:val="center"/>
    </w:pPr>
    <w:rPr>
      <w:i/>
    </w:rPr>
  </w:style>
  <w:style w:type="paragraph" w:customStyle="1" w:styleId="AmNumberTabs">
    <w:name w:val="AmNumberTabs"/>
    <w:basedOn w:val="Normal"/>
    <w:link w:val="AmNumberTabsChar"/>
    <w:rsid w:val="002546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54650"/>
    <w:pPr>
      <w:spacing w:before="240"/>
    </w:pPr>
    <w:rPr>
      <w:b/>
    </w:rPr>
  </w:style>
  <w:style w:type="paragraph" w:customStyle="1" w:styleId="EPBody">
    <w:name w:val="EPBody"/>
    <w:basedOn w:val="Normal"/>
    <w:rsid w:val="00254650"/>
    <w:pPr>
      <w:jc w:val="center"/>
    </w:pPr>
    <w:rPr>
      <w:rFonts w:ascii="Arial" w:hAnsi="Arial" w:cs="Arial"/>
      <w:i/>
      <w:sz w:val="22"/>
      <w:szCs w:val="22"/>
    </w:rPr>
  </w:style>
  <w:style w:type="paragraph" w:customStyle="1" w:styleId="EPFooter">
    <w:name w:val="EPFooter"/>
    <w:basedOn w:val="Normal"/>
    <w:rsid w:val="00254650"/>
    <w:pPr>
      <w:tabs>
        <w:tab w:val="center" w:pos="4535"/>
        <w:tab w:val="right" w:pos="9071"/>
      </w:tabs>
      <w:spacing w:before="240" w:after="240"/>
    </w:pPr>
    <w:rPr>
      <w:color w:val="010000"/>
      <w:sz w:val="22"/>
    </w:rPr>
  </w:style>
  <w:style w:type="paragraph" w:customStyle="1" w:styleId="EPComma">
    <w:name w:val="EPComma"/>
    <w:basedOn w:val="Normal"/>
    <w:rsid w:val="00254650"/>
    <w:pPr>
      <w:spacing w:before="480" w:after="240"/>
    </w:pPr>
  </w:style>
  <w:style w:type="paragraph" w:customStyle="1" w:styleId="Lgendesigne">
    <w:name w:val="Légende signe"/>
    <w:basedOn w:val="Normal"/>
    <w:rsid w:val="00254650"/>
    <w:pPr>
      <w:tabs>
        <w:tab w:val="right" w:pos="454"/>
        <w:tab w:val="left" w:pos="737"/>
      </w:tabs>
      <w:ind w:left="737" w:hanging="737"/>
    </w:pPr>
    <w:rPr>
      <w:snapToGrid w:val="0"/>
      <w:sz w:val="18"/>
      <w:lang w:eastAsia="en-US"/>
    </w:rPr>
  </w:style>
  <w:style w:type="paragraph" w:customStyle="1" w:styleId="Lgendetitre">
    <w:name w:val="Légende titre"/>
    <w:basedOn w:val="Normal"/>
    <w:rsid w:val="00254650"/>
    <w:pPr>
      <w:spacing w:before="240" w:after="240"/>
    </w:pPr>
    <w:rPr>
      <w:b/>
      <w:i/>
      <w:snapToGrid w:val="0"/>
      <w:lang w:eastAsia="en-US"/>
    </w:rPr>
  </w:style>
  <w:style w:type="paragraph" w:customStyle="1" w:styleId="Lgendestandard">
    <w:name w:val="Légende standard"/>
    <w:basedOn w:val="Normal"/>
    <w:rsid w:val="00254650"/>
    <w:rPr>
      <w:sz w:val="18"/>
    </w:rPr>
  </w:style>
  <w:style w:type="character" w:customStyle="1" w:styleId="Normal6Char">
    <w:name w:val="Normal6 Char"/>
    <w:basedOn w:val="DefaultParagraphFont"/>
    <w:link w:val="Normal6"/>
    <w:locked/>
    <w:rsid w:val="00254650"/>
    <w:rPr>
      <w:sz w:val="24"/>
      <w:lang w:val="el-GR"/>
    </w:rPr>
  </w:style>
  <w:style w:type="paragraph" w:customStyle="1" w:styleId="Normal6">
    <w:name w:val="Normal6"/>
    <w:basedOn w:val="Normal"/>
    <w:link w:val="Normal6Char"/>
    <w:rsid w:val="00254650"/>
    <w:pPr>
      <w:spacing w:after="120"/>
    </w:pPr>
  </w:style>
  <w:style w:type="character" w:customStyle="1" w:styleId="NormalBoldChar">
    <w:name w:val="NormalBold Char"/>
    <w:basedOn w:val="DefaultParagraphFont"/>
    <w:link w:val="NormalBold"/>
    <w:locked/>
    <w:rsid w:val="00254650"/>
    <w:rPr>
      <w:b/>
      <w:sz w:val="24"/>
      <w:lang w:val="el-GR"/>
    </w:rPr>
  </w:style>
  <w:style w:type="paragraph" w:customStyle="1" w:styleId="Normal12Italic">
    <w:name w:val="Normal12Italic"/>
    <w:basedOn w:val="Normal"/>
    <w:rsid w:val="00254650"/>
    <w:pPr>
      <w:spacing w:after="240"/>
    </w:pPr>
    <w:rPr>
      <w:i/>
      <w:noProof/>
    </w:rPr>
  </w:style>
  <w:style w:type="paragraph" w:customStyle="1" w:styleId="JustificationTitle">
    <w:name w:val="JustificationTitle"/>
    <w:basedOn w:val="Normal"/>
    <w:next w:val="Normal"/>
    <w:rsid w:val="00254650"/>
    <w:pPr>
      <w:keepNext/>
      <w:spacing w:before="240" w:after="240"/>
      <w:jc w:val="center"/>
    </w:pPr>
    <w:rPr>
      <w:i/>
      <w:noProof/>
    </w:rPr>
  </w:style>
  <w:style w:type="paragraph" w:customStyle="1" w:styleId="ColumnHeading">
    <w:name w:val="ColumnHeading"/>
    <w:basedOn w:val="Normal"/>
    <w:rsid w:val="00254650"/>
    <w:pPr>
      <w:spacing w:after="240"/>
      <w:jc w:val="center"/>
    </w:pPr>
    <w:rPr>
      <w:i/>
    </w:rPr>
  </w:style>
  <w:style w:type="paragraph" w:customStyle="1" w:styleId="AMNumberTabs0">
    <w:name w:val="AMNumberTabs"/>
    <w:basedOn w:val="Normal"/>
    <w:rsid w:val="002546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54650"/>
    <w:pPr>
      <w:jc w:val="right"/>
    </w:pPr>
    <w:rPr>
      <w:lang w:val="el-GR"/>
    </w:rPr>
  </w:style>
  <w:style w:type="paragraph" w:styleId="Footer">
    <w:name w:val="footer"/>
    <w:basedOn w:val="Normal"/>
    <w:link w:val="FooterChar"/>
    <w:rsid w:val="00254650"/>
    <w:pPr>
      <w:tabs>
        <w:tab w:val="center" w:pos="4513"/>
        <w:tab w:val="right" w:pos="9026"/>
      </w:tabs>
    </w:pPr>
  </w:style>
  <w:style w:type="character" w:customStyle="1" w:styleId="FooterChar">
    <w:name w:val="Footer Char"/>
    <w:basedOn w:val="DefaultParagraphFont"/>
    <w:link w:val="Footer"/>
    <w:rsid w:val="00254650"/>
    <w:rPr>
      <w:sz w:val="24"/>
      <w:lang w:val="el-GR"/>
    </w:rPr>
  </w:style>
  <w:style w:type="paragraph" w:customStyle="1" w:styleId="Normal12a">
    <w:name w:val="Normal12a"/>
    <w:basedOn w:val="Normal"/>
    <w:rsid w:val="00254650"/>
    <w:pPr>
      <w:spacing w:after="240"/>
    </w:pPr>
  </w:style>
  <w:style w:type="paragraph" w:customStyle="1" w:styleId="CoverDateNoRef">
    <w:name w:val="CoverDateNoRef"/>
    <w:basedOn w:val="Normal"/>
    <w:rsid w:val="00254650"/>
    <w:pPr>
      <w:spacing w:before="1560" w:after="1200"/>
    </w:pPr>
  </w:style>
  <w:style w:type="paragraph" w:styleId="PlainText">
    <w:name w:val="Plain Text"/>
    <w:basedOn w:val="Normal"/>
    <w:link w:val="PlainTextChar"/>
    <w:uiPriority w:val="99"/>
    <w:unhideWhenUsed/>
    <w:rsid w:val="00254650"/>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254650"/>
    <w:rPr>
      <w:rFonts w:ascii="Calibri" w:eastAsia="Calibri" w:hAnsi="Calibri"/>
      <w:sz w:val="22"/>
      <w:szCs w:val="21"/>
      <w:lang w:val="el-GR" w:eastAsia="en-US"/>
    </w:rPr>
  </w:style>
  <w:style w:type="character" w:styleId="Hyperlink">
    <w:name w:val="Hyperlink"/>
    <w:basedOn w:val="DefaultParagraphFont"/>
    <w:unhideWhenUsed/>
    <w:rsid w:val="00254650"/>
    <w:rPr>
      <w:color w:val="0000FF"/>
      <w:u w:val="single"/>
    </w:rPr>
  </w:style>
  <w:style w:type="paragraph" w:styleId="BalloonText">
    <w:name w:val="Balloon Text"/>
    <w:basedOn w:val="Normal"/>
    <w:link w:val="BalloonTextChar"/>
    <w:unhideWhenUsed/>
    <w:rsid w:val="00254650"/>
    <w:rPr>
      <w:rFonts w:ascii="Segoe UI" w:hAnsi="Segoe UI" w:cs="Segoe UI"/>
      <w:sz w:val="18"/>
      <w:szCs w:val="18"/>
    </w:rPr>
  </w:style>
  <w:style w:type="character" w:customStyle="1" w:styleId="BalloonTextChar">
    <w:name w:val="Balloon Text Char"/>
    <w:basedOn w:val="DefaultParagraphFont"/>
    <w:link w:val="BalloonText"/>
    <w:rsid w:val="00254650"/>
    <w:rPr>
      <w:rFonts w:ascii="Segoe UI" w:hAnsi="Segoe UI" w:cs="Segoe UI"/>
      <w:sz w:val="18"/>
      <w:szCs w:val="18"/>
      <w:lang w:val="el-GR"/>
    </w:rPr>
  </w:style>
  <w:style w:type="character" w:styleId="CommentReference">
    <w:name w:val="annotation reference"/>
    <w:basedOn w:val="DefaultParagraphFont"/>
    <w:rsid w:val="00254650"/>
    <w:rPr>
      <w:sz w:val="16"/>
      <w:szCs w:val="16"/>
    </w:rPr>
  </w:style>
  <w:style w:type="paragraph" w:styleId="CommentText">
    <w:name w:val="annotation text"/>
    <w:basedOn w:val="Normal"/>
    <w:link w:val="CommentTextChar"/>
    <w:rsid w:val="00254650"/>
    <w:rPr>
      <w:sz w:val="20"/>
    </w:rPr>
  </w:style>
  <w:style w:type="character" w:customStyle="1" w:styleId="CommentTextChar">
    <w:name w:val="Comment Text Char"/>
    <w:basedOn w:val="DefaultParagraphFont"/>
    <w:link w:val="CommentText"/>
    <w:rsid w:val="00254650"/>
    <w:rPr>
      <w:lang w:val="el-GR"/>
    </w:rPr>
  </w:style>
  <w:style w:type="paragraph" w:styleId="CommentSubject">
    <w:name w:val="annotation subject"/>
    <w:basedOn w:val="CommentText"/>
    <w:next w:val="CommentText"/>
    <w:link w:val="CommentSubjectChar"/>
    <w:unhideWhenUsed/>
    <w:rsid w:val="00254650"/>
    <w:rPr>
      <w:b/>
      <w:bCs/>
    </w:rPr>
  </w:style>
  <w:style w:type="character" w:customStyle="1" w:styleId="CommentSubjectChar">
    <w:name w:val="Comment Subject Char"/>
    <w:basedOn w:val="CommentTextChar"/>
    <w:link w:val="CommentSubject"/>
    <w:rsid w:val="00254650"/>
    <w:rPr>
      <w:b/>
      <w:bCs/>
      <w:lang w:val="el-GR"/>
    </w:rPr>
  </w:style>
  <w:style w:type="paragraph" w:customStyle="1" w:styleId="RollCallVotes">
    <w:name w:val="RollCallVotes"/>
    <w:basedOn w:val="Normal"/>
    <w:rsid w:val="00254650"/>
    <w:pPr>
      <w:spacing w:before="120" w:after="120"/>
      <w:jc w:val="center"/>
    </w:pPr>
    <w:rPr>
      <w:b/>
      <w:bCs/>
      <w:snapToGrid w:val="0"/>
      <w:sz w:val="16"/>
      <w:lang w:eastAsia="en-US"/>
    </w:rPr>
  </w:style>
  <w:style w:type="paragraph" w:customStyle="1" w:styleId="RollCallTabs">
    <w:name w:val="RollCallTabs"/>
    <w:basedOn w:val="Normal"/>
    <w:qFormat/>
    <w:rsid w:val="00254650"/>
    <w:pPr>
      <w:tabs>
        <w:tab w:val="center" w:pos="284"/>
        <w:tab w:val="left" w:pos="426"/>
      </w:tabs>
    </w:pPr>
    <w:rPr>
      <w:snapToGrid w:val="0"/>
      <w:lang w:eastAsia="en-US"/>
    </w:rPr>
  </w:style>
  <w:style w:type="paragraph" w:customStyle="1" w:styleId="RollCallSymbols14pt">
    <w:name w:val="RollCallSymbols14pt"/>
    <w:basedOn w:val="Normal"/>
    <w:rsid w:val="00254650"/>
    <w:pPr>
      <w:spacing w:before="120" w:after="120"/>
      <w:jc w:val="center"/>
    </w:pPr>
    <w:rPr>
      <w:rFonts w:ascii="Arial" w:hAnsi="Arial"/>
      <w:b/>
      <w:bCs/>
      <w:snapToGrid w:val="0"/>
      <w:sz w:val="28"/>
      <w:lang w:eastAsia="en-US"/>
    </w:rPr>
  </w:style>
  <w:style w:type="paragraph" w:customStyle="1" w:styleId="RollCallTable">
    <w:name w:val="RollCallTable"/>
    <w:basedOn w:val="Normal"/>
    <w:rsid w:val="00254650"/>
    <w:pPr>
      <w:spacing w:before="120" w:after="120"/>
    </w:pPr>
    <w:rPr>
      <w:snapToGrid w:val="0"/>
      <w:sz w:val="16"/>
      <w:lang w:eastAsia="en-US"/>
    </w:rPr>
  </w:style>
  <w:style w:type="character" w:customStyle="1" w:styleId="AmNumberTabsChar">
    <w:name w:val="AmNumberTabs Char"/>
    <w:basedOn w:val="DefaultParagraphFont"/>
    <w:link w:val="AmNumberTabs"/>
    <w:rsid w:val="00254650"/>
    <w:rPr>
      <w:b/>
      <w:sz w:val="24"/>
      <w:lang w:val="el-GR"/>
    </w:rPr>
  </w:style>
  <w:style w:type="character" w:customStyle="1" w:styleId="NormalBold12bChar">
    <w:name w:val="NormalBold12b Char"/>
    <w:basedOn w:val="AmNumberTabsChar"/>
    <w:link w:val="NormalBold12b"/>
    <w:rsid w:val="00254650"/>
    <w:rPr>
      <w:b/>
      <w:sz w:val="24"/>
      <w:lang w:val="el-GR"/>
    </w:rPr>
  </w:style>
  <w:style w:type="paragraph" w:customStyle="1" w:styleId="PageHeadingNotTOC">
    <w:name w:val="PageHeadingNotTOC"/>
    <w:basedOn w:val="Normal"/>
    <w:rsid w:val="00254650"/>
    <w:pPr>
      <w:keepNext/>
      <w:spacing w:after="480"/>
      <w:jc w:val="center"/>
    </w:pPr>
    <w:rPr>
      <w:rFonts w:ascii="Arial" w:hAnsi="Arial" w:cs="Arial"/>
      <w:b/>
    </w:rPr>
  </w:style>
  <w:style w:type="paragraph" w:customStyle="1" w:styleId="Normal24a">
    <w:name w:val="Normal24a"/>
    <w:basedOn w:val="Normal"/>
    <w:rsid w:val="00254650"/>
    <w:pPr>
      <w:spacing w:after="480"/>
    </w:pPr>
  </w:style>
  <w:style w:type="paragraph" w:customStyle="1" w:styleId="NormalBoldCenter">
    <w:name w:val="NormalBoldCenter"/>
    <w:basedOn w:val="Normal"/>
    <w:rsid w:val="00254650"/>
    <w:pPr>
      <w:jc w:val="center"/>
    </w:pPr>
    <w:rPr>
      <w:b/>
    </w:rPr>
  </w:style>
  <w:style w:type="character" w:styleId="Emphasis">
    <w:name w:val="Emphasis"/>
    <w:basedOn w:val="DefaultParagraphFont"/>
    <w:uiPriority w:val="20"/>
    <w:qFormat/>
    <w:rsid w:val="00254650"/>
    <w:rPr>
      <w:i/>
      <w:iCs/>
    </w:rPr>
  </w:style>
  <w:style w:type="paragraph" w:customStyle="1" w:styleId="Default">
    <w:name w:val="Default"/>
    <w:basedOn w:val="Normal"/>
    <w:rsid w:val="00254650"/>
    <w:pPr>
      <w:widowControl/>
      <w:autoSpaceDE w:val="0"/>
      <w:autoSpaceDN w:val="0"/>
    </w:pPr>
    <w:rPr>
      <w:rFonts w:eastAsiaTheme="minorHAnsi"/>
      <w:color w:val="000000"/>
      <w:szCs w:val="24"/>
    </w:rPr>
  </w:style>
  <w:style w:type="paragraph" w:customStyle="1" w:styleId="AmHeadingPA">
    <w:name w:val="AmHeadingPA"/>
    <w:basedOn w:val="Normal"/>
    <w:next w:val="Normal"/>
    <w:rsid w:val="00254650"/>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254650"/>
    <w:pPr>
      <w:widowControl/>
      <w:ind w:left="720"/>
      <w:contextualSpacing/>
      <w:jc w:val="both"/>
    </w:pPr>
    <w:rPr>
      <w:rFonts w:eastAsia="Calibri"/>
      <w:szCs w:val="24"/>
      <w:lang w:eastAsia="en-US"/>
    </w:rPr>
  </w:style>
  <w:style w:type="paragraph" w:customStyle="1" w:styleId="Text1">
    <w:name w:val="Text 1"/>
    <w:basedOn w:val="Normal"/>
    <w:rsid w:val="00254650"/>
    <w:pPr>
      <w:widowControl/>
      <w:spacing w:before="120" w:after="120"/>
      <w:ind w:left="850"/>
      <w:jc w:val="both"/>
    </w:pPr>
    <w:rPr>
      <w:rFonts w:eastAsia="Calibri"/>
      <w:szCs w:val="22"/>
      <w:lang w:eastAsia="en-US"/>
    </w:rPr>
  </w:style>
  <w:style w:type="paragraph" w:styleId="Revision">
    <w:name w:val="Revision"/>
    <w:hidden/>
    <w:uiPriority w:val="99"/>
    <w:semiHidden/>
    <w:rsid w:val="00254650"/>
    <w:rPr>
      <w:sz w:val="24"/>
      <w:lang w:val="el-GR"/>
    </w:rPr>
  </w:style>
  <w:style w:type="paragraph" w:customStyle="1" w:styleId="FootnoteTextForceStyle">
    <w:name w:val="Footnote Text ForceStyle"/>
    <w:rsid w:val="001F0F0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3C7CC-4ABB-443A-B21C-E74719E10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18032</Words>
  <Characters>108618</Characters>
  <Application>Microsoft Office Word</Application>
  <DocSecurity>0</DocSecurity>
  <Lines>905</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2024-10-08T13:33:00Z</dcterms:created>
  <dcterms:modified xsi:type="dcterms:W3CDTF">2024-10-08T13:33:00Z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A9-0423/2023</vt:lpwstr>
  </property>
  <property fmtid="{D5CDD505-2E9C-101B-9397-08002B2CF9AE}" pid="4" name="&lt;Type&gt;">
    <vt:lpwstr>RR</vt:lpwstr>
  </property>
</Properties>
</file>