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107B" w14:paraId="166561CD" w14:textId="77777777" w:rsidTr="0010095E">
        <w:trPr>
          <w:trHeight w:hRule="exact" w:val="1418"/>
        </w:trPr>
        <w:tc>
          <w:tcPr>
            <w:tcW w:w="6804" w:type="dxa"/>
            <w:shd w:val="clear" w:color="auto" w:fill="auto"/>
            <w:vAlign w:val="center"/>
          </w:tcPr>
          <w:p w14:paraId="206FA555" w14:textId="77777777" w:rsidR="00751A4A" w:rsidRPr="00DF107B" w:rsidRDefault="00CE5496" w:rsidP="00EB4AF9">
            <w:pPr>
              <w:pStyle w:val="EPName"/>
              <w:widowControl/>
            </w:pPr>
            <w:r w:rsidRPr="00DF107B">
              <w:t>Euroopan parlamentti</w:t>
            </w:r>
          </w:p>
          <w:p w14:paraId="762670C9" w14:textId="77777777" w:rsidR="00751A4A" w:rsidRPr="00DF107B" w:rsidRDefault="00817416" w:rsidP="00EB4AF9">
            <w:pPr>
              <w:pStyle w:val="EPTerm"/>
              <w:widowControl/>
              <w:rPr>
                <w:rStyle w:val="HideTWBExt"/>
                <w:noProof w:val="0"/>
                <w:vanish w:val="0"/>
                <w:color w:val="auto"/>
              </w:rPr>
            </w:pPr>
            <w:r w:rsidRPr="00DF107B">
              <w:t>2019-2024</w:t>
            </w:r>
          </w:p>
        </w:tc>
        <w:tc>
          <w:tcPr>
            <w:tcW w:w="2268" w:type="dxa"/>
            <w:shd w:val="clear" w:color="auto" w:fill="auto"/>
          </w:tcPr>
          <w:p w14:paraId="3BC1D717" w14:textId="77777777" w:rsidR="00751A4A" w:rsidRPr="00DF107B" w:rsidRDefault="00187494" w:rsidP="00EB4AF9">
            <w:pPr>
              <w:pStyle w:val="EPLogo"/>
              <w:widowControl/>
            </w:pPr>
            <w:r w:rsidRPr="00DF107B">
              <w:rPr>
                <w:noProof/>
                <w:lang w:val="en-GB"/>
              </w:rPr>
              <w:drawing>
                <wp:inline distT="0" distB="0" distL="0" distR="0" wp14:anchorId="7D286342" wp14:editId="1174E5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65C426" w14:textId="77777777" w:rsidR="00D058B8" w:rsidRPr="00DF107B" w:rsidRDefault="00D058B8" w:rsidP="00EB4AF9">
      <w:pPr>
        <w:pStyle w:val="LineTop"/>
        <w:widowControl/>
      </w:pPr>
    </w:p>
    <w:p w14:paraId="3D22B501" w14:textId="77777777" w:rsidR="00680577" w:rsidRPr="00DF107B" w:rsidRDefault="00CE5496" w:rsidP="00EB4AF9">
      <w:pPr>
        <w:pStyle w:val="EPBodyTA1"/>
        <w:widowControl/>
      </w:pPr>
      <w:r w:rsidRPr="00DF107B">
        <w:t>HYVÄKSYTYT TEKSTIT</w:t>
      </w:r>
    </w:p>
    <w:p w14:paraId="7786C0F9" w14:textId="77777777" w:rsidR="00D058B8" w:rsidRPr="00DF107B" w:rsidRDefault="00D058B8" w:rsidP="00EB4AF9">
      <w:pPr>
        <w:pStyle w:val="LineBottom"/>
        <w:widowControl/>
      </w:pPr>
    </w:p>
    <w:p w14:paraId="07A619F4" w14:textId="77777777" w:rsidR="00CE5496" w:rsidRPr="00DF107B" w:rsidRDefault="00CE5496" w:rsidP="00EB4AF9">
      <w:pPr>
        <w:pStyle w:val="ATHeading1"/>
      </w:pPr>
      <w:bookmarkStart w:id="0" w:name="TANumber"/>
      <w:proofErr w:type="spellStart"/>
      <w:r w:rsidRPr="00DF107B">
        <w:t>P9_</w:t>
      </w:r>
      <w:proofErr w:type="gramStart"/>
      <w:r w:rsidRPr="00DF107B">
        <w:t>TA</w:t>
      </w:r>
      <w:proofErr w:type="spellEnd"/>
      <w:r w:rsidRPr="00DF107B">
        <w:t>(</w:t>
      </w:r>
      <w:proofErr w:type="gramEnd"/>
      <w:r w:rsidRPr="00DF107B">
        <w:t>2024)0</w:t>
      </w:r>
      <w:r w:rsidR="00A637F7" w:rsidRPr="00DF107B">
        <w:t>134</w:t>
      </w:r>
      <w:bookmarkEnd w:id="0"/>
    </w:p>
    <w:p w14:paraId="0A3E651C" w14:textId="77777777" w:rsidR="00CE5496" w:rsidRPr="00DF107B" w:rsidRDefault="00EB4AF9" w:rsidP="00EB4AF9">
      <w:pPr>
        <w:pStyle w:val="ATHeading2"/>
      </w:pPr>
      <w:bookmarkStart w:id="1" w:name="title"/>
      <w:r w:rsidRPr="00DF107B">
        <w:rPr>
          <w:bCs/>
        </w:rPr>
        <w:t xml:space="preserve">Euroopan meriturvallisuusvirasto ja asetuksen (EY) </w:t>
      </w:r>
      <w:proofErr w:type="gramStart"/>
      <w:r w:rsidRPr="00DF107B">
        <w:rPr>
          <w:bCs/>
        </w:rPr>
        <w:t>N:o</w:t>
      </w:r>
      <w:proofErr w:type="gramEnd"/>
      <w:r w:rsidRPr="00DF107B">
        <w:rPr>
          <w:bCs/>
        </w:rPr>
        <w:t xml:space="preserve"> 1406/2002 kumoaminen</w:t>
      </w:r>
      <w:bookmarkEnd w:id="1"/>
    </w:p>
    <w:p w14:paraId="16B990E2" w14:textId="77777777" w:rsidR="00CE5496" w:rsidRPr="00DF107B" w:rsidRDefault="00CE5496" w:rsidP="00EB4AF9">
      <w:pPr>
        <w:widowControl/>
        <w:rPr>
          <w:i/>
          <w:vanish/>
        </w:rPr>
      </w:pPr>
      <w:r w:rsidRPr="00DF107B">
        <w:rPr>
          <w:i/>
        </w:rPr>
        <w:fldChar w:fldCharType="begin"/>
      </w:r>
      <w:r w:rsidRPr="00DF107B">
        <w:rPr>
          <w:i/>
        </w:rPr>
        <w:instrText xml:space="preserve"> </w:instrText>
      </w:r>
      <w:proofErr w:type="spellStart"/>
      <w:r w:rsidRPr="00DF107B">
        <w:rPr>
          <w:i/>
        </w:rPr>
        <w:instrText>TC</w:instrText>
      </w:r>
      <w:proofErr w:type="spellEnd"/>
      <w:r w:rsidRPr="00DF107B">
        <w:rPr>
          <w:i/>
        </w:rPr>
        <w:instrText>"(</w:instrText>
      </w:r>
      <w:bookmarkStart w:id="2" w:name="DocNumber"/>
      <w:proofErr w:type="spellStart"/>
      <w:r w:rsidRPr="00DF107B">
        <w:rPr>
          <w:i/>
        </w:rPr>
        <w:instrText>A9</w:instrText>
      </w:r>
      <w:proofErr w:type="spellEnd"/>
      <w:r w:rsidRPr="00DF107B">
        <w:rPr>
          <w:i/>
        </w:rPr>
        <w:instrText>-0423/2023</w:instrText>
      </w:r>
      <w:bookmarkEnd w:id="2"/>
      <w:r w:rsidRPr="00DF107B">
        <w:rPr>
          <w:i/>
        </w:rPr>
        <w:instrText xml:space="preserve"> - Esittelijä: </w:instrText>
      </w:r>
      <w:proofErr w:type="spellStart"/>
      <w:r w:rsidRPr="00DF107B">
        <w:rPr>
          <w:i/>
        </w:rPr>
        <w:instrText>Cláudia</w:instrText>
      </w:r>
      <w:proofErr w:type="spellEnd"/>
      <w:r w:rsidRPr="00DF107B">
        <w:rPr>
          <w:i/>
        </w:rPr>
        <w:instrText xml:space="preserve"> </w:instrText>
      </w:r>
      <w:proofErr w:type="spellStart"/>
      <w:r w:rsidRPr="00DF107B">
        <w:rPr>
          <w:i/>
        </w:rPr>
        <w:instrText>Monteiro</w:instrText>
      </w:r>
      <w:proofErr w:type="spellEnd"/>
      <w:r w:rsidRPr="00DF107B">
        <w:rPr>
          <w:i/>
        </w:rPr>
        <w:instrText xml:space="preserve"> de </w:instrText>
      </w:r>
      <w:proofErr w:type="spellStart"/>
      <w:r w:rsidRPr="00DF107B">
        <w:rPr>
          <w:i/>
        </w:rPr>
        <w:instrText>Aguiar</w:instrText>
      </w:r>
      <w:proofErr w:type="spellEnd"/>
      <w:r w:rsidRPr="00DF107B">
        <w:rPr>
          <w:i/>
        </w:rPr>
        <w:instrText>)"\</w:instrText>
      </w:r>
      <w:proofErr w:type="spellStart"/>
      <w:r w:rsidRPr="00DF107B">
        <w:rPr>
          <w:i/>
        </w:rPr>
        <w:instrText>l3</w:instrText>
      </w:r>
      <w:proofErr w:type="spellEnd"/>
      <w:r w:rsidRPr="00DF107B">
        <w:rPr>
          <w:i/>
        </w:rPr>
        <w:instrText xml:space="preserve"> \n&gt; \* </w:instrText>
      </w:r>
      <w:proofErr w:type="spellStart"/>
      <w:r w:rsidRPr="00DF107B">
        <w:rPr>
          <w:i/>
        </w:rPr>
        <w:instrText>MERGEFORMAT</w:instrText>
      </w:r>
      <w:proofErr w:type="spellEnd"/>
      <w:r w:rsidRPr="00DF107B">
        <w:rPr>
          <w:i/>
        </w:rPr>
        <w:instrText xml:space="preserve"> </w:instrText>
      </w:r>
      <w:r w:rsidRPr="00DF107B">
        <w:rPr>
          <w:i/>
        </w:rPr>
        <w:fldChar w:fldCharType="end"/>
      </w:r>
    </w:p>
    <w:p w14:paraId="67F7D9EF" w14:textId="77777777" w:rsidR="00CE5496" w:rsidRPr="00DF107B" w:rsidRDefault="00CE5496" w:rsidP="00EB4AF9">
      <w:pPr>
        <w:widowControl/>
        <w:rPr>
          <w:vanish/>
        </w:rPr>
      </w:pPr>
      <w:bookmarkStart w:id="3" w:name="Commission"/>
      <w:r w:rsidRPr="00DF107B">
        <w:rPr>
          <w:vanish/>
        </w:rPr>
        <w:t>Liikenne- ja matkailuvaliokunta</w:t>
      </w:r>
      <w:bookmarkEnd w:id="3"/>
    </w:p>
    <w:p w14:paraId="2A7089A1" w14:textId="77777777" w:rsidR="00CE5496" w:rsidRPr="00DF107B" w:rsidRDefault="00CE5496" w:rsidP="00EB4AF9">
      <w:pPr>
        <w:widowControl/>
        <w:rPr>
          <w:vanish/>
        </w:rPr>
      </w:pPr>
      <w:bookmarkStart w:id="4" w:name="PE"/>
      <w:proofErr w:type="spellStart"/>
      <w:r w:rsidRPr="00DF107B">
        <w:rPr>
          <w:vanish/>
        </w:rPr>
        <w:t>PE753.514</w:t>
      </w:r>
      <w:bookmarkEnd w:id="4"/>
      <w:proofErr w:type="spellEnd"/>
    </w:p>
    <w:p w14:paraId="3A5CBD3B" w14:textId="77777777" w:rsidR="00CE5496" w:rsidRPr="00DF107B" w:rsidRDefault="00CE5496" w:rsidP="00EB4AF9">
      <w:pPr>
        <w:pStyle w:val="ATHeading3"/>
      </w:pPr>
      <w:bookmarkStart w:id="5" w:name="Sujet"/>
      <w:r w:rsidRPr="00DF107B">
        <w:t xml:space="preserve">Euroopan parlamentin lainsäädäntöpäätöslauselma </w:t>
      </w:r>
      <w:r w:rsidR="00EB4AF9" w:rsidRPr="00DF107B">
        <w:t>12</w:t>
      </w:r>
      <w:r w:rsidRPr="00DF107B">
        <w:t xml:space="preserve">. maaliskuuta 2024 ehdotuksesta Euroopan parlamentin ja neuvoston asetukseksi Euroopan meriturvallisuusvirastosta ja asetuksen (EY) </w:t>
      </w:r>
      <w:proofErr w:type="gramStart"/>
      <w:r w:rsidRPr="00DF107B">
        <w:t>N:o</w:t>
      </w:r>
      <w:proofErr w:type="gramEnd"/>
      <w:r w:rsidRPr="00DF107B">
        <w:t xml:space="preserve"> 1406/2002 kumoamisesta</w:t>
      </w:r>
      <w:bookmarkEnd w:id="5"/>
      <w:r w:rsidRPr="00DF107B">
        <w:t xml:space="preserve"> </w:t>
      </w:r>
      <w:bookmarkStart w:id="6" w:name="References"/>
      <w:r w:rsidRPr="00DF107B">
        <w:t xml:space="preserve">(COM(2023)0269 – </w:t>
      </w:r>
      <w:proofErr w:type="spellStart"/>
      <w:r w:rsidRPr="00DF107B">
        <w:t>C9</w:t>
      </w:r>
      <w:proofErr w:type="spellEnd"/>
      <w:r w:rsidRPr="00DF107B">
        <w:t>-0190/2023 – 2023/0163(COD))</w:t>
      </w:r>
      <w:bookmarkEnd w:id="6"/>
    </w:p>
    <w:p w14:paraId="12D44ED0" w14:textId="77777777" w:rsidR="00970B4A" w:rsidRPr="00DF107B" w:rsidRDefault="00970B4A" w:rsidP="00EB4AF9">
      <w:pPr>
        <w:pStyle w:val="NormalBold"/>
        <w:widowControl/>
      </w:pPr>
      <w:bookmarkStart w:id="7" w:name="TextBodyBegin"/>
      <w:bookmarkEnd w:id="7"/>
      <w:r w:rsidRPr="00DF107B">
        <w:t>(Tavallinen lainsäätämisjärjestys: ensimmäinen käsittely)</w:t>
      </w:r>
    </w:p>
    <w:p w14:paraId="75E034E3" w14:textId="77777777" w:rsidR="00970B4A" w:rsidRPr="00DF107B" w:rsidRDefault="00970B4A" w:rsidP="00EB4AF9">
      <w:pPr>
        <w:pStyle w:val="EPComma"/>
        <w:widowControl/>
      </w:pPr>
      <w:r w:rsidRPr="00DF107B">
        <w:rPr>
          <w:i/>
          <w:iCs/>
        </w:rPr>
        <w:t>Euroopan parlamentti</w:t>
      </w:r>
      <w:r w:rsidRPr="00DF107B">
        <w:t>, joka</w:t>
      </w:r>
    </w:p>
    <w:p w14:paraId="3559D290" w14:textId="77777777" w:rsidR="00970B4A" w:rsidRPr="00DF107B" w:rsidRDefault="00970B4A" w:rsidP="00EB4AF9">
      <w:pPr>
        <w:pStyle w:val="NormalHanging12a"/>
        <w:widowControl/>
      </w:pPr>
      <w:r w:rsidRPr="00DF107B">
        <w:t>–</w:t>
      </w:r>
      <w:r w:rsidRPr="00DF107B">
        <w:tab/>
        <w:t>ottaa huomioon komission ehdotuksen Euroopan parlamentille ja neuvostolle (</w:t>
      </w:r>
      <w:proofErr w:type="gramStart"/>
      <w:r w:rsidRPr="00DF107B">
        <w:t>COM(</w:t>
      </w:r>
      <w:proofErr w:type="gramEnd"/>
      <w:r w:rsidRPr="00DF107B">
        <w:t>2023)0269),</w:t>
      </w:r>
    </w:p>
    <w:p w14:paraId="51EFBFF1" w14:textId="77777777" w:rsidR="00970B4A" w:rsidRPr="00DF107B" w:rsidRDefault="00970B4A" w:rsidP="00EB4AF9">
      <w:pPr>
        <w:pStyle w:val="NormalHanging12a"/>
        <w:widowControl/>
      </w:pPr>
      <w:r w:rsidRPr="00DF107B">
        <w:t>–</w:t>
      </w:r>
      <w:r w:rsidRPr="00DF107B">
        <w:tab/>
        <w:t>ottaa huomioon Euroopan unionin toiminnasta tehdyn sopimuksen 294 artiklan 2 kohdan ja 100 artiklan 2 kohdan, joiden mukaisesti komissio on antanut ehdotuksen Euroopan parlamentille (</w:t>
      </w:r>
      <w:proofErr w:type="spellStart"/>
      <w:r w:rsidRPr="00DF107B">
        <w:t>C9</w:t>
      </w:r>
      <w:proofErr w:type="spellEnd"/>
      <w:r w:rsidRPr="00DF107B">
        <w:t>-0190/2023),</w:t>
      </w:r>
    </w:p>
    <w:p w14:paraId="75A37463" w14:textId="77777777" w:rsidR="00970B4A" w:rsidRPr="00DF107B" w:rsidRDefault="00970B4A" w:rsidP="00EB4AF9">
      <w:pPr>
        <w:pStyle w:val="NormalHanging12a"/>
        <w:widowControl/>
      </w:pPr>
      <w:r w:rsidRPr="00DF107B">
        <w:t>–</w:t>
      </w:r>
      <w:r w:rsidRPr="00DF107B">
        <w:tab/>
        <w:t>ottaa huomioon Euroopan unionin toiminnasta tehdyn sopimuksen 294 artiklan 3 kohdan,</w:t>
      </w:r>
    </w:p>
    <w:p w14:paraId="1AB4F320" w14:textId="77777777" w:rsidR="00970B4A" w:rsidRPr="00DF107B" w:rsidRDefault="00970B4A" w:rsidP="00EB4AF9">
      <w:pPr>
        <w:pStyle w:val="NormalHanging12a"/>
        <w:widowControl/>
      </w:pPr>
      <w:r w:rsidRPr="00DF107B">
        <w:t>–</w:t>
      </w:r>
      <w:r w:rsidRPr="00DF107B">
        <w:tab/>
        <w:t>ottaa huomioon Euroopan talous- ja sosiaalikomitean 20. syyskuuta 2023 antaman lausunnon</w:t>
      </w:r>
      <w:r w:rsidRPr="00DF107B">
        <w:rPr>
          <w:rStyle w:val="FootnoteReference"/>
        </w:rPr>
        <w:footnoteReference w:id="1"/>
      </w:r>
      <w:r w:rsidRPr="00DF107B">
        <w:t>,</w:t>
      </w:r>
    </w:p>
    <w:p w14:paraId="2ADFE187" w14:textId="77777777" w:rsidR="00970B4A" w:rsidRPr="00DF107B" w:rsidRDefault="00970B4A" w:rsidP="00EB4AF9">
      <w:pPr>
        <w:pStyle w:val="NormalHanging12a"/>
        <w:widowControl/>
      </w:pPr>
      <w:r w:rsidRPr="00DF107B">
        <w:t>–</w:t>
      </w:r>
      <w:r w:rsidRPr="00DF107B">
        <w:tab/>
        <w:t>on kuullut alueiden komiteaa,</w:t>
      </w:r>
    </w:p>
    <w:p w14:paraId="69DBB5C8" w14:textId="77777777" w:rsidR="00970B4A" w:rsidRPr="00DF107B" w:rsidRDefault="00970B4A" w:rsidP="00EB4AF9">
      <w:pPr>
        <w:pStyle w:val="NormalHanging12a"/>
        <w:widowControl/>
      </w:pPr>
      <w:r w:rsidRPr="00DF107B">
        <w:t>–</w:t>
      </w:r>
      <w:r w:rsidRPr="00DF107B">
        <w:tab/>
        <w:t>ottaa huomioon työjärjestyksen 59 artiklan,</w:t>
      </w:r>
    </w:p>
    <w:p w14:paraId="2CD9AD46" w14:textId="77777777" w:rsidR="00970B4A" w:rsidRPr="00DF107B" w:rsidRDefault="00970B4A" w:rsidP="00EB4AF9">
      <w:pPr>
        <w:pStyle w:val="NormalHanging12a"/>
        <w:widowControl/>
      </w:pPr>
      <w:r w:rsidRPr="00DF107B">
        <w:t>–</w:t>
      </w:r>
      <w:r w:rsidRPr="00DF107B">
        <w:tab/>
        <w:t>ottaa huomioon budjettivaliokunnan ja kalatalousvaliokunnan lausunnot,</w:t>
      </w:r>
    </w:p>
    <w:p w14:paraId="35D91452" w14:textId="77777777" w:rsidR="00970B4A" w:rsidRPr="00DF107B" w:rsidRDefault="00970B4A" w:rsidP="00EB4AF9">
      <w:pPr>
        <w:pStyle w:val="NormalHanging12a"/>
        <w:widowControl/>
      </w:pPr>
      <w:r w:rsidRPr="00DF107B">
        <w:t>–</w:t>
      </w:r>
      <w:r w:rsidRPr="00DF107B">
        <w:tab/>
        <w:t>ottaa huomioon liikenne- ja matkailuvaliokunnan mietinnön (</w:t>
      </w:r>
      <w:proofErr w:type="spellStart"/>
      <w:r w:rsidRPr="00DF107B">
        <w:t>A9</w:t>
      </w:r>
      <w:proofErr w:type="spellEnd"/>
      <w:r w:rsidRPr="00DF107B">
        <w:t>-0423/2023),</w:t>
      </w:r>
    </w:p>
    <w:p w14:paraId="63ED68FA" w14:textId="77777777" w:rsidR="00970B4A" w:rsidRPr="00DF107B" w:rsidRDefault="00970B4A" w:rsidP="00EB4AF9">
      <w:pPr>
        <w:pStyle w:val="NormalHanging12a"/>
        <w:widowControl/>
      </w:pPr>
      <w:r w:rsidRPr="00DF107B">
        <w:t>1.</w:t>
      </w:r>
      <w:r w:rsidRPr="00DF107B">
        <w:tab/>
        <w:t>vahvistaa jäljempänä esitetyn ensimmäisen käsittelyn kannan;</w:t>
      </w:r>
    </w:p>
    <w:p w14:paraId="25E11AD6" w14:textId="77777777" w:rsidR="00970B4A" w:rsidRPr="00DF107B" w:rsidRDefault="00970B4A" w:rsidP="00EB4AF9">
      <w:pPr>
        <w:pStyle w:val="NormalHanging12a"/>
        <w:widowControl/>
      </w:pPr>
      <w:r w:rsidRPr="00DF107B">
        <w:lastRenderedPageBreak/>
        <w:t>2.</w:t>
      </w:r>
      <w:r w:rsidRPr="00DF107B">
        <w:tab/>
        <w:t>pyytää komissiota antamaan asian uudelleen Euroopan parlamentin käsiteltäväksi, jos se korvaa ehdotuksensa, muuttaa sitä huomattavasti tai aikoo muuttaa sitä huomattavasti;</w:t>
      </w:r>
    </w:p>
    <w:p w14:paraId="47CF3951" w14:textId="77777777" w:rsidR="006B401A" w:rsidRPr="00DF107B" w:rsidRDefault="00970B4A" w:rsidP="006B401A">
      <w:pPr>
        <w:pStyle w:val="NormalHanging12a"/>
        <w:widowControl/>
        <w:sectPr w:rsidR="006B401A" w:rsidRPr="00DF107B" w:rsidSect="004D0939">
          <w:footnotePr>
            <w:numRestart w:val="eachSect"/>
          </w:footnotePr>
          <w:endnotePr>
            <w:numFmt w:val="decimal"/>
          </w:endnotePr>
          <w:pgSz w:w="11906" w:h="16838" w:code="9"/>
          <w:pgMar w:top="1134" w:right="1418" w:bottom="1418" w:left="1418" w:header="1134" w:footer="567" w:gutter="0"/>
          <w:cols w:space="720"/>
          <w:noEndnote/>
          <w:docGrid w:linePitch="326"/>
        </w:sectPr>
      </w:pPr>
      <w:r w:rsidRPr="00DF107B">
        <w:t>3.</w:t>
      </w:r>
      <w:r w:rsidRPr="00DF107B">
        <w:tab/>
        <w:t>kehottaa puhemiestä välittämään parlamentin kannan neuvostolle ja komissiolle sekä kansallisille parlamenteille.</w:t>
      </w:r>
    </w:p>
    <w:p w14:paraId="73D6AD64" w14:textId="77777777" w:rsidR="007E7AE7" w:rsidRPr="00DF107B" w:rsidRDefault="007E7AE7" w:rsidP="006B401A">
      <w:pPr>
        <w:pStyle w:val="NormalHanging12a"/>
        <w:widowControl/>
        <w:rPr>
          <w:rFonts w:eastAsia="Calibri"/>
          <w:b/>
          <w:bCs/>
          <w:color w:val="000000"/>
        </w:rPr>
      </w:pPr>
      <w:proofErr w:type="spellStart"/>
      <w:r w:rsidRPr="00DF107B">
        <w:rPr>
          <w:rFonts w:eastAsia="Calibri"/>
          <w:b/>
          <w:bCs/>
          <w:color w:val="000000"/>
        </w:rPr>
        <w:lastRenderedPageBreak/>
        <w:t>P9_TC1</w:t>
      </w:r>
      <w:proofErr w:type="spellEnd"/>
      <w:r w:rsidRPr="00DF107B">
        <w:rPr>
          <w:rFonts w:eastAsia="Calibri"/>
          <w:b/>
          <w:bCs/>
          <w:color w:val="000000"/>
        </w:rPr>
        <w:t>-</w:t>
      </w:r>
      <w:proofErr w:type="gramStart"/>
      <w:r w:rsidRPr="00DF107B">
        <w:rPr>
          <w:rFonts w:eastAsia="Calibri"/>
          <w:b/>
          <w:bCs/>
          <w:color w:val="000000"/>
        </w:rPr>
        <w:t>COD(</w:t>
      </w:r>
      <w:proofErr w:type="gramEnd"/>
      <w:r w:rsidRPr="00DF107B">
        <w:rPr>
          <w:rFonts w:eastAsia="Calibri"/>
          <w:b/>
          <w:bCs/>
          <w:color w:val="000000"/>
        </w:rPr>
        <w:t>2023)0163</w:t>
      </w:r>
    </w:p>
    <w:p w14:paraId="0DC6D4C9" w14:textId="77777777" w:rsidR="007E7AE7" w:rsidRPr="00DF107B" w:rsidRDefault="007E7AE7" w:rsidP="007E7AE7">
      <w:pPr>
        <w:spacing w:after="240"/>
        <w:rPr>
          <w:b/>
          <w:szCs w:val="24"/>
          <w:lang w:eastAsia="en-US"/>
        </w:rPr>
      </w:pPr>
      <w:r w:rsidRPr="00DF107B">
        <w:rPr>
          <w:b/>
          <w:szCs w:val="24"/>
        </w:rPr>
        <w:t xml:space="preserve">Euroopan parlamentin kanta, vahvistettu ensimmäisessä käsittelyssä 12. maaliskuuta 2024, Euroopan parlamentin ja neuvoston asetuksen (EU) 2024/… antamiseksi </w:t>
      </w:r>
      <w:r w:rsidRPr="00DF107B">
        <w:rPr>
          <w:b/>
          <w:szCs w:val="24"/>
          <w:lang w:eastAsia="en-US"/>
        </w:rPr>
        <w:t xml:space="preserve">Euroopan meriturvallisuusvirastosta ja asetuksen (EY) </w:t>
      </w:r>
      <w:proofErr w:type="gramStart"/>
      <w:r w:rsidRPr="00DF107B">
        <w:rPr>
          <w:b/>
          <w:szCs w:val="24"/>
          <w:lang w:eastAsia="en-US"/>
        </w:rPr>
        <w:t>N:o</w:t>
      </w:r>
      <w:proofErr w:type="gramEnd"/>
      <w:r w:rsidRPr="00DF107B">
        <w:rPr>
          <w:b/>
          <w:szCs w:val="24"/>
          <w:lang w:eastAsia="en-US"/>
        </w:rPr>
        <w:t xml:space="preserve"> 1406/2002 kumoamisesta</w:t>
      </w:r>
    </w:p>
    <w:p w14:paraId="1FDDD573" w14:textId="77777777" w:rsidR="007E7AE7" w:rsidRPr="00DF107B" w:rsidRDefault="007E7AE7" w:rsidP="007E7AE7">
      <w:pPr>
        <w:widowControl/>
        <w:spacing w:before="360" w:after="240" w:line="360" w:lineRule="auto"/>
        <w:jc w:val="center"/>
        <w:rPr>
          <w:szCs w:val="24"/>
          <w:lang w:eastAsia="en-US"/>
        </w:rPr>
      </w:pPr>
      <w:r w:rsidRPr="00DF107B">
        <w:rPr>
          <w:szCs w:val="24"/>
          <w:lang w:eastAsia="en-US"/>
        </w:rPr>
        <w:t>(ETA:n kannalta merkityksellinen teksti)</w:t>
      </w:r>
    </w:p>
    <w:p w14:paraId="1C52599F" w14:textId="77777777" w:rsidR="007E7AE7" w:rsidRPr="00DF107B" w:rsidRDefault="007E7AE7" w:rsidP="007E7AE7">
      <w:pPr>
        <w:keepNext/>
        <w:widowControl/>
        <w:spacing w:before="600" w:after="120" w:line="360" w:lineRule="auto"/>
        <w:rPr>
          <w:szCs w:val="24"/>
          <w:lang w:eastAsia="en-US"/>
        </w:rPr>
      </w:pPr>
      <w:r w:rsidRPr="00DF107B">
        <w:rPr>
          <w:szCs w:val="24"/>
          <w:lang w:eastAsia="en-US"/>
        </w:rPr>
        <w:t>EUROOPAN PARLAMENTTI JA EUROOPAN UNIONIN NEUVOSTO, jotka</w:t>
      </w:r>
    </w:p>
    <w:p w14:paraId="1E44EF1F" w14:textId="77777777" w:rsidR="007E7AE7" w:rsidRPr="00DF107B" w:rsidRDefault="007E7AE7" w:rsidP="007E7AE7">
      <w:pPr>
        <w:widowControl/>
        <w:spacing w:before="120" w:after="120" w:line="360" w:lineRule="auto"/>
        <w:rPr>
          <w:lang w:eastAsia="en-US"/>
        </w:rPr>
      </w:pPr>
      <w:r w:rsidRPr="00DF107B">
        <w:rPr>
          <w:lang w:eastAsia="en-US"/>
        </w:rPr>
        <w:t>ottavat huomioon Euroopan unionin toiminnasta tehdyn sopimuksen ja erityisesti sen 100 artiklan 2 kohdan,</w:t>
      </w:r>
    </w:p>
    <w:p w14:paraId="5596413E" w14:textId="77777777" w:rsidR="007E7AE7" w:rsidRPr="00DF107B" w:rsidRDefault="007E7AE7" w:rsidP="007E7AE7">
      <w:pPr>
        <w:widowControl/>
        <w:spacing w:before="120" w:after="120" w:line="360" w:lineRule="auto"/>
        <w:rPr>
          <w:lang w:eastAsia="en-US"/>
        </w:rPr>
      </w:pPr>
      <w:r w:rsidRPr="00DF107B">
        <w:rPr>
          <w:lang w:eastAsia="en-US"/>
        </w:rPr>
        <w:t>ottavat huomioon Euroopan komission ehdotuksen,</w:t>
      </w:r>
    </w:p>
    <w:p w14:paraId="0051BE38" w14:textId="09A1F6A1" w:rsidR="007E7AE7" w:rsidRPr="00DF107B" w:rsidRDefault="007E7AE7" w:rsidP="007E7AE7">
      <w:pPr>
        <w:widowControl/>
        <w:spacing w:before="120" w:after="120" w:line="360" w:lineRule="auto"/>
        <w:rPr>
          <w:lang w:eastAsia="en-US"/>
        </w:rPr>
      </w:pPr>
      <w:r w:rsidRPr="00DF107B">
        <w:rPr>
          <w:lang w:eastAsia="en-US"/>
        </w:rPr>
        <w:t xml:space="preserve">sen </w:t>
      </w:r>
      <w:proofErr w:type="gramStart"/>
      <w:r w:rsidRPr="00DF107B">
        <w:rPr>
          <w:lang w:eastAsia="en-US"/>
        </w:rPr>
        <w:t>jälkeen</w:t>
      </w:r>
      <w:proofErr w:type="gramEnd"/>
      <w:r w:rsidRPr="00DF107B">
        <w:rPr>
          <w:lang w:eastAsia="en-US"/>
        </w:rPr>
        <w:t xml:space="preserve"> kun esitys lainsäätämisjärjestyksessä hyväksyttäväksi säädökseksi on toimitettu kansallisille parlamenteille,</w:t>
      </w:r>
    </w:p>
    <w:p w14:paraId="5AFB23E3" w14:textId="77777777" w:rsidR="007E7AE7" w:rsidRPr="00DF107B" w:rsidRDefault="007E7AE7" w:rsidP="007E7AE7">
      <w:pPr>
        <w:widowControl/>
        <w:spacing w:before="120" w:after="120" w:line="360" w:lineRule="auto"/>
        <w:rPr>
          <w:lang w:eastAsia="en-US"/>
        </w:rPr>
      </w:pPr>
      <w:r w:rsidRPr="00DF107B">
        <w:rPr>
          <w:lang w:eastAsia="en-US"/>
        </w:rPr>
        <w:t>ottavat huomioon Euroopan talous- ja sosiaalikomitean lausunnon</w:t>
      </w:r>
      <w:r w:rsidRPr="00DF107B">
        <w:rPr>
          <w:vertAlign w:val="superscript"/>
          <w:lang w:val="en-GB" w:eastAsia="en-US"/>
        </w:rPr>
        <w:footnoteReference w:id="2"/>
      </w:r>
      <w:r w:rsidRPr="00DF107B">
        <w:rPr>
          <w:lang w:eastAsia="en-US"/>
        </w:rPr>
        <w:t>,</w:t>
      </w:r>
    </w:p>
    <w:p w14:paraId="6F9CA87C" w14:textId="77777777" w:rsidR="007E7AE7" w:rsidRPr="00DF107B" w:rsidRDefault="007E7AE7" w:rsidP="007E7AE7">
      <w:pPr>
        <w:widowControl/>
        <w:spacing w:before="120" w:after="120" w:line="360" w:lineRule="auto"/>
        <w:rPr>
          <w:lang w:eastAsia="en-US"/>
        </w:rPr>
      </w:pPr>
      <w:r w:rsidRPr="00DF107B">
        <w:rPr>
          <w:lang w:eastAsia="en-US"/>
        </w:rPr>
        <w:t>ottavat huomioon alueiden komitean lausunnon</w:t>
      </w:r>
      <w:r w:rsidRPr="00DF107B">
        <w:rPr>
          <w:vertAlign w:val="superscript"/>
          <w:lang w:val="en-GB" w:eastAsia="en-US"/>
        </w:rPr>
        <w:footnoteReference w:id="3"/>
      </w:r>
      <w:r w:rsidRPr="00DF107B">
        <w:rPr>
          <w:lang w:eastAsia="en-US"/>
        </w:rPr>
        <w:t>,</w:t>
      </w:r>
    </w:p>
    <w:p w14:paraId="67F89049" w14:textId="77777777" w:rsidR="007E7AE7" w:rsidRPr="00DF107B" w:rsidRDefault="007E7AE7" w:rsidP="007E7AE7">
      <w:pPr>
        <w:widowControl/>
        <w:spacing w:before="120" w:after="120" w:line="360" w:lineRule="auto"/>
        <w:rPr>
          <w:lang w:eastAsia="en-US"/>
        </w:rPr>
      </w:pPr>
      <w:r w:rsidRPr="00DF107B">
        <w:rPr>
          <w:lang w:eastAsia="en-US"/>
        </w:rPr>
        <w:t>noudattavat tavallista lainsäätämisjärjestystä,</w:t>
      </w:r>
    </w:p>
    <w:p w14:paraId="45C42872" w14:textId="77777777" w:rsidR="007E7AE7" w:rsidRPr="00DF107B" w:rsidRDefault="007E7AE7">
      <w:pPr>
        <w:widowControl/>
        <w:rPr>
          <w:lang w:eastAsia="en-US"/>
        </w:rPr>
      </w:pPr>
      <w:r w:rsidRPr="00DF107B">
        <w:rPr>
          <w:lang w:eastAsia="en-US"/>
        </w:rPr>
        <w:br w:type="page"/>
      </w:r>
    </w:p>
    <w:p w14:paraId="115074C9" w14:textId="77777777" w:rsidR="007E7AE7" w:rsidRPr="00DF107B" w:rsidRDefault="007E7AE7" w:rsidP="007E7AE7">
      <w:pPr>
        <w:widowControl/>
        <w:spacing w:before="120" w:after="120" w:line="360" w:lineRule="auto"/>
        <w:rPr>
          <w:lang w:eastAsia="en-US"/>
        </w:rPr>
      </w:pPr>
      <w:r w:rsidRPr="00DF107B">
        <w:rPr>
          <w:lang w:eastAsia="en-US"/>
        </w:rPr>
        <w:lastRenderedPageBreak/>
        <w:t>sekä katsovat seuraavaa:</w:t>
      </w:r>
    </w:p>
    <w:p w14:paraId="569CEE8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Unionissa on hyväksytty useita lainsäädäntötoimenpiteitä, joiden tarkoituksena on parantaa merellistä ja meriturvallisuutta, edistää meriliikenteen kestävyyttä – myös ehkäisemällä ympäristön pilaantumista – ja hiilestä irtautumista sekä helpottaa tietojenvaihtoa ja merenkulkualan digitalisointia. Jotta tällainen lainsäädäntö olisi tehokasta, sitä olisi sovellettava asianmukaisesti ja yhteneväisesti koko EU:ssa. Tällä varmistettaisiin tasavertaiset toimintaedellytykset ja vähennettäisiin kilpailun vääristymistä niiden alusten, jotka eivät noudata vaatimuksia, saamien taloudellisten etujen vuoksi sekä palkittaisiin vaatimuksia noudattavia meriliikenteen toimijoita.</w:t>
      </w:r>
    </w:p>
    <w:p w14:paraId="5D788584"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(1 a)</w:t>
      </w:r>
      <w:r w:rsidRPr="00DF107B">
        <w:rPr>
          <w:szCs w:val="24"/>
          <w:lang w:eastAsia="en-US"/>
        </w:rPr>
        <w:tab/>
      </w:r>
      <w:r w:rsidRPr="00DF107B">
        <w:rPr>
          <w:b/>
          <w:i/>
          <w:szCs w:val="24"/>
          <w:lang w:eastAsia="en-US"/>
        </w:rPr>
        <w:t xml:space="preserve">Kalastusalalla sattuu paljon onnettomuuksia, joissa kuolleisuus on lisäksi suuri, joten kalastajien koulutuksella on työturvallisuuden kannalta tärkeä rooli. </w:t>
      </w:r>
      <w:r w:rsidRPr="00DF107B">
        <w:rPr>
          <w:b/>
          <w:szCs w:val="24"/>
          <w:lang w:eastAsia="en-US"/>
        </w:rPr>
        <w:t>[Tark. 1]</w:t>
      </w:r>
    </w:p>
    <w:p w14:paraId="73A7012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Näiden tavoitteiden saavuttaminen edellyttää huomattavaa erikoistuneen elimen johtamaa teknistä työtä. Tämän vuoksi vuonna 2002 hyväksytyn toisen Erika-paketin yhteydessä oli tarpeen olemassa olevassa institutionaalisessa kehyksessä sekä jäsenvaltioiden velvollisuuksia ja oikeuksia lippu-, satama- ja rannikkovaltioina kunnioittaen perustaa eurooppalainen virasto, jotta varmistetaan meriturvallisuuden ja alusten aiheuttaman pilaantumisen torjunnan korkea, yhdenmukainen ja tehokas taso.</w:t>
      </w:r>
    </w:p>
    <w:p w14:paraId="68E50E96" w14:textId="77777777" w:rsidR="007E7AE7" w:rsidRPr="00DF107B" w:rsidRDefault="007E7AE7">
      <w:pPr>
        <w:widowControl/>
        <w:rPr>
          <w:szCs w:val="24"/>
          <w:lang w:eastAsia="en-US"/>
        </w:rPr>
      </w:pPr>
      <w:r w:rsidRPr="00DF107B">
        <w:rPr>
          <w:szCs w:val="24"/>
          <w:lang w:eastAsia="en-US"/>
        </w:rPr>
        <w:br w:type="page"/>
      </w:r>
    </w:p>
    <w:p w14:paraId="366D786B"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w:t>
      </w:r>
      <w:r w:rsidRPr="00DF107B">
        <w:rPr>
          <w:szCs w:val="24"/>
          <w:lang w:eastAsia="en-US"/>
        </w:rPr>
        <w:tab/>
        <w:t>Euroopan parlamentin ja neuvoston asetuksella (EY) N:o 1406/2002</w:t>
      </w:r>
      <w:r w:rsidRPr="00DF107B">
        <w:rPr>
          <w:szCs w:val="24"/>
          <w:vertAlign w:val="superscript"/>
          <w:lang w:val="en-GB" w:eastAsia="en-US"/>
        </w:rPr>
        <w:footnoteReference w:id="4"/>
      </w:r>
      <w:r w:rsidRPr="00DF107B">
        <w:rPr>
          <w:szCs w:val="24"/>
          <w:lang w:eastAsia="en-US"/>
        </w:rPr>
        <w:t xml:space="preserve"> perustettiin Euroopan meriturvallisuusvirasto, jäljempänä ’virasto’, jonka tehtävänä on avustaa komissiota ja jäsenvaltioita meriturvallisuutta ja meren pilaantumisen torjuntaa koskevan lainsäädännön tehokkaassa täytäntöönpanossa EU:n tasolla suorittamalla jäsenvaltioihin asianmukaisia vierailuja asiaa koskevan lainsäädännön seuraamiseksi sekä koulutuksen järjestämiseksi ja valmiuksien kehittämiseksi.</w:t>
      </w:r>
    </w:p>
    <w:p w14:paraId="20B1783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Meriturvallisuutta, kestävyyttä ja ympäristön pilaantumisen ehkäisemistä sekä merellistä turvallisuutta koskevaa unionin lainsäädäntöä on sitten viraston vuonna 2002 tapahtuneen perustamisen laajennettu merkittävästi, minkä seurauksena viraston toimeksiantoon on tehty viisi muutosta.</w:t>
      </w:r>
    </w:p>
    <w:p w14:paraId="535E8E0E" w14:textId="77777777" w:rsidR="007E7AE7" w:rsidRPr="00DF107B" w:rsidRDefault="007E7AE7">
      <w:pPr>
        <w:widowControl/>
        <w:rPr>
          <w:szCs w:val="24"/>
          <w:lang w:eastAsia="en-US"/>
        </w:rPr>
      </w:pPr>
      <w:r w:rsidRPr="00DF107B">
        <w:rPr>
          <w:szCs w:val="24"/>
          <w:lang w:eastAsia="en-US"/>
        </w:rPr>
        <w:br w:type="page"/>
      </w:r>
    </w:p>
    <w:p w14:paraId="6D7C9D6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(5)</w:t>
      </w:r>
      <w:r w:rsidRPr="00DF107B">
        <w:rPr>
          <w:szCs w:val="24"/>
          <w:lang w:eastAsia="en-US"/>
        </w:rPr>
        <w:tab/>
        <w:t xml:space="preserve">Virasto on vuodesta 2013 jatkanut tehtäviensä huomattavaa laajentamista joko ottamalla käyttöön asetuksen (EY) </w:t>
      </w:r>
      <w:proofErr w:type="gramStart"/>
      <w:r w:rsidRPr="00DF107B">
        <w:rPr>
          <w:szCs w:val="24"/>
          <w:lang w:eastAsia="en-US"/>
        </w:rPr>
        <w:t>N:o</w:t>
      </w:r>
      <w:proofErr w:type="gramEnd"/>
      <w:r w:rsidRPr="00DF107B">
        <w:rPr>
          <w:szCs w:val="24"/>
          <w:lang w:eastAsia="en-US"/>
        </w:rPr>
        <w:t xml:space="preserve"> 1406/2002 2 a artiklassa säädettyjä asiaankuuluvia lisätehtäviä tai antaessaan komission ja jäsenvaltioiden pyytämää teknistä apua erityisesti merenkulkualan hiilestä irtautumisessa ja digitalisoinnissa. Euroopan parlamentin ja neuvoston direktiiveihin 2005/35/EY</w:t>
      </w:r>
      <w:r w:rsidRPr="00DF107B">
        <w:rPr>
          <w:szCs w:val="24"/>
          <w:vertAlign w:val="superscript"/>
          <w:lang w:val="en-GB" w:eastAsia="en-US"/>
        </w:rPr>
        <w:footnoteReference w:id="5"/>
      </w:r>
      <w:r w:rsidRPr="00DF107B">
        <w:rPr>
          <w:szCs w:val="24"/>
          <w:lang w:eastAsia="en-US"/>
        </w:rPr>
        <w:t>, 2009/16/EY</w:t>
      </w:r>
      <w:r w:rsidRPr="00DF107B">
        <w:rPr>
          <w:szCs w:val="24"/>
          <w:vertAlign w:val="superscript"/>
          <w:lang w:val="en-GB" w:eastAsia="en-US"/>
        </w:rPr>
        <w:footnoteReference w:id="6"/>
      </w:r>
      <w:r w:rsidRPr="00DF107B">
        <w:rPr>
          <w:szCs w:val="24"/>
          <w:lang w:eastAsia="en-US"/>
        </w:rPr>
        <w:t>, 2009/18/EY</w:t>
      </w:r>
      <w:r w:rsidRPr="00DF107B">
        <w:rPr>
          <w:szCs w:val="24"/>
          <w:vertAlign w:val="superscript"/>
          <w:lang w:val="en-GB" w:eastAsia="en-US"/>
        </w:rPr>
        <w:footnoteReference w:id="7"/>
      </w:r>
      <w:r w:rsidRPr="00DF107B">
        <w:rPr>
          <w:szCs w:val="24"/>
          <w:lang w:eastAsia="en-US"/>
        </w:rPr>
        <w:t xml:space="preserve"> ja 2009/21/EY</w:t>
      </w:r>
      <w:r w:rsidRPr="00DF107B">
        <w:rPr>
          <w:szCs w:val="24"/>
          <w:vertAlign w:val="superscript"/>
          <w:lang w:val="en-GB" w:eastAsia="en-US"/>
        </w:rPr>
        <w:footnoteReference w:id="8"/>
      </w:r>
      <w:r w:rsidRPr="00DF107B">
        <w:rPr>
          <w:szCs w:val="24"/>
          <w:lang w:eastAsia="en-US"/>
        </w:rPr>
        <w:t xml:space="preserve"> tehtävät muutokset vaikuttavat myös suoraan viraston tehtäviin. Mainituissa direktiiveissä säädetään erityisesti alusten aiheuttamaan ympäristön pilaantumiseen liittyvien viraston tehtävien hoitamisesta, unionin satamavaltiovalvontajärjestelmästä, unionin vesillä tapahtuvien merionnettomuuksien tutkintaan liittyvistä jäsenvaltioiden toimista sekä jäsenvaltioiden velvollisuuksista lippuvaltioina.</w:t>
      </w:r>
    </w:p>
    <w:p w14:paraId="60AE7A7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(6)</w:t>
      </w:r>
      <w:r w:rsidRPr="00DF107B">
        <w:rPr>
          <w:szCs w:val="24"/>
          <w:lang w:eastAsia="en-US"/>
        </w:rPr>
        <w:tab/>
        <w:t>Lisäksi viraston hallinto ja taloushallinto on yhdenmukaistettava erillisvirastojen hallintoa koskevan toimielinten välisen sopimuksen</w:t>
      </w:r>
      <w:r w:rsidRPr="00DF107B">
        <w:rPr>
          <w:szCs w:val="24"/>
          <w:vertAlign w:val="superscript"/>
          <w:lang w:val="en-GB" w:eastAsia="en-US"/>
        </w:rPr>
        <w:footnoteReference w:id="9"/>
      </w:r>
      <w:r w:rsidRPr="00DF107B">
        <w:rPr>
          <w:szCs w:val="24"/>
          <w:lang w:eastAsia="en-US"/>
        </w:rPr>
        <w:t xml:space="preserve"> ja unionin hajautettuja elimiä koskevan varainhoidon puiteasetuksen</w:t>
      </w:r>
      <w:r w:rsidRPr="00DF107B">
        <w:rPr>
          <w:szCs w:val="24"/>
          <w:vertAlign w:val="superscript"/>
          <w:lang w:val="en-GB" w:eastAsia="en-US"/>
        </w:rPr>
        <w:footnoteReference w:id="10"/>
      </w:r>
      <w:r w:rsidRPr="00DF107B">
        <w:rPr>
          <w:szCs w:val="24"/>
          <w:lang w:eastAsia="en-US"/>
        </w:rPr>
        <w:t xml:space="preserve"> kanssa.</w:t>
      </w:r>
    </w:p>
    <w:p w14:paraId="209CF42F" w14:textId="77777777" w:rsidR="007E7AE7" w:rsidRPr="00DF107B" w:rsidRDefault="007E7AE7">
      <w:pPr>
        <w:widowControl/>
        <w:rPr>
          <w:szCs w:val="24"/>
          <w:lang w:eastAsia="en-US"/>
        </w:rPr>
      </w:pPr>
      <w:r w:rsidRPr="00DF107B">
        <w:rPr>
          <w:szCs w:val="24"/>
          <w:lang w:eastAsia="en-US"/>
        </w:rPr>
        <w:br w:type="page"/>
      </w:r>
    </w:p>
    <w:p w14:paraId="4050777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(7)</w:t>
      </w:r>
      <w:r w:rsidRPr="00DF107B">
        <w:rPr>
          <w:szCs w:val="24"/>
          <w:lang w:eastAsia="en-US"/>
        </w:rPr>
        <w:tab/>
        <w:t xml:space="preserve">Koska edellä esitetyn kehityksen vuoksi on tehty huomattava määrä muutoksia, on aiheellista kumota asetus (EY) </w:t>
      </w:r>
      <w:proofErr w:type="gramStart"/>
      <w:r w:rsidRPr="00DF107B">
        <w:rPr>
          <w:szCs w:val="24"/>
          <w:lang w:eastAsia="en-US"/>
        </w:rPr>
        <w:t>N:o</w:t>
      </w:r>
      <w:proofErr w:type="gramEnd"/>
      <w:r w:rsidRPr="00DF107B">
        <w:rPr>
          <w:szCs w:val="24"/>
          <w:lang w:eastAsia="en-US"/>
        </w:rPr>
        <w:t xml:space="preserve"> 1406/2002 ja korvata se uudella säädöksellä.</w:t>
      </w:r>
    </w:p>
    <w:p w14:paraId="6A0388C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(8)</w:t>
      </w:r>
      <w:r w:rsidRPr="00DF107B">
        <w:rPr>
          <w:szCs w:val="24"/>
          <w:lang w:eastAsia="en-US"/>
        </w:rPr>
        <w:tab/>
        <w:t>Kun virasto perustettiin, sen tarkoituksena oli edistää meriturvallisuuden korkean tason saavuttamista koko unionissa sekä auttaa alusten ja myöhemmin myös öljyn- ja kaasunporauslaitteistojen aiheuttaman pilaantumisen ehkäisemisessä. Näitä tavoitteita vahvistettiin entisestään lisäämällä tavoite merellisen turvallisuuden edistämisestä, mutta viime vuosina virasto on kuitenkin keskittynyt tukemaan sääntelyn kehittämistä meriliikenteen</w:t>
      </w:r>
      <w:r w:rsidRPr="00DF107B">
        <w:rPr>
          <w:b/>
          <w:i/>
          <w:szCs w:val="24"/>
          <w:lang w:eastAsia="en-US"/>
        </w:rPr>
        <w:t>, myös satama-alueiden,</w:t>
      </w:r>
      <w:r w:rsidRPr="00DF107B">
        <w:rPr>
          <w:szCs w:val="24"/>
          <w:lang w:eastAsia="en-US"/>
        </w:rPr>
        <w:t xml:space="preserve"> hiilestä irtautumisessa ja </w:t>
      </w:r>
      <w:proofErr w:type="spellStart"/>
      <w:r w:rsidRPr="00DF107B">
        <w:rPr>
          <w:szCs w:val="24"/>
          <w:lang w:eastAsia="en-US"/>
        </w:rPr>
        <w:t>digitalisaatiossa</w:t>
      </w:r>
      <w:proofErr w:type="spellEnd"/>
      <w:r w:rsidRPr="00DF107B">
        <w:rPr>
          <w:szCs w:val="24"/>
          <w:lang w:eastAsia="en-US"/>
        </w:rPr>
        <w:t>, mikä antaa aihetta lisätä nämä osa-alueet viraston yleistavoitteisiin, jotta se voi edistää alan vihreän ja digitaalisen siirtymän tavoitteita. Virastolla on myös keskeinen rooli meritietoisuuskuvan tarjoamisessa satelliittikuvien ja kauko-ohjattujen ilma-alusjärjestelmien käytön avulla, mikä muodostaa perusteen lisätä virastolle uusi asiaan liittyvä yleistavoite.</w:t>
      </w:r>
      <w:r w:rsidRPr="00DF107B">
        <w:rPr>
          <w:b/>
          <w:i/>
          <w:szCs w:val="24"/>
          <w:lang w:eastAsia="en-US"/>
        </w:rPr>
        <w:t xml:space="preserve"> </w:t>
      </w:r>
      <w:r w:rsidRPr="00DF107B">
        <w:rPr>
          <w:b/>
          <w:szCs w:val="24"/>
          <w:lang w:eastAsia="en-US"/>
        </w:rPr>
        <w:t>[Tark. 2]</w:t>
      </w:r>
    </w:p>
    <w:p w14:paraId="24A46E14" w14:textId="77777777" w:rsidR="007E7AE7" w:rsidRPr="00DF107B" w:rsidRDefault="007E7AE7">
      <w:pPr>
        <w:widowControl/>
        <w:rPr>
          <w:szCs w:val="24"/>
          <w:lang w:eastAsia="en-US"/>
        </w:rPr>
      </w:pPr>
      <w:r w:rsidRPr="00DF107B">
        <w:rPr>
          <w:szCs w:val="24"/>
          <w:lang w:eastAsia="en-US"/>
        </w:rPr>
        <w:br w:type="page"/>
      </w:r>
    </w:p>
    <w:p w14:paraId="531FB8E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(9)</w:t>
      </w:r>
      <w:r w:rsidRPr="00DF107B">
        <w:rPr>
          <w:szCs w:val="24"/>
          <w:lang w:eastAsia="en-US"/>
        </w:rPr>
        <w:tab/>
        <w:t xml:space="preserve">Näissä tavoitteissa olisi määriteltävä alat, joilla virasto sitoutuu tarjoamaan komissiolle ja jäsenvaltioille teknistä ja operatiivista apua unionin meripolitiikan </w:t>
      </w:r>
      <w:proofErr w:type="spellStart"/>
      <w:r w:rsidRPr="00DF107B">
        <w:rPr>
          <w:szCs w:val="24"/>
          <w:lang w:eastAsia="en-US"/>
        </w:rPr>
        <w:t>täytäntöönpanemiseksi</w:t>
      </w:r>
      <w:proofErr w:type="spellEnd"/>
      <w:r w:rsidRPr="00DF107B">
        <w:rPr>
          <w:szCs w:val="24"/>
          <w:lang w:eastAsia="en-US"/>
        </w:rPr>
        <w:t>.</w:t>
      </w:r>
    </w:p>
    <w:p w14:paraId="030636C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(10)</w:t>
      </w:r>
      <w:r w:rsidRPr="00DF107B">
        <w:rPr>
          <w:szCs w:val="24"/>
          <w:lang w:eastAsia="en-US"/>
        </w:rPr>
        <w:tab/>
        <w:t>Näiden tavoitteiden saavuttamiseksi asianmukaisesti on aiheellista, että virasto suorittaa erityistehtäviä meriturvallisuuden</w:t>
      </w:r>
      <w:r w:rsidRPr="00DF107B">
        <w:rPr>
          <w:b/>
          <w:i/>
          <w:szCs w:val="24"/>
          <w:lang w:eastAsia="en-US"/>
        </w:rPr>
        <w:t>, alusten aiheuttaman pilaantumisen</w:t>
      </w:r>
      <w:r w:rsidRPr="00DF107B">
        <w:rPr>
          <w:szCs w:val="24"/>
          <w:lang w:eastAsia="en-US"/>
        </w:rPr>
        <w:t xml:space="preserve">, kestävyyden, merenkulkualan hiilestä irtautumisen, merellisen turvallisuuden ja kyberturvallisuuden, merivalvonnan ja merellä tapahtuvien kriisien alalla sekä </w:t>
      </w:r>
      <w:proofErr w:type="spellStart"/>
      <w:r w:rsidRPr="00DF107B">
        <w:rPr>
          <w:szCs w:val="24"/>
          <w:lang w:eastAsia="en-US"/>
        </w:rPr>
        <w:t>digitalisaation</w:t>
      </w:r>
      <w:proofErr w:type="spellEnd"/>
      <w:r w:rsidRPr="00DF107B">
        <w:rPr>
          <w:szCs w:val="24"/>
          <w:lang w:eastAsia="en-US"/>
        </w:rPr>
        <w:t xml:space="preserve"> edistämisen ja merialan tietojenvaihdon helpottamisen alalla.</w:t>
      </w:r>
      <w:r w:rsidRPr="00DF107B">
        <w:rPr>
          <w:b/>
          <w:i/>
          <w:szCs w:val="24"/>
          <w:lang w:eastAsia="en-US"/>
        </w:rPr>
        <w:t xml:space="preserve"> Näitä tehtäviä hoitaessaan viraston olisi otettava huomioon erityyppisten merialan toimintojen erityispiirteet ja kiinnitettävä huomiota varsinkin kalastusalalla vallitseviin edellytyksiin. </w:t>
      </w:r>
      <w:r w:rsidRPr="00DF107B">
        <w:rPr>
          <w:b/>
          <w:szCs w:val="24"/>
          <w:lang w:eastAsia="en-US"/>
        </w:rPr>
        <w:t>[Tark. 3]</w:t>
      </w:r>
    </w:p>
    <w:p w14:paraId="206FA870" w14:textId="77777777" w:rsidR="007E7AE7" w:rsidRPr="00DF107B" w:rsidRDefault="007E7AE7">
      <w:pPr>
        <w:widowControl/>
        <w:rPr>
          <w:szCs w:val="24"/>
          <w:lang w:eastAsia="en-US"/>
        </w:rPr>
      </w:pPr>
      <w:r w:rsidRPr="00DF107B">
        <w:rPr>
          <w:szCs w:val="24"/>
          <w:lang w:eastAsia="en-US"/>
        </w:rPr>
        <w:br w:type="page"/>
      </w:r>
    </w:p>
    <w:p w14:paraId="769DA31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(11)</w:t>
      </w:r>
      <w:r w:rsidRPr="00DF107B">
        <w:rPr>
          <w:szCs w:val="24"/>
          <w:lang w:eastAsia="en-US"/>
        </w:rPr>
        <w:tab/>
        <w:t>Erityistehtävien lisäksi viraston olisi annettava komission tai jäsenvaltioiden pyynnöstä horisontaalista teknistä tukea sellaisten tehtävien toteuttamisessa, jotka kuuluvat sen toimivaltaan ja tavoitteisiin ja jotka johtuvat</w:t>
      </w:r>
      <w:r w:rsidRPr="00DF107B">
        <w:rPr>
          <w:b/>
          <w:i/>
          <w:szCs w:val="24"/>
          <w:lang w:eastAsia="en-US"/>
        </w:rPr>
        <w:t xml:space="preserve"> merilainsäädännön alalla olevista</w:t>
      </w:r>
      <w:r w:rsidRPr="00DF107B">
        <w:rPr>
          <w:szCs w:val="24"/>
          <w:lang w:eastAsia="en-US"/>
        </w:rPr>
        <w:t xml:space="preserve"> tulevista tarpeista ja kehityksestä unionin tasolla. Tällaisten lisätehtävien osalta on tarkasteltava käytettävissä olevia henkilöstö- ja taloudellisia resursseja, jotka viraston hallintoneuvoston olisi otettava huomioon ennen kuin se päättää sisällyttää ne viraston yhtenäiseen ohjelma-asiakirjaan osana sen vuotuista tai monivuotista työohjelmaa. </w:t>
      </w:r>
      <w:r w:rsidRPr="00DF107B">
        <w:rPr>
          <w:b/>
          <w:i/>
          <w:szCs w:val="24"/>
          <w:lang w:eastAsia="en-US"/>
        </w:rPr>
        <w:t xml:space="preserve">Sen vuoksi uusista lisätehtävistä olisi laadittava lainsäädäntö- ja budjettivallan käyttäjille esitettävä rahoitusselvitys. </w:t>
      </w:r>
      <w:r w:rsidRPr="00DF107B">
        <w:rPr>
          <w:szCs w:val="24"/>
          <w:lang w:eastAsia="en-US"/>
        </w:rPr>
        <w:t>Tämä on tarpeen sen varmistamiseksi, että tarvittaessa voidaan asettaa etusijalle tietyt viraston ydintehtävät.</w:t>
      </w:r>
      <w:r w:rsidRPr="00DF107B">
        <w:rPr>
          <w:b/>
          <w:i/>
          <w:szCs w:val="24"/>
          <w:lang w:eastAsia="en-US"/>
        </w:rPr>
        <w:t xml:space="preserve"> </w:t>
      </w:r>
      <w:r w:rsidRPr="00DF107B">
        <w:rPr>
          <w:b/>
          <w:szCs w:val="24"/>
          <w:lang w:eastAsia="en-US"/>
        </w:rPr>
        <w:t>[Tark. 4]</w:t>
      </w:r>
    </w:p>
    <w:p w14:paraId="18875286"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(11 a)</w:t>
      </w:r>
      <w:r w:rsidRPr="00DF107B">
        <w:rPr>
          <w:szCs w:val="24"/>
          <w:lang w:eastAsia="en-US"/>
        </w:rPr>
        <w:tab/>
      </w:r>
      <w:r w:rsidRPr="00DF107B">
        <w:rPr>
          <w:b/>
          <w:i/>
          <w:szCs w:val="24"/>
          <w:lang w:eastAsia="en-US"/>
        </w:rPr>
        <w:t xml:space="preserve">Viraston olisi tehtäviään hoitaessaan kiinnitettävä erityistä huomiota kalastusalaan, koska alalla on EU:ssa merkittäviä taloudellisia ja sosiaalisia vaikutuksia. Kalastusalukset ja työntekijät ovat erittäin alttiita meriturvallisuuteen liittyville riskeille, ja niillä on merkittävä rooli vihreässä siirtymässä. </w:t>
      </w:r>
      <w:r w:rsidRPr="00DF107B">
        <w:rPr>
          <w:b/>
          <w:szCs w:val="24"/>
          <w:lang w:eastAsia="en-US"/>
        </w:rPr>
        <w:t>[Tark. 5]</w:t>
      </w:r>
    </w:p>
    <w:p w14:paraId="1A75A125" w14:textId="77777777" w:rsidR="007E7AE7" w:rsidRPr="00DF107B" w:rsidRDefault="007E7AE7">
      <w:pPr>
        <w:widowControl/>
        <w:rPr>
          <w:szCs w:val="24"/>
          <w:lang w:eastAsia="en-US"/>
        </w:rPr>
      </w:pPr>
      <w:r w:rsidRPr="00DF107B">
        <w:rPr>
          <w:szCs w:val="24"/>
          <w:lang w:eastAsia="en-US"/>
        </w:rPr>
        <w:br w:type="page"/>
      </w:r>
    </w:p>
    <w:p w14:paraId="2DB3C05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(12)</w:t>
      </w:r>
      <w:r w:rsidRPr="00DF107B">
        <w:rPr>
          <w:szCs w:val="24"/>
          <w:lang w:eastAsia="en-US"/>
        </w:rPr>
        <w:tab/>
        <w:t>Virasto on teknisen asiantuntemuksen eturintamassa sen toimivaltaan kuuluvilla aloilla, minkä vuoksi sen olisi tarjottava jäsenvaltioille koulutusta ja valmiuksien kehittämistoimia sekä kehitettävä koulutuksen yhteisiä perusvaatimuksia koskevia kursseja ja käytettävä niiden toteutuksessa teknisesti edistyneimpiä välineitä.</w:t>
      </w:r>
      <w:r w:rsidRPr="00DF107B">
        <w:rPr>
          <w:b/>
          <w:i/>
          <w:szCs w:val="24"/>
          <w:lang w:eastAsia="en-US"/>
        </w:rPr>
        <w:t xml:space="preserve"> Viraston olisi muun muassa tuettava jäsenvaltioiden satamavaltion tarkastajien ja lippuvaltioiden hallinnossa palvelevien viranhaltijoiden koulutusta, joka koskee kohdennettujen tarkastusten tekemistä merityötä koskevan vuoden 2006 yleissopimuksen täytäntöönpanon ja noudattamisen valvonnasta merenkulkijoiden oikeuksien täytäntöönpanon ja alusten työ- ja elinolojen osalta. Merenkulkualan ammattien houkuttelevuuden lisäämiseksi viraston olisi arvioitava mahdollisuutta sellaisen verkoston luomiseen, joka koostuu yliopistoista ja muista oppilaitoksista, jotka tarjoavat sopivia tutkintoja elinikäisen oppimisen tarpeiden edistämiseksi. </w:t>
      </w:r>
      <w:r w:rsidRPr="00DF107B">
        <w:rPr>
          <w:b/>
          <w:szCs w:val="24"/>
          <w:lang w:eastAsia="en-US"/>
        </w:rPr>
        <w:t>[Tark. 6]</w:t>
      </w:r>
    </w:p>
    <w:p w14:paraId="63E6906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(13)</w:t>
      </w:r>
      <w:r w:rsidRPr="00DF107B">
        <w:rPr>
          <w:szCs w:val="24"/>
          <w:lang w:eastAsia="en-US"/>
        </w:rPr>
        <w:tab/>
        <w:t>Tätä viraston teknistä asiantuntemusta olisi kehitettävä edelleen tekemällä merialan tutkimusta ja edistämällä asiaan liittyviä unionin toimia tällä alalla. Viraston olisi edistettävä ennakoivasti meriturvallisuuden parantamista, merellistä turvallisuutta, meriliikenteen</w:t>
      </w:r>
      <w:r w:rsidRPr="00DF107B">
        <w:rPr>
          <w:b/>
          <w:i/>
          <w:szCs w:val="24"/>
          <w:lang w:eastAsia="en-US"/>
        </w:rPr>
        <w:t xml:space="preserve"> ja merisatamien</w:t>
      </w:r>
      <w:r w:rsidRPr="00DF107B">
        <w:rPr>
          <w:szCs w:val="24"/>
          <w:lang w:eastAsia="en-US"/>
        </w:rPr>
        <w:t xml:space="preserve"> hiilestä irtautumista ja alusten aiheuttaman pilaantumisen ehkäisemistä koskevia tavoitteita. Tältä osin virasto voisi antaa ei-sitovia ohjeita, suosituksia tai ohjekirjoja, jotka voisivat auttaa komissiota, jäsenvaltioita ja/tai merenkulkualaa saavuttamaan nämä tavoitteet.</w:t>
      </w:r>
      <w:r w:rsidRPr="00DF107B">
        <w:rPr>
          <w:b/>
          <w:i/>
          <w:szCs w:val="24"/>
          <w:lang w:eastAsia="en-US"/>
        </w:rPr>
        <w:t xml:space="preserve"> </w:t>
      </w:r>
      <w:r w:rsidRPr="00DF107B">
        <w:rPr>
          <w:b/>
          <w:szCs w:val="24"/>
          <w:lang w:eastAsia="en-US"/>
        </w:rPr>
        <w:t>[Tark. 7]</w:t>
      </w:r>
    </w:p>
    <w:p w14:paraId="1F3EFEF0" w14:textId="77777777" w:rsidR="007E7AE7" w:rsidRPr="00DF107B" w:rsidRDefault="007E7AE7">
      <w:pPr>
        <w:widowControl/>
        <w:rPr>
          <w:szCs w:val="24"/>
          <w:lang w:eastAsia="en-US"/>
        </w:rPr>
      </w:pPr>
      <w:r w:rsidRPr="00DF107B">
        <w:rPr>
          <w:szCs w:val="24"/>
          <w:lang w:eastAsia="en-US"/>
        </w:rPr>
        <w:br w:type="page"/>
      </w:r>
    </w:p>
    <w:p w14:paraId="4EC6FB2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(14)</w:t>
      </w:r>
      <w:r w:rsidRPr="00DF107B">
        <w:rPr>
          <w:szCs w:val="24"/>
          <w:lang w:eastAsia="en-US"/>
        </w:rPr>
        <w:tab/>
        <w:t xml:space="preserve">Meriturvallisuuden osalta viraston olisi kehitettävä turvallisuusriskien ja -haasteiden määrittämiseen ennakoiva lähestymistapa, jonka perusteella sen olisi annettava komissiolle kertomus meriturvallisuuden edistymisestä joka kolmas vuosi. Lisäksi viraston olisi edelleen avustettava komissiota ja jäsenvaltioita asiaankuuluvan unionin lainsäädännön täytäntöönpanossa, erityisesti lippu- ja satamavaltiovelvoitteiden, merionnettomuuksien </w:t>
      </w:r>
      <w:r w:rsidRPr="00DF107B">
        <w:rPr>
          <w:strike/>
          <w:szCs w:val="24"/>
          <w:lang w:eastAsia="en-US"/>
        </w:rPr>
        <w:t>tutkinnan</w:t>
      </w:r>
      <w:r w:rsidRPr="00DF107B">
        <w:rPr>
          <w:b/>
          <w:i/>
          <w:szCs w:val="24"/>
          <w:lang w:eastAsia="en-US"/>
        </w:rPr>
        <w:t>tutkinnalle annettavan suoran tuen</w:t>
      </w:r>
      <w:r w:rsidRPr="00DF107B">
        <w:rPr>
          <w:szCs w:val="24"/>
          <w:lang w:eastAsia="en-US"/>
        </w:rPr>
        <w:t>, matkustaja-alusten turvallisuutta koskevan lainsäädännön, hyväksyttyjen laitosten ja laivavarusteiden osalta. Lisäksi virastolla olisi oltava ennakoiva rooli merialan autonomisten ja automatisoitujen pinta-alusten käyttöönotossa, ja samoin on tärkeää kerätä lisätietoja merenkulkijoiden koulutuksesta ja pätevyyskirjoista sekä merityötä koskevasta yleissopimuksesta (vuoden 2006 merityöyleissopimus).</w:t>
      </w:r>
      <w:r w:rsidRPr="00DF107B">
        <w:rPr>
          <w:b/>
          <w:i/>
          <w:szCs w:val="24"/>
          <w:lang w:eastAsia="en-US"/>
        </w:rPr>
        <w:t xml:space="preserve"> </w:t>
      </w:r>
      <w:r w:rsidRPr="00DF107B">
        <w:rPr>
          <w:b/>
          <w:szCs w:val="24"/>
          <w:lang w:eastAsia="en-US"/>
        </w:rPr>
        <w:t>[Tark. 8]</w:t>
      </w:r>
    </w:p>
    <w:p w14:paraId="429DE953"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(14 a)</w:t>
      </w:r>
      <w:r w:rsidRPr="00DF107B">
        <w:rPr>
          <w:szCs w:val="24"/>
          <w:lang w:eastAsia="en-US"/>
        </w:rPr>
        <w:tab/>
      </w:r>
      <w:r w:rsidRPr="00DF107B">
        <w:rPr>
          <w:b/>
          <w:i/>
          <w:szCs w:val="24"/>
          <w:lang w:eastAsia="en-US"/>
        </w:rPr>
        <w:t>Komission olisi saatettava kalastusaluksen laivaväen koulutusta, pätevyyskirjoja ja vahdinpitoa koskeva Kansainvälisen merenkulkujärjestön yleissopimus (</w:t>
      </w:r>
      <w:proofErr w:type="spellStart"/>
      <w:r w:rsidRPr="00DF107B">
        <w:rPr>
          <w:b/>
          <w:i/>
          <w:szCs w:val="24"/>
          <w:lang w:eastAsia="en-US"/>
        </w:rPr>
        <w:t>STCW</w:t>
      </w:r>
      <w:proofErr w:type="spellEnd"/>
      <w:r w:rsidRPr="00DF107B">
        <w:rPr>
          <w:b/>
          <w:i/>
          <w:szCs w:val="24"/>
          <w:lang w:eastAsia="en-US"/>
        </w:rPr>
        <w:t xml:space="preserve">-F-yleissopimus 1995) osaksi EU:n oikeutta, jotta kalastajien vähimmäiskoulutukselle Euroopassa saadaan aikaan yhdenmukaistettu kehys. </w:t>
      </w:r>
      <w:r w:rsidRPr="00DF107B">
        <w:rPr>
          <w:b/>
          <w:szCs w:val="24"/>
          <w:lang w:eastAsia="en-US"/>
        </w:rPr>
        <w:t>[Tark. 9]</w:t>
      </w:r>
    </w:p>
    <w:p w14:paraId="3F0CED0B" w14:textId="77777777" w:rsidR="007E7AE7" w:rsidRPr="00DF107B" w:rsidRDefault="007E7AE7">
      <w:pPr>
        <w:widowControl/>
        <w:rPr>
          <w:szCs w:val="24"/>
          <w:lang w:eastAsia="en-US"/>
        </w:rPr>
      </w:pPr>
      <w:r w:rsidRPr="00DF107B">
        <w:rPr>
          <w:szCs w:val="24"/>
          <w:lang w:eastAsia="en-US"/>
        </w:rPr>
        <w:br w:type="page"/>
      </w:r>
    </w:p>
    <w:p w14:paraId="6DEE9B4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(15)</w:t>
      </w:r>
      <w:r w:rsidRPr="00DF107B">
        <w:rPr>
          <w:szCs w:val="24"/>
          <w:lang w:eastAsia="en-US"/>
        </w:rPr>
        <w:tab/>
        <w:t xml:space="preserve">Sen jälkeen, kun asetusta viimeksi muutettiin merkittävästi vuonna 2013, merenkulkualalla on tapahtunut merkittäviä lainsäädännöllisiä muutoksia kestävyyden osalta. Viraston olisi edelleen suoritettava sen toimeksiantoon tähän asti kuuluneet tehtävät, joihin kuuluu muun muassa alusten sekä öljyn- ja kaasunporauslaitteistojen aiheuttaman pilaantumisen ehkäiseminen pääasiassa </w:t>
      </w:r>
      <w:proofErr w:type="spellStart"/>
      <w:r w:rsidRPr="00DF107B">
        <w:rPr>
          <w:szCs w:val="24"/>
          <w:lang w:eastAsia="en-US"/>
        </w:rPr>
        <w:t>CleanSeaNet</w:t>
      </w:r>
      <w:proofErr w:type="spellEnd"/>
      <w:r w:rsidRPr="00DF107B">
        <w:rPr>
          <w:szCs w:val="24"/>
          <w:lang w:eastAsia="en-US"/>
        </w:rPr>
        <w:t>-tietojärjestelmän avulla, minkä lisäksi sen olisi jatkettava avun tarjoamista komissiolle Euroopan parlamentin ja neuvoston direktiivin (EU) 2019/883</w:t>
      </w:r>
      <w:r w:rsidRPr="00DF107B">
        <w:rPr>
          <w:szCs w:val="24"/>
          <w:vertAlign w:val="superscript"/>
          <w:lang w:val="en-GB" w:eastAsia="en-US"/>
        </w:rPr>
        <w:footnoteReference w:id="11"/>
      </w:r>
      <w:r w:rsidRPr="00DF107B">
        <w:rPr>
          <w:szCs w:val="24"/>
          <w:lang w:eastAsia="en-US"/>
        </w:rPr>
        <w:t xml:space="preserve"> täytäntöönpanossa, ja tämä tehtävä olisi otettava sen ajan tasalle saatetussa toimeksiannossa huomioon. Lisäksi viraston apua tarvitaan yhä enemmän Euroopan parlamentin ja neuvoston direktiivien 2008/56/EY</w:t>
      </w:r>
      <w:r w:rsidRPr="00DF107B">
        <w:rPr>
          <w:szCs w:val="24"/>
          <w:vertAlign w:val="superscript"/>
          <w:lang w:val="en-GB" w:eastAsia="en-US"/>
        </w:rPr>
        <w:footnoteReference w:id="12"/>
      </w:r>
      <w:r w:rsidRPr="00DF107B">
        <w:rPr>
          <w:szCs w:val="24"/>
          <w:lang w:eastAsia="en-US"/>
        </w:rPr>
        <w:t xml:space="preserve"> ja (EU) 2016/802</w:t>
      </w:r>
      <w:r w:rsidRPr="00DF107B">
        <w:rPr>
          <w:szCs w:val="24"/>
          <w:vertAlign w:val="superscript"/>
          <w:lang w:val="en-GB" w:eastAsia="en-US"/>
        </w:rPr>
        <w:footnoteReference w:id="13"/>
      </w:r>
      <w:r w:rsidRPr="00DF107B">
        <w:rPr>
          <w:szCs w:val="24"/>
          <w:lang w:eastAsia="en-US"/>
        </w:rPr>
        <w:t xml:space="preserve"> meriliikenteeseen liittyvien osien täytäntöönpanossa. Nämä kaksi alaa sekä viraston sitoutuminen aluksista tuleviin typen oksidien (</w:t>
      </w:r>
      <w:proofErr w:type="spellStart"/>
      <w:r w:rsidRPr="00DF107B">
        <w:rPr>
          <w:szCs w:val="24"/>
          <w:lang w:eastAsia="en-US"/>
        </w:rPr>
        <w:t>NOx</w:t>
      </w:r>
      <w:proofErr w:type="spellEnd"/>
      <w:r w:rsidRPr="00DF107B">
        <w:rPr>
          <w:szCs w:val="24"/>
          <w:lang w:eastAsia="en-US"/>
        </w:rPr>
        <w:t>) päästöihin liittyvien tietojen keräämiseen, analysointiin ja jakamiseen ovat tärkeitä merenkulkualan kestävyyden edistämisen kannalta, ja viraston olisi toimitettava kertomus saavutetusta edistyksestä joka kolmas vuosi.</w:t>
      </w:r>
    </w:p>
    <w:p w14:paraId="75C8F725" w14:textId="77777777" w:rsidR="007E7AE7" w:rsidRPr="00DF107B" w:rsidRDefault="007E7AE7">
      <w:pPr>
        <w:widowControl/>
        <w:rPr>
          <w:szCs w:val="24"/>
          <w:lang w:eastAsia="en-US"/>
        </w:rPr>
      </w:pPr>
      <w:r w:rsidRPr="00DF107B">
        <w:rPr>
          <w:szCs w:val="24"/>
          <w:lang w:eastAsia="en-US"/>
        </w:rPr>
        <w:br w:type="page"/>
      </w:r>
    </w:p>
    <w:p w14:paraId="39BE315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(16)</w:t>
      </w:r>
      <w:r w:rsidRPr="00DF107B">
        <w:rPr>
          <w:szCs w:val="24"/>
          <w:lang w:eastAsia="en-US"/>
        </w:rPr>
        <w:tab/>
        <w:t>Meriliikennealan hiilestä irtautumisen osalta ponnistelut maailmanlaajuisten meriliikenteen päästöjen rajoittamiseksi Kansainvälisen merenkulkujärjestön (IMO) kautta ovat käynnissä ja niitä olisi edistettävä, esimerkiksi panemalla nopeasti täytäntöön vuonna 2018 hyväksytty alusten kasvihuonekaasupäästöjen vähentämistä koskeva IMO:n alustava strategia. Parhaillaan keskustellaan keinoista, joilla tällainen tavoite voidaan toteuttaa käytännössä</w:t>
      </w:r>
      <w:r w:rsidRPr="00DF107B">
        <w:rPr>
          <w:b/>
          <w:i/>
          <w:szCs w:val="24"/>
          <w:lang w:eastAsia="en-US"/>
        </w:rPr>
        <w:t>. Keskusteluissa käsitellään mahdollisuutta tarkistaa alustavaa strategiaa, ja ne tarjoavat tilaisuuden pohtia unionin asettamia tavoitteita kansainvälisessä kontekstissa ja sitä, miten tärkeää on taata maailmanlaajuisesti tasapuoliset toimintaedellytykset, jotka vahvistaisivat EU:n merenkulkualan kilpailukykyä</w:t>
      </w:r>
      <w:r w:rsidRPr="00DF107B">
        <w:rPr>
          <w:strike/>
          <w:szCs w:val="24"/>
          <w:lang w:eastAsia="en-US"/>
        </w:rPr>
        <w:t>, mukaan lukien alustavan strategian tarkistaminen</w:t>
      </w:r>
      <w:r w:rsidRPr="00DF107B">
        <w:rPr>
          <w:szCs w:val="24"/>
          <w:lang w:eastAsia="en-US"/>
        </w:rPr>
        <w:t>. Unionin tasolla on laadittu joukko toimintapolitiikkoja ja lainsäädäntöehdotuksia hiilestä irtautumisen tukemiseksi ja merenkulkualan kestävyyden edistämiseksi edelleen, kuten ilmenee erityisesti Euroopan vihreän kehityksen ohjelmasta, kestävän ja älykkään liikkuvuuden strategiasta, 55-valmiuspaketista ja saasteettomuusstrategiasta. Tämän vuoksi tarve vähentää merenkulkualan kasvihuonekaasupäästöjä olisi otettava huomioon viraston toimeksiannossa.</w:t>
      </w:r>
      <w:r w:rsidRPr="00DF107B">
        <w:rPr>
          <w:b/>
          <w:i/>
          <w:szCs w:val="24"/>
          <w:lang w:eastAsia="en-US"/>
        </w:rPr>
        <w:t xml:space="preserve"> </w:t>
      </w:r>
      <w:r w:rsidRPr="00DF107B">
        <w:rPr>
          <w:b/>
          <w:szCs w:val="24"/>
          <w:lang w:eastAsia="en-US"/>
        </w:rPr>
        <w:t>[Tark. 10]</w:t>
      </w:r>
    </w:p>
    <w:p w14:paraId="50789E6B" w14:textId="77777777" w:rsidR="007E7AE7" w:rsidRPr="00DF107B" w:rsidRDefault="007E7AE7">
      <w:pPr>
        <w:widowControl/>
        <w:rPr>
          <w:szCs w:val="24"/>
          <w:lang w:eastAsia="en-US"/>
        </w:rPr>
      </w:pPr>
      <w:r w:rsidRPr="00DF107B">
        <w:rPr>
          <w:szCs w:val="24"/>
          <w:lang w:eastAsia="en-US"/>
        </w:rPr>
        <w:br w:type="page"/>
      </w:r>
    </w:p>
    <w:p w14:paraId="3E623C5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(17)</w:t>
      </w:r>
      <w:r w:rsidRPr="00DF107B">
        <w:rPr>
          <w:szCs w:val="24"/>
          <w:lang w:eastAsia="en-US"/>
        </w:rPr>
        <w:tab/>
        <w:t>Tältä osin viraston olisi jatkettava komission ja jäsenvaltioiden avustamista Euroopan parlamentin ja neuvoston asetuksen (EU) 2015/757</w:t>
      </w:r>
      <w:r w:rsidRPr="00DF107B">
        <w:rPr>
          <w:szCs w:val="24"/>
          <w:vertAlign w:val="superscript"/>
          <w:lang w:val="en-GB" w:eastAsia="en-US"/>
        </w:rPr>
        <w:footnoteReference w:id="14"/>
      </w:r>
      <w:r w:rsidRPr="00DF107B">
        <w:rPr>
          <w:szCs w:val="24"/>
          <w:lang w:eastAsia="en-US"/>
        </w:rPr>
        <w:t xml:space="preserve"> täytäntöönpanossa, minkä lisäksi sen olisi edelleen avustettava 55-valmiuspaketin mukaisten meriliikennealan hiilestä irtautumista koskevien uusien sääntelytoimenpiteiden täytäntöönpanossa, joihin kuuluvat esimerkiksi uusiutuvien ja vähähiilisten polttoaineiden käytöstä meriliikenteessä annettu asetus [...], sekä kasvihuonekaasujen päästöoikeuksien kaupan järjestelmän toteuttamisesta yhteisössä annetun Euroopan parlamentin ja neuvoston direktiivin 2003/87/EY</w:t>
      </w:r>
      <w:r w:rsidRPr="00DF107B">
        <w:rPr>
          <w:szCs w:val="24"/>
          <w:vertAlign w:val="superscript"/>
          <w:lang w:val="en-GB" w:eastAsia="en-US"/>
        </w:rPr>
        <w:footnoteReference w:id="15"/>
      </w:r>
      <w:r w:rsidRPr="00DF107B">
        <w:rPr>
          <w:szCs w:val="24"/>
          <w:lang w:eastAsia="en-US"/>
        </w:rPr>
        <w:t xml:space="preserve"> meriliikenteeseen liittyvien osien täytäntöönpanossa</w:t>
      </w:r>
      <w:r w:rsidRPr="00DF107B">
        <w:rPr>
          <w:b/>
          <w:i/>
          <w:szCs w:val="24"/>
          <w:lang w:eastAsia="en-US"/>
        </w:rPr>
        <w:t xml:space="preserve">. Tähän sisältyy myös EU:n meriliikenteen päästökauppajärjestelmän ja </w:t>
      </w:r>
      <w:proofErr w:type="spellStart"/>
      <w:r w:rsidRPr="00DF107B">
        <w:rPr>
          <w:b/>
          <w:i/>
          <w:szCs w:val="24"/>
          <w:lang w:eastAsia="en-US"/>
        </w:rPr>
        <w:t>FuelEU</w:t>
      </w:r>
      <w:proofErr w:type="spellEnd"/>
      <w:r w:rsidRPr="00DF107B">
        <w:rPr>
          <w:b/>
          <w:i/>
          <w:szCs w:val="24"/>
          <w:lang w:eastAsia="en-US"/>
        </w:rPr>
        <w:t xml:space="preserve"> </w:t>
      </w:r>
      <w:proofErr w:type="spellStart"/>
      <w:r w:rsidRPr="00DF107B">
        <w:rPr>
          <w:b/>
          <w:i/>
          <w:szCs w:val="24"/>
          <w:lang w:eastAsia="en-US"/>
        </w:rPr>
        <w:t>Maritime</w:t>
      </w:r>
      <w:proofErr w:type="spellEnd"/>
      <w:r w:rsidRPr="00DF107B">
        <w:rPr>
          <w:b/>
          <w:i/>
          <w:szCs w:val="24"/>
          <w:lang w:eastAsia="en-US"/>
        </w:rPr>
        <w:t xml:space="preserve"> -ehdotuksen vaikutusten seuranta ja niistä raportointi siltä osin kuin ne koskevat satamaliikennettä, satamien välttelyä ja liikenteen siirtymistä kolmansien maiden </w:t>
      </w:r>
      <w:proofErr w:type="spellStart"/>
      <w:r w:rsidRPr="00DF107B">
        <w:rPr>
          <w:b/>
          <w:i/>
          <w:szCs w:val="24"/>
          <w:lang w:eastAsia="en-US"/>
        </w:rPr>
        <w:t>jälleenlaivaussatamiin</w:t>
      </w:r>
      <w:proofErr w:type="spellEnd"/>
      <w:r w:rsidRPr="00DF107B">
        <w:rPr>
          <w:b/>
          <w:i/>
          <w:szCs w:val="24"/>
          <w:lang w:eastAsia="en-US"/>
        </w:rPr>
        <w:t xml:space="preserve"> EU:n satamien kustannuksella</w:t>
      </w:r>
      <w:r w:rsidRPr="00DF107B">
        <w:rPr>
          <w:szCs w:val="24"/>
          <w:lang w:eastAsia="en-US"/>
        </w:rPr>
        <w:t>. Viraston olisi edelleen oltava asiantuntemuksen eturintamassa unionin tasolla, jotta se voi auttaa alaa siirtymään uusiutuviin ja vähähiilisiin polttoaineisiin tekemällä tutkimusta ja antamalla ohjeita kestävien vaihtoehtoisten energianlähteiden käyttöönotosta aluksissa</w:t>
      </w:r>
      <w:r w:rsidRPr="00DF107B">
        <w:rPr>
          <w:strike/>
          <w:szCs w:val="24"/>
          <w:lang w:eastAsia="en-US"/>
        </w:rPr>
        <w:t>, myös</w:t>
      </w:r>
      <w:r w:rsidRPr="00DF107B">
        <w:rPr>
          <w:b/>
          <w:i/>
          <w:szCs w:val="24"/>
          <w:lang w:eastAsia="en-US"/>
        </w:rPr>
        <w:t xml:space="preserve"> ja niihin liittyvässä infrastruktuurissa satama-alueilla,</w:t>
      </w:r>
      <w:r w:rsidRPr="00DF107B">
        <w:rPr>
          <w:szCs w:val="24"/>
          <w:lang w:eastAsia="en-US"/>
        </w:rPr>
        <w:t xml:space="preserve"> maasähkön jakelusta aluksille, sekä energiatehokkuusratkaisujen ja </w:t>
      </w:r>
      <w:r w:rsidRPr="00DF107B">
        <w:rPr>
          <w:strike/>
          <w:szCs w:val="24"/>
          <w:lang w:eastAsia="en-US"/>
        </w:rPr>
        <w:t>tuuliavusteista</w:t>
      </w:r>
      <w:r w:rsidRPr="00DF107B">
        <w:rPr>
          <w:b/>
          <w:i/>
          <w:szCs w:val="24"/>
          <w:lang w:eastAsia="en-US"/>
        </w:rPr>
        <w:t>tuuli-, aurinko- ja aaltoavusteista</w:t>
      </w:r>
      <w:r w:rsidRPr="00DF107B">
        <w:rPr>
          <w:szCs w:val="24"/>
          <w:lang w:eastAsia="en-US"/>
        </w:rPr>
        <w:t xml:space="preserve"> käyttövoimaa koskevien ratkaisujen käyttöönotosta. </w:t>
      </w:r>
      <w:r w:rsidRPr="00DF107B">
        <w:rPr>
          <w:b/>
          <w:i/>
          <w:szCs w:val="24"/>
          <w:lang w:eastAsia="en-US"/>
        </w:rPr>
        <w:t xml:space="preserve">Tähän sisältyvät myös uudet kasvihuonekaasujen vähentämistekniikat, kuten hiilidioksidin talteenotto aluksella ja energiatehokkaat käytännöt, kuten hidasajo. Viraston olisi myös tarjottava asiantuntemustaan satamaturvallisuuteen liittyvistä riskeistä, polttoainetäydennyksestä ja varastoinnista kestävien vaihtoehtoisten polttoaineiden käyttöönoton osalta sekä teknologisten ja sääntelyyn liittyvien esteiden osalta. </w:t>
      </w:r>
      <w:r w:rsidRPr="00DF107B">
        <w:rPr>
          <w:szCs w:val="24"/>
          <w:lang w:eastAsia="en-US"/>
        </w:rPr>
        <w:t xml:space="preserve">Jotta voidaan seurata </w:t>
      </w:r>
      <w:r w:rsidRPr="00DF107B">
        <w:rPr>
          <w:b/>
          <w:i/>
          <w:szCs w:val="24"/>
          <w:lang w:eastAsia="en-US"/>
        </w:rPr>
        <w:t xml:space="preserve">ja pohjustaa </w:t>
      </w:r>
      <w:r w:rsidRPr="00DF107B">
        <w:rPr>
          <w:szCs w:val="24"/>
          <w:lang w:eastAsia="en-US"/>
        </w:rPr>
        <w:t>meriliikennealan</w:t>
      </w:r>
      <w:r w:rsidRPr="00DF107B">
        <w:rPr>
          <w:b/>
          <w:i/>
          <w:szCs w:val="24"/>
          <w:lang w:eastAsia="en-US"/>
        </w:rPr>
        <w:t xml:space="preserve"> ja satama-alueiden</w:t>
      </w:r>
      <w:r w:rsidRPr="00DF107B">
        <w:rPr>
          <w:szCs w:val="24"/>
          <w:lang w:eastAsia="en-US"/>
        </w:rPr>
        <w:t xml:space="preserve"> hiilestä irtautumisen edistymistä, viraston olisi raportoitava komissiolle</w:t>
      </w:r>
      <w:r w:rsidRPr="00DF107B">
        <w:rPr>
          <w:b/>
          <w:i/>
          <w:szCs w:val="24"/>
          <w:lang w:eastAsia="en-US"/>
        </w:rPr>
        <w:t xml:space="preserve"> ja parlamentille</w:t>
      </w:r>
      <w:r w:rsidRPr="00DF107B">
        <w:rPr>
          <w:szCs w:val="24"/>
          <w:lang w:eastAsia="en-US"/>
        </w:rPr>
        <w:t xml:space="preserve"> kasvihuonekaasujen vähentämistoimista ja mahdollisista suosituksista joka kolmas vuosi.</w:t>
      </w:r>
      <w:r w:rsidRPr="00DF107B">
        <w:rPr>
          <w:b/>
          <w:i/>
          <w:szCs w:val="24"/>
          <w:lang w:eastAsia="en-US"/>
        </w:rPr>
        <w:t xml:space="preserve"> Viraston olisi myös raportoitava kaikista hallinnollisista ja käytännön </w:t>
      </w:r>
      <w:r w:rsidRPr="00DF107B">
        <w:rPr>
          <w:b/>
          <w:i/>
          <w:szCs w:val="24"/>
          <w:lang w:eastAsia="en-US"/>
        </w:rPr>
        <w:lastRenderedPageBreak/>
        <w:t xml:space="preserve">vaikeuksista, joita jäsenvaltiot kohtaavat asiaan liittyvien säädösten täytäntöönpanossa. </w:t>
      </w:r>
      <w:r w:rsidRPr="00DF107B">
        <w:rPr>
          <w:b/>
          <w:szCs w:val="24"/>
          <w:lang w:eastAsia="en-US"/>
        </w:rPr>
        <w:t>[Tark. 11]</w:t>
      </w:r>
    </w:p>
    <w:p w14:paraId="59B1F520" w14:textId="77777777" w:rsidR="006E08CC" w:rsidRPr="00DF107B" w:rsidRDefault="006E08CC">
      <w:pPr>
        <w:widowControl/>
        <w:rPr>
          <w:szCs w:val="24"/>
          <w:lang w:eastAsia="en-US"/>
        </w:rPr>
      </w:pPr>
      <w:r w:rsidRPr="00DF107B">
        <w:rPr>
          <w:szCs w:val="24"/>
          <w:lang w:eastAsia="en-US"/>
        </w:rPr>
        <w:br w:type="page"/>
      </w:r>
    </w:p>
    <w:p w14:paraId="1B15C1D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(18)</w:t>
      </w:r>
      <w:r w:rsidRPr="00DF107B">
        <w:rPr>
          <w:szCs w:val="24"/>
          <w:lang w:eastAsia="en-US"/>
        </w:rPr>
        <w:tab/>
        <w:t>Merellisen turvallisuuden alalla viraston olisi edelleen annettava komissiolle teknistä apua, kun se suorittaa tarkastuksia alusten ja satamarakenteiden turvatoimien parantamisesta annetun Euroopan parlamentin ja neuvoston asetuksen (EY) N:o 725/2004</w:t>
      </w:r>
      <w:r w:rsidRPr="00DF107B">
        <w:rPr>
          <w:szCs w:val="24"/>
          <w:vertAlign w:val="superscript"/>
          <w:lang w:val="en-GB" w:eastAsia="en-US"/>
        </w:rPr>
        <w:footnoteReference w:id="16"/>
      </w:r>
      <w:r w:rsidRPr="00DF107B">
        <w:rPr>
          <w:szCs w:val="24"/>
          <w:lang w:eastAsia="en-US"/>
        </w:rPr>
        <w:t xml:space="preserve"> puitteissa. Koska kyberhäiriöiden määrä merenkulkualalla on kasvanut merkittävästi viime vuosina, viraston olisi tuettava unionin pyrkimyksiä </w:t>
      </w:r>
      <w:r w:rsidRPr="00DF107B">
        <w:rPr>
          <w:b/>
          <w:i/>
          <w:szCs w:val="24"/>
          <w:lang w:eastAsia="en-US"/>
        </w:rPr>
        <w:t xml:space="preserve">estää kyberhäiriöitä ja </w:t>
      </w:r>
      <w:r w:rsidRPr="00DF107B">
        <w:rPr>
          <w:szCs w:val="24"/>
          <w:lang w:eastAsia="en-US"/>
        </w:rPr>
        <w:t>parantaa merenkulkualan sietokykyä kyberhäiriöitä vastaan</w:t>
      </w:r>
      <w:r w:rsidRPr="00DF107B">
        <w:rPr>
          <w:b/>
          <w:i/>
          <w:szCs w:val="24"/>
          <w:lang w:eastAsia="en-US"/>
        </w:rPr>
        <w:t xml:space="preserve"> laatimalla suuntaviivoja sekä</w:t>
      </w:r>
      <w:r w:rsidRPr="00DF107B">
        <w:rPr>
          <w:szCs w:val="24"/>
          <w:lang w:eastAsia="en-US"/>
        </w:rPr>
        <w:t xml:space="preserve"> helpottamalla kyberhäiriöitä koskevien parhaiden käytäntöjen ja tietojen vaihtoa jäsenvaltioiden välillä.</w:t>
      </w:r>
      <w:r w:rsidRPr="00DF107B">
        <w:rPr>
          <w:b/>
          <w:i/>
          <w:szCs w:val="24"/>
          <w:lang w:eastAsia="en-US"/>
        </w:rPr>
        <w:t xml:space="preserve"> </w:t>
      </w:r>
      <w:r w:rsidRPr="00DF107B">
        <w:rPr>
          <w:b/>
          <w:szCs w:val="24"/>
          <w:lang w:eastAsia="en-US"/>
        </w:rPr>
        <w:t>[Tark. 12]</w:t>
      </w:r>
    </w:p>
    <w:p w14:paraId="2CB925B3" w14:textId="77777777" w:rsidR="006E08CC" w:rsidRPr="00DF107B" w:rsidRDefault="006E08CC">
      <w:pPr>
        <w:widowControl/>
        <w:rPr>
          <w:szCs w:val="24"/>
          <w:lang w:eastAsia="en-US"/>
        </w:rPr>
      </w:pPr>
      <w:r w:rsidRPr="00DF107B">
        <w:rPr>
          <w:szCs w:val="24"/>
          <w:lang w:eastAsia="en-US"/>
        </w:rPr>
        <w:br w:type="page"/>
      </w:r>
    </w:p>
    <w:p w14:paraId="55E8156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(19)</w:t>
      </w:r>
      <w:r w:rsidRPr="00DF107B">
        <w:rPr>
          <w:szCs w:val="24"/>
          <w:lang w:eastAsia="en-US"/>
        </w:rPr>
        <w:tab/>
        <w:t>Viraston olisi edelleen pidettävä yllä Euroopan parlamentin ja neuvoston direktiivillä 2002/59/EY</w:t>
      </w:r>
      <w:r w:rsidRPr="00DF107B">
        <w:rPr>
          <w:szCs w:val="24"/>
          <w:vertAlign w:val="superscript"/>
          <w:lang w:val="en-GB" w:eastAsia="en-US"/>
        </w:rPr>
        <w:footnoteReference w:id="17"/>
      </w:r>
      <w:r w:rsidRPr="00DF107B">
        <w:rPr>
          <w:szCs w:val="24"/>
          <w:lang w:eastAsia="en-US"/>
        </w:rPr>
        <w:t xml:space="preserve"> perustettua alusten seuranta- ja tietojärjestelmää sekä muita järjestelmiä, jotka tukevat meritietoisuuskuvan luomista. Tässä suhteessa virastolla olisi edelleen oltava keskeinen rooli </w:t>
      </w:r>
      <w:proofErr w:type="spellStart"/>
      <w:r w:rsidRPr="00DF107B">
        <w:rPr>
          <w:szCs w:val="24"/>
          <w:lang w:eastAsia="en-US"/>
        </w:rPr>
        <w:t>Copernicus</w:t>
      </w:r>
      <w:proofErr w:type="spellEnd"/>
      <w:r w:rsidRPr="00DF107B">
        <w:rPr>
          <w:szCs w:val="24"/>
          <w:lang w:eastAsia="en-US"/>
        </w:rPr>
        <w:t xml:space="preserve">-ohjelman merellisen turvallisuuden osion hallinnoinnissa, ja sen olisi edelleen hyödynnettävä saatavilla olevaa huipputeknologiaa, kuten kauko-ohjattuja ilma-alusjärjestelmiä, jotka tarjoavat jäsenvaltioille ja unionin elimille hyödyllisen valvonta- ja seurantavälineen. Näiden palvelujen lisäksi virasto on osoittanut strategisen roolinsa merellisen tilannetietoisuuden tarjoamisessa antamalla tukea erilaisissa kriiseissä, kuten </w:t>
      </w:r>
      <w:proofErr w:type="spellStart"/>
      <w:r w:rsidRPr="00DF107B">
        <w:rPr>
          <w:szCs w:val="24"/>
          <w:lang w:eastAsia="en-US"/>
        </w:rPr>
        <w:t>covid</w:t>
      </w:r>
      <w:proofErr w:type="spellEnd"/>
      <w:r w:rsidRPr="00DF107B">
        <w:rPr>
          <w:szCs w:val="24"/>
          <w:lang w:eastAsia="en-US"/>
        </w:rPr>
        <w:t xml:space="preserve">-19-pandemian ja Venäjän Ukrainaa vastaan aloittaman hyökkäyssodan aikana. Tämän vuoksi virastolla olisi oltava keskus, joka on avoinna 24 tuntia vuorokaudessa seitsemänä päivänä viikossa ja jonka olisi avustettava komissiota ja jäsenvaltioita </w:t>
      </w:r>
      <w:proofErr w:type="spellStart"/>
      <w:r w:rsidRPr="00DF107B">
        <w:rPr>
          <w:strike/>
          <w:szCs w:val="24"/>
          <w:lang w:eastAsia="en-US"/>
        </w:rPr>
        <w:t>tällaisissa</w:t>
      </w:r>
      <w:r w:rsidRPr="00DF107B">
        <w:rPr>
          <w:b/>
          <w:i/>
          <w:szCs w:val="24"/>
          <w:lang w:eastAsia="en-US"/>
        </w:rPr>
        <w:t>ja</w:t>
      </w:r>
      <w:proofErr w:type="spellEnd"/>
      <w:r w:rsidRPr="00DF107B">
        <w:rPr>
          <w:b/>
          <w:i/>
          <w:szCs w:val="24"/>
          <w:lang w:eastAsia="en-US"/>
        </w:rPr>
        <w:t xml:space="preserve"> annettava tietoa mahdollisissa ja käynnissä olevissa</w:t>
      </w:r>
      <w:r w:rsidRPr="00DF107B">
        <w:rPr>
          <w:szCs w:val="24"/>
          <w:lang w:eastAsia="en-US"/>
        </w:rPr>
        <w:t xml:space="preserve"> hätätilanteissa.</w:t>
      </w:r>
      <w:r w:rsidRPr="00DF107B">
        <w:rPr>
          <w:b/>
          <w:i/>
          <w:szCs w:val="24"/>
          <w:lang w:eastAsia="en-US"/>
        </w:rPr>
        <w:t xml:space="preserve"> Tukeakseen unionin ja sen jäsenvaltioiden vahvaa ja yhtenäistä vastausta Venäjän Ukrainaa vastaan käymään hyökkäyssotaan viraston olisi muun muassa seurattava epäilyttävää toimintaa kaasuputkien lähistöllä ja havaittava tapaukset, joissa pakotteita kierretään merellä. </w:t>
      </w:r>
      <w:r w:rsidRPr="00DF107B">
        <w:rPr>
          <w:b/>
          <w:szCs w:val="24"/>
          <w:lang w:eastAsia="en-US"/>
        </w:rPr>
        <w:t>[Tark. 13]</w:t>
      </w:r>
    </w:p>
    <w:p w14:paraId="4389CDEF" w14:textId="77777777" w:rsidR="006E08CC" w:rsidRPr="00DF107B" w:rsidRDefault="006E08CC">
      <w:pPr>
        <w:widowControl/>
        <w:rPr>
          <w:szCs w:val="24"/>
          <w:lang w:eastAsia="en-US"/>
        </w:rPr>
      </w:pPr>
      <w:r w:rsidRPr="00DF107B">
        <w:rPr>
          <w:szCs w:val="24"/>
          <w:lang w:eastAsia="en-US"/>
        </w:rPr>
        <w:br w:type="page"/>
      </w:r>
    </w:p>
    <w:p w14:paraId="18AE288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(20)</w:t>
      </w:r>
      <w:r w:rsidRPr="00DF107B">
        <w:rPr>
          <w:szCs w:val="24"/>
          <w:lang w:eastAsia="en-US"/>
        </w:rPr>
        <w:tab/>
        <w:t>Tietojen digitalisointi on olennainen osa tietojen keräämistä ja ilmoittamista koskevaa teknistä kehitystä, jolla tavoitellaan kustannussäästöjä</w:t>
      </w:r>
      <w:r w:rsidRPr="00DF107B">
        <w:rPr>
          <w:b/>
          <w:i/>
          <w:szCs w:val="24"/>
          <w:lang w:eastAsia="en-US"/>
        </w:rPr>
        <w:t>, hallinnollisen rasitteen vähentämistä</w:t>
      </w:r>
      <w:r w:rsidRPr="00DF107B">
        <w:rPr>
          <w:szCs w:val="24"/>
          <w:lang w:eastAsia="en-US"/>
        </w:rPr>
        <w:t xml:space="preserve"> ja henkilöresurssien tehokasta hyödyntämistä. Merten autonomisten pinta-alusten (</w:t>
      </w:r>
      <w:proofErr w:type="spellStart"/>
      <w:r w:rsidRPr="00DF107B">
        <w:rPr>
          <w:szCs w:val="24"/>
          <w:lang w:eastAsia="en-US"/>
        </w:rPr>
        <w:t>Maritime</w:t>
      </w:r>
      <w:proofErr w:type="spellEnd"/>
      <w:r w:rsidRPr="00DF107B">
        <w:rPr>
          <w:szCs w:val="24"/>
          <w:lang w:eastAsia="en-US"/>
        </w:rPr>
        <w:t xml:space="preserve"> </w:t>
      </w:r>
      <w:proofErr w:type="spellStart"/>
      <w:r w:rsidRPr="00DF107B">
        <w:rPr>
          <w:szCs w:val="24"/>
          <w:lang w:eastAsia="en-US"/>
        </w:rPr>
        <w:t>Autonomous</w:t>
      </w:r>
      <w:proofErr w:type="spellEnd"/>
      <w:r w:rsidRPr="00DF107B">
        <w:rPr>
          <w:szCs w:val="24"/>
          <w:lang w:eastAsia="en-US"/>
        </w:rPr>
        <w:t xml:space="preserve"> Surface </w:t>
      </w:r>
      <w:proofErr w:type="spellStart"/>
      <w:r w:rsidRPr="00DF107B">
        <w:rPr>
          <w:szCs w:val="24"/>
          <w:lang w:eastAsia="en-US"/>
        </w:rPr>
        <w:t>Ships</w:t>
      </w:r>
      <w:proofErr w:type="spellEnd"/>
      <w:r w:rsidRPr="00DF107B">
        <w:rPr>
          <w:szCs w:val="24"/>
          <w:lang w:eastAsia="en-US"/>
        </w:rPr>
        <w:t xml:space="preserve">, </w:t>
      </w:r>
      <w:proofErr w:type="spellStart"/>
      <w:r w:rsidRPr="00DF107B">
        <w:rPr>
          <w:szCs w:val="24"/>
          <w:lang w:eastAsia="en-US"/>
        </w:rPr>
        <w:t>MASS</w:t>
      </w:r>
      <w:proofErr w:type="spellEnd"/>
      <w:r w:rsidRPr="00DF107B">
        <w:rPr>
          <w:szCs w:val="24"/>
          <w:lang w:eastAsia="en-US"/>
        </w:rPr>
        <w:t xml:space="preserve">) käyttöönotto ja käyttö sekä digitaalinen ja teknologinen kehitys tarjoavat monenlaisia uusia mahdollisuuksia tietojen keräämiseen ja integroitujen järjestelmien hallinnointiin. Tämä luo mahdollisuuksia useiden prosessien mahdolliseen digitalisointiin, automatisointiin ja standardointiin, mikä helpottaisi merioperaatioiden (myös valvontamekanismien) turvallisuuden, turvatoimien, kestävyyden ja tehokkuuden parantamista unionin tasolla ja vähentäisi samalla jäsenvaltioille aiheutuvaa hallinnollista rasitetta. Tältä osin viraston olisi muun muassa helpotettava ja edistettävä sähköisten todistusten käyttöä, teknisten tietojen keräämistä, tallentamista ja arviointia, nykyisten tietokantojen järjestelmällistä hyödyntämistä, mukaan luettuna niiden keskinäinen tietojenvaihto innovatiivisten tietoteknisten ja tekoälyvälineiden avulla, ja tarvittaessa uusien </w:t>
      </w:r>
      <w:proofErr w:type="spellStart"/>
      <w:r w:rsidRPr="00DF107B">
        <w:rPr>
          <w:szCs w:val="24"/>
          <w:lang w:eastAsia="en-US"/>
        </w:rPr>
        <w:t>yhteentoimivien</w:t>
      </w:r>
      <w:proofErr w:type="spellEnd"/>
      <w:r w:rsidRPr="00DF107B">
        <w:rPr>
          <w:szCs w:val="24"/>
          <w:lang w:eastAsia="en-US"/>
        </w:rPr>
        <w:t xml:space="preserve"> tietokantojen kehittämistä.</w:t>
      </w:r>
      <w:r w:rsidRPr="00DF107B">
        <w:rPr>
          <w:b/>
          <w:i/>
          <w:szCs w:val="24"/>
          <w:lang w:eastAsia="en-US"/>
        </w:rPr>
        <w:t xml:space="preserve"> </w:t>
      </w:r>
      <w:r w:rsidRPr="00DF107B">
        <w:rPr>
          <w:b/>
          <w:szCs w:val="24"/>
          <w:lang w:eastAsia="en-US"/>
        </w:rPr>
        <w:t>[Tark. 14]</w:t>
      </w:r>
    </w:p>
    <w:p w14:paraId="6C55DA05" w14:textId="77777777" w:rsidR="006E08CC" w:rsidRPr="00DF107B" w:rsidRDefault="006E08CC">
      <w:pPr>
        <w:widowControl/>
        <w:rPr>
          <w:szCs w:val="24"/>
          <w:lang w:eastAsia="en-US"/>
        </w:rPr>
      </w:pPr>
      <w:r w:rsidRPr="00DF107B">
        <w:rPr>
          <w:szCs w:val="24"/>
          <w:lang w:eastAsia="en-US"/>
        </w:rPr>
        <w:br w:type="page"/>
      </w:r>
    </w:p>
    <w:p w14:paraId="3499F23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(21)</w:t>
      </w:r>
      <w:r w:rsidRPr="00DF107B">
        <w:rPr>
          <w:szCs w:val="24"/>
          <w:lang w:eastAsia="en-US"/>
        </w:rPr>
        <w:tab/>
        <w:t>Jotta virasto voisi asianmukaisesti suorittaa sille annetut tehtävät, on aiheellista, että sen virkamiesten olisi suoritettava tarkastuskäyntejä jäsenvaltioissa seuratakseen meriturvallisuuteen ja ympäristön pilaantumisen ehkäisyyn liittyvän unionin järjestelmän yleistä toimintaa. Viraston olisi myös suoritettava tarkastuskäyntejä komission avustamiseksi unionin oikeuden tehokkaan täytäntöönpanon arvioinnissa.</w:t>
      </w:r>
    </w:p>
    <w:p w14:paraId="10EF1B4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(22)</w:t>
      </w:r>
      <w:r w:rsidRPr="00DF107B">
        <w:rPr>
          <w:szCs w:val="24"/>
          <w:lang w:eastAsia="en-US"/>
        </w:rPr>
        <w:tab/>
        <w:t>Komissio ja jäsenvaltiot saattavat tarvita teknistä apua ja asiantuntemusta IMO:n, Kansainvälisen työjärjestön (ILO) ja Pariisissa 26 päivänä tammikuuta 1982 allekirjoitetun satamavaltioiden harjoittamaa tarkastustoimintaa koskevan yhteisymmärryspöytäkirjan, jäljempänä ’Pariisin yhteisymmärryspöytäkirja’, puitteissa</w:t>
      </w:r>
      <w:r w:rsidRPr="00DF107B">
        <w:rPr>
          <w:b/>
          <w:i/>
          <w:szCs w:val="24"/>
          <w:lang w:eastAsia="en-US"/>
        </w:rPr>
        <w:t xml:space="preserve">. </w:t>
      </w:r>
      <w:proofErr w:type="spellStart"/>
      <w:r w:rsidRPr="00DF107B">
        <w:rPr>
          <w:b/>
          <w:i/>
          <w:szCs w:val="24"/>
          <w:lang w:eastAsia="en-US"/>
        </w:rPr>
        <w:t>EMSAn</w:t>
      </w:r>
      <w:proofErr w:type="spellEnd"/>
      <w:r w:rsidRPr="00DF107B">
        <w:rPr>
          <w:b/>
          <w:i/>
          <w:szCs w:val="24"/>
          <w:lang w:eastAsia="en-US"/>
        </w:rPr>
        <w:t xml:space="preserve"> roolia olisi siksi vahvistettava erityisesti IMO:ssa, jossa </w:t>
      </w:r>
      <w:proofErr w:type="spellStart"/>
      <w:r w:rsidRPr="00DF107B">
        <w:rPr>
          <w:b/>
          <w:i/>
          <w:szCs w:val="24"/>
          <w:lang w:eastAsia="en-US"/>
        </w:rPr>
        <w:t>EMSAn</w:t>
      </w:r>
      <w:proofErr w:type="spellEnd"/>
      <w:r w:rsidRPr="00DF107B">
        <w:rPr>
          <w:b/>
          <w:i/>
          <w:szCs w:val="24"/>
          <w:lang w:eastAsia="en-US"/>
        </w:rPr>
        <w:t xml:space="preserve"> olisi osallistuttava keskusteluihin ja oltava niissä läsnä</w:t>
      </w:r>
      <w:r w:rsidRPr="00DF107B">
        <w:rPr>
          <w:szCs w:val="24"/>
          <w:lang w:eastAsia="en-US"/>
        </w:rPr>
        <w:t>. Komissio voi myös tarvita viraston teknistä apua kolmansien maiden tukemisessa merialalla, erityisesti valmiuksien kehittämisessä sekä ympäristön pilaantumisen ehkäisemisessä ja torjunnassa. Viraston hallintoneuvoston tehtäväksi olisi osana yhtenäistä ohjelma-asiakirjaa annettava viraston kansainvälisiä suhteita koskevan strategian hyväksyminen sen toimivaltaan kuuluvissa asioissa.</w:t>
      </w:r>
      <w:r w:rsidRPr="00DF107B">
        <w:rPr>
          <w:b/>
          <w:i/>
          <w:szCs w:val="24"/>
          <w:lang w:eastAsia="en-US"/>
        </w:rPr>
        <w:t xml:space="preserve"> </w:t>
      </w:r>
      <w:r w:rsidRPr="00DF107B">
        <w:rPr>
          <w:b/>
          <w:szCs w:val="24"/>
          <w:lang w:eastAsia="en-US"/>
        </w:rPr>
        <w:t>[Tark. 15]</w:t>
      </w:r>
    </w:p>
    <w:p w14:paraId="3FF54137" w14:textId="77777777" w:rsidR="006E08CC" w:rsidRPr="00DF107B" w:rsidRDefault="006E08CC">
      <w:pPr>
        <w:widowControl/>
        <w:rPr>
          <w:szCs w:val="24"/>
          <w:lang w:eastAsia="en-US"/>
        </w:rPr>
      </w:pPr>
      <w:r w:rsidRPr="00DF107B">
        <w:rPr>
          <w:szCs w:val="24"/>
          <w:lang w:eastAsia="en-US"/>
        </w:rPr>
        <w:br w:type="page"/>
      </w:r>
    </w:p>
    <w:p w14:paraId="3ED3A21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(23)</w:t>
      </w:r>
      <w:r w:rsidRPr="00DF107B">
        <w:rPr>
          <w:szCs w:val="24"/>
          <w:lang w:eastAsia="en-US"/>
        </w:rPr>
        <w:tab/>
        <w:t>Rannikkovartiostotoimintoja toteuttavat kansalliset viranomaiset ovat vastuussa monenlaisista tehtävistä, joihin voivat sisältyä meriturvallisuus, merellinen turvallisuus, meripelastus, rajavalvonta merellä, kalastuksen valvonta, tullivalvonta ja yleinen lainvalvonta merellä sekä meriympäristön suojelu. Viraston, Euroopan parlamentin ja neuvoston asetuksella (EU) 2019/1896</w:t>
      </w:r>
      <w:r w:rsidRPr="00DF107B">
        <w:rPr>
          <w:szCs w:val="24"/>
          <w:vertAlign w:val="superscript"/>
          <w:lang w:val="en-GB" w:eastAsia="en-US"/>
        </w:rPr>
        <w:footnoteReference w:id="18"/>
      </w:r>
      <w:r w:rsidRPr="00DF107B">
        <w:rPr>
          <w:szCs w:val="24"/>
          <w:lang w:eastAsia="en-US"/>
        </w:rPr>
        <w:t xml:space="preserve"> perustetun Euroopan raja- ja merivartioviraston ja Euroopan parlamentin ja neuvoston asetuksella (EU) 2019/473</w:t>
      </w:r>
      <w:r w:rsidRPr="00DF107B">
        <w:rPr>
          <w:szCs w:val="24"/>
          <w:vertAlign w:val="superscript"/>
          <w:lang w:val="en-GB" w:eastAsia="en-US"/>
        </w:rPr>
        <w:footnoteReference w:id="19"/>
      </w:r>
      <w:r w:rsidR="006E08CC" w:rsidRPr="00DF107B">
        <w:rPr>
          <w:szCs w:val="24"/>
          <w:lang w:eastAsia="en-US"/>
        </w:rPr>
        <w:t xml:space="preserve"> </w:t>
      </w:r>
      <w:r w:rsidRPr="00DF107B">
        <w:rPr>
          <w:szCs w:val="24"/>
          <w:lang w:eastAsia="en-US"/>
        </w:rPr>
        <w:t>perustetun Euroopan kalastuksenvalvontaviraston olisi sen vuoksi toimeksiantonsa puitteissa lujitettava yhteistyötään sekä toistensa että rannikkovartiostotoimintoja toteuttavien kansallisten viranomaisten kanssa, jotta voidaan parantaa merellistä tilannetietoisuutta sekä tukea johdonmukaisia ja kustannustehokkaita toimia</w:t>
      </w:r>
      <w:r w:rsidRPr="00DF107B">
        <w:rPr>
          <w:b/>
          <w:i/>
          <w:szCs w:val="24"/>
          <w:lang w:eastAsia="en-US"/>
        </w:rPr>
        <w:t xml:space="preserve"> tarjoamalla palveluja, tietoa, tekniikkaa, varusteita ja koulutusta sekä koordinoimalla monialaisia operaatioita, keräämällä tietoa tieteellistä tutkimusta varten, valvomalla Euroopan vesiä ja toteuttamalla yhteistyöohjelmia kolmansien maiden kanssa</w:t>
      </w:r>
      <w:r w:rsidRPr="00DF107B">
        <w:rPr>
          <w:szCs w:val="24"/>
          <w:lang w:eastAsia="en-US"/>
        </w:rPr>
        <w:t>.</w:t>
      </w:r>
      <w:r w:rsidRPr="00DF107B">
        <w:rPr>
          <w:b/>
          <w:i/>
          <w:szCs w:val="24"/>
          <w:lang w:eastAsia="en-US"/>
        </w:rPr>
        <w:t xml:space="preserve"> </w:t>
      </w:r>
      <w:r w:rsidRPr="00DF107B">
        <w:rPr>
          <w:b/>
          <w:szCs w:val="24"/>
          <w:lang w:eastAsia="en-US"/>
        </w:rPr>
        <w:t>[Tark. 16]</w:t>
      </w:r>
    </w:p>
    <w:p w14:paraId="57FE0E4B" w14:textId="77777777" w:rsidR="006E08CC" w:rsidRPr="00DF107B" w:rsidRDefault="006E08CC">
      <w:pPr>
        <w:widowControl/>
        <w:rPr>
          <w:szCs w:val="24"/>
          <w:lang w:eastAsia="en-US"/>
        </w:rPr>
      </w:pPr>
      <w:r w:rsidRPr="00DF107B">
        <w:rPr>
          <w:szCs w:val="24"/>
          <w:lang w:eastAsia="en-US"/>
        </w:rPr>
        <w:br w:type="page"/>
      </w:r>
    </w:p>
    <w:p w14:paraId="4877271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(24)</w:t>
      </w:r>
      <w:r w:rsidRPr="00DF107B">
        <w:rPr>
          <w:szCs w:val="24"/>
          <w:lang w:eastAsia="en-US"/>
        </w:rPr>
        <w:tab/>
        <w:t>Tämän asetuksen täytäntöönpano ei saisi vaikuttaa toimivallan jakoon unionin ja jäsenvaltioiden välillä tai jäsenvaltioiden velvoitteisiin kansainvälisten yleissopimusten kuten Yhdistyneiden kansakuntien merioikeusyleissopimuksen, ihmishengen turvallisuudesta merellä tehdyn kansainvälisen yleissopimuksen, etsintä- ja pelastuspalvelusta merellä tehdyn kansainvälisen yleissopimuksen, aluksista aiheutuvan meren pilaantumisen ehkäisemisestä tehdyn kansainvälisen yleissopimuksen, kansainvälisen merenkulkijoiden koulutusta, pätevyyskirjoja ja vahdinpitoa koskevan yleissopimuksen ja muiden asiaankuuluvien kansainvälisten merenkulkualan instrumenttien nojalla.</w:t>
      </w:r>
    </w:p>
    <w:p w14:paraId="1E238103" w14:textId="77777777" w:rsidR="006E08CC" w:rsidRPr="00DF107B" w:rsidRDefault="006E08CC">
      <w:pPr>
        <w:widowControl/>
        <w:rPr>
          <w:szCs w:val="24"/>
          <w:lang w:eastAsia="en-US"/>
        </w:rPr>
      </w:pPr>
      <w:r w:rsidRPr="00DF107B">
        <w:rPr>
          <w:szCs w:val="24"/>
          <w:lang w:eastAsia="en-US"/>
        </w:rPr>
        <w:br w:type="page"/>
      </w:r>
    </w:p>
    <w:p w14:paraId="531919E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(25)</w:t>
      </w:r>
      <w:r w:rsidRPr="00DF107B">
        <w:rPr>
          <w:szCs w:val="24"/>
          <w:lang w:eastAsia="en-US"/>
        </w:rPr>
        <w:tab/>
        <w:t>Viraston päätöksentekomenettelyn virtaviivaistamiseksi sekä tehokkuuden ja vaikuttavuuden lisäämiseksi olisi otettava käyttöön kaksitasoinen hallintorakenne. Tätä varten jäsenvaltioiden ja komission olisi oltava edustettuina hallintoneuvostossa, jolla on tarvittava toimivalta, mukaan lukien valtuudet vahvistaa talousarvio ja hyväksyä ohjelma-asiakirja</w:t>
      </w:r>
      <w:r w:rsidRPr="00DF107B">
        <w:rPr>
          <w:b/>
          <w:i/>
          <w:szCs w:val="24"/>
          <w:lang w:eastAsia="en-US"/>
        </w:rPr>
        <w:t>. Myös Euroopan parlamentin olisi oltava edustettuna tarkkailijana</w:t>
      </w:r>
      <w:r w:rsidRPr="00DF107B">
        <w:rPr>
          <w:szCs w:val="24"/>
          <w:lang w:eastAsia="en-US"/>
        </w:rPr>
        <w:t>. Hallintoneuvoston olisi annettava yleisiä suuntaviivoja viraston toimia varten ja seurattava tiiviimmin viraston toimia hallinnollisten ja talousarvioon liittyvien kysymysten valvonnan tehostamiseksi. Olisi perustettava pienempi johtokunta, jonka tehtävänä on hallintoneuvoston kokousten valmisteleminen asianmukaisella tavalla ja sen päätöksentekomenettelyn tukeminen. Johtokunnan valtuudet olisi määriteltävä hallintoneuvoston hyväksymässä toimeksiannossa, ja niihin olisi tarvittaessa sisällyttävä lausuntoja ja väliaikaisia päätöksiä, jotka hallintoneuvosto lopullisesti vahvistaa. Viraston johdossa olisi oltava pääjohtaja.</w:t>
      </w:r>
      <w:r w:rsidRPr="00DF107B">
        <w:rPr>
          <w:b/>
          <w:i/>
          <w:szCs w:val="24"/>
          <w:lang w:eastAsia="en-US"/>
        </w:rPr>
        <w:t xml:space="preserve"> </w:t>
      </w:r>
      <w:r w:rsidRPr="00DF107B">
        <w:rPr>
          <w:b/>
          <w:szCs w:val="24"/>
          <w:lang w:eastAsia="en-US"/>
        </w:rPr>
        <w:t>[Tark. 17]</w:t>
      </w:r>
    </w:p>
    <w:p w14:paraId="05033CD0" w14:textId="77777777" w:rsidR="006E08CC" w:rsidRPr="00DF107B" w:rsidRDefault="006E08CC">
      <w:pPr>
        <w:widowControl/>
        <w:rPr>
          <w:szCs w:val="24"/>
          <w:lang w:eastAsia="en-US"/>
        </w:rPr>
      </w:pPr>
      <w:r w:rsidRPr="00DF107B">
        <w:rPr>
          <w:szCs w:val="24"/>
          <w:lang w:eastAsia="en-US"/>
        </w:rPr>
        <w:br w:type="page"/>
      </w:r>
    </w:p>
    <w:p w14:paraId="6840AA23"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(26)</w:t>
      </w:r>
      <w:r w:rsidRPr="00DF107B">
        <w:rPr>
          <w:szCs w:val="24"/>
          <w:lang w:eastAsia="en-US"/>
        </w:rPr>
        <w:tab/>
        <w:t>Jotta voidaan taata hallintoneuvoston päätösten avoimuus, asianomaisten alojen edustajien olisi oltava läsnä sen kokouksissa mutta ilman äänioikeutta. Komission olisi nimitettävä eri sidosryhmien edustajat käyttäen perusteena niiden edustavuutta unionin tasolla.</w:t>
      </w:r>
    </w:p>
    <w:p w14:paraId="13CBF1D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(27)</w:t>
      </w:r>
      <w:r w:rsidRPr="00DF107B">
        <w:rPr>
          <w:szCs w:val="24"/>
          <w:lang w:eastAsia="en-US"/>
        </w:rPr>
        <w:tab/>
        <w:t>Jotta virasto voisi asianmukaisesti hoitaa sille osoitetut tehtävät, sillä olisi oltava oikeushenkilön asema ja oma talousarvio, joka rahoitetaan pääasiassa unionin rahoitusosuuden sekä kolmansien maiden ja muiden tahojen suorittamien</w:t>
      </w:r>
      <w:r w:rsidRPr="00DF107B">
        <w:rPr>
          <w:b/>
          <w:i/>
          <w:szCs w:val="24"/>
          <w:lang w:eastAsia="en-US"/>
        </w:rPr>
        <w:t xml:space="preserve"> oikeasuhteisten</w:t>
      </w:r>
      <w:r w:rsidRPr="00DF107B">
        <w:rPr>
          <w:szCs w:val="24"/>
          <w:lang w:eastAsia="en-US"/>
        </w:rPr>
        <w:t xml:space="preserve"> maksujen ja palkkioiden avulla. Viraston riippumattomuutta ja puolueettomuutta ei saisi vaarantaa jäsenvaltioista, kolmansista maista tai muilta yhteisöiltä saatavilla rahoitusosuuksilla. Jotta voitaisiin varmistaa viraston riippumattomuus päivittäisessä johtamisessa ja sen antamissa lausunnoissa, suosituksissa ja päätöksissä, viraston organisaation olisi oltava avoin ja pääjohtajalla olisi oltava täysi vastuu. Viraston henkilöstön olisi oltava riippumaton ja se olisi palkattava käyttäen sekä lyhytaikaisia että pitkäaikaisia työsopimuksia, jotta viraston organisaatiotietämys ja toiminnan jatkuvuus pystytään säilyttämään samalla kun toteutetaan välttämätöntä ja jatkuvaa asiantuntemuksen vaihtoa meriliikennealan kanssa. Viraston menoihin sisältyvät henkilöstö-, hallinto-, infrastruktuuri- ja toimintamenot. </w:t>
      </w:r>
      <w:r w:rsidRPr="00DF107B">
        <w:rPr>
          <w:b/>
          <w:szCs w:val="24"/>
          <w:lang w:eastAsia="en-US"/>
        </w:rPr>
        <w:t>[Tark. 18]</w:t>
      </w:r>
    </w:p>
    <w:p w14:paraId="120A430A" w14:textId="77777777" w:rsidR="006E08CC" w:rsidRPr="00DF107B" w:rsidRDefault="006E08CC">
      <w:pPr>
        <w:widowControl/>
        <w:rPr>
          <w:szCs w:val="24"/>
          <w:lang w:eastAsia="en-US"/>
        </w:rPr>
      </w:pPr>
      <w:r w:rsidRPr="00DF107B">
        <w:rPr>
          <w:szCs w:val="24"/>
          <w:lang w:eastAsia="en-US"/>
        </w:rPr>
        <w:br w:type="page"/>
      </w:r>
    </w:p>
    <w:p w14:paraId="2EBAA05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(28)</w:t>
      </w:r>
      <w:r w:rsidRPr="00DF107B">
        <w:rPr>
          <w:szCs w:val="24"/>
          <w:lang w:eastAsia="en-US"/>
        </w:rPr>
        <w:tab/>
        <w:t xml:space="preserve">Eturistiriitojen ehkäisemisen ja ratkaisemisen kannalta on olennaista, että virasto toimii puolueettomasti, osoittaa lahjomattomuutta ja vahvistaa korkeaa ammatillista tasoa koskevat vaatimukset. Ei saisi koskaan olla perusteltua syytä epäillä, että päätöksiin voisivat vaikuttaa edut, jotka ovat ristiriidassa viraston aseman kanssa koko unionia palvelevana elimenä, tai hallintoneuvoston jäsenen yksityiset edut tai kytkökset, jotka aiheuttaisivat tai voisivat aiheuttaa ristiriidan asianomaisen henkilön virkatehtävien asianmukaisen hoitamisen kanssa. Hallintoneuvoston olisi sen vuoksi hyväksyttävä </w:t>
      </w:r>
      <w:r w:rsidRPr="00DF107B">
        <w:rPr>
          <w:b/>
          <w:i/>
          <w:szCs w:val="24"/>
          <w:lang w:eastAsia="en-US"/>
        </w:rPr>
        <w:t xml:space="preserve">ja asetettava julkisesti saataville </w:t>
      </w:r>
      <w:r w:rsidRPr="00DF107B">
        <w:rPr>
          <w:szCs w:val="24"/>
          <w:lang w:eastAsia="en-US"/>
        </w:rPr>
        <w:t>eturistiriitoja koskevat kattavat säännöt</w:t>
      </w:r>
      <w:r w:rsidRPr="00DF107B">
        <w:rPr>
          <w:b/>
          <w:i/>
          <w:szCs w:val="24"/>
          <w:lang w:eastAsia="en-US"/>
        </w:rPr>
        <w:t xml:space="preserve"> ottaen asianmukaisesti huomioon Euroopan oikeusasiamiehen suositukset</w:t>
      </w:r>
      <w:r w:rsidRPr="00DF107B">
        <w:rPr>
          <w:szCs w:val="24"/>
          <w:lang w:eastAsia="en-US"/>
        </w:rPr>
        <w:t>.</w:t>
      </w:r>
      <w:r w:rsidRPr="00DF107B">
        <w:rPr>
          <w:b/>
          <w:i/>
          <w:szCs w:val="24"/>
          <w:lang w:eastAsia="en-US"/>
        </w:rPr>
        <w:t xml:space="preserve"> </w:t>
      </w:r>
      <w:r w:rsidRPr="00DF107B">
        <w:rPr>
          <w:b/>
          <w:szCs w:val="24"/>
          <w:lang w:eastAsia="en-US"/>
        </w:rPr>
        <w:t>[Tark. 19]</w:t>
      </w:r>
    </w:p>
    <w:p w14:paraId="48A6DF6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(29)</w:t>
      </w:r>
      <w:r w:rsidRPr="00DF107B">
        <w:rPr>
          <w:szCs w:val="24"/>
          <w:lang w:eastAsia="en-US"/>
        </w:rPr>
        <w:tab/>
        <w:t>Viraston toimintaan liittyvä laajempi strateginen näkökulma helpottaisi sen resurssien tehokkaampaa suunnittelua ja hallinnointia sekä parantaisi sen toiminnan laatua. Tämä vahvistetaan ja tätä tuetaan delegoidulla asetuksella (EU) 2019/715. Sen vuoksi hallintoneuvoston olisi asianomaisia sidosryhmiä kuultuaan vahvistettava vuotuisen ja monivuotisen työohjelman sisältävä yhtenäinen ohjelma-asiakirja ja saatettava se määräajoin ajan tasalle.</w:t>
      </w:r>
    </w:p>
    <w:p w14:paraId="44D68263" w14:textId="77777777" w:rsidR="006E08CC" w:rsidRPr="00DF107B" w:rsidRDefault="006E08CC">
      <w:pPr>
        <w:widowControl/>
        <w:rPr>
          <w:szCs w:val="24"/>
          <w:lang w:eastAsia="en-US"/>
        </w:rPr>
      </w:pPr>
      <w:r w:rsidRPr="00DF107B">
        <w:rPr>
          <w:szCs w:val="24"/>
          <w:lang w:eastAsia="en-US"/>
        </w:rPr>
        <w:br w:type="page"/>
      </w:r>
    </w:p>
    <w:p w14:paraId="7454DA5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(30)</w:t>
      </w:r>
      <w:r w:rsidRPr="00DF107B">
        <w:rPr>
          <w:szCs w:val="24"/>
          <w:lang w:eastAsia="en-US"/>
        </w:rPr>
        <w:tab/>
        <w:t>Kun virastoa pyydetään suorittamaan uusi tehtävä, jota ei nimenomaisesti mainita sen toimeksiannossa, tai tiettyjä tehtäviä, joiden osalta on tarpeen tarkastella ja analysoida sen henkilöresursseihin ja talousarvioon kohdistuvia vaikutuksia viraston toimeksiannon mukaisesti, hallintoneuvoston olisi sisällytettävä tällaiset tehtävät ohjelma-asiakirjaan vasta tällaisen analyysin jälkeen. Analyysissä olisi yksilöitävä resurssit, joita virasto tarvitsee näiden uusien tehtävien hoitamiseen, sekä se, vaikuttavatko ne kielteisesti viraston nykyisiin tehtäviin.</w:t>
      </w:r>
    </w:p>
    <w:p w14:paraId="764A302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(31)</w:t>
      </w:r>
      <w:r w:rsidRPr="00DF107B">
        <w:rPr>
          <w:szCs w:val="24"/>
          <w:lang w:eastAsia="en-US"/>
        </w:rPr>
        <w:tab/>
        <w:t>Virastolla olisi oltava riittävät resurssit tehtäviensä hoitamiseen, ja sille olisi myönnettävä oma talousarvio. Se olisi rahoitettava pääasiassa unionin yleisestä talousarviosta. Unionin rahoitusosuuteen ja muihin unionin yleisestä talousarviosta maksettaviin muihin tukiin olisi sovellettava unionin talousarviomenettelyä. Euroopan unionin tilintarkastustuomioistuimen olisi suoritettava viraston tilintarkastus.</w:t>
      </w:r>
    </w:p>
    <w:p w14:paraId="17260024" w14:textId="77777777" w:rsidR="006E08CC" w:rsidRPr="00DF107B" w:rsidRDefault="006E08CC">
      <w:pPr>
        <w:widowControl/>
        <w:rPr>
          <w:szCs w:val="24"/>
          <w:lang w:eastAsia="en-US"/>
        </w:rPr>
      </w:pPr>
      <w:r w:rsidRPr="00DF107B">
        <w:rPr>
          <w:szCs w:val="24"/>
          <w:lang w:eastAsia="en-US"/>
        </w:rPr>
        <w:br w:type="page"/>
      </w:r>
    </w:p>
    <w:p w14:paraId="27E032E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(32)</w:t>
      </w:r>
      <w:r w:rsidRPr="00DF107B">
        <w:rPr>
          <w:szCs w:val="24"/>
          <w:lang w:eastAsia="en-US"/>
        </w:rPr>
        <w:tab/>
        <w:t>Viraston rahoitusta voidaan parantaa maksuilla, ja niitä voidaan harkita sellaisten viraston toimivaltaan kuuluvien erityispalvelujen osalta, joita virasto tarjoaa kolmansille maille tai alan toimijoille. Viraston perimien maksujen olisi katettava kyseisten palvelujen tarjoamisesta aiheutuvat kustannukset.</w:t>
      </w:r>
    </w:p>
    <w:p w14:paraId="5F0EA3B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(33)</w:t>
      </w:r>
      <w:r w:rsidRPr="00DF107B">
        <w:rPr>
          <w:szCs w:val="24"/>
          <w:lang w:eastAsia="en-US"/>
        </w:rPr>
        <w:tab/>
        <w:t>Jotta voidaan varmistaa tämän asetuksen yhdenmukainen täytäntöönpano maksujen ja palkkioiden osalta, komissiolle olisi siirrettävä täytäntöönpanovaltaa</w:t>
      </w:r>
      <w:r w:rsidRPr="00DF107B">
        <w:rPr>
          <w:b/>
          <w:i/>
          <w:szCs w:val="24"/>
          <w:lang w:eastAsia="en-US"/>
        </w:rPr>
        <w:t>, joka koskee palvelujen suorittamisesta maksettavien maksujen ja palkkioiden määrittämistä</w:t>
      </w:r>
      <w:r w:rsidRPr="00DF107B">
        <w:rPr>
          <w:szCs w:val="24"/>
          <w:lang w:eastAsia="en-US"/>
        </w:rPr>
        <w:t>. Tätä valtaa olisi käytettävä Euroopan parlamentin ja neuvoston asetuksen (EU) N:o 182/2011</w:t>
      </w:r>
      <w:r w:rsidRPr="00DF107B">
        <w:rPr>
          <w:szCs w:val="24"/>
          <w:vertAlign w:val="superscript"/>
          <w:lang w:val="en-GB" w:eastAsia="en-US"/>
        </w:rPr>
        <w:footnoteReference w:id="20"/>
      </w:r>
      <w:r w:rsidRPr="00DF107B">
        <w:rPr>
          <w:szCs w:val="24"/>
          <w:lang w:eastAsia="en-US"/>
        </w:rPr>
        <w:t xml:space="preserve"> mukaisesti.</w:t>
      </w:r>
      <w:r w:rsidRPr="00DF107B">
        <w:rPr>
          <w:b/>
          <w:i/>
          <w:szCs w:val="24"/>
          <w:lang w:eastAsia="en-US"/>
        </w:rPr>
        <w:t xml:space="preserve"> </w:t>
      </w:r>
      <w:r w:rsidRPr="00DF107B">
        <w:rPr>
          <w:b/>
          <w:szCs w:val="24"/>
          <w:lang w:eastAsia="en-US"/>
        </w:rPr>
        <w:t>[Tark. 20]</w:t>
      </w:r>
    </w:p>
    <w:p w14:paraId="4FAC43E1" w14:textId="77777777" w:rsidR="006E08CC" w:rsidRPr="00DF107B" w:rsidRDefault="006E08CC">
      <w:pPr>
        <w:widowControl/>
        <w:rPr>
          <w:b/>
          <w:i/>
          <w:szCs w:val="24"/>
          <w:lang w:eastAsia="en-US"/>
        </w:rPr>
      </w:pPr>
      <w:r w:rsidRPr="00DF107B">
        <w:rPr>
          <w:b/>
          <w:i/>
          <w:szCs w:val="24"/>
          <w:lang w:eastAsia="en-US"/>
        </w:rPr>
        <w:br w:type="page"/>
      </w:r>
    </w:p>
    <w:p w14:paraId="1EB4EDC0"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lastRenderedPageBreak/>
        <w:t>(33 a)</w:t>
      </w:r>
      <w:r w:rsidRPr="00DF107B">
        <w:rPr>
          <w:szCs w:val="24"/>
          <w:lang w:eastAsia="en-US"/>
        </w:rPr>
        <w:tab/>
      </w:r>
      <w:r w:rsidRPr="00DF107B">
        <w:rPr>
          <w:b/>
          <w:i/>
          <w:szCs w:val="24"/>
          <w:lang w:eastAsia="en-US"/>
        </w:rPr>
        <w:t>Jotta voidaan määrittää näiden maksujen ja palkkioiden laskentamenetelmä, komissiolle olisi siirrettävä valta hyväksyä Euroopan unionin toiminnasta tehdyn sopimuksen 290 artiklan mukaisesti säädösvallan siirron nojalla annettavia delegoituja säädöksiä, jotka koskevat ... [sisältö ja soveltamisala].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DF107B">
        <w:rPr>
          <w:szCs w:val="24"/>
          <w:vertAlign w:val="superscript"/>
          <w:lang w:val="en-GB" w:eastAsia="en-US"/>
        </w:rPr>
        <w:footnoteReference w:id="21"/>
      </w:r>
      <w:r w:rsidRPr="00DF107B">
        <w:rPr>
          <w:b/>
          <w:i/>
          <w:szCs w:val="24"/>
          <w:lang w:eastAsia="en-US"/>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 </w:t>
      </w:r>
      <w:r w:rsidRPr="00DF107B">
        <w:rPr>
          <w:b/>
          <w:szCs w:val="24"/>
          <w:lang w:eastAsia="en-US"/>
        </w:rPr>
        <w:t>[Tark. 21]</w:t>
      </w:r>
    </w:p>
    <w:p w14:paraId="1E119E84" w14:textId="77777777" w:rsidR="006E08CC" w:rsidRPr="00DF107B" w:rsidRDefault="006E08CC">
      <w:pPr>
        <w:widowControl/>
        <w:rPr>
          <w:szCs w:val="24"/>
          <w:lang w:eastAsia="en-US"/>
        </w:rPr>
      </w:pPr>
      <w:r w:rsidRPr="00DF107B">
        <w:rPr>
          <w:szCs w:val="24"/>
          <w:lang w:eastAsia="en-US"/>
        </w:rPr>
        <w:br w:type="page"/>
      </w:r>
    </w:p>
    <w:p w14:paraId="24FAF78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(34)</w:t>
      </w:r>
      <w:r w:rsidRPr="00DF107B">
        <w:rPr>
          <w:szCs w:val="24"/>
          <w:lang w:eastAsia="en-US"/>
        </w:rPr>
        <w:tab/>
        <w:t>Kun viime vuosina on perustettu lisää erillisvirastoja, avoimuus ja unionin niille myöntämän rahoituksen hallinnoinnin valvonta on parantunut, erityisesti kun kyse on veloitettavien maksujen budjetoinnista, varainhoidon valvonnasta, vastuuvapauden myöntämisoikeudesta, eläkejärjestelmään suoritettavista maksuista ja sisäisestä talousarviomenettelystä (käytännesäännöt). Virastoon olisi vastaavasti sovellettava rajoituksetta Euroopan parlamentin ja neuvoston asetusta (EU, Euratom) N:o 883/2013</w:t>
      </w:r>
      <w:r w:rsidRPr="00DF107B">
        <w:rPr>
          <w:szCs w:val="24"/>
          <w:vertAlign w:val="superscript"/>
          <w:lang w:val="en-GB" w:eastAsia="en-US"/>
        </w:rPr>
        <w:footnoteReference w:id="22"/>
      </w:r>
      <w:r w:rsidRPr="00DF107B">
        <w:rPr>
          <w:szCs w:val="24"/>
          <w:lang w:eastAsia="en-US"/>
        </w:rPr>
        <w:t>, ja viraston olisi liityttävä Euroopan parlamentin, Euroopan unionin neuvoston ja Euroopan yhteisöjen komission välillä 25 päivänä toukokuuta 1999 tehtyyn toimielinten väliseen sopimukseen Euroopan petostentorjuntaviraston (OLAF) sisäisistä tutkimuksista</w:t>
      </w:r>
      <w:r w:rsidRPr="00DF107B">
        <w:rPr>
          <w:szCs w:val="24"/>
          <w:vertAlign w:val="superscript"/>
          <w:lang w:val="en-GB" w:eastAsia="en-US"/>
        </w:rPr>
        <w:footnoteReference w:id="23"/>
      </w:r>
      <w:r w:rsidRPr="00DF107B">
        <w:rPr>
          <w:szCs w:val="24"/>
          <w:lang w:eastAsia="en-US"/>
        </w:rPr>
        <w:t>.</w:t>
      </w:r>
    </w:p>
    <w:p w14:paraId="4AF7047B" w14:textId="2E42F472"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(34</w:t>
      </w:r>
      <w:r w:rsidR="000E6A3A" w:rsidRPr="00DF107B">
        <w:rPr>
          <w:b/>
          <w:i/>
          <w:szCs w:val="24"/>
          <w:lang w:eastAsia="en-US"/>
        </w:rPr>
        <w:t xml:space="preserve"> </w:t>
      </w:r>
      <w:r w:rsidRPr="00DF107B">
        <w:rPr>
          <w:b/>
          <w:i/>
          <w:szCs w:val="24"/>
          <w:lang w:eastAsia="en-US"/>
        </w:rPr>
        <w:t>a)</w:t>
      </w:r>
      <w:r w:rsidRPr="00DF107B">
        <w:rPr>
          <w:szCs w:val="24"/>
          <w:lang w:eastAsia="en-US"/>
        </w:rPr>
        <w:tab/>
      </w:r>
      <w:proofErr w:type="spellStart"/>
      <w:r w:rsidRPr="00DF107B">
        <w:rPr>
          <w:b/>
          <w:i/>
          <w:szCs w:val="24"/>
          <w:lang w:eastAsia="en-US"/>
        </w:rPr>
        <w:t>EMSAn</w:t>
      </w:r>
      <w:proofErr w:type="spellEnd"/>
      <w:r w:rsidRPr="00DF107B">
        <w:rPr>
          <w:b/>
          <w:i/>
          <w:szCs w:val="24"/>
          <w:lang w:eastAsia="en-US"/>
        </w:rPr>
        <w:t xml:space="preserve"> resursseihin ehdotettu lisäys on riittämätön, kun otetaan huomioon viraston tehtäviin esitettyjen lisäysten ja EU:n meripolitiikan tavoitteiden laajuus. Ehdotukseen osoitetut määrärahat olisi siten otettava monivuotisen rahoituskehyksen enimmäismäärien kohdentamattomista liikkumavaroista tai otettava käyttöön monivuotisen rahoituskehyksen muiden kuin temaattisten erityisrahoitusvälineiden kautta. Koska monivuotisen rahoituskehyksen tarkistamista koskevassa komission ehdotuksessa ei lisätty </w:t>
      </w:r>
      <w:proofErr w:type="spellStart"/>
      <w:r w:rsidRPr="00DF107B">
        <w:rPr>
          <w:b/>
          <w:i/>
          <w:szCs w:val="24"/>
          <w:lang w:eastAsia="en-US"/>
        </w:rPr>
        <w:t>EMSAn</w:t>
      </w:r>
      <w:proofErr w:type="spellEnd"/>
      <w:r w:rsidRPr="00DF107B">
        <w:rPr>
          <w:b/>
          <w:i/>
          <w:szCs w:val="24"/>
          <w:lang w:eastAsia="en-US"/>
        </w:rPr>
        <w:t xml:space="preserve"> talousarviota, </w:t>
      </w:r>
      <w:proofErr w:type="spellStart"/>
      <w:r w:rsidRPr="00DF107B">
        <w:rPr>
          <w:b/>
          <w:i/>
          <w:szCs w:val="24"/>
          <w:lang w:eastAsia="en-US"/>
        </w:rPr>
        <w:t>EMSAn</w:t>
      </w:r>
      <w:proofErr w:type="spellEnd"/>
      <w:r w:rsidRPr="00DF107B">
        <w:rPr>
          <w:b/>
          <w:i/>
          <w:szCs w:val="24"/>
          <w:lang w:eastAsia="en-US"/>
        </w:rPr>
        <w:t xml:space="preserve"> määrärahojen lisäystä ei voida kompensoida vähentämällä Verkkojen Eurooppa ‑välineen liikenneosion suunniteltuja menoja, eikä kyseinen lisäys voi johtaa minkään muunkaan unionin ohjelman rahoituksen vähenemiseen. </w:t>
      </w:r>
      <w:r w:rsidRPr="00DF107B">
        <w:rPr>
          <w:b/>
          <w:szCs w:val="24"/>
          <w:lang w:eastAsia="en-US"/>
        </w:rPr>
        <w:t>[Tark. 22]</w:t>
      </w:r>
    </w:p>
    <w:p w14:paraId="0173C7FE" w14:textId="77777777" w:rsidR="006E08CC" w:rsidRPr="00DF107B" w:rsidRDefault="006E08CC">
      <w:pPr>
        <w:widowControl/>
        <w:rPr>
          <w:szCs w:val="24"/>
          <w:lang w:eastAsia="en-US"/>
        </w:rPr>
      </w:pPr>
      <w:r w:rsidRPr="00DF107B">
        <w:rPr>
          <w:szCs w:val="24"/>
          <w:lang w:eastAsia="en-US"/>
        </w:rPr>
        <w:br w:type="page"/>
      </w:r>
    </w:p>
    <w:p w14:paraId="51CBFE9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(35)</w:t>
      </w:r>
      <w:r w:rsidRPr="00DF107B">
        <w:rPr>
          <w:szCs w:val="24"/>
          <w:lang w:eastAsia="en-US"/>
        </w:rPr>
        <w:tab/>
        <w:t>Jäsenvaltiot eivät voi riittävällä tavalla saavuttaa tämän asetuksen tavoitetta sellaisen erikoistuneen elimen perustamisesta, joka voi avustaa komissiota ja jäsenvaltioita meriturvallisuutta koskevan unionin lainsäädännön soveltamisessa ja seurannassa sekä sen tehokkuuden arvioimisessa, vaan se voidaan tehtävän yhteistyön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p w14:paraId="19F1C95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(36)</w:t>
      </w:r>
      <w:r w:rsidRPr="00DF107B">
        <w:rPr>
          <w:szCs w:val="24"/>
          <w:lang w:eastAsia="en-US"/>
        </w:rPr>
        <w:tab/>
        <w:t>Viraston asianmukaisen toiminnan varmistamiseksi on tarpeen panna täytäntöön tiettyjä viraston hallintoa koskevia periaatteita, jotta voidaan noudattaa EU:n erillisvirastoja käsittelevässä toimielinten välisessä työryhmässä heinäkuussa 2012 hyväksyttyä yhteistä julkilausumaa ja yhteistä lähestymistapaa, joiden tarkoituksena on tehostaa virastojen toimintaa ja parantaa niiden tuloksellisuutta.</w:t>
      </w:r>
    </w:p>
    <w:p w14:paraId="6BC694B4" w14:textId="77777777" w:rsidR="006E08CC" w:rsidRPr="00DF107B" w:rsidRDefault="006E08CC">
      <w:pPr>
        <w:widowControl/>
        <w:rPr>
          <w:szCs w:val="24"/>
          <w:lang w:eastAsia="en-US"/>
        </w:rPr>
      </w:pPr>
      <w:r w:rsidRPr="00DF107B">
        <w:rPr>
          <w:szCs w:val="24"/>
          <w:lang w:eastAsia="en-US"/>
        </w:rPr>
        <w:br w:type="page"/>
      </w:r>
    </w:p>
    <w:p w14:paraId="3C43A5C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(37)</w:t>
      </w:r>
      <w:r w:rsidRPr="00DF107B">
        <w:rPr>
          <w:szCs w:val="24"/>
          <w:lang w:eastAsia="en-US"/>
        </w:rPr>
        <w:tab/>
        <w:t>Tässä asetuksessa otetaan huomioon perusoikeudet ja periaatteet, jotka on tunnustettu erityisesti Euroopan unionin perusoikeuskirjassa.</w:t>
      </w:r>
    </w:p>
    <w:p w14:paraId="0A3B2B1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(38)</w:t>
      </w:r>
      <w:r w:rsidRPr="00DF107B">
        <w:rPr>
          <w:szCs w:val="24"/>
          <w:lang w:eastAsia="en-US"/>
        </w:rPr>
        <w:tab/>
        <w:t xml:space="preserve">Asetuksella (EU) </w:t>
      </w:r>
      <w:proofErr w:type="gramStart"/>
      <w:r w:rsidRPr="00DF107B">
        <w:rPr>
          <w:szCs w:val="24"/>
          <w:lang w:eastAsia="en-US"/>
        </w:rPr>
        <w:t>N:o</w:t>
      </w:r>
      <w:proofErr w:type="gramEnd"/>
      <w:r w:rsidRPr="00DF107B">
        <w:rPr>
          <w:szCs w:val="24"/>
          <w:lang w:eastAsia="en-US"/>
        </w:rPr>
        <w:t xml:space="preserve"> 1406/2022 perustettu Euroopan meriturvallisuusvirasto on edelleen sama oikeushenkilö ja jatkaa toimintaansa ja menettelyjään kaikilta osin,</w:t>
      </w:r>
    </w:p>
    <w:p w14:paraId="1AF0F7DC" w14:textId="77777777" w:rsidR="007E7AE7" w:rsidRPr="00DF107B" w:rsidRDefault="007E7AE7" w:rsidP="007E7AE7">
      <w:pPr>
        <w:keepNext/>
        <w:widowControl/>
        <w:spacing w:before="120" w:after="120" w:line="360" w:lineRule="auto"/>
        <w:rPr>
          <w:szCs w:val="24"/>
          <w:lang w:eastAsia="en-US"/>
        </w:rPr>
      </w:pPr>
      <w:r w:rsidRPr="00DF107B">
        <w:rPr>
          <w:szCs w:val="24"/>
          <w:lang w:eastAsia="en-US"/>
        </w:rPr>
        <w:t>OVAT HYVÄKSYNEET TÄMÄN ASETUKSEN</w:t>
      </w:r>
    </w:p>
    <w:p w14:paraId="296178FB" w14:textId="77777777" w:rsidR="006E08CC" w:rsidRPr="00DF107B" w:rsidRDefault="006E08CC">
      <w:pPr>
        <w:widowControl/>
        <w:rPr>
          <w:szCs w:val="24"/>
          <w:lang w:eastAsia="en-US"/>
        </w:rPr>
      </w:pPr>
      <w:r w:rsidRPr="00DF107B">
        <w:rPr>
          <w:szCs w:val="24"/>
          <w:lang w:eastAsia="en-US"/>
        </w:rPr>
        <w:br w:type="page"/>
      </w:r>
    </w:p>
    <w:p w14:paraId="1B6B08A8"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I LUKU</w:t>
      </w:r>
      <w:r w:rsidRPr="00DF107B">
        <w:rPr>
          <w:szCs w:val="24"/>
          <w:lang w:eastAsia="en-US"/>
        </w:rPr>
        <w:br/>
        <w:t>KOHDE, SOVELTAMISALA JA TAVOITTEET</w:t>
      </w:r>
    </w:p>
    <w:p w14:paraId="7437D5D7"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1 artikla</w:t>
      </w:r>
      <w:r w:rsidRPr="00DF107B">
        <w:rPr>
          <w:szCs w:val="24"/>
          <w:lang w:eastAsia="en-US"/>
        </w:rPr>
        <w:br/>
        <w:t>Perustaminen, kohde ja soveltamisala</w:t>
      </w:r>
    </w:p>
    <w:p w14:paraId="1D139DE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 xml:space="preserve">Tässä asetuksessa vahvistetaan asetuksella (EY) </w:t>
      </w:r>
      <w:proofErr w:type="gramStart"/>
      <w:r w:rsidRPr="00DF107B">
        <w:rPr>
          <w:szCs w:val="24"/>
          <w:lang w:eastAsia="en-US"/>
        </w:rPr>
        <w:t>N:o</w:t>
      </w:r>
      <w:proofErr w:type="gramEnd"/>
      <w:r w:rsidRPr="00DF107B">
        <w:rPr>
          <w:szCs w:val="24"/>
          <w:lang w:eastAsia="en-US"/>
        </w:rPr>
        <w:t xml:space="preserve"> 1406/2002 perustetun Euroopan meriturvallisuusviraston, jäljempänä ’virasto’, tehtäviä, toimintaa ja hallinnointia koskevat kattavat säännöt.</w:t>
      </w:r>
    </w:p>
    <w:p w14:paraId="149C957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Virasto avustaa jäsenvaltioita ja komissiota meriliikennettä koskevan unionin lainsäädännön tehokkaassa soveltamisessa ja täytäntöönpanossa kaikkialla unionissa. Tässä tarkoituksessa virasto toimii yhteistyössä jäsenvaltioiden ja komission kanssa ja tarjoaa niille teknistä, operatiivista ja tieteellistä apua 2 artiklassa ja II ja III luvussa vahvistettujen viraston tavoitteiden ja tehtävien puitteissa.</w:t>
      </w:r>
    </w:p>
    <w:p w14:paraId="561F7A3B" w14:textId="77777777" w:rsidR="006E08CC" w:rsidRPr="00DF107B" w:rsidRDefault="006E08CC">
      <w:pPr>
        <w:widowControl/>
        <w:rPr>
          <w:szCs w:val="24"/>
          <w:lang w:eastAsia="en-US"/>
        </w:rPr>
      </w:pPr>
      <w:r w:rsidRPr="00DF107B">
        <w:rPr>
          <w:szCs w:val="24"/>
          <w:lang w:eastAsia="en-US"/>
        </w:rPr>
        <w:br w:type="page"/>
      </w:r>
    </w:p>
    <w:p w14:paraId="10A10E8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w:t>
      </w:r>
      <w:r w:rsidRPr="00DF107B">
        <w:rPr>
          <w:szCs w:val="24"/>
          <w:lang w:eastAsia="en-US"/>
        </w:rPr>
        <w:tab/>
        <w:t>Tarjoamalla 2 kohdassa tarkoitettua apua virasto tukee erityisesti jäsenvaltioita ja komissiota asiaankuuluvien unionin säädösten asianmukaisessa soveltamisessa ja edistää samalla meriliikenteen ja merikuljetusten yleistä tehokkuutta tässä asetuksessa säädetyllä tavalla, jotta voidaan helpottaa unionin tavoitteiden saavuttamista meriliikenteen alalla.</w:t>
      </w:r>
    </w:p>
    <w:p w14:paraId="0DB692B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Viraston tarjoama apu ei rajoita jäsenvaltioiden oikeuksia ja velvollisuuksia lippu-, satama- tai rannikkovaltioina.</w:t>
      </w:r>
    </w:p>
    <w:p w14:paraId="3026D86F"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2 artikla</w:t>
      </w:r>
      <w:r w:rsidRPr="00DF107B">
        <w:rPr>
          <w:szCs w:val="24"/>
          <w:lang w:eastAsia="en-US"/>
        </w:rPr>
        <w:br/>
        <w:t>Viraston tavoitteet</w:t>
      </w:r>
    </w:p>
    <w:p w14:paraId="5D49FA6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 xml:space="preserve">Viraston tavoitteena on luoda meriturvallisuuden korkea, yhdenmukainen ja tehokas taso ja edistää sitä, jotta </w:t>
      </w:r>
      <w:r w:rsidRPr="00DF107B">
        <w:rPr>
          <w:strike/>
          <w:szCs w:val="24"/>
          <w:lang w:eastAsia="en-US"/>
        </w:rPr>
        <w:t xml:space="preserve">saavutetaan onnettomuuksien </w:t>
      </w:r>
      <w:proofErr w:type="spellStart"/>
      <w:proofErr w:type="gramStart"/>
      <w:r w:rsidRPr="00DF107B">
        <w:rPr>
          <w:strike/>
          <w:szCs w:val="24"/>
          <w:lang w:eastAsia="en-US"/>
        </w:rPr>
        <w:t>nollataso,</w:t>
      </w:r>
      <w:r w:rsidRPr="00DF107B">
        <w:rPr>
          <w:b/>
          <w:i/>
          <w:szCs w:val="24"/>
          <w:lang w:eastAsia="en-US"/>
        </w:rPr>
        <w:t>onnettomuuksia</w:t>
      </w:r>
      <w:proofErr w:type="spellEnd"/>
      <w:proofErr w:type="gramEnd"/>
      <w:r w:rsidRPr="00DF107B">
        <w:rPr>
          <w:b/>
          <w:i/>
          <w:szCs w:val="24"/>
          <w:lang w:eastAsia="en-US"/>
        </w:rPr>
        <w:t xml:space="preserve"> voidaan vähentää mahdollisimman paljon ja jotta</w:t>
      </w:r>
      <w:r w:rsidRPr="00DF107B">
        <w:rPr>
          <w:szCs w:val="24"/>
          <w:lang w:eastAsia="en-US"/>
        </w:rPr>
        <w:t xml:space="preserve"> varmistetaan merellinen turvallisuus, vähennetään alusten kasvihuonekaasupäästöjä ja varmistetaan merenkulkualan kestävyys, ehkäistään ja torjutaan alusten aiheuttamaa pilaantumista sekä torjutaan öljyn- ja kaasunporauslaitteistojen aiheuttamaa meren pilaantumista. </w:t>
      </w:r>
      <w:r w:rsidRPr="00DF107B">
        <w:rPr>
          <w:b/>
          <w:szCs w:val="24"/>
          <w:lang w:eastAsia="en-US"/>
        </w:rPr>
        <w:t>[Tark. 23]</w:t>
      </w:r>
    </w:p>
    <w:p w14:paraId="7A175631" w14:textId="77777777" w:rsidR="006E08CC" w:rsidRPr="00DF107B" w:rsidRDefault="006E08CC">
      <w:pPr>
        <w:widowControl/>
        <w:rPr>
          <w:szCs w:val="24"/>
          <w:lang w:eastAsia="en-US"/>
        </w:rPr>
      </w:pPr>
      <w:r w:rsidRPr="00DF107B">
        <w:rPr>
          <w:szCs w:val="24"/>
          <w:lang w:eastAsia="en-US"/>
        </w:rPr>
        <w:br w:type="page"/>
      </w:r>
    </w:p>
    <w:p w14:paraId="6C5298C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w:t>
      </w:r>
      <w:r w:rsidRPr="00DF107B">
        <w:rPr>
          <w:szCs w:val="24"/>
          <w:lang w:eastAsia="en-US"/>
        </w:rPr>
        <w:tab/>
        <w:t>Viraston tavoitteina on myös edistää merenkulkualan digitalisointia helpottamalla yksinkertaistamista tukevien tietojen sähköistä toimittamista</w:t>
      </w:r>
      <w:r w:rsidRPr="00DF107B">
        <w:rPr>
          <w:b/>
          <w:i/>
          <w:szCs w:val="24"/>
          <w:lang w:eastAsia="en-US"/>
        </w:rPr>
        <w:t>, hallinnollisen rasitteen vähentämistä</w:t>
      </w:r>
      <w:r w:rsidRPr="00DF107B">
        <w:rPr>
          <w:szCs w:val="24"/>
          <w:lang w:eastAsia="en-US"/>
        </w:rPr>
        <w:t xml:space="preserve"> sekä yhdennettyjen merivalvonta- ja -tietoisuusjärjestelmien ja -palvelujen tarjoamista komissiolle ja jäsenvaltioille. </w:t>
      </w:r>
      <w:r w:rsidRPr="00DF107B">
        <w:rPr>
          <w:b/>
          <w:szCs w:val="24"/>
          <w:lang w:eastAsia="en-US"/>
        </w:rPr>
        <w:t>[Tark. 24]</w:t>
      </w:r>
    </w:p>
    <w:p w14:paraId="37BBD140"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II LUKU</w:t>
      </w:r>
      <w:r w:rsidRPr="00DF107B">
        <w:rPr>
          <w:szCs w:val="24"/>
          <w:lang w:eastAsia="en-US"/>
        </w:rPr>
        <w:br/>
        <w:t xml:space="preserve">VIRASTON TEHTÄVÄT </w:t>
      </w:r>
    </w:p>
    <w:p w14:paraId="3B575EB0"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3 artikla</w:t>
      </w:r>
      <w:r w:rsidRPr="00DF107B">
        <w:rPr>
          <w:szCs w:val="24"/>
          <w:lang w:eastAsia="en-US"/>
        </w:rPr>
        <w:br/>
        <w:t xml:space="preserve">Horisontaalinen tekninen tuki </w:t>
      </w:r>
    </w:p>
    <w:p w14:paraId="21D868F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 avustaa komissiota</w:t>
      </w:r>
      <w:r w:rsidRPr="00DF107B">
        <w:rPr>
          <w:b/>
          <w:i/>
          <w:szCs w:val="24"/>
          <w:lang w:eastAsia="en-US"/>
        </w:rPr>
        <w:t xml:space="preserve"> ja jäsenvaltioita </w:t>
      </w:r>
      <w:r w:rsidRPr="00DF107B">
        <w:rPr>
          <w:b/>
          <w:szCs w:val="24"/>
          <w:lang w:eastAsia="en-US"/>
        </w:rPr>
        <w:t>[Tark. 25]</w:t>
      </w:r>
    </w:p>
    <w:p w14:paraId="0640B710"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viraston tavoitteiden piiriin kuuluvien asiaankuuluvien sitovien unionin säädösten tehokkaan täytäntöönpanon valvonnassa erityisesti suorittamalla 10 artiklassa tarkoitettuja vierailuja ja tarkastuskäyntejä. Tältä osin virasto voi esittää komissiolle mahdollisia parannuksia;</w:t>
      </w:r>
    </w:p>
    <w:p w14:paraId="7BBB8BAB" w14:textId="77777777" w:rsidR="006E08CC" w:rsidRPr="00DF107B" w:rsidRDefault="006E08CC">
      <w:pPr>
        <w:widowControl/>
        <w:rPr>
          <w:szCs w:val="24"/>
          <w:lang w:eastAsia="en-US"/>
        </w:rPr>
      </w:pPr>
      <w:r w:rsidRPr="00DF107B">
        <w:rPr>
          <w:szCs w:val="24"/>
          <w:lang w:eastAsia="en-US"/>
        </w:rPr>
        <w:br w:type="page"/>
      </w:r>
    </w:p>
    <w:p w14:paraId="64EA1B6D"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b)</w:t>
      </w:r>
      <w:r w:rsidRPr="00DF107B">
        <w:rPr>
          <w:szCs w:val="24"/>
          <w:lang w:eastAsia="en-US"/>
        </w:rPr>
        <w:tab/>
        <w:t>valmistelutyössä, jota tehdään viraston tavoitteiden piiriin kuuluvien asiaankuuluvien unionin säädösten ajantasaistamiseksi ja kehittämiseksi erityisesti kansainvälisen lainsäädännön kehityksen mukaisesti;</w:t>
      </w:r>
    </w:p>
    <w:p w14:paraId="042B0BA1"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c)</w:t>
      </w:r>
      <w:r w:rsidRPr="00DF107B">
        <w:rPr>
          <w:szCs w:val="24"/>
          <w:lang w:eastAsia="en-US"/>
        </w:rPr>
        <w:tab/>
        <w:t>kaikkien muiden unionin säädöksissä komissiolle osoitettujen viraston tavoitteita koskevien tehtävien hoitamisessa.</w:t>
      </w:r>
    </w:p>
    <w:p w14:paraId="0269C99A"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Virasto toimii yhteistyössä jäsenvaltioiden kanssa</w:t>
      </w:r>
    </w:p>
    <w:p w14:paraId="2F67CF92"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järjestääkseen tarvittaessa asiaankuuluvia valmiuksien kehittämistoimia ja koulutustoimia viraston tavoitteiden piiriin kuuluvilla ja jäsenvaltioiden vastuulla olevilla aloilla. Tältä osin virasto luo asianmukaiset valmiudet viraston tavoitteiden kannalta merkityksellisten koulutustoimien laatimiseksi, toteuttamiseksi ja koordinoimiseksi muun muassa kehittämällä yhteisten opetussuunnitelmien kursseja, seminaareja, konferensseja, työpajoja sekä verkko-opiskeluvälineitä ja muita innovatiivisia ja kehittyneitä koulutusvälineitä. Virallisen koulutuksen ulkopuolella tarjottavien koulutustoimien yksityiskohdat kehitetään tiiviissä yhteistyössä jäsenvaltioiden ja komission kanssa, ja hallintoneuvosto hyväksyy ne tämän asetuksen 17 artiklan mukaisesti noudattaen täysimääräisesti Euroopan unionin toiminnasta tehdyn sopimuksen (</w:t>
      </w:r>
      <w:proofErr w:type="spellStart"/>
      <w:r w:rsidRPr="00DF107B">
        <w:rPr>
          <w:szCs w:val="24"/>
          <w:lang w:eastAsia="en-US"/>
        </w:rPr>
        <w:t>SEUT</w:t>
      </w:r>
      <w:proofErr w:type="spellEnd"/>
      <w:r w:rsidRPr="00DF107B">
        <w:rPr>
          <w:szCs w:val="24"/>
          <w:lang w:eastAsia="en-US"/>
        </w:rPr>
        <w:t>) 166 artiklaa;</w:t>
      </w:r>
    </w:p>
    <w:p w14:paraId="3C92D77A" w14:textId="77777777" w:rsidR="006E08CC" w:rsidRPr="00DF107B" w:rsidRDefault="006E08CC">
      <w:pPr>
        <w:widowControl/>
        <w:rPr>
          <w:szCs w:val="24"/>
          <w:lang w:eastAsia="en-US"/>
        </w:rPr>
      </w:pPr>
      <w:r w:rsidRPr="00DF107B">
        <w:rPr>
          <w:szCs w:val="24"/>
          <w:lang w:eastAsia="en-US"/>
        </w:rPr>
        <w:br w:type="page"/>
      </w:r>
    </w:p>
    <w:p w14:paraId="68614014"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b)</w:t>
      </w:r>
      <w:r w:rsidRPr="00DF107B">
        <w:rPr>
          <w:szCs w:val="24"/>
          <w:lang w:eastAsia="en-US"/>
        </w:rPr>
        <w:tab/>
        <w:t xml:space="preserve">kehittääkseen teknisiä ratkaisuja ja tarjotakseen niihin liittyviä operatiivisia palveluja sekä tarjotakseen teknistä apua sellaisten asiaankuuluvien unionin säädösten </w:t>
      </w:r>
      <w:proofErr w:type="spellStart"/>
      <w:r w:rsidRPr="00DF107B">
        <w:rPr>
          <w:szCs w:val="24"/>
          <w:lang w:eastAsia="en-US"/>
        </w:rPr>
        <w:t>täytäntöönpanemiseksi</w:t>
      </w:r>
      <w:proofErr w:type="spellEnd"/>
      <w:r w:rsidRPr="00DF107B">
        <w:rPr>
          <w:szCs w:val="24"/>
          <w:lang w:eastAsia="en-US"/>
        </w:rPr>
        <w:t xml:space="preserve"> tarvittavien kansallisten valmiuksien luomisessa, jotka ovat merkityksellisiä viraston tavoitteiden kannalta.</w:t>
      </w:r>
    </w:p>
    <w:p w14:paraId="75E43A8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Virasto edistää ja helpottaa unionin lainsäädännön täytäntöönpanoa koskevaa yhteistyötä jäsenvaltioiden välillä sekä niiden ja komission välillä edistämällä kokemusten ja hyvien käytäntöjen vaihtoa ja levittämistä.</w:t>
      </w:r>
    </w:p>
    <w:p w14:paraId="4FA5F8C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 xml:space="preserve">Virasto osallistuu komission pyynnöstä tai omasta aloitteestaan, 17 artiklan mukaisen hallintoneuvoston hyväksynnän saatuaan, viraston tavoitteiden mukaisiin unionin tasolla toteutettaviin merentutkimustoimiin. Tältä osin virasto avustaa komissiota ja jäsenvaltioita keskeisten tutkimusaiheiden määrittämisessä, sanotun kuitenkaan rajoittamatta muuta unionin tason tutkimustoimintaa, sekä viraston tavoitteiden kannalta merkityksellisten käynnissä olevien ja päätökseen saatettujen tutkimushankkeiden analysoinnissa. Jollei </w:t>
      </w:r>
      <w:proofErr w:type="spellStart"/>
      <w:r w:rsidRPr="00DF107B">
        <w:rPr>
          <w:szCs w:val="24"/>
          <w:lang w:eastAsia="en-US"/>
        </w:rPr>
        <w:t>teollis</w:t>
      </w:r>
      <w:proofErr w:type="spellEnd"/>
      <w:r w:rsidRPr="00DF107B">
        <w:rPr>
          <w:szCs w:val="24"/>
          <w:lang w:eastAsia="en-US"/>
        </w:rPr>
        <w:t xml:space="preserve">- ja tekijänoikeuksia ja turvallisuusnäkökohtia koskevista sovellettavista säännöistä muuta johdu, </w:t>
      </w:r>
      <w:r w:rsidRPr="00DF107B">
        <w:rPr>
          <w:strike/>
          <w:szCs w:val="24"/>
          <w:lang w:eastAsia="en-US"/>
        </w:rPr>
        <w:t xml:space="preserve">virasto voi </w:t>
      </w:r>
      <w:r w:rsidRPr="00DF107B">
        <w:rPr>
          <w:szCs w:val="24"/>
          <w:lang w:eastAsia="en-US"/>
        </w:rPr>
        <w:t>tarvittaessa</w:t>
      </w:r>
      <w:r w:rsidRPr="00DF107B">
        <w:rPr>
          <w:b/>
          <w:i/>
          <w:szCs w:val="24"/>
          <w:lang w:eastAsia="en-US"/>
        </w:rPr>
        <w:t xml:space="preserve"> virasto levittää</w:t>
      </w:r>
      <w:r w:rsidRPr="00DF107B">
        <w:rPr>
          <w:szCs w:val="24"/>
          <w:lang w:eastAsia="en-US"/>
        </w:rPr>
        <w:t xml:space="preserve"> komission hyväksynnän saatuaan</w:t>
      </w:r>
      <w:r w:rsidRPr="00DF107B">
        <w:rPr>
          <w:strike/>
          <w:szCs w:val="24"/>
          <w:lang w:eastAsia="en-US"/>
        </w:rPr>
        <w:t xml:space="preserve"> levittää</w:t>
      </w:r>
      <w:r w:rsidRPr="00DF107B">
        <w:rPr>
          <w:szCs w:val="24"/>
          <w:lang w:eastAsia="en-US"/>
        </w:rPr>
        <w:t xml:space="preserve"> tutkimus- ja innovointitoimiensa tulokset osana toimintaansa, jonka tavoitteena on luoda synergioita muiden unionin elinten ja jäsenvaltioiden tutkimus- ja innovointitoimien välillä. </w:t>
      </w:r>
      <w:r w:rsidRPr="00DF107B">
        <w:rPr>
          <w:b/>
          <w:szCs w:val="24"/>
          <w:lang w:eastAsia="en-US"/>
        </w:rPr>
        <w:t>[Tark. 26]</w:t>
      </w:r>
    </w:p>
    <w:p w14:paraId="2D46AD4F" w14:textId="77777777" w:rsidR="006E08CC" w:rsidRPr="00DF107B" w:rsidRDefault="006E08CC">
      <w:pPr>
        <w:widowControl/>
        <w:rPr>
          <w:szCs w:val="24"/>
          <w:lang w:eastAsia="en-US"/>
        </w:rPr>
      </w:pPr>
      <w:r w:rsidRPr="00DF107B">
        <w:rPr>
          <w:szCs w:val="24"/>
          <w:lang w:eastAsia="en-US"/>
        </w:rPr>
        <w:br w:type="page"/>
      </w:r>
    </w:p>
    <w:p w14:paraId="0B738B9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5.</w:t>
      </w:r>
      <w:r w:rsidRPr="00DF107B">
        <w:rPr>
          <w:szCs w:val="24"/>
          <w:lang w:eastAsia="en-US"/>
        </w:rPr>
        <w:tab/>
        <w:t>Jos se on tarpeen sen tehtävien suorittamiseksi, virasto toteuttaa tutkimuksia, joihin osallistuvat komissio ja tarvittaessa ohjausryhmien kautta jäsenvaltiot ja, jos se on tarkoituksenmukaista, työmarkkinaosapuolet ja alan edustajat, joilla on asiantuntemusta asiaankuuluvista aiheista.</w:t>
      </w:r>
    </w:p>
    <w:p w14:paraId="6ABDE15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6.</w:t>
      </w:r>
      <w:r w:rsidRPr="00DF107B">
        <w:rPr>
          <w:szCs w:val="24"/>
          <w:lang w:eastAsia="en-US"/>
        </w:rPr>
        <w:tab/>
        <w:t>Virasto voi tekemiensä tutkimusten ja selvitysten perusteella mutta myös omasta toiminnastaan, erityisesti vierailuista ja tarkastuskäynneistä, sekä tietojen ja hyvien käytäntöjen vaihdosta jäsenvaltioiden ja komission kanssa saamiensa kokemusten perusteella ja komissiota kuultuaan antaa ei-sitovia suosituksia, ohjeita tai ohjekirjoja jäsenvaltioiden ja tarvittaessa alan toimijoiden tukemiseksi unionin lainsäädännön täytäntöönpanossa sekä täytäntöönpanon helpottamiseksi.</w:t>
      </w:r>
    </w:p>
    <w:p w14:paraId="11799747" w14:textId="77777777" w:rsidR="006E08CC" w:rsidRPr="00DF107B" w:rsidRDefault="006E08CC">
      <w:pPr>
        <w:widowControl/>
        <w:rPr>
          <w:szCs w:val="24"/>
          <w:lang w:eastAsia="en-US"/>
        </w:rPr>
      </w:pPr>
      <w:r w:rsidRPr="00DF107B">
        <w:rPr>
          <w:szCs w:val="24"/>
          <w:lang w:eastAsia="en-US"/>
        </w:rPr>
        <w:br w:type="page"/>
      </w:r>
    </w:p>
    <w:p w14:paraId="00AD30C6"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4 artikla</w:t>
      </w:r>
      <w:r w:rsidRPr="00DF107B">
        <w:rPr>
          <w:szCs w:val="24"/>
          <w:lang w:eastAsia="en-US"/>
        </w:rPr>
        <w:br/>
        <w:t>Meriturvallisuuteen liittyvät tehtävät</w:t>
      </w:r>
    </w:p>
    <w:p w14:paraId="0F34D55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 seuraa meriliikenteen turvallisuuden edistymistä unionissa, tekee saatavilla olevien tietojen perusteella riskianalyysejä ja laatii turvallisuusriskien arviointimalleja turvallisuushaasteiden ja -riskien tunnistamiseksi. Se antaa komissiolle joka kolmas vuosi meriturvallisuuden edistymistä koskevan kertomuksen ja mahdollisia teknisiä suosituksia, joita voitaisiin käsitellä unionin tai kansainvälisellä tasolla. Tältä osin virasto erityisesti analysoi ja ehdottaa ohjeita tai suosituksia, jotka liittyvät mahdollisiin turvallisuusriskeihin, joita aiheutuu kestävien vaihtoehtoisten voimanlähteiden käyttöönotosta aluksissa, mukaan lukien maasähkön jakelu laiturissa oleville aluksille</w:t>
      </w:r>
      <w:r w:rsidRPr="00DF107B">
        <w:rPr>
          <w:b/>
          <w:i/>
          <w:szCs w:val="24"/>
          <w:lang w:eastAsia="en-US"/>
        </w:rPr>
        <w:t>, käyttövoimana käytetyt akkuteknologiat, [</w:t>
      </w:r>
      <w:proofErr w:type="spellStart"/>
      <w:r w:rsidRPr="00DF107B">
        <w:rPr>
          <w:b/>
          <w:i/>
          <w:szCs w:val="24"/>
          <w:lang w:eastAsia="en-US"/>
        </w:rPr>
        <w:t>FuelEU</w:t>
      </w:r>
      <w:proofErr w:type="spellEnd"/>
      <w:r w:rsidRPr="00DF107B">
        <w:rPr>
          <w:b/>
          <w:i/>
          <w:szCs w:val="24"/>
          <w:lang w:eastAsia="en-US"/>
        </w:rPr>
        <w:t xml:space="preserve"> </w:t>
      </w:r>
      <w:proofErr w:type="spellStart"/>
      <w:r w:rsidRPr="00DF107B">
        <w:rPr>
          <w:b/>
          <w:i/>
          <w:szCs w:val="24"/>
          <w:lang w:eastAsia="en-US"/>
        </w:rPr>
        <w:t>Maritime</w:t>
      </w:r>
      <w:proofErr w:type="spellEnd"/>
      <w:r w:rsidRPr="00DF107B">
        <w:rPr>
          <w:b/>
          <w:i/>
          <w:szCs w:val="24"/>
          <w:lang w:eastAsia="en-US"/>
        </w:rPr>
        <w:t xml:space="preserve"> -ehdotuksessa] määritellyt päästöttömät teknologiat tai muut aluksilla tai satama-alueilla käytettävät tulevaisuuden teknologiat</w:t>
      </w:r>
      <w:r w:rsidRPr="00DF107B">
        <w:rPr>
          <w:szCs w:val="24"/>
          <w:lang w:eastAsia="en-US"/>
        </w:rPr>
        <w:t xml:space="preserve">. </w:t>
      </w:r>
      <w:r w:rsidRPr="00DF107B">
        <w:rPr>
          <w:b/>
          <w:szCs w:val="24"/>
          <w:lang w:eastAsia="en-US"/>
        </w:rPr>
        <w:t>[Tark. 27]</w:t>
      </w:r>
    </w:p>
    <w:p w14:paraId="78E8B03C" w14:textId="77777777" w:rsidR="006E08CC" w:rsidRPr="00DF107B" w:rsidRDefault="006E08CC">
      <w:pPr>
        <w:widowControl/>
        <w:rPr>
          <w:szCs w:val="24"/>
          <w:lang w:eastAsia="en-US"/>
        </w:rPr>
      </w:pPr>
      <w:r w:rsidRPr="00DF107B">
        <w:rPr>
          <w:szCs w:val="24"/>
          <w:lang w:eastAsia="en-US"/>
        </w:rPr>
        <w:br w:type="page"/>
      </w:r>
    </w:p>
    <w:p w14:paraId="11BDE66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w:t>
      </w:r>
      <w:r w:rsidRPr="00DF107B">
        <w:rPr>
          <w:szCs w:val="24"/>
          <w:lang w:eastAsia="en-US"/>
        </w:rPr>
        <w:tab/>
        <w:t>Virasto avustaa komissiota ja jäsenvaltioita direktiivin 2009/21/EY täytäntöönpanossa. Virasto erityisesti kehittää tarkastustietokannan ja ylläpitää sitä mainitun direktiivin [6 a artiklan] mukaisesti, perustaa mainitun direktiivin [9 b artiklassa] tarkoitetun sähköisen raportointivälineen, ylläpitää 8 artiklan 2 c kohdassa tarkoitettua julkista verkkosivustoa ja antaa komissiolle kerättyjen tietojen perusteella suosituksia.</w:t>
      </w:r>
    </w:p>
    <w:p w14:paraId="3D3C84D6" w14:textId="77777777" w:rsidR="007E7AE7" w:rsidRPr="00DF107B" w:rsidRDefault="007E7AE7" w:rsidP="007E7AE7">
      <w:pPr>
        <w:widowControl/>
        <w:spacing w:before="120" w:after="120" w:line="360" w:lineRule="auto"/>
        <w:ind w:left="850"/>
        <w:rPr>
          <w:szCs w:val="24"/>
          <w:lang w:eastAsia="en-US"/>
        </w:rPr>
      </w:pPr>
      <w:r w:rsidRPr="00DF107B">
        <w:rPr>
          <w:szCs w:val="24"/>
          <w:lang w:eastAsia="en-US"/>
        </w:rPr>
        <w:t>Virasto avustaa komissiota sen osallistuessa tarkkailijana Kansainvälisen merenkulkujärjestön auditointiprosessiin direktiivin 2009/21/EY [7 artiklan] mukaisesti. Virasto kehittää myös asiaankuuluvia välineitä ja palveluja, joilla jäsenvaltioita autetaan niiden pyynnöstä täyttämään direktiivin 2009/21/EY mukaiset velvoitteensa.</w:t>
      </w:r>
    </w:p>
    <w:p w14:paraId="55C0DEE8" w14:textId="77777777" w:rsidR="007E7AE7" w:rsidRPr="00DF107B" w:rsidRDefault="007E7AE7" w:rsidP="007E7AE7">
      <w:pPr>
        <w:widowControl/>
        <w:spacing w:before="120" w:after="120" w:line="360" w:lineRule="auto"/>
        <w:ind w:left="850"/>
        <w:rPr>
          <w:szCs w:val="24"/>
          <w:lang w:eastAsia="en-US"/>
        </w:rPr>
      </w:pPr>
      <w:r w:rsidRPr="00DF107B">
        <w:rPr>
          <w:szCs w:val="24"/>
          <w:lang w:eastAsia="en-US"/>
        </w:rPr>
        <w:t>Virasto laatii myös edellä mainitun direktiivin [4 c artiklassa] tarkoitetun valmiuksien kehittämistä koskevan yhteisen suunnitelman jäsenvaltioiden lippuvaltion katsastajia ja lippuvaltion tarkastajia varten.</w:t>
      </w:r>
    </w:p>
    <w:p w14:paraId="633449F6" w14:textId="77777777" w:rsidR="006E08CC" w:rsidRPr="00DF107B" w:rsidRDefault="006E08CC">
      <w:pPr>
        <w:widowControl/>
        <w:rPr>
          <w:szCs w:val="24"/>
          <w:lang w:eastAsia="en-US"/>
        </w:rPr>
      </w:pPr>
      <w:r w:rsidRPr="00DF107B">
        <w:rPr>
          <w:szCs w:val="24"/>
          <w:lang w:eastAsia="en-US"/>
        </w:rPr>
        <w:br w:type="page"/>
      </w:r>
    </w:p>
    <w:p w14:paraId="680660D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w:t>
      </w:r>
      <w:r w:rsidRPr="00DF107B">
        <w:rPr>
          <w:szCs w:val="24"/>
          <w:lang w:eastAsia="en-US"/>
        </w:rPr>
        <w:tab/>
        <w:t>Virasto avustaa komissiota</w:t>
      </w:r>
      <w:r w:rsidRPr="00DF107B">
        <w:rPr>
          <w:b/>
          <w:i/>
          <w:szCs w:val="24"/>
          <w:lang w:eastAsia="en-US"/>
        </w:rPr>
        <w:t xml:space="preserve"> ja jäsenvaltioita</w:t>
      </w:r>
      <w:r w:rsidRPr="00DF107B">
        <w:rPr>
          <w:szCs w:val="24"/>
          <w:lang w:eastAsia="en-US"/>
        </w:rPr>
        <w:t xml:space="preserve"> direktiivin 2009/16/EY 24 ja 24 a artiklassa säädettyjen tietokantojen kehittämisessä ja ylläpidossa. Kerättyjen tietojen perusteella virasto avustaa komissiota asiaankuuluvien tietojen analysoinnissa ja tietojen julkaisemisessa aluksista ja yhtiöistä, joiden toiminnan laatu on heikko tai erittäin heikko direktiivin 2009/16/EY mukaisesti. </w:t>
      </w:r>
      <w:r w:rsidRPr="00DF107B">
        <w:rPr>
          <w:b/>
          <w:szCs w:val="24"/>
          <w:lang w:eastAsia="en-US"/>
        </w:rPr>
        <w:t>[Tark. 28]</w:t>
      </w:r>
    </w:p>
    <w:p w14:paraId="57BE2FAF" w14:textId="77777777" w:rsidR="007E7AE7" w:rsidRPr="00DF107B" w:rsidRDefault="007E7AE7" w:rsidP="007E7AE7">
      <w:pPr>
        <w:widowControl/>
        <w:spacing w:before="120" w:after="120" w:line="360" w:lineRule="auto"/>
        <w:ind w:left="850"/>
        <w:rPr>
          <w:szCs w:val="24"/>
          <w:lang w:eastAsia="en-US"/>
        </w:rPr>
      </w:pPr>
      <w:r w:rsidRPr="00DF107B">
        <w:rPr>
          <w:szCs w:val="24"/>
          <w:lang w:eastAsia="en-US"/>
        </w:rPr>
        <w:t>Virasto kehittää asiaankuuluvia välineitä ja palveluja, joilla jäsenvaltioita autetaan niiden pyynnöstä täyttämään direktiivin 2009/16/EY mukaiset velvoitteensa.</w:t>
      </w:r>
    </w:p>
    <w:p w14:paraId="36383806" w14:textId="77777777" w:rsidR="007E7AE7" w:rsidRPr="00DF107B" w:rsidRDefault="007E7AE7" w:rsidP="007E7AE7">
      <w:pPr>
        <w:widowControl/>
        <w:spacing w:before="120" w:after="120" w:line="360" w:lineRule="auto"/>
        <w:ind w:left="850"/>
        <w:rPr>
          <w:szCs w:val="24"/>
          <w:lang w:eastAsia="en-US"/>
        </w:rPr>
      </w:pPr>
      <w:r w:rsidRPr="00DF107B">
        <w:rPr>
          <w:szCs w:val="24"/>
          <w:lang w:eastAsia="en-US"/>
        </w:rPr>
        <w:t>Virasto tarjoaa myös ammatillisen kehityksen koulutusohjelman jäsenvaltioiden satamavaltion tarkastajille edellä mainitun direktiivin 2009/16/EY [22 artiklan 7 kohdan] mukaisesti.</w:t>
      </w:r>
    </w:p>
    <w:p w14:paraId="25CA03CA" w14:textId="77777777" w:rsidR="006E08CC" w:rsidRPr="00DF107B" w:rsidRDefault="006E08CC">
      <w:pPr>
        <w:widowControl/>
        <w:rPr>
          <w:szCs w:val="24"/>
          <w:lang w:eastAsia="en-US"/>
        </w:rPr>
      </w:pPr>
      <w:r w:rsidRPr="00DF107B">
        <w:rPr>
          <w:szCs w:val="24"/>
          <w:lang w:eastAsia="en-US"/>
        </w:rPr>
        <w:br w:type="page"/>
      </w:r>
    </w:p>
    <w:p w14:paraId="52002C6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4.</w:t>
      </w:r>
      <w:r w:rsidRPr="00DF107B">
        <w:rPr>
          <w:szCs w:val="24"/>
          <w:lang w:eastAsia="en-US"/>
        </w:rPr>
        <w:tab/>
        <w:t xml:space="preserve">Virasto avustaa komissiota direktiivin 2009/18/EY 17 artiklassa säädettyjen tietokantojen kehittämisessä ja ylläpidossa. Virasto laatii kerättyjen tietojen perusteella vuosikatsauksen merionnettomuuksista ja merellä sattuneista vaaratilanteista. </w:t>
      </w:r>
      <w:r w:rsidRPr="00DF107B">
        <w:rPr>
          <w:strike/>
          <w:szCs w:val="24"/>
          <w:lang w:eastAsia="en-US"/>
        </w:rPr>
        <w:t xml:space="preserve">Virasto tarjoaa asianomaisille jäsenvaltioille, niiden pyynnöstä ja sikäli kuin ei synny </w:t>
      </w:r>
      <w:proofErr w:type="spellStart"/>
      <w:proofErr w:type="gramStart"/>
      <w:r w:rsidRPr="00DF107B">
        <w:rPr>
          <w:strike/>
          <w:szCs w:val="24"/>
          <w:lang w:eastAsia="en-US"/>
        </w:rPr>
        <w:t>eturistiriitaa,</w:t>
      </w:r>
      <w:r w:rsidRPr="00DF107B">
        <w:rPr>
          <w:b/>
          <w:i/>
          <w:szCs w:val="24"/>
          <w:lang w:eastAsia="en-US"/>
        </w:rPr>
        <w:t>Jäsenvaltiot</w:t>
      </w:r>
      <w:proofErr w:type="spellEnd"/>
      <w:proofErr w:type="gramEnd"/>
      <w:r w:rsidRPr="00DF107B">
        <w:rPr>
          <w:b/>
          <w:i/>
          <w:szCs w:val="24"/>
          <w:lang w:eastAsia="en-US"/>
        </w:rPr>
        <w:t xml:space="preserve"> voivat pyytää virastoa tarjoamaan</w:t>
      </w:r>
      <w:r w:rsidRPr="00DF107B">
        <w:rPr>
          <w:szCs w:val="24"/>
          <w:lang w:eastAsia="en-US"/>
        </w:rPr>
        <w:t xml:space="preserve"> operatiivista</w:t>
      </w:r>
      <w:r w:rsidRPr="00DF107B">
        <w:rPr>
          <w:b/>
          <w:i/>
          <w:szCs w:val="24"/>
          <w:lang w:eastAsia="en-US"/>
        </w:rPr>
        <w:t xml:space="preserve"> ja teknistä</w:t>
      </w:r>
      <w:r w:rsidRPr="00DF107B">
        <w:rPr>
          <w:szCs w:val="24"/>
          <w:lang w:eastAsia="en-US"/>
        </w:rPr>
        <w:t xml:space="preserve"> tukea turvallisuustutkinnan suorittamisessa</w:t>
      </w:r>
      <w:r w:rsidRPr="00DF107B">
        <w:rPr>
          <w:b/>
          <w:i/>
          <w:szCs w:val="24"/>
          <w:lang w:eastAsia="en-US"/>
        </w:rPr>
        <w:t>. Virasto noudattaa pyyntöjä sikäli kuin sille ei synny eturistiriitaa</w:t>
      </w:r>
      <w:r w:rsidRPr="00DF107B">
        <w:rPr>
          <w:szCs w:val="24"/>
          <w:lang w:eastAsia="en-US"/>
        </w:rPr>
        <w:t xml:space="preserve">. Virasto analysoi turvallisuustutkintaraportteja määrittääkseen, millaisia unionin tason lisäarvoa tuottavia päätelmiä voidaan tehdä. </w:t>
      </w:r>
      <w:r w:rsidRPr="00DF107B">
        <w:rPr>
          <w:b/>
          <w:szCs w:val="24"/>
          <w:lang w:eastAsia="en-US"/>
        </w:rPr>
        <w:t>[Tark. 29]</w:t>
      </w:r>
    </w:p>
    <w:p w14:paraId="6BB46B51" w14:textId="77777777" w:rsidR="007E7AE7" w:rsidRPr="00DF107B" w:rsidRDefault="007E7AE7" w:rsidP="007E7AE7">
      <w:pPr>
        <w:widowControl/>
        <w:spacing w:before="120" w:after="120" w:line="360" w:lineRule="auto"/>
        <w:ind w:left="850"/>
        <w:rPr>
          <w:szCs w:val="24"/>
          <w:lang w:eastAsia="en-US"/>
        </w:rPr>
      </w:pPr>
      <w:r w:rsidRPr="00DF107B">
        <w:rPr>
          <w:szCs w:val="24"/>
          <w:lang w:eastAsia="en-US"/>
        </w:rPr>
        <w:t>Virasto tarjoaa ammatillisen kehityksen koulutusohjelman toimivaltaisille meriturvallisuuteen liittyvien onnettomuuksien tutkinnasta vastaaville viranomaisille.</w:t>
      </w:r>
    </w:p>
    <w:p w14:paraId="038604F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5.</w:t>
      </w:r>
      <w:r w:rsidRPr="00DF107B">
        <w:rPr>
          <w:szCs w:val="24"/>
          <w:lang w:eastAsia="en-US"/>
        </w:rPr>
        <w:tab/>
        <w:t>Virasto avustaa komissiota ja jäsenvaltioita Euroopan parlamentin ja neuvoston direktiivien 2009/45/EY</w:t>
      </w:r>
      <w:r w:rsidRPr="00DF107B">
        <w:rPr>
          <w:szCs w:val="24"/>
          <w:vertAlign w:val="superscript"/>
          <w:lang w:val="en-GB" w:eastAsia="en-US"/>
        </w:rPr>
        <w:footnoteReference w:id="24"/>
      </w:r>
      <w:r w:rsidRPr="00DF107B">
        <w:rPr>
          <w:szCs w:val="24"/>
          <w:lang w:eastAsia="en-US"/>
        </w:rPr>
        <w:t xml:space="preserve"> ja 2003/25/EY</w:t>
      </w:r>
      <w:r w:rsidRPr="00DF107B">
        <w:rPr>
          <w:szCs w:val="24"/>
          <w:vertAlign w:val="superscript"/>
          <w:lang w:val="en-GB" w:eastAsia="en-US"/>
        </w:rPr>
        <w:footnoteReference w:id="25"/>
      </w:r>
      <w:r w:rsidRPr="00DF107B">
        <w:rPr>
          <w:szCs w:val="24"/>
          <w:lang w:eastAsia="en-US"/>
        </w:rPr>
        <w:t xml:space="preserve"> sekä neuvoston direktiivin 98/41/EY</w:t>
      </w:r>
      <w:r w:rsidRPr="00DF107B">
        <w:rPr>
          <w:szCs w:val="24"/>
          <w:vertAlign w:val="superscript"/>
          <w:lang w:val="en-GB" w:eastAsia="en-US"/>
        </w:rPr>
        <w:footnoteReference w:id="26"/>
      </w:r>
      <w:r w:rsidRPr="00DF107B">
        <w:rPr>
          <w:szCs w:val="24"/>
          <w:lang w:eastAsia="en-US"/>
        </w:rPr>
        <w:t xml:space="preserve"> täytäntöönpanossa. Erityisesti virasto kehittää tietokannan direktiivin 2009/45/EY 9 artiklassa ja direktiivin 98/41/EY 9 artiklassa säädettyjen toimenpiteiden kirjaamista varten ja ylläpitää sitä sekä avustaa komissiota tällaisten toimenpiteiden arvioinnissa.</w:t>
      </w:r>
    </w:p>
    <w:p w14:paraId="4778C84D" w14:textId="77777777" w:rsidR="006E08CC" w:rsidRPr="00DF107B" w:rsidRDefault="006E08CC">
      <w:pPr>
        <w:widowControl/>
        <w:rPr>
          <w:szCs w:val="24"/>
          <w:lang w:eastAsia="en-US"/>
        </w:rPr>
      </w:pPr>
      <w:r w:rsidRPr="00DF107B">
        <w:rPr>
          <w:szCs w:val="24"/>
          <w:lang w:eastAsia="en-US"/>
        </w:rPr>
        <w:br w:type="page"/>
      </w:r>
    </w:p>
    <w:p w14:paraId="7FA90CA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6.</w:t>
      </w:r>
      <w:r w:rsidRPr="00DF107B">
        <w:rPr>
          <w:szCs w:val="24"/>
          <w:lang w:eastAsia="en-US"/>
        </w:rPr>
        <w:tab/>
        <w:t>Virasto helpottaa komission ja jäsenvaltioiden välistä yhteistyötä ja tietojenvaihtoa niiden hyväksyttyjen laitosten arvioimiseksi, jotka suorittavat katsastukseen ja todistuskirjojen antamiseen liittyviä tehtäviä asetuksen (EY) N:o 391/2009</w:t>
      </w:r>
      <w:r w:rsidRPr="00DF107B">
        <w:rPr>
          <w:szCs w:val="24"/>
          <w:vertAlign w:val="superscript"/>
          <w:lang w:val="en-GB" w:eastAsia="en-US"/>
        </w:rPr>
        <w:footnoteReference w:id="27"/>
      </w:r>
      <w:r w:rsidR="006E08CC" w:rsidRPr="00DF107B">
        <w:rPr>
          <w:szCs w:val="24"/>
          <w:lang w:eastAsia="en-US"/>
        </w:rPr>
        <w:t xml:space="preserve"> 8 </w:t>
      </w:r>
      <w:r w:rsidRPr="00DF107B">
        <w:rPr>
          <w:szCs w:val="24"/>
          <w:lang w:eastAsia="en-US"/>
        </w:rPr>
        <w:t>artiklan 1 kohdan mukaisesti. Erityisesti virasto</w:t>
      </w:r>
    </w:p>
    <w:p w14:paraId="13569AD1"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 xml:space="preserve">antaa komissiolle lausunnon asetuksen (EY) </w:t>
      </w:r>
      <w:proofErr w:type="gramStart"/>
      <w:r w:rsidRPr="00DF107B">
        <w:rPr>
          <w:szCs w:val="24"/>
          <w:lang w:eastAsia="en-US"/>
        </w:rPr>
        <w:t>N:o</w:t>
      </w:r>
      <w:proofErr w:type="gramEnd"/>
      <w:r w:rsidRPr="00DF107B">
        <w:rPr>
          <w:szCs w:val="24"/>
          <w:lang w:eastAsia="en-US"/>
        </w:rPr>
        <w:t xml:space="preserve"> 391/2009 8 artiklan 1 kohdan mukaisesta hyväksyttyjen laitosten arvioinnista;</w:t>
      </w:r>
    </w:p>
    <w:p w14:paraId="7C7DF00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b)</w:t>
      </w:r>
      <w:r w:rsidRPr="00DF107B">
        <w:rPr>
          <w:szCs w:val="24"/>
          <w:lang w:eastAsia="en-US"/>
        </w:rPr>
        <w:tab/>
        <w:t>toimittaa jäsenvaltioille asianmukaisia tietoja niiden tarkastusten yhteydessä, jotka on tehty komission asetuksen (EY) N:o 391/2009 8 artiklan 1 kohdan mukaisen arvioinnin tueksi, jotta voidaan tukea Euroopan parlamentin ja neuvoston direktiivin 2009/15/EY</w:t>
      </w:r>
      <w:r w:rsidRPr="00DF107B">
        <w:rPr>
          <w:szCs w:val="24"/>
          <w:vertAlign w:val="superscript"/>
          <w:lang w:val="en-GB" w:eastAsia="en-US"/>
        </w:rPr>
        <w:footnoteReference w:id="28"/>
      </w:r>
      <w:r w:rsidRPr="00DF107B">
        <w:rPr>
          <w:szCs w:val="24"/>
          <w:lang w:eastAsia="en-US"/>
        </w:rPr>
        <w:t xml:space="preserve"> 9 artiklan mukaista hyväksyttyjen laitosten seurantaa ja valvontaa jäsenvaltioiden tukemiseksi niiden unionin ja kansainvälisten velvoitteiden täyttämisessä lippuvaltioina. Tässä yhteydessä virasto avustaa komissiota direktiivin 2009/21/EY [9 artiklan 1 kohdan] mukaisen lippuvaltioasioita käsittelevän korkean tason työryhmän hallinnoinnissa.</w:t>
      </w:r>
    </w:p>
    <w:p w14:paraId="066F48C5" w14:textId="77777777" w:rsidR="006E08CC" w:rsidRPr="00DF107B" w:rsidRDefault="006E08CC">
      <w:pPr>
        <w:widowControl/>
        <w:rPr>
          <w:szCs w:val="24"/>
          <w:lang w:eastAsia="en-US"/>
        </w:rPr>
      </w:pPr>
      <w:r w:rsidRPr="00DF107B">
        <w:rPr>
          <w:szCs w:val="24"/>
          <w:lang w:eastAsia="en-US"/>
        </w:rPr>
        <w:br w:type="page"/>
      </w:r>
    </w:p>
    <w:p w14:paraId="76474E75"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c)</w:t>
      </w:r>
      <w:r w:rsidRPr="00DF107B">
        <w:rPr>
          <w:szCs w:val="24"/>
          <w:lang w:eastAsia="en-US"/>
        </w:rPr>
        <w:tab/>
        <w:t xml:space="preserve">antaa omasta aloitteestaan tai komission pyynnöstä komissiolle suosituksen ja teknistä apua, jotka koskevat mahdollisia korjaavia toimenpiteitä tai sakkojen määräämistä hyväksytyille laitoksille asetuksen (EY) </w:t>
      </w:r>
      <w:proofErr w:type="gramStart"/>
      <w:r w:rsidRPr="00DF107B">
        <w:rPr>
          <w:szCs w:val="24"/>
          <w:lang w:eastAsia="en-US"/>
        </w:rPr>
        <w:t>N:o</w:t>
      </w:r>
      <w:proofErr w:type="gramEnd"/>
      <w:r w:rsidRPr="00DF107B">
        <w:rPr>
          <w:szCs w:val="24"/>
          <w:lang w:eastAsia="en-US"/>
        </w:rPr>
        <w:t xml:space="preserve"> 391/2009 5 ja 6 artiklan mukaisesti.</w:t>
      </w:r>
    </w:p>
    <w:p w14:paraId="2899D4B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7.</w:t>
      </w:r>
      <w:r w:rsidRPr="00DF107B">
        <w:rPr>
          <w:szCs w:val="24"/>
          <w:lang w:eastAsia="en-US"/>
        </w:rPr>
        <w:tab/>
        <w:t>Virasto avustaa komissiota</w:t>
      </w:r>
      <w:r w:rsidRPr="00DF107B">
        <w:rPr>
          <w:b/>
          <w:i/>
          <w:szCs w:val="24"/>
          <w:lang w:eastAsia="en-US"/>
        </w:rPr>
        <w:t xml:space="preserve"> ja jäsenvaltioita</w:t>
      </w:r>
      <w:r w:rsidRPr="00DF107B">
        <w:rPr>
          <w:szCs w:val="24"/>
          <w:lang w:eastAsia="en-US"/>
        </w:rPr>
        <w:t xml:space="preserve"> Euroopan parlamentin ja neuvoston direktiivin 2014/90/EU</w:t>
      </w:r>
      <w:r w:rsidRPr="00DF107B">
        <w:rPr>
          <w:szCs w:val="24"/>
          <w:vertAlign w:val="superscript"/>
          <w:lang w:val="en-GB" w:eastAsia="en-US"/>
        </w:rPr>
        <w:footnoteReference w:id="29"/>
      </w:r>
      <w:r w:rsidRPr="00DF107B">
        <w:rPr>
          <w:szCs w:val="24"/>
          <w:lang w:eastAsia="en-US"/>
        </w:rPr>
        <w:t xml:space="preserve"> täytäntöönpanossa toimittamalla turvallisuusnäkökohtia koskevan teknisen arviointinsa, antamalla suosituksia ja luetteloita vastaavista suunnittelu-, valmistus- ja suorituskykyvaatimuksista ja testausstandardeista, kehittämällä ja ylläpitämällä mainitun direktiivin 35 artiklan 4 kohdassa säädettyä tietokantaa sekä helpottamalla koordinointiryhmänsä teknisenä sihteeristönä toimivien ilmoitettujen arviointilaitosten välistä yhteistyötä. </w:t>
      </w:r>
      <w:r w:rsidRPr="00DF107B">
        <w:rPr>
          <w:b/>
          <w:szCs w:val="24"/>
          <w:lang w:eastAsia="en-US"/>
        </w:rPr>
        <w:t>[Tark. 30]</w:t>
      </w:r>
    </w:p>
    <w:p w14:paraId="308348C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8.</w:t>
      </w:r>
      <w:r w:rsidRPr="00DF107B">
        <w:rPr>
          <w:szCs w:val="24"/>
          <w:lang w:eastAsia="en-US"/>
        </w:rPr>
        <w:tab/>
        <w:t>Virasto avustaa komissiota ja jäsenvaltioita merialan autonomisten ja automatisoitujen pinta-alusten (</w:t>
      </w:r>
      <w:proofErr w:type="spellStart"/>
      <w:r w:rsidRPr="00DF107B">
        <w:rPr>
          <w:szCs w:val="24"/>
          <w:lang w:eastAsia="en-US"/>
        </w:rPr>
        <w:t>MASS</w:t>
      </w:r>
      <w:proofErr w:type="spellEnd"/>
      <w:r w:rsidRPr="00DF107B">
        <w:rPr>
          <w:szCs w:val="24"/>
          <w:lang w:eastAsia="en-US"/>
        </w:rPr>
        <w:t xml:space="preserve">) kehittämiseen liittyvien turvallisuusriskien tunnistamisessa ja tukee jäsenvaltioita </w:t>
      </w:r>
      <w:proofErr w:type="spellStart"/>
      <w:r w:rsidRPr="00DF107B">
        <w:rPr>
          <w:szCs w:val="24"/>
          <w:lang w:eastAsia="en-US"/>
        </w:rPr>
        <w:t>MASS</w:t>
      </w:r>
      <w:proofErr w:type="spellEnd"/>
      <w:r w:rsidRPr="00DF107B">
        <w:rPr>
          <w:szCs w:val="24"/>
          <w:lang w:eastAsia="en-US"/>
        </w:rPr>
        <w:t>-hankkeiden ja toimien hyväksymistä koskevien ohjeiden ja asiakirjojen laatimisessa tekemällä tutkimusta ja kehittämällä asiaankuuluvia digitaalisia työkaluja.</w:t>
      </w:r>
    </w:p>
    <w:p w14:paraId="378BC645" w14:textId="77777777" w:rsidR="006E08CC" w:rsidRPr="00DF107B" w:rsidRDefault="006E08CC">
      <w:pPr>
        <w:widowControl/>
        <w:rPr>
          <w:szCs w:val="24"/>
          <w:lang w:eastAsia="en-US"/>
        </w:rPr>
      </w:pPr>
      <w:r w:rsidRPr="00DF107B">
        <w:rPr>
          <w:szCs w:val="24"/>
          <w:lang w:eastAsia="en-US"/>
        </w:rPr>
        <w:br w:type="page"/>
      </w:r>
    </w:p>
    <w:p w14:paraId="084225F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9.</w:t>
      </w:r>
      <w:r w:rsidRPr="00DF107B">
        <w:rPr>
          <w:szCs w:val="24"/>
          <w:lang w:eastAsia="en-US"/>
        </w:rPr>
        <w:tab/>
        <w:t>Virasto kerää ja analysoi Euroopan parlamentin ja neuvoston direktiivin (EU) 2022/993</w:t>
      </w:r>
      <w:r w:rsidRPr="00DF107B">
        <w:rPr>
          <w:szCs w:val="24"/>
          <w:vertAlign w:val="superscript"/>
          <w:lang w:val="en-GB" w:eastAsia="en-US"/>
        </w:rPr>
        <w:footnoteReference w:id="30"/>
      </w:r>
      <w:r w:rsidRPr="00DF107B">
        <w:rPr>
          <w:szCs w:val="24"/>
          <w:lang w:eastAsia="en-US"/>
        </w:rPr>
        <w:t xml:space="preserve"> mukaisesti annettuja ja käytettyjä tietoja merenkulkijoista. Se voi myös kerätä ja analysoida tietoja merityötä koskevan vuoden 2006 yleissopimuksen täytäntöönpanosta, jotta se voi auttaa parantamaan merenkulkijoiden työ- ja elinoloja aluksella.</w:t>
      </w:r>
      <w:r w:rsidRPr="00DF107B">
        <w:rPr>
          <w:b/>
          <w:i/>
          <w:szCs w:val="24"/>
          <w:lang w:eastAsia="en-US"/>
        </w:rPr>
        <w:t xml:space="preserve"> Komissio käyttää näitä tietoja yhdessä merenkulkijoiden koulutusta, pätevyyskirjoja ja vahdinpitoa koskevan kansainvälisen yleissopimuksen tietojärjestelmän (</w:t>
      </w:r>
      <w:proofErr w:type="spellStart"/>
      <w:r w:rsidRPr="00DF107B">
        <w:rPr>
          <w:b/>
          <w:i/>
          <w:szCs w:val="24"/>
          <w:lang w:eastAsia="en-US"/>
        </w:rPr>
        <w:t>STCW</w:t>
      </w:r>
      <w:proofErr w:type="spellEnd"/>
      <w:r w:rsidRPr="00DF107B">
        <w:rPr>
          <w:b/>
          <w:i/>
          <w:szCs w:val="24"/>
          <w:lang w:eastAsia="en-US"/>
        </w:rPr>
        <w:t xml:space="preserve"> IS) tuottamien tietojen kanssa kehittääkseen asianmukaisia strategisia ratkaisuja merenkulkijoiden rekrytoimiseksi ja työssä pitämiseksi.</w:t>
      </w:r>
      <w:r w:rsidRPr="00DF107B">
        <w:rPr>
          <w:szCs w:val="24"/>
          <w:lang w:eastAsia="en-US"/>
        </w:rPr>
        <w:t xml:space="preserve"> </w:t>
      </w:r>
      <w:r w:rsidRPr="00DF107B">
        <w:rPr>
          <w:b/>
          <w:szCs w:val="24"/>
          <w:lang w:eastAsia="en-US"/>
        </w:rPr>
        <w:t>[Tark. 31]</w:t>
      </w:r>
    </w:p>
    <w:p w14:paraId="6CB6AFCB" w14:textId="77777777" w:rsidR="006E08CC" w:rsidRPr="00DF107B" w:rsidRDefault="006E08CC">
      <w:pPr>
        <w:widowControl/>
        <w:rPr>
          <w:szCs w:val="24"/>
          <w:lang w:eastAsia="en-US"/>
        </w:rPr>
      </w:pPr>
      <w:r w:rsidRPr="00DF107B">
        <w:rPr>
          <w:szCs w:val="24"/>
          <w:lang w:eastAsia="en-US"/>
        </w:rPr>
        <w:br w:type="page"/>
      </w:r>
    </w:p>
    <w:p w14:paraId="3782FAC1"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5 artikla</w:t>
      </w:r>
      <w:r w:rsidRPr="00DF107B">
        <w:rPr>
          <w:szCs w:val="24"/>
          <w:lang w:eastAsia="en-US"/>
        </w:rPr>
        <w:br/>
        <w:t xml:space="preserve">Kestävyyteen liittyvät tehtävät </w:t>
      </w:r>
    </w:p>
    <w:p w14:paraId="36DA894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 tukee jäsenvaltioita kustannustehokkaasti täydentävillä meren pilaantumisen torjuntakeinoilla alusten aiheuttaman pilaantumisen sekä öljyn- ja kaasunporauslaitteistojen aiheuttaman meren pilaantumisen osalta. Virasto toimii näin sen jäsenvaltion pyynnöstä, johon vaikutukset kohdistuvat ja jonka alaisuudessa puhdistustoimet toteutetaan. Tällainen apu ei rajoita rannikkovaltioiden velvollisuutta ylläpitää asianmukaisia pilaantumisen torjuntamekanismeja, ja siinä on otettava huomioon jäsenvaltioiden olemassa oleva yhteistyö tällä alalla. Viraston jäsenvaltioille tarjoamissa operatiivisissa keinoissa on otettava huomioon ja turvattava alan siirtyminen kestävien vaihtoehtoisten voimanlähteiden käyttöön laivoissa. Pilaantumisen torjuntatoimien käyttöönottoa olisi tarvittaessa pyydettävä Euroopan parlamentin ja neuvoston päätöksellä N:o 1313/2013/EU</w:t>
      </w:r>
      <w:r w:rsidRPr="00DF107B">
        <w:rPr>
          <w:szCs w:val="24"/>
          <w:vertAlign w:val="superscript"/>
          <w:lang w:val="en-GB" w:eastAsia="en-US"/>
        </w:rPr>
        <w:footnoteReference w:id="31"/>
      </w:r>
      <w:r w:rsidRPr="00DF107B">
        <w:rPr>
          <w:szCs w:val="24"/>
          <w:lang w:eastAsia="en-US"/>
        </w:rPr>
        <w:t xml:space="preserve"> perustetun unionin pelastuspalvelumekanismin kautta.</w:t>
      </w:r>
    </w:p>
    <w:p w14:paraId="78D0D6A8" w14:textId="77777777" w:rsidR="006E08CC" w:rsidRPr="00DF107B" w:rsidRDefault="006E08CC">
      <w:pPr>
        <w:widowControl/>
        <w:rPr>
          <w:szCs w:val="24"/>
          <w:lang w:eastAsia="en-US"/>
        </w:rPr>
      </w:pPr>
      <w:r w:rsidRPr="00DF107B">
        <w:rPr>
          <w:szCs w:val="24"/>
          <w:lang w:eastAsia="en-US"/>
        </w:rPr>
        <w:br w:type="page"/>
      </w:r>
    </w:p>
    <w:p w14:paraId="7EC7ECE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w:t>
      </w:r>
      <w:r w:rsidRPr="00DF107B">
        <w:rPr>
          <w:szCs w:val="24"/>
          <w:lang w:eastAsia="en-US"/>
        </w:rPr>
        <w:tab/>
        <w:t>Virasto avustaa komissiota ja jäsenvaltioita direktiivin 2005/35/EY mukaisesti mahdollisen pilaantumisen havaitsemisessa ja laittomia päästöjä tekevien alusten seurannassa. Virasto avustaa erityisesti mainitun direktiivin [10, 10 a, 10 b, 10 c ja 10 d] artiklan täytäntöönpanossa</w:t>
      </w:r>
    </w:p>
    <w:p w14:paraId="56D76BB3"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kehittämällä tarvittavan tietojärjestelmän (</w:t>
      </w:r>
      <w:proofErr w:type="spellStart"/>
      <w:r w:rsidRPr="00DF107B">
        <w:rPr>
          <w:szCs w:val="24"/>
          <w:lang w:eastAsia="en-US"/>
        </w:rPr>
        <w:t>CleanSeaNet</w:t>
      </w:r>
      <w:proofErr w:type="spellEnd"/>
      <w:r w:rsidRPr="00DF107B">
        <w:rPr>
          <w:szCs w:val="24"/>
          <w:lang w:eastAsia="en-US"/>
        </w:rPr>
        <w:t>) ja ylläpitämällä sitä osana unionin merenkulun tiedonvaihtojärjestelmää (</w:t>
      </w:r>
      <w:proofErr w:type="spellStart"/>
      <w:r w:rsidRPr="00DF107B">
        <w:rPr>
          <w:szCs w:val="24"/>
          <w:lang w:eastAsia="en-US"/>
        </w:rPr>
        <w:t>SafeSeaNet</w:t>
      </w:r>
      <w:proofErr w:type="spellEnd"/>
      <w:r w:rsidRPr="00DF107B">
        <w:rPr>
          <w:szCs w:val="24"/>
          <w:lang w:eastAsia="en-US"/>
        </w:rPr>
        <w:t>-järjestelmä) sekä kehittämällä ja ylläpitämällä tietokantoja;</w:t>
      </w:r>
    </w:p>
    <w:p w14:paraId="214B8487"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b)</w:t>
      </w:r>
      <w:r w:rsidRPr="00DF107B">
        <w:rPr>
          <w:szCs w:val="24"/>
          <w:lang w:eastAsia="en-US"/>
        </w:rPr>
        <w:tab/>
        <w:t>keräämällä, analysoimalla ja levittämällä tietoja direktiivin 2005/35/EY täytäntöönpanosta ja sen valvonnasta;</w:t>
      </w:r>
    </w:p>
    <w:p w14:paraId="6927E1F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c)</w:t>
      </w:r>
      <w:r w:rsidRPr="00DF107B">
        <w:rPr>
          <w:szCs w:val="24"/>
          <w:lang w:eastAsia="en-US"/>
        </w:rPr>
        <w:tab/>
        <w:t>kehittämällä kansallisten toimivaltaisten viranomaisten valmiuksia ja helpottamalla parhaiden käytäntöjen vaihtoa;</w:t>
      </w:r>
    </w:p>
    <w:p w14:paraId="3A15BAE5" w14:textId="7D8F538E"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d)</w:t>
      </w:r>
      <w:r w:rsidRPr="00DF107B">
        <w:rPr>
          <w:szCs w:val="24"/>
          <w:lang w:eastAsia="en-US"/>
        </w:rPr>
        <w:tab/>
        <w:t>kehittämällä sähköisen ulkoisen ilmoituskanavan miehistön ilmoittamia mahdollisia laittomia päästöjä koskevien tietojen vastaanottamista ja käsittelyä varten ja ylläpitämällä sitä sekä välittämällä tällaiset tiedot edelleen asianomaiselle jäsenvaltiolle tai asianomaisille jäsenvaltioille</w:t>
      </w:r>
      <w:r w:rsidR="006E08CC" w:rsidRPr="00DF107B">
        <w:rPr>
          <w:szCs w:val="24"/>
          <w:lang w:eastAsia="en-US"/>
        </w:rPr>
        <w:t>;</w:t>
      </w:r>
    </w:p>
    <w:p w14:paraId="6EAFB310" w14:textId="77777777" w:rsidR="007E7AE7" w:rsidRPr="00DF107B" w:rsidRDefault="007E7AE7" w:rsidP="007E7AE7">
      <w:pPr>
        <w:widowControl/>
        <w:spacing w:before="120" w:after="120" w:line="360" w:lineRule="auto"/>
        <w:ind w:left="1416" w:hanging="566"/>
        <w:rPr>
          <w:szCs w:val="24"/>
          <w:lang w:eastAsia="en-US"/>
        </w:rPr>
      </w:pPr>
      <w:r w:rsidRPr="00DF107B">
        <w:rPr>
          <w:b/>
          <w:i/>
          <w:szCs w:val="24"/>
          <w:lang w:eastAsia="en-US"/>
        </w:rPr>
        <w:t>d a)</w:t>
      </w:r>
      <w:r w:rsidRPr="00DF107B">
        <w:rPr>
          <w:szCs w:val="24"/>
          <w:lang w:eastAsia="en-US"/>
        </w:rPr>
        <w:tab/>
      </w:r>
      <w:r w:rsidRPr="00DF107B">
        <w:rPr>
          <w:b/>
          <w:i/>
          <w:szCs w:val="24"/>
          <w:lang w:eastAsia="en-US"/>
        </w:rPr>
        <w:t xml:space="preserve">jakamalla asiaankuuluvaa, erityisesti kadonneita pyydyksiä koskevaa tietoa muille EU:n virastoille, kuten </w:t>
      </w:r>
      <w:proofErr w:type="spellStart"/>
      <w:r w:rsidRPr="00DF107B">
        <w:rPr>
          <w:b/>
          <w:i/>
          <w:szCs w:val="24"/>
          <w:lang w:eastAsia="en-US"/>
        </w:rPr>
        <w:t>EFCAlle</w:t>
      </w:r>
      <w:proofErr w:type="spellEnd"/>
      <w:r w:rsidRPr="00DF107B">
        <w:rPr>
          <w:b/>
          <w:i/>
          <w:szCs w:val="24"/>
          <w:lang w:eastAsia="en-US"/>
        </w:rPr>
        <w:t>, ja vastaanottamalla sitä niiltä.</w:t>
      </w:r>
      <w:r w:rsidRPr="00DF107B">
        <w:rPr>
          <w:szCs w:val="24"/>
          <w:lang w:eastAsia="en-US"/>
        </w:rPr>
        <w:t xml:space="preserve"> </w:t>
      </w:r>
      <w:r w:rsidRPr="00DF107B">
        <w:rPr>
          <w:b/>
          <w:szCs w:val="24"/>
          <w:lang w:eastAsia="en-US"/>
        </w:rPr>
        <w:t>[Tark. 32]</w:t>
      </w:r>
    </w:p>
    <w:p w14:paraId="65755EC7" w14:textId="77777777" w:rsidR="006E08CC" w:rsidRPr="00DF107B" w:rsidRDefault="006E08CC">
      <w:pPr>
        <w:widowControl/>
        <w:rPr>
          <w:szCs w:val="24"/>
          <w:lang w:eastAsia="en-US"/>
        </w:rPr>
      </w:pPr>
      <w:r w:rsidRPr="00DF107B">
        <w:rPr>
          <w:szCs w:val="24"/>
          <w:lang w:eastAsia="en-US"/>
        </w:rPr>
        <w:br w:type="page"/>
      </w:r>
    </w:p>
    <w:p w14:paraId="62C1DCC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w:t>
      </w:r>
      <w:r w:rsidRPr="00DF107B">
        <w:rPr>
          <w:szCs w:val="24"/>
          <w:lang w:eastAsia="en-US"/>
        </w:rPr>
        <w:tab/>
        <w:t xml:space="preserve">Virasto tarjoaa </w:t>
      </w:r>
      <w:proofErr w:type="spellStart"/>
      <w:r w:rsidRPr="00DF107B">
        <w:rPr>
          <w:szCs w:val="24"/>
          <w:lang w:eastAsia="en-US"/>
        </w:rPr>
        <w:t>CleanSeaNet</w:t>
      </w:r>
      <w:proofErr w:type="spellEnd"/>
      <w:r w:rsidRPr="00DF107B">
        <w:rPr>
          <w:szCs w:val="24"/>
          <w:lang w:eastAsia="en-US"/>
        </w:rPr>
        <w:t>-palvelua ja muita välineitä avustaakseen komissiota ja jäsenvaltioita niiden pyynnöstä öljyn- ja kaasunporauslaitteistojen aiheuttaman meren pilaantumisen laajuuden ja ympäristövaikutusten seurannassa.</w:t>
      </w:r>
    </w:p>
    <w:p w14:paraId="423F61A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Virasto avustaa komissiota ja jäsenvaltioita aluksilta peräisin olevan jätteen toimittamiseen tarkoitetuista satamassa olevista vastaanottolaitteista annetun direktiivin (EU) 2019/883 täytäntöönpanossa. Virasto avustaa komissiota erityisesti mainitun direktiivin 14 artiklassa säädetyn tarkastustietokannan kehittämisessä ja ylläpidossa.</w:t>
      </w:r>
    </w:p>
    <w:p w14:paraId="1492600C" w14:textId="77777777" w:rsidR="006E08CC" w:rsidRPr="00DF107B" w:rsidRDefault="006E08CC">
      <w:pPr>
        <w:widowControl/>
        <w:rPr>
          <w:szCs w:val="24"/>
          <w:lang w:eastAsia="en-US"/>
        </w:rPr>
      </w:pPr>
      <w:r w:rsidRPr="00DF107B">
        <w:rPr>
          <w:szCs w:val="24"/>
          <w:lang w:eastAsia="en-US"/>
        </w:rPr>
        <w:br w:type="page"/>
      </w:r>
    </w:p>
    <w:p w14:paraId="4E7B630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5.</w:t>
      </w:r>
      <w:r w:rsidRPr="00DF107B">
        <w:rPr>
          <w:szCs w:val="24"/>
          <w:lang w:eastAsia="en-US"/>
        </w:rPr>
        <w:tab/>
        <w:t>Virasto avustaa komissiota ja jäsenvaltioita direktiivin 2008/56/EY täytäntöönpanossa edistämällä merivesien hyvän tilan saavuttamisen tavoitetta meriliikenteeseen liittyvien tekijöiden osalta sekä olemassa olevien välineiden, kuten yhdennettyjen meripalvelujen, tulosten hyödyntämisessä. Tältä osin virasto tekee lisätutkimuksia kadonneita kontteja ja muovipellettejä sekä vedenalaista melua koskevista kysymyksistä ja antaa suosituksia komissiolle ja jäsenvaltioille.</w:t>
      </w:r>
    </w:p>
    <w:p w14:paraId="6E9400DA" w14:textId="77777777" w:rsidR="007E7AE7" w:rsidRPr="00DF107B" w:rsidRDefault="007E7AE7" w:rsidP="007E7AE7">
      <w:pPr>
        <w:widowControl/>
        <w:spacing w:before="120" w:after="120" w:line="360" w:lineRule="auto"/>
        <w:ind w:left="850"/>
        <w:rPr>
          <w:szCs w:val="24"/>
          <w:lang w:eastAsia="en-US"/>
        </w:rPr>
      </w:pPr>
      <w:r w:rsidRPr="00DF107B">
        <w:rPr>
          <w:b/>
          <w:i/>
          <w:szCs w:val="24"/>
          <w:lang w:eastAsia="en-US"/>
        </w:rPr>
        <w:t>Viraston on annettava alan sidosryhmille ja lippuvaltioille opastusta merellä kadonneiden konttien osalta IMO:ssa sovituista vaatimuksista, jotka koskevat kadonneista konteista tehtäviä pakollisia ilmoituksia. Mahdollisuutta ottaa EU:n tasolla ja kansainvälisesti käyttöön yhteisiä ja koordinoituja reagointimekanismeja on myös tarkasteltava.</w:t>
      </w:r>
      <w:r w:rsidRPr="00DF107B">
        <w:rPr>
          <w:szCs w:val="24"/>
          <w:lang w:eastAsia="en-US"/>
        </w:rPr>
        <w:t xml:space="preserve"> </w:t>
      </w:r>
      <w:r w:rsidRPr="00DF107B">
        <w:rPr>
          <w:b/>
          <w:szCs w:val="24"/>
          <w:lang w:eastAsia="en-US"/>
        </w:rPr>
        <w:t>[Tark. 33]</w:t>
      </w:r>
    </w:p>
    <w:p w14:paraId="3EF1933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6.</w:t>
      </w:r>
      <w:r w:rsidRPr="00DF107B">
        <w:rPr>
          <w:szCs w:val="24"/>
          <w:lang w:eastAsia="en-US"/>
        </w:rPr>
        <w:tab/>
        <w:t>Virasto avustaa komissiota ja jäsenvaltioita direktiivin (EU) 2016/802 meriliikenteeseen liittyvien osien täytäntöönpanossa, myös operatiivisilla välineillä ja palveluilla. Tältä osin virasto myös parantaa ja ylläpitää tietokantaa, jolla autetaan jäsenvaltioita kohdentamaan tarkastuksia aluksiin ja priorisoimaan tarkastettavat alukset asianmukaisesti mainitun direktiivin noudattamatta jättämisen riskin perusteella.</w:t>
      </w:r>
    </w:p>
    <w:p w14:paraId="54A8C37F" w14:textId="77777777" w:rsidR="006E08CC" w:rsidRPr="00DF107B" w:rsidRDefault="006E08CC">
      <w:pPr>
        <w:widowControl/>
        <w:rPr>
          <w:szCs w:val="24"/>
          <w:lang w:eastAsia="en-US"/>
        </w:rPr>
      </w:pPr>
      <w:r w:rsidRPr="00DF107B">
        <w:rPr>
          <w:szCs w:val="24"/>
          <w:lang w:eastAsia="en-US"/>
        </w:rPr>
        <w:br w:type="page"/>
      </w:r>
    </w:p>
    <w:p w14:paraId="6960D34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7.</w:t>
      </w:r>
      <w:r w:rsidRPr="00DF107B">
        <w:rPr>
          <w:szCs w:val="24"/>
          <w:lang w:eastAsia="en-US"/>
        </w:rPr>
        <w:tab/>
        <w:t>Virasto avustaa komissiota ja jäsenvaltioita niiden pyynnöstä asianmukaisilla operatiivisilla välineillä ja palveluilla aluksista tuleviin typen oksidien (</w:t>
      </w:r>
      <w:proofErr w:type="spellStart"/>
      <w:r w:rsidRPr="00DF107B">
        <w:rPr>
          <w:szCs w:val="24"/>
          <w:lang w:eastAsia="en-US"/>
        </w:rPr>
        <w:t>NOx</w:t>
      </w:r>
      <w:proofErr w:type="spellEnd"/>
      <w:r w:rsidRPr="00DF107B">
        <w:rPr>
          <w:szCs w:val="24"/>
          <w:lang w:eastAsia="en-US"/>
        </w:rPr>
        <w:t>) päästöihin liittyvien tietojen seurannassa ja keräämisessä.</w:t>
      </w:r>
    </w:p>
    <w:p w14:paraId="4296131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8.</w:t>
      </w:r>
      <w:r w:rsidRPr="00DF107B">
        <w:rPr>
          <w:szCs w:val="24"/>
          <w:lang w:eastAsia="en-US"/>
        </w:rPr>
        <w:tab/>
        <w:t>Virasto avustaa komissiota ja jäsenvaltioita Euroopan parlamentin ja neuvoston asetuksen (EU) N:o 1257/2013</w:t>
      </w:r>
      <w:r w:rsidRPr="00DF107B">
        <w:rPr>
          <w:szCs w:val="24"/>
          <w:vertAlign w:val="superscript"/>
          <w:lang w:val="en-GB" w:eastAsia="en-US"/>
        </w:rPr>
        <w:footnoteReference w:id="32"/>
      </w:r>
      <w:r w:rsidRPr="00DF107B">
        <w:rPr>
          <w:szCs w:val="24"/>
          <w:lang w:eastAsia="en-US"/>
        </w:rPr>
        <w:t xml:space="preserve"> täytäntöönpanossa antamalla asianmukaisia ohjeita sekä keräämällä ja analysoimalla tietoja mainitun asetuksen säännösten noudattamisesta.</w:t>
      </w:r>
    </w:p>
    <w:p w14:paraId="12678ACA"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9.</w:t>
      </w:r>
      <w:r w:rsidRPr="00DF107B">
        <w:rPr>
          <w:szCs w:val="24"/>
          <w:lang w:eastAsia="en-US"/>
        </w:rPr>
        <w:tab/>
        <w:t>Virasto antaa komissiolle joka kolmas vuosi kertomuksen unionin tasolla saavutetusta edistyksestä meriliikenteen ympäristövaikutusten vähentämisessä.</w:t>
      </w:r>
    </w:p>
    <w:p w14:paraId="29441FA8"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6 artikla</w:t>
      </w:r>
      <w:r w:rsidRPr="00DF107B">
        <w:rPr>
          <w:szCs w:val="24"/>
          <w:lang w:eastAsia="en-US"/>
        </w:rPr>
        <w:br/>
        <w:t>Hiilestä irtautumiseen liittyvät tehtävät</w:t>
      </w:r>
    </w:p>
    <w:p w14:paraId="357F335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 seuraa alusten</w:t>
      </w:r>
      <w:r w:rsidRPr="00DF107B">
        <w:rPr>
          <w:b/>
          <w:i/>
          <w:szCs w:val="24"/>
          <w:lang w:eastAsia="en-US"/>
        </w:rPr>
        <w:t xml:space="preserve"> ja satamien</w:t>
      </w:r>
      <w:r w:rsidRPr="00DF107B">
        <w:rPr>
          <w:szCs w:val="24"/>
          <w:lang w:eastAsia="en-US"/>
        </w:rPr>
        <w:t xml:space="preserve"> energiatehokkuuden parantamiseksi toteutettujen operatiivisten ja teknisten toimenpiteiden edistymistä sekä kestävien vaihtoehtoisten polttoaineiden ja energia- ja käyttövoimajärjestelmien, mukaan lukien maasähkön jakelu</w:t>
      </w:r>
      <w:r w:rsidRPr="00DF107B">
        <w:rPr>
          <w:strike/>
          <w:szCs w:val="24"/>
          <w:lang w:eastAsia="en-US"/>
        </w:rPr>
        <w:t xml:space="preserve"> ja</w:t>
      </w:r>
      <w:r w:rsidRPr="00DF107B">
        <w:rPr>
          <w:b/>
          <w:i/>
          <w:szCs w:val="24"/>
          <w:lang w:eastAsia="en-US"/>
        </w:rPr>
        <w:t>,</w:t>
      </w:r>
      <w:r w:rsidRPr="00DF107B">
        <w:rPr>
          <w:szCs w:val="24"/>
          <w:lang w:eastAsia="en-US"/>
        </w:rPr>
        <w:t xml:space="preserve"> tuuliavusteinen käyttövoima</w:t>
      </w:r>
      <w:r w:rsidRPr="00DF107B">
        <w:rPr>
          <w:b/>
          <w:i/>
          <w:szCs w:val="24"/>
          <w:lang w:eastAsia="en-US"/>
        </w:rPr>
        <w:t xml:space="preserve"> ja hiilidioksidin talteenotto aluksella</w:t>
      </w:r>
      <w:r w:rsidRPr="00DF107B">
        <w:rPr>
          <w:szCs w:val="24"/>
          <w:lang w:eastAsia="en-US"/>
        </w:rPr>
        <w:t xml:space="preserve">, käyttöönottoa aluksissa niiden kasvihuonekaasupäästöjen vähentämiseksi. </w:t>
      </w:r>
      <w:r w:rsidRPr="00DF107B">
        <w:rPr>
          <w:b/>
          <w:szCs w:val="24"/>
          <w:lang w:eastAsia="en-US"/>
        </w:rPr>
        <w:t>[Tark. 34]</w:t>
      </w:r>
    </w:p>
    <w:p w14:paraId="6BE0889C" w14:textId="77777777" w:rsidR="006E08CC" w:rsidRPr="00DF107B" w:rsidRDefault="006E08CC">
      <w:pPr>
        <w:widowControl/>
        <w:rPr>
          <w:b/>
          <w:i/>
          <w:szCs w:val="24"/>
          <w:lang w:eastAsia="en-US"/>
        </w:rPr>
      </w:pPr>
      <w:r w:rsidRPr="00DF107B">
        <w:rPr>
          <w:b/>
          <w:i/>
          <w:szCs w:val="24"/>
          <w:lang w:eastAsia="en-US"/>
        </w:rPr>
        <w:br w:type="page"/>
      </w:r>
    </w:p>
    <w:p w14:paraId="1FE5AEE0"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lastRenderedPageBreak/>
        <w:t>1 a.</w:t>
      </w:r>
      <w:r w:rsidRPr="00DF107B">
        <w:rPr>
          <w:szCs w:val="24"/>
          <w:lang w:eastAsia="en-US"/>
        </w:rPr>
        <w:tab/>
      </w:r>
      <w:r w:rsidRPr="00DF107B">
        <w:rPr>
          <w:b/>
          <w:i/>
          <w:szCs w:val="24"/>
          <w:lang w:eastAsia="en-US"/>
        </w:rPr>
        <w:t>Virasto arvioi tarvetta ottaa käyttöön lisäkoulutusmoduuleja merenkulkualan ammattilaisille, jotka käsittelevät uusia ja usein monimutkaisia hybridijärjestelmiä ja päästöttömiä järjestelmiä.</w:t>
      </w:r>
      <w:r w:rsidRPr="00DF107B">
        <w:rPr>
          <w:szCs w:val="24"/>
          <w:lang w:eastAsia="en-US"/>
        </w:rPr>
        <w:t xml:space="preserve"> </w:t>
      </w:r>
      <w:r w:rsidRPr="00DF107B">
        <w:rPr>
          <w:b/>
          <w:szCs w:val="24"/>
          <w:lang w:eastAsia="en-US"/>
        </w:rPr>
        <w:t>[Tark. 35]</w:t>
      </w:r>
    </w:p>
    <w:p w14:paraId="497297E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Virasto antaa komissiolle ja jäsenvaltioille niiden pyynnöstä teknistä apua alusten</w:t>
      </w:r>
      <w:r w:rsidRPr="00DF107B">
        <w:rPr>
          <w:b/>
          <w:i/>
          <w:szCs w:val="24"/>
          <w:lang w:eastAsia="en-US"/>
        </w:rPr>
        <w:t xml:space="preserve"> ja satamien</w:t>
      </w:r>
      <w:r w:rsidRPr="00DF107B">
        <w:rPr>
          <w:szCs w:val="24"/>
          <w:lang w:eastAsia="en-US"/>
        </w:rPr>
        <w:t xml:space="preserve"> kasvihuonekaasupäästöjen vähentämiseen tähtäävissä sääntelytoimissa. Virasto voi tässä yhteydessä käyttää mitä tahansa tehtävän kannalta merkityksellisiä operatiivisia välineitä tai palveluja. Erityisesti virasto tutkii, analysoi ja ehdottaa ohjeita tai suosituksia, jotka liittyvät kestävien vaihtoehtoisten polttoaineiden ja energia- ja käyttövoimajärjestelmien, mukaan lukien maasähkön jakelu</w:t>
      </w:r>
      <w:r w:rsidRPr="00DF107B">
        <w:rPr>
          <w:b/>
          <w:i/>
          <w:szCs w:val="24"/>
          <w:lang w:eastAsia="en-US"/>
        </w:rPr>
        <w:t>, tuuli-, aurinko- ja aaltoavusteinen</w:t>
      </w:r>
      <w:r w:rsidRPr="00DF107B">
        <w:rPr>
          <w:strike/>
          <w:szCs w:val="24"/>
          <w:lang w:eastAsia="en-US"/>
        </w:rPr>
        <w:t xml:space="preserve"> ja tuuliavusteinen</w:t>
      </w:r>
      <w:r w:rsidRPr="00DF107B">
        <w:rPr>
          <w:szCs w:val="24"/>
          <w:lang w:eastAsia="en-US"/>
        </w:rPr>
        <w:t xml:space="preserve"> käyttövoima</w:t>
      </w:r>
      <w:r w:rsidRPr="00DF107B">
        <w:rPr>
          <w:b/>
          <w:i/>
          <w:szCs w:val="24"/>
          <w:lang w:eastAsia="en-US"/>
        </w:rPr>
        <w:t xml:space="preserve"> ja hiilidioksidin talteenotto aluksella</w:t>
      </w:r>
      <w:r w:rsidRPr="00DF107B">
        <w:rPr>
          <w:szCs w:val="24"/>
          <w:lang w:eastAsia="en-US"/>
        </w:rPr>
        <w:t>, käyttöönottoon aluksissa</w:t>
      </w:r>
      <w:r w:rsidRPr="00DF107B">
        <w:rPr>
          <w:b/>
          <w:i/>
          <w:szCs w:val="24"/>
          <w:lang w:eastAsia="en-US"/>
        </w:rPr>
        <w:t xml:space="preserve"> siten, että varmistetaan teknologianneutraaliuden noudattaminen,</w:t>
      </w:r>
      <w:r w:rsidRPr="00DF107B">
        <w:rPr>
          <w:szCs w:val="24"/>
          <w:lang w:eastAsia="en-US"/>
        </w:rPr>
        <w:t xml:space="preserve"> sekä energiatehokkuustoimenpiteisiin</w:t>
      </w:r>
      <w:r w:rsidRPr="00DF107B">
        <w:rPr>
          <w:b/>
          <w:i/>
          <w:szCs w:val="24"/>
          <w:lang w:eastAsia="en-US"/>
        </w:rPr>
        <w:t>, kuten hidasajon ja nopeuden optimoinnin kaltaisiin käytäntöihin</w:t>
      </w:r>
      <w:r w:rsidRPr="00DF107B">
        <w:rPr>
          <w:szCs w:val="24"/>
          <w:lang w:eastAsia="en-US"/>
        </w:rPr>
        <w:t xml:space="preserve">. </w:t>
      </w:r>
      <w:r w:rsidRPr="00DF107B">
        <w:rPr>
          <w:b/>
          <w:szCs w:val="24"/>
          <w:lang w:eastAsia="en-US"/>
        </w:rPr>
        <w:t>[Tark. 36]</w:t>
      </w:r>
    </w:p>
    <w:p w14:paraId="4C3B1CB0" w14:textId="77777777" w:rsidR="006E08CC" w:rsidRPr="00DF107B" w:rsidRDefault="006E08CC">
      <w:pPr>
        <w:widowControl/>
        <w:rPr>
          <w:szCs w:val="24"/>
          <w:lang w:eastAsia="en-US"/>
        </w:rPr>
      </w:pPr>
      <w:r w:rsidRPr="00DF107B">
        <w:rPr>
          <w:szCs w:val="24"/>
          <w:lang w:eastAsia="en-US"/>
        </w:rPr>
        <w:br w:type="page"/>
      </w:r>
    </w:p>
    <w:p w14:paraId="12C8719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w:t>
      </w:r>
      <w:r w:rsidRPr="00DF107B">
        <w:rPr>
          <w:szCs w:val="24"/>
          <w:lang w:eastAsia="en-US"/>
        </w:rPr>
        <w:tab/>
        <w:t xml:space="preserve">Virasto avustaa komissiota ja jäsenvaltioita [uusiutuvien ja vähähiilisten polttoaineiden käytöstä meriliikenteessä annetun asetuksen (EU) ...] täytäntöönpanossa. Virasto avustaa komissiota erityisesti </w:t>
      </w:r>
      <w:proofErr w:type="spellStart"/>
      <w:r w:rsidRPr="00DF107B">
        <w:rPr>
          <w:szCs w:val="24"/>
          <w:lang w:eastAsia="en-US"/>
        </w:rPr>
        <w:t>FuelEU</w:t>
      </w:r>
      <w:proofErr w:type="spellEnd"/>
      <w:r w:rsidRPr="00DF107B">
        <w:rPr>
          <w:szCs w:val="24"/>
          <w:lang w:eastAsia="en-US"/>
        </w:rPr>
        <w:t>-tietokannan ja muiden mainitun asetuksen [16 artiklassa] tarkoitettujen asiaankuuluvien tietoteknisten välineiden kehittämisessä ja ylläpidossa, asianmukaisten seurantavälineiden, ohjeiden ja riskiperusteisten kohdentamisvälineiden kehittämisessä mainitun asetuksen [15 b artiklassa] säädettyjen tarkastusten ja täytäntöönpanotoimien helpottamiseksi sekä asiaankuuluvien tietojen analysoinnissa ja mainitun asetuksen [28 artiklan] mukaisen raportoinnin valmistelussa.</w:t>
      </w:r>
    </w:p>
    <w:p w14:paraId="2EBB808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 xml:space="preserve">Virasto avustaa komissiota ja jäsenvaltioita asetuksen (EU) 2015/757 täytäntöönpanossa. Erityisesti virasto avustaa komissiota asiaankuuluvien tietoteknisten välineiden, tietokantojen ja ohjeiden kehittämisessä, päivittämisessä ja ylläpidossa mainitun asetuksen </w:t>
      </w:r>
      <w:proofErr w:type="spellStart"/>
      <w:r w:rsidRPr="00DF107B">
        <w:rPr>
          <w:szCs w:val="24"/>
          <w:lang w:eastAsia="en-US"/>
        </w:rPr>
        <w:t>täytäntöönpanemiseksi</w:t>
      </w:r>
      <w:proofErr w:type="spellEnd"/>
      <w:r w:rsidRPr="00DF107B">
        <w:rPr>
          <w:szCs w:val="24"/>
          <w:lang w:eastAsia="en-US"/>
        </w:rPr>
        <w:t xml:space="preserve"> ja täytäntöönpanotoimien helpottamiseksi sekä mainitun asetuksen mukaisesti raportoitujen asiaankuuluvien tietojen analysoinnissa, minkä lisäksi se tukee komissiota sen toimissa mainitun asetuksen 21 artiklan mukaisten velvoitteiden noudattamiseksi.</w:t>
      </w:r>
    </w:p>
    <w:p w14:paraId="6A3EBBD8" w14:textId="77777777" w:rsidR="006E08CC" w:rsidRPr="00DF107B" w:rsidRDefault="006E08CC">
      <w:pPr>
        <w:widowControl/>
        <w:rPr>
          <w:szCs w:val="24"/>
          <w:lang w:eastAsia="en-US"/>
        </w:rPr>
      </w:pPr>
      <w:r w:rsidRPr="00DF107B">
        <w:rPr>
          <w:szCs w:val="24"/>
          <w:lang w:eastAsia="en-US"/>
        </w:rPr>
        <w:br w:type="page"/>
      </w:r>
    </w:p>
    <w:p w14:paraId="03B9308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5.</w:t>
      </w:r>
      <w:r w:rsidRPr="00DF107B">
        <w:rPr>
          <w:szCs w:val="24"/>
          <w:lang w:eastAsia="en-US"/>
        </w:rPr>
        <w:tab/>
        <w:t>Virasto avustaa komissiota ja jäsenvaltioita direktiivin 2003/87/EY merenkulkualan kannalta merkityksellisten osien täytäntöönpanossa. Virasto avustaa komissiota erityisesti asianmukaisten tietoteknisten täytäntöönpanovälineiden, seurantavälineiden, ohjeiden ja riskiperusteisten kohdentamisvälineiden kehittämisessä, jotta voidaan helpottaa merenkulkualan kannalta merkityksellisiä direktiiviin 2003/87/EY liittyviä tarkastuksia ja täytäntöönpanoa ja täytäntöönpanon valvontaa, hyödyntäen samalla olemassa olevien asiaankuuluvien välineiden, palvelujen ja tietokantojen tuloksia.</w:t>
      </w:r>
    </w:p>
    <w:p w14:paraId="72876376" w14:textId="5ED5BA44" w:rsidR="007E7AE7" w:rsidRPr="00DF107B" w:rsidRDefault="007E7AE7" w:rsidP="00F47CD4">
      <w:pPr>
        <w:widowControl/>
        <w:spacing w:before="120" w:after="120" w:line="360" w:lineRule="auto"/>
        <w:ind w:left="850" w:firstLine="1"/>
        <w:rPr>
          <w:szCs w:val="24"/>
          <w:lang w:eastAsia="en-US"/>
        </w:rPr>
      </w:pPr>
      <w:r w:rsidRPr="00DF107B">
        <w:rPr>
          <w:b/>
          <w:i/>
          <w:szCs w:val="24"/>
          <w:lang w:eastAsia="en-US"/>
        </w:rPr>
        <w:t xml:space="preserve">Tällaiseen avustukseen sisältyy myös vaikutusten seuranta ja niistä raportointi siltä osin kuin on kyse vaikutuksista satamaliikenteeseen, satamien välttelyyn ja EU:n satamien vahingoksi tapahtuvaan liikenteen siirtymiseen lähialueilla sijaitseviin konttien </w:t>
      </w:r>
      <w:proofErr w:type="spellStart"/>
      <w:r w:rsidRPr="00DF107B">
        <w:rPr>
          <w:b/>
          <w:i/>
          <w:szCs w:val="24"/>
          <w:lang w:eastAsia="en-US"/>
        </w:rPr>
        <w:t>jälleenlaivaussatamiin</w:t>
      </w:r>
      <w:proofErr w:type="spellEnd"/>
      <w:r w:rsidRPr="00DF107B">
        <w:rPr>
          <w:b/>
          <w:i/>
          <w:szCs w:val="24"/>
          <w:lang w:eastAsia="en-US"/>
        </w:rPr>
        <w:t>.</w:t>
      </w:r>
      <w:r w:rsidRPr="00DF107B">
        <w:rPr>
          <w:szCs w:val="24"/>
          <w:lang w:eastAsia="en-US"/>
        </w:rPr>
        <w:t xml:space="preserve"> </w:t>
      </w:r>
      <w:r w:rsidRPr="00DF107B">
        <w:rPr>
          <w:b/>
          <w:szCs w:val="24"/>
          <w:lang w:eastAsia="en-US"/>
        </w:rPr>
        <w:t>[Tark. 37]</w:t>
      </w:r>
    </w:p>
    <w:p w14:paraId="4EFF9D7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6.</w:t>
      </w:r>
      <w:r w:rsidRPr="00DF107B">
        <w:rPr>
          <w:szCs w:val="24"/>
          <w:lang w:eastAsia="en-US"/>
        </w:rPr>
        <w:tab/>
        <w:t>Virasto antaa komissiolle joka kolmas vuosi kertomuksen unionin tasolla saavutetusta edistyksestä meriliikenteen hiilestä irtautumisessa. Kertomukseen on mahdollisuuksien mukaan sisällytettävä tekninen analyysi esiin tulleista seikoista, joihin voitaisiin puuttua unionin tasolla.</w:t>
      </w:r>
      <w:r w:rsidRPr="00DF107B">
        <w:rPr>
          <w:b/>
          <w:i/>
          <w:szCs w:val="24"/>
          <w:lang w:eastAsia="en-US"/>
        </w:rPr>
        <w:t xml:space="preserve"> Kertomus on asetettava julkisesti saataville viraston verkkosivustolla haut mahdollistavassa ja eritellyssä muodossa.</w:t>
      </w:r>
      <w:r w:rsidRPr="00DF107B">
        <w:rPr>
          <w:szCs w:val="24"/>
          <w:lang w:eastAsia="en-US"/>
        </w:rPr>
        <w:t xml:space="preserve"> </w:t>
      </w:r>
      <w:r w:rsidRPr="00DF107B">
        <w:rPr>
          <w:b/>
          <w:szCs w:val="24"/>
          <w:lang w:eastAsia="en-US"/>
        </w:rPr>
        <w:t>[Tark. 38]</w:t>
      </w:r>
    </w:p>
    <w:p w14:paraId="3F484115" w14:textId="77777777" w:rsidR="006E08CC" w:rsidRPr="00DF107B" w:rsidRDefault="006E08CC">
      <w:pPr>
        <w:widowControl/>
        <w:rPr>
          <w:szCs w:val="24"/>
          <w:lang w:eastAsia="en-US"/>
        </w:rPr>
      </w:pPr>
      <w:r w:rsidRPr="00DF107B">
        <w:rPr>
          <w:szCs w:val="24"/>
          <w:lang w:eastAsia="en-US"/>
        </w:rPr>
        <w:br w:type="page"/>
      </w:r>
    </w:p>
    <w:p w14:paraId="51F5A994"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7 artikla</w:t>
      </w:r>
      <w:r w:rsidRPr="00DF107B">
        <w:rPr>
          <w:szCs w:val="24"/>
          <w:lang w:eastAsia="en-US"/>
        </w:rPr>
        <w:br/>
        <w:t>Merelliseen turvallisuuteen ja kyberturvallisuuteen liittyvät tehtävät</w:t>
      </w:r>
    </w:p>
    <w:p w14:paraId="587782A2" w14:textId="7C2EAC11"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 tarjoaa komissiolle</w:t>
      </w:r>
      <w:r w:rsidRPr="00DF107B">
        <w:rPr>
          <w:b/>
          <w:i/>
          <w:szCs w:val="24"/>
          <w:lang w:eastAsia="en-US"/>
        </w:rPr>
        <w:t xml:space="preserve"> ja jäsenvaltioille</w:t>
      </w:r>
      <w:r w:rsidRPr="00DF107B">
        <w:rPr>
          <w:szCs w:val="24"/>
          <w:lang w:eastAsia="en-US"/>
        </w:rPr>
        <w:t xml:space="preserve"> teknist</w:t>
      </w:r>
      <w:r w:rsidR="006E08CC" w:rsidRPr="00DF107B">
        <w:rPr>
          <w:szCs w:val="24"/>
          <w:lang w:eastAsia="en-US"/>
        </w:rPr>
        <w:t xml:space="preserve">ä apua sille asetuksen (EY) </w:t>
      </w:r>
      <w:proofErr w:type="gramStart"/>
      <w:r w:rsidR="006E08CC" w:rsidRPr="00DF107B">
        <w:rPr>
          <w:szCs w:val="24"/>
          <w:lang w:eastAsia="en-US"/>
        </w:rPr>
        <w:t>N:o</w:t>
      </w:r>
      <w:proofErr w:type="gramEnd"/>
      <w:r w:rsidR="006E08CC" w:rsidRPr="00DF107B">
        <w:rPr>
          <w:szCs w:val="24"/>
          <w:lang w:eastAsia="en-US"/>
        </w:rPr>
        <w:t> </w:t>
      </w:r>
      <w:r w:rsidRPr="00DF107B">
        <w:rPr>
          <w:szCs w:val="24"/>
          <w:lang w:eastAsia="en-US"/>
        </w:rPr>
        <w:t xml:space="preserve">725/2004 9 artiklan </w:t>
      </w:r>
      <w:r w:rsidRPr="00DF107B">
        <w:rPr>
          <w:strike/>
          <w:szCs w:val="24"/>
          <w:lang w:eastAsia="en-US"/>
        </w:rPr>
        <w:t xml:space="preserve">4 kohdan </w:t>
      </w:r>
      <w:r w:rsidRPr="00DF107B">
        <w:rPr>
          <w:szCs w:val="24"/>
          <w:lang w:eastAsia="en-US"/>
        </w:rPr>
        <w:t xml:space="preserve">nojalla osoitettujen </w:t>
      </w:r>
      <w:r w:rsidRPr="00DF107B">
        <w:rPr>
          <w:strike/>
          <w:szCs w:val="24"/>
          <w:lang w:eastAsia="en-US"/>
        </w:rPr>
        <w:t>tarkastustehtävien</w:t>
      </w:r>
      <w:r w:rsidRPr="00DF107B">
        <w:rPr>
          <w:b/>
          <w:i/>
          <w:szCs w:val="24"/>
          <w:lang w:eastAsia="en-US"/>
        </w:rPr>
        <w:t>tehtävien</w:t>
      </w:r>
      <w:r w:rsidRPr="00DF107B">
        <w:rPr>
          <w:szCs w:val="24"/>
          <w:lang w:eastAsia="en-US"/>
        </w:rPr>
        <w:t xml:space="preserve"> suorittamisessa.</w:t>
      </w:r>
      <w:r w:rsidR="000E6A3A" w:rsidRPr="00DF107B">
        <w:rPr>
          <w:szCs w:val="24"/>
          <w:lang w:eastAsia="en-US"/>
        </w:rPr>
        <w:t xml:space="preserve"> </w:t>
      </w:r>
      <w:r w:rsidR="000E6A3A" w:rsidRPr="00DF107B">
        <w:rPr>
          <w:b/>
          <w:szCs w:val="24"/>
          <w:lang w:eastAsia="en-US"/>
        </w:rPr>
        <w:t>[Tark. 39]</w:t>
      </w:r>
    </w:p>
    <w:p w14:paraId="7BDB61F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 xml:space="preserve">Virasto avustaa komissiota ja jäsenvaltioita yhdessä muiden asiaankuuluvien unionin elinten kanssa merenkulkualan sietokyvyn kehittämisessä kyberhäiriöitä vastaan erityisesti </w:t>
      </w:r>
      <w:r w:rsidRPr="00DF107B">
        <w:rPr>
          <w:b/>
          <w:i/>
          <w:szCs w:val="24"/>
          <w:lang w:eastAsia="en-US"/>
        </w:rPr>
        <w:t xml:space="preserve">antamalla suuntaviivoja, </w:t>
      </w:r>
      <w:r w:rsidRPr="00DF107B">
        <w:rPr>
          <w:szCs w:val="24"/>
          <w:lang w:eastAsia="en-US"/>
        </w:rPr>
        <w:t xml:space="preserve">helpottamalla kyberhäiriöitä koskevien parhaiden käytäntöjen ja tietojen vaihtoa jäsenvaltioiden välillä. </w:t>
      </w:r>
      <w:r w:rsidRPr="00DF107B">
        <w:rPr>
          <w:b/>
          <w:szCs w:val="24"/>
          <w:lang w:eastAsia="en-US"/>
        </w:rPr>
        <w:t>[Tark. 40]</w:t>
      </w:r>
    </w:p>
    <w:p w14:paraId="2A49DD6E" w14:textId="77777777" w:rsidR="006E08CC" w:rsidRPr="00DF107B" w:rsidRDefault="006E08CC">
      <w:pPr>
        <w:widowControl/>
        <w:rPr>
          <w:szCs w:val="24"/>
          <w:lang w:eastAsia="en-US"/>
        </w:rPr>
      </w:pPr>
      <w:r w:rsidRPr="00DF107B">
        <w:rPr>
          <w:szCs w:val="24"/>
          <w:lang w:eastAsia="en-US"/>
        </w:rPr>
        <w:br w:type="page"/>
      </w:r>
    </w:p>
    <w:p w14:paraId="6EC08E50"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8 artikla</w:t>
      </w:r>
      <w:r w:rsidRPr="00DF107B">
        <w:rPr>
          <w:szCs w:val="24"/>
          <w:lang w:eastAsia="en-US"/>
        </w:rPr>
        <w:br/>
        <w:t>Merivalvontaan ja merellä tapahtuviin kriiseihin liittyvät tehtävät</w:t>
      </w:r>
    </w:p>
    <w:p w14:paraId="6C208C9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 tarjoaa komissiolle ja jäsenvaltioille niiden pyynnöstä uusimpaan teknologiaan perustuvia merivalvonta- ja viestintäpalveluja, mukaan lukien avaruus- ja maainfrastruktuurit sekä mille tahansa alustalle asennetut anturit, joilla parannetaan merellistä tilannetietoisuutta</w:t>
      </w:r>
      <w:r w:rsidRPr="00DF107B">
        <w:rPr>
          <w:b/>
          <w:i/>
          <w:szCs w:val="24"/>
          <w:lang w:eastAsia="en-US"/>
        </w:rPr>
        <w:t>, myös uusissa geopoliittisissa haasteissa, kuten Venäjän Ukrainaa vastaan käymässä hyökkäyssodassa ja siihen liittyvissä tiettyihin jäsenvaltioihin ja koko unioniin kohdistuvissa turvallisuusuhkissa</w:t>
      </w:r>
      <w:r w:rsidRPr="00DF107B">
        <w:rPr>
          <w:szCs w:val="24"/>
          <w:lang w:eastAsia="en-US"/>
        </w:rPr>
        <w:t xml:space="preserve">. </w:t>
      </w:r>
      <w:r w:rsidRPr="00DF107B">
        <w:rPr>
          <w:b/>
          <w:szCs w:val="24"/>
          <w:lang w:eastAsia="en-US"/>
        </w:rPr>
        <w:t>[Tark. 41]</w:t>
      </w:r>
    </w:p>
    <w:p w14:paraId="37BE950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Virasto edistää direktiivin 2002/59/EY soveltamisalaan kuuluvan liikenteen seurannan alalla erityisesti rantavaltioiden välistä yhteistyötä kyseessä olevilla merenkulkualueilla sekä kehittää, ylläpitää ja käyttää kyseisen direktiivin 6 b ja 22 a artiklassa tarkoitettuja Euroopan unionin alusten kaukotunnistusta ja seurantaa koskevaa Euroopan unionin tietokeskusta ja unionin merenkulun tiedonvaihtojärjestelmää (</w:t>
      </w:r>
      <w:proofErr w:type="spellStart"/>
      <w:r w:rsidRPr="00DF107B">
        <w:rPr>
          <w:szCs w:val="24"/>
          <w:lang w:eastAsia="en-US"/>
        </w:rPr>
        <w:t>SafeSeaNet</w:t>
      </w:r>
      <w:proofErr w:type="spellEnd"/>
      <w:r w:rsidRPr="00DF107B">
        <w:rPr>
          <w:szCs w:val="24"/>
          <w:lang w:eastAsia="en-US"/>
        </w:rPr>
        <w:t>) samoin kuin kansainvälistä alusten kaukotunnistusta ja -seurantaa koskevaa tiedonvaihtojärjestelmää IMO:ssa tehdyn sitoumuksen mukaisesti.</w:t>
      </w:r>
    </w:p>
    <w:p w14:paraId="256850D0" w14:textId="77777777" w:rsidR="006E08CC" w:rsidRPr="00DF107B" w:rsidRDefault="006E08CC">
      <w:pPr>
        <w:widowControl/>
        <w:rPr>
          <w:szCs w:val="24"/>
          <w:lang w:eastAsia="en-US"/>
        </w:rPr>
      </w:pPr>
      <w:r w:rsidRPr="00DF107B">
        <w:rPr>
          <w:szCs w:val="24"/>
          <w:lang w:eastAsia="en-US"/>
        </w:rPr>
        <w:br w:type="page"/>
      </w:r>
    </w:p>
    <w:p w14:paraId="2DF10D8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w:t>
      </w:r>
      <w:r w:rsidRPr="00DF107B">
        <w:rPr>
          <w:szCs w:val="24"/>
          <w:lang w:eastAsia="en-US"/>
        </w:rPr>
        <w:tab/>
        <w:t>Virasto ilmoittaa pyynnöstä, kansallisen ja unionin lainsäädännön soveltamista rajoittamatta, komissiolle, toimivaltaisille kansallisille viranomaisille ja asiaankuuluville unionin elimille niiden toimivaltuuksien puitteissa asiaankuuluvia aluksen sijainti- ja maahavaintotietoja meriliikenteen alaa koskevassa sovellettavassa unionin lainsäädännössä säädettyjen tai sitä koskevien kansainvälisten oikeudellisten välineiden mukaisten, merirosvoukseen ja lainvastaisiin tahallisiin tekoihin liittyvien uhkien torjuntatoimien helpottamiseksi, ellei sovellettavista tietosuojasäännöistä muutu johdu ja tapauksen mukaan direktiivin 2002/59/EY mukaisesti perustetun korkean tason ohjausryhmän vahvistamia hallinnollisia menettelyjä noudattaen. Alusten kaukotunnistus- ja seurantatietojen antaminen edellyttää asianomaisen lippuvaltion lupaa.</w:t>
      </w:r>
    </w:p>
    <w:p w14:paraId="13A10FAC" w14:textId="77777777" w:rsidR="006E08CC" w:rsidRPr="00DF107B" w:rsidRDefault="006E08CC">
      <w:pPr>
        <w:widowControl/>
        <w:rPr>
          <w:szCs w:val="24"/>
          <w:lang w:eastAsia="en-US"/>
        </w:rPr>
      </w:pPr>
      <w:r w:rsidRPr="00DF107B">
        <w:rPr>
          <w:szCs w:val="24"/>
          <w:lang w:eastAsia="en-US"/>
        </w:rPr>
        <w:br w:type="page"/>
      </w:r>
    </w:p>
    <w:p w14:paraId="24E2F73A"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4.</w:t>
      </w:r>
      <w:r w:rsidRPr="00DF107B">
        <w:rPr>
          <w:szCs w:val="24"/>
          <w:lang w:eastAsia="en-US"/>
        </w:rPr>
        <w:tab/>
        <w:t>Virasto ylläpitää keskusta, joka on käytettävissä 24 tuntia vuorokaudessa seitsemänä päivänä viikossa ja joka antaa</w:t>
      </w:r>
      <w:r w:rsidRPr="00DF107B">
        <w:rPr>
          <w:strike/>
          <w:szCs w:val="24"/>
          <w:lang w:eastAsia="en-US"/>
        </w:rPr>
        <w:t xml:space="preserve"> pyynnöstä</w:t>
      </w:r>
      <w:r w:rsidRPr="00DF107B">
        <w:rPr>
          <w:szCs w:val="24"/>
          <w:lang w:eastAsia="en-US"/>
        </w:rPr>
        <w:t xml:space="preserve">, kansallisen ja unionin lainsäädännön soveltamista rajoittamatta, komissiolle, toimivaltaisille kansallisille viranomaisille, sanotun kuitenkaan rajoittamatta niiden oikeuksia ja velvollisuuksia lippu-, rannikko- ja satamavaltioina, sekä asiaankuuluville unionin elimille niiden toimivaltuuksien puitteissa tarvittaessa merellistä tilannetietoisuutta koskevia tietoja ja analyyttisiä tietoja niiden tukemiseksi seuraavissa: </w:t>
      </w:r>
      <w:r w:rsidRPr="00DF107B">
        <w:rPr>
          <w:b/>
          <w:szCs w:val="24"/>
          <w:lang w:eastAsia="en-US"/>
        </w:rPr>
        <w:t>[Tark. 42]</w:t>
      </w:r>
    </w:p>
    <w:p w14:paraId="32333953"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turvallisuus, turvatoimet ja meren pilaantumisen torjunta;</w:t>
      </w:r>
    </w:p>
    <w:p w14:paraId="722AE30A"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b)</w:t>
      </w:r>
      <w:r w:rsidRPr="00DF107B">
        <w:rPr>
          <w:szCs w:val="24"/>
          <w:lang w:eastAsia="en-US"/>
        </w:rPr>
        <w:tab/>
        <w:t>merellä tapahtuvat hätätilanteet;</w:t>
      </w:r>
    </w:p>
    <w:p w14:paraId="7254F82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c)</w:t>
      </w:r>
      <w:r w:rsidRPr="00DF107B">
        <w:rPr>
          <w:szCs w:val="24"/>
          <w:lang w:eastAsia="en-US"/>
        </w:rPr>
        <w:tab/>
        <w:t xml:space="preserve">sellaisen unionin lainsäädännön täytäntöönpano, jossa edellytetään alusten liikkeiden </w:t>
      </w:r>
      <w:r w:rsidRPr="00DF107B">
        <w:rPr>
          <w:b/>
          <w:i/>
          <w:szCs w:val="24"/>
          <w:lang w:eastAsia="en-US"/>
        </w:rPr>
        <w:t xml:space="preserve">ja merellä kadonneiden konttien </w:t>
      </w:r>
      <w:r w:rsidRPr="00DF107B">
        <w:rPr>
          <w:szCs w:val="24"/>
          <w:lang w:eastAsia="en-US"/>
        </w:rPr>
        <w:t xml:space="preserve">seurantaa; </w:t>
      </w:r>
      <w:r w:rsidRPr="00DF107B">
        <w:rPr>
          <w:b/>
          <w:szCs w:val="24"/>
          <w:lang w:eastAsia="en-US"/>
        </w:rPr>
        <w:t>[Tark. 43]</w:t>
      </w:r>
    </w:p>
    <w:p w14:paraId="40C1FF29"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d)</w:t>
      </w:r>
      <w:r w:rsidRPr="00DF107B">
        <w:rPr>
          <w:szCs w:val="24"/>
          <w:lang w:eastAsia="en-US"/>
        </w:rPr>
        <w:tab/>
        <w:t>merirosvoukseen ja lainvastaisiin tahallisiin tekoihin liittyvien uhkien torjuntatoimet, joista säädetään meriliikenteen alaa koskevassa sovellettavassa unionin lainsäädännössä tai jotka toteutetaan sitä koskevien kansainvälisten oikeudellisten välineiden mukaisesti;</w:t>
      </w:r>
    </w:p>
    <w:p w14:paraId="6D66AADF"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e)</w:t>
      </w:r>
      <w:r w:rsidRPr="00DF107B">
        <w:rPr>
          <w:szCs w:val="24"/>
          <w:lang w:eastAsia="en-US"/>
        </w:rPr>
        <w:tab/>
        <w:t>merten autonomisten pinta-alusten käyttöönotto ja niiden vuorovaikutus tavanomaisten alusten kanssa.</w:t>
      </w:r>
    </w:p>
    <w:p w14:paraId="16B62B32" w14:textId="77777777" w:rsidR="006E08CC" w:rsidRPr="00DF107B" w:rsidRDefault="006E08CC">
      <w:pPr>
        <w:widowControl/>
        <w:rPr>
          <w:szCs w:val="24"/>
          <w:lang w:eastAsia="en-US"/>
        </w:rPr>
      </w:pPr>
      <w:r w:rsidRPr="00DF107B">
        <w:rPr>
          <w:szCs w:val="24"/>
          <w:lang w:eastAsia="en-US"/>
        </w:rPr>
        <w:br w:type="page"/>
      </w:r>
    </w:p>
    <w:p w14:paraId="65A3CC24" w14:textId="77777777" w:rsidR="007E7AE7" w:rsidRPr="00DF107B" w:rsidRDefault="007E7AE7" w:rsidP="007E7AE7">
      <w:pPr>
        <w:widowControl/>
        <w:spacing w:before="120" w:after="120" w:line="360" w:lineRule="auto"/>
        <w:ind w:left="850"/>
        <w:rPr>
          <w:szCs w:val="24"/>
          <w:lang w:eastAsia="en-US"/>
        </w:rPr>
      </w:pPr>
      <w:r w:rsidRPr="00DF107B">
        <w:rPr>
          <w:szCs w:val="24"/>
          <w:lang w:eastAsia="en-US"/>
        </w:rPr>
        <w:lastRenderedPageBreak/>
        <w:t>Tällaisten tietojen antamisessa noudatetaan sovellettavaa tietosuojalainsäädäntöä ja direktiivin 2002/59/EY mukaisesti perustetun korkean tason ohjausryhmän vahvistamia hallinnollisia menettelyjä. Alusten kaukotunnistus- ja seurantatietojen antaminen edellyttää asianomaisen lippuvaltion lupaa.</w:t>
      </w:r>
    </w:p>
    <w:p w14:paraId="57DB7D0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5.</w:t>
      </w:r>
      <w:r w:rsidRPr="00DF107B">
        <w:rPr>
          <w:szCs w:val="24"/>
          <w:lang w:eastAsia="en-US"/>
        </w:rPr>
        <w:tab/>
        <w:t>Virasto edistää toimivaltansa puitteissa nopeaa reagointia kriiseihin ja niiden lieventämistä avustamalla jäsenvaltioita ja komissiota näiden pyynnöstä valmiussuunnitelmien täytäntöönpanossa ja helpottamalla tietojen ja parhaiden käytäntöjen vaihtoa.</w:t>
      </w:r>
    </w:p>
    <w:p w14:paraId="1A57A03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6.</w:t>
      </w:r>
      <w:r w:rsidRPr="00DF107B">
        <w:rPr>
          <w:szCs w:val="24"/>
          <w:lang w:eastAsia="en-US"/>
        </w:rPr>
        <w:tab/>
        <w:t xml:space="preserve">Virasto avustaa komissiota </w:t>
      </w:r>
      <w:proofErr w:type="spellStart"/>
      <w:r w:rsidRPr="00DF107B">
        <w:rPr>
          <w:szCs w:val="24"/>
          <w:lang w:eastAsia="en-US"/>
        </w:rPr>
        <w:t>Copernicuksen</w:t>
      </w:r>
      <w:proofErr w:type="spellEnd"/>
      <w:r w:rsidRPr="00DF107B">
        <w:rPr>
          <w:szCs w:val="24"/>
          <w:lang w:eastAsia="en-US"/>
        </w:rPr>
        <w:t xml:space="preserve"> turvallisuuspalvelujen merivalvontaosion käytössä </w:t>
      </w:r>
      <w:proofErr w:type="spellStart"/>
      <w:r w:rsidRPr="00DF107B">
        <w:rPr>
          <w:szCs w:val="24"/>
          <w:lang w:eastAsia="en-US"/>
        </w:rPr>
        <w:t>Copernicus</w:t>
      </w:r>
      <w:proofErr w:type="spellEnd"/>
      <w:r w:rsidRPr="00DF107B">
        <w:rPr>
          <w:szCs w:val="24"/>
          <w:lang w:eastAsia="en-US"/>
        </w:rPr>
        <w:t>-ohjelman hallinnointi- ja rahoituspuitteiden mukaisesti.</w:t>
      </w:r>
    </w:p>
    <w:p w14:paraId="2EA9A2A3"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7.</w:t>
      </w:r>
      <w:r w:rsidRPr="00DF107B">
        <w:rPr>
          <w:szCs w:val="24"/>
          <w:lang w:eastAsia="en-US"/>
        </w:rPr>
        <w:tab/>
        <w:t>Virasto avustaa komissiota ja jäsenvaltioita vapaaehtoisen yhteisen merialueiden valvonnan tietojenvaihtoympäristön (</w:t>
      </w:r>
      <w:proofErr w:type="spellStart"/>
      <w:r w:rsidRPr="00DF107B">
        <w:rPr>
          <w:szCs w:val="24"/>
          <w:lang w:eastAsia="en-US"/>
        </w:rPr>
        <w:t>CISE</w:t>
      </w:r>
      <w:proofErr w:type="spellEnd"/>
      <w:r w:rsidRPr="00DF107B">
        <w:rPr>
          <w:szCs w:val="24"/>
          <w:lang w:eastAsia="en-US"/>
        </w:rPr>
        <w:t xml:space="preserve">) kehittämisessä ja ylläpidossa; kyseessä on </w:t>
      </w:r>
      <w:proofErr w:type="spellStart"/>
      <w:r w:rsidRPr="00DF107B">
        <w:rPr>
          <w:szCs w:val="24"/>
          <w:lang w:eastAsia="en-US"/>
        </w:rPr>
        <w:t>yhteentoimivuusratkaisu</w:t>
      </w:r>
      <w:proofErr w:type="spellEnd"/>
      <w:r w:rsidRPr="00DF107B">
        <w:rPr>
          <w:szCs w:val="24"/>
          <w:lang w:eastAsia="en-US"/>
        </w:rPr>
        <w:t>, jonka tarkoituksena on helpottaa merialalla toimivaltaisten siviili- ja sotilasviranomaisten käyttämien eri järjestelmien välistä tietojenvaihtoa ja täydentää pakollisten tietojärjestelmien kautta jo saatavilla olevia tietoja.</w:t>
      </w:r>
    </w:p>
    <w:p w14:paraId="3CD12673" w14:textId="77777777" w:rsidR="006E08CC" w:rsidRPr="00DF107B" w:rsidRDefault="006E08CC">
      <w:pPr>
        <w:widowControl/>
        <w:rPr>
          <w:szCs w:val="24"/>
          <w:lang w:eastAsia="en-US"/>
        </w:rPr>
      </w:pPr>
      <w:r w:rsidRPr="00DF107B">
        <w:rPr>
          <w:szCs w:val="24"/>
          <w:lang w:eastAsia="en-US"/>
        </w:rPr>
        <w:br w:type="page"/>
      </w:r>
    </w:p>
    <w:p w14:paraId="3EBCDE72"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9 artikla</w:t>
      </w:r>
      <w:r w:rsidRPr="00DF107B">
        <w:rPr>
          <w:szCs w:val="24"/>
          <w:lang w:eastAsia="en-US"/>
        </w:rPr>
        <w:br/>
      </w:r>
      <w:proofErr w:type="spellStart"/>
      <w:r w:rsidRPr="00DF107B">
        <w:rPr>
          <w:szCs w:val="24"/>
          <w:lang w:eastAsia="en-US"/>
        </w:rPr>
        <w:t>Digitalisaatioon</w:t>
      </w:r>
      <w:proofErr w:type="spellEnd"/>
      <w:r w:rsidRPr="00DF107B">
        <w:rPr>
          <w:szCs w:val="24"/>
          <w:lang w:eastAsia="en-US"/>
        </w:rPr>
        <w:t xml:space="preserve"> ja yksinkertaistamiseen liittyvät tehtävät</w:t>
      </w:r>
    </w:p>
    <w:p w14:paraId="6EAE9EF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 xml:space="preserve">Virasto kerää ja toimittaa tarvittaessa viraston toimivallan piiriin kuuluvan unionin lainsäädännön aloilla objektiivisia, luotettavia ja vertailukelpoisia tilastoja ja tietoja mahdollistaakseen sen, että komissio ja jäsenvaltiot parantavat toimiansa ja arvioivat olemassa olevien toimenpiteiden tehokkuutta ja kustannustehokkuutta. Tällaisia tehtäviä ovat muun muassa sähköisten todistusten käytön helpottaminen ja edistäminen, teknisten tietojen kerääminen, tallentaminen ja arviointi, nykyisten tietokantojen järjestelmällinen hyödyntäminen, mukaan luettuna niiden keskinäinen tietojenvaihto innovatiivisten tietoteknisten ja tekoälyvälineiden avulla, ja tarvittaessa uusien </w:t>
      </w:r>
      <w:proofErr w:type="spellStart"/>
      <w:r w:rsidRPr="00DF107B">
        <w:rPr>
          <w:szCs w:val="24"/>
          <w:lang w:eastAsia="en-US"/>
        </w:rPr>
        <w:t>yhteentoimivien</w:t>
      </w:r>
      <w:proofErr w:type="spellEnd"/>
      <w:r w:rsidRPr="00DF107B">
        <w:rPr>
          <w:szCs w:val="24"/>
          <w:lang w:eastAsia="en-US"/>
        </w:rPr>
        <w:t xml:space="preserve"> tietokantojen kehittäminen. Tässä yhteydessä virasto edistää myös yhteistä eurooppalaista liikkuvuuden data-avaruutta merialalla tutkimalla yhteyksiä muiden liikennemuotojen järjestelmiin.</w:t>
      </w:r>
    </w:p>
    <w:p w14:paraId="3C165F79" w14:textId="77777777" w:rsidR="006E08CC" w:rsidRPr="00DF107B" w:rsidRDefault="006E08CC">
      <w:pPr>
        <w:widowControl/>
        <w:rPr>
          <w:szCs w:val="24"/>
          <w:lang w:eastAsia="en-US"/>
        </w:rPr>
      </w:pPr>
      <w:r w:rsidRPr="00DF107B">
        <w:rPr>
          <w:szCs w:val="24"/>
          <w:lang w:eastAsia="en-US"/>
        </w:rPr>
        <w:br w:type="page"/>
      </w:r>
    </w:p>
    <w:p w14:paraId="41597FB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w:t>
      </w:r>
      <w:r w:rsidRPr="00DF107B">
        <w:rPr>
          <w:szCs w:val="24"/>
          <w:lang w:eastAsia="en-US"/>
        </w:rPr>
        <w:tab/>
        <w:t>Virasto avustaa komissiota Euroopan parlamentin ja neuvoston asetuksen (EU) 2019/1239</w:t>
      </w:r>
      <w:r w:rsidRPr="00DF107B">
        <w:rPr>
          <w:szCs w:val="24"/>
          <w:vertAlign w:val="superscript"/>
          <w:lang w:val="en-GB" w:eastAsia="en-US"/>
        </w:rPr>
        <w:footnoteReference w:id="33"/>
      </w:r>
      <w:r w:rsidRPr="00DF107B">
        <w:rPr>
          <w:szCs w:val="24"/>
          <w:lang w:eastAsia="en-US"/>
        </w:rPr>
        <w:t xml:space="preserve"> täytäntöönpanossa, jossa sillä on seuraavat tehtävät:</w:t>
      </w:r>
    </w:p>
    <w:p w14:paraId="2184A83B"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eurooppalaisen merenkulkualan yhdennetyn palveluympäristön (</w:t>
      </w:r>
      <w:proofErr w:type="spellStart"/>
      <w:r w:rsidRPr="00DF107B">
        <w:rPr>
          <w:szCs w:val="24"/>
          <w:lang w:eastAsia="en-US"/>
        </w:rPr>
        <w:t>EMSWe</w:t>
      </w:r>
      <w:proofErr w:type="spellEnd"/>
      <w:r w:rsidRPr="00DF107B">
        <w:rPr>
          <w:szCs w:val="24"/>
          <w:lang w:eastAsia="en-US"/>
        </w:rPr>
        <w:t>) yhteisten tietoteknisten osien ja palvelujen kehittäminen, saataville asettaminen ja ylläpitäminen komission vastuulla;</w:t>
      </w:r>
    </w:p>
    <w:p w14:paraId="7936ADBB"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b)</w:t>
      </w:r>
      <w:r w:rsidRPr="00DF107B">
        <w:rPr>
          <w:szCs w:val="24"/>
          <w:lang w:eastAsia="en-US"/>
        </w:rPr>
        <w:tab/>
      </w:r>
      <w:proofErr w:type="spellStart"/>
      <w:r w:rsidRPr="00DF107B">
        <w:rPr>
          <w:szCs w:val="24"/>
          <w:lang w:eastAsia="en-US"/>
        </w:rPr>
        <w:t>EMSWe</w:t>
      </w:r>
      <w:proofErr w:type="spellEnd"/>
      <w:r w:rsidRPr="00DF107B">
        <w:rPr>
          <w:szCs w:val="24"/>
          <w:lang w:eastAsia="en-US"/>
        </w:rPr>
        <w:t>-datajoukon, viestien soveltamisohjeen ja digitaalisten taulukoiden mallien ylläpitäminen;</w:t>
      </w:r>
    </w:p>
    <w:p w14:paraId="41B3D805" w14:textId="654844B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c)</w:t>
      </w:r>
      <w:r w:rsidRPr="00DF107B">
        <w:rPr>
          <w:szCs w:val="24"/>
          <w:lang w:eastAsia="en-US"/>
        </w:rPr>
        <w:tab/>
        <w:t xml:space="preserve">teknisten ohjeiden laatiminen </w:t>
      </w:r>
      <w:proofErr w:type="spellStart"/>
      <w:r w:rsidRPr="00DF107B">
        <w:rPr>
          <w:szCs w:val="24"/>
          <w:lang w:eastAsia="en-US"/>
        </w:rPr>
        <w:t>EMSWe:n</w:t>
      </w:r>
      <w:proofErr w:type="spellEnd"/>
      <w:r w:rsidRPr="00DF107B">
        <w:rPr>
          <w:szCs w:val="24"/>
          <w:lang w:eastAsia="en-US"/>
        </w:rPr>
        <w:t xml:space="preserve"> täytäntöönpanoa varten</w:t>
      </w:r>
      <w:r w:rsidR="000E6A3A" w:rsidRPr="00DF107B">
        <w:rPr>
          <w:szCs w:val="24"/>
          <w:lang w:eastAsia="en-US"/>
        </w:rPr>
        <w:t>;</w:t>
      </w:r>
    </w:p>
    <w:p w14:paraId="2B72FFAD"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d)</w:t>
      </w:r>
      <w:r w:rsidRPr="00DF107B">
        <w:rPr>
          <w:szCs w:val="24"/>
          <w:lang w:eastAsia="en-US"/>
        </w:rPr>
        <w:tab/>
      </w:r>
      <w:proofErr w:type="spellStart"/>
      <w:r w:rsidRPr="00DF107B">
        <w:rPr>
          <w:szCs w:val="24"/>
          <w:lang w:eastAsia="en-US"/>
        </w:rPr>
        <w:t>EMSWe:ssä</w:t>
      </w:r>
      <w:proofErr w:type="spellEnd"/>
      <w:r w:rsidRPr="00DF107B">
        <w:rPr>
          <w:szCs w:val="24"/>
          <w:lang w:eastAsia="en-US"/>
        </w:rPr>
        <w:t xml:space="preserve"> vaihdettujen tietojen uudelleenkäytön ja jakamisen helpottaminen </w:t>
      </w:r>
      <w:r w:rsidRPr="00DF107B">
        <w:rPr>
          <w:b/>
          <w:i/>
          <w:szCs w:val="24"/>
          <w:lang w:eastAsia="en-US"/>
        </w:rPr>
        <w:t xml:space="preserve">ja parantaminen </w:t>
      </w:r>
      <w:proofErr w:type="spellStart"/>
      <w:r w:rsidRPr="00DF107B">
        <w:rPr>
          <w:szCs w:val="24"/>
          <w:lang w:eastAsia="en-US"/>
        </w:rPr>
        <w:t>SafeSeaNet</w:t>
      </w:r>
      <w:proofErr w:type="spellEnd"/>
      <w:r w:rsidRPr="00DF107B">
        <w:rPr>
          <w:szCs w:val="24"/>
          <w:lang w:eastAsia="en-US"/>
        </w:rPr>
        <w:t xml:space="preserve">-järjestelmän avulla. </w:t>
      </w:r>
      <w:r w:rsidRPr="00DF107B">
        <w:rPr>
          <w:b/>
          <w:szCs w:val="24"/>
          <w:lang w:eastAsia="en-US"/>
        </w:rPr>
        <w:t>[Tark. 44]</w:t>
      </w:r>
    </w:p>
    <w:p w14:paraId="75C74ABD" w14:textId="77777777" w:rsidR="006E08CC" w:rsidRPr="00DF107B" w:rsidRDefault="006E08CC">
      <w:pPr>
        <w:widowControl/>
        <w:rPr>
          <w:szCs w:val="24"/>
          <w:lang w:eastAsia="en-US"/>
        </w:rPr>
      </w:pPr>
      <w:r w:rsidRPr="00DF107B">
        <w:rPr>
          <w:szCs w:val="24"/>
          <w:lang w:eastAsia="en-US"/>
        </w:rPr>
        <w:br w:type="page"/>
      </w:r>
    </w:p>
    <w:p w14:paraId="798B2C0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w:t>
      </w:r>
      <w:r w:rsidRPr="00DF107B">
        <w:rPr>
          <w:szCs w:val="24"/>
          <w:lang w:eastAsia="en-US"/>
        </w:rPr>
        <w:tab/>
        <w:t xml:space="preserve">Virasto tarjoaa jäsenvaltioille niiden pyynnöstä teknistä </w:t>
      </w:r>
      <w:r w:rsidRPr="00DF107B">
        <w:rPr>
          <w:b/>
          <w:i/>
          <w:szCs w:val="24"/>
          <w:lang w:eastAsia="en-US"/>
        </w:rPr>
        <w:t xml:space="preserve">ja operatiivista apua sekä säännöllisiä koulutus- ja </w:t>
      </w:r>
      <w:proofErr w:type="spellStart"/>
      <w:r w:rsidRPr="00DF107B">
        <w:rPr>
          <w:b/>
          <w:i/>
          <w:szCs w:val="24"/>
          <w:lang w:eastAsia="en-US"/>
        </w:rPr>
        <w:t>pätevöitymisohjelmia</w:t>
      </w:r>
      <w:r w:rsidRPr="00DF107B">
        <w:rPr>
          <w:strike/>
          <w:szCs w:val="24"/>
          <w:lang w:eastAsia="en-US"/>
        </w:rPr>
        <w:t>apua</w:t>
      </w:r>
      <w:proofErr w:type="spellEnd"/>
      <w:r w:rsidRPr="00DF107B">
        <w:rPr>
          <w:szCs w:val="24"/>
          <w:lang w:eastAsia="en-US"/>
        </w:rPr>
        <w:t xml:space="preserve"> niiden rekisterien ja menettelyjen digitalisoinnissa sähköisten varmenteiden käyttöönoton helpottamiseksi</w:t>
      </w:r>
      <w:r w:rsidRPr="00DF107B">
        <w:rPr>
          <w:b/>
          <w:i/>
          <w:szCs w:val="24"/>
          <w:lang w:eastAsia="en-US"/>
        </w:rPr>
        <w:t xml:space="preserve"> ja kaikkien muiden menettelyjen digitalisoinnissa, millä voi olla myönteinen vaikutus lippu-, satama- tai rannikkovaltioiden viranomaisten hallinnollisen rasitteen vähentämiseen</w:t>
      </w:r>
      <w:r w:rsidRPr="00DF107B">
        <w:rPr>
          <w:szCs w:val="24"/>
          <w:lang w:eastAsia="en-US"/>
        </w:rPr>
        <w:t xml:space="preserve">, sanotun kuitenkaan rajoittamatta jäsenvaltioiden oikeuksia ja velvollisuuksia lippuvaltioina. </w:t>
      </w:r>
      <w:r w:rsidRPr="00DF107B">
        <w:rPr>
          <w:b/>
          <w:szCs w:val="24"/>
          <w:lang w:eastAsia="en-US"/>
        </w:rPr>
        <w:t>[Tark. 45]</w:t>
      </w:r>
    </w:p>
    <w:p w14:paraId="6B24A34A"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10 artikla</w:t>
      </w:r>
      <w:r w:rsidRPr="00DF107B">
        <w:rPr>
          <w:szCs w:val="24"/>
          <w:lang w:eastAsia="en-US"/>
        </w:rPr>
        <w:br/>
        <w:t xml:space="preserve">Vierailut jäsenvaltioihin ja tarkastuskäynnit  </w:t>
      </w:r>
    </w:p>
    <w:p w14:paraId="7799483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Avustaakseen komissiota sen Euroopan unionin toiminnasta tehdyn sopimuksen mukaisten velvoitteiden täyttämisessä, erityisesti asiaankuuluvan unionin lainsäädännön tehokkaan täytäntöönpanon arvioinnissa, virasto tekee vierailuja jäsenvaltioihin hallintoneuvoston vahvistamaa menettelyä noudattaen. Tällaisissa menettelyissä on otettava huomioon kunkin vierailun yhteydessä sovellettava yhdennetty lähestymistapa, jonka tarkoituksena on todentaa vierailulla useamman kuin yhden sellaisen säädöksen noudattaminen, joka liittyy tarkastuksen kohteena olevan jäsenvaltion toimintaan lippu-, satama- tai rannikkovaltiona.</w:t>
      </w:r>
    </w:p>
    <w:p w14:paraId="4E753DD3" w14:textId="77777777" w:rsidR="006E08CC" w:rsidRPr="00DF107B" w:rsidRDefault="006E08CC">
      <w:pPr>
        <w:widowControl/>
        <w:rPr>
          <w:szCs w:val="24"/>
          <w:lang w:eastAsia="en-US"/>
        </w:rPr>
      </w:pPr>
      <w:r w:rsidRPr="00DF107B">
        <w:rPr>
          <w:szCs w:val="24"/>
          <w:lang w:eastAsia="en-US"/>
        </w:rPr>
        <w:br w:type="page"/>
      </w:r>
    </w:p>
    <w:p w14:paraId="02D1B6A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w:t>
      </w:r>
      <w:r w:rsidRPr="00DF107B">
        <w:rPr>
          <w:szCs w:val="24"/>
          <w:lang w:eastAsia="en-US"/>
        </w:rPr>
        <w:tab/>
        <w:t>Viraston on ilmoitettava asianomaiselle jäsenvaltiolle hyvissä ajoin suunnitellusta vierailusta, sitä suorittamaan valtuutettujen virkamiesten nimet, vierailun alkamisajankohta ja sen odotettu kesto. Vierailuja suorittamaan valtuutettujen viraston virkamiesten on tehtävänsä suorittaakseen esitettävä viraston pääjohtajan kirjallinen päätös, jossa määritellään heidän tehtävänsä kohde ja tarkoitus.</w:t>
      </w:r>
    </w:p>
    <w:p w14:paraId="4257CBFA"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 xml:space="preserve">Virasto voi suorittaa komission puolesta tarkastuskäyntejä unionin sitovien säädösten vaatimusten mukaisesti unionin asetuksen (EY) </w:t>
      </w:r>
      <w:proofErr w:type="gramStart"/>
      <w:r w:rsidRPr="00DF107B">
        <w:rPr>
          <w:szCs w:val="24"/>
          <w:lang w:eastAsia="en-US"/>
        </w:rPr>
        <w:t>N:o</w:t>
      </w:r>
      <w:proofErr w:type="gramEnd"/>
      <w:r w:rsidRPr="00DF107B">
        <w:rPr>
          <w:szCs w:val="24"/>
          <w:lang w:eastAsia="en-US"/>
        </w:rPr>
        <w:t xml:space="preserve"> 391/2009 mukaisesti hyväksymien laitosten osalta sekä kolmansien maiden merenkulkijoiden koulutuksen ja pätevyyden tunnustamisen osalta direktiivin (EU) 2022/993 mukaisesti.</w:t>
      </w:r>
    </w:p>
    <w:p w14:paraId="3D3903F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Virasto voi myös suorittaa tarkastuskäyntejä komission puolesta minkä tahansa muun unionin sitovan säädöksen vaatimusten mukaisesti, jos komissio päättää siirtää tällaisen tehtävän virastolle.</w:t>
      </w:r>
    </w:p>
    <w:p w14:paraId="4F5A433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5.</w:t>
      </w:r>
      <w:r w:rsidRPr="00DF107B">
        <w:rPr>
          <w:szCs w:val="24"/>
          <w:lang w:eastAsia="en-US"/>
        </w:rPr>
        <w:tab/>
        <w:t>Viraston on kunkin vierailun tai tarkastuskäynnin päätteeksi laadittava raportti ja lähetettävä se komissiolle ja asianomaiselle jäsenvaltiolle. Raportti laaditaan komission aiemmin vahvistaman mallin mukaisesti.</w:t>
      </w:r>
    </w:p>
    <w:p w14:paraId="54D28EEB" w14:textId="77777777" w:rsidR="006E08CC" w:rsidRPr="00DF107B" w:rsidRDefault="006E08CC">
      <w:pPr>
        <w:widowControl/>
        <w:rPr>
          <w:szCs w:val="24"/>
          <w:lang w:eastAsia="en-US"/>
        </w:rPr>
      </w:pPr>
      <w:r w:rsidRPr="00DF107B">
        <w:rPr>
          <w:szCs w:val="24"/>
          <w:lang w:eastAsia="en-US"/>
        </w:rPr>
        <w:br w:type="page"/>
      </w:r>
    </w:p>
    <w:p w14:paraId="2CC1AEB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6.</w:t>
      </w:r>
      <w:r w:rsidRPr="00DF107B">
        <w:rPr>
          <w:szCs w:val="24"/>
          <w:lang w:eastAsia="en-US"/>
        </w:rPr>
        <w:tab/>
        <w:t>Tarvittaessa ja aina vierailu- tai tarkastuskierroksen päätyttyä virasto analysoi kyseisen kierroksen raportit horisontaalisten havaintojen ja yleisten päätelmien tekemiseksi käytössä olevien toimenpiteiden tehokkuudesta ja kustannustehokkuudesta. Virasto esittää tämän analyysin komissiolle keskusteltavaksi jäsenvaltioiden kanssa mahdollisten päätelmien tekemiseksi ja hyvien toimintatapojen levittämisen helpottamiseksi</w:t>
      </w:r>
      <w:r w:rsidRPr="00DF107B">
        <w:rPr>
          <w:b/>
          <w:i/>
          <w:szCs w:val="24"/>
          <w:lang w:eastAsia="en-US"/>
        </w:rPr>
        <w:t xml:space="preserve"> erityisesti siltä osin kuin on kyse unionin oikeuden täytäntöönpanosta</w:t>
      </w:r>
      <w:r w:rsidRPr="00DF107B">
        <w:rPr>
          <w:szCs w:val="24"/>
          <w:lang w:eastAsia="en-US"/>
        </w:rPr>
        <w:t xml:space="preserve">. </w:t>
      </w:r>
      <w:r w:rsidRPr="00DF107B">
        <w:rPr>
          <w:b/>
          <w:szCs w:val="24"/>
          <w:lang w:eastAsia="en-US"/>
        </w:rPr>
        <w:t>[Tark. 46]</w:t>
      </w:r>
    </w:p>
    <w:p w14:paraId="1D58075C" w14:textId="77777777" w:rsidR="006E08CC" w:rsidRPr="00DF107B" w:rsidRDefault="006E08CC">
      <w:pPr>
        <w:widowControl/>
        <w:rPr>
          <w:szCs w:val="24"/>
          <w:lang w:eastAsia="en-US"/>
        </w:rPr>
      </w:pPr>
      <w:r w:rsidRPr="00DF107B">
        <w:rPr>
          <w:szCs w:val="24"/>
          <w:lang w:eastAsia="en-US"/>
        </w:rPr>
        <w:br w:type="page"/>
      </w:r>
    </w:p>
    <w:p w14:paraId="551F1156"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III LUKU</w:t>
      </w:r>
      <w:r w:rsidRPr="00DF107B">
        <w:rPr>
          <w:szCs w:val="24"/>
          <w:lang w:eastAsia="en-US"/>
        </w:rPr>
        <w:br/>
        <w:t>MUUT VIRASTON TEHTÄVÄT, JOTKA LIITTYVÄT KANSAINVÄLISIIN SUHTEISIIN JA EUROOPAN RANNIKKOVARTIOSTOYHTEISTYÖHÖN</w:t>
      </w:r>
    </w:p>
    <w:p w14:paraId="23E903EF"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11 artikla</w:t>
      </w:r>
      <w:r w:rsidRPr="00DF107B">
        <w:rPr>
          <w:szCs w:val="24"/>
          <w:lang w:eastAsia="en-US"/>
        </w:rPr>
        <w:br/>
        <w:t xml:space="preserve">Kansainväliset suhteet </w:t>
      </w:r>
    </w:p>
    <w:p w14:paraId="3D48ACA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 xml:space="preserve">Virasto tarjoaa jäsenvaltioiden ja komission pyynnöstä teknistä apua, jota niiden osallistuminen IMO:n, </w:t>
      </w:r>
      <w:r w:rsidRPr="00DF107B">
        <w:rPr>
          <w:b/>
          <w:i/>
          <w:szCs w:val="24"/>
          <w:lang w:eastAsia="en-US"/>
        </w:rPr>
        <w:t xml:space="preserve">jossa </w:t>
      </w:r>
      <w:proofErr w:type="spellStart"/>
      <w:r w:rsidRPr="00DF107B">
        <w:rPr>
          <w:b/>
          <w:i/>
          <w:szCs w:val="24"/>
          <w:lang w:eastAsia="en-US"/>
        </w:rPr>
        <w:t>EMSAn</w:t>
      </w:r>
      <w:proofErr w:type="spellEnd"/>
      <w:r w:rsidRPr="00DF107B">
        <w:rPr>
          <w:b/>
          <w:i/>
          <w:szCs w:val="24"/>
          <w:lang w:eastAsia="en-US"/>
        </w:rPr>
        <w:t xml:space="preserve"> olisi osana komission valtuuskuntaa osallistuttava keskusteluihin ja oltava niissä läsnä, </w:t>
      </w:r>
      <w:r w:rsidRPr="00DF107B">
        <w:rPr>
          <w:szCs w:val="24"/>
          <w:lang w:eastAsia="en-US"/>
        </w:rPr>
        <w:t xml:space="preserve">meriliikenteen osalta maailman työjärjestön, satamavaltioiden harjoittamaa tarkastustoimintaa </w:t>
      </w:r>
      <w:r w:rsidRPr="00DF107B">
        <w:rPr>
          <w:strike/>
          <w:szCs w:val="24"/>
          <w:lang w:eastAsia="en-US"/>
        </w:rPr>
        <w:t xml:space="preserve">koskevan yhteisymmärryspöytäkirjan, jäljempänä ’Pariisin </w:t>
      </w:r>
      <w:proofErr w:type="spellStart"/>
      <w:r w:rsidRPr="00DF107B">
        <w:rPr>
          <w:strike/>
          <w:szCs w:val="24"/>
          <w:lang w:eastAsia="en-US"/>
        </w:rPr>
        <w:t>yhteisymmärryspöytäkirja’,</w:t>
      </w:r>
      <w:r w:rsidRPr="00DF107B">
        <w:rPr>
          <w:b/>
          <w:i/>
          <w:szCs w:val="24"/>
          <w:lang w:eastAsia="en-US"/>
        </w:rPr>
        <w:t>koskevien</w:t>
      </w:r>
      <w:proofErr w:type="spellEnd"/>
      <w:r w:rsidRPr="00DF107B">
        <w:rPr>
          <w:b/>
          <w:i/>
          <w:szCs w:val="24"/>
          <w:lang w:eastAsia="en-US"/>
        </w:rPr>
        <w:t xml:space="preserve"> asiaankuuluvien yhteisymmärryspöytäkirjojen</w:t>
      </w:r>
      <w:r w:rsidRPr="00DF107B">
        <w:rPr>
          <w:szCs w:val="24"/>
          <w:lang w:eastAsia="en-US"/>
        </w:rPr>
        <w:t xml:space="preserve"> ja asiaankuuluvien alueellisten järjestöjen, joihin unioni on liittynyt, teknisten elinten asiaankuuluvaan työhön edellyttää, unionin toimivaltaan kuuluvien asioiden osalta. </w:t>
      </w:r>
      <w:r w:rsidRPr="00DF107B">
        <w:rPr>
          <w:b/>
          <w:szCs w:val="24"/>
          <w:lang w:eastAsia="en-US"/>
        </w:rPr>
        <w:t>[Tark. 47]</w:t>
      </w:r>
    </w:p>
    <w:p w14:paraId="28158CA5" w14:textId="77777777" w:rsidR="007E7AE7" w:rsidRPr="00DF107B" w:rsidRDefault="007E7AE7" w:rsidP="007E7AE7">
      <w:pPr>
        <w:widowControl/>
        <w:spacing w:before="120" w:after="120" w:line="360" w:lineRule="auto"/>
        <w:ind w:left="850"/>
        <w:rPr>
          <w:szCs w:val="24"/>
          <w:lang w:eastAsia="en-US"/>
        </w:rPr>
      </w:pPr>
      <w:r w:rsidRPr="00DF107B">
        <w:rPr>
          <w:szCs w:val="24"/>
          <w:lang w:eastAsia="en-US"/>
        </w:rPr>
        <w:t>Jotta nämä tehtävät voidaan suorittaa tehokkaasti ja tuloksellisesti, pääjohtaja voi päättää sijoittaa henkilöstöä kolmansissa maissa sijaitseviin unionin edustustoihin edellyttäen, että Euroopan ulkosuhdehallinnon kanssa on tehty asianmukaiset sopimukset. Päätös edellyttää komission ja hallintoneuvoston ennakkosuostumusta. Päätöksessä on määriteltävä suoritettavien toimien laajuus sijoitetun henkilöstön osalta siten, että vältetään tarpeettomia kustannuksia ja viraston hallinnollisten tehtävien päällekkäisyyttä.</w:t>
      </w:r>
    </w:p>
    <w:p w14:paraId="5DC14BF7" w14:textId="77777777" w:rsidR="006E08CC" w:rsidRPr="00DF107B" w:rsidRDefault="006E08CC">
      <w:pPr>
        <w:widowControl/>
        <w:rPr>
          <w:szCs w:val="24"/>
          <w:lang w:eastAsia="en-US"/>
        </w:rPr>
      </w:pPr>
      <w:r w:rsidRPr="00DF107B">
        <w:rPr>
          <w:szCs w:val="24"/>
          <w:lang w:eastAsia="en-US"/>
        </w:rPr>
        <w:br w:type="page"/>
      </w:r>
    </w:p>
    <w:p w14:paraId="5B8C1B2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w:t>
      </w:r>
      <w:r w:rsidRPr="00DF107B">
        <w:rPr>
          <w:szCs w:val="24"/>
          <w:lang w:eastAsia="en-US"/>
        </w:rPr>
        <w:tab/>
      </w:r>
      <w:r w:rsidRPr="00DF107B">
        <w:rPr>
          <w:strike/>
          <w:szCs w:val="24"/>
          <w:lang w:eastAsia="en-US"/>
        </w:rPr>
        <w:t xml:space="preserve">Komission pyynnöstä </w:t>
      </w:r>
      <w:r w:rsidRPr="00DF107B">
        <w:rPr>
          <w:szCs w:val="24"/>
          <w:lang w:eastAsia="en-US"/>
        </w:rPr>
        <w:t>Virasto voi</w:t>
      </w:r>
      <w:r w:rsidRPr="00DF107B">
        <w:rPr>
          <w:b/>
          <w:i/>
          <w:szCs w:val="24"/>
          <w:lang w:eastAsia="en-US"/>
        </w:rPr>
        <w:t xml:space="preserve"> komissiota kuullen</w:t>
      </w:r>
      <w:r w:rsidRPr="00DF107B">
        <w:rPr>
          <w:szCs w:val="24"/>
          <w:lang w:eastAsia="en-US"/>
        </w:rPr>
        <w:t xml:space="preserve"> antaa asiaankuuluvia unionin säädöksiä koskevaa teknistä apua, mukaan lukien asiaankuuluvien koulutustoimien järjestäminen, unionin jäsenyyttä hakeville valtioille, ja soveltuvin osin Euroopan naapuruuspolitiikan kumppanimaille ja maille, jotka osallistuvat Pariisin yhteisymmärryspöytäkirjaan. </w:t>
      </w:r>
      <w:r w:rsidRPr="00DF107B">
        <w:rPr>
          <w:b/>
          <w:szCs w:val="24"/>
          <w:lang w:eastAsia="en-US"/>
        </w:rPr>
        <w:t>[Tark. 48]</w:t>
      </w:r>
    </w:p>
    <w:p w14:paraId="28FA412B"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 xml:space="preserve">Virasto voi </w:t>
      </w:r>
      <w:r w:rsidRPr="00DF107B">
        <w:rPr>
          <w:strike/>
          <w:szCs w:val="24"/>
          <w:lang w:eastAsia="en-US"/>
        </w:rPr>
        <w:t>komission</w:t>
      </w:r>
      <w:r w:rsidRPr="00DF107B">
        <w:rPr>
          <w:b/>
          <w:i/>
          <w:szCs w:val="24"/>
          <w:lang w:eastAsia="en-US"/>
        </w:rPr>
        <w:t>komissiota</w:t>
      </w:r>
      <w:r w:rsidRPr="00DF107B">
        <w:rPr>
          <w:szCs w:val="24"/>
          <w:lang w:eastAsia="en-US"/>
        </w:rPr>
        <w:t xml:space="preserve"> tai Euroopan </w:t>
      </w:r>
      <w:r w:rsidRPr="00DF107B">
        <w:rPr>
          <w:strike/>
          <w:szCs w:val="24"/>
          <w:lang w:eastAsia="en-US"/>
        </w:rPr>
        <w:t xml:space="preserve">ulkosuhdehallinnon tai molempien </w:t>
      </w:r>
      <w:proofErr w:type="spellStart"/>
      <w:r w:rsidRPr="00DF107B">
        <w:rPr>
          <w:strike/>
          <w:szCs w:val="24"/>
          <w:lang w:eastAsia="en-US"/>
        </w:rPr>
        <w:t>pyynnöstä</w:t>
      </w:r>
      <w:r w:rsidRPr="00DF107B">
        <w:rPr>
          <w:b/>
          <w:i/>
          <w:szCs w:val="24"/>
          <w:lang w:eastAsia="en-US"/>
        </w:rPr>
        <w:t>ulkosuhdehallintoa</w:t>
      </w:r>
      <w:proofErr w:type="spellEnd"/>
      <w:r w:rsidRPr="00DF107B">
        <w:rPr>
          <w:b/>
          <w:i/>
          <w:szCs w:val="24"/>
          <w:lang w:eastAsia="en-US"/>
        </w:rPr>
        <w:t xml:space="preserve"> tai molempia kuullen</w:t>
      </w:r>
      <w:r w:rsidRPr="00DF107B">
        <w:rPr>
          <w:szCs w:val="24"/>
          <w:lang w:eastAsia="en-US"/>
        </w:rPr>
        <w:t xml:space="preserve"> tarjota apua, kun on kyse alusten aiheuttamasta pilaantumisesta sekä öljyn- ja kaasunporauslaitteistojen aiheuttamasta meren pilaantumisesta, joka vaikuttaa alueellisen merialueen unionin kanssa jakaviin kolmansiin maihin. Virasto tarjoaa apua päätöksellä </w:t>
      </w:r>
      <w:proofErr w:type="gramStart"/>
      <w:r w:rsidRPr="00DF107B">
        <w:rPr>
          <w:szCs w:val="24"/>
          <w:lang w:eastAsia="en-US"/>
        </w:rPr>
        <w:t>N:o</w:t>
      </w:r>
      <w:proofErr w:type="gramEnd"/>
      <w:r w:rsidRPr="00DF107B">
        <w:rPr>
          <w:szCs w:val="24"/>
          <w:lang w:eastAsia="en-US"/>
        </w:rPr>
        <w:t xml:space="preserve"> 1313/2013/EU perustetun unionin pelastuspalvelumekanismin ja niiden tämän asetuksen 5 artiklan 1 kohdassa tarkoitettujen jäsenvaltioihin sovellettavien edellytysten mukaisesti, joita sovelletaan analogisesti kolmansiin maihin. Kyseiset tehtävät sovitetaan yhteen meren pilaantumista koskevien nykyisten alueellisten yhteistyöjärjestelyjen kanssa. </w:t>
      </w:r>
      <w:r w:rsidRPr="00DF107B">
        <w:rPr>
          <w:b/>
          <w:szCs w:val="24"/>
          <w:lang w:eastAsia="en-US"/>
        </w:rPr>
        <w:t>[Tark. 49]</w:t>
      </w:r>
    </w:p>
    <w:p w14:paraId="23A2E99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 xml:space="preserve">Virasto voi </w:t>
      </w:r>
      <w:r w:rsidRPr="00DF107B">
        <w:rPr>
          <w:strike/>
          <w:szCs w:val="24"/>
          <w:lang w:eastAsia="en-US"/>
        </w:rPr>
        <w:t xml:space="preserve">komission </w:t>
      </w:r>
      <w:proofErr w:type="spellStart"/>
      <w:r w:rsidRPr="00DF107B">
        <w:rPr>
          <w:strike/>
          <w:szCs w:val="24"/>
          <w:lang w:eastAsia="en-US"/>
        </w:rPr>
        <w:t>pyynnöstä</w:t>
      </w:r>
      <w:r w:rsidRPr="00DF107B">
        <w:rPr>
          <w:b/>
          <w:i/>
          <w:szCs w:val="24"/>
          <w:lang w:eastAsia="en-US"/>
        </w:rPr>
        <w:t>komissiota</w:t>
      </w:r>
      <w:proofErr w:type="spellEnd"/>
      <w:r w:rsidRPr="00DF107B">
        <w:rPr>
          <w:b/>
          <w:i/>
          <w:szCs w:val="24"/>
          <w:lang w:eastAsia="en-US"/>
        </w:rPr>
        <w:t xml:space="preserve"> kuullen</w:t>
      </w:r>
      <w:r w:rsidRPr="00DF107B">
        <w:rPr>
          <w:szCs w:val="24"/>
          <w:lang w:eastAsia="en-US"/>
        </w:rPr>
        <w:t xml:space="preserve"> tarjota teknistä apua kolmansille maille toimivaltaansa kuuluvissa asioissa, sanotun kuitenkaan rajoittamatta 24 artiklan soveltamista. </w:t>
      </w:r>
      <w:r w:rsidRPr="00DF107B">
        <w:rPr>
          <w:b/>
          <w:szCs w:val="24"/>
          <w:lang w:eastAsia="en-US"/>
        </w:rPr>
        <w:t>[Tark. 50]</w:t>
      </w:r>
    </w:p>
    <w:p w14:paraId="3BE7E69A" w14:textId="77777777" w:rsidR="006E08CC" w:rsidRPr="00DF107B" w:rsidRDefault="006E08CC">
      <w:pPr>
        <w:widowControl/>
        <w:rPr>
          <w:szCs w:val="24"/>
          <w:lang w:eastAsia="en-US"/>
        </w:rPr>
      </w:pPr>
      <w:r w:rsidRPr="00DF107B">
        <w:rPr>
          <w:szCs w:val="24"/>
          <w:lang w:eastAsia="en-US"/>
        </w:rPr>
        <w:br w:type="page"/>
      </w:r>
    </w:p>
    <w:p w14:paraId="4A8663E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5.</w:t>
      </w:r>
      <w:r w:rsidRPr="00DF107B">
        <w:rPr>
          <w:szCs w:val="24"/>
          <w:lang w:eastAsia="en-US"/>
        </w:rPr>
        <w:tab/>
        <w:t>Virasto voi</w:t>
      </w:r>
      <w:r w:rsidRPr="00DF107B">
        <w:rPr>
          <w:strike/>
          <w:szCs w:val="24"/>
          <w:lang w:eastAsia="en-US"/>
        </w:rPr>
        <w:t xml:space="preserve"> komission hyväksynnän saatuaan</w:t>
      </w:r>
      <w:r w:rsidRPr="00DF107B">
        <w:rPr>
          <w:szCs w:val="24"/>
          <w:lang w:eastAsia="en-US"/>
        </w:rPr>
        <w:t xml:space="preserve"> tehdä hallinnollisia järjestelyjä ja yhteistyötä muiden sellaisten unionin elinten kanssa, jotka toimivat viraston toimivaltaan kuuluvien asioiden alalla. Tällaisista järjestelyistä ja yhteistyöstä on saatava komission lausunto, ja niistä on raportoitava sille säännöllisesti. </w:t>
      </w:r>
      <w:r w:rsidRPr="00DF107B">
        <w:rPr>
          <w:b/>
          <w:szCs w:val="24"/>
          <w:lang w:eastAsia="en-US"/>
        </w:rPr>
        <w:t>[Tark. 51]</w:t>
      </w:r>
    </w:p>
    <w:p w14:paraId="20B2A8F3"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6.</w:t>
      </w:r>
      <w:r w:rsidRPr="00DF107B">
        <w:rPr>
          <w:szCs w:val="24"/>
          <w:lang w:eastAsia="en-US"/>
        </w:rPr>
        <w:tab/>
        <w:t xml:space="preserve">Hallintoneuvosto hyväksyy viraston kansainvälisiä suhteita koskevan strategian viraston toimivaltaan kuuluvissa asioissa. Strategian </w:t>
      </w:r>
      <w:r w:rsidRPr="00DF107B">
        <w:rPr>
          <w:strike/>
          <w:szCs w:val="24"/>
          <w:lang w:eastAsia="en-US"/>
        </w:rPr>
        <w:t xml:space="preserve">on oltava komission poliittisten painopisteiden mukainen, ja sen </w:t>
      </w:r>
      <w:r w:rsidRPr="00DF107B">
        <w:rPr>
          <w:szCs w:val="24"/>
          <w:lang w:eastAsia="en-US"/>
        </w:rPr>
        <w:t xml:space="preserve">tarkoituksena on avustaa komissiota ja Euroopan ulkosuhdehallintoa </w:t>
      </w:r>
      <w:proofErr w:type="spellStart"/>
      <w:r w:rsidRPr="00DF107B">
        <w:rPr>
          <w:strike/>
          <w:szCs w:val="24"/>
          <w:lang w:eastAsia="en-US"/>
        </w:rPr>
        <w:t>näiden</w:t>
      </w:r>
      <w:r w:rsidRPr="00DF107B">
        <w:rPr>
          <w:b/>
          <w:i/>
          <w:szCs w:val="24"/>
          <w:lang w:eastAsia="en-US"/>
        </w:rPr>
        <w:t>unionin</w:t>
      </w:r>
      <w:proofErr w:type="spellEnd"/>
      <w:r w:rsidRPr="00DF107B">
        <w:rPr>
          <w:szCs w:val="24"/>
          <w:lang w:eastAsia="en-US"/>
        </w:rPr>
        <w:t xml:space="preserve"> painopisteiden toteuttamisessa. Se sisällytetään viraston ohjelma-asiakirjaan ja siinä eritellään asiaan liittyvät resurssit. </w:t>
      </w:r>
      <w:r w:rsidRPr="00DF107B">
        <w:rPr>
          <w:b/>
          <w:szCs w:val="24"/>
          <w:lang w:eastAsia="en-US"/>
        </w:rPr>
        <w:t>[Tark. 52]</w:t>
      </w:r>
    </w:p>
    <w:p w14:paraId="01082F93" w14:textId="77777777" w:rsidR="006E08CC" w:rsidRPr="00DF107B" w:rsidRDefault="006E08CC">
      <w:pPr>
        <w:widowControl/>
        <w:rPr>
          <w:szCs w:val="24"/>
          <w:lang w:eastAsia="en-US"/>
        </w:rPr>
      </w:pPr>
      <w:r w:rsidRPr="00DF107B">
        <w:rPr>
          <w:szCs w:val="24"/>
          <w:lang w:eastAsia="en-US"/>
        </w:rPr>
        <w:br w:type="page"/>
      </w:r>
    </w:p>
    <w:p w14:paraId="3215BDD8"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12 artikla</w:t>
      </w:r>
      <w:r w:rsidRPr="00DF107B">
        <w:rPr>
          <w:szCs w:val="24"/>
          <w:lang w:eastAsia="en-US"/>
        </w:rPr>
        <w:br/>
        <w:t>Eurooppalainen yhteistyö rannikkovartiostotoiminnoissa</w:t>
      </w:r>
    </w:p>
    <w:p w14:paraId="0720DE1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 tukee yhteistyössä asetuksella (EU) 2019/1896 perustetun Euroopan raja- ja merivartioviraston sekä asetuksella (EU) 2019/473 perustetun Euroopan kalastuksenvalvontaviraston kanssa kunkin viraston toimeksiannon puitteissa rannikkovartiostotoimintoja toteuttavia kansallisia viranomaisia kansallisella ja unionin tasolla sekä tarpeen mukaan kansainvälisellä tasolla</w:t>
      </w:r>
    </w:p>
    <w:p w14:paraId="12F4D670"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jakamalla, yhdistämällä ja analysoimalla tietoja, joita on saatavilla alusten ilmoitusjärjestelmissä ja muissa mainittujen virastojen ylläpitämissä tai niiden käytettävissä olevissa tietojärjestelmissä, niitä koskevien oikeusperustojen mukaisesti ja rajoittamatta jäsenvaltioiden omistusoikeutta tietoihin;</w:t>
      </w:r>
    </w:p>
    <w:p w14:paraId="55D339C0"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b)</w:t>
      </w:r>
      <w:r w:rsidRPr="00DF107B">
        <w:rPr>
          <w:szCs w:val="24"/>
          <w:lang w:eastAsia="en-US"/>
        </w:rPr>
        <w:tab/>
        <w:t>tarjoamalla uusimpaan teknologiaan perustuvia valvonta- ja viestintäpalveluja, mukaan lukien avaruus- ja maainfrastruktuuri sekä mille tahansa alustalle asennetut anturit;</w:t>
      </w:r>
    </w:p>
    <w:p w14:paraId="235B5FA5"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c)</w:t>
      </w:r>
      <w:r w:rsidRPr="00DF107B">
        <w:rPr>
          <w:szCs w:val="24"/>
          <w:lang w:eastAsia="en-US"/>
        </w:rPr>
        <w:tab/>
        <w:t>kehittämällä valmiuksia suuntaviivoja ja suosituksia laatimalla ja parhaita käytäntöjä vahvistamalla sekä tarjoamalla henkilöstön koulutusta ja henkilöstövaihtoa;</w:t>
      </w:r>
    </w:p>
    <w:p w14:paraId="0370F37E" w14:textId="77777777" w:rsidR="006E08CC" w:rsidRPr="00DF107B" w:rsidRDefault="006E08CC">
      <w:pPr>
        <w:widowControl/>
        <w:rPr>
          <w:szCs w:val="24"/>
          <w:lang w:eastAsia="en-US"/>
        </w:rPr>
      </w:pPr>
      <w:r w:rsidRPr="00DF107B">
        <w:rPr>
          <w:szCs w:val="24"/>
          <w:lang w:eastAsia="en-US"/>
        </w:rPr>
        <w:br w:type="page"/>
      </w:r>
    </w:p>
    <w:p w14:paraId="1F39E53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d)</w:t>
      </w:r>
      <w:r w:rsidRPr="00DF107B">
        <w:rPr>
          <w:szCs w:val="24"/>
          <w:lang w:eastAsia="en-US"/>
        </w:rPr>
        <w:tab/>
        <w:t>tehostamalla rannikkovartiostotoimintoja koskevaa tietojenvaihtoa ja yhteistyötä, myös analysoimalla merialan operatiivisia haasteita ja kehittymässä olevia riskejä</w:t>
      </w:r>
      <w:r w:rsidRPr="00DF107B">
        <w:rPr>
          <w:b/>
          <w:i/>
          <w:szCs w:val="24"/>
          <w:lang w:eastAsia="en-US"/>
        </w:rPr>
        <w:t xml:space="preserve"> käyttämällä muun muassa digitaalisia simulointivälineitä onnettomuuksien vaikutusten tutkimiseen</w:t>
      </w:r>
      <w:r w:rsidRPr="00DF107B">
        <w:rPr>
          <w:szCs w:val="24"/>
          <w:lang w:eastAsia="en-US"/>
        </w:rPr>
        <w:t xml:space="preserve">; </w:t>
      </w:r>
      <w:r w:rsidRPr="00DF107B">
        <w:rPr>
          <w:b/>
          <w:szCs w:val="24"/>
          <w:lang w:eastAsia="en-US"/>
        </w:rPr>
        <w:t>[Tark. 53]</w:t>
      </w:r>
    </w:p>
    <w:p w14:paraId="0B1C4568" w14:textId="208119A4"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e)</w:t>
      </w:r>
      <w:r w:rsidRPr="00DF107B">
        <w:rPr>
          <w:szCs w:val="24"/>
          <w:lang w:eastAsia="en-US"/>
        </w:rPr>
        <w:tab/>
        <w:t>jakamalla valmiuksia suunnittelemalla ja panemalla täytäntöön monialaisia operaatioita sekä jakamalla voimavaroja ja muita valmiuksia siltä osin kuin mainitut virastot koordinoivat näitä toimintoja ja niihin on saatu asianomaisten jäsenvaltioiden toimivaltaisten viranomaisten suostumus</w:t>
      </w:r>
      <w:r w:rsidR="006B401A" w:rsidRPr="00DF107B">
        <w:rPr>
          <w:szCs w:val="24"/>
          <w:lang w:eastAsia="en-US"/>
        </w:rPr>
        <w:t>;</w:t>
      </w:r>
    </w:p>
    <w:p w14:paraId="569F5E01" w14:textId="77777777" w:rsidR="007E7AE7" w:rsidRPr="00DF107B" w:rsidRDefault="007E7AE7" w:rsidP="007E7AE7">
      <w:pPr>
        <w:widowControl/>
        <w:spacing w:before="120" w:after="120" w:line="360" w:lineRule="auto"/>
        <w:ind w:left="1416" w:hanging="566"/>
        <w:rPr>
          <w:szCs w:val="24"/>
          <w:lang w:eastAsia="en-US"/>
        </w:rPr>
      </w:pPr>
      <w:r w:rsidRPr="00DF107B">
        <w:rPr>
          <w:b/>
          <w:i/>
          <w:szCs w:val="24"/>
          <w:lang w:eastAsia="en-US"/>
        </w:rPr>
        <w:t>e a)</w:t>
      </w:r>
      <w:r w:rsidRPr="00DF107B">
        <w:rPr>
          <w:szCs w:val="24"/>
          <w:lang w:eastAsia="en-US"/>
        </w:rPr>
        <w:tab/>
      </w:r>
      <w:r w:rsidRPr="00DF107B">
        <w:rPr>
          <w:b/>
          <w:i/>
          <w:szCs w:val="24"/>
          <w:lang w:eastAsia="en-US"/>
        </w:rPr>
        <w:t>jakamalla asiaankuuluvia tutkimustietoja, kehityssuuntauksia ja tekniikoita, tekoäly mukaan luettuna, yhteistyössä ja joustavasti ratkaisujen löytämiseksi eri alojen haasteisiin;</w:t>
      </w:r>
      <w:r w:rsidRPr="00DF107B">
        <w:rPr>
          <w:szCs w:val="24"/>
          <w:lang w:eastAsia="en-US"/>
        </w:rPr>
        <w:t xml:space="preserve"> </w:t>
      </w:r>
      <w:r w:rsidRPr="00DF107B">
        <w:rPr>
          <w:b/>
          <w:szCs w:val="24"/>
          <w:lang w:eastAsia="en-US"/>
        </w:rPr>
        <w:t>[Tark. 54]</w:t>
      </w:r>
    </w:p>
    <w:p w14:paraId="3AE6212F" w14:textId="77777777" w:rsidR="007E7AE7" w:rsidRPr="00DF107B" w:rsidRDefault="007E7AE7" w:rsidP="007E7AE7">
      <w:pPr>
        <w:widowControl/>
        <w:spacing w:before="120" w:after="120" w:line="360" w:lineRule="auto"/>
        <w:ind w:left="1416" w:hanging="566"/>
        <w:rPr>
          <w:szCs w:val="24"/>
          <w:lang w:eastAsia="en-US"/>
        </w:rPr>
      </w:pPr>
      <w:r w:rsidRPr="00DF107B">
        <w:rPr>
          <w:b/>
          <w:i/>
          <w:szCs w:val="24"/>
          <w:lang w:eastAsia="en-US"/>
        </w:rPr>
        <w:t>e b)</w:t>
      </w:r>
      <w:r w:rsidRPr="00DF107B">
        <w:rPr>
          <w:szCs w:val="24"/>
          <w:lang w:eastAsia="en-US"/>
        </w:rPr>
        <w:tab/>
      </w:r>
      <w:r w:rsidRPr="00DF107B">
        <w:rPr>
          <w:b/>
          <w:i/>
          <w:szCs w:val="24"/>
          <w:lang w:eastAsia="en-US"/>
        </w:rPr>
        <w:t>lisäämällä yhteistyötä meritieteellisiin tutkimustarkoituksiin tarvittavan tiedon keräämiseksi meriekosysteemeistä, fysikaalisesta meritieteestä, merikemiasta, meribiologiasta, kalastuksesta, valtamerten tieteellisestä tutkimusporauksesta ja -kairauksesta, geologisesta ja geofysikaalisesta tutkimuksesta ja muista toiminnoista;</w:t>
      </w:r>
      <w:r w:rsidRPr="00DF107B">
        <w:rPr>
          <w:szCs w:val="24"/>
          <w:lang w:eastAsia="en-US"/>
        </w:rPr>
        <w:t xml:space="preserve"> </w:t>
      </w:r>
      <w:r w:rsidRPr="00DF107B">
        <w:rPr>
          <w:b/>
          <w:szCs w:val="24"/>
          <w:lang w:eastAsia="en-US"/>
        </w:rPr>
        <w:t>[Tark. 55]</w:t>
      </w:r>
    </w:p>
    <w:p w14:paraId="2993D33B" w14:textId="77777777" w:rsidR="006E08CC" w:rsidRPr="00DF107B" w:rsidRDefault="006E08CC">
      <w:pPr>
        <w:widowControl/>
        <w:rPr>
          <w:b/>
          <w:i/>
          <w:szCs w:val="24"/>
          <w:lang w:eastAsia="en-US"/>
        </w:rPr>
      </w:pPr>
      <w:r w:rsidRPr="00DF107B">
        <w:rPr>
          <w:b/>
          <w:i/>
          <w:szCs w:val="24"/>
          <w:lang w:eastAsia="en-US"/>
        </w:rPr>
        <w:br w:type="page"/>
      </w:r>
    </w:p>
    <w:p w14:paraId="271B3908" w14:textId="13C17768" w:rsidR="007E7AE7" w:rsidRPr="00DF107B" w:rsidRDefault="007E7AE7" w:rsidP="007E7AE7">
      <w:pPr>
        <w:widowControl/>
        <w:spacing w:before="120" w:after="120" w:line="360" w:lineRule="auto"/>
        <w:ind w:left="1416" w:hanging="566"/>
        <w:rPr>
          <w:szCs w:val="24"/>
          <w:lang w:eastAsia="en-US"/>
        </w:rPr>
      </w:pPr>
      <w:r w:rsidRPr="00DF107B">
        <w:rPr>
          <w:b/>
          <w:i/>
          <w:szCs w:val="24"/>
          <w:lang w:eastAsia="en-US"/>
        </w:rPr>
        <w:lastRenderedPageBreak/>
        <w:t>e c)</w:t>
      </w:r>
      <w:r w:rsidRPr="00DF107B">
        <w:rPr>
          <w:szCs w:val="24"/>
          <w:lang w:eastAsia="en-US"/>
        </w:rPr>
        <w:tab/>
      </w:r>
      <w:r w:rsidRPr="00DF107B">
        <w:rPr>
          <w:b/>
          <w:i/>
          <w:szCs w:val="24"/>
          <w:lang w:eastAsia="en-US"/>
        </w:rPr>
        <w:t>toteuttamalla yhteistyöhankkeita kolmansien maiden kanssa meriturvallisuuden parantamiseksi, alusten aiheuttaman pilaantumisen ehkäisemiseksi ja meriympäristön säilyttämiseksi</w:t>
      </w:r>
      <w:r w:rsidR="006B401A" w:rsidRPr="00DF107B">
        <w:rPr>
          <w:b/>
          <w:i/>
          <w:szCs w:val="24"/>
          <w:lang w:eastAsia="en-US"/>
        </w:rPr>
        <w:t>.</w:t>
      </w:r>
      <w:r w:rsidRPr="00DF107B">
        <w:rPr>
          <w:szCs w:val="24"/>
          <w:lang w:eastAsia="en-US"/>
        </w:rPr>
        <w:t xml:space="preserve"> </w:t>
      </w:r>
      <w:r w:rsidRPr="00DF107B">
        <w:rPr>
          <w:b/>
          <w:szCs w:val="24"/>
          <w:lang w:eastAsia="en-US"/>
        </w:rPr>
        <w:t>[Tark. 56]</w:t>
      </w:r>
    </w:p>
    <w:p w14:paraId="5A679D0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Viraston, Euroopan raja- ja merivartioviraston sekä Euroopan kalastuksenvalvontaviraston rannikkovartiostotoiminnoissa tekemän yhteistyön yksityiskohtaiset muodot määritetään työjärjestelyssä kunkin viraston toimeksiannon ja näihin virastoihin sovellettavien varainhoitoa koskevien sääntöjen mukaisesti, sanotun kuitenkaan rajoittamatta 15 artiklassa säädettyä viraston hallintoneuvoston toimivaltaa. Viraston, Euroopan kalastuksenvalvontaviraston sekä Euroopan raja- ja merivartioviraston hallintoneuvostot hyväksyvät kyseisen järjestelyn.</w:t>
      </w:r>
    </w:p>
    <w:p w14:paraId="54000D6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Komissio laatii tiiviissä yhteistyössä jäsenvaltioiden, viraston, Euroopan raja- ja merivartioviraston sekä Euroopan kalastuksenvalvontaviraston kanssa rannikkovartiostotoiminnoissa tehtävää eurooppalaista yhteistyötä koskevan käsikirjan. Tämä käsikirja sisältää suuntaviivoja, suosituksia ja parhaita käytäntöjä tietojenvaihtoa varten. Komissio hyväksyy käsikirjan suosituksen muodossa.</w:t>
      </w:r>
    </w:p>
    <w:p w14:paraId="2110006A" w14:textId="77777777" w:rsidR="006E08CC" w:rsidRPr="00DF107B" w:rsidRDefault="006E08CC">
      <w:pPr>
        <w:widowControl/>
        <w:rPr>
          <w:szCs w:val="24"/>
          <w:lang w:eastAsia="en-US"/>
        </w:rPr>
      </w:pPr>
      <w:r w:rsidRPr="00DF107B">
        <w:rPr>
          <w:szCs w:val="24"/>
          <w:lang w:eastAsia="en-US"/>
        </w:rPr>
        <w:br w:type="page"/>
      </w:r>
    </w:p>
    <w:p w14:paraId="7DECB8F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4.</w:t>
      </w:r>
      <w:r w:rsidRPr="00DF107B">
        <w:rPr>
          <w:szCs w:val="24"/>
          <w:lang w:eastAsia="en-US"/>
        </w:rPr>
        <w:tab/>
        <w:t>Tässä artiklassa säädetyt tehtävät eivät saa haitata 4–12 artiklassa tarkoitettujen viraston tehtävien hoitamista eivätkä vaikuttaa jäsenvaltioiden oikeuksiin tai velvollisuuksiin etenkään lippu-, satama- tai rannikkovaltioina.</w:t>
      </w:r>
    </w:p>
    <w:p w14:paraId="7D8119D2"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13 artikla</w:t>
      </w:r>
      <w:r w:rsidRPr="00DF107B">
        <w:rPr>
          <w:szCs w:val="24"/>
          <w:lang w:eastAsia="en-US"/>
        </w:rPr>
        <w:br/>
        <w:t xml:space="preserve">Viestintä ja tiedon levittäminen </w:t>
      </w:r>
    </w:p>
    <w:p w14:paraId="5CC886BF" w14:textId="77777777" w:rsidR="007E7AE7" w:rsidRPr="00DF107B" w:rsidRDefault="007E7AE7" w:rsidP="007E7AE7">
      <w:pPr>
        <w:widowControl/>
        <w:spacing w:before="120" w:after="120" w:line="360" w:lineRule="auto"/>
        <w:rPr>
          <w:szCs w:val="24"/>
          <w:lang w:eastAsia="en-US"/>
        </w:rPr>
      </w:pPr>
      <w:r w:rsidRPr="00DF107B">
        <w:rPr>
          <w:szCs w:val="24"/>
          <w:lang w:eastAsia="en-US"/>
        </w:rPr>
        <w:t>Virasto voi omasta aloitteestaan toteuttaa tiedotustoimia toimeksiantonsa piiriin kuuluvilla aloilla. Tiedotustoimet eivät saa haitata 4–13 artiklassa tarkoitettuja muita tehtäviä, ja ne on toteutettava asianmukaisten hallintoneuvoston hyväksymien tiedotusta ja viestintää koskevien suunnitelmien mukaisesti. Hallintoneuvosto saattaa nämä tarveanalyysiin perustuvat suunnitelmat säännöllisesti ajan tasalle.</w:t>
      </w:r>
    </w:p>
    <w:p w14:paraId="13E6382A" w14:textId="77777777" w:rsidR="006E08CC" w:rsidRPr="00DF107B" w:rsidRDefault="006E08CC">
      <w:pPr>
        <w:widowControl/>
        <w:rPr>
          <w:szCs w:val="24"/>
          <w:lang w:eastAsia="en-US"/>
        </w:rPr>
      </w:pPr>
      <w:r w:rsidRPr="00DF107B">
        <w:rPr>
          <w:szCs w:val="24"/>
          <w:lang w:eastAsia="en-US"/>
        </w:rPr>
        <w:br w:type="page"/>
      </w:r>
    </w:p>
    <w:p w14:paraId="02055085"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IV LUKU</w:t>
      </w:r>
      <w:r w:rsidRPr="00DF107B">
        <w:rPr>
          <w:szCs w:val="24"/>
          <w:lang w:eastAsia="en-US"/>
        </w:rPr>
        <w:br/>
        <w:t xml:space="preserve">VIRASTON ORGANISAATIO </w:t>
      </w:r>
    </w:p>
    <w:p w14:paraId="20EEA6B4"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14 artikla</w:t>
      </w:r>
      <w:r w:rsidRPr="00DF107B">
        <w:rPr>
          <w:szCs w:val="24"/>
          <w:lang w:eastAsia="en-US"/>
        </w:rPr>
        <w:br/>
        <w:t xml:space="preserve">Hallinto- ja johtamisrakenne </w:t>
      </w:r>
    </w:p>
    <w:p w14:paraId="7E7E1D8F" w14:textId="77777777" w:rsidR="007E7AE7" w:rsidRPr="00DF107B" w:rsidRDefault="007E7AE7" w:rsidP="007E7AE7">
      <w:pPr>
        <w:widowControl/>
        <w:spacing w:before="120" w:after="120" w:line="360" w:lineRule="auto"/>
        <w:rPr>
          <w:szCs w:val="24"/>
          <w:lang w:eastAsia="en-US"/>
        </w:rPr>
      </w:pPr>
      <w:r w:rsidRPr="00DF107B">
        <w:rPr>
          <w:szCs w:val="24"/>
          <w:lang w:eastAsia="en-US"/>
        </w:rPr>
        <w:t>Viraston hallinto- ja johtamisrakenteen muodostavat</w:t>
      </w:r>
    </w:p>
    <w:p w14:paraId="4740E37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a)</w:t>
      </w:r>
      <w:r w:rsidRPr="00DF107B">
        <w:rPr>
          <w:szCs w:val="24"/>
          <w:lang w:eastAsia="en-US"/>
        </w:rPr>
        <w:tab/>
        <w:t>hallintoneuvosto, jonka tehtävät luetellaan 16 artiklassa;</w:t>
      </w:r>
    </w:p>
    <w:p w14:paraId="1F6266DB"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b)</w:t>
      </w:r>
      <w:r w:rsidRPr="00DF107B">
        <w:rPr>
          <w:szCs w:val="24"/>
          <w:lang w:eastAsia="en-US"/>
        </w:rPr>
        <w:tab/>
        <w:t>johtokunta, jonka tehtävät luetellaan 21 artiklassa;</w:t>
      </w:r>
    </w:p>
    <w:p w14:paraId="1D109C4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c)</w:t>
      </w:r>
      <w:r w:rsidRPr="00DF107B">
        <w:rPr>
          <w:szCs w:val="24"/>
          <w:lang w:eastAsia="en-US"/>
        </w:rPr>
        <w:tab/>
        <w:t>pääjohtaja, jonka tehtävät luetellaan 23 artiklassa.</w:t>
      </w:r>
    </w:p>
    <w:p w14:paraId="21472209"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15 artikla</w:t>
      </w:r>
      <w:r w:rsidRPr="00DF107B">
        <w:rPr>
          <w:szCs w:val="24"/>
          <w:lang w:eastAsia="en-US"/>
        </w:rPr>
        <w:br/>
        <w:t>Hallintoneuvoston kokoonpano</w:t>
      </w:r>
    </w:p>
    <w:p w14:paraId="40F1847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Hallintoneuvosto koostuu yhdestä kunkin jäsenvaltion edustajasta ja neljästä komission edustajasta, joilla kaikilla on äänioikeus.</w:t>
      </w:r>
    </w:p>
    <w:p w14:paraId="0C74ABB8" w14:textId="07A96C07" w:rsidR="007E7AE7" w:rsidRPr="00DF107B" w:rsidRDefault="007E7AE7" w:rsidP="007E7AE7">
      <w:pPr>
        <w:widowControl/>
        <w:spacing w:before="120" w:after="120" w:line="360" w:lineRule="auto"/>
        <w:ind w:left="850"/>
        <w:rPr>
          <w:szCs w:val="24"/>
          <w:lang w:eastAsia="en-US"/>
        </w:rPr>
      </w:pPr>
      <w:r w:rsidRPr="00DF107B">
        <w:rPr>
          <w:szCs w:val="24"/>
          <w:lang w:eastAsia="en-US"/>
        </w:rPr>
        <w:t>Hallintoneuvostoon kuuluu myös neljä asiaan läheisimmin liittyvien 2 artiklassa tarkoitettujen alojen äänioikeudetonta ammattila</w:t>
      </w:r>
      <w:r w:rsidR="006E08CC" w:rsidRPr="00DF107B">
        <w:rPr>
          <w:szCs w:val="24"/>
          <w:lang w:eastAsia="en-US"/>
        </w:rPr>
        <w:t xml:space="preserve">ista, jotka komissio nimittää. </w:t>
      </w:r>
      <w:r w:rsidRPr="00DF107B">
        <w:rPr>
          <w:b/>
          <w:szCs w:val="24"/>
          <w:lang w:eastAsia="en-US"/>
        </w:rPr>
        <w:t>[Tark. 57 ei vaikuta suomenkieliseen versioon</w:t>
      </w:r>
      <w:r w:rsidR="000E6A3A" w:rsidRPr="00DF107B">
        <w:rPr>
          <w:b/>
          <w:szCs w:val="24"/>
          <w:lang w:eastAsia="en-US"/>
        </w:rPr>
        <w:t>]</w:t>
      </w:r>
    </w:p>
    <w:p w14:paraId="72EC726E" w14:textId="77777777" w:rsidR="006E08CC" w:rsidRPr="00DF107B" w:rsidRDefault="006E08CC">
      <w:pPr>
        <w:widowControl/>
        <w:rPr>
          <w:b/>
          <w:i/>
          <w:szCs w:val="24"/>
          <w:lang w:eastAsia="en-US"/>
        </w:rPr>
      </w:pPr>
      <w:r w:rsidRPr="00DF107B">
        <w:rPr>
          <w:b/>
          <w:i/>
          <w:szCs w:val="24"/>
          <w:lang w:eastAsia="en-US"/>
        </w:rPr>
        <w:br w:type="page"/>
      </w:r>
    </w:p>
    <w:p w14:paraId="73EED5D3" w14:textId="77777777" w:rsidR="007E7AE7" w:rsidRPr="00DF107B" w:rsidRDefault="007E7AE7" w:rsidP="007E7AE7">
      <w:pPr>
        <w:widowControl/>
        <w:spacing w:before="120" w:after="120" w:line="360" w:lineRule="auto"/>
        <w:ind w:left="850"/>
        <w:rPr>
          <w:szCs w:val="24"/>
          <w:lang w:eastAsia="en-US"/>
        </w:rPr>
      </w:pPr>
      <w:r w:rsidRPr="00DF107B">
        <w:rPr>
          <w:b/>
          <w:i/>
          <w:szCs w:val="24"/>
          <w:lang w:eastAsia="en-US"/>
        </w:rPr>
        <w:lastRenderedPageBreak/>
        <w:t>Hallintoneuvostoon kuuluu myös kaksi Euroopan parlamentin edustajaa, jotka toimivat äänioikeudettomina tarkkailijoina.</w:t>
      </w:r>
      <w:r w:rsidRPr="00DF107B">
        <w:rPr>
          <w:szCs w:val="24"/>
          <w:lang w:eastAsia="en-US"/>
        </w:rPr>
        <w:t xml:space="preserve"> </w:t>
      </w:r>
      <w:r w:rsidRPr="00DF107B">
        <w:rPr>
          <w:b/>
          <w:szCs w:val="24"/>
          <w:lang w:eastAsia="en-US"/>
        </w:rPr>
        <w:t>[Tark. 58]</w:t>
      </w:r>
    </w:p>
    <w:p w14:paraId="2C8E0733" w14:textId="77777777" w:rsidR="007E7AE7" w:rsidRPr="00DF107B" w:rsidRDefault="007E7AE7" w:rsidP="007E7AE7">
      <w:pPr>
        <w:widowControl/>
        <w:spacing w:before="120" w:after="120" w:line="360" w:lineRule="auto"/>
        <w:ind w:left="850"/>
        <w:rPr>
          <w:szCs w:val="24"/>
          <w:lang w:eastAsia="en-US"/>
        </w:rPr>
      </w:pPr>
      <w:r w:rsidRPr="00DF107B">
        <w:rPr>
          <w:szCs w:val="24"/>
          <w:lang w:eastAsia="en-US"/>
        </w:rPr>
        <w:t>Hallintoneuvoston jäsenet nimitetään heidän 2 artiklassa tarkoitettuja aloja koskevan kokemuksensa ja asiantuntemuksensa perusteella. Jäsenvaltiot ja komissio pyrkivät tahoillaan varmistamaan miesten ja naisten tasapuolisen edustuksen hallintoneuvostossa. Yhden neljästä ammattilaisesta on oltava onnettomuustutkintaelinten pysyvän yhteistyöjärjestelmän edustaja direktiivin 2009/18/EY 10 artiklan mukaisesti.</w:t>
      </w:r>
    </w:p>
    <w:p w14:paraId="5FB6F9A1" w14:textId="000E878F"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Kukin jäsenvaltio</w:t>
      </w:r>
      <w:r w:rsidRPr="00DF107B">
        <w:rPr>
          <w:b/>
          <w:i/>
          <w:szCs w:val="24"/>
          <w:lang w:eastAsia="en-US"/>
        </w:rPr>
        <w:t>, Euroopan parlamentti</w:t>
      </w:r>
      <w:r w:rsidRPr="00DF107B">
        <w:rPr>
          <w:szCs w:val="24"/>
          <w:lang w:eastAsia="en-US"/>
        </w:rPr>
        <w:t xml:space="preserve"> ja komissio nimittää oman hallintoneuvoston jäsenensä sekä varajäsenen, joka edustaa hallintoneuvoston jäsentä hänen poissa ollessaan. </w:t>
      </w:r>
      <w:r w:rsidRPr="00DF107B">
        <w:rPr>
          <w:b/>
          <w:szCs w:val="24"/>
          <w:lang w:eastAsia="en-US"/>
        </w:rPr>
        <w:t>[Tark. 59]</w:t>
      </w:r>
    </w:p>
    <w:p w14:paraId="099387FB"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Jäsenten toimikausi on neljä vuotta. Sama henkilö voidaan nimittää uudelleen.</w:t>
      </w:r>
    </w:p>
    <w:p w14:paraId="7BD470A3" w14:textId="77777777" w:rsidR="006E08CC" w:rsidRPr="00DF107B" w:rsidRDefault="006E08CC">
      <w:pPr>
        <w:widowControl/>
        <w:rPr>
          <w:szCs w:val="24"/>
          <w:lang w:eastAsia="en-US"/>
        </w:rPr>
      </w:pPr>
      <w:r w:rsidRPr="00DF107B">
        <w:rPr>
          <w:szCs w:val="24"/>
          <w:lang w:eastAsia="en-US"/>
        </w:rPr>
        <w:br w:type="page"/>
      </w:r>
    </w:p>
    <w:p w14:paraId="1FF20FD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4.</w:t>
      </w:r>
      <w:r w:rsidRPr="00DF107B">
        <w:rPr>
          <w:szCs w:val="24"/>
          <w:lang w:eastAsia="en-US"/>
        </w:rPr>
        <w:tab/>
        <w:t>Jokaisen jäsenen ja varajäsenen on allekirjoitettava toimikautensa alussa kirjallinen ilmoitus siitä, että hän ei ole eturistiriitatilanteessa. Jokaisen jäsenen ja varajäsenen on saatettava ilmoituksensa ajan tasalle eturistiriitoihin liittyvien olosuhteiden muuttuessa. Virasto julkaisee ilmoitukset ja päivitykset verkkosivustollaan.</w:t>
      </w:r>
    </w:p>
    <w:p w14:paraId="24571B1A"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16 artikla</w:t>
      </w:r>
      <w:r w:rsidRPr="00DF107B">
        <w:rPr>
          <w:szCs w:val="24"/>
          <w:lang w:eastAsia="en-US"/>
        </w:rPr>
        <w:br/>
        <w:t>Hallintoneuvoston tehtävät</w:t>
      </w:r>
    </w:p>
    <w:p w14:paraId="3CB7866B"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Sen varmistamiseksi, että virasto huolehtii tehtävistään, hallintoneuvosto</w:t>
      </w:r>
    </w:p>
    <w:p w14:paraId="67AC85C5"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ohjaa yleisesti ja strategisesti viraston toimintaa;</w:t>
      </w:r>
    </w:p>
    <w:p w14:paraId="6094BAAB"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b)</w:t>
      </w:r>
      <w:r w:rsidRPr="00DF107B">
        <w:rPr>
          <w:szCs w:val="24"/>
          <w:lang w:eastAsia="en-US"/>
        </w:rPr>
        <w:tab/>
        <w:t>hyväksyy viraston yhtenäisen ohjelma-asiakirjan vuosittain äänivaltaisten jäsentensä kahden kolmasosan enemmistöllä 17 artiklan mukaisesti saatuaan lausunnon komissiolta;</w:t>
      </w:r>
    </w:p>
    <w:p w14:paraId="44CA25BC"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c)</w:t>
      </w:r>
      <w:r w:rsidRPr="00DF107B">
        <w:rPr>
          <w:szCs w:val="24"/>
          <w:lang w:eastAsia="en-US"/>
        </w:rPr>
        <w:tab/>
        <w:t>hyväksyy äänivaltaisten jäsentensä kahden kolmasosan enemmistöllä viraston vuotuisen talousarvion ja henkilöstötaulukon ja hoitaa muita viraston talousarvioon liittyviä tehtäviä VI luvun mukaisesti;</w:t>
      </w:r>
    </w:p>
    <w:p w14:paraId="1A16818E" w14:textId="77777777" w:rsidR="006E08CC" w:rsidRPr="00DF107B" w:rsidRDefault="006E08CC">
      <w:pPr>
        <w:widowControl/>
        <w:rPr>
          <w:szCs w:val="24"/>
          <w:lang w:eastAsia="en-US"/>
        </w:rPr>
      </w:pPr>
      <w:r w:rsidRPr="00DF107B">
        <w:rPr>
          <w:szCs w:val="24"/>
          <w:lang w:eastAsia="en-US"/>
        </w:rPr>
        <w:br w:type="page"/>
      </w:r>
    </w:p>
    <w:p w14:paraId="6C74D968"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d)</w:t>
      </w:r>
      <w:r w:rsidRPr="00DF107B">
        <w:rPr>
          <w:szCs w:val="24"/>
          <w:lang w:eastAsia="en-US"/>
        </w:rPr>
        <w:tab/>
        <w:t xml:space="preserve">hyväksyy äänivaltaisten jäsentensä kahden kolmasosan enemmistöllä viraston toimintaa koskevan </w:t>
      </w:r>
      <w:proofErr w:type="spellStart"/>
      <w:r w:rsidRPr="00DF107B">
        <w:rPr>
          <w:szCs w:val="24"/>
          <w:lang w:eastAsia="en-US"/>
        </w:rPr>
        <w:t>konsolidoidun</w:t>
      </w:r>
      <w:proofErr w:type="spellEnd"/>
      <w:r w:rsidRPr="00DF107B">
        <w:rPr>
          <w:szCs w:val="24"/>
          <w:lang w:eastAsia="en-US"/>
        </w:rPr>
        <w:t xml:space="preserve"> vuotuisen toimintakertomuksen ja toimittaa sen kunakin vuonna viimeistään 1 päivänä heinäkuuta Euroopan parlamentille, neuvostolle, komissiolle, tilintarkastustuomioistuimelle ja jäsenvaltioille. Kertomus on julkistettava;</w:t>
      </w:r>
    </w:p>
    <w:p w14:paraId="59C56D28"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e)</w:t>
      </w:r>
      <w:r w:rsidRPr="00DF107B">
        <w:rPr>
          <w:szCs w:val="24"/>
          <w:lang w:eastAsia="en-US"/>
        </w:rPr>
        <w:tab/>
        <w:t>vahvistaa virastoon sovellettavat varainhoitosäännöt 25 artiklan mukaisesti;</w:t>
      </w:r>
    </w:p>
    <w:p w14:paraId="05F97379"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f)</w:t>
      </w:r>
      <w:r w:rsidRPr="00DF107B">
        <w:rPr>
          <w:szCs w:val="24"/>
          <w:lang w:eastAsia="en-US"/>
        </w:rPr>
        <w:tab/>
        <w:t>antaa lausunnon viraston lopullisesta tilinpäätöksestä;</w:t>
      </w:r>
    </w:p>
    <w:p w14:paraId="4DCF9790"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g)</w:t>
      </w:r>
      <w:r w:rsidRPr="00DF107B">
        <w:rPr>
          <w:szCs w:val="24"/>
          <w:lang w:eastAsia="en-US"/>
        </w:rPr>
        <w:tab/>
        <w:t>vahvistaa 10 artiklan nojalla tehtäviä vierailuja koskevan menettelyn</w:t>
      </w:r>
      <w:r w:rsidRPr="00DF107B">
        <w:rPr>
          <w:strike/>
          <w:szCs w:val="24"/>
          <w:lang w:eastAsia="en-US"/>
        </w:rPr>
        <w:t>. Jos komissio ilmoittaa 15 päivän kuluessa menettelyn hyväksymisestä vastustavansa sitä, hallintoneuvosto tutkii menettelyn uudelleen ja hyväksyy sen mahdollisine muutoksineen toisessa käsittelyssä joko kahden kolmasosan enemmistöllä, komission edustajat mukaan luettuina, tai jäsenvaltioiden edustajien yksimielisellä päätöksellä</w:t>
      </w:r>
      <w:r w:rsidRPr="00DF107B">
        <w:rPr>
          <w:szCs w:val="24"/>
          <w:lang w:eastAsia="en-US"/>
        </w:rPr>
        <w:t xml:space="preserve">; </w:t>
      </w:r>
      <w:r w:rsidRPr="00DF107B">
        <w:rPr>
          <w:b/>
          <w:szCs w:val="24"/>
          <w:lang w:eastAsia="en-US"/>
        </w:rPr>
        <w:t>[Tark. 60]</w:t>
      </w:r>
    </w:p>
    <w:p w14:paraId="2FF64867"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h)</w:t>
      </w:r>
      <w:r w:rsidRPr="00DF107B">
        <w:rPr>
          <w:szCs w:val="24"/>
          <w:lang w:eastAsia="en-US"/>
        </w:rPr>
        <w:tab/>
        <w:t>tarkastelee ja hyväksyy 11 artiklan 5 kohdassa tarkoitettuja ehdotuksia hallinnollisista järjestelyistä;</w:t>
      </w:r>
    </w:p>
    <w:p w14:paraId="16447023" w14:textId="77777777" w:rsidR="006E08CC" w:rsidRPr="00DF107B" w:rsidRDefault="006E08CC">
      <w:pPr>
        <w:widowControl/>
        <w:rPr>
          <w:szCs w:val="24"/>
          <w:lang w:eastAsia="en-US"/>
        </w:rPr>
      </w:pPr>
      <w:r w:rsidRPr="00DF107B">
        <w:rPr>
          <w:szCs w:val="24"/>
          <w:lang w:eastAsia="en-US"/>
        </w:rPr>
        <w:br w:type="page"/>
      </w:r>
    </w:p>
    <w:p w14:paraId="5A8EA496"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i)</w:t>
      </w:r>
      <w:r w:rsidRPr="00DF107B">
        <w:rPr>
          <w:szCs w:val="24"/>
          <w:lang w:eastAsia="en-US"/>
        </w:rPr>
        <w:tab/>
        <w:t>hyväksyy petostentorjuntastrategian, joka on oikeassa suhteessa petosriskeihin nähden ottaen huomioon toteutettavien toimenpiteiden kustannukset ja hyödyt;</w:t>
      </w:r>
    </w:p>
    <w:p w14:paraId="2D4CFF56"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j)</w:t>
      </w:r>
      <w:r w:rsidRPr="00DF107B">
        <w:rPr>
          <w:szCs w:val="24"/>
          <w:lang w:eastAsia="en-US"/>
        </w:rPr>
        <w:tab/>
        <w:t>hyväksyy</w:t>
      </w:r>
      <w:r w:rsidRPr="00DF107B">
        <w:rPr>
          <w:b/>
          <w:i/>
          <w:szCs w:val="24"/>
          <w:lang w:eastAsia="en-US"/>
        </w:rPr>
        <w:t xml:space="preserve"> ja asettaa julkisesti saataville</w:t>
      </w:r>
      <w:r w:rsidRPr="00DF107B">
        <w:rPr>
          <w:szCs w:val="24"/>
          <w:lang w:eastAsia="en-US"/>
        </w:rPr>
        <w:t xml:space="preserve"> jäsentensä eturistiriitojen ehkäisemistä ja hallintaa koskevat säännöt ja julkaisee vuosittain verkkosivustollaan hallintoneuvoston jäsenten sidonnaisuuksia koskevat ilmoitukset; </w:t>
      </w:r>
      <w:r w:rsidRPr="00DF107B">
        <w:rPr>
          <w:b/>
          <w:szCs w:val="24"/>
          <w:lang w:eastAsia="en-US"/>
        </w:rPr>
        <w:t>[Tark. 61]</w:t>
      </w:r>
    </w:p>
    <w:p w14:paraId="7DEC4ED8"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k)</w:t>
      </w:r>
      <w:r w:rsidRPr="00DF107B">
        <w:rPr>
          <w:szCs w:val="24"/>
          <w:lang w:eastAsia="en-US"/>
        </w:rPr>
        <w:tab/>
        <w:t>hyväksyy tarpeiden analysoinnin pohjalta 13 artiklassa tarkoitetut tiedotusta ja viestintää koskevat suunnitelmat ja saattaa ne säännöllisesti ajan tasalle;</w:t>
      </w:r>
    </w:p>
    <w:p w14:paraId="6D99B50B"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l)</w:t>
      </w:r>
      <w:r w:rsidRPr="00DF107B">
        <w:rPr>
          <w:szCs w:val="24"/>
          <w:lang w:eastAsia="en-US"/>
        </w:rPr>
        <w:tab/>
        <w:t>hyväksyy työjärjestyksensä</w:t>
      </w:r>
      <w:r w:rsidRPr="00DF107B">
        <w:rPr>
          <w:b/>
          <w:i/>
          <w:szCs w:val="24"/>
          <w:lang w:eastAsia="en-US"/>
        </w:rPr>
        <w:t xml:space="preserve"> ja asettaa sen julkisesti saataville</w:t>
      </w:r>
      <w:r w:rsidRPr="00DF107B">
        <w:rPr>
          <w:szCs w:val="24"/>
          <w:lang w:eastAsia="en-US"/>
        </w:rPr>
        <w:t xml:space="preserve">; </w:t>
      </w:r>
      <w:r w:rsidRPr="00DF107B">
        <w:rPr>
          <w:b/>
          <w:szCs w:val="24"/>
          <w:lang w:eastAsia="en-US"/>
        </w:rPr>
        <w:t>[Tark. 62]</w:t>
      </w:r>
    </w:p>
    <w:p w14:paraId="3CC35B83"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m)</w:t>
      </w:r>
      <w:r w:rsidRPr="00DF107B">
        <w:rPr>
          <w:szCs w:val="24"/>
          <w:lang w:eastAsia="en-US"/>
        </w:rPr>
        <w:tab/>
        <w:t>nimittää johtokunnan jäsenet äänivaltaisten jäsentensä kahden kolmasosan enemmistöllä 21 artiklan mukaisesti;</w:t>
      </w:r>
    </w:p>
    <w:p w14:paraId="2D9A7573"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n)</w:t>
      </w:r>
      <w:r w:rsidRPr="00DF107B">
        <w:rPr>
          <w:szCs w:val="24"/>
          <w:lang w:eastAsia="en-US"/>
        </w:rPr>
        <w:tab/>
        <w:t>hyväksyy 21 artiklassa tarkoitetun toimeksiannon johtokunnan tehtäviä varten;</w:t>
      </w:r>
    </w:p>
    <w:p w14:paraId="199893D9"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o)</w:t>
      </w:r>
      <w:r w:rsidRPr="00DF107B">
        <w:rPr>
          <w:szCs w:val="24"/>
          <w:lang w:eastAsia="en-US"/>
        </w:rPr>
        <w:tab/>
        <w:t>käyttää 2 kohdan mukaisesti viraston henkilöstön suhteen henkilöstösäännöissä nimittävälle viranomaiselle ja muuta henkilöstöä koskevissa palvelussuhteen ehdoissa työsopimusten tekemiseen valtuutetulle viranomaiselle annettuja valtuuksia</w:t>
      </w:r>
      <w:r w:rsidRPr="00DF107B">
        <w:rPr>
          <w:szCs w:val="24"/>
          <w:vertAlign w:val="superscript"/>
          <w:lang w:val="en-GB" w:eastAsia="en-US"/>
        </w:rPr>
        <w:footnoteReference w:id="34"/>
      </w:r>
      <w:r w:rsidRPr="00DF107B">
        <w:rPr>
          <w:szCs w:val="24"/>
          <w:lang w:eastAsia="en-US"/>
        </w:rPr>
        <w:t>;</w:t>
      </w:r>
    </w:p>
    <w:p w14:paraId="0D6CA1DC" w14:textId="77777777" w:rsidR="006E08CC" w:rsidRPr="00DF107B" w:rsidRDefault="006E08CC">
      <w:pPr>
        <w:widowControl/>
        <w:rPr>
          <w:szCs w:val="24"/>
          <w:lang w:eastAsia="en-US"/>
        </w:rPr>
      </w:pPr>
      <w:r w:rsidRPr="00DF107B">
        <w:rPr>
          <w:szCs w:val="24"/>
          <w:lang w:eastAsia="en-US"/>
        </w:rPr>
        <w:br w:type="page"/>
      </w:r>
    </w:p>
    <w:p w14:paraId="1B8A26FA"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p)</w:t>
      </w:r>
      <w:r w:rsidRPr="00DF107B">
        <w:rPr>
          <w:szCs w:val="24"/>
          <w:lang w:eastAsia="en-US"/>
        </w:rPr>
        <w:tab/>
        <w:t>vahvistaa henkilöstösääntöjen ja muuhun henkilöstöön sovellettavien palvelussuhteen ehtojen täytäntöönpanoa koskevat säännökset henkilöstösääntöjen 110 artiklan 2 kohdan mukaisesti;</w:t>
      </w:r>
    </w:p>
    <w:p w14:paraId="1E060530"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q)</w:t>
      </w:r>
      <w:r w:rsidRPr="00DF107B">
        <w:rPr>
          <w:szCs w:val="24"/>
          <w:lang w:eastAsia="en-US"/>
        </w:rPr>
        <w:tab/>
        <w:t>nimittää pääjohtajan, antaa hänelle ohjausta ja seuraa hänen suoriutumistaan tehtävistään ja jatkaa tarvittaessa hänen toimikauttaan tai erottaa hänet 22 artiklan mukaisesti;</w:t>
      </w:r>
    </w:p>
    <w:p w14:paraId="6801B709"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r)</w:t>
      </w:r>
      <w:r w:rsidRPr="00DF107B">
        <w:rPr>
          <w:szCs w:val="24"/>
          <w:lang w:eastAsia="en-US"/>
        </w:rPr>
        <w:tab/>
        <w:t>vahvistaa päätöksentekomenettelyt, joita pääjohtajan on noudatettava;</w:t>
      </w:r>
    </w:p>
    <w:p w14:paraId="24D7C1B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s)</w:t>
      </w:r>
      <w:r w:rsidRPr="00DF107B">
        <w:rPr>
          <w:szCs w:val="24"/>
          <w:lang w:eastAsia="en-US"/>
        </w:rPr>
        <w:tab/>
        <w:t>tarvittaessa, jollei henkilöstösäännöistä ja muuhun henkilöstöön sovellettavista palvelussuhteen ehdoista muuta johdu, nimittää tilinpitäjän, joka hoitaa tehtäviään täysin riippumattomasti;</w:t>
      </w:r>
    </w:p>
    <w:p w14:paraId="043057F7"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t)</w:t>
      </w:r>
      <w:r w:rsidRPr="00DF107B">
        <w:rPr>
          <w:szCs w:val="24"/>
          <w:lang w:eastAsia="en-US"/>
        </w:rPr>
        <w:tab/>
        <w:t>huolehtii siitä, että sisäisen tai ulkoisen tarkastuksen raportteihin ja arviointeihin perustuvien havaintojen ja suositusten sekä Euroopan petostentorjuntaviraston (OLAF) ja Euroopan syyttäjänviraston (</w:t>
      </w:r>
      <w:proofErr w:type="spellStart"/>
      <w:r w:rsidRPr="00DF107B">
        <w:rPr>
          <w:szCs w:val="24"/>
          <w:lang w:eastAsia="en-US"/>
        </w:rPr>
        <w:t>EPPO</w:t>
      </w:r>
      <w:proofErr w:type="spellEnd"/>
      <w:r w:rsidRPr="00DF107B">
        <w:rPr>
          <w:szCs w:val="24"/>
          <w:lang w:eastAsia="en-US"/>
        </w:rPr>
        <w:t>) tutkimusten perusteella toteutetaan asianmukaiset jatkotoimet;</w:t>
      </w:r>
    </w:p>
    <w:p w14:paraId="4DAB4C36" w14:textId="77777777" w:rsidR="006E08CC" w:rsidRPr="00DF107B" w:rsidRDefault="006E08CC">
      <w:pPr>
        <w:widowControl/>
        <w:rPr>
          <w:szCs w:val="24"/>
          <w:lang w:eastAsia="en-US"/>
        </w:rPr>
      </w:pPr>
      <w:r w:rsidRPr="00DF107B">
        <w:rPr>
          <w:szCs w:val="24"/>
          <w:lang w:eastAsia="en-US"/>
        </w:rPr>
        <w:br w:type="page"/>
      </w:r>
    </w:p>
    <w:p w14:paraId="3F979746"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u)</w:t>
      </w:r>
      <w:r w:rsidRPr="00DF107B">
        <w:rPr>
          <w:szCs w:val="24"/>
          <w:lang w:eastAsia="en-US"/>
        </w:rPr>
        <w:tab/>
        <w:t>tekee kaikki päätökset viraston sisäisten rakenteiden perustamisesta, myös neuvoa-antavien ryhmien tai työryhmien perustamisesta, ja tarvittaessa niiden muuttamisesta</w:t>
      </w:r>
      <w:r w:rsidRPr="00DF107B">
        <w:rPr>
          <w:b/>
          <w:i/>
          <w:szCs w:val="24"/>
          <w:lang w:eastAsia="en-US"/>
        </w:rPr>
        <w:t xml:space="preserve"> ottaen huomioon viraston toimintaa koskevat tarpeet ja moitteettoman varainhoidon</w:t>
      </w:r>
      <w:r w:rsidRPr="00DF107B">
        <w:rPr>
          <w:szCs w:val="24"/>
          <w:lang w:eastAsia="en-US"/>
        </w:rPr>
        <w:t xml:space="preserve">; </w:t>
      </w:r>
      <w:r w:rsidRPr="00DF107B">
        <w:rPr>
          <w:b/>
          <w:szCs w:val="24"/>
          <w:lang w:eastAsia="en-US"/>
        </w:rPr>
        <w:t>[Tark. 63]</w:t>
      </w:r>
    </w:p>
    <w:p w14:paraId="3593223C"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v)</w:t>
      </w:r>
      <w:r w:rsidRPr="00DF107B">
        <w:rPr>
          <w:szCs w:val="24"/>
          <w:lang w:eastAsia="en-US"/>
        </w:rPr>
        <w:tab/>
        <w:t>päättää palveluista, joita virasto voi tarjota maksuja ja palkkioita vastaan, ja hyväksyy puitemallin 26 artiklan 3 kohdan c alakohdassa tarkoitettujen maksettavien maksujen ja palkkioiden jakamista varten</w:t>
      </w:r>
      <w:r w:rsidRPr="00DF107B">
        <w:rPr>
          <w:strike/>
          <w:szCs w:val="24"/>
          <w:lang w:eastAsia="en-US"/>
        </w:rPr>
        <w:t>. Jos komissio ilmoittaa 15 päivän kuluessa maksuja vastaan tarjottavia palveluja tai puitemallia koskevan hallintoneuvoston päätöksen hyväksymisestä vastustavansa sitä, hallintoneuvosto tutkii päätöksen uudelleen ja hyväksyy sen mahdollisine muutoksineen toisessa käsittelyssä joko kahden kolmasosan enemmistöllä, komission edustajat mukaan luettuina, tai jäsenvaltioiden edustajien yksimielisellä päätöksellä</w:t>
      </w:r>
      <w:r w:rsidRPr="00DF107B">
        <w:rPr>
          <w:szCs w:val="24"/>
          <w:lang w:eastAsia="en-US"/>
        </w:rPr>
        <w:t xml:space="preserve">; </w:t>
      </w:r>
      <w:r w:rsidRPr="00DF107B">
        <w:rPr>
          <w:b/>
          <w:szCs w:val="24"/>
          <w:lang w:eastAsia="en-US"/>
        </w:rPr>
        <w:t>[Tark. 64]</w:t>
      </w:r>
    </w:p>
    <w:p w14:paraId="68952E69"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w)</w:t>
      </w:r>
      <w:r w:rsidRPr="00DF107B">
        <w:rPr>
          <w:szCs w:val="24"/>
          <w:lang w:eastAsia="en-US"/>
        </w:rPr>
        <w:tab/>
        <w:t>hyväksyy tehokkuusetuja ja synergiaa koskevan strategian;</w:t>
      </w:r>
    </w:p>
    <w:p w14:paraId="3E227173" w14:textId="77777777" w:rsidR="006E08CC" w:rsidRPr="00DF107B" w:rsidRDefault="006E08CC">
      <w:pPr>
        <w:widowControl/>
        <w:rPr>
          <w:szCs w:val="24"/>
          <w:lang w:eastAsia="en-US"/>
        </w:rPr>
      </w:pPr>
      <w:r w:rsidRPr="00DF107B">
        <w:rPr>
          <w:szCs w:val="24"/>
          <w:lang w:eastAsia="en-US"/>
        </w:rPr>
        <w:br w:type="page"/>
      </w:r>
    </w:p>
    <w:p w14:paraId="4A67138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x)</w:t>
      </w:r>
      <w:r w:rsidRPr="00DF107B">
        <w:rPr>
          <w:szCs w:val="24"/>
          <w:lang w:eastAsia="en-US"/>
        </w:rPr>
        <w:tab/>
        <w:t>hyväksyy 11 artiklan 6 kohdassa tarkoitetun kolmansien maiden tai kansainvälisten järjestöjen tai molempien kanssa tehtävää yhteistyötä koskevan strategian</w:t>
      </w:r>
      <w:r w:rsidRPr="00DF107B">
        <w:rPr>
          <w:strike/>
          <w:szCs w:val="24"/>
          <w:lang w:eastAsia="en-US"/>
        </w:rPr>
        <w:t>. Jos komissio ilmoittaa 15 päivän kuluessa strategian hyväksymisestä vastustavansa sitä, hallintoneuvosto tutkii strategian uudelleen ja hyväksyy sen mahdollisine muutoksineen toisessa käsittelyssä joko kahden kolmasosan enemmistöllä, komission edustajat mukaan luettuina, tai jäsenvaltioiden edustajien yksimielisellä päätöksellä</w:t>
      </w:r>
      <w:r w:rsidRPr="00DF107B">
        <w:rPr>
          <w:szCs w:val="24"/>
          <w:lang w:eastAsia="en-US"/>
        </w:rPr>
        <w:t xml:space="preserve">; </w:t>
      </w:r>
      <w:r w:rsidRPr="00DF107B">
        <w:rPr>
          <w:b/>
          <w:szCs w:val="24"/>
          <w:lang w:eastAsia="en-US"/>
        </w:rPr>
        <w:t>[Tark. 65]</w:t>
      </w:r>
    </w:p>
    <w:p w14:paraId="6F661310"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y)</w:t>
      </w:r>
      <w:r w:rsidRPr="00DF107B">
        <w:rPr>
          <w:szCs w:val="24"/>
          <w:lang w:eastAsia="en-US"/>
        </w:rPr>
        <w:tab/>
        <w:t>hyväksyy 41 artiklassa tarkoitetut viraston sisäiset turvallisuussäännöt;</w:t>
      </w:r>
    </w:p>
    <w:p w14:paraId="39F63CE8"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z)</w:t>
      </w:r>
      <w:r w:rsidRPr="00DF107B">
        <w:rPr>
          <w:szCs w:val="24"/>
          <w:lang w:eastAsia="en-US"/>
        </w:rPr>
        <w:tab/>
        <w:t>nimittää viraston tietosuojavastaavan.</w:t>
      </w:r>
    </w:p>
    <w:p w14:paraId="368B5FE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Hallintoneuvosto tekee henkilöstösääntöjen 110 artiklan 2 kohdan mukaisesti henkilöstösääntöjen 2 artiklan 1 kohtaan ja muuhun henkilöstöön sovellettavien palvelussuhteen ehtojen 6 artiklaan perustuvan päätöksen, jolla siirretään asiaankuuluva nimittävän viranomaisen toimivalta pääjohtajalle ja vahvistetaan ehdot, joiden täyttyessä toimivallan siirto voidaan keskeyttää. Pääjohtajalla on valtuudet siirtää nämä valtuudet edelleen.</w:t>
      </w:r>
    </w:p>
    <w:p w14:paraId="1BEC0A86" w14:textId="77777777" w:rsidR="006E08CC" w:rsidRPr="00DF107B" w:rsidRDefault="006E08CC">
      <w:pPr>
        <w:widowControl/>
        <w:rPr>
          <w:szCs w:val="24"/>
          <w:lang w:eastAsia="en-US"/>
        </w:rPr>
      </w:pPr>
      <w:r w:rsidRPr="00DF107B">
        <w:rPr>
          <w:szCs w:val="24"/>
          <w:lang w:eastAsia="en-US"/>
        </w:rPr>
        <w:br w:type="page"/>
      </w:r>
    </w:p>
    <w:p w14:paraId="495C8115" w14:textId="77777777" w:rsidR="007E7AE7" w:rsidRPr="00DF107B" w:rsidRDefault="007E7AE7" w:rsidP="007E7AE7">
      <w:pPr>
        <w:widowControl/>
        <w:spacing w:before="120" w:after="120" w:line="360" w:lineRule="auto"/>
        <w:ind w:left="850"/>
        <w:rPr>
          <w:szCs w:val="24"/>
          <w:lang w:eastAsia="en-US"/>
        </w:rPr>
      </w:pPr>
      <w:r w:rsidRPr="00DF107B">
        <w:rPr>
          <w:szCs w:val="24"/>
          <w:lang w:eastAsia="en-US"/>
        </w:rPr>
        <w:lastRenderedPageBreak/>
        <w:t>Jos poikkeukselliset olosuhteet sitä edellyttävät, hallintoneuvosto voi tekemällään päätöksellä tilapäisesti keskeyttää pääjohtajalle siirretyn nimittävän viranomaisen toimivallan ja hänen edelleen siirtämänsä nimittävän viranomaisen toimivallan ja käyttää kyseistä toimivaltaa itse tai siirtää sen jollekin jäsenistään tai jollekulle henkilöstöön kuuluvalle, joka on muu kuin pääjohtaja.</w:t>
      </w:r>
    </w:p>
    <w:p w14:paraId="7CD0EAA0"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17 artikla</w:t>
      </w:r>
      <w:r w:rsidRPr="00DF107B">
        <w:rPr>
          <w:szCs w:val="24"/>
          <w:lang w:eastAsia="en-US"/>
        </w:rPr>
        <w:br/>
        <w:t>Vuotuinen ja monivuotinen ohjelmasuunnittelu</w:t>
      </w:r>
    </w:p>
    <w:p w14:paraId="75C600D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Hallintoneuvosto hyväksyy vuosittain viimeistään 30 päivänä marraskuuta yhtenäisen ohjelma-asiakirjan, joka sisältää monivuotisen ja vuotuisen ohjelmasuunnittelun, pääjohtajan laatiman luonnoksen perusteella ottaen huomioon komission lausunnon</w:t>
      </w:r>
      <w:r w:rsidRPr="00DF107B">
        <w:rPr>
          <w:b/>
          <w:i/>
          <w:szCs w:val="24"/>
          <w:lang w:eastAsia="en-US"/>
        </w:rPr>
        <w:t xml:space="preserve"> ja kuultuaan Euroopan parlamenttia monivuotisesta ohjelmasuunnittelusta</w:t>
      </w:r>
      <w:r w:rsidRPr="00DF107B">
        <w:rPr>
          <w:szCs w:val="24"/>
          <w:lang w:eastAsia="en-US"/>
        </w:rPr>
        <w:t>.</w:t>
      </w:r>
      <w:r w:rsidRPr="00DF107B">
        <w:rPr>
          <w:b/>
          <w:i/>
          <w:szCs w:val="24"/>
          <w:lang w:eastAsia="en-US"/>
        </w:rPr>
        <w:t xml:space="preserve"> Jos hallintoneuvosto päättää olla ottamatta huomioon komission lausuntoon sisältyviä seikkoja, se perustelee kantansa perusteellisesti. Velvoitetta perustella kanta perusteellisesti sovelletaan myös Euroopan parlamentin kuulemisen aikana esille ottamiin seikkoihin. Hallintoneuvosto</w:t>
      </w:r>
      <w:r w:rsidRPr="00DF107B">
        <w:rPr>
          <w:strike/>
          <w:szCs w:val="24"/>
          <w:lang w:eastAsia="en-US"/>
        </w:rPr>
        <w:t xml:space="preserve"> Se</w:t>
      </w:r>
      <w:r w:rsidRPr="00DF107B">
        <w:rPr>
          <w:szCs w:val="24"/>
          <w:lang w:eastAsia="en-US"/>
        </w:rPr>
        <w:t xml:space="preserve"> toimittaa</w:t>
      </w:r>
      <w:r w:rsidRPr="00DF107B">
        <w:rPr>
          <w:b/>
          <w:i/>
          <w:szCs w:val="24"/>
          <w:lang w:eastAsia="en-US"/>
        </w:rPr>
        <w:t xml:space="preserve"> yhtenäisen</w:t>
      </w:r>
      <w:r w:rsidRPr="00DF107B">
        <w:rPr>
          <w:szCs w:val="24"/>
          <w:lang w:eastAsia="en-US"/>
        </w:rPr>
        <w:t xml:space="preserve"> ohjelma-asiakirjan Euroopan parlamentille, neuvostolle ja komissiolle</w:t>
      </w:r>
      <w:r w:rsidRPr="00DF107B">
        <w:rPr>
          <w:b/>
          <w:i/>
          <w:szCs w:val="24"/>
          <w:lang w:eastAsia="en-US"/>
        </w:rPr>
        <w:t xml:space="preserve"> seuraavan vuoden 31 päivään tammikuuta mennessä</w:t>
      </w:r>
      <w:r w:rsidRPr="00DF107B">
        <w:rPr>
          <w:szCs w:val="24"/>
          <w:lang w:eastAsia="en-US"/>
        </w:rPr>
        <w:t xml:space="preserve">. </w:t>
      </w:r>
      <w:r w:rsidRPr="00DF107B">
        <w:rPr>
          <w:b/>
          <w:szCs w:val="24"/>
          <w:lang w:eastAsia="en-US"/>
        </w:rPr>
        <w:t>[Tark. 66]</w:t>
      </w:r>
    </w:p>
    <w:p w14:paraId="481A6C81" w14:textId="77777777" w:rsidR="006E08CC" w:rsidRPr="00DF107B" w:rsidRDefault="006E08CC">
      <w:pPr>
        <w:widowControl/>
        <w:rPr>
          <w:strike/>
          <w:szCs w:val="24"/>
          <w:lang w:eastAsia="en-US"/>
        </w:rPr>
      </w:pPr>
      <w:r w:rsidRPr="00DF107B">
        <w:rPr>
          <w:strike/>
          <w:szCs w:val="24"/>
          <w:lang w:eastAsia="en-US"/>
        </w:rPr>
        <w:br w:type="page"/>
      </w:r>
    </w:p>
    <w:p w14:paraId="38C16037" w14:textId="77777777" w:rsidR="007E7AE7" w:rsidRPr="00DF107B" w:rsidRDefault="007E7AE7" w:rsidP="007E7AE7">
      <w:pPr>
        <w:widowControl/>
        <w:spacing w:before="120" w:after="120" w:line="360" w:lineRule="auto"/>
        <w:ind w:left="850"/>
        <w:rPr>
          <w:szCs w:val="24"/>
          <w:lang w:eastAsia="en-US"/>
        </w:rPr>
      </w:pPr>
      <w:r w:rsidRPr="00DF107B">
        <w:rPr>
          <w:strike/>
          <w:szCs w:val="24"/>
          <w:lang w:eastAsia="en-US"/>
        </w:rPr>
        <w:lastRenderedPageBreak/>
        <w:t xml:space="preserve">Jos komissio ilmoittaa vastustavansa hyväksyttyä yhtenäistä ohjelma-asiakirjaa 15 päivän kuluessa sen hyväksymisestä, hallintoneuvosto tutkii yhtenäisen ohjelma-asiakirjan uudelleen ja hyväksyy sen kahden kuukauden kuluessa mahdollisine muutoksineen toisessa käsittelyssä joko kahden kolmasosan enemmistöllä, komission edustajat mukaan luettuina, tai jäsenvaltioiden edustajien yksimielisellä </w:t>
      </w:r>
      <w:proofErr w:type="gramStart"/>
      <w:r w:rsidRPr="00DF107B">
        <w:rPr>
          <w:strike/>
          <w:szCs w:val="24"/>
          <w:lang w:eastAsia="en-US"/>
        </w:rPr>
        <w:t xml:space="preserve">päätöksellä; </w:t>
      </w:r>
      <w:r w:rsidRPr="00DF107B">
        <w:rPr>
          <w:szCs w:val="24"/>
          <w:lang w:eastAsia="en-US"/>
        </w:rPr>
        <w:t xml:space="preserve"> </w:t>
      </w:r>
      <w:r w:rsidRPr="00DF107B">
        <w:rPr>
          <w:b/>
          <w:szCs w:val="24"/>
          <w:lang w:eastAsia="en-US"/>
        </w:rPr>
        <w:t>[</w:t>
      </w:r>
      <w:proofErr w:type="gramEnd"/>
      <w:r w:rsidRPr="00DF107B">
        <w:rPr>
          <w:b/>
          <w:szCs w:val="24"/>
          <w:lang w:eastAsia="en-US"/>
        </w:rPr>
        <w:t>Tark. 67]</w:t>
      </w:r>
    </w:p>
    <w:p w14:paraId="6D94DF2A"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Yhtenäisestä ohjelma-asiakirjasta tulee lopullinen, kun yleinen talousarvio on lopullisesti vahvistettu, ja sitä on tarvittaessa mukautettava talousarviota vastaavasti.</w:t>
      </w:r>
    </w:p>
    <w:p w14:paraId="03424F83"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Vuotuisessa työohjelmassa on esitettävä yksityiskohtaiset tavoitteet ja odotettavissa olevat tulokset, myös tulosindikaattorit. Siinä on myös esitettävä kuvaus rahoitettavista toimista ja mainittava kuhunkin toimeen osoitetut taloudelliset resurssit ja henkilöresurssit toimintoperusteisen budjetoinnin ja hallinnoinnin periaatteiden mukaisesti. Vuotuisen työohjelman on oltava yhdenmukainen 7 kohdassa tarkoitetun monivuotisen työohjelman kanssa. Siinä on selkeästi ilmoitettava, mitkä toiminnot on lisätty tai poistettu tai mitä toimia on muutettu edelliseen varainhoitovuoteen verrattuna. Vuotuisessa tai monivuotisessa ohjelmassa tai kummassakin on esitettävä strategia suhteiden järjestämiseksi 11 artiklassa tarkoitettuihin kolmansiin maihin tai kansainvälisiin järjestöihin sekä tähän strategiaan liittyvät toimet.</w:t>
      </w:r>
    </w:p>
    <w:p w14:paraId="21F114CE" w14:textId="77777777" w:rsidR="006E08CC" w:rsidRPr="00DF107B" w:rsidRDefault="006E08CC">
      <w:pPr>
        <w:widowControl/>
        <w:rPr>
          <w:szCs w:val="24"/>
          <w:lang w:eastAsia="en-US"/>
        </w:rPr>
      </w:pPr>
      <w:r w:rsidRPr="00DF107B">
        <w:rPr>
          <w:szCs w:val="24"/>
          <w:lang w:eastAsia="en-US"/>
        </w:rPr>
        <w:br w:type="page"/>
      </w:r>
    </w:p>
    <w:p w14:paraId="38B7EFDE"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4.</w:t>
      </w:r>
      <w:r w:rsidRPr="00DF107B">
        <w:rPr>
          <w:szCs w:val="24"/>
          <w:lang w:eastAsia="en-US"/>
        </w:rPr>
        <w:tab/>
        <w:t>Hallintoneuvosto muuttaa hyväksyttyä vuotuista työohjelmaa, jos virastolle annetaan uusi tehtävä. Tällaisen uuden tehtävän sisällyttämisen edellytyksenä on henkilöstöresursseihin ja talousarvioresursseihin kohdistuvien vaikutusten analyysi, ja se voi edellyttää päätöstä muiden tehtävien lykkäämisestä.</w:t>
      </w:r>
    </w:p>
    <w:p w14:paraId="0379D7A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5.</w:t>
      </w:r>
      <w:r w:rsidRPr="00DF107B">
        <w:rPr>
          <w:szCs w:val="24"/>
          <w:lang w:eastAsia="en-US"/>
        </w:rPr>
        <w:tab/>
        <w:t>Hallintoneuvosto tutkii ja hyväksyy yhtenäisen ohjelma-asiakirjan valmistelun yhteydessä 3 artiklan 1 kohdan c alakohdassa, 3 artiklan 2 kohdan b alakohdassa, 5 artiklan 5–8 kohdassa, 8 artiklan 6 ja 7 kohdassa, 9 artiklan 3 kohdassa, 10 artiklan 4 kohdassa ja 11 artiklan 2 ja 4 kohdassa tarkoitetut komission tai jäsenvaltioiden teknistä apua koskevat pyynnöt. Tällaisten pyyntöjen hyväksyminen</w:t>
      </w:r>
    </w:p>
    <w:p w14:paraId="745266B2"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ei saa haitata viraston muita tehtäviä;</w:t>
      </w:r>
    </w:p>
    <w:p w14:paraId="183ABCB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b)</w:t>
      </w:r>
      <w:r w:rsidRPr="00DF107B">
        <w:rPr>
          <w:szCs w:val="24"/>
          <w:lang w:eastAsia="en-US"/>
        </w:rPr>
        <w:tab/>
        <w:t>on tehtävä välttäen toimien päällekkäisyyttä;</w:t>
      </w:r>
    </w:p>
    <w:p w14:paraId="20678517"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c)</w:t>
      </w:r>
      <w:r w:rsidRPr="00DF107B">
        <w:rPr>
          <w:szCs w:val="24"/>
          <w:lang w:eastAsia="en-US"/>
        </w:rPr>
        <w:tab/>
        <w:t>edellyttää henkilöstöresursseihin ja talousarvioresursseihin kohdistuvien vaikutusten analyysia; ja</w:t>
      </w:r>
    </w:p>
    <w:p w14:paraId="3E698272"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d)</w:t>
      </w:r>
      <w:r w:rsidRPr="00DF107B">
        <w:rPr>
          <w:szCs w:val="24"/>
          <w:lang w:eastAsia="en-US"/>
        </w:rPr>
        <w:tab/>
        <w:t>voi edellyttää päätöstä muiden tehtävien lykkäämisestä.</w:t>
      </w:r>
    </w:p>
    <w:p w14:paraId="70BE2701" w14:textId="77777777" w:rsidR="006E08CC" w:rsidRPr="00DF107B" w:rsidRDefault="006E08CC">
      <w:pPr>
        <w:widowControl/>
        <w:rPr>
          <w:szCs w:val="24"/>
          <w:lang w:eastAsia="en-US"/>
        </w:rPr>
      </w:pPr>
      <w:r w:rsidRPr="00DF107B">
        <w:rPr>
          <w:szCs w:val="24"/>
          <w:lang w:eastAsia="en-US"/>
        </w:rPr>
        <w:br w:type="page"/>
      </w:r>
    </w:p>
    <w:p w14:paraId="49EB382A"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6.</w:t>
      </w:r>
      <w:r w:rsidRPr="00DF107B">
        <w:rPr>
          <w:szCs w:val="24"/>
          <w:lang w:eastAsia="en-US"/>
        </w:rPr>
        <w:tab/>
        <w:t>Vuotuiseen työohjelmaan tehtävät olennaiset muutokset on hyväksyttävä samaa menettelyä noudattaen kuin alkuperäinen vuotuinen työohjelma. Hallintoneuvosto voi siirtää pääjohtajalle valtuudet tehdä vuotuiseen työohjelmaan muita kuin olennaisia muutoksia.</w:t>
      </w:r>
    </w:p>
    <w:p w14:paraId="5FD6853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7.</w:t>
      </w:r>
      <w:r w:rsidRPr="00DF107B">
        <w:rPr>
          <w:szCs w:val="24"/>
          <w:lang w:eastAsia="en-US"/>
        </w:rPr>
        <w:tab/>
        <w:t>Monivuotisessa työohjelmassa on esitettävä yleinen strateginen ohjelma, mukaan lukien tavoitteet, odotetut tulokset ja tulosindikaattorit. Siinä on esitettävä myös resursseja koskeva ohjelmasuunnittelu, mukaan lukien monivuotinen talousarvio ja henkilöstö.</w:t>
      </w:r>
    </w:p>
    <w:p w14:paraId="43C06BC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8.</w:t>
      </w:r>
      <w:r w:rsidRPr="00DF107B">
        <w:rPr>
          <w:szCs w:val="24"/>
          <w:lang w:eastAsia="en-US"/>
        </w:rPr>
        <w:tab/>
        <w:t>Resursseja koskeva ohjelmasuunnittelu on saatettava ajan tasalle vuosittain. Strategista ohjelmaa on päivitettävä tarvittaessa, ja erityisesti 41 artiklassa tarkoitetun arvioinnin tulosten huomioon ottamiseksi.</w:t>
      </w:r>
    </w:p>
    <w:p w14:paraId="47F3E6B2"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18 artikla</w:t>
      </w:r>
      <w:r w:rsidRPr="00DF107B">
        <w:rPr>
          <w:szCs w:val="24"/>
          <w:lang w:eastAsia="en-US"/>
        </w:rPr>
        <w:br/>
        <w:t>Hallintoneuvoston puheenjohtaja</w:t>
      </w:r>
    </w:p>
    <w:p w14:paraId="72E60AF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Hallintoneuvosto valitsee äänivaltaisten jäsentensä keskuudesta puheenjohtajan ja varapuheenjohtajan. Puheenjohtaja ja varapuheenjohtaja valitaan hallintoneuvoston äänivaltaisten jäsenten kahden kolmasosan enemmistöllä.</w:t>
      </w:r>
    </w:p>
    <w:p w14:paraId="7E405AF5" w14:textId="77777777" w:rsidR="006E08CC" w:rsidRPr="00DF107B" w:rsidRDefault="006E08CC">
      <w:pPr>
        <w:widowControl/>
        <w:rPr>
          <w:szCs w:val="24"/>
          <w:lang w:eastAsia="en-US"/>
        </w:rPr>
      </w:pPr>
      <w:r w:rsidRPr="00DF107B">
        <w:rPr>
          <w:szCs w:val="24"/>
          <w:lang w:eastAsia="en-US"/>
        </w:rPr>
        <w:br w:type="page"/>
      </w:r>
    </w:p>
    <w:p w14:paraId="05EE5B2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w:t>
      </w:r>
      <w:r w:rsidRPr="00DF107B">
        <w:rPr>
          <w:szCs w:val="24"/>
          <w:lang w:eastAsia="en-US"/>
        </w:rPr>
        <w:tab/>
        <w:t>Puheenjohtajan ollessa estyneenä varapuheenjohtaja toimii tämän sijaisena.</w:t>
      </w:r>
    </w:p>
    <w:p w14:paraId="242A805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Puheenjohtajan ja varapuheenjohtajan toimikausi on neljä vuotta. Toimikausi voidaan uusia kerran. Jos heidän jäsenyytensä hallintoneuvostossa kuitenkin päättyy heidän toimikautensa aikana, myös heidän toimikautensa päättyy tuona päivänä ilman eri toimenpiteitä.</w:t>
      </w:r>
    </w:p>
    <w:p w14:paraId="0D8964EB"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19 artikla</w:t>
      </w:r>
      <w:r w:rsidRPr="00DF107B">
        <w:rPr>
          <w:szCs w:val="24"/>
          <w:lang w:eastAsia="en-US"/>
        </w:rPr>
        <w:br/>
        <w:t>Hallintoneuvoston kokoukset</w:t>
      </w:r>
    </w:p>
    <w:p w14:paraId="6AF1356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Hallintoneuvoston kokoukset järjestetään sen työjärjestyksen mukaisesti ja sen puheenjohtajan kutsusta.</w:t>
      </w:r>
    </w:p>
    <w:p w14:paraId="429AACC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Viraston pääjohtaja osallistuu asioiden käsittelyyn, paitsi jos hänen osallistumisensa voi puheenjohtajan päätöksen perusteella johtaa eturistiriitaan tai jos hallintoneuvoston on määrä tehdä päätös 35 artiklan mukaisesti.</w:t>
      </w:r>
    </w:p>
    <w:p w14:paraId="42E3FC08" w14:textId="77777777" w:rsidR="006E08CC" w:rsidRPr="00DF107B" w:rsidRDefault="006E08CC">
      <w:pPr>
        <w:widowControl/>
        <w:rPr>
          <w:szCs w:val="24"/>
          <w:lang w:eastAsia="en-US"/>
        </w:rPr>
      </w:pPr>
      <w:r w:rsidRPr="00DF107B">
        <w:rPr>
          <w:szCs w:val="24"/>
          <w:lang w:eastAsia="en-US"/>
        </w:rPr>
        <w:br w:type="page"/>
      </w:r>
    </w:p>
    <w:p w14:paraId="3F48844A"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w:t>
      </w:r>
      <w:r w:rsidRPr="00DF107B">
        <w:rPr>
          <w:szCs w:val="24"/>
          <w:lang w:eastAsia="en-US"/>
        </w:rPr>
        <w:tab/>
        <w:t xml:space="preserve">Hallintoneuvosto kokoontuu sääntömääräiseen istuntoon kahdesti vuodessa. Muulloin se kokoontuu puheenjohtajan aloitteesta tai jos komissio tai kolmannes </w:t>
      </w:r>
      <w:proofErr w:type="spellStart"/>
      <w:r w:rsidRPr="00DF107B">
        <w:rPr>
          <w:strike/>
          <w:szCs w:val="24"/>
          <w:lang w:eastAsia="en-US"/>
        </w:rPr>
        <w:t>jäsenvaltioista</w:t>
      </w:r>
      <w:r w:rsidRPr="00DF107B">
        <w:rPr>
          <w:b/>
          <w:i/>
          <w:szCs w:val="24"/>
          <w:lang w:eastAsia="en-US"/>
        </w:rPr>
        <w:t>sen</w:t>
      </w:r>
      <w:proofErr w:type="spellEnd"/>
      <w:r w:rsidRPr="00DF107B">
        <w:rPr>
          <w:b/>
          <w:i/>
          <w:szCs w:val="24"/>
          <w:lang w:eastAsia="en-US"/>
        </w:rPr>
        <w:t xml:space="preserve"> jäsenistä</w:t>
      </w:r>
      <w:r w:rsidRPr="00DF107B">
        <w:rPr>
          <w:szCs w:val="24"/>
          <w:lang w:eastAsia="en-US"/>
        </w:rPr>
        <w:t xml:space="preserve"> sitä pyytää. </w:t>
      </w:r>
      <w:r w:rsidRPr="00DF107B">
        <w:rPr>
          <w:b/>
          <w:szCs w:val="24"/>
          <w:lang w:eastAsia="en-US"/>
        </w:rPr>
        <w:t>[Tark. 68]</w:t>
      </w:r>
    </w:p>
    <w:p w14:paraId="5C07EC5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Kun kyseessä on luottamuksellinen asia tai syntyy eturistiriita, hallintoneuvosto voi päättää käsitellä esityslistallaan olevia tiettyjä kohtia ilman, että asianomaiset jäsenet ovat läsnä. Tämä ei vaikuta jäsenvaltioiden ja komission oikeuteen käyttää edustajanaan varajäsentä tai muuta henkilöä. Tämän säännöksen yksityiskohtaiset soveltamissäännöt vahvistetaan hallintoneuvoston työjärjestyksessä.</w:t>
      </w:r>
    </w:p>
    <w:p w14:paraId="370391B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5.</w:t>
      </w:r>
      <w:r w:rsidRPr="00DF107B">
        <w:rPr>
          <w:szCs w:val="24"/>
          <w:lang w:eastAsia="en-US"/>
        </w:rPr>
        <w:tab/>
        <w:t>Hallintoneuvosto voi kutsua kokouksiinsa tarkkailijoiksi henkilöitä, joiden lausunnoilla voi olla merkitystä.</w:t>
      </w:r>
    </w:p>
    <w:p w14:paraId="1EF8E7FA"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6.</w:t>
      </w:r>
      <w:r w:rsidRPr="00DF107B">
        <w:rPr>
          <w:szCs w:val="24"/>
          <w:lang w:eastAsia="en-US"/>
        </w:rPr>
        <w:tab/>
        <w:t>Hallintoneuvoston jäsenten apuna voi olla neuvonantajia tai asiantuntijoita, jollei sen työjärjestyksestä muuta johdu.</w:t>
      </w:r>
    </w:p>
    <w:p w14:paraId="4DE82FE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7.</w:t>
      </w:r>
      <w:r w:rsidRPr="00DF107B">
        <w:rPr>
          <w:szCs w:val="24"/>
          <w:lang w:eastAsia="en-US"/>
        </w:rPr>
        <w:tab/>
        <w:t>Virasto huolehtii hallintoneuvoston sihteeristön tehtävistä.</w:t>
      </w:r>
    </w:p>
    <w:p w14:paraId="5F82485E" w14:textId="77777777" w:rsidR="006E08CC" w:rsidRPr="00DF107B" w:rsidRDefault="006E08CC">
      <w:pPr>
        <w:widowControl/>
        <w:rPr>
          <w:szCs w:val="24"/>
          <w:lang w:eastAsia="en-US"/>
        </w:rPr>
      </w:pPr>
      <w:r w:rsidRPr="00DF107B">
        <w:rPr>
          <w:szCs w:val="24"/>
          <w:lang w:eastAsia="en-US"/>
        </w:rPr>
        <w:br w:type="page"/>
      </w:r>
    </w:p>
    <w:p w14:paraId="241F38BC"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 xml:space="preserve">20 artikla </w:t>
      </w:r>
      <w:r w:rsidRPr="00DF107B">
        <w:rPr>
          <w:szCs w:val="24"/>
          <w:lang w:eastAsia="en-US"/>
        </w:rPr>
        <w:br/>
        <w:t>Hallintoneuvoston äänestyssäännöt</w:t>
      </w:r>
    </w:p>
    <w:p w14:paraId="5CD03E1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Hallintoneuvosto tekee päätöksensä äänivaltaisten jäsentensä ehdottomalla enemmistöllä, jollei tässä asetuksessa toisin säädetä.</w:t>
      </w:r>
    </w:p>
    <w:p w14:paraId="3BE9EDBD" w14:textId="77777777" w:rsidR="007E7AE7" w:rsidRPr="00DF107B" w:rsidRDefault="007E7AE7" w:rsidP="007E7AE7">
      <w:pPr>
        <w:widowControl/>
        <w:spacing w:before="120" w:after="120" w:line="360" w:lineRule="auto"/>
        <w:ind w:left="850" w:hanging="850"/>
        <w:rPr>
          <w:szCs w:val="24"/>
          <w:lang w:eastAsia="en-US"/>
        </w:rPr>
      </w:pPr>
      <w:r w:rsidRPr="00DF107B">
        <w:rPr>
          <w:strike/>
          <w:szCs w:val="24"/>
          <w:lang w:eastAsia="en-US"/>
        </w:rPr>
        <w:t>2.</w:t>
      </w:r>
      <w:r w:rsidRPr="00DF107B">
        <w:rPr>
          <w:szCs w:val="24"/>
          <w:lang w:eastAsia="en-US"/>
        </w:rPr>
        <w:tab/>
      </w:r>
      <w:r w:rsidRPr="00DF107B">
        <w:rPr>
          <w:strike/>
          <w:szCs w:val="24"/>
          <w:lang w:eastAsia="en-US"/>
        </w:rPr>
        <w:t>Edellä 16 artiklan 1 kohdan c–e alakohdassa, i, j, n, o, p, q, t ja u alakohdassa sekä 16 artiklan 2 kohdassa tarkoitetut päätökset voidaan tehdä ainoastaan, jos komission edustajat äänestivät sen puolesta. Edellä 16 artiklan 1 kohdan a alakohdassa tarkoitettujen päätösten tekemiseksi tarvitaan komission edustajan puoltava ääni ainoastaan niihin päätöksen osiin, jotka eivät liity viraston vuotuiseen ja monivuotiseen työohjelmaan.</w:t>
      </w:r>
      <w:r w:rsidRPr="00DF107B">
        <w:rPr>
          <w:szCs w:val="24"/>
          <w:lang w:eastAsia="en-US"/>
        </w:rPr>
        <w:t xml:space="preserve"> </w:t>
      </w:r>
      <w:r w:rsidRPr="00DF107B">
        <w:rPr>
          <w:b/>
          <w:szCs w:val="24"/>
          <w:lang w:eastAsia="en-US"/>
        </w:rPr>
        <w:t>[Tark. 69]</w:t>
      </w:r>
    </w:p>
    <w:p w14:paraId="1852442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Kullakin</w:t>
      </w:r>
      <w:r w:rsidRPr="00DF107B">
        <w:rPr>
          <w:b/>
          <w:i/>
          <w:szCs w:val="24"/>
          <w:lang w:eastAsia="en-US"/>
        </w:rPr>
        <w:t xml:space="preserve"> äänioikeutetulla</w:t>
      </w:r>
      <w:r w:rsidRPr="00DF107B">
        <w:rPr>
          <w:szCs w:val="24"/>
          <w:lang w:eastAsia="en-US"/>
        </w:rPr>
        <w:t xml:space="preserve"> jäsenellä on yksi ääni. Viraston pääjohtajalla ei ole äänioikeutta. </w:t>
      </w:r>
      <w:r w:rsidRPr="00DF107B">
        <w:rPr>
          <w:b/>
          <w:szCs w:val="24"/>
          <w:lang w:eastAsia="en-US"/>
        </w:rPr>
        <w:t>[Tark. 70]</w:t>
      </w:r>
    </w:p>
    <w:p w14:paraId="270D538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Jäsenen poissa ollessa hänen varajäsenellään on oikeus käyttää jäsenen äänioikeutta.</w:t>
      </w:r>
    </w:p>
    <w:p w14:paraId="45492C5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5.</w:t>
      </w:r>
      <w:r w:rsidRPr="00DF107B">
        <w:rPr>
          <w:szCs w:val="24"/>
          <w:lang w:eastAsia="en-US"/>
        </w:rPr>
        <w:tab/>
        <w:t>Työjärjestyksessä määritellään yksityiskohtaiset äänestysmenettelyt, erityisesti edellytykset, joiden mukaan jäsen voi toimia toisen jäsenen puolesta.</w:t>
      </w:r>
    </w:p>
    <w:p w14:paraId="2336F374" w14:textId="77777777" w:rsidR="006E08CC" w:rsidRPr="00DF107B" w:rsidRDefault="006E08CC">
      <w:pPr>
        <w:widowControl/>
        <w:rPr>
          <w:szCs w:val="24"/>
          <w:lang w:eastAsia="en-US"/>
        </w:rPr>
      </w:pPr>
      <w:r w:rsidRPr="00DF107B">
        <w:rPr>
          <w:szCs w:val="24"/>
          <w:lang w:eastAsia="en-US"/>
        </w:rPr>
        <w:br w:type="page"/>
      </w:r>
    </w:p>
    <w:p w14:paraId="0E26678F"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 xml:space="preserve">21 artikla </w:t>
      </w:r>
      <w:r w:rsidRPr="00DF107B">
        <w:rPr>
          <w:szCs w:val="24"/>
          <w:lang w:eastAsia="en-US"/>
        </w:rPr>
        <w:br/>
        <w:t xml:space="preserve">Johtokunta </w:t>
      </w:r>
    </w:p>
    <w:p w14:paraId="725F983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Hallintoneuvostoa avustaa johtokunta.</w:t>
      </w:r>
    </w:p>
    <w:p w14:paraId="585E4EF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Johtokunnan tehtävänä on</w:t>
      </w:r>
    </w:p>
    <w:p w14:paraId="3508385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valvoa hallintoneuvoston hallintoa ja talousarviohallintoa koskevien päätösten täytäntöönpanoa;</w:t>
      </w:r>
    </w:p>
    <w:p w14:paraId="17673170" w14:textId="77777777" w:rsidR="007E7AE7" w:rsidRPr="00DF107B" w:rsidRDefault="007E7AE7" w:rsidP="007E7AE7">
      <w:pPr>
        <w:widowControl/>
        <w:spacing w:before="120" w:after="120" w:line="360" w:lineRule="auto"/>
        <w:ind w:left="1416" w:hanging="566"/>
        <w:rPr>
          <w:szCs w:val="24"/>
          <w:lang w:eastAsia="en-US"/>
        </w:rPr>
      </w:pPr>
      <w:r w:rsidRPr="00DF107B">
        <w:rPr>
          <w:b/>
          <w:i/>
          <w:szCs w:val="24"/>
          <w:lang w:eastAsia="en-US"/>
        </w:rPr>
        <w:t>a a)</w:t>
      </w:r>
      <w:r w:rsidRPr="00DF107B">
        <w:rPr>
          <w:szCs w:val="24"/>
          <w:lang w:eastAsia="en-US"/>
        </w:rPr>
        <w:tab/>
      </w:r>
      <w:r w:rsidRPr="00DF107B">
        <w:rPr>
          <w:b/>
          <w:i/>
          <w:szCs w:val="24"/>
          <w:lang w:eastAsia="en-US"/>
        </w:rPr>
        <w:t>päättää 25 artiklan mukaisesti hyväksytyissä varainhoitosäännöissä tarkoitetuista kysymyksistä, joita ei tässä asetuksessa ole säädetty hallintoneuvoston päätettäviksi;</w:t>
      </w:r>
      <w:r w:rsidRPr="00DF107B">
        <w:rPr>
          <w:szCs w:val="24"/>
          <w:lang w:eastAsia="en-US"/>
        </w:rPr>
        <w:t xml:space="preserve"> </w:t>
      </w:r>
      <w:r w:rsidRPr="00DF107B">
        <w:rPr>
          <w:b/>
          <w:szCs w:val="24"/>
          <w:lang w:eastAsia="en-US"/>
        </w:rPr>
        <w:t>[Tark. 71]</w:t>
      </w:r>
    </w:p>
    <w:p w14:paraId="6CE04D82"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b)</w:t>
      </w:r>
      <w:r w:rsidRPr="00DF107B">
        <w:rPr>
          <w:szCs w:val="24"/>
          <w:lang w:eastAsia="en-US"/>
        </w:rPr>
        <w:tab/>
        <w:t>valmistella päätökset hallintoneuvoston hyväksyttäviksi;</w:t>
      </w:r>
    </w:p>
    <w:p w14:paraId="740A5A6D"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c)</w:t>
      </w:r>
      <w:r w:rsidRPr="00DF107B">
        <w:rPr>
          <w:szCs w:val="24"/>
          <w:lang w:eastAsia="en-US"/>
        </w:rPr>
        <w:tab/>
        <w:t xml:space="preserve">huolehtia yhdessä hallintoneuvoston kanssa siitä, että sisäisen tai ulkoisen tarkastuksen raportteihin ja arviointeihin perustuvien havaintojen ja suositusten sekä </w:t>
      </w:r>
      <w:proofErr w:type="spellStart"/>
      <w:r w:rsidRPr="00DF107B">
        <w:rPr>
          <w:szCs w:val="24"/>
          <w:lang w:eastAsia="en-US"/>
        </w:rPr>
        <w:t>OLAFin</w:t>
      </w:r>
      <w:proofErr w:type="spellEnd"/>
      <w:r w:rsidRPr="00DF107B">
        <w:rPr>
          <w:szCs w:val="24"/>
          <w:lang w:eastAsia="en-US"/>
        </w:rPr>
        <w:t xml:space="preserve"> ja </w:t>
      </w:r>
      <w:proofErr w:type="spellStart"/>
      <w:r w:rsidRPr="00DF107B">
        <w:rPr>
          <w:szCs w:val="24"/>
          <w:lang w:eastAsia="en-US"/>
        </w:rPr>
        <w:t>EPPOn</w:t>
      </w:r>
      <w:proofErr w:type="spellEnd"/>
      <w:r w:rsidRPr="00DF107B">
        <w:rPr>
          <w:szCs w:val="24"/>
          <w:lang w:eastAsia="en-US"/>
        </w:rPr>
        <w:t xml:space="preserve"> tutkimusten perusteella toteutetaan asianmukaiset jatkotoimet.</w:t>
      </w:r>
    </w:p>
    <w:p w14:paraId="4C3BFE82" w14:textId="77777777" w:rsidR="006E08CC" w:rsidRPr="00DF107B" w:rsidRDefault="006E08CC">
      <w:pPr>
        <w:widowControl/>
        <w:rPr>
          <w:szCs w:val="24"/>
          <w:lang w:eastAsia="en-US"/>
        </w:rPr>
      </w:pPr>
      <w:r w:rsidRPr="00DF107B">
        <w:rPr>
          <w:szCs w:val="24"/>
          <w:lang w:eastAsia="en-US"/>
        </w:rPr>
        <w:br w:type="page"/>
      </w:r>
    </w:p>
    <w:p w14:paraId="349FA54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w:t>
      </w:r>
      <w:r w:rsidRPr="00DF107B">
        <w:rPr>
          <w:szCs w:val="24"/>
          <w:lang w:eastAsia="en-US"/>
        </w:rPr>
        <w:tab/>
        <w:t>Johtokunta tekee tarvittaessa kiireellisissä tapauksissa tiettyjä väliaikaisia päätöksiä hallintoneuvoston puolesta, erityisesti hallinnollisista kysymyksistä, mukaan lukien nimittävän viranomaisen toimivallan siirron keskeyttäminen, sekä talousarvioon liittyvistä kysymyksissä.</w:t>
      </w:r>
    </w:p>
    <w:p w14:paraId="6B939B4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Johtokunnan muodostavat hallintoneuvoston puheenjohtaja</w:t>
      </w:r>
      <w:r w:rsidRPr="00DF107B">
        <w:rPr>
          <w:b/>
          <w:i/>
          <w:szCs w:val="24"/>
          <w:lang w:eastAsia="en-US"/>
        </w:rPr>
        <w:t xml:space="preserve"> ja varapuheenjohtaja</w:t>
      </w:r>
      <w:r w:rsidRPr="00DF107B">
        <w:rPr>
          <w:szCs w:val="24"/>
          <w:lang w:eastAsia="en-US"/>
        </w:rPr>
        <w:t>, yksi komission edustaja hallintoneuvostosta ja kolme muuta jäsentä, jotka hallintoneuvosto nimittää äänivaltaisten jäsenten keskuudesta. Hallintoneuvoston puheenjohtaja on myös johtokunnan puheenjohtaja. Pääjohtaja osallistuu johtokunnan kokouksiin ilman äänioikeutta.</w:t>
      </w:r>
      <w:r w:rsidRPr="00DF107B">
        <w:rPr>
          <w:b/>
          <w:i/>
          <w:szCs w:val="24"/>
          <w:lang w:eastAsia="en-US"/>
        </w:rPr>
        <w:t xml:space="preserve"> Johtokunta voi kutsua kokouksiinsa tarkkailijoita.</w:t>
      </w:r>
      <w:r w:rsidRPr="00DF107B">
        <w:rPr>
          <w:szCs w:val="24"/>
          <w:lang w:eastAsia="en-US"/>
        </w:rPr>
        <w:t xml:space="preserve"> </w:t>
      </w:r>
      <w:r w:rsidRPr="00DF107B">
        <w:rPr>
          <w:b/>
          <w:szCs w:val="24"/>
          <w:lang w:eastAsia="en-US"/>
        </w:rPr>
        <w:t>[Tark. 72]</w:t>
      </w:r>
    </w:p>
    <w:p w14:paraId="18B81B5B"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5.</w:t>
      </w:r>
      <w:r w:rsidRPr="00DF107B">
        <w:rPr>
          <w:szCs w:val="24"/>
          <w:lang w:eastAsia="en-US"/>
        </w:rPr>
        <w:tab/>
        <w:t>Johtokunnan jäsenten toimikausi on neljä vuotta, ja se on uusittavissa. Johtokunnan jäsenten toimikausi päättyy, kun heidän jäsenyytensä hallintoneuvostossa päättyy.</w:t>
      </w:r>
    </w:p>
    <w:p w14:paraId="69FE2695" w14:textId="77777777" w:rsidR="006E08CC" w:rsidRPr="00DF107B" w:rsidRDefault="006E08CC">
      <w:pPr>
        <w:widowControl/>
        <w:rPr>
          <w:szCs w:val="24"/>
          <w:lang w:eastAsia="en-US"/>
        </w:rPr>
      </w:pPr>
      <w:r w:rsidRPr="00DF107B">
        <w:rPr>
          <w:szCs w:val="24"/>
          <w:lang w:eastAsia="en-US"/>
        </w:rPr>
        <w:br w:type="page"/>
      </w:r>
    </w:p>
    <w:p w14:paraId="561B08A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6.</w:t>
      </w:r>
      <w:r w:rsidRPr="00DF107B">
        <w:rPr>
          <w:szCs w:val="24"/>
          <w:lang w:eastAsia="en-US"/>
        </w:rPr>
        <w:tab/>
        <w:t>Johtokunta pitää vähintään yhden sääntömääräisen kokouksen joka kolmas kuukausi. Lisäksi se kokoontuu puheenjohtajansa aloitteesta tai jäsentensä pyynnöstä.</w:t>
      </w:r>
    </w:p>
    <w:p w14:paraId="6626F4E8"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6 a.</w:t>
      </w:r>
      <w:r w:rsidRPr="00DF107B">
        <w:rPr>
          <w:szCs w:val="24"/>
          <w:lang w:eastAsia="en-US"/>
        </w:rPr>
        <w:tab/>
      </w:r>
      <w:r w:rsidRPr="00DF107B">
        <w:rPr>
          <w:b/>
          <w:i/>
          <w:szCs w:val="24"/>
          <w:lang w:eastAsia="en-US"/>
        </w:rPr>
        <w:t>Johtokunta tekee päätöksensä yksimielisesti. Jos johtokunta ei kykene tekemään yksimielistä päätöstä, asia saatetaan hallintoneuvoston käsiteltäväksi.</w:t>
      </w:r>
      <w:r w:rsidRPr="00DF107B">
        <w:rPr>
          <w:szCs w:val="24"/>
          <w:lang w:eastAsia="en-US"/>
        </w:rPr>
        <w:t xml:space="preserve"> </w:t>
      </w:r>
      <w:r w:rsidRPr="00DF107B">
        <w:rPr>
          <w:b/>
          <w:szCs w:val="24"/>
          <w:lang w:eastAsia="en-US"/>
        </w:rPr>
        <w:t>[Tark. 73]</w:t>
      </w:r>
    </w:p>
    <w:p w14:paraId="7F8E621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7.</w:t>
      </w:r>
      <w:r w:rsidRPr="00DF107B">
        <w:rPr>
          <w:szCs w:val="24"/>
          <w:lang w:eastAsia="en-US"/>
        </w:rPr>
        <w:tab/>
        <w:t>Johtokunta vahvistaa hallituksen työjärjestyksen.</w:t>
      </w:r>
    </w:p>
    <w:p w14:paraId="1456D9B7"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V LUKU</w:t>
      </w:r>
      <w:r w:rsidRPr="00DF107B">
        <w:rPr>
          <w:szCs w:val="24"/>
          <w:lang w:eastAsia="en-US"/>
        </w:rPr>
        <w:br/>
        <w:t>PÄÄJOHTAJA</w:t>
      </w:r>
    </w:p>
    <w:p w14:paraId="62EAF99A"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 xml:space="preserve">22 artikla </w:t>
      </w:r>
      <w:r w:rsidRPr="00DF107B">
        <w:rPr>
          <w:szCs w:val="24"/>
          <w:lang w:eastAsia="en-US"/>
        </w:rPr>
        <w:br/>
        <w:t xml:space="preserve">Nimittäminen, toimikauden jatkaminen ja erottaminen </w:t>
      </w:r>
    </w:p>
    <w:p w14:paraId="6B7664A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Hallintoneuvosto nimittää pääjohtajan ansioiden</w:t>
      </w:r>
      <w:r w:rsidRPr="00DF107B">
        <w:rPr>
          <w:b/>
          <w:i/>
          <w:szCs w:val="24"/>
          <w:lang w:eastAsia="en-US"/>
        </w:rPr>
        <w:t>, osaamisen ja asiantuntemuksen sekä todistetun, merenkulkualan kannalta merkityksellisen</w:t>
      </w:r>
      <w:r w:rsidRPr="00DF107B">
        <w:rPr>
          <w:strike/>
          <w:szCs w:val="24"/>
          <w:lang w:eastAsia="en-US"/>
        </w:rPr>
        <w:t xml:space="preserve"> ja</w:t>
      </w:r>
      <w:r w:rsidRPr="00DF107B">
        <w:rPr>
          <w:szCs w:val="24"/>
          <w:lang w:eastAsia="en-US"/>
        </w:rPr>
        <w:t xml:space="preserve"> pätevyyden</w:t>
      </w:r>
      <w:r w:rsidRPr="00DF107B">
        <w:rPr>
          <w:b/>
          <w:i/>
          <w:szCs w:val="24"/>
          <w:lang w:eastAsia="en-US"/>
        </w:rPr>
        <w:t xml:space="preserve"> ja kokemuksen</w:t>
      </w:r>
      <w:r w:rsidRPr="00DF107B">
        <w:rPr>
          <w:szCs w:val="24"/>
          <w:lang w:eastAsia="en-US"/>
        </w:rPr>
        <w:t xml:space="preserve"> perusteella komission esittämästä ehdokasluettelosta noudattaen avointa ja läpinäkyvää valintamenettelyä, joka kunnioittaa sukupuolten tasapuolisen edustuksen periaatetta. </w:t>
      </w:r>
      <w:r w:rsidRPr="00DF107B">
        <w:rPr>
          <w:b/>
          <w:szCs w:val="24"/>
          <w:lang w:eastAsia="en-US"/>
        </w:rPr>
        <w:t>[Tark. 74]</w:t>
      </w:r>
    </w:p>
    <w:p w14:paraId="38006776" w14:textId="77777777" w:rsidR="006E08CC" w:rsidRPr="00DF107B" w:rsidRDefault="006E08CC">
      <w:pPr>
        <w:widowControl/>
        <w:rPr>
          <w:b/>
          <w:i/>
          <w:szCs w:val="24"/>
          <w:lang w:eastAsia="en-US"/>
        </w:rPr>
      </w:pPr>
      <w:r w:rsidRPr="00DF107B">
        <w:rPr>
          <w:b/>
          <w:i/>
          <w:szCs w:val="24"/>
          <w:lang w:eastAsia="en-US"/>
        </w:rPr>
        <w:br w:type="page"/>
      </w:r>
    </w:p>
    <w:p w14:paraId="028DD909"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lastRenderedPageBreak/>
        <w:t>1 a.</w:t>
      </w:r>
      <w:r w:rsidRPr="00DF107B">
        <w:rPr>
          <w:szCs w:val="24"/>
          <w:lang w:eastAsia="en-US"/>
        </w:rPr>
        <w:tab/>
      </w:r>
      <w:r w:rsidRPr="00DF107B">
        <w:rPr>
          <w:b/>
          <w:i/>
          <w:szCs w:val="24"/>
          <w:lang w:eastAsia="en-US"/>
        </w:rPr>
        <w:t>Hallintoneuvoston valitsema ehdokas kutsutaan ennen nimittämistä antamaan lausunto Euroopan parlamentin asiasta vastaavalle valiokunnalle ja vastaamaan sen jäsenten esittämiin kysymyksiin.</w:t>
      </w:r>
      <w:r w:rsidRPr="00DF107B">
        <w:rPr>
          <w:szCs w:val="24"/>
          <w:lang w:eastAsia="en-US"/>
        </w:rPr>
        <w:t xml:space="preserve"> </w:t>
      </w:r>
      <w:r w:rsidRPr="00DF107B">
        <w:rPr>
          <w:b/>
          <w:szCs w:val="24"/>
          <w:lang w:eastAsia="en-US"/>
        </w:rPr>
        <w:t>[Tark. 75]</w:t>
      </w:r>
    </w:p>
    <w:p w14:paraId="16CBE67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Hallintoneuvoston puheenjohtaja tekee pääjohtajan työsopimuksen viraston puolesta.</w:t>
      </w:r>
    </w:p>
    <w:p w14:paraId="275545EA"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Pääjohtajan toimikausi on viisi vuotta. Komissio laatii riittävän ajoissa ennen toimikauden päättymistä arvion, jossa tarkastellaan pääjohtajan suoriutumista tehtävistään sekä viraston tulevia tehtäviä ja haasteita.</w:t>
      </w:r>
    </w:p>
    <w:p w14:paraId="0D67F4F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Hallintoneuvosto voi komission ehdotuksesta, jossa otetaan huomioon 3 kohdassa tarkoitettu arviointi, jatkaa pääjohtajan toimikautta kerran enintään viideksi vuodeksi.</w:t>
      </w:r>
      <w:r w:rsidRPr="00DF107B">
        <w:rPr>
          <w:b/>
          <w:i/>
          <w:szCs w:val="24"/>
          <w:lang w:eastAsia="en-US"/>
        </w:rPr>
        <w:t xml:space="preserve"> Hallintoneuvosto ilmoittaa Euroopan parlamentille ja neuvostolle aikomuksestaan jatkaa pääjohtajan toimikautta. Ennen kuin hallintoneuvosto tekee päätöksen toimikauden jatkamisesta, pääjohtajaa voidaan pyytää antamaan lausunto Euroopan parlamentin asiasta vastaavalle valiokunnalle ja vastaamaan sen jäsenten esittämiin kysymyksiin.</w:t>
      </w:r>
      <w:r w:rsidRPr="00DF107B">
        <w:rPr>
          <w:szCs w:val="24"/>
          <w:lang w:eastAsia="en-US"/>
        </w:rPr>
        <w:t xml:space="preserve"> </w:t>
      </w:r>
      <w:r w:rsidRPr="00DF107B">
        <w:rPr>
          <w:b/>
          <w:szCs w:val="24"/>
          <w:lang w:eastAsia="en-US"/>
        </w:rPr>
        <w:t>[Tark. 76]</w:t>
      </w:r>
    </w:p>
    <w:p w14:paraId="682D1166" w14:textId="77777777" w:rsidR="006E08CC" w:rsidRPr="00DF107B" w:rsidRDefault="006E08CC">
      <w:pPr>
        <w:widowControl/>
        <w:rPr>
          <w:szCs w:val="24"/>
          <w:lang w:eastAsia="en-US"/>
        </w:rPr>
      </w:pPr>
      <w:r w:rsidRPr="00DF107B">
        <w:rPr>
          <w:szCs w:val="24"/>
          <w:lang w:eastAsia="en-US"/>
        </w:rPr>
        <w:br w:type="page"/>
      </w:r>
    </w:p>
    <w:p w14:paraId="2401715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5.</w:t>
      </w:r>
      <w:r w:rsidRPr="00DF107B">
        <w:rPr>
          <w:szCs w:val="24"/>
          <w:lang w:eastAsia="en-US"/>
        </w:rPr>
        <w:tab/>
        <w:t>Pääjohtaja, jonka toimikautta on jatkettu, ei saa osallistua samaa tointa koskevaan valintamenettelyyn.</w:t>
      </w:r>
    </w:p>
    <w:p w14:paraId="6664DC2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6.</w:t>
      </w:r>
      <w:r w:rsidRPr="00DF107B">
        <w:rPr>
          <w:szCs w:val="24"/>
          <w:lang w:eastAsia="en-US"/>
        </w:rPr>
        <w:tab/>
        <w:t>Pääjohtaja voidaan erottaa toimestaan ainoastaan hallintoneuvoston päätöksellä, jonka se tekee komission ehdotuksen perusteella.</w:t>
      </w:r>
      <w:r w:rsidRPr="00DF107B">
        <w:rPr>
          <w:b/>
          <w:i/>
          <w:szCs w:val="24"/>
          <w:lang w:eastAsia="en-US"/>
        </w:rPr>
        <w:t xml:space="preserve"> Euroopan parlamentille ja neuvostolle ilmoitetaan tällaisen päätöksen syistä tavalla, joka on sovellettavien luottamuksellisuusvaatimusten mukainen.</w:t>
      </w:r>
      <w:r w:rsidRPr="00DF107B">
        <w:rPr>
          <w:szCs w:val="24"/>
          <w:lang w:eastAsia="en-US"/>
        </w:rPr>
        <w:t xml:space="preserve"> </w:t>
      </w:r>
      <w:r w:rsidRPr="00DF107B">
        <w:rPr>
          <w:b/>
          <w:szCs w:val="24"/>
          <w:lang w:eastAsia="en-US"/>
        </w:rPr>
        <w:t>[Tark. 77]</w:t>
      </w:r>
    </w:p>
    <w:p w14:paraId="465FD3E9"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6 a.</w:t>
      </w:r>
      <w:r w:rsidRPr="00DF107B">
        <w:rPr>
          <w:szCs w:val="24"/>
          <w:lang w:eastAsia="en-US"/>
        </w:rPr>
        <w:tab/>
      </w:r>
      <w:r w:rsidRPr="00DF107B">
        <w:rPr>
          <w:b/>
          <w:i/>
          <w:szCs w:val="24"/>
          <w:lang w:eastAsia="en-US"/>
        </w:rPr>
        <w:t>Hallintoneuvosto tekee päätökset pääjohtajan nimittämisestä, toimikauden jatkamisesta tai tehtävästä erottamisesta äänivaltaisten jäsentensä kahden kolmasosan enemmistöllä.</w:t>
      </w:r>
      <w:r w:rsidRPr="00DF107B">
        <w:rPr>
          <w:szCs w:val="24"/>
          <w:lang w:eastAsia="en-US"/>
        </w:rPr>
        <w:t xml:space="preserve"> </w:t>
      </w:r>
      <w:r w:rsidRPr="00DF107B">
        <w:rPr>
          <w:b/>
          <w:szCs w:val="24"/>
          <w:lang w:eastAsia="en-US"/>
        </w:rPr>
        <w:t>[Tark. 78]</w:t>
      </w:r>
    </w:p>
    <w:p w14:paraId="65516D8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7.</w:t>
      </w:r>
      <w:r w:rsidRPr="00DF107B">
        <w:rPr>
          <w:szCs w:val="24"/>
          <w:lang w:eastAsia="en-US"/>
        </w:rPr>
        <w:tab/>
        <w:t>Pääjohtaja otetaan palvelukseen viraston väliaikaisena toimihenkilönä muuhun henkilöstöön sovellettavien palvelussuhteen ehtojen 2 artiklan a alakohdan mukaisesti.</w:t>
      </w:r>
    </w:p>
    <w:p w14:paraId="7FE2E239" w14:textId="77777777" w:rsidR="006E08CC" w:rsidRPr="00DF107B" w:rsidRDefault="006E08CC">
      <w:pPr>
        <w:widowControl/>
        <w:rPr>
          <w:szCs w:val="24"/>
          <w:lang w:eastAsia="en-US"/>
        </w:rPr>
      </w:pPr>
      <w:r w:rsidRPr="00DF107B">
        <w:rPr>
          <w:szCs w:val="24"/>
          <w:lang w:eastAsia="en-US"/>
        </w:rPr>
        <w:br w:type="page"/>
      </w:r>
    </w:p>
    <w:p w14:paraId="3E0DA848"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 xml:space="preserve">23 artikla </w:t>
      </w:r>
      <w:r w:rsidRPr="00DF107B">
        <w:rPr>
          <w:szCs w:val="24"/>
          <w:lang w:eastAsia="en-US"/>
        </w:rPr>
        <w:br/>
        <w:t>Pääjohtajan tehtävät ja vastuut</w:t>
      </w:r>
    </w:p>
    <w:p w14:paraId="2CFDAA8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Pääjohtaja johtaa virastoa hallintoneuvoston päätösten mukaisesti ja vastaa toiminnastaan hallintoneuvostolle.</w:t>
      </w:r>
    </w:p>
    <w:p w14:paraId="1A82A9E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Pääjohtaja hoitaa tehtäviään riippumattomasti, eikä hän saa pyytää eikä ottaa vastaan ohjeita miltään hallitukselta eikä miltään muulta elimeltä, sanotun kuitenkaan rajoittamatta komission, hallintoneuvoston ja johtokunnan toimivaltaa.</w:t>
      </w:r>
    </w:p>
    <w:p w14:paraId="21BC954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Pääjohtaja raportoi pyydettäessä Euroopan parlamentille tehtäviensä hoidosta. Neuvosto voi pyytää pääjohtajaa raportoimaan tehtäviensä hoidosta.</w:t>
      </w:r>
    </w:p>
    <w:p w14:paraId="5AB78B8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Pääjohtaja on viraston laillinen edustaja.</w:t>
      </w:r>
      <w:r w:rsidRPr="00DF107B">
        <w:rPr>
          <w:b/>
          <w:i/>
          <w:szCs w:val="24"/>
          <w:lang w:eastAsia="en-US"/>
        </w:rPr>
        <w:t xml:space="preserve"> Tämän vuoksi pääjohtaja</w:t>
      </w:r>
      <w:r w:rsidRPr="00DF107B">
        <w:rPr>
          <w:szCs w:val="24"/>
          <w:lang w:eastAsia="en-US"/>
        </w:rPr>
        <w:t xml:space="preserve"> </w:t>
      </w:r>
      <w:r w:rsidRPr="00DF107B">
        <w:rPr>
          <w:b/>
          <w:szCs w:val="24"/>
          <w:lang w:eastAsia="en-US"/>
        </w:rPr>
        <w:t>[Tark. 79]</w:t>
      </w:r>
    </w:p>
    <w:p w14:paraId="4E707F80" w14:textId="77777777" w:rsidR="007E7AE7" w:rsidRPr="00DF107B" w:rsidRDefault="007E7AE7" w:rsidP="007E7AE7">
      <w:pPr>
        <w:widowControl/>
        <w:spacing w:before="120" w:after="120" w:line="360" w:lineRule="auto"/>
        <w:ind w:left="1416" w:hanging="566"/>
        <w:rPr>
          <w:szCs w:val="24"/>
          <w:lang w:eastAsia="en-US"/>
        </w:rPr>
      </w:pPr>
      <w:r w:rsidRPr="00DF107B">
        <w:rPr>
          <w:b/>
          <w:i/>
          <w:szCs w:val="24"/>
          <w:lang w:eastAsia="en-US"/>
        </w:rPr>
        <w:t>a)</w:t>
      </w:r>
      <w:r w:rsidRPr="00DF107B">
        <w:rPr>
          <w:szCs w:val="24"/>
          <w:lang w:eastAsia="en-US"/>
        </w:rPr>
        <w:tab/>
      </w:r>
      <w:r w:rsidRPr="00DF107B">
        <w:rPr>
          <w:b/>
          <w:i/>
          <w:szCs w:val="24"/>
          <w:lang w:eastAsia="en-US"/>
        </w:rPr>
        <w:t>antaa komissiolle ja jäsenvaltioille teknistä apua ja asiantuntemusta IMO:n puitteissa;</w:t>
      </w:r>
      <w:r w:rsidRPr="00DF107B">
        <w:rPr>
          <w:szCs w:val="24"/>
          <w:lang w:eastAsia="en-US"/>
        </w:rPr>
        <w:t xml:space="preserve"> </w:t>
      </w:r>
      <w:r w:rsidRPr="00DF107B">
        <w:rPr>
          <w:b/>
          <w:szCs w:val="24"/>
          <w:lang w:eastAsia="en-US"/>
        </w:rPr>
        <w:t>[Tark. 80]</w:t>
      </w:r>
    </w:p>
    <w:p w14:paraId="4CD839F3" w14:textId="77777777" w:rsidR="007E7AE7" w:rsidRPr="00DF107B" w:rsidRDefault="007E7AE7" w:rsidP="007E7AE7">
      <w:pPr>
        <w:widowControl/>
        <w:spacing w:before="120" w:after="120" w:line="360" w:lineRule="auto"/>
        <w:ind w:left="1416" w:hanging="566"/>
        <w:rPr>
          <w:szCs w:val="24"/>
          <w:lang w:eastAsia="en-US"/>
        </w:rPr>
      </w:pPr>
      <w:r w:rsidRPr="00DF107B">
        <w:rPr>
          <w:b/>
          <w:i/>
          <w:szCs w:val="24"/>
          <w:lang w:eastAsia="en-US"/>
        </w:rPr>
        <w:t>b)</w:t>
      </w:r>
      <w:r w:rsidRPr="00DF107B">
        <w:rPr>
          <w:szCs w:val="24"/>
          <w:lang w:eastAsia="en-US"/>
        </w:rPr>
        <w:tab/>
      </w:r>
      <w:r w:rsidRPr="00DF107B">
        <w:rPr>
          <w:b/>
          <w:i/>
          <w:szCs w:val="24"/>
          <w:lang w:eastAsia="en-US"/>
        </w:rPr>
        <w:t>on vastuussa viraston hallintoneuvostolle tehdessään poliittisesti arkaluonteisia päätöksiä unionin edun mukaisesti.</w:t>
      </w:r>
      <w:r w:rsidRPr="00DF107B">
        <w:rPr>
          <w:szCs w:val="24"/>
          <w:lang w:eastAsia="en-US"/>
        </w:rPr>
        <w:t xml:space="preserve"> </w:t>
      </w:r>
      <w:r w:rsidRPr="00DF107B">
        <w:rPr>
          <w:b/>
          <w:szCs w:val="24"/>
          <w:lang w:eastAsia="en-US"/>
        </w:rPr>
        <w:t>[Tark. 81]</w:t>
      </w:r>
    </w:p>
    <w:p w14:paraId="1E340110" w14:textId="77777777" w:rsidR="006E08CC" w:rsidRPr="00DF107B" w:rsidRDefault="006E08CC">
      <w:pPr>
        <w:widowControl/>
        <w:rPr>
          <w:szCs w:val="24"/>
          <w:lang w:eastAsia="en-US"/>
        </w:rPr>
      </w:pPr>
      <w:r w:rsidRPr="00DF107B">
        <w:rPr>
          <w:szCs w:val="24"/>
          <w:lang w:eastAsia="en-US"/>
        </w:rPr>
        <w:br w:type="page"/>
      </w:r>
    </w:p>
    <w:p w14:paraId="4C1977D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5.</w:t>
      </w:r>
      <w:r w:rsidRPr="00DF107B">
        <w:rPr>
          <w:szCs w:val="24"/>
          <w:lang w:eastAsia="en-US"/>
        </w:rPr>
        <w:tab/>
        <w:t>Pääjohtaja vastaa virastolle tällä asetuksella uskottujen tehtävien täytäntöönpanosta. Pääjohtaja erityisesti</w:t>
      </w:r>
    </w:p>
    <w:p w14:paraId="081823D8"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 xml:space="preserve">varmistaa viraston päivittäisen toiminnan </w:t>
      </w:r>
      <w:r w:rsidRPr="00DF107B">
        <w:rPr>
          <w:strike/>
          <w:szCs w:val="24"/>
          <w:lang w:eastAsia="en-US"/>
        </w:rPr>
        <w:t xml:space="preserve">kestävän ja tehokkaan </w:t>
      </w:r>
      <w:r w:rsidRPr="00DF107B">
        <w:rPr>
          <w:szCs w:val="24"/>
          <w:lang w:eastAsia="en-US"/>
        </w:rPr>
        <w:t xml:space="preserve">hallinnoinnin; </w:t>
      </w:r>
      <w:r w:rsidRPr="00DF107B">
        <w:rPr>
          <w:b/>
          <w:szCs w:val="24"/>
          <w:lang w:eastAsia="en-US"/>
        </w:rPr>
        <w:t>[Tark. 82]</w:t>
      </w:r>
    </w:p>
    <w:p w14:paraId="2123BEA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b)</w:t>
      </w:r>
      <w:r w:rsidRPr="00DF107B">
        <w:rPr>
          <w:szCs w:val="24"/>
          <w:lang w:eastAsia="en-US"/>
        </w:rPr>
        <w:tab/>
        <w:t>organisoi, johtaa ja valvoo viraston operaatioita ja henkilöstöä hallintoneuvoston päätösten asettamissa rajoissa;</w:t>
      </w:r>
    </w:p>
    <w:p w14:paraId="7356EF4D" w14:textId="487323F5"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c)</w:t>
      </w:r>
      <w:r w:rsidRPr="00DF107B">
        <w:rPr>
          <w:szCs w:val="24"/>
          <w:lang w:eastAsia="en-US"/>
        </w:rPr>
        <w:tab/>
        <w:t>valmistelee ja panee täytäntöön hallintoneuvoston hyväksymät päätökset</w:t>
      </w:r>
      <w:r w:rsidR="006B401A" w:rsidRPr="00DF107B">
        <w:rPr>
          <w:szCs w:val="24"/>
          <w:lang w:eastAsia="en-US"/>
        </w:rPr>
        <w:t>;</w:t>
      </w:r>
    </w:p>
    <w:p w14:paraId="692751DC"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d)</w:t>
      </w:r>
      <w:r w:rsidRPr="00DF107B">
        <w:rPr>
          <w:szCs w:val="24"/>
          <w:lang w:eastAsia="en-US"/>
        </w:rPr>
        <w:tab/>
        <w:t>laatii luonnoksen virastoon sovellettavista varainhoitosäännöistä hallintoneuvoston hyväksyttäväksi;</w:t>
      </w:r>
    </w:p>
    <w:p w14:paraId="247C4C8D" w14:textId="043751E4"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e)</w:t>
      </w:r>
      <w:r w:rsidRPr="00DF107B">
        <w:rPr>
          <w:szCs w:val="24"/>
          <w:lang w:eastAsia="en-US"/>
        </w:rPr>
        <w:tab/>
        <w:t>laatii arvion viraston tuloista ja menoista 27 artiklan mukaisesti ja talousarvion toteuttamisesta 28 artiklan mukaisesti</w:t>
      </w:r>
      <w:r w:rsidR="006B401A" w:rsidRPr="00DF107B">
        <w:rPr>
          <w:szCs w:val="24"/>
          <w:lang w:eastAsia="en-US"/>
        </w:rPr>
        <w:t>;</w:t>
      </w:r>
    </w:p>
    <w:p w14:paraId="4F9178B7"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f)</w:t>
      </w:r>
      <w:r w:rsidRPr="00DF107B">
        <w:rPr>
          <w:szCs w:val="24"/>
          <w:lang w:eastAsia="en-US"/>
        </w:rPr>
        <w:tab/>
        <w:t>laatii yhtenäisen ohjelma-asiakirjan luonnoksen ja toimittaa sen hallintoneuvoston hyväksyttäväksi komissiota kuultuaan vähintään neljä viikkoa ennen asiaa koskevaa hallintoneuvoston kokousta;</w:t>
      </w:r>
    </w:p>
    <w:p w14:paraId="1AD0E6DD" w14:textId="77777777" w:rsidR="006E08CC" w:rsidRPr="00DF107B" w:rsidRDefault="006E08CC">
      <w:pPr>
        <w:widowControl/>
        <w:rPr>
          <w:szCs w:val="24"/>
          <w:lang w:eastAsia="en-US"/>
        </w:rPr>
      </w:pPr>
      <w:r w:rsidRPr="00DF107B">
        <w:rPr>
          <w:szCs w:val="24"/>
          <w:lang w:eastAsia="en-US"/>
        </w:rPr>
        <w:br w:type="page"/>
      </w:r>
    </w:p>
    <w:p w14:paraId="5B3572B7"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g)</w:t>
      </w:r>
      <w:r w:rsidRPr="00DF107B">
        <w:rPr>
          <w:szCs w:val="24"/>
          <w:lang w:eastAsia="en-US"/>
        </w:rPr>
        <w:tab/>
        <w:t>panee täytäntöön yhtenäisen ohjelma-asiakirjan, arvioi sen edistymistä asiaankuuluvien indikaattorien osalta ja raportoi sen täytäntöönpanosta hallintoneuvostolle;</w:t>
      </w:r>
    </w:p>
    <w:p w14:paraId="2C7ECCCB"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h)</w:t>
      </w:r>
      <w:r w:rsidRPr="00DF107B">
        <w:rPr>
          <w:szCs w:val="24"/>
          <w:lang w:eastAsia="en-US"/>
        </w:rPr>
        <w:tab/>
        <w:t xml:space="preserve">laatii viraston toimintaa koskevan </w:t>
      </w:r>
      <w:proofErr w:type="spellStart"/>
      <w:r w:rsidRPr="00DF107B">
        <w:rPr>
          <w:szCs w:val="24"/>
          <w:lang w:eastAsia="en-US"/>
        </w:rPr>
        <w:t>konsolidoidun</w:t>
      </w:r>
      <w:proofErr w:type="spellEnd"/>
      <w:r w:rsidRPr="00DF107B">
        <w:rPr>
          <w:szCs w:val="24"/>
          <w:lang w:eastAsia="en-US"/>
        </w:rPr>
        <w:t xml:space="preserve"> vuotuisen toimintakertomuksen ja esittää sen hallintoneuvostolle arvioitavaksi ja hyväksyttäväksi;</w:t>
      </w:r>
    </w:p>
    <w:p w14:paraId="17835A52"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i)</w:t>
      </w:r>
      <w:r w:rsidRPr="00DF107B">
        <w:rPr>
          <w:szCs w:val="24"/>
          <w:lang w:eastAsia="en-US"/>
        </w:rPr>
        <w:tab/>
        <w:t>vastaa kaikkiin 17 artiklan 5 kohdan mukaisiin avunpyyntöihin;</w:t>
      </w:r>
    </w:p>
    <w:p w14:paraId="252CB5B6"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j)</w:t>
      </w:r>
      <w:r w:rsidRPr="00DF107B">
        <w:rPr>
          <w:szCs w:val="24"/>
          <w:lang w:eastAsia="en-US"/>
        </w:rPr>
        <w:tab/>
        <w:t>päättää suorittaa 10 artiklassa tarkoitettuja vierailuja ja tarkastuskäyntejä komissiota kuultuaan ja noudattaen hallintoneuvoston 16 artiklan 1 kohdan g alakohdan mukaisesti vahvistamaa vierailuja koskevaa menettelyä;</w:t>
      </w:r>
    </w:p>
    <w:p w14:paraId="3F43CA41"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k)</w:t>
      </w:r>
      <w:r w:rsidRPr="00DF107B">
        <w:rPr>
          <w:szCs w:val="24"/>
          <w:lang w:eastAsia="en-US"/>
        </w:rPr>
        <w:tab/>
        <w:t>päättää viraston toimialoilla toimivien muiden unionin elinten kanssa tehtävistä hallinnollisista järjestelyistä edellyttäen, että järjestelyä koskeva ehdotus on toimitettu ensin komissiolle ja hallintoneuvostolle kuulemista varten 11 artiklan 5 kohdan mukaisesti ja että hallintoneuvosto ei vastusta sitä neljän viikon kuluessa;</w:t>
      </w:r>
    </w:p>
    <w:p w14:paraId="26B2EFDD" w14:textId="77777777" w:rsidR="006E08CC" w:rsidRPr="00DF107B" w:rsidRDefault="006E08CC">
      <w:pPr>
        <w:widowControl/>
        <w:rPr>
          <w:szCs w:val="24"/>
          <w:lang w:eastAsia="en-US"/>
        </w:rPr>
      </w:pPr>
      <w:r w:rsidRPr="00DF107B">
        <w:rPr>
          <w:szCs w:val="24"/>
          <w:lang w:eastAsia="en-US"/>
        </w:rPr>
        <w:br w:type="page"/>
      </w:r>
    </w:p>
    <w:p w14:paraId="39A8B95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l)</w:t>
      </w:r>
      <w:r w:rsidRPr="00DF107B">
        <w:rPr>
          <w:szCs w:val="24"/>
          <w:lang w:eastAsia="en-US"/>
        </w:rPr>
        <w:tab/>
        <w:t>toteuttaa tarvittavat toimenpiteet, mukaan lukien sisäisten hallinnollisten ohjeiden antaminen ja tiedonantojen julkaiseminen, varmistaakseen viraston toiminnan tämän asetuksen säännösten mukaisesti;</w:t>
      </w:r>
    </w:p>
    <w:p w14:paraId="18DC1AF3"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m)</w:t>
      </w:r>
      <w:r w:rsidRPr="00DF107B">
        <w:rPr>
          <w:szCs w:val="24"/>
          <w:lang w:eastAsia="en-US"/>
        </w:rPr>
        <w:tab/>
        <w:t>organisoi tehokkaan seurantajärjestelmän, jonka avulla viraston työn tuloksia voidaan verrata sille tässä asetuksessa asetettuihin tavoitteisiin ja tehtäviin. Tätä varten hän laatii yhteisymmärryksessä komission ja hallintoneuvoston kanssa yksilöllisesti suunniteltuja tulosindikaattoreita, joiden avulla voidaan arvioida saavutettuja tuloksia tehokkaasti. Hän varmistaa, että viraston organisaatiorakennetta mukautetaan säännöllisesti muuttuviin tarpeisiin käytettävissä olevien taloudellisten ja henkilöresurssien puitteissa. Tässä yhteydessä hän vahvistaa tunnustettujen ammatillisten vaatimusten mukaiset säännölliset arviointimenettelyt;</w:t>
      </w:r>
    </w:p>
    <w:p w14:paraId="4F02A0E9"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n)</w:t>
      </w:r>
      <w:r w:rsidRPr="00DF107B">
        <w:rPr>
          <w:szCs w:val="24"/>
          <w:lang w:eastAsia="en-US"/>
        </w:rPr>
        <w:tab/>
        <w:t>ottaa käyttöön tuloksellisen ja tehokkaan sisäisen valvontajärjestelmän ja varmistaa sen toiminnan sekä ilmoittaa sen kaikista merkittävistä muutoksista hallintoneuvostolle;</w:t>
      </w:r>
    </w:p>
    <w:p w14:paraId="32E3F32C" w14:textId="77777777" w:rsidR="006E08CC" w:rsidRPr="00DF107B" w:rsidRDefault="006E08CC">
      <w:pPr>
        <w:widowControl/>
        <w:rPr>
          <w:szCs w:val="24"/>
          <w:lang w:eastAsia="en-US"/>
        </w:rPr>
      </w:pPr>
      <w:r w:rsidRPr="00DF107B">
        <w:rPr>
          <w:szCs w:val="24"/>
          <w:lang w:eastAsia="en-US"/>
        </w:rPr>
        <w:br w:type="page"/>
      </w:r>
    </w:p>
    <w:p w14:paraId="6DF4A15E"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o)</w:t>
      </w:r>
      <w:r w:rsidRPr="00DF107B">
        <w:rPr>
          <w:szCs w:val="24"/>
          <w:lang w:eastAsia="en-US"/>
        </w:rPr>
        <w:tab/>
        <w:t>varmistaa virastoa koskevien riskinarviointien ja riskinhallinnan toteuttamisen;</w:t>
      </w:r>
    </w:p>
    <w:p w14:paraId="5CDF90CD"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p)</w:t>
      </w:r>
      <w:r w:rsidRPr="00DF107B">
        <w:rPr>
          <w:szCs w:val="24"/>
          <w:lang w:eastAsia="en-US"/>
        </w:rPr>
        <w:tab/>
        <w:t xml:space="preserve">laatii jatkotoimia koskevan suunnitelman 38 artiklassa tarkoitettujen sisäisen tai ulkoisen tarkastuksen raporttien ja arviointien sekä </w:t>
      </w:r>
      <w:proofErr w:type="spellStart"/>
      <w:r w:rsidRPr="00DF107B">
        <w:rPr>
          <w:szCs w:val="24"/>
          <w:lang w:eastAsia="en-US"/>
        </w:rPr>
        <w:t>OLAFin</w:t>
      </w:r>
      <w:proofErr w:type="spellEnd"/>
      <w:r w:rsidRPr="00DF107B">
        <w:rPr>
          <w:szCs w:val="24"/>
          <w:lang w:eastAsia="en-US"/>
        </w:rPr>
        <w:t xml:space="preserve"> ja </w:t>
      </w:r>
      <w:proofErr w:type="spellStart"/>
      <w:r w:rsidRPr="00DF107B">
        <w:rPr>
          <w:szCs w:val="24"/>
          <w:lang w:eastAsia="en-US"/>
        </w:rPr>
        <w:t>EPPOn</w:t>
      </w:r>
      <w:proofErr w:type="spellEnd"/>
      <w:r w:rsidRPr="00DF107B">
        <w:rPr>
          <w:szCs w:val="24"/>
          <w:lang w:eastAsia="en-US"/>
        </w:rPr>
        <w:t xml:space="preserve"> tutkimusten päätelmien perusteella ja raportoi edistymisestä kahdesti vuodessa komissiolle ja säännöllisesti hallintoneuvostolle;</w:t>
      </w:r>
    </w:p>
    <w:p w14:paraId="07C2F9D8"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q)</w:t>
      </w:r>
      <w:r w:rsidRPr="00DF107B">
        <w:rPr>
          <w:szCs w:val="24"/>
          <w:lang w:eastAsia="en-US"/>
        </w:rPr>
        <w:tab/>
        <w:t xml:space="preserve">suojaa unionin taloudellisia etuja petoksia, lahjontaa ja muuta laitonta toimintaa ehkäisevillä toimenpiteillä rajoittamatta </w:t>
      </w:r>
      <w:proofErr w:type="spellStart"/>
      <w:r w:rsidRPr="00DF107B">
        <w:rPr>
          <w:szCs w:val="24"/>
          <w:lang w:eastAsia="en-US"/>
        </w:rPr>
        <w:t>OLAFin</w:t>
      </w:r>
      <w:proofErr w:type="spellEnd"/>
      <w:r w:rsidRPr="00DF107B">
        <w:rPr>
          <w:szCs w:val="24"/>
          <w:lang w:eastAsia="en-US"/>
        </w:rPr>
        <w:t xml:space="preserve"> ja </w:t>
      </w:r>
      <w:proofErr w:type="spellStart"/>
      <w:r w:rsidRPr="00DF107B">
        <w:rPr>
          <w:szCs w:val="24"/>
          <w:lang w:eastAsia="en-US"/>
        </w:rPr>
        <w:t>EPPOn</w:t>
      </w:r>
      <w:proofErr w:type="spellEnd"/>
      <w:r w:rsidRPr="00DF107B">
        <w:rPr>
          <w:szCs w:val="24"/>
          <w:lang w:eastAsia="en-US"/>
        </w:rPr>
        <w:t xml:space="preserve"> tutkintavaltuuksia tehokkailla tarkastuksilla ja, jos sääntöjenvastaisuuksia todetaan, perimällä takaisin aiheettomasti maksetut määrät ja tarvittaessa määräämällä tehokkaita, oikeasuhteisia ja varoittavia hallinnollisia seuraamuksia, myös taloudellisia seuraamuksia;</w:t>
      </w:r>
    </w:p>
    <w:p w14:paraId="5DF78020"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r)</w:t>
      </w:r>
      <w:r w:rsidRPr="00DF107B">
        <w:rPr>
          <w:szCs w:val="24"/>
          <w:lang w:eastAsia="en-US"/>
        </w:rPr>
        <w:tab/>
        <w:t>laatii petostentorjuntastrategian, tehokkuushyöty- ja synergiastrategian, kolmansien maiden tai kansainvälisten järjestöjen tai molempien kanssa tehtävää yhteistyötä koskevan strategian sekä viraston organisaation hallinnoinnin ja sisäisen valvonnan järjestelmiä koskevan strategian ja esittää ne hallintoneuvoston hyväksyttäväksi;</w:t>
      </w:r>
    </w:p>
    <w:p w14:paraId="7AFB2F5A" w14:textId="77777777" w:rsidR="006E08CC" w:rsidRPr="00DF107B" w:rsidRDefault="006E08CC">
      <w:pPr>
        <w:widowControl/>
        <w:rPr>
          <w:szCs w:val="24"/>
          <w:lang w:eastAsia="en-US"/>
        </w:rPr>
      </w:pPr>
      <w:r w:rsidRPr="00DF107B">
        <w:rPr>
          <w:szCs w:val="24"/>
          <w:lang w:eastAsia="en-US"/>
        </w:rPr>
        <w:br w:type="page"/>
      </w:r>
    </w:p>
    <w:p w14:paraId="115486D6"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lastRenderedPageBreak/>
        <w:t>s)</w:t>
      </w:r>
      <w:r w:rsidRPr="00DF107B">
        <w:rPr>
          <w:szCs w:val="24"/>
          <w:lang w:eastAsia="en-US"/>
        </w:rPr>
        <w:tab/>
        <w:t xml:space="preserve">edistää monimuotoisuutta ja varmistaa sukupuolten tasapuolisen edustuksen viraston henkilöstön </w:t>
      </w:r>
      <w:proofErr w:type="spellStart"/>
      <w:r w:rsidRPr="00DF107B">
        <w:rPr>
          <w:szCs w:val="24"/>
          <w:lang w:eastAsia="en-US"/>
        </w:rPr>
        <w:t>palvelukseenotossa</w:t>
      </w:r>
      <w:proofErr w:type="spellEnd"/>
      <w:r w:rsidRPr="00DF107B">
        <w:rPr>
          <w:szCs w:val="24"/>
          <w:lang w:eastAsia="en-US"/>
        </w:rPr>
        <w:t>;</w:t>
      </w:r>
    </w:p>
    <w:p w14:paraId="72C56C06"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t)</w:t>
      </w:r>
      <w:r w:rsidRPr="00DF107B">
        <w:rPr>
          <w:szCs w:val="24"/>
          <w:lang w:eastAsia="en-US"/>
        </w:rPr>
        <w:tab/>
        <w:t>palkkaa henkilöstöä mahdollisimman laajalta maantieteelliseltä alueelta;</w:t>
      </w:r>
    </w:p>
    <w:p w14:paraId="1ACE096F"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u)</w:t>
      </w:r>
      <w:r w:rsidRPr="00DF107B">
        <w:rPr>
          <w:szCs w:val="24"/>
          <w:lang w:eastAsia="en-US"/>
        </w:rPr>
        <w:tab/>
        <w:t>suunnittelee ja panee täytäntöön viraston viestintäpolitiikan;</w:t>
      </w:r>
    </w:p>
    <w:p w14:paraId="6D4CA67D"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v)</w:t>
      </w:r>
      <w:r w:rsidRPr="00DF107B">
        <w:rPr>
          <w:szCs w:val="24"/>
          <w:lang w:eastAsia="en-US"/>
        </w:rPr>
        <w:tab/>
        <w:t>suorittaa muita hallintoneuvoston hänelle antamia tai siirtämiä tai tämän asetuksen edellyttämiä tehtäviä.</w:t>
      </w:r>
    </w:p>
    <w:p w14:paraId="309BE7F9"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 xml:space="preserve">24 artikla </w:t>
      </w:r>
      <w:r w:rsidRPr="00DF107B">
        <w:rPr>
          <w:szCs w:val="24"/>
          <w:lang w:eastAsia="en-US"/>
        </w:rPr>
        <w:br/>
        <w:t>Kolmansien maiden osallistuminen</w:t>
      </w:r>
    </w:p>
    <w:p w14:paraId="681EF7E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Viraston toimintaan voivat osallistua kolmannet maat, jotka ovat tehneet unionin kanssa sopimuksen, jonka mukaisesti ne ovat saattaneet voimaan meriturvallisuutta, merenkulun turvatoimia sekä alusten aiheuttaman pilaantumisen ehkäisyä ja torjuntaa koskevan unionin lainsäädännön ja soveltavat sitä.</w:t>
      </w:r>
    </w:p>
    <w:p w14:paraId="071A08FB"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Virasto tekee komission lausunnon saatuaan mainittuihin sopimuksiin sisältyvien asianomaisten määräysten mukaisesti järjestelyt, joissa määritellään kyseisten maiden viraston toimintaan osallistumista koskevien yksityiskohtaisten sääntöjen luonne ja laajuus, mukaan lukien rahoitusosuuksia ja henkilöstöä koskevat määräykset.</w:t>
      </w:r>
    </w:p>
    <w:p w14:paraId="0CD73C69" w14:textId="77777777" w:rsidR="006E08CC" w:rsidRPr="00DF107B" w:rsidRDefault="006E08CC">
      <w:pPr>
        <w:widowControl/>
        <w:rPr>
          <w:szCs w:val="24"/>
          <w:lang w:eastAsia="en-US"/>
        </w:rPr>
      </w:pPr>
      <w:r w:rsidRPr="00DF107B">
        <w:rPr>
          <w:szCs w:val="24"/>
          <w:lang w:eastAsia="en-US"/>
        </w:rPr>
        <w:br w:type="page"/>
      </w:r>
    </w:p>
    <w:p w14:paraId="3835369A"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VI LUKU</w:t>
      </w:r>
      <w:r w:rsidRPr="00DF107B">
        <w:rPr>
          <w:szCs w:val="24"/>
          <w:lang w:eastAsia="en-US"/>
        </w:rPr>
        <w:br/>
        <w:t>VARAINHOITOA KOSKEVAT SÄÄNNÖKSET</w:t>
      </w:r>
    </w:p>
    <w:p w14:paraId="6C7C7D19"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25 artikla</w:t>
      </w:r>
      <w:r w:rsidRPr="00DF107B">
        <w:rPr>
          <w:szCs w:val="24"/>
          <w:lang w:eastAsia="en-US"/>
        </w:rPr>
        <w:br/>
        <w:t>Varainhoitoa koskevat säännöt</w:t>
      </w:r>
    </w:p>
    <w:p w14:paraId="7ED80909" w14:textId="77777777" w:rsidR="007E7AE7" w:rsidRPr="00DF107B" w:rsidRDefault="007E7AE7" w:rsidP="007E7AE7">
      <w:pPr>
        <w:widowControl/>
        <w:spacing w:before="120" w:after="120" w:line="360" w:lineRule="auto"/>
        <w:rPr>
          <w:szCs w:val="24"/>
          <w:lang w:eastAsia="en-US"/>
        </w:rPr>
      </w:pPr>
      <w:r w:rsidRPr="00DF107B">
        <w:rPr>
          <w:szCs w:val="24"/>
          <w:lang w:eastAsia="en-US"/>
        </w:rPr>
        <w:t>Hallintoneuvosto hyväksyy virastoon sovellettavat varainhoitosäännöt komissiota kuultuaan. Varainhoitoa koskevat säännöt voivat poiketa Euroopan komission delegoidusta asetuksesta (EU) 2019/715 ainoastaan, jos viraston toiminta sitä erityisesti edellyttää ja jos komissio on antanut siihen ennalta suostumuksensa.</w:t>
      </w:r>
    </w:p>
    <w:p w14:paraId="40DFA045"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26 artikla</w:t>
      </w:r>
      <w:r w:rsidRPr="00DF107B">
        <w:rPr>
          <w:szCs w:val="24"/>
          <w:lang w:eastAsia="en-US"/>
        </w:rPr>
        <w:br/>
        <w:t>Talousarvio</w:t>
      </w:r>
    </w:p>
    <w:p w14:paraId="5E14569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Viraston kaikista tuloista ja menoista laaditaan kutakin kalenterivuotta vastaavaa varainhoitovuotta varten arvio, jonka perusteella tulot ja menot otetaan viraston talousarvioon.</w:t>
      </w:r>
    </w:p>
    <w:p w14:paraId="4D4B1C2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Talousarvioon otettavien tulojen ja menojen on oltava tasapainossa.</w:t>
      </w:r>
    </w:p>
    <w:p w14:paraId="5582CAB8" w14:textId="77777777" w:rsidR="006E08CC" w:rsidRPr="00DF107B" w:rsidRDefault="006E08CC">
      <w:pPr>
        <w:widowControl/>
        <w:rPr>
          <w:szCs w:val="24"/>
          <w:lang w:eastAsia="en-US"/>
        </w:rPr>
      </w:pPr>
      <w:r w:rsidRPr="00DF107B">
        <w:rPr>
          <w:szCs w:val="24"/>
          <w:lang w:eastAsia="en-US"/>
        </w:rPr>
        <w:br w:type="page"/>
      </w:r>
    </w:p>
    <w:p w14:paraId="15A7DF8B"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3.</w:t>
      </w:r>
      <w:r w:rsidRPr="00DF107B">
        <w:rPr>
          <w:szCs w:val="24"/>
          <w:lang w:eastAsia="en-US"/>
        </w:rPr>
        <w:tab/>
        <w:t>Sulkematta pois muita tulonlähteitä viraston tulot koostuvat seuraavista:</w:t>
      </w:r>
    </w:p>
    <w:p w14:paraId="6437A425"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a)</w:t>
      </w:r>
      <w:r w:rsidRPr="00DF107B">
        <w:rPr>
          <w:szCs w:val="24"/>
          <w:lang w:eastAsia="en-US"/>
        </w:rPr>
        <w:tab/>
        <w:t>Euroopan unionin yleiseen talousarvioon otettu unionin rahoitusosuus ja unionin elinten avustukset;</w:t>
      </w:r>
    </w:p>
    <w:p w14:paraId="45A118AD"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b)</w:t>
      </w:r>
      <w:r w:rsidRPr="00DF107B">
        <w:rPr>
          <w:szCs w:val="24"/>
          <w:lang w:eastAsia="en-US"/>
        </w:rPr>
        <w:tab/>
        <w:t>viraston toimintaan 24 artiklan mukaisesti osallistuvien kolmansien maiden mahdolliset rahoitusosuudet;</w:t>
      </w:r>
    </w:p>
    <w:p w14:paraId="503C7AA4"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c)</w:t>
      </w:r>
      <w:r w:rsidRPr="00DF107B">
        <w:rPr>
          <w:szCs w:val="24"/>
          <w:lang w:eastAsia="en-US"/>
        </w:rPr>
        <w:tab/>
        <w:t xml:space="preserve">sellaisista infrastruktuureista, julkaisuista, koulutuksista tai muista palveluista perittävät maksut ja palkkiot, joita virasto tarjoaa 33 </w:t>
      </w:r>
      <w:r w:rsidRPr="00DF107B">
        <w:rPr>
          <w:strike/>
          <w:szCs w:val="24"/>
          <w:lang w:eastAsia="en-US"/>
        </w:rPr>
        <w:t>artiklan nojalla hyväksyttyjen</w:t>
      </w:r>
      <w:r w:rsidRPr="00DF107B">
        <w:rPr>
          <w:b/>
          <w:i/>
          <w:szCs w:val="24"/>
          <w:lang w:eastAsia="en-US"/>
        </w:rPr>
        <w:t>artiklassa tarkoitettujen delegoitujen säädösten ja</w:t>
      </w:r>
      <w:r w:rsidRPr="00DF107B">
        <w:rPr>
          <w:szCs w:val="24"/>
          <w:lang w:eastAsia="en-US"/>
        </w:rPr>
        <w:t xml:space="preserve"> täytäntöönpanosäädösten mukaisesti; </w:t>
      </w:r>
      <w:r w:rsidRPr="00DF107B">
        <w:rPr>
          <w:b/>
          <w:szCs w:val="24"/>
          <w:lang w:eastAsia="en-US"/>
        </w:rPr>
        <w:t>[Tark. 83]</w:t>
      </w:r>
    </w:p>
    <w:p w14:paraId="3B39BE98" w14:textId="77777777" w:rsidR="007E7AE7" w:rsidRPr="00DF107B" w:rsidRDefault="007E7AE7" w:rsidP="007E7AE7">
      <w:pPr>
        <w:widowControl/>
        <w:spacing w:before="120" w:after="120" w:line="360" w:lineRule="auto"/>
        <w:ind w:left="1416" w:hanging="566"/>
        <w:rPr>
          <w:szCs w:val="24"/>
          <w:lang w:eastAsia="en-US"/>
        </w:rPr>
      </w:pPr>
      <w:r w:rsidRPr="00DF107B">
        <w:rPr>
          <w:szCs w:val="24"/>
          <w:lang w:eastAsia="en-US"/>
        </w:rPr>
        <w:t>d)</w:t>
      </w:r>
      <w:r w:rsidRPr="00DF107B">
        <w:rPr>
          <w:szCs w:val="24"/>
          <w:lang w:eastAsia="en-US"/>
        </w:rPr>
        <w:tab/>
        <w:t>jäsenvaltioiden, kolmansien maiden tai muiden yhteisöjen mahdolliset vapaaehtoiset rahoitusosuudet, edellyttäen että tällainen rahoitusosuus on avointa, selkeästi eritelty talousarviossa eikä vaaranna viraston riippumattomuutta eikä puolueettomuutta.</w:t>
      </w:r>
    </w:p>
    <w:p w14:paraId="31519EF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Viraston menoihin kuuluvat henkilöstön palkat, hallinto- ja infrastruktuurimenot sekä toimintakustannukset.</w:t>
      </w:r>
    </w:p>
    <w:p w14:paraId="234C4A17" w14:textId="77777777" w:rsidR="006E08CC" w:rsidRPr="00DF107B" w:rsidRDefault="006E08CC">
      <w:pPr>
        <w:widowControl/>
        <w:rPr>
          <w:szCs w:val="24"/>
          <w:lang w:eastAsia="en-US"/>
        </w:rPr>
      </w:pPr>
      <w:r w:rsidRPr="00DF107B">
        <w:rPr>
          <w:szCs w:val="24"/>
          <w:lang w:eastAsia="en-US"/>
        </w:rPr>
        <w:br w:type="page"/>
      </w:r>
    </w:p>
    <w:p w14:paraId="40C31E76" w14:textId="77777777" w:rsidR="007E7AE7" w:rsidRPr="00DF107B" w:rsidRDefault="006E08CC" w:rsidP="007E7AE7">
      <w:pPr>
        <w:widowControl/>
        <w:spacing w:before="120" w:after="120" w:line="360" w:lineRule="auto"/>
        <w:jc w:val="center"/>
        <w:rPr>
          <w:szCs w:val="24"/>
          <w:lang w:eastAsia="en-US"/>
        </w:rPr>
      </w:pPr>
      <w:r w:rsidRPr="00DF107B">
        <w:rPr>
          <w:szCs w:val="24"/>
          <w:lang w:eastAsia="en-US"/>
        </w:rPr>
        <w:lastRenderedPageBreak/>
        <w:t>27 artikla</w:t>
      </w:r>
      <w:r w:rsidRPr="00DF107B">
        <w:rPr>
          <w:szCs w:val="24"/>
          <w:lang w:eastAsia="en-US"/>
        </w:rPr>
        <w:br/>
        <w:t>T</w:t>
      </w:r>
      <w:r w:rsidR="007E7AE7" w:rsidRPr="00DF107B">
        <w:rPr>
          <w:szCs w:val="24"/>
          <w:lang w:eastAsia="en-US"/>
        </w:rPr>
        <w:t>alousarvion laatiminen</w:t>
      </w:r>
    </w:p>
    <w:p w14:paraId="187460F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Pääjohtaja laatii ja toimittaa hallintoneuvostolle joka vuosi ehdotuksen viraston seuraavan varainhoitovuoden tuloja ja menoja koskevaksi ennakkoarvioksi, johon sisältyy henkilöstötaulukko.</w:t>
      </w:r>
    </w:p>
    <w:p w14:paraId="43B9DF1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Hallintoneuvosto hyväksyy tähän ehdotukseen perustuvan alustavan ennakkoarvion viraston tuloista ja menoista seuraavaa varainhoitovuotta varten.</w:t>
      </w:r>
    </w:p>
    <w:p w14:paraId="4CB067F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Alustava ennakkoarvio viraston tuloista ja menoista toimitetaan komissiolle viimeistään kunkin vuoden 31 päivänä tammikuuta. Hallintoneuvosto toimittaa lopullisen ennakkoarvion komissiolle viimeistää</w:t>
      </w:r>
      <w:r w:rsidR="006E08CC" w:rsidRPr="00DF107B">
        <w:rPr>
          <w:szCs w:val="24"/>
          <w:lang w:eastAsia="en-US"/>
        </w:rPr>
        <w:t>n kyseisen vuoden maaliskuun 31 </w:t>
      </w:r>
      <w:r w:rsidRPr="00DF107B">
        <w:rPr>
          <w:szCs w:val="24"/>
          <w:lang w:eastAsia="en-US"/>
        </w:rPr>
        <w:t>päivänä.</w:t>
      </w:r>
    </w:p>
    <w:p w14:paraId="2692780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Komissio toimittaa ennakkoarvion budjettivallan käyttäjälle yhdessä Euroopan unionin yleistä talousarviota koskevan alustavan esityksen kanssa.</w:t>
      </w:r>
    </w:p>
    <w:p w14:paraId="5C138EF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5.</w:t>
      </w:r>
      <w:r w:rsidRPr="00DF107B">
        <w:rPr>
          <w:szCs w:val="24"/>
          <w:lang w:eastAsia="en-US"/>
        </w:rPr>
        <w:tab/>
        <w:t xml:space="preserve">Tämän ennakkoarvion perusteella komissio sisällyttää Euroopan unionin alustavaan yleiseen talousarvioon määrärahat, joita se pitää henkilöstötaulukon perusteella välttämättöminä, sekä yleisestä talousarviosta otettavan avustuksen määrän ja toimittaa alustavan talousarvioesityksen budjettivallan käyttäjälle </w:t>
      </w:r>
      <w:proofErr w:type="spellStart"/>
      <w:r w:rsidRPr="00DF107B">
        <w:rPr>
          <w:szCs w:val="24"/>
          <w:lang w:eastAsia="en-US"/>
        </w:rPr>
        <w:t>SEUT</w:t>
      </w:r>
      <w:proofErr w:type="spellEnd"/>
      <w:r w:rsidRPr="00DF107B">
        <w:rPr>
          <w:szCs w:val="24"/>
          <w:lang w:eastAsia="en-US"/>
        </w:rPr>
        <w:t>-sopimuksen 313 ja 314 artiklan mukaisesti.</w:t>
      </w:r>
    </w:p>
    <w:p w14:paraId="755F8AB1" w14:textId="77777777" w:rsidR="006E08CC" w:rsidRPr="00DF107B" w:rsidRDefault="006E08CC">
      <w:pPr>
        <w:widowControl/>
        <w:rPr>
          <w:szCs w:val="24"/>
          <w:lang w:eastAsia="en-US"/>
        </w:rPr>
      </w:pPr>
      <w:r w:rsidRPr="00DF107B">
        <w:rPr>
          <w:szCs w:val="24"/>
          <w:lang w:eastAsia="en-US"/>
        </w:rPr>
        <w:br w:type="page"/>
      </w:r>
    </w:p>
    <w:p w14:paraId="6D588BA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6.</w:t>
      </w:r>
      <w:r w:rsidRPr="00DF107B">
        <w:rPr>
          <w:szCs w:val="24"/>
          <w:lang w:eastAsia="en-US"/>
        </w:rPr>
        <w:tab/>
        <w:t>Budjettivallan käyttäjä hyväksyy virastolle annettavaa avustusta koskevat määrärahat.</w:t>
      </w:r>
    </w:p>
    <w:p w14:paraId="78F2807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7.</w:t>
      </w:r>
      <w:r w:rsidRPr="00DF107B">
        <w:rPr>
          <w:szCs w:val="24"/>
          <w:lang w:eastAsia="en-US"/>
        </w:rPr>
        <w:tab/>
        <w:t>Budjettivallan käyttäjä vahvistaa viraston henkilöstötaulukon.</w:t>
      </w:r>
    </w:p>
    <w:p w14:paraId="0A379713"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8.</w:t>
      </w:r>
      <w:r w:rsidRPr="00DF107B">
        <w:rPr>
          <w:szCs w:val="24"/>
          <w:lang w:eastAsia="en-US"/>
        </w:rPr>
        <w:tab/>
        <w:t>Hallintoneuvosto vahvistaa viraston talousarvion</w:t>
      </w:r>
      <w:r w:rsidRPr="00DF107B">
        <w:rPr>
          <w:b/>
          <w:i/>
          <w:szCs w:val="24"/>
          <w:lang w:eastAsia="en-US"/>
        </w:rPr>
        <w:t xml:space="preserve"> äänioikeutettujen jäsentensä kahden kolmasosan enemmistöllä</w:t>
      </w:r>
      <w:r w:rsidRPr="00DF107B">
        <w:rPr>
          <w:szCs w:val="24"/>
          <w:lang w:eastAsia="en-US"/>
        </w:rPr>
        <w:t xml:space="preserve">. Siitä tulee lopullinen, kun Euroopan unionin yleinen talousarvio on lopullisesti hyväksytty. Sitä mukautetaan tarvittaessa tätä vastaavasti. </w:t>
      </w:r>
      <w:r w:rsidRPr="00DF107B">
        <w:rPr>
          <w:b/>
          <w:szCs w:val="24"/>
          <w:lang w:eastAsia="en-US"/>
        </w:rPr>
        <w:t>[Tark. 84]</w:t>
      </w:r>
    </w:p>
    <w:p w14:paraId="11AB63C9" w14:textId="02550349"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9.</w:t>
      </w:r>
      <w:r w:rsidRPr="00DF107B">
        <w:rPr>
          <w:szCs w:val="24"/>
          <w:lang w:eastAsia="en-US"/>
        </w:rPr>
        <w:tab/>
        <w:t xml:space="preserve">Kaikkiin rakennushankkeisiin, joilla on todennäköisesti huomattava vaikutus viraston talousarvioon, sovelletaan delegoidun asetuksen (EU) </w:t>
      </w:r>
      <w:r w:rsidR="00F92298" w:rsidRPr="00DF107B">
        <w:rPr>
          <w:szCs w:val="24"/>
          <w:lang w:eastAsia="en-US"/>
        </w:rPr>
        <w:t xml:space="preserve">2019/715 </w:t>
      </w:r>
      <w:r w:rsidRPr="00DF107B">
        <w:rPr>
          <w:szCs w:val="24"/>
          <w:lang w:eastAsia="en-US"/>
        </w:rPr>
        <w:t>säännöksiä.</w:t>
      </w:r>
    </w:p>
    <w:p w14:paraId="771FCC1D"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28 artikla</w:t>
      </w:r>
      <w:r w:rsidRPr="00DF107B">
        <w:rPr>
          <w:szCs w:val="24"/>
          <w:lang w:eastAsia="en-US"/>
        </w:rPr>
        <w:br/>
        <w:t>Talousarvion toteuttaminen</w:t>
      </w:r>
    </w:p>
    <w:p w14:paraId="19E67A4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Pääjohtaja vastaa viraston talousarvion toteuttamisesta.</w:t>
      </w:r>
    </w:p>
    <w:p w14:paraId="39EDFED6" w14:textId="46CF9E65"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Pääjohtaja toimittaa vuosittain budjettivallan käyttäjälle kaikki arviointimenettelyjen tulosten kannalta tärkeät tiedot.</w:t>
      </w:r>
    </w:p>
    <w:p w14:paraId="7A563A0B" w14:textId="77777777" w:rsidR="006E08CC" w:rsidRPr="00DF107B" w:rsidRDefault="006E08CC">
      <w:pPr>
        <w:widowControl/>
        <w:rPr>
          <w:szCs w:val="24"/>
          <w:lang w:eastAsia="en-US"/>
        </w:rPr>
      </w:pPr>
      <w:r w:rsidRPr="00DF107B">
        <w:rPr>
          <w:szCs w:val="24"/>
          <w:lang w:eastAsia="en-US"/>
        </w:rPr>
        <w:br w:type="page"/>
      </w:r>
    </w:p>
    <w:p w14:paraId="58FDC430"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29 artikla</w:t>
      </w:r>
      <w:r w:rsidRPr="00DF107B">
        <w:rPr>
          <w:szCs w:val="24"/>
          <w:lang w:eastAsia="en-US"/>
        </w:rPr>
        <w:br/>
        <w:t>Tilinpäätöksen esittäminen ja vastuuvapauden myöntäminen</w:t>
      </w:r>
    </w:p>
    <w:p w14:paraId="1A5C399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Viraston tilinpitäjä toimittaa alustavan tilinpäätöksen komission tilinpitäjälle ja tilintarkastustuomioistuimelle viimeistään varainhoitovuoden päättymistä seuraavan maaliskuun 1 päivänä.</w:t>
      </w:r>
    </w:p>
    <w:p w14:paraId="5F19E24B"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Virasto toimittaa selvityksen varainhoitovuoden talousarvio- ja varainhallinnosta Euroopan parlamentille, neuvostolle ja tilintarkastustuomioistuimelle viimeistään varainhoitovuoden päättymistä seuraavan maaliskuun 31 päivänä.</w:t>
      </w:r>
    </w:p>
    <w:p w14:paraId="7F0B36E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Komission tilinpitäjä toimittaa viraston alustavan tilinpäätöksen yhdistettynä komission tilinpäätökseen tilintarkastustuomioistuimelle viimeistään varainhoitovuoden päättymistä seuraavan maaliskuun 31 päivänä.</w:t>
      </w:r>
    </w:p>
    <w:p w14:paraId="6C472093"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Saatuaan tilintarkastustuomioistuimelta varainhoitoasetuksen 246 artiklassa tarkoitetut huomautukset viraston alustavasta tilinpäätöksestä pääjohtaja laatii lopullisen tilinpäätöksen, josta hän vastaa, ja toimittaa sen hallintoneuvostolle lausuntoa varten.</w:t>
      </w:r>
    </w:p>
    <w:p w14:paraId="7FB9989E" w14:textId="77777777" w:rsidR="006E08CC" w:rsidRPr="00DF107B" w:rsidRDefault="006E08CC">
      <w:pPr>
        <w:widowControl/>
        <w:rPr>
          <w:szCs w:val="24"/>
          <w:lang w:eastAsia="en-US"/>
        </w:rPr>
      </w:pPr>
      <w:r w:rsidRPr="00DF107B">
        <w:rPr>
          <w:szCs w:val="24"/>
          <w:lang w:eastAsia="en-US"/>
        </w:rPr>
        <w:br w:type="page"/>
      </w:r>
    </w:p>
    <w:p w14:paraId="0E20D0E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5.</w:t>
      </w:r>
      <w:r w:rsidRPr="00DF107B">
        <w:rPr>
          <w:szCs w:val="24"/>
          <w:lang w:eastAsia="en-US"/>
        </w:rPr>
        <w:tab/>
        <w:t>Hallintoneuvosto antaa lausunnon viraston lopullisesta tilinpäätöksestä.</w:t>
      </w:r>
    </w:p>
    <w:p w14:paraId="1BFBBA63"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6.</w:t>
      </w:r>
      <w:r w:rsidRPr="00DF107B">
        <w:rPr>
          <w:szCs w:val="24"/>
          <w:lang w:eastAsia="en-US"/>
        </w:rPr>
        <w:tab/>
        <w:t>Tilinpitäjä toimittaa lopullisen tilinpäätöksen ja hallintoneuvoston lausunnon Euroopan parlamentille, neuvostolle, komissiolle ja tilintarkastustuomioistuimelle viimeistään seuraavan varainhoitovuoden heinäkuun 1 päivänä.</w:t>
      </w:r>
    </w:p>
    <w:p w14:paraId="232A3AD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7.</w:t>
      </w:r>
      <w:r w:rsidRPr="00DF107B">
        <w:rPr>
          <w:szCs w:val="24"/>
          <w:lang w:eastAsia="en-US"/>
        </w:rPr>
        <w:tab/>
        <w:t xml:space="preserve">Lopullinen tilinpäätös julkaistaan </w:t>
      </w:r>
      <w:r w:rsidRPr="00B358CC">
        <w:rPr>
          <w:i/>
          <w:szCs w:val="24"/>
          <w:lang w:eastAsia="en-US"/>
        </w:rPr>
        <w:t>Euroopan unionin virallisessa lehdessä</w:t>
      </w:r>
      <w:r w:rsidRPr="00DF107B">
        <w:rPr>
          <w:szCs w:val="24"/>
          <w:lang w:eastAsia="en-US"/>
        </w:rPr>
        <w:t xml:space="preserve"> viimeistään seuraavan varainhoitovuoden marraskuun 15 päivänä.</w:t>
      </w:r>
    </w:p>
    <w:p w14:paraId="261FF98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8.</w:t>
      </w:r>
      <w:r w:rsidRPr="00DF107B">
        <w:rPr>
          <w:szCs w:val="24"/>
          <w:lang w:eastAsia="en-US"/>
        </w:rPr>
        <w:tab/>
        <w:t>Pääjohtaja toimittaa tilintarkastustuomioistuimelle vastauksen tämän huomautuksiin viimeistään 30 päivänä syyskuuta. Pääjohtaja toimittaa tämän vastauksen myös hallintoneuvostolle.</w:t>
      </w:r>
    </w:p>
    <w:p w14:paraId="33B4D5C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9.</w:t>
      </w:r>
      <w:r w:rsidRPr="00DF107B">
        <w:rPr>
          <w:szCs w:val="24"/>
          <w:lang w:eastAsia="en-US"/>
        </w:rPr>
        <w:tab/>
        <w:t>Pääjohtaja antaa varainhoitoasetuksen 261 artiklan 3 kohdan mukaisesti Euroopan parlamentille tämän pyynnöstä kaikki kyseistä varainhoitovuotta koskevan vastuuvapausmenettelyn moitteettomaksi toteuttamiseksi tarvittavat tiedot.</w:t>
      </w:r>
    </w:p>
    <w:p w14:paraId="3B7A51C4"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10.</w:t>
      </w:r>
      <w:r w:rsidRPr="00DF107B">
        <w:rPr>
          <w:szCs w:val="24"/>
          <w:lang w:eastAsia="en-US"/>
        </w:rPr>
        <w:tab/>
        <w:t xml:space="preserve">Euroopan parlamentti myöntää neuvoston määräenemmistöllä antamasta suosituksesta pääjohtajalle vastuuvapauden vuoden N talousarvion toteuttamisesta ennen vuoden N + 2 </w:t>
      </w:r>
      <w:proofErr w:type="spellStart"/>
      <w:r w:rsidRPr="00DF107B">
        <w:rPr>
          <w:szCs w:val="24"/>
          <w:lang w:eastAsia="en-US"/>
        </w:rPr>
        <w:t>15:ttä</w:t>
      </w:r>
      <w:proofErr w:type="spellEnd"/>
      <w:r w:rsidRPr="00DF107B">
        <w:rPr>
          <w:szCs w:val="24"/>
          <w:lang w:eastAsia="en-US"/>
        </w:rPr>
        <w:t xml:space="preserve"> päivää toukokuuta.</w:t>
      </w:r>
    </w:p>
    <w:p w14:paraId="5E9FAC8F" w14:textId="77777777" w:rsidR="006E08CC" w:rsidRPr="00DF107B" w:rsidRDefault="006E08CC">
      <w:pPr>
        <w:widowControl/>
        <w:rPr>
          <w:szCs w:val="24"/>
          <w:lang w:eastAsia="en-US"/>
        </w:rPr>
      </w:pPr>
      <w:r w:rsidRPr="00DF107B">
        <w:rPr>
          <w:szCs w:val="24"/>
          <w:lang w:eastAsia="en-US"/>
        </w:rPr>
        <w:br w:type="page"/>
      </w:r>
    </w:p>
    <w:p w14:paraId="2EABDA6B"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VII LUKU</w:t>
      </w:r>
      <w:r w:rsidRPr="00DF107B">
        <w:rPr>
          <w:szCs w:val="24"/>
          <w:lang w:eastAsia="en-US"/>
        </w:rPr>
        <w:br/>
        <w:t>HENKILÖSTÖ</w:t>
      </w:r>
    </w:p>
    <w:p w14:paraId="11E70700"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30 artikla</w:t>
      </w:r>
      <w:r w:rsidRPr="00DF107B">
        <w:rPr>
          <w:szCs w:val="24"/>
          <w:lang w:eastAsia="en-US"/>
        </w:rPr>
        <w:br/>
        <w:t>Yleiset säännökset</w:t>
      </w:r>
    </w:p>
    <w:p w14:paraId="67045374" w14:textId="77777777" w:rsidR="007E7AE7" w:rsidRPr="00DF107B" w:rsidRDefault="007E7AE7" w:rsidP="007E7AE7">
      <w:pPr>
        <w:widowControl/>
        <w:spacing w:before="120" w:after="120" w:line="360" w:lineRule="auto"/>
        <w:rPr>
          <w:szCs w:val="24"/>
          <w:lang w:eastAsia="en-US"/>
        </w:rPr>
      </w:pPr>
      <w:r w:rsidRPr="00DF107B">
        <w:rPr>
          <w:szCs w:val="24"/>
          <w:lang w:eastAsia="en-US"/>
        </w:rPr>
        <w:t>Viraston henkilöstöön sovelletaan Euroopan unionin virkamiehiin sovellettavia henkilöstösääntöjä ja unionin muuhun henkilöstöön sovellettavia palvelussuhteen ehtoja sekä näiden säännösten täytäntöönpanosäännöksiä, jotka on annettu Euroopan unionin toimielinten yhteisellä päätöksellä.</w:t>
      </w:r>
    </w:p>
    <w:p w14:paraId="2C027BC8"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31 artikla</w:t>
      </w:r>
      <w:r w:rsidRPr="00DF107B">
        <w:rPr>
          <w:szCs w:val="24"/>
          <w:lang w:eastAsia="en-US"/>
        </w:rPr>
        <w:br/>
        <w:t>Tilapäisesti siirretyt kansalliset asiantuntijat ja muu henkilöstö</w:t>
      </w:r>
    </w:p>
    <w:p w14:paraId="76537E0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 voi käyttää kansallisia asiantuntijoita tai muuta henkilöstöä, joka ei ole viraston palveluksessa.</w:t>
      </w:r>
    </w:p>
    <w:p w14:paraId="7C177CC1"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Hallintoneuvosto tekee päätöksen, jossa vahvistetaan säännöt kansallisten asiantuntijoiden tilapäisestä siirtämisestä viraston palvelukseen.</w:t>
      </w:r>
    </w:p>
    <w:p w14:paraId="2C19F59F" w14:textId="77777777" w:rsidR="006E08CC" w:rsidRPr="00DF107B" w:rsidRDefault="006E08CC">
      <w:pPr>
        <w:widowControl/>
        <w:rPr>
          <w:szCs w:val="24"/>
          <w:lang w:eastAsia="en-US"/>
        </w:rPr>
      </w:pPr>
      <w:r w:rsidRPr="00DF107B">
        <w:rPr>
          <w:szCs w:val="24"/>
          <w:lang w:eastAsia="en-US"/>
        </w:rPr>
        <w:br w:type="page"/>
      </w:r>
    </w:p>
    <w:p w14:paraId="7AF091D3"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VIII LUKU</w:t>
      </w:r>
      <w:r w:rsidRPr="00DF107B">
        <w:rPr>
          <w:szCs w:val="24"/>
          <w:lang w:eastAsia="en-US"/>
        </w:rPr>
        <w:br/>
        <w:t>YLEISET SÄÄNNÖKSET JA LOPPUSÄÄNNÖKSET</w:t>
      </w:r>
    </w:p>
    <w:p w14:paraId="7A174D46"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32 artikla</w:t>
      </w:r>
      <w:r w:rsidRPr="00DF107B">
        <w:rPr>
          <w:szCs w:val="24"/>
          <w:lang w:eastAsia="en-US"/>
        </w:rPr>
        <w:br/>
        <w:t>Oikeudellinen asema ja kotipaikka</w:t>
      </w:r>
    </w:p>
    <w:p w14:paraId="6AFC7FE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 on unionin elin, ja se on oikeushenkilö.</w:t>
      </w:r>
    </w:p>
    <w:p w14:paraId="73C4668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Virastolla on kussakin jäsenvaltiossa laajin kansallisen lainsäädännön mukainen oikeushenkilöllä oleva oikeus- ja oikeustoimikelpoisuus. Se voi erityisesti hankkia ja luovuttaa irtainta ja kiinteää omaisuutta sekä esiintyä kantajana ja vastaajana oikeudenkäynneissä.</w:t>
      </w:r>
    </w:p>
    <w:p w14:paraId="509F767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Virastoa edustaa sen pääjohtaja.</w:t>
      </w:r>
    </w:p>
    <w:p w14:paraId="10903FB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Viraston kotipaikka on Lissabonissa, Portugalin tasavallassa.</w:t>
      </w:r>
    </w:p>
    <w:p w14:paraId="08EA42AE"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4 a.</w:t>
      </w:r>
      <w:r w:rsidRPr="00DF107B">
        <w:rPr>
          <w:szCs w:val="24"/>
          <w:lang w:eastAsia="en-US"/>
        </w:rPr>
        <w:tab/>
      </w:r>
      <w:r w:rsidRPr="00DF107B">
        <w:rPr>
          <w:b/>
          <w:i/>
          <w:szCs w:val="24"/>
          <w:lang w:eastAsia="en-US"/>
        </w:rPr>
        <w:t>Säästöjen aikaansaamiseksi virasto tekee tarvittaessa tiivistä yhteistyötä muiden unionin toimielinten, elinten ja laitosten kanssa ja erityisesti niiden, joiden kotipaikka on samassa jäsenvaltiossa.</w:t>
      </w:r>
      <w:r w:rsidRPr="00DF107B">
        <w:rPr>
          <w:szCs w:val="24"/>
          <w:lang w:eastAsia="en-US"/>
        </w:rPr>
        <w:t xml:space="preserve"> </w:t>
      </w:r>
      <w:r w:rsidRPr="00DF107B">
        <w:rPr>
          <w:b/>
          <w:szCs w:val="24"/>
          <w:lang w:eastAsia="en-US"/>
        </w:rPr>
        <w:t>[Tark. 85]</w:t>
      </w:r>
    </w:p>
    <w:p w14:paraId="1E0CBAD8" w14:textId="77777777" w:rsidR="006E08CC" w:rsidRPr="00DF107B" w:rsidRDefault="006E08CC">
      <w:pPr>
        <w:widowControl/>
        <w:rPr>
          <w:szCs w:val="24"/>
          <w:lang w:eastAsia="en-US"/>
        </w:rPr>
      </w:pPr>
      <w:r w:rsidRPr="00DF107B">
        <w:rPr>
          <w:szCs w:val="24"/>
          <w:lang w:eastAsia="en-US"/>
        </w:rPr>
        <w:br w:type="page"/>
      </w:r>
    </w:p>
    <w:p w14:paraId="6968BBB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5.</w:t>
      </w:r>
      <w:r w:rsidRPr="00DF107B">
        <w:rPr>
          <w:szCs w:val="24"/>
          <w:lang w:eastAsia="en-US"/>
        </w:rPr>
        <w:tab/>
        <w:t>Hallintoneuvosto voi komission pyynnöstä</w:t>
      </w:r>
      <w:r w:rsidRPr="00DF107B">
        <w:rPr>
          <w:b/>
          <w:i/>
          <w:szCs w:val="24"/>
          <w:lang w:eastAsia="en-US"/>
        </w:rPr>
        <w:t>, ilmoitettuaan asiasta Euroopan parlamentin asiasta vastaavalle valiokunnalle,</w:t>
      </w:r>
      <w:r w:rsidRPr="00DF107B">
        <w:rPr>
          <w:szCs w:val="24"/>
          <w:lang w:eastAsia="en-US"/>
        </w:rPr>
        <w:t xml:space="preserve"> ja asianomaisten jäsenvaltioiden suostumuksella ja niiden kanssa yhteistyötä tehden ja ottaen asianmukaisesti huomioon talousarviovaikutukset, mukaan luettuna asianomaisten jäsenvaltioiden mahdollisesti antamat osuudet, päättää perustaa aluekeskuksia hoitamaan joitakin viraston tehtävistä mahdollisimman tehokkaasti ja vaikuttavasti. Päätöksen tekemisen yhteydessä hallintoneuvosto määrittelee aluekeskuksen täsmällisen toiminta-alan välttäen tarpeettomia kustannuksia ja tehostaen yhteistyötä olemassa olevien alueellisten ja kansallisten verkostojen kanssa. </w:t>
      </w:r>
      <w:r w:rsidRPr="00DF107B">
        <w:rPr>
          <w:b/>
          <w:szCs w:val="24"/>
          <w:lang w:eastAsia="en-US"/>
        </w:rPr>
        <w:t>[Tark. 86]</w:t>
      </w:r>
    </w:p>
    <w:p w14:paraId="71F58396"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33 artikla</w:t>
      </w:r>
      <w:r w:rsidRPr="00DF107B">
        <w:rPr>
          <w:szCs w:val="24"/>
          <w:lang w:eastAsia="en-US"/>
        </w:rPr>
        <w:br/>
      </w:r>
      <w:r w:rsidRPr="00DF107B">
        <w:rPr>
          <w:strike/>
          <w:szCs w:val="24"/>
          <w:lang w:eastAsia="en-US"/>
        </w:rPr>
        <w:t xml:space="preserve">Maksuihin ja palkkioihin liittyvät </w:t>
      </w:r>
      <w:proofErr w:type="spellStart"/>
      <w:r w:rsidRPr="00DF107B">
        <w:rPr>
          <w:strike/>
          <w:szCs w:val="24"/>
          <w:lang w:eastAsia="en-US"/>
        </w:rPr>
        <w:t>täytäntöönpanosäädökset</w:t>
      </w:r>
      <w:r w:rsidRPr="00DF107B">
        <w:rPr>
          <w:b/>
          <w:i/>
          <w:szCs w:val="24"/>
          <w:lang w:eastAsia="en-US"/>
        </w:rPr>
        <w:t>Maksut</w:t>
      </w:r>
      <w:proofErr w:type="spellEnd"/>
      <w:r w:rsidRPr="00DF107B">
        <w:rPr>
          <w:b/>
          <w:i/>
          <w:szCs w:val="24"/>
          <w:lang w:eastAsia="en-US"/>
        </w:rPr>
        <w:t xml:space="preserve"> ja palkkiot</w:t>
      </w:r>
      <w:r w:rsidRPr="00DF107B">
        <w:rPr>
          <w:szCs w:val="24"/>
          <w:lang w:eastAsia="en-US"/>
        </w:rPr>
        <w:t xml:space="preserve"> </w:t>
      </w:r>
      <w:r w:rsidRPr="00DF107B">
        <w:rPr>
          <w:b/>
          <w:szCs w:val="24"/>
          <w:lang w:eastAsia="en-US"/>
        </w:rPr>
        <w:t>[Tark. 87]</w:t>
      </w:r>
    </w:p>
    <w:p w14:paraId="72C60F38" w14:textId="77777777" w:rsidR="007E7AE7" w:rsidRPr="00DF107B" w:rsidRDefault="007E7AE7" w:rsidP="007E7AE7">
      <w:pPr>
        <w:widowControl/>
        <w:spacing w:before="120" w:after="120" w:line="360" w:lineRule="auto"/>
        <w:ind w:left="850" w:hanging="850"/>
        <w:rPr>
          <w:szCs w:val="24"/>
          <w:lang w:eastAsia="en-US"/>
        </w:rPr>
      </w:pPr>
      <w:r w:rsidRPr="00DF107B">
        <w:rPr>
          <w:strike/>
          <w:szCs w:val="24"/>
          <w:lang w:eastAsia="en-US"/>
        </w:rPr>
        <w:t>1.</w:t>
      </w:r>
      <w:r w:rsidRPr="00DF107B">
        <w:rPr>
          <w:szCs w:val="24"/>
          <w:lang w:eastAsia="en-US"/>
        </w:rPr>
        <w:tab/>
      </w:r>
      <w:r w:rsidRPr="00DF107B">
        <w:rPr>
          <w:strike/>
          <w:szCs w:val="24"/>
          <w:lang w:eastAsia="en-US"/>
        </w:rPr>
        <w:t>Komissio hyväksyy 2, 3 ja 4 kohdassa säädettyjen periaatteiden mukaisesti täytäntöönpanosäädöksiä, joissa täsmennetään:</w:t>
      </w:r>
    </w:p>
    <w:p w14:paraId="3342CFC1" w14:textId="77777777" w:rsidR="007E7AE7" w:rsidRPr="00DF107B" w:rsidRDefault="007E7AE7" w:rsidP="007E7AE7">
      <w:pPr>
        <w:widowControl/>
        <w:spacing w:before="120" w:after="120" w:line="360" w:lineRule="auto"/>
        <w:ind w:left="1416" w:hanging="566"/>
        <w:rPr>
          <w:szCs w:val="24"/>
          <w:lang w:eastAsia="en-US"/>
        </w:rPr>
      </w:pPr>
      <w:r w:rsidRPr="00DF107B">
        <w:rPr>
          <w:strike/>
          <w:szCs w:val="24"/>
          <w:lang w:eastAsia="en-US"/>
        </w:rPr>
        <w:t>a)</w:t>
      </w:r>
      <w:r w:rsidRPr="00DF107B">
        <w:rPr>
          <w:szCs w:val="24"/>
          <w:lang w:eastAsia="en-US"/>
        </w:rPr>
        <w:tab/>
      </w:r>
      <w:r w:rsidRPr="00DF107B">
        <w:rPr>
          <w:strike/>
          <w:szCs w:val="24"/>
          <w:lang w:eastAsia="en-US"/>
        </w:rPr>
        <w:t>virastolle erityisesti 26 artiklan 3 kohdan c alakohtaa sovellettaessa maksettavat maksut ja palkkiot; ja</w:t>
      </w:r>
    </w:p>
    <w:p w14:paraId="2528F50F" w14:textId="77777777" w:rsidR="007E7AE7" w:rsidRPr="00DF107B" w:rsidRDefault="007E7AE7" w:rsidP="007E7AE7">
      <w:pPr>
        <w:widowControl/>
        <w:spacing w:before="120" w:after="120" w:line="360" w:lineRule="auto"/>
        <w:ind w:left="1416" w:hanging="566"/>
        <w:rPr>
          <w:szCs w:val="24"/>
          <w:lang w:eastAsia="en-US"/>
        </w:rPr>
      </w:pPr>
      <w:r w:rsidRPr="00DF107B">
        <w:rPr>
          <w:strike/>
          <w:szCs w:val="24"/>
          <w:lang w:eastAsia="en-US"/>
        </w:rPr>
        <w:t>b)</w:t>
      </w:r>
      <w:r w:rsidRPr="00DF107B">
        <w:rPr>
          <w:szCs w:val="24"/>
          <w:lang w:eastAsia="en-US"/>
        </w:rPr>
        <w:tab/>
      </w:r>
      <w:r w:rsidRPr="00DF107B">
        <w:rPr>
          <w:strike/>
          <w:szCs w:val="24"/>
          <w:lang w:eastAsia="en-US"/>
        </w:rPr>
        <w:t>maksuehdot.</w:t>
      </w:r>
    </w:p>
    <w:p w14:paraId="2F4E010A" w14:textId="77777777" w:rsidR="007E7AE7" w:rsidRPr="00DF107B" w:rsidRDefault="007E7AE7" w:rsidP="007E7AE7">
      <w:pPr>
        <w:widowControl/>
        <w:spacing w:before="120" w:after="120" w:line="360" w:lineRule="auto"/>
        <w:ind w:left="850"/>
        <w:rPr>
          <w:szCs w:val="24"/>
          <w:lang w:eastAsia="en-US"/>
        </w:rPr>
      </w:pPr>
      <w:r w:rsidRPr="00DF107B">
        <w:rPr>
          <w:strike/>
          <w:szCs w:val="24"/>
          <w:lang w:eastAsia="en-US"/>
        </w:rPr>
        <w:t>Nämä täytäntöönpanosäädökset hyväksytään 34 artiklan 2 kohdassa tarkoitettua tarkastelumenettelyä noudattaen.</w:t>
      </w:r>
      <w:r w:rsidRPr="00DF107B">
        <w:rPr>
          <w:szCs w:val="24"/>
          <w:lang w:eastAsia="en-US"/>
        </w:rPr>
        <w:t xml:space="preserve"> </w:t>
      </w:r>
      <w:r w:rsidRPr="00DF107B">
        <w:rPr>
          <w:b/>
          <w:szCs w:val="24"/>
          <w:lang w:eastAsia="en-US"/>
        </w:rPr>
        <w:t>[Tark. 88]</w:t>
      </w:r>
    </w:p>
    <w:p w14:paraId="5E8AA623" w14:textId="77777777" w:rsidR="006E08CC" w:rsidRPr="00DF107B" w:rsidRDefault="006E08CC">
      <w:pPr>
        <w:widowControl/>
        <w:rPr>
          <w:szCs w:val="24"/>
          <w:lang w:eastAsia="en-US"/>
        </w:rPr>
      </w:pPr>
      <w:r w:rsidRPr="00DF107B">
        <w:rPr>
          <w:szCs w:val="24"/>
          <w:lang w:eastAsia="en-US"/>
        </w:rPr>
        <w:br w:type="page"/>
      </w:r>
    </w:p>
    <w:p w14:paraId="08146DD3"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w:t>
      </w:r>
      <w:r w:rsidRPr="00DF107B">
        <w:rPr>
          <w:szCs w:val="24"/>
          <w:lang w:eastAsia="en-US"/>
        </w:rPr>
        <w:tab/>
        <w:t>Maksuja ja palkkioita peritään mahdollisista viraston erityisesti kolmansille maille ja alan toimijoille tarjoamista palveluista, jotka liittyvät viraston toimivaltaan kuuluviin tehtäviin.</w:t>
      </w:r>
    </w:p>
    <w:p w14:paraId="12C5FAB7"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Maksut ja palkkiot ilmaistaan ja maksetaan euromääräisinä. Maksut ja palkkiot vahvistetaan avoimella, oikeudenmukaisella ja yhdenmukaisella tavalla. Pienten ja keskisuurten yritysten erityistarpeet on otettava tarvittaessa huomioon, mukaan luettuna mahdollisuus jakaa maksut useaan erään ja vaiheeseen. Maksujen jakautuminen on mainittava selkeästi kirjanpidossa. Maksujen ja palkkioiden maksamiselle on asetettava kohtuulliset määräajat.</w:t>
      </w:r>
    </w:p>
    <w:p w14:paraId="503007C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Maksujen ja palkkioiden suuruus vahvistetaan tasolle, jolla varmistetaan, että niistä saatavien tulojen määrällä voidaan täysin kattaa tarjotuista palveluista aiheutuneet kustannukset. Kaikki viraston henkilöstön 2 kohdassa tarkoitetuista toimista aiheutuvat menot, mukaan lukien työnantajan suhteelliset maksut eläkejärjestelmään, on erityisesti otettava huomioon näissä kustannuksissa. Jos maksuilla ja palkkioilla katettavien palvelujen suorittamisesta aiheutuu huomattava epätasapaino toistuvasti, maksujen ja palkkioiden tasoa on tarkistettava. Nämä maksut ja palkkiot ovat käyttötarkoitukseensa sidottuja tuloja virastolle.</w:t>
      </w:r>
    </w:p>
    <w:p w14:paraId="5DA6900A" w14:textId="77777777" w:rsidR="006E08CC" w:rsidRPr="00DF107B" w:rsidRDefault="006E08CC">
      <w:pPr>
        <w:widowControl/>
        <w:rPr>
          <w:b/>
          <w:i/>
          <w:szCs w:val="24"/>
          <w:lang w:eastAsia="en-US"/>
        </w:rPr>
      </w:pPr>
      <w:r w:rsidRPr="00DF107B">
        <w:rPr>
          <w:b/>
          <w:i/>
          <w:szCs w:val="24"/>
          <w:lang w:eastAsia="en-US"/>
        </w:rPr>
        <w:br w:type="page"/>
      </w:r>
    </w:p>
    <w:p w14:paraId="59F0C56B"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lastRenderedPageBreak/>
        <w:t>4 a.</w:t>
      </w:r>
      <w:r w:rsidRPr="00DF107B">
        <w:rPr>
          <w:szCs w:val="24"/>
          <w:lang w:eastAsia="en-US"/>
        </w:rPr>
        <w:tab/>
      </w:r>
      <w:r w:rsidRPr="00DF107B">
        <w:rPr>
          <w:b/>
          <w:i/>
          <w:szCs w:val="24"/>
          <w:lang w:eastAsia="en-US"/>
        </w:rPr>
        <w:t>Komissio antaa 33 a artiklan mukaisesti delegoituja säädöksiä, joilla täydennetään tätä asetusta vahvistamalla 2 kohdassa tarkoitettuja maksuja ja palkkioita koskeva laskentamenetelmä. Menetelmän on perustuttava 3 ja 4 kohdassa vahvistettuihin periaatteisiin.</w:t>
      </w:r>
      <w:r w:rsidRPr="00DF107B">
        <w:rPr>
          <w:szCs w:val="24"/>
          <w:lang w:eastAsia="en-US"/>
        </w:rPr>
        <w:t xml:space="preserve"> </w:t>
      </w:r>
      <w:r w:rsidRPr="00DF107B">
        <w:rPr>
          <w:b/>
          <w:szCs w:val="24"/>
          <w:lang w:eastAsia="en-US"/>
        </w:rPr>
        <w:t>[Tark. 89]</w:t>
      </w:r>
    </w:p>
    <w:p w14:paraId="04D28865"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4 b.</w:t>
      </w:r>
      <w:r w:rsidRPr="00DF107B">
        <w:rPr>
          <w:szCs w:val="24"/>
          <w:lang w:eastAsia="en-US"/>
        </w:rPr>
        <w:tab/>
      </w:r>
      <w:r w:rsidRPr="00DF107B">
        <w:rPr>
          <w:b/>
          <w:i/>
          <w:szCs w:val="24"/>
          <w:lang w:eastAsia="en-US"/>
        </w:rPr>
        <w:t>Komissio antaa 4 a kohdan mukaisesti vahvistetun menetelmän perusteella täytäntöönpanosäädöksiä, joissa täsmennetään palvelujen tarjoamisesta perittävät maksut ja palkkiot. Nämä säädökset hyväksytään 34 artiklan 2 kohdassa tarkoitettua tarkastelumenettelyä noudattaen.</w:t>
      </w:r>
      <w:r w:rsidRPr="00DF107B">
        <w:rPr>
          <w:szCs w:val="24"/>
          <w:lang w:eastAsia="en-US"/>
        </w:rPr>
        <w:t xml:space="preserve"> </w:t>
      </w:r>
      <w:r w:rsidRPr="00DF107B">
        <w:rPr>
          <w:b/>
          <w:szCs w:val="24"/>
          <w:lang w:eastAsia="en-US"/>
        </w:rPr>
        <w:t>[Tark. 90]</w:t>
      </w:r>
    </w:p>
    <w:p w14:paraId="1BC73B19" w14:textId="77777777" w:rsidR="007E7AE7" w:rsidRPr="00DF107B" w:rsidRDefault="007E7AE7" w:rsidP="007E7AE7">
      <w:pPr>
        <w:widowControl/>
        <w:spacing w:before="120" w:after="120" w:line="360" w:lineRule="auto"/>
        <w:jc w:val="center"/>
        <w:rPr>
          <w:szCs w:val="24"/>
          <w:lang w:eastAsia="en-US"/>
        </w:rPr>
      </w:pPr>
      <w:proofErr w:type="spellStart"/>
      <w:r w:rsidRPr="00DF107B">
        <w:rPr>
          <w:b/>
          <w:i/>
          <w:szCs w:val="24"/>
          <w:lang w:eastAsia="en-US"/>
        </w:rPr>
        <w:t>33a</w:t>
      </w:r>
      <w:proofErr w:type="spellEnd"/>
      <w:r w:rsidRPr="00DF107B">
        <w:rPr>
          <w:b/>
          <w:i/>
          <w:szCs w:val="24"/>
          <w:lang w:eastAsia="en-US"/>
        </w:rPr>
        <w:t xml:space="preserve"> artikla</w:t>
      </w:r>
      <w:r w:rsidRPr="00DF107B">
        <w:rPr>
          <w:szCs w:val="24"/>
          <w:lang w:eastAsia="en-US"/>
        </w:rPr>
        <w:br/>
      </w:r>
      <w:r w:rsidRPr="00DF107B">
        <w:rPr>
          <w:b/>
          <w:i/>
          <w:szCs w:val="24"/>
          <w:lang w:eastAsia="en-US"/>
        </w:rPr>
        <w:t>Siirretyn säädösvallan käyttäminen</w:t>
      </w:r>
    </w:p>
    <w:p w14:paraId="4532EE98"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1.</w:t>
      </w:r>
      <w:r w:rsidRPr="00DF107B">
        <w:rPr>
          <w:szCs w:val="24"/>
          <w:lang w:eastAsia="en-US"/>
        </w:rPr>
        <w:tab/>
      </w:r>
      <w:r w:rsidRPr="00DF107B">
        <w:rPr>
          <w:b/>
          <w:i/>
          <w:szCs w:val="24"/>
          <w:lang w:eastAsia="en-US"/>
        </w:rPr>
        <w:t>Komissiolle siirrettyä valtaa antaa delegoituja säädöksiä koskevat tässä artiklassa säädetyt edellytykset.</w:t>
      </w:r>
    </w:p>
    <w:p w14:paraId="4DF8261E"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2.</w:t>
      </w:r>
      <w:r w:rsidRPr="00DF107B">
        <w:rPr>
          <w:szCs w:val="24"/>
          <w:lang w:eastAsia="en-US"/>
        </w:rPr>
        <w:tab/>
      </w:r>
      <w:r w:rsidRPr="00DF107B">
        <w:rPr>
          <w:b/>
          <w:i/>
          <w:szCs w:val="24"/>
          <w:lang w:eastAsia="en-US"/>
        </w:rPr>
        <w:t>Siirretään komissiolle määräämättömäksi ajaksi [asetuksen soveltamispäivästä] / ... vuoden ajaksi ... päivästä ...kuuta ... 33 artiklan 4 a kohdassa tarkoitettu valta antaa delegoituja säädöksiä.</w:t>
      </w:r>
    </w:p>
    <w:p w14:paraId="43DB3220" w14:textId="77777777" w:rsidR="006E08CC" w:rsidRPr="00DF107B" w:rsidRDefault="006E08CC">
      <w:pPr>
        <w:widowControl/>
        <w:rPr>
          <w:b/>
          <w:i/>
          <w:szCs w:val="24"/>
          <w:lang w:eastAsia="en-US"/>
        </w:rPr>
      </w:pPr>
      <w:r w:rsidRPr="00DF107B">
        <w:rPr>
          <w:b/>
          <w:i/>
          <w:szCs w:val="24"/>
          <w:lang w:eastAsia="en-US"/>
        </w:rPr>
        <w:br w:type="page"/>
      </w:r>
    </w:p>
    <w:p w14:paraId="4B1EDEAD"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lastRenderedPageBreak/>
        <w:t>3.</w:t>
      </w:r>
      <w:r w:rsidRPr="00DF107B">
        <w:rPr>
          <w:szCs w:val="24"/>
          <w:lang w:eastAsia="en-US"/>
        </w:rPr>
        <w:tab/>
      </w:r>
      <w:r w:rsidRPr="00DF107B">
        <w:rPr>
          <w:b/>
          <w:i/>
          <w:szCs w:val="24"/>
          <w:lang w:eastAsia="en-US"/>
        </w:rPr>
        <w:t>Euroopan parlamentti tai neuvosto voi milloin tahansa peruuttaa 33 artiklan 4 a kohdassa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p w14:paraId="7A515FA5"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4.</w:t>
      </w:r>
      <w:r w:rsidRPr="00DF107B">
        <w:rPr>
          <w:szCs w:val="24"/>
          <w:lang w:eastAsia="en-US"/>
        </w:rPr>
        <w:tab/>
      </w:r>
      <w:r w:rsidRPr="00DF107B">
        <w:rPr>
          <w:b/>
          <w:i/>
          <w:szCs w:val="24"/>
          <w:lang w:eastAsia="en-US"/>
        </w:rPr>
        <w:t>Ennen kuin komissio hyväksyy delegoidun säädöksen, se kuulee kunkin jäsen</w:t>
      </w:r>
      <w:bookmarkStart w:id="8" w:name="_GoBack"/>
      <w:bookmarkEnd w:id="8"/>
      <w:r w:rsidRPr="00DF107B">
        <w:rPr>
          <w:b/>
          <w:i/>
          <w:szCs w:val="24"/>
          <w:lang w:eastAsia="en-US"/>
        </w:rPr>
        <w:t>valtion nimeämiä asiantuntijoita paremmasta lainsäädännöstä 13 päivänä huhtikuuta 2016 tehdyssä toimielinten välisessä sopimuksessa vahvistettujen periaatteiden mukaisesti.</w:t>
      </w:r>
    </w:p>
    <w:p w14:paraId="1ECF441D"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5.</w:t>
      </w:r>
      <w:r w:rsidRPr="00DF107B">
        <w:rPr>
          <w:szCs w:val="24"/>
          <w:lang w:eastAsia="en-US"/>
        </w:rPr>
        <w:tab/>
      </w:r>
      <w:r w:rsidRPr="00DF107B">
        <w:rPr>
          <w:b/>
          <w:i/>
          <w:szCs w:val="24"/>
          <w:lang w:eastAsia="en-US"/>
        </w:rPr>
        <w:t>Heti kun komissio on antanut delegoidun säädöksen, komissio antaa sen tiedoksi yhtäaikaisesti Euroopan parlamentille ja neuvostolle.</w:t>
      </w:r>
    </w:p>
    <w:p w14:paraId="1074DA17" w14:textId="77777777" w:rsidR="007E7AE7" w:rsidRPr="00DF107B" w:rsidRDefault="007E7AE7" w:rsidP="007E7AE7">
      <w:pPr>
        <w:widowControl/>
        <w:spacing w:before="120" w:after="120" w:line="360" w:lineRule="auto"/>
        <w:ind w:left="850" w:hanging="850"/>
        <w:rPr>
          <w:szCs w:val="24"/>
          <w:lang w:eastAsia="en-US"/>
        </w:rPr>
      </w:pPr>
      <w:r w:rsidRPr="00DF107B">
        <w:rPr>
          <w:b/>
          <w:i/>
          <w:szCs w:val="24"/>
          <w:lang w:eastAsia="en-US"/>
        </w:rPr>
        <w:t>6.</w:t>
      </w:r>
      <w:r w:rsidRPr="00DF107B">
        <w:rPr>
          <w:szCs w:val="24"/>
          <w:lang w:eastAsia="en-US"/>
        </w:rPr>
        <w:tab/>
      </w:r>
      <w:r w:rsidRPr="00DF107B">
        <w:rPr>
          <w:b/>
          <w:i/>
          <w:szCs w:val="24"/>
          <w:lang w:eastAsia="en-US"/>
        </w:rPr>
        <w:t xml:space="preserve">Edellä olevan 33 artiklan 4 a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DF107B">
        <w:rPr>
          <w:b/>
          <w:i/>
          <w:szCs w:val="24"/>
          <w:lang w:eastAsia="en-US"/>
        </w:rPr>
        <w:t>parlamentti</w:t>
      </w:r>
      <w:proofErr w:type="gramEnd"/>
      <w:r w:rsidRPr="00DF107B">
        <w:rPr>
          <w:b/>
          <w:i/>
          <w:szCs w:val="24"/>
          <w:lang w:eastAsia="en-US"/>
        </w:rPr>
        <w:t xml:space="preserve"> että neuvosto ovat ennen mainitun määräajan päättymistä ilmoittaneet komissiolle, että ne eivät vastusta säädöstä. Euroopan parlamentin tai neuvoston aloitteesta tätä määräaikaa jatketaan kahdella kuukaudella.</w:t>
      </w:r>
      <w:r w:rsidRPr="00DF107B">
        <w:rPr>
          <w:szCs w:val="24"/>
          <w:lang w:eastAsia="en-US"/>
        </w:rPr>
        <w:t xml:space="preserve"> </w:t>
      </w:r>
      <w:r w:rsidRPr="00DF107B">
        <w:rPr>
          <w:b/>
          <w:szCs w:val="24"/>
          <w:lang w:eastAsia="en-US"/>
        </w:rPr>
        <w:t>[Tark. 91]</w:t>
      </w:r>
    </w:p>
    <w:p w14:paraId="6DDF57C1" w14:textId="77777777" w:rsidR="006E08CC" w:rsidRPr="00DF107B" w:rsidRDefault="006E08CC">
      <w:pPr>
        <w:widowControl/>
        <w:rPr>
          <w:szCs w:val="24"/>
          <w:lang w:eastAsia="en-US"/>
        </w:rPr>
      </w:pPr>
      <w:r w:rsidRPr="00DF107B">
        <w:rPr>
          <w:szCs w:val="24"/>
          <w:lang w:eastAsia="en-US"/>
        </w:rPr>
        <w:br w:type="page"/>
      </w:r>
    </w:p>
    <w:p w14:paraId="2C36782E"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34 artikla</w:t>
      </w:r>
      <w:r w:rsidRPr="00DF107B">
        <w:rPr>
          <w:szCs w:val="24"/>
          <w:lang w:eastAsia="en-US"/>
        </w:rPr>
        <w:br/>
        <w:t>Komiteamenettely</w:t>
      </w:r>
    </w:p>
    <w:p w14:paraId="40AD5A4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Komissiota avustaa Euroopan parlamentin ja neuvoston asetuksella (EY) N:o 2099/2002</w:t>
      </w:r>
      <w:r w:rsidRPr="00DF107B">
        <w:rPr>
          <w:szCs w:val="24"/>
          <w:vertAlign w:val="superscript"/>
          <w:lang w:val="en-GB" w:eastAsia="en-US"/>
        </w:rPr>
        <w:footnoteReference w:id="35"/>
      </w:r>
      <w:r w:rsidRPr="00DF107B">
        <w:rPr>
          <w:szCs w:val="24"/>
          <w:lang w:eastAsia="en-US"/>
        </w:rPr>
        <w:t xml:space="preserve"> perustettu meriturvallisuutta ja alusten aiheuttaman pilaantumisen ehkäisemistä käsittelevä komitea (</w:t>
      </w:r>
      <w:proofErr w:type="spellStart"/>
      <w:r w:rsidRPr="00DF107B">
        <w:rPr>
          <w:szCs w:val="24"/>
          <w:lang w:eastAsia="en-US"/>
        </w:rPr>
        <w:t>COSS</w:t>
      </w:r>
      <w:proofErr w:type="spellEnd"/>
      <w:r w:rsidRPr="00DF107B">
        <w:rPr>
          <w:szCs w:val="24"/>
          <w:lang w:eastAsia="en-US"/>
        </w:rPr>
        <w:t xml:space="preserve">-komitea). Tämä komitea on asetuksessa (EU) </w:t>
      </w:r>
      <w:proofErr w:type="gramStart"/>
      <w:r w:rsidRPr="00DF107B">
        <w:rPr>
          <w:szCs w:val="24"/>
          <w:lang w:eastAsia="en-US"/>
        </w:rPr>
        <w:t>N:o</w:t>
      </w:r>
      <w:proofErr w:type="gramEnd"/>
      <w:r w:rsidRPr="00DF107B">
        <w:rPr>
          <w:szCs w:val="24"/>
          <w:lang w:eastAsia="en-US"/>
        </w:rPr>
        <w:t xml:space="preserve"> 182/2011 tarkoitettu komitea.</w:t>
      </w:r>
    </w:p>
    <w:p w14:paraId="556DEA6D"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 xml:space="preserve">Jos tähän kohtaan viitataan, sovelletaan asetuksen (EU) </w:t>
      </w:r>
      <w:proofErr w:type="gramStart"/>
      <w:r w:rsidRPr="00DF107B">
        <w:rPr>
          <w:szCs w:val="24"/>
          <w:lang w:eastAsia="en-US"/>
        </w:rPr>
        <w:t>N:o</w:t>
      </w:r>
      <w:proofErr w:type="gramEnd"/>
      <w:r w:rsidRPr="00DF107B">
        <w:rPr>
          <w:szCs w:val="24"/>
          <w:lang w:eastAsia="en-US"/>
        </w:rPr>
        <w:t xml:space="preserve"> 182/2011 5 artiklaa.</w:t>
      </w:r>
    </w:p>
    <w:p w14:paraId="74C7491C"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35 artikla</w:t>
      </w:r>
      <w:r w:rsidRPr="00DF107B">
        <w:rPr>
          <w:szCs w:val="24"/>
          <w:lang w:eastAsia="en-US"/>
        </w:rPr>
        <w:br/>
        <w:t>Erioikeudet ja vapaudet</w:t>
      </w:r>
    </w:p>
    <w:p w14:paraId="1C4CBE7F" w14:textId="77777777" w:rsidR="007E7AE7" w:rsidRPr="00DF107B" w:rsidRDefault="007E7AE7" w:rsidP="007E7AE7">
      <w:pPr>
        <w:widowControl/>
        <w:spacing w:before="120" w:after="120" w:line="360" w:lineRule="auto"/>
        <w:rPr>
          <w:szCs w:val="24"/>
          <w:lang w:eastAsia="en-US"/>
        </w:rPr>
      </w:pPr>
      <w:r w:rsidRPr="00DF107B">
        <w:rPr>
          <w:szCs w:val="24"/>
          <w:lang w:eastAsia="en-US"/>
        </w:rPr>
        <w:t>Virastoon ja sen henkilöstöön sovelletaan Euroopan unionin erioikeuksia ja vapauksia koskevaa pöytäkirjaa.</w:t>
      </w:r>
    </w:p>
    <w:p w14:paraId="4734C369"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36 artikla</w:t>
      </w:r>
      <w:r w:rsidRPr="00DF107B">
        <w:rPr>
          <w:szCs w:val="24"/>
          <w:lang w:eastAsia="en-US"/>
        </w:rPr>
        <w:br/>
        <w:t>Kielijärjestelyt</w:t>
      </w:r>
    </w:p>
    <w:p w14:paraId="4E39729A"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Virastoon sovelletaan neuvoston asetuksen N:o 1</w:t>
      </w:r>
      <w:r w:rsidRPr="00DF107B">
        <w:rPr>
          <w:szCs w:val="24"/>
          <w:vertAlign w:val="superscript"/>
          <w:lang w:val="en-GB" w:eastAsia="en-US"/>
        </w:rPr>
        <w:footnoteReference w:id="36"/>
      </w:r>
      <w:r w:rsidRPr="00DF107B">
        <w:rPr>
          <w:szCs w:val="24"/>
          <w:lang w:eastAsia="en-US"/>
        </w:rPr>
        <w:t xml:space="preserve"> säännöksiä.</w:t>
      </w:r>
    </w:p>
    <w:p w14:paraId="0CEE678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Euroopan unionin elinten käännöskeskus huolehtii viraston toiminnan edellyttämistä käännöspalveluista.</w:t>
      </w:r>
    </w:p>
    <w:p w14:paraId="31063089" w14:textId="77777777" w:rsidR="006E08CC" w:rsidRPr="00DF107B" w:rsidRDefault="006E08CC">
      <w:pPr>
        <w:widowControl/>
        <w:rPr>
          <w:szCs w:val="24"/>
          <w:lang w:eastAsia="en-US"/>
        </w:rPr>
      </w:pPr>
      <w:r w:rsidRPr="00DF107B">
        <w:rPr>
          <w:szCs w:val="24"/>
          <w:lang w:eastAsia="en-US"/>
        </w:rPr>
        <w:br w:type="page"/>
      </w:r>
    </w:p>
    <w:p w14:paraId="5580BBBA"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37 artikla</w:t>
      </w:r>
      <w:r w:rsidRPr="00DF107B">
        <w:rPr>
          <w:szCs w:val="24"/>
          <w:lang w:eastAsia="en-US"/>
        </w:rPr>
        <w:br/>
        <w:t>Läpinäkyvyys</w:t>
      </w:r>
    </w:p>
    <w:p w14:paraId="46AEC51B"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Viraston hallussa oleviin asiakirjoihin sovelletaan Euroopan parlamentin ja neuvoston asetusta (EY) N:o 1049/2001</w:t>
      </w:r>
      <w:r w:rsidRPr="00DF107B">
        <w:rPr>
          <w:szCs w:val="24"/>
          <w:vertAlign w:val="superscript"/>
          <w:lang w:val="en-GB" w:eastAsia="en-US"/>
        </w:rPr>
        <w:footnoteReference w:id="37"/>
      </w:r>
      <w:r w:rsidRPr="00DF107B">
        <w:rPr>
          <w:szCs w:val="24"/>
          <w:lang w:eastAsia="en-US"/>
        </w:rPr>
        <w:t>.</w:t>
      </w:r>
    </w:p>
    <w:p w14:paraId="39CC844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 xml:space="preserve">Hallintoneuvosto vahvistaa asetuksen (EY) </w:t>
      </w:r>
      <w:proofErr w:type="gramStart"/>
      <w:r w:rsidRPr="00DF107B">
        <w:rPr>
          <w:szCs w:val="24"/>
          <w:lang w:eastAsia="en-US"/>
        </w:rPr>
        <w:t>N:o</w:t>
      </w:r>
      <w:proofErr w:type="gramEnd"/>
      <w:r w:rsidRPr="00DF107B">
        <w:rPr>
          <w:szCs w:val="24"/>
          <w:lang w:eastAsia="en-US"/>
        </w:rPr>
        <w:t xml:space="preserve"> 1049/2001 soveltamista koskevat yksityiskohtaiset säännöt kuuden kuukauden kuluessa ensimmäisestä kokouksestaan.</w:t>
      </w:r>
    </w:p>
    <w:p w14:paraId="75FBB87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 xml:space="preserve">Päätöksistä, jotka virasto tekee asetuksen (EY) </w:t>
      </w:r>
      <w:proofErr w:type="gramStart"/>
      <w:r w:rsidRPr="00DF107B">
        <w:rPr>
          <w:szCs w:val="24"/>
          <w:lang w:eastAsia="en-US"/>
        </w:rPr>
        <w:t>N:o</w:t>
      </w:r>
      <w:proofErr w:type="gramEnd"/>
      <w:r w:rsidRPr="00DF107B">
        <w:rPr>
          <w:szCs w:val="24"/>
          <w:lang w:eastAsia="en-US"/>
        </w:rPr>
        <w:t xml:space="preserve"> 1049/2001 8 artiklan nojalla, voidaan tehdä kantelu Euroopan oikeusasiamiehelle </w:t>
      </w:r>
      <w:proofErr w:type="spellStart"/>
      <w:r w:rsidRPr="00DF107B">
        <w:rPr>
          <w:szCs w:val="24"/>
          <w:lang w:eastAsia="en-US"/>
        </w:rPr>
        <w:t>SEUT</w:t>
      </w:r>
      <w:proofErr w:type="spellEnd"/>
      <w:r w:rsidRPr="00DF107B">
        <w:rPr>
          <w:szCs w:val="24"/>
          <w:lang w:eastAsia="en-US"/>
        </w:rPr>
        <w:t xml:space="preserve">-sopimuksen 228 artiklassa määrättyjen edellytysten mukaisesti tai nostaa kanne Euroopan unionin tuomioistuimessa </w:t>
      </w:r>
      <w:proofErr w:type="spellStart"/>
      <w:r w:rsidRPr="00DF107B">
        <w:rPr>
          <w:szCs w:val="24"/>
          <w:lang w:eastAsia="en-US"/>
        </w:rPr>
        <w:t>SEUT</w:t>
      </w:r>
      <w:proofErr w:type="spellEnd"/>
      <w:r w:rsidRPr="00DF107B">
        <w:rPr>
          <w:szCs w:val="24"/>
          <w:lang w:eastAsia="en-US"/>
        </w:rPr>
        <w:t>-sopimuksen 263 artiklassa määrättyjen edellytysten mukaisesti.</w:t>
      </w:r>
    </w:p>
    <w:p w14:paraId="54DF8B4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Viraston suorittamaan henkilötietojen käsittelyyn sovelletaan Euroopan parlamentin ja neuvoston asetusta (EU) 2018/1725</w:t>
      </w:r>
      <w:r w:rsidRPr="00DF107B">
        <w:rPr>
          <w:szCs w:val="24"/>
          <w:vertAlign w:val="superscript"/>
          <w:lang w:val="en-GB" w:eastAsia="en-US"/>
        </w:rPr>
        <w:footnoteReference w:id="38"/>
      </w:r>
      <w:r w:rsidRPr="00DF107B">
        <w:rPr>
          <w:szCs w:val="24"/>
          <w:lang w:eastAsia="en-US"/>
        </w:rPr>
        <w:t>.</w:t>
      </w:r>
    </w:p>
    <w:p w14:paraId="1EF041D3" w14:textId="77777777" w:rsidR="006E08CC" w:rsidRPr="00DF107B" w:rsidRDefault="006E08CC">
      <w:pPr>
        <w:widowControl/>
        <w:rPr>
          <w:szCs w:val="24"/>
          <w:lang w:eastAsia="en-US"/>
        </w:rPr>
      </w:pPr>
      <w:r w:rsidRPr="00DF107B">
        <w:rPr>
          <w:szCs w:val="24"/>
          <w:lang w:eastAsia="en-US"/>
        </w:rPr>
        <w:br w:type="page"/>
      </w:r>
    </w:p>
    <w:p w14:paraId="0219F341"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38 artikla</w:t>
      </w:r>
      <w:r w:rsidRPr="00DF107B">
        <w:rPr>
          <w:szCs w:val="24"/>
          <w:lang w:eastAsia="en-US"/>
        </w:rPr>
        <w:br/>
        <w:t>Petosten torjunta</w:t>
      </w:r>
    </w:p>
    <w:p w14:paraId="3895AF8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 xml:space="preserve">Helpottaakseen asetuksen (EU, Euratom) </w:t>
      </w:r>
      <w:proofErr w:type="gramStart"/>
      <w:r w:rsidRPr="00DF107B">
        <w:rPr>
          <w:szCs w:val="24"/>
          <w:lang w:eastAsia="en-US"/>
        </w:rPr>
        <w:t>N:o</w:t>
      </w:r>
      <w:proofErr w:type="gramEnd"/>
      <w:r w:rsidRPr="00DF107B">
        <w:rPr>
          <w:szCs w:val="24"/>
          <w:lang w:eastAsia="en-US"/>
        </w:rPr>
        <w:t xml:space="preserve"> 883/2013 soveltamisalaan kuuluvien petosten, lahjonnan</w:t>
      </w:r>
      <w:r w:rsidRPr="00DF107B">
        <w:rPr>
          <w:b/>
          <w:i/>
          <w:szCs w:val="24"/>
          <w:lang w:eastAsia="en-US"/>
        </w:rPr>
        <w:t>, virka-aseman väärinkäytön</w:t>
      </w:r>
      <w:r w:rsidRPr="00DF107B">
        <w:rPr>
          <w:szCs w:val="24"/>
          <w:lang w:eastAsia="en-US"/>
        </w:rPr>
        <w:t xml:space="preserve"> ja muiden laittomien toimien torjuntaa virasto antaa asianmukaiset määräykset, jotka koskevat kaikkia viraston työntekijöitä. </w:t>
      </w:r>
      <w:r w:rsidRPr="00DF107B">
        <w:rPr>
          <w:b/>
          <w:szCs w:val="24"/>
          <w:lang w:eastAsia="en-US"/>
        </w:rPr>
        <w:t>[Tark. 92]</w:t>
      </w:r>
    </w:p>
    <w:p w14:paraId="617C6AC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Tilintarkastustuomioistuimella on valtuudet tehdä kaikkien virastolta unionin rahoitusta saaneiden avustuksensaajien, toimeksisaajien ja alihankkijoiden osalta asiakirjoihin perustuvia ja paikalla suoritettavia tarkastuksia.</w:t>
      </w:r>
    </w:p>
    <w:p w14:paraId="7D19016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 xml:space="preserve">OLAF voi asetuksessa (EU, Euratom) </w:t>
      </w:r>
      <w:proofErr w:type="gramStart"/>
      <w:r w:rsidRPr="00DF107B">
        <w:rPr>
          <w:szCs w:val="24"/>
          <w:lang w:eastAsia="en-US"/>
        </w:rPr>
        <w:t>N:o</w:t>
      </w:r>
      <w:proofErr w:type="gramEnd"/>
      <w:r w:rsidRPr="00DF107B">
        <w:rPr>
          <w:szCs w:val="24"/>
          <w:lang w:eastAsia="en-US"/>
        </w:rPr>
        <w:t xml:space="preserve"> 883/2013 vahvistettujen säännösten ja menettelyjen mukaisesti tehdä tutkimuksia, mukaan luettuina paikan päällä suoritettavat tarkastukset ja todentamiset, selvittääkseen, onko viraston myöntämiin avustuksiin tai sen rahoittamiin sopimuksiin liittynyt unionin taloudellisia etuja vahingoittavia petoksia, lahjontaa</w:t>
      </w:r>
      <w:r w:rsidRPr="00DF107B">
        <w:rPr>
          <w:b/>
          <w:i/>
          <w:szCs w:val="24"/>
          <w:lang w:eastAsia="en-US"/>
        </w:rPr>
        <w:t>, virka-aseman väärinkäyttöä</w:t>
      </w:r>
      <w:r w:rsidRPr="00DF107B">
        <w:rPr>
          <w:szCs w:val="24"/>
          <w:lang w:eastAsia="en-US"/>
        </w:rPr>
        <w:t xml:space="preserve"> tai muuta laitonta toimintaa. </w:t>
      </w:r>
      <w:r w:rsidRPr="00DF107B">
        <w:rPr>
          <w:b/>
          <w:szCs w:val="24"/>
          <w:lang w:eastAsia="en-US"/>
        </w:rPr>
        <w:t>[Tark. 93]</w:t>
      </w:r>
    </w:p>
    <w:p w14:paraId="43578D3B" w14:textId="77777777" w:rsidR="006E08CC" w:rsidRPr="00DF107B" w:rsidRDefault="006E08CC">
      <w:pPr>
        <w:widowControl/>
        <w:rPr>
          <w:szCs w:val="24"/>
          <w:lang w:eastAsia="en-US"/>
        </w:rPr>
      </w:pPr>
      <w:r w:rsidRPr="00DF107B">
        <w:rPr>
          <w:szCs w:val="24"/>
          <w:lang w:eastAsia="en-US"/>
        </w:rPr>
        <w:br w:type="page"/>
      </w:r>
    </w:p>
    <w:p w14:paraId="10D1EEEC"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4.</w:t>
      </w:r>
      <w:r w:rsidRPr="00DF107B">
        <w:rPr>
          <w:szCs w:val="24"/>
          <w:lang w:eastAsia="en-US"/>
        </w:rPr>
        <w:tab/>
        <w:t xml:space="preserve">Viraston yhteistyösopimuksiin kolmansien maiden ja kansainvälisten järjestöjen kanssa sekä sen muihin sopimuksiin, avustussopimuksiin ja avustuspäätöksiin on sisällytettävä määräyksiä, joissa nimenomaisesti annetaan tilintarkastustuomioistuimelle, </w:t>
      </w:r>
      <w:proofErr w:type="spellStart"/>
      <w:r w:rsidRPr="00DF107B">
        <w:rPr>
          <w:szCs w:val="24"/>
          <w:lang w:eastAsia="en-US"/>
        </w:rPr>
        <w:t>OLAFille</w:t>
      </w:r>
      <w:proofErr w:type="spellEnd"/>
      <w:r w:rsidRPr="00DF107B">
        <w:rPr>
          <w:szCs w:val="24"/>
          <w:lang w:eastAsia="en-US"/>
        </w:rPr>
        <w:t xml:space="preserve"> ja </w:t>
      </w:r>
      <w:proofErr w:type="spellStart"/>
      <w:r w:rsidRPr="00DF107B">
        <w:rPr>
          <w:szCs w:val="24"/>
          <w:lang w:eastAsia="en-US"/>
        </w:rPr>
        <w:t>EPPOlle</w:t>
      </w:r>
      <w:proofErr w:type="spellEnd"/>
      <w:r w:rsidRPr="00DF107B">
        <w:rPr>
          <w:szCs w:val="24"/>
          <w:lang w:eastAsia="en-US"/>
        </w:rPr>
        <w:t xml:space="preserve"> valtuudet tehdä tällaisia tarkastuksia ja tutkimuksia toimivaltuuksiensa mukaisesti, sanotun kuitenkaan rajoittamatta 1, 2 ja 3 kohdan soveltamista.</w:t>
      </w:r>
    </w:p>
    <w:p w14:paraId="60C78915"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39 artikla</w:t>
      </w:r>
      <w:r w:rsidRPr="00DF107B">
        <w:rPr>
          <w:szCs w:val="24"/>
          <w:lang w:eastAsia="en-US"/>
        </w:rPr>
        <w:br/>
        <w:t xml:space="preserve"> Turvallisuusluokiteltujen ja arkaluonteisten turvallisuusluokittelemattomien tietojen suojaamista koskevat turvallisuussäännöt</w:t>
      </w:r>
    </w:p>
    <w:p w14:paraId="61E2D10E" w14:textId="77777777" w:rsidR="007E7AE7" w:rsidRPr="00DF107B" w:rsidRDefault="007E7AE7" w:rsidP="007E7AE7">
      <w:pPr>
        <w:widowControl/>
        <w:spacing w:before="120" w:after="120" w:line="360" w:lineRule="auto"/>
        <w:rPr>
          <w:szCs w:val="24"/>
          <w:lang w:eastAsia="en-US"/>
        </w:rPr>
      </w:pPr>
      <w:r w:rsidRPr="00DF107B">
        <w:rPr>
          <w:szCs w:val="24"/>
          <w:lang w:eastAsia="en-US"/>
        </w:rPr>
        <w:t>Virasto hyväksyy omat turvallisuussäännöt, jotka vastaavat komission päätöksissä (EU, Euratom) 2015/443</w:t>
      </w:r>
      <w:r w:rsidRPr="00DF107B">
        <w:rPr>
          <w:szCs w:val="24"/>
          <w:vertAlign w:val="superscript"/>
          <w:lang w:val="en-GB" w:eastAsia="en-US"/>
        </w:rPr>
        <w:footnoteReference w:id="39"/>
      </w:r>
      <w:r w:rsidRPr="00DF107B">
        <w:rPr>
          <w:szCs w:val="24"/>
          <w:lang w:eastAsia="en-US"/>
        </w:rPr>
        <w:t xml:space="preserve"> ja 2015/444</w:t>
      </w:r>
      <w:r w:rsidRPr="00DF107B">
        <w:rPr>
          <w:szCs w:val="24"/>
          <w:vertAlign w:val="superscript"/>
          <w:lang w:val="en-GB" w:eastAsia="en-US"/>
        </w:rPr>
        <w:footnoteReference w:id="40"/>
      </w:r>
      <w:r w:rsidRPr="00DF107B">
        <w:rPr>
          <w:szCs w:val="24"/>
          <w:lang w:eastAsia="en-US"/>
        </w:rPr>
        <w:t xml:space="preserve"> vahvistettuja EU:n turvallisuusluokiteltujen tietojen ja arkaluonteisten turvallisuusluokittelemattomien tietojen suojaamista koskevia komission turvallisuussääntöjä. Viraston turvallisuussääntöjen on sisällettävä tällaisten tietojen vaihtamista, käsittelyä ja tallentamista koskevat säännökset.</w:t>
      </w:r>
    </w:p>
    <w:p w14:paraId="557AEB8A" w14:textId="77777777" w:rsidR="006E08CC" w:rsidRPr="00DF107B" w:rsidRDefault="006E08CC">
      <w:pPr>
        <w:widowControl/>
        <w:rPr>
          <w:szCs w:val="24"/>
          <w:lang w:eastAsia="en-US"/>
        </w:rPr>
      </w:pPr>
      <w:r w:rsidRPr="00DF107B">
        <w:rPr>
          <w:szCs w:val="24"/>
          <w:lang w:eastAsia="en-US"/>
        </w:rPr>
        <w:br w:type="page"/>
      </w:r>
    </w:p>
    <w:p w14:paraId="67AAE4B9"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40 artikla</w:t>
      </w:r>
      <w:r w:rsidRPr="00DF107B">
        <w:rPr>
          <w:szCs w:val="24"/>
          <w:lang w:eastAsia="en-US"/>
        </w:rPr>
        <w:br/>
        <w:t>Vastuu</w:t>
      </w:r>
    </w:p>
    <w:p w14:paraId="22157403"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Viraston sopimusperusteinen vastuu määräytyy kyseessä olevaan sopimukseen sovellettavan lainsäädännön mukaan.</w:t>
      </w:r>
    </w:p>
    <w:p w14:paraId="2C1052A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Euroopan unionin tuomioistuimella on toimivalta ratkaista asia viraston tekemässä sopimuksessa mahdollisesti olevan välityslausekkeen nojalla.</w:t>
      </w:r>
    </w:p>
    <w:p w14:paraId="093FE062"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Jos kyseessä on sopimukseen perustumaton vastuu, virasto korvaa jäsenvaltioiden lainsäädäntöön sisältyvien yhteisten perusperiaatteiden mukaisesti vahingon, jonka viraston yksiköt tai henkilöstön jäsenet ovat tehtäviään suorittaessaan aiheuttaneet.</w:t>
      </w:r>
    </w:p>
    <w:p w14:paraId="728FD1E9"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4.</w:t>
      </w:r>
      <w:r w:rsidRPr="00DF107B">
        <w:rPr>
          <w:szCs w:val="24"/>
          <w:lang w:eastAsia="en-US"/>
        </w:rPr>
        <w:tab/>
        <w:t>Euroopan unionin tuomioistuimella on toimivalta ratkaista riidat, jotka koskevat 3 kohdassa tarkoitettujen vahinkojen korvaamista.</w:t>
      </w:r>
    </w:p>
    <w:p w14:paraId="1274CE5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5.</w:t>
      </w:r>
      <w:r w:rsidRPr="00DF107B">
        <w:rPr>
          <w:szCs w:val="24"/>
          <w:lang w:eastAsia="en-US"/>
        </w:rPr>
        <w:tab/>
        <w:t>Viraston henkilöstöön kuuluvien henkilökohtaisesta vastuusta virastoa kohtaan määrätään heihin sovellettavissa henkilöstösäännöissä tai palvelussuhteen ehdoissa.</w:t>
      </w:r>
    </w:p>
    <w:p w14:paraId="261C61EE" w14:textId="77777777" w:rsidR="006E08CC" w:rsidRPr="00DF107B" w:rsidRDefault="006E08CC">
      <w:pPr>
        <w:widowControl/>
        <w:rPr>
          <w:szCs w:val="24"/>
          <w:lang w:eastAsia="en-US"/>
        </w:rPr>
      </w:pPr>
      <w:r w:rsidRPr="00DF107B">
        <w:rPr>
          <w:szCs w:val="24"/>
          <w:lang w:eastAsia="en-US"/>
        </w:rPr>
        <w:br w:type="page"/>
      </w:r>
    </w:p>
    <w:p w14:paraId="29E5B324"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41 artikla</w:t>
      </w:r>
      <w:r w:rsidRPr="00DF107B">
        <w:rPr>
          <w:szCs w:val="24"/>
          <w:lang w:eastAsia="en-US"/>
        </w:rPr>
        <w:br/>
        <w:t>Arviointi ja uudelleentarkastelu</w:t>
      </w:r>
    </w:p>
    <w:p w14:paraId="6C163116"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Komissio suorittaa viimeistään viiden vuoden kuluttua ... päivästä ...kuuta ... [voimaantulopäivä] sekä sen jälkeen viiden vuoden välein arvioinnin, jossa tarkastellaan erityisesti viraston ja sen toimintatapojen vaikuttavuutta, tehokkuutta ja tuloksellisuutta</w:t>
      </w:r>
      <w:r w:rsidRPr="00DF107B">
        <w:rPr>
          <w:b/>
          <w:i/>
          <w:szCs w:val="24"/>
          <w:lang w:eastAsia="en-US"/>
        </w:rPr>
        <w:t xml:space="preserve"> sekä kustannustehokkuusanalyysiä</w:t>
      </w:r>
      <w:r w:rsidRPr="00DF107B">
        <w:rPr>
          <w:szCs w:val="24"/>
          <w:lang w:eastAsia="en-US"/>
        </w:rPr>
        <w:t xml:space="preserve">. Arvioinnissa on tarkasteltava erityisesti tarvetta muuttaa viraston toimeksiantoa ja tällaisten muutosten taloudellisia vaikutuksia. </w:t>
      </w:r>
      <w:r w:rsidRPr="00DF107B">
        <w:rPr>
          <w:b/>
          <w:szCs w:val="24"/>
          <w:lang w:eastAsia="en-US"/>
        </w:rPr>
        <w:t>[Tark. 94]</w:t>
      </w:r>
    </w:p>
    <w:p w14:paraId="2A65FDFF"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2.</w:t>
      </w:r>
      <w:r w:rsidRPr="00DF107B">
        <w:rPr>
          <w:szCs w:val="24"/>
          <w:lang w:eastAsia="en-US"/>
        </w:rPr>
        <w:tab/>
        <w:t>Komissio välittää arviointikertomuksen ja sitä koskevat päätelmänsä Euroopan parlamentille, neuvostolle ja hallintoneuvostolle. Arvioinnin tulokset julkistetaan.</w:t>
      </w:r>
    </w:p>
    <w:p w14:paraId="25CDF3C8"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Joka toisen arvioinnin yhteydessä arvioidaan myös viraston saavuttamat tulokset silmällä pitäen sen tavoitteita, toimeksiantoa ja tehtäviä. Jos komissio katsoo, ettei viraston toiminnan jatkaminen ole enää perusteltua sille asetettuihin tavoitteisiin, toimeksiantoon ja tehtäviin nähden, se voi ehdottaa, että tätä asetusta muutetaan vastaavasti tai että se kumotaan.</w:t>
      </w:r>
    </w:p>
    <w:p w14:paraId="690E18D2" w14:textId="77777777" w:rsidR="006E08CC" w:rsidRPr="00DF107B" w:rsidRDefault="006E08CC">
      <w:pPr>
        <w:widowControl/>
        <w:rPr>
          <w:szCs w:val="24"/>
          <w:lang w:eastAsia="en-US"/>
        </w:rPr>
      </w:pPr>
      <w:r w:rsidRPr="00DF107B">
        <w:rPr>
          <w:szCs w:val="24"/>
          <w:lang w:eastAsia="en-US"/>
        </w:rPr>
        <w:br w:type="page"/>
      </w:r>
    </w:p>
    <w:p w14:paraId="5CDB0FF9"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42 artikla</w:t>
      </w:r>
      <w:r w:rsidRPr="00DF107B">
        <w:rPr>
          <w:szCs w:val="24"/>
          <w:lang w:eastAsia="en-US"/>
        </w:rPr>
        <w:br/>
        <w:t>Euroopan oikeusasiamiehen hallinnolliset tutkimukset</w:t>
      </w:r>
    </w:p>
    <w:p w14:paraId="5B009B92" w14:textId="77777777" w:rsidR="007E7AE7" w:rsidRPr="00DF107B" w:rsidRDefault="007E7AE7" w:rsidP="007E7AE7">
      <w:pPr>
        <w:widowControl/>
        <w:spacing w:before="120" w:after="120" w:line="360" w:lineRule="auto"/>
        <w:rPr>
          <w:szCs w:val="24"/>
          <w:lang w:eastAsia="en-US"/>
        </w:rPr>
      </w:pPr>
      <w:r w:rsidRPr="00DF107B">
        <w:rPr>
          <w:szCs w:val="24"/>
          <w:lang w:eastAsia="en-US"/>
        </w:rPr>
        <w:t>Viraston toiminta kuuluu oikeusasiamiehen valvonnan alaisuuteen Euroopan unionin toiminnasta tehdyn sopimuksen 228 artiklan määräysten mukaisesti.</w:t>
      </w:r>
    </w:p>
    <w:p w14:paraId="415D2142"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43 artikla</w:t>
      </w:r>
      <w:r w:rsidRPr="00DF107B">
        <w:rPr>
          <w:szCs w:val="24"/>
          <w:lang w:eastAsia="en-US"/>
        </w:rPr>
        <w:br/>
        <w:t>Siirtymäsäännökset</w:t>
      </w:r>
    </w:p>
    <w:p w14:paraId="2CD1A610"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1.</w:t>
      </w:r>
      <w:r w:rsidRPr="00DF107B">
        <w:rPr>
          <w:szCs w:val="24"/>
          <w:lang w:eastAsia="en-US"/>
        </w:rPr>
        <w:tab/>
        <w:t xml:space="preserve">Poiketen siitä, mitä tämän asetuksen 15 artiklassa säädetään, asetuksen (EY) </w:t>
      </w:r>
      <w:proofErr w:type="gramStart"/>
      <w:r w:rsidRPr="00DF107B">
        <w:rPr>
          <w:szCs w:val="24"/>
          <w:lang w:eastAsia="en-US"/>
        </w:rPr>
        <w:t>N:o</w:t>
      </w:r>
      <w:proofErr w:type="gramEnd"/>
      <w:r w:rsidRPr="00DF107B">
        <w:rPr>
          <w:szCs w:val="24"/>
          <w:lang w:eastAsia="en-US"/>
        </w:rPr>
        <w:t xml:space="preserve"> 1406/2002 mukaisesti ennen ... päivää ...kuuta ... [voimaantulopäivä] nimitetyt hallintoneuvoston jäsenet pysyvät tehtävässään hallintoneuvoston jäseninä, kunnes heidän toimikautensa päättyy, sanotun kuitenkaan rajoittamatta kunkin jäsenvaltion oikeutta nimetä uusi edustaja.</w:t>
      </w:r>
    </w:p>
    <w:p w14:paraId="01DC796D" w14:textId="77777777" w:rsidR="006E08CC" w:rsidRPr="00DF107B" w:rsidRDefault="006E08CC">
      <w:pPr>
        <w:widowControl/>
        <w:rPr>
          <w:szCs w:val="24"/>
          <w:lang w:eastAsia="en-US"/>
        </w:rPr>
      </w:pPr>
      <w:r w:rsidRPr="00DF107B">
        <w:rPr>
          <w:szCs w:val="24"/>
          <w:lang w:eastAsia="en-US"/>
        </w:rPr>
        <w:br w:type="page"/>
      </w:r>
    </w:p>
    <w:p w14:paraId="022AF443"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lastRenderedPageBreak/>
        <w:t>2.</w:t>
      </w:r>
      <w:r w:rsidRPr="00DF107B">
        <w:rPr>
          <w:szCs w:val="24"/>
          <w:lang w:eastAsia="en-US"/>
        </w:rPr>
        <w:tab/>
        <w:t xml:space="preserve">Asetuksen (EU) </w:t>
      </w:r>
      <w:proofErr w:type="gramStart"/>
      <w:r w:rsidRPr="00DF107B">
        <w:rPr>
          <w:szCs w:val="24"/>
          <w:lang w:eastAsia="en-US"/>
        </w:rPr>
        <w:t>N:o</w:t>
      </w:r>
      <w:proofErr w:type="gramEnd"/>
      <w:r w:rsidRPr="00DF107B">
        <w:rPr>
          <w:szCs w:val="24"/>
          <w:lang w:eastAsia="en-US"/>
        </w:rPr>
        <w:t xml:space="preserve"> 1406/2002 16 artiklan nojalla nimitetty viraston pääjohtaja pysyy pääjohtajan virassa, ja hänelle kuuluvat tämän asetuksen 23 artiklassa säädetyt tehtävät ja vastuut. Jos asetuksen (EU) </w:t>
      </w:r>
      <w:proofErr w:type="gramStart"/>
      <w:r w:rsidRPr="00DF107B">
        <w:rPr>
          <w:szCs w:val="24"/>
          <w:lang w:eastAsia="en-US"/>
        </w:rPr>
        <w:t>N:o</w:t>
      </w:r>
      <w:proofErr w:type="gramEnd"/>
      <w:r w:rsidRPr="00DF107B">
        <w:rPr>
          <w:szCs w:val="24"/>
          <w:lang w:eastAsia="en-US"/>
        </w:rPr>
        <w:t xml:space="preserve"> 1406/2002 16 artiklan 2 kohdan mukainen päätös pääjohtajan toimikauden jatkamisesta hyväksytään ennen tämän asetuksen voimaantuloa, jatketun toimikauden kesto on viisi vuotta. Muut sopimusehdot säilyvät muuttumattomina.</w:t>
      </w:r>
    </w:p>
    <w:p w14:paraId="44E96185" w14:textId="77777777" w:rsidR="007E7AE7" w:rsidRPr="00DF107B" w:rsidRDefault="007E7AE7" w:rsidP="007E7AE7">
      <w:pPr>
        <w:widowControl/>
        <w:spacing w:before="120" w:after="120" w:line="360" w:lineRule="auto"/>
        <w:ind w:left="850" w:hanging="850"/>
        <w:rPr>
          <w:szCs w:val="24"/>
          <w:lang w:eastAsia="en-US"/>
        </w:rPr>
      </w:pPr>
      <w:r w:rsidRPr="00DF107B">
        <w:rPr>
          <w:szCs w:val="24"/>
          <w:lang w:eastAsia="en-US"/>
        </w:rPr>
        <w:t>3.</w:t>
      </w:r>
      <w:r w:rsidRPr="00DF107B">
        <w:rPr>
          <w:szCs w:val="24"/>
          <w:lang w:eastAsia="en-US"/>
        </w:rPr>
        <w:tab/>
        <w:t>Tämän asetuksen voimaantulo ei vaikuta ... päivänä ...kuuta ... [voimaantulopäivä] voimassa oleviin työsopimuksiin.</w:t>
      </w:r>
    </w:p>
    <w:p w14:paraId="484EF81D"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t>44 artikla</w:t>
      </w:r>
      <w:r w:rsidRPr="00DF107B">
        <w:rPr>
          <w:szCs w:val="24"/>
          <w:lang w:eastAsia="en-US"/>
        </w:rPr>
        <w:br/>
        <w:t>Kumoaminen</w:t>
      </w:r>
    </w:p>
    <w:p w14:paraId="189149B4" w14:textId="77777777" w:rsidR="007E7AE7" w:rsidRPr="00DF107B" w:rsidRDefault="007E7AE7" w:rsidP="007E7AE7">
      <w:pPr>
        <w:widowControl/>
        <w:spacing w:before="120" w:after="120" w:line="360" w:lineRule="auto"/>
        <w:rPr>
          <w:szCs w:val="24"/>
          <w:lang w:eastAsia="en-US"/>
        </w:rPr>
      </w:pPr>
      <w:r w:rsidRPr="00DF107B">
        <w:rPr>
          <w:szCs w:val="24"/>
          <w:lang w:eastAsia="en-US"/>
        </w:rPr>
        <w:t xml:space="preserve">Kumotaan asetus (EY) </w:t>
      </w:r>
      <w:proofErr w:type="gramStart"/>
      <w:r w:rsidRPr="00DF107B">
        <w:rPr>
          <w:szCs w:val="24"/>
          <w:lang w:eastAsia="en-US"/>
        </w:rPr>
        <w:t>N:o</w:t>
      </w:r>
      <w:proofErr w:type="gramEnd"/>
      <w:r w:rsidRPr="00DF107B">
        <w:rPr>
          <w:szCs w:val="24"/>
          <w:lang w:eastAsia="en-US"/>
        </w:rPr>
        <w:t xml:space="preserve"> 1406/2002.</w:t>
      </w:r>
    </w:p>
    <w:p w14:paraId="18C537B7" w14:textId="77777777" w:rsidR="006E08CC" w:rsidRPr="00DF107B" w:rsidRDefault="006E08CC">
      <w:pPr>
        <w:widowControl/>
        <w:rPr>
          <w:szCs w:val="24"/>
          <w:lang w:eastAsia="en-US"/>
        </w:rPr>
      </w:pPr>
      <w:r w:rsidRPr="00DF107B">
        <w:rPr>
          <w:szCs w:val="24"/>
          <w:lang w:eastAsia="en-US"/>
        </w:rPr>
        <w:br w:type="page"/>
      </w:r>
    </w:p>
    <w:p w14:paraId="60F7193B" w14:textId="77777777" w:rsidR="007E7AE7" w:rsidRPr="00DF107B" w:rsidRDefault="007E7AE7" w:rsidP="007E7AE7">
      <w:pPr>
        <w:widowControl/>
        <w:spacing w:before="120" w:after="120" w:line="360" w:lineRule="auto"/>
        <w:jc w:val="center"/>
        <w:rPr>
          <w:szCs w:val="24"/>
          <w:lang w:eastAsia="en-US"/>
        </w:rPr>
      </w:pPr>
      <w:r w:rsidRPr="00DF107B">
        <w:rPr>
          <w:szCs w:val="24"/>
          <w:lang w:eastAsia="en-US"/>
        </w:rPr>
        <w:lastRenderedPageBreak/>
        <w:t>45 artikla</w:t>
      </w:r>
      <w:r w:rsidRPr="00DF107B">
        <w:rPr>
          <w:szCs w:val="24"/>
          <w:lang w:eastAsia="en-US"/>
        </w:rPr>
        <w:br/>
        <w:t>Voimaantulo</w:t>
      </w:r>
    </w:p>
    <w:p w14:paraId="028FDDA8" w14:textId="77777777" w:rsidR="007E7AE7" w:rsidRPr="00DF107B" w:rsidRDefault="007E7AE7" w:rsidP="007E7AE7">
      <w:pPr>
        <w:widowControl/>
        <w:spacing w:before="120" w:after="120" w:line="360" w:lineRule="auto"/>
        <w:rPr>
          <w:szCs w:val="24"/>
          <w:lang w:eastAsia="en-US"/>
        </w:rPr>
      </w:pPr>
      <w:r w:rsidRPr="00DF107B">
        <w:rPr>
          <w:szCs w:val="24"/>
          <w:lang w:eastAsia="en-US"/>
        </w:rPr>
        <w:t xml:space="preserve">Tämä asetus tulee voimaan kahdentenakymmenentenä päivänä sen jälkeen, kun se on julkaistu </w:t>
      </w:r>
      <w:r w:rsidRPr="00DF107B">
        <w:rPr>
          <w:i/>
          <w:szCs w:val="24"/>
          <w:lang w:eastAsia="en-US"/>
        </w:rPr>
        <w:t>Euroopan unionin virallisessa lehdessä</w:t>
      </w:r>
      <w:r w:rsidRPr="00DF107B">
        <w:rPr>
          <w:szCs w:val="24"/>
          <w:lang w:eastAsia="en-US"/>
        </w:rPr>
        <w:t>.</w:t>
      </w:r>
    </w:p>
    <w:p w14:paraId="643714C0" w14:textId="77777777" w:rsidR="007E7AE7" w:rsidRPr="00DF107B" w:rsidRDefault="007E7AE7" w:rsidP="007E7AE7">
      <w:pPr>
        <w:widowControl/>
        <w:spacing w:before="120" w:after="120" w:line="360" w:lineRule="auto"/>
        <w:rPr>
          <w:szCs w:val="24"/>
          <w:lang w:eastAsia="en-US"/>
        </w:rPr>
      </w:pPr>
      <w:r w:rsidRPr="00DF107B">
        <w:rPr>
          <w:szCs w:val="24"/>
          <w:lang w:eastAsia="en-US"/>
        </w:rPr>
        <w:t>Tämä asetus on kaikilta osiltaan velvoittava, ja sitä sovelletaan sellaisenaan kaikissa jäsenvaltioissa.</w:t>
      </w:r>
    </w:p>
    <w:p w14:paraId="3023F5BA" w14:textId="7E3ABB59" w:rsidR="007E7AE7" w:rsidRPr="00DF107B" w:rsidRDefault="007E7AE7" w:rsidP="007E7AE7">
      <w:pPr>
        <w:keepNext/>
        <w:widowControl/>
        <w:spacing w:before="120" w:line="360" w:lineRule="auto"/>
        <w:rPr>
          <w:szCs w:val="24"/>
          <w:lang w:eastAsia="en-US"/>
        </w:rPr>
      </w:pPr>
      <w:r w:rsidRPr="00DF107B">
        <w:rPr>
          <w:szCs w:val="24"/>
          <w:lang w:eastAsia="en-US"/>
        </w:rPr>
        <w:t xml:space="preserve">Tehty </w:t>
      </w:r>
      <w:r w:rsidR="00B358CC">
        <w:rPr>
          <w:szCs w:val="24"/>
          <w:lang w:eastAsia="en-US"/>
        </w:rPr>
        <w:t>…</w:t>
      </w:r>
    </w:p>
    <w:p w14:paraId="6E96A13B" w14:textId="77777777" w:rsidR="007E7AE7" w:rsidRPr="00DF107B" w:rsidRDefault="007E7AE7" w:rsidP="006E08CC">
      <w:pPr>
        <w:keepNext/>
        <w:widowControl/>
        <w:tabs>
          <w:tab w:val="left" w:pos="4252"/>
        </w:tabs>
        <w:spacing w:before="720" w:line="360" w:lineRule="auto"/>
        <w:jc w:val="both"/>
        <w:rPr>
          <w:i/>
          <w:szCs w:val="24"/>
          <w:lang w:eastAsia="en-US"/>
        </w:rPr>
      </w:pPr>
      <w:r w:rsidRPr="00DF107B">
        <w:rPr>
          <w:i/>
          <w:szCs w:val="24"/>
          <w:lang w:eastAsia="en-US"/>
        </w:rPr>
        <w:t>Euroopan parlamentin puolesta</w:t>
      </w:r>
      <w:r w:rsidRPr="00DF107B">
        <w:rPr>
          <w:i/>
          <w:szCs w:val="24"/>
          <w:lang w:eastAsia="en-US"/>
        </w:rPr>
        <w:tab/>
        <w:t>Neuvoston puolesta</w:t>
      </w:r>
    </w:p>
    <w:p w14:paraId="23B44B46" w14:textId="77777777" w:rsidR="007E7AE7" w:rsidRPr="007E7AE7" w:rsidRDefault="007E7AE7" w:rsidP="007E7AE7">
      <w:pPr>
        <w:widowControl/>
        <w:tabs>
          <w:tab w:val="left" w:pos="4252"/>
        </w:tabs>
        <w:spacing w:line="360" w:lineRule="auto"/>
        <w:rPr>
          <w:i/>
          <w:szCs w:val="24"/>
          <w:lang w:val="en-GB" w:eastAsia="en-US"/>
        </w:rPr>
      </w:pPr>
      <w:proofErr w:type="spellStart"/>
      <w:r w:rsidRPr="00DF107B">
        <w:rPr>
          <w:i/>
          <w:szCs w:val="24"/>
          <w:lang w:val="en-GB" w:eastAsia="en-US"/>
        </w:rPr>
        <w:t>Puhemies</w:t>
      </w:r>
      <w:proofErr w:type="spellEnd"/>
      <w:r w:rsidRPr="00DF107B">
        <w:rPr>
          <w:i/>
          <w:szCs w:val="24"/>
          <w:lang w:val="en-GB" w:eastAsia="en-US"/>
        </w:rPr>
        <w:tab/>
      </w:r>
      <w:proofErr w:type="spellStart"/>
      <w:r w:rsidRPr="00DF107B">
        <w:rPr>
          <w:i/>
          <w:szCs w:val="24"/>
          <w:lang w:val="en-GB" w:eastAsia="en-US"/>
        </w:rPr>
        <w:t>Puheenjohtaja</w:t>
      </w:r>
      <w:proofErr w:type="spellEnd"/>
    </w:p>
    <w:p w14:paraId="56B87334" w14:textId="77777777" w:rsidR="00970B4A" w:rsidRPr="004D0939" w:rsidRDefault="00970B4A" w:rsidP="00EB4AF9">
      <w:pPr>
        <w:widowControl/>
      </w:pPr>
    </w:p>
    <w:sectPr w:rsidR="00970B4A" w:rsidRPr="004D0939" w:rsidSect="004D09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AE3B8F" w14:textId="77777777" w:rsidR="007E7AE7" w:rsidRPr="004D0939" w:rsidRDefault="007E7AE7">
      <w:r w:rsidRPr="004D0939">
        <w:separator/>
      </w:r>
    </w:p>
  </w:endnote>
  <w:endnote w:type="continuationSeparator" w:id="0">
    <w:p w14:paraId="1F815530" w14:textId="77777777" w:rsidR="007E7AE7" w:rsidRPr="004D0939" w:rsidRDefault="007E7AE7">
      <w:r w:rsidRPr="004D09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92349" w14:textId="77777777" w:rsidR="007E7AE7" w:rsidRPr="004D0939" w:rsidRDefault="007E7AE7">
      <w:r w:rsidRPr="004D0939">
        <w:separator/>
      </w:r>
    </w:p>
  </w:footnote>
  <w:footnote w:type="continuationSeparator" w:id="0">
    <w:p w14:paraId="5395FDD7" w14:textId="77777777" w:rsidR="007E7AE7" w:rsidRPr="004D0939" w:rsidRDefault="007E7AE7">
      <w:r w:rsidRPr="004D0939">
        <w:continuationSeparator/>
      </w:r>
    </w:p>
  </w:footnote>
  <w:footnote w:id="1">
    <w:p w14:paraId="65B96222" w14:textId="77777777" w:rsidR="007E7AE7" w:rsidRPr="004D0939" w:rsidRDefault="007E7AE7" w:rsidP="004D0939">
      <w:pPr>
        <w:pStyle w:val="FootnoteText"/>
        <w:ind w:left="567" w:hanging="567"/>
        <w:rPr>
          <w:sz w:val="24"/>
          <w:lang w:val="fi-FI"/>
        </w:rPr>
      </w:pPr>
      <w:r w:rsidRPr="004D0939">
        <w:rPr>
          <w:rStyle w:val="FootnoteReference"/>
          <w:sz w:val="24"/>
          <w:lang w:val="fi-FI"/>
        </w:rPr>
        <w:footnoteRef/>
      </w:r>
      <w:r w:rsidRPr="004D0939">
        <w:rPr>
          <w:sz w:val="24"/>
          <w:lang w:val="fi-FI"/>
        </w:rPr>
        <w:t xml:space="preserve"> </w:t>
      </w:r>
      <w:r w:rsidRPr="004D0939">
        <w:rPr>
          <w:sz w:val="24"/>
          <w:lang w:val="fi-FI"/>
        </w:rPr>
        <w:tab/>
      </w:r>
      <w:proofErr w:type="spellStart"/>
      <w:r>
        <w:rPr>
          <w:sz w:val="24"/>
          <w:lang w:val="fi-FI"/>
        </w:rPr>
        <w:t>EUVL</w:t>
      </w:r>
      <w:proofErr w:type="spellEnd"/>
      <w:r w:rsidRPr="00F83F61">
        <w:rPr>
          <w:sz w:val="24"/>
          <w:lang w:val="fi-FI"/>
        </w:rPr>
        <w:t xml:space="preserve"> C, C/2023/873, 8.12.2023, ELI: </w:t>
      </w:r>
      <w:hyperlink r:id="rId1" w:history="1">
        <w:r w:rsidRPr="00624D18">
          <w:rPr>
            <w:rStyle w:val="Hyperlink"/>
            <w:sz w:val="24"/>
            <w:lang w:val="fi-FI"/>
          </w:rPr>
          <w:t>http://data.europa.eu/eli/C/2023/873/oj</w:t>
        </w:r>
      </w:hyperlink>
      <w:r w:rsidRPr="004D0939">
        <w:rPr>
          <w:sz w:val="24"/>
          <w:lang w:val="fi-FI"/>
        </w:rPr>
        <w:t>.</w:t>
      </w:r>
    </w:p>
  </w:footnote>
  <w:footnote w:id="2">
    <w:p w14:paraId="13F69350" w14:textId="77777777" w:rsidR="007E7AE7" w:rsidRPr="00085092" w:rsidRDefault="007E7AE7" w:rsidP="007E7AE7">
      <w:pPr>
        <w:pStyle w:val="FootnoteTextForceStyle"/>
        <w:rPr>
          <w:lang w:val="fi-FI"/>
        </w:rPr>
      </w:pPr>
      <w:r>
        <w:rPr>
          <w:vertAlign w:val="superscript"/>
        </w:rPr>
        <w:footnoteRef/>
      </w:r>
      <w:r w:rsidRPr="00085092">
        <w:rPr>
          <w:lang w:val="fi-FI"/>
        </w:rPr>
        <w:tab/>
      </w:r>
      <w:proofErr w:type="spellStart"/>
      <w:r w:rsidRPr="00085092">
        <w:rPr>
          <w:lang w:val="fi-FI"/>
        </w:rPr>
        <w:t>EUVL</w:t>
      </w:r>
      <w:proofErr w:type="spellEnd"/>
      <w:r w:rsidRPr="00085092">
        <w:rPr>
          <w:lang w:val="fi-FI"/>
        </w:rPr>
        <w:t xml:space="preserve"> </w:t>
      </w:r>
      <w:proofErr w:type="gramStart"/>
      <w:r w:rsidRPr="00085092">
        <w:rPr>
          <w:lang w:val="fi-FI"/>
        </w:rPr>
        <w:t>C ,</w:t>
      </w:r>
      <w:proofErr w:type="gramEnd"/>
      <w:r w:rsidRPr="00085092">
        <w:rPr>
          <w:lang w:val="fi-FI"/>
        </w:rPr>
        <w:t xml:space="preserve"> , s. .</w:t>
      </w:r>
    </w:p>
  </w:footnote>
  <w:footnote w:id="3">
    <w:p w14:paraId="757E192F" w14:textId="77777777" w:rsidR="007E7AE7" w:rsidRPr="00085092" w:rsidRDefault="007E7AE7" w:rsidP="007E7AE7">
      <w:pPr>
        <w:pStyle w:val="FootnoteTextForceStyle"/>
        <w:rPr>
          <w:lang w:val="fi-FI"/>
        </w:rPr>
      </w:pPr>
      <w:r>
        <w:rPr>
          <w:vertAlign w:val="superscript"/>
        </w:rPr>
        <w:footnoteRef/>
      </w:r>
      <w:r w:rsidRPr="00085092">
        <w:rPr>
          <w:lang w:val="fi-FI"/>
        </w:rPr>
        <w:tab/>
      </w:r>
      <w:proofErr w:type="spellStart"/>
      <w:r w:rsidRPr="00085092">
        <w:rPr>
          <w:lang w:val="fi-FI"/>
        </w:rPr>
        <w:t>EUVL</w:t>
      </w:r>
      <w:proofErr w:type="spellEnd"/>
      <w:r w:rsidRPr="00085092">
        <w:rPr>
          <w:lang w:val="fi-FI"/>
        </w:rPr>
        <w:t xml:space="preserve"> </w:t>
      </w:r>
      <w:proofErr w:type="gramStart"/>
      <w:r w:rsidRPr="00085092">
        <w:rPr>
          <w:lang w:val="fi-FI"/>
        </w:rPr>
        <w:t>C ,</w:t>
      </w:r>
      <w:proofErr w:type="gramEnd"/>
      <w:r w:rsidRPr="00085092">
        <w:rPr>
          <w:lang w:val="fi-FI"/>
        </w:rPr>
        <w:t xml:space="preserve"> , s. .</w:t>
      </w:r>
    </w:p>
  </w:footnote>
  <w:footnote w:id="4">
    <w:p w14:paraId="019917F7"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Euroopan parlamentin ja neuvoston asetus (EY) </w:t>
      </w:r>
      <w:proofErr w:type="gramStart"/>
      <w:r w:rsidRPr="00085092">
        <w:rPr>
          <w:lang w:val="fi-FI"/>
        </w:rPr>
        <w:t>N:o</w:t>
      </w:r>
      <w:proofErr w:type="gramEnd"/>
      <w:r w:rsidRPr="00085092">
        <w:rPr>
          <w:lang w:val="fi-FI"/>
        </w:rPr>
        <w:t xml:space="preserve"> 1406/2002, annettu 27 päivänä kesäkuuta 2002, Euroopan meriturvallisuusviraston perustamisesta (</w:t>
      </w:r>
      <w:proofErr w:type="spellStart"/>
      <w:r w:rsidRPr="00085092">
        <w:rPr>
          <w:lang w:val="fi-FI"/>
        </w:rPr>
        <w:t>EYVL</w:t>
      </w:r>
      <w:proofErr w:type="spellEnd"/>
      <w:r w:rsidRPr="00085092">
        <w:rPr>
          <w:lang w:val="fi-FI"/>
        </w:rPr>
        <w:t xml:space="preserve"> L 208, 5.8.2002, s. 1).</w:t>
      </w:r>
    </w:p>
  </w:footnote>
  <w:footnote w:id="5">
    <w:p w14:paraId="693903D1"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2005/35/EY, annettu 7 päivänä syyskuuta 2005, alusten aiheuttamasta ympäristön pilaantumisesta ja säännösten rikkomisista määrättävistä seuraamuksista, myös rikosoikeudellisista seuraamuksista (</w:t>
      </w:r>
      <w:proofErr w:type="spellStart"/>
      <w:r w:rsidRPr="00085092">
        <w:rPr>
          <w:lang w:val="fi-FI"/>
        </w:rPr>
        <w:t>EUVL</w:t>
      </w:r>
      <w:proofErr w:type="spellEnd"/>
      <w:r w:rsidRPr="00085092">
        <w:rPr>
          <w:lang w:val="fi-FI"/>
        </w:rPr>
        <w:t xml:space="preserve"> L 255, 30.9.2005, s. 11).</w:t>
      </w:r>
    </w:p>
  </w:footnote>
  <w:footnote w:id="6">
    <w:p w14:paraId="4B5465C2"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2009/16/EY, annettu 23 päivänä huhtikuuta 2009, satamavaltioiden suorittamasta valvonnasta (</w:t>
      </w:r>
      <w:proofErr w:type="spellStart"/>
      <w:r w:rsidRPr="00085092">
        <w:rPr>
          <w:lang w:val="fi-FI"/>
        </w:rPr>
        <w:t>EUVL</w:t>
      </w:r>
      <w:proofErr w:type="spellEnd"/>
      <w:r w:rsidRPr="00085092">
        <w:rPr>
          <w:lang w:val="fi-FI"/>
        </w:rPr>
        <w:t xml:space="preserve"> L 131, 28.5.2009, s. 57).</w:t>
      </w:r>
    </w:p>
  </w:footnote>
  <w:footnote w:id="7">
    <w:p w14:paraId="7FD099F1"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2009/18/EY, annettu 23 päivänä huhtikuuta 2009, meriliikennealan onnettomuuksien tutkinnan perusperiaatteista ja neuvoston direktiivin 1999/35/EY ja Euroopan parlamentin ja neuvoston direktiivin 2002/59/EY muuttamisesta (</w:t>
      </w:r>
      <w:proofErr w:type="spellStart"/>
      <w:r w:rsidRPr="00085092">
        <w:rPr>
          <w:lang w:val="fi-FI"/>
        </w:rPr>
        <w:t>EUVL</w:t>
      </w:r>
      <w:proofErr w:type="spellEnd"/>
      <w:r w:rsidRPr="00085092">
        <w:rPr>
          <w:lang w:val="fi-FI"/>
        </w:rPr>
        <w:t xml:space="preserve"> L 131, 28.5.2009, s. 114).</w:t>
      </w:r>
    </w:p>
  </w:footnote>
  <w:footnote w:id="8">
    <w:p w14:paraId="00AEA3EC"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2009/21/EY, annettu 23 päivänä huhtikuuta 2009, lippuvaltiota koskevien vaatimusten noudattamisesta (</w:t>
      </w:r>
      <w:proofErr w:type="spellStart"/>
      <w:r w:rsidRPr="00085092">
        <w:rPr>
          <w:lang w:val="fi-FI"/>
        </w:rPr>
        <w:t>EUVL</w:t>
      </w:r>
      <w:proofErr w:type="spellEnd"/>
      <w:r w:rsidRPr="00085092">
        <w:rPr>
          <w:lang w:val="fi-FI"/>
        </w:rPr>
        <w:t xml:space="preserve"> L 131, 28.5.2009, s. 132).</w:t>
      </w:r>
    </w:p>
  </w:footnote>
  <w:footnote w:id="9">
    <w:p w14:paraId="46D34177" w14:textId="77777777" w:rsidR="007E7AE7" w:rsidRPr="00085092" w:rsidRDefault="007E7AE7" w:rsidP="007E7AE7">
      <w:pPr>
        <w:pStyle w:val="FootnoteTextForceStyle"/>
        <w:rPr>
          <w:lang w:val="fi-FI"/>
        </w:rPr>
      </w:pPr>
      <w:r>
        <w:rPr>
          <w:vertAlign w:val="superscript"/>
        </w:rPr>
        <w:footnoteRef/>
      </w:r>
      <w:r w:rsidRPr="00085092">
        <w:rPr>
          <w:lang w:val="fi-FI"/>
        </w:rPr>
        <w:tab/>
        <w:t>https://european-union.europa.eu/system/files/2022-06/joint_statement_on_decentralised_agencies_en.pdf</w:t>
      </w:r>
    </w:p>
  </w:footnote>
  <w:footnote w:id="10">
    <w:p w14:paraId="31835CEE"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Komission delegoitu asetus (EU) 2019/715, annettu 18 päivänä joulukuuta 2018, Euroopan parlamentin ja neuvoston asetuksen (EU, Euratom) 2018/1046 70 artiklassa tarkoitettuja, </w:t>
      </w:r>
      <w:proofErr w:type="spellStart"/>
      <w:r w:rsidRPr="00085092">
        <w:rPr>
          <w:lang w:val="fi-FI"/>
        </w:rPr>
        <w:t>SEUT</w:t>
      </w:r>
      <w:proofErr w:type="spellEnd"/>
      <w:r w:rsidRPr="00085092">
        <w:rPr>
          <w:lang w:val="fi-FI"/>
        </w:rPr>
        <w:t>-sopimuksen ja Euratomin perustamissopimuksen nojalla perustettuja elimiä koskevasta varainhoidon puiteasetuksesta (</w:t>
      </w:r>
      <w:proofErr w:type="spellStart"/>
      <w:r w:rsidRPr="00085092">
        <w:rPr>
          <w:lang w:val="fi-FI"/>
        </w:rPr>
        <w:t>EUVL</w:t>
      </w:r>
      <w:proofErr w:type="spellEnd"/>
      <w:r w:rsidRPr="00085092">
        <w:rPr>
          <w:lang w:val="fi-FI"/>
        </w:rPr>
        <w:t xml:space="preserve"> L 122, 10.5.2019, s. 1).</w:t>
      </w:r>
    </w:p>
  </w:footnote>
  <w:footnote w:id="11">
    <w:p w14:paraId="1790EE94"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(EU) 2019/883, annettu 17 päivänä huhtikuuta 2019, aluksilta peräisin olevan jätteen toimittamiseen tarkoitetuista satamassa olevista vastaanottolaitteista, direktiivin 2010/65/EU muuttamisesta sekä direktiivin 2000/59/EY kumoamisesta (</w:t>
      </w:r>
      <w:proofErr w:type="spellStart"/>
      <w:r w:rsidRPr="00085092">
        <w:rPr>
          <w:lang w:val="fi-FI"/>
        </w:rPr>
        <w:t>EUVL</w:t>
      </w:r>
      <w:proofErr w:type="spellEnd"/>
      <w:r w:rsidRPr="00085092">
        <w:rPr>
          <w:lang w:val="fi-FI"/>
        </w:rPr>
        <w:t xml:space="preserve"> L 151, 7.6.2019, s. 116).</w:t>
      </w:r>
    </w:p>
  </w:footnote>
  <w:footnote w:id="12">
    <w:p w14:paraId="2E1D6E9F"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2008/56/EY, annettu 17 päivänä kesäkuuta 2008, yhteisön meriympäristöpolitiikan puitteista (meristrategiapuitedirektiivi) (</w:t>
      </w:r>
      <w:proofErr w:type="spellStart"/>
      <w:r w:rsidRPr="00085092">
        <w:rPr>
          <w:lang w:val="fi-FI"/>
        </w:rPr>
        <w:t>EUVL</w:t>
      </w:r>
      <w:proofErr w:type="spellEnd"/>
      <w:r w:rsidRPr="00085092">
        <w:rPr>
          <w:lang w:val="fi-FI"/>
        </w:rPr>
        <w:t xml:space="preserve"> L 164, 25.6.2008, s. 19).</w:t>
      </w:r>
    </w:p>
  </w:footnote>
  <w:footnote w:id="13">
    <w:p w14:paraId="3A298ED9"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(EU) 2016/802, annettu 11 päivänä toukokuuta 2016, tiettyjen nestemäisten polttoaineiden rikkipitoisuuden vähentämisestä (</w:t>
      </w:r>
      <w:proofErr w:type="spellStart"/>
      <w:r w:rsidRPr="00085092">
        <w:rPr>
          <w:lang w:val="fi-FI"/>
        </w:rPr>
        <w:t>EUVL</w:t>
      </w:r>
      <w:proofErr w:type="spellEnd"/>
      <w:r w:rsidRPr="00085092">
        <w:rPr>
          <w:lang w:val="fi-FI"/>
        </w:rPr>
        <w:t xml:space="preserve"> L 132, 21.5.2016, s. 58).</w:t>
      </w:r>
    </w:p>
  </w:footnote>
  <w:footnote w:id="14">
    <w:p w14:paraId="6759E070" w14:textId="77777777" w:rsidR="007E7AE7" w:rsidRPr="00BD7E8A" w:rsidRDefault="007E7AE7" w:rsidP="007E7AE7">
      <w:pPr>
        <w:pStyle w:val="FootnoteTextForceStyle"/>
        <w:rPr>
          <w:lang w:val="fi-FI"/>
        </w:rPr>
      </w:pPr>
      <w:r>
        <w:rPr>
          <w:vertAlign w:val="superscript"/>
        </w:rPr>
        <w:footnoteRef/>
      </w:r>
      <w:r w:rsidRPr="00085092">
        <w:rPr>
          <w:lang w:val="fi-FI"/>
        </w:rPr>
        <w:tab/>
      </w:r>
      <w:r w:rsidRPr="00BD7E8A">
        <w:rPr>
          <w:lang w:val="fi-FI"/>
        </w:rPr>
        <w:t>Euroopan parlamentin ja neuvoston asetus (EU) 2015/757, annettu 29 päivänä huhtikuuta 2015, meriliikenteen hiilidioksidipäästöjen tarkkailusta, raportoinnista ja todentamisesta sekä direktiivin 2009/16/EY muuttamisesta (</w:t>
      </w:r>
      <w:proofErr w:type="spellStart"/>
      <w:r w:rsidRPr="00BD7E8A">
        <w:rPr>
          <w:lang w:val="fi-FI"/>
        </w:rPr>
        <w:t>EUVL</w:t>
      </w:r>
      <w:proofErr w:type="spellEnd"/>
      <w:r w:rsidRPr="00BD7E8A">
        <w:rPr>
          <w:lang w:val="fi-FI"/>
        </w:rPr>
        <w:t xml:space="preserve"> L 123, 19.5.2015, s. 55).</w:t>
      </w:r>
    </w:p>
  </w:footnote>
  <w:footnote w:id="15">
    <w:p w14:paraId="7E041F12" w14:textId="77777777" w:rsidR="007E7AE7" w:rsidRPr="00085092" w:rsidRDefault="007E7AE7" w:rsidP="007E7AE7">
      <w:pPr>
        <w:pStyle w:val="FootnoteTextForceStyle"/>
        <w:rPr>
          <w:lang w:val="fi-FI"/>
        </w:rPr>
      </w:pPr>
      <w:r w:rsidRPr="00BD7E8A">
        <w:rPr>
          <w:vertAlign w:val="superscript"/>
        </w:rPr>
        <w:footnoteRef/>
      </w:r>
      <w:r w:rsidRPr="00BD7E8A">
        <w:rPr>
          <w:lang w:val="fi-FI"/>
        </w:rPr>
        <w:tab/>
        <w:t>Euroopan parlamentin ja neuvoston direktiivi 2003/87/EY, annettu 13 päivänä lokakuuta 2003, kasvihuonekaasujen päästöoikeuksien kaupan järjestelmän toteuttamisesta unionissa ja neuvoston direktiivin 96/61/EY muuttamisesta (</w:t>
      </w:r>
      <w:proofErr w:type="spellStart"/>
      <w:r w:rsidRPr="00BD7E8A">
        <w:rPr>
          <w:lang w:val="fi-FI"/>
        </w:rPr>
        <w:t>EUVL</w:t>
      </w:r>
      <w:proofErr w:type="spellEnd"/>
      <w:r w:rsidRPr="00BD7E8A">
        <w:rPr>
          <w:lang w:val="fi-FI"/>
        </w:rPr>
        <w:t xml:space="preserve"> L 275, 25.10.2003, s. 32).</w:t>
      </w:r>
    </w:p>
  </w:footnote>
  <w:footnote w:id="16">
    <w:p w14:paraId="7F28F570"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Euroopan parlamentin ja neuvoston asetus (EY) </w:t>
      </w:r>
      <w:proofErr w:type="gramStart"/>
      <w:r w:rsidRPr="00085092">
        <w:rPr>
          <w:lang w:val="fi-FI"/>
        </w:rPr>
        <w:t>N:o</w:t>
      </w:r>
      <w:proofErr w:type="gramEnd"/>
      <w:r w:rsidRPr="00085092">
        <w:rPr>
          <w:lang w:val="fi-FI"/>
        </w:rPr>
        <w:t xml:space="preserve"> 725/2004, annettu 31 päivänä maaliskuuta </w:t>
      </w:r>
      <w:proofErr w:type="spellStart"/>
      <w:r w:rsidRPr="00085092">
        <w:rPr>
          <w:lang w:val="fi-FI"/>
        </w:rPr>
        <w:t>2004,alusten</w:t>
      </w:r>
      <w:proofErr w:type="spellEnd"/>
      <w:r w:rsidRPr="00085092">
        <w:rPr>
          <w:lang w:val="fi-FI"/>
        </w:rPr>
        <w:t xml:space="preserve"> ja satamarakenteiden turvatoimien parantamisesta (</w:t>
      </w:r>
      <w:proofErr w:type="spellStart"/>
      <w:r w:rsidRPr="00085092">
        <w:rPr>
          <w:lang w:val="fi-FI"/>
        </w:rPr>
        <w:t>EYVL</w:t>
      </w:r>
      <w:proofErr w:type="spellEnd"/>
      <w:r w:rsidRPr="00085092">
        <w:rPr>
          <w:lang w:val="fi-FI"/>
        </w:rPr>
        <w:t xml:space="preserve"> L 129, 29.4.2004, s. 6).</w:t>
      </w:r>
    </w:p>
  </w:footnote>
  <w:footnote w:id="17">
    <w:p w14:paraId="615CCC49"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2002/59/EY, annettu 27 päivänä kesäkuuta 2002, alusliikennettä koskevan yhteisön seuranta- ja tietojärjestelmän perustamisesta sekä neuvoston direktiivin 93/75/ETY kumoamisesta (</w:t>
      </w:r>
      <w:proofErr w:type="spellStart"/>
      <w:r w:rsidRPr="00085092">
        <w:rPr>
          <w:lang w:val="fi-FI"/>
        </w:rPr>
        <w:t>EYVL</w:t>
      </w:r>
      <w:proofErr w:type="spellEnd"/>
      <w:r w:rsidRPr="00085092">
        <w:rPr>
          <w:lang w:val="fi-FI"/>
        </w:rPr>
        <w:t xml:space="preserve"> L 208, 5.8.2002, s. 10).</w:t>
      </w:r>
    </w:p>
  </w:footnote>
  <w:footnote w:id="18">
    <w:p w14:paraId="4015FD70" w14:textId="77777777" w:rsidR="007E7AE7" w:rsidRPr="005A19D2" w:rsidRDefault="007E7AE7" w:rsidP="007E7AE7">
      <w:pPr>
        <w:pStyle w:val="FootnoteTextForceStyle"/>
        <w:rPr>
          <w:lang w:val="fi-FI"/>
        </w:rPr>
      </w:pPr>
      <w:r>
        <w:rPr>
          <w:vertAlign w:val="superscript"/>
        </w:rPr>
        <w:footnoteRef/>
      </w:r>
      <w:r w:rsidRPr="00085092">
        <w:rPr>
          <w:lang w:val="fi-FI"/>
        </w:rPr>
        <w:tab/>
      </w:r>
      <w:r w:rsidRPr="005A19D2">
        <w:rPr>
          <w:lang w:val="fi-FI"/>
        </w:rPr>
        <w:t xml:space="preserve">Euroopan parlamentin ja neuvoston asetus (EU) 2019/1896, annettu 13 päivänä marraskuuta 2019, eurooppalaisesta raja- ja merivartiostosta sekä asetusten (EU) </w:t>
      </w:r>
      <w:proofErr w:type="gramStart"/>
      <w:r w:rsidRPr="005A19D2">
        <w:rPr>
          <w:lang w:val="fi-FI"/>
        </w:rPr>
        <w:t>N:o</w:t>
      </w:r>
      <w:proofErr w:type="gramEnd"/>
      <w:r w:rsidRPr="005A19D2">
        <w:rPr>
          <w:lang w:val="fi-FI"/>
        </w:rPr>
        <w:t xml:space="preserve"> 1052/2013 ja (EU) 2016/1624 kumoamisesta (</w:t>
      </w:r>
      <w:proofErr w:type="spellStart"/>
      <w:r w:rsidRPr="005A19D2">
        <w:rPr>
          <w:lang w:val="fi-FI"/>
        </w:rPr>
        <w:t>EUVL</w:t>
      </w:r>
      <w:proofErr w:type="spellEnd"/>
      <w:r w:rsidRPr="005A19D2">
        <w:rPr>
          <w:lang w:val="fi-FI"/>
        </w:rPr>
        <w:t xml:space="preserve"> L 295, 14.11.2019, s. 1).</w:t>
      </w:r>
    </w:p>
  </w:footnote>
  <w:footnote w:id="19">
    <w:p w14:paraId="26A88143" w14:textId="77777777" w:rsidR="007E7AE7" w:rsidRPr="00085092" w:rsidRDefault="007E7AE7" w:rsidP="007E7AE7">
      <w:pPr>
        <w:pStyle w:val="FootnoteTextForceStyle"/>
        <w:rPr>
          <w:lang w:val="fi-FI"/>
        </w:rPr>
      </w:pPr>
      <w:r w:rsidRPr="005A19D2">
        <w:rPr>
          <w:vertAlign w:val="superscript"/>
        </w:rPr>
        <w:footnoteRef/>
      </w:r>
      <w:r w:rsidRPr="005A19D2">
        <w:rPr>
          <w:lang w:val="fi-FI"/>
        </w:rPr>
        <w:tab/>
        <w:t>Euroopan parlamentin ja neuvoston asetus (EU) 2019/473, annettu 19 päivänä maaliskuuta 2019, Euroopan kalastuksenvalvontavirastosta (</w:t>
      </w:r>
      <w:proofErr w:type="spellStart"/>
      <w:r w:rsidRPr="005A19D2">
        <w:rPr>
          <w:lang w:val="fi-FI"/>
        </w:rPr>
        <w:t>EUVL</w:t>
      </w:r>
      <w:proofErr w:type="spellEnd"/>
      <w:r w:rsidRPr="005A19D2">
        <w:rPr>
          <w:lang w:val="fi-FI"/>
        </w:rPr>
        <w:t xml:space="preserve"> L 83, 25.3.2019, s. 18).</w:t>
      </w:r>
    </w:p>
  </w:footnote>
  <w:footnote w:id="20">
    <w:p w14:paraId="2973BD6F"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Euroopan parlamentin ja neuvoston asetus (EU) </w:t>
      </w:r>
      <w:proofErr w:type="gramStart"/>
      <w:r w:rsidRPr="00085092">
        <w:rPr>
          <w:lang w:val="fi-FI"/>
        </w:rPr>
        <w:t>N:o</w:t>
      </w:r>
      <w:proofErr w:type="gramEnd"/>
      <w:r w:rsidRPr="00085092">
        <w:rPr>
          <w:lang w:val="fi-FI"/>
        </w:rPr>
        <w:t xml:space="preserve"> 182/2011, annettu 16 päivänä helmikuuta 2011, yleisistä säännöistä ja periaatteista, joiden mukaisesti jäsenvaltiot valvovat komission täytäntöönpanovallan käyttöä (</w:t>
      </w:r>
      <w:proofErr w:type="spellStart"/>
      <w:r w:rsidRPr="00085092">
        <w:rPr>
          <w:lang w:val="fi-FI"/>
        </w:rPr>
        <w:t>EUVL</w:t>
      </w:r>
      <w:proofErr w:type="spellEnd"/>
      <w:r w:rsidRPr="00085092">
        <w:rPr>
          <w:lang w:val="fi-FI"/>
        </w:rPr>
        <w:t xml:space="preserve"> </w:t>
      </w:r>
      <w:proofErr w:type="spellStart"/>
      <w:r w:rsidRPr="00085092">
        <w:rPr>
          <w:lang w:val="fi-FI"/>
        </w:rPr>
        <w:t>L55</w:t>
      </w:r>
      <w:proofErr w:type="spellEnd"/>
      <w:r w:rsidRPr="00085092">
        <w:rPr>
          <w:lang w:val="fi-FI"/>
        </w:rPr>
        <w:t>, 28.2.2011, s. 13).</w:t>
      </w:r>
    </w:p>
  </w:footnote>
  <w:footnote w:id="21">
    <w:p w14:paraId="583719D9" w14:textId="77777777" w:rsidR="007E7AE7" w:rsidRPr="00085092" w:rsidRDefault="007E7AE7" w:rsidP="007E7AE7">
      <w:pPr>
        <w:pStyle w:val="FootnoteTextForceStyle"/>
        <w:rPr>
          <w:lang w:val="fi-FI"/>
        </w:rPr>
      </w:pPr>
      <w:r>
        <w:rPr>
          <w:vertAlign w:val="superscript"/>
        </w:rPr>
        <w:footnoteRef/>
      </w:r>
      <w:r w:rsidRPr="00085092">
        <w:rPr>
          <w:lang w:val="fi-FI"/>
        </w:rPr>
        <w:tab/>
      </w:r>
      <w:proofErr w:type="spellStart"/>
      <w:r w:rsidRPr="00085092">
        <w:rPr>
          <w:b/>
          <w:i/>
          <w:lang w:val="fi-FI"/>
        </w:rPr>
        <w:t>EUVL</w:t>
      </w:r>
      <w:proofErr w:type="spellEnd"/>
      <w:r w:rsidRPr="00085092">
        <w:rPr>
          <w:b/>
          <w:i/>
          <w:lang w:val="fi-FI"/>
        </w:rPr>
        <w:t xml:space="preserve"> L 123, 12.5.2016, s. 1.</w:t>
      </w:r>
    </w:p>
  </w:footnote>
  <w:footnote w:id="22">
    <w:p w14:paraId="54E78175"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Euroopan parlamentin ja neuvoston asetus (EU, Euratom) </w:t>
      </w:r>
      <w:proofErr w:type="gramStart"/>
      <w:r w:rsidRPr="00085092">
        <w:rPr>
          <w:lang w:val="fi-FI"/>
        </w:rPr>
        <w:t>N:o</w:t>
      </w:r>
      <w:proofErr w:type="gramEnd"/>
      <w:r w:rsidRPr="00085092">
        <w:rPr>
          <w:lang w:val="fi-FI"/>
        </w:rPr>
        <w:t xml:space="preserve"> 883/2013, annettu 11 päivänä syyskuuta 2013, Euroopan petostentorjuntaviraston (OLAF) tutkimuksista sekä Euroopan parlamentin ja neuvoston asetuksen (EY) N:o 1073/1999 ja neuvoston asetuksen (Euratom) N:o 1074/1999 kumoamisesta (</w:t>
      </w:r>
      <w:proofErr w:type="spellStart"/>
      <w:r w:rsidRPr="00085092">
        <w:rPr>
          <w:lang w:val="fi-FI"/>
        </w:rPr>
        <w:t>EUVL</w:t>
      </w:r>
      <w:proofErr w:type="spellEnd"/>
      <w:r w:rsidRPr="00085092">
        <w:rPr>
          <w:lang w:val="fi-FI"/>
        </w:rPr>
        <w:t xml:space="preserve"> L 248, 18.9.2013, s. 1).</w:t>
      </w:r>
    </w:p>
  </w:footnote>
  <w:footnote w:id="23">
    <w:p w14:paraId="505E475C" w14:textId="77777777" w:rsidR="007E7AE7" w:rsidRPr="00085092" w:rsidRDefault="007E7AE7" w:rsidP="007E7AE7">
      <w:pPr>
        <w:pStyle w:val="FootnoteTextForceStyle"/>
        <w:rPr>
          <w:lang w:val="fi-FI"/>
        </w:rPr>
      </w:pPr>
      <w:r>
        <w:rPr>
          <w:vertAlign w:val="superscript"/>
        </w:rPr>
        <w:footnoteRef/>
      </w:r>
      <w:r w:rsidRPr="00085092">
        <w:rPr>
          <w:lang w:val="fi-FI"/>
        </w:rPr>
        <w:tab/>
      </w:r>
      <w:proofErr w:type="spellStart"/>
      <w:r w:rsidRPr="00085092">
        <w:rPr>
          <w:lang w:val="fi-FI"/>
        </w:rPr>
        <w:t>EYVL</w:t>
      </w:r>
      <w:proofErr w:type="spellEnd"/>
      <w:r w:rsidRPr="00085092">
        <w:rPr>
          <w:lang w:val="fi-FI"/>
        </w:rPr>
        <w:t xml:space="preserve"> L 136, 31.5.1999, s. 15.</w:t>
      </w:r>
    </w:p>
  </w:footnote>
  <w:footnote w:id="24">
    <w:p w14:paraId="4BE476CD"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2009/45/EY, annettu 6 päivänä toukokuuta 2009, matkustaja-alusten turvallisuussäännöistä ja -määräyksistä (</w:t>
      </w:r>
      <w:proofErr w:type="spellStart"/>
      <w:r w:rsidRPr="00085092">
        <w:rPr>
          <w:lang w:val="fi-FI"/>
        </w:rPr>
        <w:t>EUVL</w:t>
      </w:r>
      <w:proofErr w:type="spellEnd"/>
      <w:r w:rsidRPr="00085092">
        <w:rPr>
          <w:lang w:val="fi-FI"/>
        </w:rPr>
        <w:t xml:space="preserve"> L 163, 25.6.2009, s. 1).</w:t>
      </w:r>
    </w:p>
  </w:footnote>
  <w:footnote w:id="25">
    <w:p w14:paraId="16AE8345"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2003/25/EY, annettu 14 päivänä huhtikuuta 2003, ro-ro-matkustaja-alusten erityisistä vakavuusvaatimuksista (</w:t>
      </w:r>
      <w:proofErr w:type="spellStart"/>
      <w:r w:rsidRPr="00085092">
        <w:rPr>
          <w:lang w:val="fi-FI"/>
        </w:rPr>
        <w:t>EUVL</w:t>
      </w:r>
      <w:proofErr w:type="spellEnd"/>
      <w:r w:rsidRPr="00085092">
        <w:rPr>
          <w:lang w:val="fi-FI"/>
        </w:rPr>
        <w:t xml:space="preserve"> L 123, 17.5.2003, s. 22).</w:t>
      </w:r>
    </w:p>
  </w:footnote>
  <w:footnote w:id="26">
    <w:p w14:paraId="3FEEBE04" w14:textId="77777777" w:rsidR="007E7AE7" w:rsidRPr="00085092" w:rsidRDefault="007E7AE7" w:rsidP="007E7AE7">
      <w:pPr>
        <w:pStyle w:val="FootnoteTextForceStyle"/>
        <w:rPr>
          <w:lang w:val="fi-FI"/>
        </w:rPr>
      </w:pPr>
      <w:r>
        <w:rPr>
          <w:vertAlign w:val="superscript"/>
        </w:rPr>
        <w:footnoteRef/>
      </w:r>
      <w:r w:rsidRPr="00085092">
        <w:rPr>
          <w:lang w:val="fi-FI"/>
        </w:rPr>
        <w:tab/>
        <w:t>Neuvoston direktiivi 98/41/EY, annettu 18 päivänä kesäkuuta 1998, yhteisön jäsenvaltioiden satamiin tai satamista liikennöivillä matkustaja-aluksilla olevien henkilöiden rekisteröinnistä (</w:t>
      </w:r>
      <w:proofErr w:type="spellStart"/>
      <w:r w:rsidRPr="00085092">
        <w:rPr>
          <w:lang w:val="fi-FI"/>
        </w:rPr>
        <w:t>EYVL</w:t>
      </w:r>
      <w:proofErr w:type="spellEnd"/>
      <w:r w:rsidRPr="00085092">
        <w:rPr>
          <w:lang w:val="fi-FI"/>
        </w:rPr>
        <w:t xml:space="preserve"> L 188, 2.7.1998, s. 35).</w:t>
      </w:r>
    </w:p>
  </w:footnote>
  <w:footnote w:id="27">
    <w:p w14:paraId="44FC7206"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Euroopan parlamentin ja neuvoston asetus (EY) </w:t>
      </w:r>
      <w:proofErr w:type="gramStart"/>
      <w:r w:rsidRPr="00085092">
        <w:rPr>
          <w:lang w:val="fi-FI"/>
        </w:rPr>
        <w:t>N:o</w:t>
      </w:r>
      <w:proofErr w:type="gramEnd"/>
      <w:r w:rsidRPr="00085092">
        <w:rPr>
          <w:lang w:val="fi-FI"/>
        </w:rPr>
        <w:t xml:space="preserve"> 391/2009, annettu 23 päivänä huhtikuuta 2009, alusten </w:t>
      </w:r>
      <w:proofErr w:type="spellStart"/>
      <w:r w:rsidRPr="00085092">
        <w:rPr>
          <w:lang w:val="fi-FI"/>
        </w:rPr>
        <w:t>tarkastamis</w:t>
      </w:r>
      <w:proofErr w:type="spellEnd"/>
      <w:r w:rsidRPr="00085092">
        <w:rPr>
          <w:lang w:val="fi-FI"/>
        </w:rPr>
        <w:t>- ja katsastamislaitoksia koskevista yhteisistä säännöistä ja standardeista (</w:t>
      </w:r>
      <w:proofErr w:type="spellStart"/>
      <w:r w:rsidRPr="00085092">
        <w:rPr>
          <w:lang w:val="fi-FI"/>
        </w:rPr>
        <w:t>EUVL</w:t>
      </w:r>
      <w:proofErr w:type="spellEnd"/>
      <w:r w:rsidRPr="00085092">
        <w:rPr>
          <w:lang w:val="fi-FI"/>
        </w:rPr>
        <w:t xml:space="preserve"> L 131, 28.5.2009, s. 11).</w:t>
      </w:r>
    </w:p>
  </w:footnote>
  <w:footnote w:id="28">
    <w:p w14:paraId="23AF3077"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2009/15/EY, annettu 23 päivänä huhtikuuta 2009, alusten tarkastamiseen ja katsastamiseen valtuutettuja laitoksia sekä merenkulun viranomaisten asiaan liittyviä toimia koskevista yhteisistä säännöistä ja standardeista (</w:t>
      </w:r>
      <w:proofErr w:type="spellStart"/>
      <w:r w:rsidRPr="00085092">
        <w:rPr>
          <w:lang w:val="fi-FI"/>
        </w:rPr>
        <w:t>EUVL</w:t>
      </w:r>
      <w:proofErr w:type="spellEnd"/>
      <w:r w:rsidRPr="00085092">
        <w:rPr>
          <w:lang w:val="fi-FI"/>
        </w:rPr>
        <w:t xml:space="preserve"> L 131, 28.5.2009, s. 47).</w:t>
      </w:r>
    </w:p>
  </w:footnote>
  <w:footnote w:id="29">
    <w:p w14:paraId="12E3085F"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2014/90/EU, annettu 23 päivänä heinäkuuta 2014, laivavarusteista ja neuvoston direktiivin 96/98/EY kumoamisesta (</w:t>
      </w:r>
      <w:proofErr w:type="spellStart"/>
      <w:r w:rsidRPr="00085092">
        <w:rPr>
          <w:lang w:val="fi-FI"/>
        </w:rPr>
        <w:t>EUVL</w:t>
      </w:r>
      <w:proofErr w:type="spellEnd"/>
      <w:r w:rsidRPr="00085092">
        <w:rPr>
          <w:lang w:val="fi-FI"/>
        </w:rPr>
        <w:t xml:space="preserve"> L 257, 28.8.2014, s. 146).</w:t>
      </w:r>
    </w:p>
  </w:footnote>
  <w:footnote w:id="30">
    <w:p w14:paraId="2AC4CE66"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direktiivi (EU) 2022/993, annettu 8 päivänä kesäkuuta 2022, merenkulkijoiden vähimmäiskoulutuksesta (</w:t>
      </w:r>
      <w:proofErr w:type="spellStart"/>
      <w:r w:rsidRPr="00085092">
        <w:rPr>
          <w:lang w:val="fi-FI"/>
        </w:rPr>
        <w:t>EUVL</w:t>
      </w:r>
      <w:proofErr w:type="spellEnd"/>
      <w:r w:rsidRPr="00085092">
        <w:rPr>
          <w:lang w:val="fi-FI"/>
        </w:rPr>
        <w:t xml:space="preserve"> L 169, 27.6.2022, s. 45).</w:t>
      </w:r>
    </w:p>
  </w:footnote>
  <w:footnote w:id="31">
    <w:p w14:paraId="5B2EE722"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Euroopan parlamentin ja neuvoston päätös </w:t>
      </w:r>
      <w:proofErr w:type="gramStart"/>
      <w:r w:rsidRPr="00085092">
        <w:rPr>
          <w:lang w:val="fi-FI"/>
        </w:rPr>
        <w:t>N:o</w:t>
      </w:r>
      <w:proofErr w:type="gramEnd"/>
      <w:r w:rsidRPr="00085092">
        <w:rPr>
          <w:lang w:val="fi-FI"/>
        </w:rPr>
        <w:t xml:space="preserve"> 1313/2013/EU, annettu 17 päivänä joulukuuta 2013, unionin pelastuspalvelumekanismi</w:t>
      </w:r>
      <w:r>
        <w:rPr>
          <w:lang w:val="fi-FI"/>
        </w:rPr>
        <w:t>sta (</w:t>
      </w:r>
      <w:proofErr w:type="spellStart"/>
      <w:r>
        <w:rPr>
          <w:lang w:val="fi-FI"/>
        </w:rPr>
        <w:t>EUVL</w:t>
      </w:r>
      <w:proofErr w:type="spellEnd"/>
      <w:r>
        <w:rPr>
          <w:lang w:val="fi-FI"/>
        </w:rPr>
        <w:t xml:space="preserve"> L 347, 20.12.2013, s. </w:t>
      </w:r>
      <w:r w:rsidRPr="00085092">
        <w:rPr>
          <w:lang w:val="fi-FI"/>
        </w:rPr>
        <w:t>924).</w:t>
      </w:r>
    </w:p>
  </w:footnote>
  <w:footnote w:id="32">
    <w:p w14:paraId="3165F984"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Euroopan parlamentin ja neuvoston asetus (EU) </w:t>
      </w:r>
      <w:proofErr w:type="gramStart"/>
      <w:r w:rsidRPr="00085092">
        <w:rPr>
          <w:lang w:val="fi-FI"/>
        </w:rPr>
        <w:t>N:o</w:t>
      </w:r>
      <w:proofErr w:type="gramEnd"/>
      <w:r w:rsidRPr="00085092">
        <w:rPr>
          <w:lang w:val="fi-FI"/>
        </w:rPr>
        <w:t xml:space="preserve"> 1257/2013, annettu 20 päivänä marraskuuta 2013, aluskierrätyksestä sekä asetuksen (EY) N:o 1013/2006 ja direktiivin 2009/16/EY muuttamisesta </w:t>
      </w:r>
      <w:proofErr w:type="spellStart"/>
      <w:r w:rsidRPr="00085092">
        <w:rPr>
          <w:lang w:val="fi-FI"/>
        </w:rPr>
        <w:t>EUVL</w:t>
      </w:r>
      <w:proofErr w:type="spellEnd"/>
      <w:r w:rsidRPr="00085092">
        <w:rPr>
          <w:lang w:val="fi-FI"/>
        </w:rPr>
        <w:t xml:space="preserve"> L 330, 10.12.2013, s. 1).</w:t>
      </w:r>
    </w:p>
  </w:footnote>
  <w:footnote w:id="33">
    <w:p w14:paraId="30220197" w14:textId="77777777" w:rsidR="007E7AE7" w:rsidRPr="00085092" w:rsidRDefault="007E7AE7" w:rsidP="007E7AE7">
      <w:pPr>
        <w:pStyle w:val="FootnoteTextForceStyle"/>
        <w:rPr>
          <w:lang w:val="fi-FI"/>
        </w:rPr>
      </w:pPr>
      <w:r>
        <w:rPr>
          <w:vertAlign w:val="superscript"/>
        </w:rPr>
        <w:footnoteRef/>
      </w:r>
      <w:r w:rsidRPr="00085092">
        <w:rPr>
          <w:lang w:val="fi-FI"/>
        </w:rPr>
        <w:tab/>
        <w:t>Euroopan parlamentin ja neuvoston asetus (EU) 2019/1239, annettu 20 päivänä kesäkuuta 2019, eurooppalaisen merenkulkualan yhdennetyn palveluympäristön perustamisesta ja direktiivin 2010/65/EU kumoamisesta (</w:t>
      </w:r>
      <w:proofErr w:type="spellStart"/>
      <w:r w:rsidRPr="00085092">
        <w:rPr>
          <w:lang w:val="fi-FI"/>
        </w:rPr>
        <w:t>EUVL</w:t>
      </w:r>
      <w:proofErr w:type="spellEnd"/>
      <w:r w:rsidRPr="00085092">
        <w:rPr>
          <w:lang w:val="fi-FI"/>
        </w:rPr>
        <w:t xml:space="preserve"> L 198, 25.7.2019, s. 64).</w:t>
      </w:r>
    </w:p>
  </w:footnote>
  <w:footnote w:id="34">
    <w:p w14:paraId="23A3C005"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Neuvoston asetus (ETY, Euratom, EHTY) </w:t>
      </w:r>
      <w:proofErr w:type="gramStart"/>
      <w:r w:rsidRPr="00085092">
        <w:rPr>
          <w:lang w:val="fi-FI"/>
        </w:rPr>
        <w:t>N:o</w:t>
      </w:r>
      <w:proofErr w:type="gramEnd"/>
      <w:r w:rsidRPr="00085092">
        <w:rPr>
          <w:lang w:val="fi-FI"/>
        </w:rPr>
        <w:t xml:space="preserve"> 259/68, annettu 29 päivänä helmikuuta 1968, Euroopan yhteisöjen virkamiehiin sovellettavien henkilöstösääntöjen ja näiden yhteisöjen muuta henkilöstöä koskevien palvelussuhteen ehtojen vahvistamisesta sekä yhteisöjen virkamiehiin tilapäisesti sovellettavien erityisten toimenpiteiden laatimisesta (</w:t>
      </w:r>
      <w:proofErr w:type="spellStart"/>
      <w:r w:rsidRPr="00085092">
        <w:rPr>
          <w:lang w:val="fi-FI"/>
        </w:rPr>
        <w:t>EYVL</w:t>
      </w:r>
      <w:proofErr w:type="spellEnd"/>
      <w:r w:rsidRPr="00085092">
        <w:rPr>
          <w:lang w:val="fi-FI"/>
        </w:rPr>
        <w:t xml:space="preserve"> L 56, 4.3.1968, s. 1).</w:t>
      </w:r>
    </w:p>
  </w:footnote>
  <w:footnote w:id="35">
    <w:p w14:paraId="5C0A4234"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Euroopan parlamentin ja neuvoston asetus (EY) </w:t>
      </w:r>
      <w:proofErr w:type="gramStart"/>
      <w:r w:rsidRPr="00085092">
        <w:rPr>
          <w:lang w:val="fi-FI"/>
        </w:rPr>
        <w:t>N:o</w:t>
      </w:r>
      <w:proofErr w:type="gramEnd"/>
      <w:r w:rsidRPr="00085092">
        <w:rPr>
          <w:lang w:val="fi-FI"/>
        </w:rPr>
        <w:t xml:space="preserve"> 2099/2002, annettu 5 päivänä marraskuuta 2002, meriturvallisuutta ja alusten aiheuttaman pilaantumisen ehkäisemistä käsittelevän komitean (</w:t>
      </w:r>
      <w:proofErr w:type="spellStart"/>
      <w:r w:rsidRPr="00085092">
        <w:rPr>
          <w:lang w:val="fi-FI"/>
        </w:rPr>
        <w:t>COSS</w:t>
      </w:r>
      <w:proofErr w:type="spellEnd"/>
      <w:r w:rsidRPr="00085092">
        <w:rPr>
          <w:lang w:val="fi-FI"/>
        </w:rPr>
        <w:t>-komitea) perustamisesta sekä meriturvallisuutta ja alusten aiheuttaman pilaantumisen ehkäisemistä koskevien asetusten muuttamisesta (</w:t>
      </w:r>
      <w:proofErr w:type="spellStart"/>
      <w:r w:rsidRPr="00085092">
        <w:rPr>
          <w:lang w:val="fi-FI"/>
        </w:rPr>
        <w:t>EYVL</w:t>
      </w:r>
      <w:proofErr w:type="spellEnd"/>
      <w:r w:rsidRPr="00085092">
        <w:rPr>
          <w:lang w:val="fi-FI"/>
        </w:rPr>
        <w:t xml:space="preserve"> L 324, 29.11.2002, s. 1).</w:t>
      </w:r>
    </w:p>
  </w:footnote>
  <w:footnote w:id="36">
    <w:p w14:paraId="109A9C2F" w14:textId="77777777" w:rsidR="007E7AE7" w:rsidRPr="00085092" w:rsidRDefault="007E7AE7" w:rsidP="007E7AE7">
      <w:pPr>
        <w:pStyle w:val="FootnoteTextForceStyle"/>
        <w:rPr>
          <w:lang w:val="fi-FI"/>
        </w:rPr>
      </w:pPr>
      <w:r>
        <w:rPr>
          <w:vertAlign w:val="superscript"/>
        </w:rPr>
        <w:footnoteRef/>
      </w:r>
      <w:r w:rsidRPr="00085092">
        <w:rPr>
          <w:lang w:val="fi-FI"/>
        </w:rPr>
        <w:tab/>
      </w:r>
      <w:proofErr w:type="spellStart"/>
      <w:r w:rsidRPr="00085092">
        <w:rPr>
          <w:lang w:val="fi-FI"/>
        </w:rPr>
        <w:t>EYVL</w:t>
      </w:r>
      <w:proofErr w:type="spellEnd"/>
      <w:r w:rsidRPr="00085092">
        <w:rPr>
          <w:lang w:val="fi-FI"/>
        </w:rPr>
        <w:t xml:space="preserve"> 17, 6.10.1958, s. 385/58. Asetus sellaisena kuin se on viimeksi muutettuna tiettyjen asetusten ja päätösten mukauttamista Bulgarian ja Romanian liittymisen johdosta koskevalla 20 päivänä marraskuuta 2006 annetulla asetuksella (EY) </w:t>
      </w:r>
      <w:proofErr w:type="gramStart"/>
      <w:r w:rsidRPr="00085092">
        <w:rPr>
          <w:lang w:val="fi-FI"/>
        </w:rPr>
        <w:t>N:o</w:t>
      </w:r>
      <w:proofErr w:type="gramEnd"/>
      <w:r w:rsidRPr="00085092">
        <w:rPr>
          <w:lang w:val="fi-FI"/>
        </w:rPr>
        <w:t xml:space="preserve"> 1791/2006.</w:t>
      </w:r>
    </w:p>
  </w:footnote>
  <w:footnote w:id="37">
    <w:p w14:paraId="16668201"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Euroopan parlamentin ja neuvoston asetus (EY) </w:t>
      </w:r>
      <w:proofErr w:type="gramStart"/>
      <w:r w:rsidRPr="00085092">
        <w:rPr>
          <w:lang w:val="fi-FI"/>
        </w:rPr>
        <w:t>N:o</w:t>
      </w:r>
      <w:proofErr w:type="gramEnd"/>
      <w:r w:rsidRPr="00085092">
        <w:rPr>
          <w:lang w:val="fi-FI"/>
        </w:rPr>
        <w:t xml:space="preserve"> 1049/2001, annettu 30 päivänä toukokuuta 2001, Euroopan parlamentin, neuvoston ja komission asiakirjojen saamisesta yleisön tutustuttavaksi (</w:t>
      </w:r>
      <w:proofErr w:type="spellStart"/>
      <w:r w:rsidRPr="00085092">
        <w:rPr>
          <w:lang w:val="fi-FI"/>
        </w:rPr>
        <w:t>EYVL</w:t>
      </w:r>
      <w:proofErr w:type="spellEnd"/>
      <w:r w:rsidRPr="00085092">
        <w:rPr>
          <w:lang w:val="fi-FI"/>
        </w:rPr>
        <w:t xml:space="preserve"> L 145, 31.5.2001, s. 43).</w:t>
      </w:r>
    </w:p>
  </w:footnote>
  <w:footnote w:id="38">
    <w:p w14:paraId="75962C6A" w14:textId="77777777" w:rsidR="007E7AE7" w:rsidRPr="00085092" w:rsidRDefault="007E7AE7" w:rsidP="007E7AE7">
      <w:pPr>
        <w:pStyle w:val="FootnoteTextForceStyle"/>
        <w:rPr>
          <w:lang w:val="fi-FI"/>
        </w:rPr>
      </w:pPr>
      <w:r>
        <w:rPr>
          <w:vertAlign w:val="superscript"/>
        </w:rPr>
        <w:footnoteRef/>
      </w:r>
      <w:r w:rsidRPr="00085092">
        <w:rPr>
          <w:lang w:val="fi-FI"/>
        </w:rPr>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w:t>
      </w:r>
      <w:proofErr w:type="gramStart"/>
      <w:r w:rsidRPr="00085092">
        <w:rPr>
          <w:lang w:val="fi-FI"/>
        </w:rPr>
        <w:t>N:o</w:t>
      </w:r>
      <w:proofErr w:type="gramEnd"/>
      <w:r w:rsidRPr="00085092">
        <w:rPr>
          <w:lang w:val="fi-FI"/>
        </w:rPr>
        <w:t xml:space="preserve"> 45/2001 ja päätöksen N:o 1247/2002/EY kumoamisesta (</w:t>
      </w:r>
      <w:proofErr w:type="spellStart"/>
      <w:r w:rsidRPr="00085092">
        <w:rPr>
          <w:lang w:val="fi-FI"/>
        </w:rPr>
        <w:t>EUVL</w:t>
      </w:r>
      <w:proofErr w:type="spellEnd"/>
      <w:r w:rsidRPr="00085092">
        <w:rPr>
          <w:lang w:val="fi-FI"/>
        </w:rPr>
        <w:t xml:space="preserve"> L 295, 21.11.2018, s. 39).</w:t>
      </w:r>
    </w:p>
  </w:footnote>
  <w:footnote w:id="39">
    <w:p w14:paraId="1D32C65C" w14:textId="77777777" w:rsidR="007E7AE7" w:rsidRPr="00085092" w:rsidRDefault="007E7AE7" w:rsidP="007E7AE7">
      <w:pPr>
        <w:pStyle w:val="FootnoteTextForceStyle"/>
        <w:rPr>
          <w:lang w:val="fi-FI"/>
        </w:rPr>
      </w:pPr>
      <w:r>
        <w:rPr>
          <w:vertAlign w:val="superscript"/>
        </w:rPr>
        <w:footnoteRef/>
      </w:r>
      <w:r w:rsidRPr="00085092">
        <w:rPr>
          <w:lang w:val="fi-FI"/>
        </w:rPr>
        <w:tab/>
        <w:t>Komission päätös (EU, Euratom) 2015/443, annettu 13 päivänä maaliskuuta 2015, turvallisuudesta komissiossa (</w:t>
      </w:r>
      <w:proofErr w:type="spellStart"/>
      <w:r w:rsidRPr="00085092">
        <w:rPr>
          <w:lang w:val="fi-FI"/>
        </w:rPr>
        <w:t>EUVL</w:t>
      </w:r>
      <w:proofErr w:type="spellEnd"/>
      <w:r w:rsidRPr="00085092">
        <w:rPr>
          <w:lang w:val="fi-FI"/>
        </w:rPr>
        <w:t xml:space="preserve"> L 72, 17.3.2015, s. 41).</w:t>
      </w:r>
    </w:p>
  </w:footnote>
  <w:footnote w:id="40">
    <w:p w14:paraId="3FF087F8" w14:textId="77777777" w:rsidR="007E7AE7" w:rsidRPr="00085092" w:rsidRDefault="007E7AE7" w:rsidP="007E7AE7">
      <w:pPr>
        <w:pStyle w:val="FootnoteTextForceStyle"/>
        <w:rPr>
          <w:lang w:val="fi-FI"/>
        </w:rPr>
      </w:pPr>
      <w:r>
        <w:rPr>
          <w:vertAlign w:val="superscript"/>
        </w:rPr>
        <w:footnoteRef/>
      </w:r>
      <w:r w:rsidRPr="00085092">
        <w:rPr>
          <w:lang w:val="fi-FI"/>
        </w:rPr>
        <w:tab/>
        <w:t>Komission päätös (EU, Euratom) 2015/444, annettu 13 päivänä maaliskuuta 2015, EU:n turvallisuusluokiteltujen tietojen suojaamista koskevista säännöistä (</w:t>
      </w:r>
      <w:proofErr w:type="spellStart"/>
      <w:r w:rsidRPr="00085092">
        <w:rPr>
          <w:lang w:val="fi-FI"/>
        </w:rPr>
        <w:t>EUVL</w:t>
      </w:r>
      <w:proofErr w:type="spellEnd"/>
      <w:r w:rsidRPr="00085092">
        <w:rPr>
          <w:lang w:val="fi-FI"/>
        </w:rPr>
        <w:t xml:space="preserve"> L 72, 17.3.2015, s. 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FDC2B0A8">
      <w:start w:val="1"/>
      <w:numFmt w:val="decimal"/>
      <w:lvlText w:val="%1."/>
      <w:lvlJc w:val="left"/>
      <w:pPr>
        <w:ind w:left="720" w:hanging="360"/>
      </w:pPr>
      <w:rPr>
        <w:rFonts w:hint="default"/>
      </w:rPr>
    </w:lvl>
    <w:lvl w:ilvl="1" w:tplc="8B92D3CA" w:tentative="1">
      <w:start w:val="1"/>
      <w:numFmt w:val="lowerLetter"/>
      <w:lvlText w:val="%2."/>
      <w:lvlJc w:val="left"/>
      <w:pPr>
        <w:ind w:left="1440" w:hanging="360"/>
      </w:pPr>
    </w:lvl>
    <w:lvl w:ilvl="2" w:tplc="9FF89CDC" w:tentative="1">
      <w:start w:val="1"/>
      <w:numFmt w:val="lowerRoman"/>
      <w:lvlText w:val="%3."/>
      <w:lvlJc w:val="right"/>
      <w:pPr>
        <w:ind w:left="2160" w:hanging="180"/>
      </w:pPr>
    </w:lvl>
    <w:lvl w:ilvl="3" w:tplc="0EE4B9F0" w:tentative="1">
      <w:start w:val="1"/>
      <w:numFmt w:val="decimal"/>
      <w:lvlText w:val="%4."/>
      <w:lvlJc w:val="left"/>
      <w:pPr>
        <w:ind w:left="2880" w:hanging="360"/>
      </w:pPr>
    </w:lvl>
    <w:lvl w:ilvl="4" w:tplc="9F4836A2" w:tentative="1">
      <w:start w:val="1"/>
      <w:numFmt w:val="lowerLetter"/>
      <w:lvlText w:val="%5."/>
      <w:lvlJc w:val="left"/>
      <w:pPr>
        <w:ind w:left="3600" w:hanging="360"/>
      </w:pPr>
    </w:lvl>
    <w:lvl w:ilvl="5" w:tplc="3B544F9E" w:tentative="1">
      <w:start w:val="1"/>
      <w:numFmt w:val="lowerRoman"/>
      <w:lvlText w:val="%6."/>
      <w:lvlJc w:val="right"/>
      <w:pPr>
        <w:ind w:left="4320" w:hanging="180"/>
      </w:pPr>
    </w:lvl>
    <w:lvl w:ilvl="6" w:tplc="C776A9D2" w:tentative="1">
      <w:start w:val="1"/>
      <w:numFmt w:val="decimal"/>
      <w:lvlText w:val="%7."/>
      <w:lvlJc w:val="left"/>
      <w:pPr>
        <w:ind w:left="5040" w:hanging="360"/>
      </w:pPr>
    </w:lvl>
    <w:lvl w:ilvl="7" w:tplc="51746494" w:tentative="1">
      <w:start w:val="1"/>
      <w:numFmt w:val="lowerLetter"/>
      <w:lvlText w:val="%8."/>
      <w:lvlJc w:val="left"/>
      <w:pPr>
        <w:ind w:left="5760" w:hanging="360"/>
      </w:pPr>
    </w:lvl>
    <w:lvl w:ilvl="8" w:tplc="EA9AADE8"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49C8E302">
      <w:start w:val="1"/>
      <w:numFmt w:val="bullet"/>
      <w:lvlText w:val=""/>
      <w:lvlJc w:val="left"/>
      <w:pPr>
        <w:ind w:left="720" w:hanging="360"/>
      </w:pPr>
      <w:rPr>
        <w:rFonts w:ascii="Symbol" w:hAnsi="Symbol" w:hint="default"/>
      </w:rPr>
    </w:lvl>
    <w:lvl w:ilvl="1" w:tplc="534E6610" w:tentative="1">
      <w:start w:val="1"/>
      <w:numFmt w:val="bullet"/>
      <w:lvlText w:val="o"/>
      <w:lvlJc w:val="left"/>
      <w:pPr>
        <w:ind w:left="1440" w:hanging="360"/>
      </w:pPr>
      <w:rPr>
        <w:rFonts w:ascii="Courier New" w:hAnsi="Courier New" w:cs="Courier New" w:hint="default"/>
      </w:rPr>
    </w:lvl>
    <w:lvl w:ilvl="2" w:tplc="0D445482" w:tentative="1">
      <w:start w:val="1"/>
      <w:numFmt w:val="bullet"/>
      <w:lvlText w:val=""/>
      <w:lvlJc w:val="left"/>
      <w:pPr>
        <w:ind w:left="2160" w:hanging="360"/>
      </w:pPr>
      <w:rPr>
        <w:rFonts w:ascii="Wingdings" w:hAnsi="Wingdings" w:hint="default"/>
      </w:rPr>
    </w:lvl>
    <w:lvl w:ilvl="3" w:tplc="610A3144" w:tentative="1">
      <w:start w:val="1"/>
      <w:numFmt w:val="bullet"/>
      <w:lvlText w:val=""/>
      <w:lvlJc w:val="left"/>
      <w:pPr>
        <w:ind w:left="2880" w:hanging="360"/>
      </w:pPr>
      <w:rPr>
        <w:rFonts w:ascii="Symbol" w:hAnsi="Symbol" w:hint="default"/>
      </w:rPr>
    </w:lvl>
    <w:lvl w:ilvl="4" w:tplc="64B28EB6" w:tentative="1">
      <w:start w:val="1"/>
      <w:numFmt w:val="bullet"/>
      <w:lvlText w:val="o"/>
      <w:lvlJc w:val="left"/>
      <w:pPr>
        <w:ind w:left="3600" w:hanging="360"/>
      </w:pPr>
      <w:rPr>
        <w:rFonts w:ascii="Courier New" w:hAnsi="Courier New" w:cs="Courier New" w:hint="default"/>
      </w:rPr>
    </w:lvl>
    <w:lvl w:ilvl="5" w:tplc="83D0345C" w:tentative="1">
      <w:start w:val="1"/>
      <w:numFmt w:val="bullet"/>
      <w:lvlText w:val=""/>
      <w:lvlJc w:val="left"/>
      <w:pPr>
        <w:ind w:left="4320" w:hanging="360"/>
      </w:pPr>
      <w:rPr>
        <w:rFonts w:ascii="Wingdings" w:hAnsi="Wingdings" w:hint="default"/>
      </w:rPr>
    </w:lvl>
    <w:lvl w:ilvl="6" w:tplc="3D843ADC" w:tentative="1">
      <w:start w:val="1"/>
      <w:numFmt w:val="bullet"/>
      <w:lvlText w:val=""/>
      <w:lvlJc w:val="left"/>
      <w:pPr>
        <w:ind w:left="5040" w:hanging="360"/>
      </w:pPr>
      <w:rPr>
        <w:rFonts w:ascii="Symbol" w:hAnsi="Symbol" w:hint="default"/>
      </w:rPr>
    </w:lvl>
    <w:lvl w:ilvl="7" w:tplc="90BE5742" w:tentative="1">
      <w:start w:val="1"/>
      <w:numFmt w:val="bullet"/>
      <w:lvlText w:val="o"/>
      <w:lvlJc w:val="left"/>
      <w:pPr>
        <w:ind w:left="5760" w:hanging="360"/>
      </w:pPr>
      <w:rPr>
        <w:rFonts w:ascii="Courier New" w:hAnsi="Courier New" w:cs="Courier New" w:hint="default"/>
      </w:rPr>
    </w:lvl>
    <w:lvl w:ilvl="8" w:tplc="0374CDAA"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85B047F6">
      <w:start w:val="1"/>
      <w:numFmt w:val="bullet"/>
      <w:lvlText w:val=""/>
      <w:lvlJc w:val="left"/>
      <w:pPr>
        <w:ind w:left="720" w:hanging="360"/>
      </w:pPr>
      <w:rPr>
        <w:rFonts w:ascii="Symbol" w:hAnsi="Symbol" w:hint="default"/>
      </w:rPr>
    </w:lvl>
    <w:lvl w:ilvl="1" w:tplc="2DDEFA64">
      <w:start w:val="1"/>
      <w:numFmt w:val="bullet"/>
      <w:lvlText w:val="o"/>
      <w:lvlJc w:val="left"/>
      <w:pPr>
        <w:ind w:left="1440" w:hanging="360"/>
      </w:pPr>
      <w:rPr>
        <w:rFonts w:ascii="Courier New" w:hAnsi="Courier New" w:cs="Courier New" w:hint="default"/>
      </w:rPr>
    </w:lvl>
    <w:lvl w:ilvl="2" w:tplc="9A428666">
      <w:start w:val="1"/>
      <w:numFmt w:val="bullet"/>
      <w:lvlText w:val=""/>
      <w:lvlJc w:val="left"/>
      <w:pPr>
        <w:ind w:left="2160" w:hanging="360"/>
      </w:pPr>
      <w:rPr>
        <w:rFonts w:ascii="Wingdings" w:hAnsi="Wingdings" w:hint="default"/>
      </w:rPr>
    </w:lvl>
    <w:lvl w:ilvl="3" w:tplc="77D224D0">
      <w:start w:val="1"/>
      <w:numFmt w:val="bullet"/>
      <w:lvlText w:val=""/>
      <w:lvlJc w:val="left"/>
      <w:pPr>
        <w:ind w:left="2880" w:hanging="360"/>
      </w:pPr>
      <w:rPr>
        <w:rFonts w:ascii="Symbol" w:hAnsi="Symbol" w:hint="default"/>
      </w:rPr>
    </w:lvl>
    <w:lvl w:ilvl="4" w:tplc="8DBE1A0C">
      <w:start w:val="1"/>
      <w:numFmt w:val="bullet"/>
      <w:lvlText w:val="o"/>
      <w:lvlJc w:val="left"/>
      <w:pPr>
        <w:ind w:left="3600" w:hanging="360"/>
      </w:pPr>
      <w:rPr>
        <w:rFonts w:ascii="Courier New" w:hAnsi="Courier New" w:cs="Courier New" w:hint="default"/>
      </w:rPr>
    </w:lvl>
    <w:lvl w:ilvl="5" w:tplc="C8A266DE">
      <w:start w:val="1"/>
      <w:numFmt w:val="bullet"/>
      <w:lvlText w:val=""/>
      <w:lvlJc w:val="left"/>
      <w:pPr>
        <w:ind w:left="4320" w:hanging="360"/>
      </w:pPr>
      <w:rPr>
        <w:rFonts w:ascii="Wingdings" w:hAnsi="Wingdings" w:hint="default"/>
      </w:rPr>
    </w:lvl>
    <w:lvl w:ilvl="6" w:tplc="DF8CA242">
      <w:start w:val="1"/>
      <w:numFmt w:val="bullet"/>
      <w:lvlText w:val=""/>
      <w:lvlJc w:val="left"/>
      <w:pPr>
        <w:ind w:left="5040" w:hanging="360"/>
      </w:pPr>
      <w:rPr>
        <w:rFonts w:ascii="Symbol" w:hAnsi="Symbol" w:hint="default"/>
      </w:rPr>
    </w:lvl>
    <w:lvl w:ilvl="7" w:tplc="3CDA038A">
      <w:start w:val="1"/>
      <w:numFmt w:val="bullet"/>
      <w:lvlText w:val="o"/>
      <w:lvlJc w:val="left"/>
      <w:pPr>
        <w:ind w:left="5760" w:hanging="360"/>
      </w:pPr>
      <w:rPr>
        <w:rFonts w:ascii="Courier New" w:hAnsi="Courier New" w:cs="Courier New" w:hint="default"/>
      </w:rPr>
    </w:lvl>
    <w:lvl w:ilvl="8" w:tplc="1070083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FI"/>
    <w:docVar w:name="dvnumam" w:val="187"/>
    <w:docVar w:name="dvpe" w:val="753.514"/>
    <w:docVar w:name="dvrapporteur" w:val="Esittelijä: "/>
    <w:docVar w:name="dvstar" w:val="***I"/>
    <w:docVar w:name="dvtitre" w:val="Euroopan parlamentin lainsäädäntöpäätöslauselma xx. maaliskuuta 2024 ehdotuksesta Euroopan parlamentin ja neuvoston asetukseksi Euroopan meriturvallisuusvirastosta ja asetuksen (EY) N:o 1406/2002 kumoamisesta(COM(2023)0269 – C9-0190/2023 – 2023/0163(COD))"/>
  </w:docVars>
  <w:rsids>
    <w:rsidRoot w:val="00CE5496"/>
    <w:rsid w:val="00002272"/>
    <w:rsid w:val="00064002"/>
    <w:rsid w:val="000677B9"/>
    <w:rsid w:val="000831BA"/>
    <w:rsid w:val="000A42CC"/>
    <w:rsid w:val="000E6A3A"/>
    <w:rsid w:val="000E7DD9"/>
    <w:rsid w:val="0010095E"/>
    <w:rsid w:val="00125B37"/>
    <w:rsid w:val="00187494"/>
    <w:rsid w:val="001F32AE"/>
    <w:rsid w:val="002767FF"/>
    <w:rsid w:val="002A7AE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939"/>
    <w:rsid w:val="0050519A"/>
    <w:rsid w:val="005072A1"/>
    <w:rsid w:val="00514517"/>
    <w:rsid w:val="00545827"/>
    <w:rsid w:val="00560270"/>
    <w:rsid w:val="005C2568"/>
    <w:rsid w:val="006037C0"/>
    <w:rsid w:val="006631B6"/>
    <w:rsid w:val="00680577"/>
    <w:rsid w:val="006B401A"/>
    <w:rsid w:val="006E08CC"/>
    <w:rsid w:val="006F74FA"/>
    <w:rsid w:val="00731ADD"/>
    <w:rsid w:val="00734777"/>
    <w:rsid w:val="00747932"/>
    <w:rsid w:val="00751A4A"/>
    <w:rsid w:val="00756632"/>
    <w:rsid w:val="00762C74"/>
    <w:rsid w:val="00786EC0"/>
    <w:rsid w:val="007B0A5D"/>
    <w:rsid w:val="007D1690"/>
    <w:rsid w:val="007E22AD"/>
    <w:rsid w:val="007E7AE7"/>
    <w:rsid w:val="008063F0"/>
    <w:rsid w:val="00817416"/>
    <w:rsid w:val="00842779"/>
    <w:rsid w:val="00865F67"/>
    <w:rsid w:val="00881A7B"/>
    <w:rsid w:val="008840E5"/>
    <w:rsid w:val="00887B3E"/>
    <w:rsid w:val="008C2AC6"/>
    <w:rsid w:val="00930C23"/>
    <w:rsid w:val="0093193B"/>
    <w:rsid w:val="009509D8"/>
    <w:rsid w:val="00950B64"/>
    <w:rsid w:val="00970B4A"/>
    <w:rsid w:val="00981893"/>
    <w:rsid w:val="00A1687D"/>
    <w:rsid w:val="00A43E52"/>
    <w:rsid w:val="00A4678D"/>
    <w:rsid w:val="00A637F7"/>
    <w:rsid w:val="00A778C7"/>
    <w:rsid w:val="00AB441E"/>
    <w:rsid w:val="00AB6293"/>
    <w:rsid w:val="00AE0928"/>
    <w:rsid w:val="00AF3B82"/>
    <w:rsid w:val="00B12E95"/>
    <w:rsid w:val="00B22876"/>
    <w:rsid w:val="00B358CC"/>
    <w:rsid w:val="00B558F0"/>
    <w:rsid w:val="00BD48FE"/>
    <w:rsid w:val="00BD7BD8"/>
    <w:rsid w:val="00BD7CCF"/>
    <w:rsid w:val="00BE6ADC"/>
    <w:rsid w:val="00C05BFE"/>
    <w:rsid w:val="00C23CD4"/>
    <w:rsid w:val="00C61C0C"/>
    <w:rsid w:val="00C941CB"/>
    <w:rsid w:val="00CC2357"/>
    <w:rsid w:val="00CE5496"/>
    <w:rsid w:val="00CF071A"/>
    <w:rsid w:val="00D058B8"/>
    <w:rsid w:val="00D56C11"/>
    <w:rsid w:val="00D834A0"/>
    <w:rsid w:val="00D872DF"/>
    <w:rsid w:val="00D91E21"/>
    <w:rsid w:val="00DA7FCD"/>
    <w:rsid w:val="00DF107B"/>
    <w:rsid w:val="00E365E1"/>
    <w:rsid w:val="00E820A4"/>
    <w:rsid w:val="00EA24FE"/>
    <w:rsid w:val="00EB006A"/>
    <w:rsid w:val="00EB4772"/>
    <w:rsid w:val="00EB4AF9"/>
    <w:rsid w:val="00ED169E"/>
    <w:rsid w:val="00ED4235"/>
    <w:rsid w:val="00F04346"/>
    <w:rsid w:val="00F075DC"/>
    <w:rsid w:val="00F149E9"/>
    <w:rsid w:val="00F201FB"/>
    <w:rsid w:val="00F47CD4"/>
    <w:rsid w:val="00F5134D"/>
    <w:rsid w:val="00F74202"/>
    <w:rsid w:val="00F87713"/>
    <w:rsid w:val="00F922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CA094"/>
  <w15:chartTrackingRefBased/>
  <w15:docId w15:val="{FE60CB06-A63A-4015-968C-E3D120A4B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1FB"/>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70B4A"/>
    <w:rPr>
      <w:b/>
      <w:kern w:val="28"/>
      <w:sz w:val="28"/>
      <w:lang w:val="fr-FR" w:eastAsia="fr-FR"/>
    </w:rPr>
  </w:style>
  <w:style w:type="character" w:customStyle="1" w:styleId="Heading2Char">
    <w:name w:val="Heading 2 Char"/>
    <w:basedOn w:val="DefaultParagraphFont"/>
    <w:link w:val="Heading2"/>
    <w:rsid w:val="00970B4A"/>
    <w:rPr>
      <w:sz w:val="24"/>
      <w:lang w:val="fr-FR" w:eastAsia="fr-FR"/>
    </w:rPr>
  </w:style>
  <w:style w:type="character" w:customStyle="1" w:styleId="Heading3Char">
    <w:name w:val="Heading 3 Char"/>
    <w:basedOn w:val="DefaultParagraphFont"/>
    <w:link w:val="Heading3"/>
    <w:rsid w:val="00970B4A"/>
    <w:rPr>
      <w:rFonts w:ascii="Arial" w:hAnsi="Arial"/>
      <w:sz w:val="24"/>
      <w:lang w:val="fr-FR" w:eastAsia="fr-FR"/>
    </w:rPr>
  </w:style>
  <w:style w:type="character" w:customStyle="1" w:styleId="Heading4Char">
    <w:name w:val="Heading 4 Char"/>
    <w:basedOn w:val="DefaultParagraphFont"/>
    <w:link w:val="Heading4"/>
    <w:rsid w:val="00970B4A"/>
    <w:rPr>
      <w:sz w:val="24"/>
      <w:lang w:val="en-US" w:eastAsia="fr-FR"/>
    </w:rPr>
  </w:style>
  <w:style w:type="character" w:customStyle="1" w:styleId="Heading5Char">
    <w:name w:val="Heading 5 Char"/>
    <w:basedOn w:val="DefaultParagraphFont"/>
    <w:link w:val="Heading5"/>
    <w:semiHidden/>
    <w:rsid w:val="00970B4A"/>
    <w:rPr>
      <w:sz w:val="24"/>
      <w:lang w:val="en-US" w:eastAsia="fr-FR"/>
    </w:rPr>
  </w:style>
  <w:style w:type="character" w:customStyle="1" w:styleId="Heading6Char">
    <w:name w:val="Heading 6 Char"/>
    <w:basedOn w:val="DefaultParagraphFont"/>
    <w:link w:val="Heading6"/>
    <w:semiHidden/>
    <w:rsid w:val="00970B4A"/>
    <w:rPr>
      <w:i/>
      <w:sz w:val="22"/>
      <w:lang w:val="fi-FI"/>
    </w:rPr>
  </w:style>
  <w:style w:type="character" w:customStyle="1" w:styleId="Heading7Char">
    <w:name w:val="Heading 7 Char"/>
    <w:basedOn w:val="DefaultParagraphFont"/>
    <w:link w:val="Heading7"/>
    <w:semiHidden/>
    <w:rsid w:val="00970B4A"/>
    <w:rPr>
      <w:rFonts w:ascii="Arial" w:hAnsi="Arial"/>
      <w:sz w:val="24"/>
      <w:lang w:val="fi-FI"/>
    </w:rPr>
  </w:style>
  <w:style w:type="character" w:customStyle="1" w:styleId="Heading8Char">
    <w:name w:val="Heading 8 Char"/>
    <w:basedOn w:val="DefaultParagraphFont"/>
    <w:link w:val="Heading8"/>
    <w:semiHidden/>
    <w:rsid w:val="00970B4A"/>
    <w:rPr>
      <w:rFonts w:ascii="Arial" w:hAnsi="Arial"/>
      <w:i/>
      <w:sz w:val="24"/>
      <w:lang w:val="fi-FI"/>
    </w:rPr>
  </w:style>
  <w:style w:type="character" w:customStyle="1" w:styleId="Heading9Char">
    <w:name w:val="Heading 9 Char"/>
    <w:basedOn w:val="DefaultParagraphFont"/>
    <w:link w:val="Heading9"/>
    <w:semiHidden/>
    <w:rsid w:val="00970B4A"/>
    <w:rPr>
      <w:rFonts w:ascii="Arial" w:hAnsi="Arial"/>
      <w:b/>
      <w:i/>
      <w:sz w:val="18"/>
      <w:lang w:val="fi-FI"/>
    </w:rPr>
  </w:style>
  <w:style w:type="paragraph" w:styleId="TOCHeading">
    <w:name w:val="TOC Heading"/>
    <w:basedOn w:val="Normal"/>
    <w:next w:val="Normal"/>
    <w:uiPriority w:val="39"/>
    <w:unhideWhenUsed/>
    <w:qFormat/>
    <w:rsid w:val="00970B4A"/>
    <w:pPr>
      <w:widowControl/>
      <w:spacing w:after="240"/>
    </w:pPr>
    <w:rPr>
      <w:lang w:val="en-GB"/>
    </w:rPr>
  </w:style>
  <w:style w:type="paragraph" w:customStyle="1" w:styleId="EPFooter2">
    <w:name w:val="EPFooter2"/>
    <w:basedOn w:val="Normal"/>
    <w:next w:val="Normal"/>
    <w:rsid w:val="00970B4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70B4A"/>
    <w:pPr>
      <w:keepNext/>
      <w:spacing w:after="240"/>
      <w:jc w:val="right"/>
    </w:pPr>
    <w:rPr>
      <w:rFonts w:ascii="Arial" w:hAnsi="Arial"/>
      <w:b/>
    </w:rPr>
  </w:style>
  <w:style w:type="paragraph" w:customStyle="1" w:styleId="Normal6a">
    <w:name w:val="Normal6a"/>
    <w:basedOn w:val="Normal"/>
    <w:rsid w:val="00970B4A"/>
    <w:pPr>
      <w:spacing w:after="120"/>
    </w:pPr>
  </w:style>
  <w:style w:type="paragraph" w:customStyle="1" w:styleId="PageHeading">
    <w:name w:val="PageHeading"/>
    <w:basedOn w:val="Normal"/>
    <w:rsid w:val="00970B4A"/>
    <w:pPr>
      <w:keepNext/>
      <w:spacing w:after="480"/>
      <w:jc w:val="center"/>
    </w:pPr>
    <w:rPr>
      <w:rFonts w:ascii="Arial" w:hAnsi="Arial" w:cs="Arial"/>
      <w:b/>
    </w:rPr>
  </w:style>
  <w:style w:type="paragraph" w:customStyle="1" w:styleId="NormalBold">
    <w:name w:val="NormalBold"/>
    <w:basedOn w:val="Normal"/>
    <w:link w:val="NormalBoldChar"/>
    <w:rsid w:val="00970B4A"/>
    <w:rPr>
      <w:b/>
    </w:rPr>
  </w:style>
  <w:style w:type="paragraph" w:customStyle="1" w:styleId="NormalBold12a">
    <w:name w:val="NormalBold12a"/>
    <w:basedOn w:val="Normal"/>
    <w:rsid w:val="00970B4A"/>
    <w:pPr>
      <w:spacing w:after="240"/>
    </w:pPr>
    <w:rPr>
      <w:b/>
    </w:rPr>
  </w:style>
  <w:style w:type="paragraph" w:customStyle="1" w:styleId="AmJustText">
    <w:name w:val="AmJustText"/>
    <w:basedOn w:val="Normal"/>
    <w:rsid w:val="00970B4A"/>
    <w:pPr>
      <w:spacing w:after="240"/>
    </w:pPr>
    <w:rPr>
      <w:i/>
    </w:rPr>
  </w:style>
  <w:style w:type="paragraph" w:customStyle="1" w:styleId="NormalHanging12a">
    <w:name w:val="NormalHanging12a"/>
    <w:basedOn w:val="Normal"/>
    <w:rsid w:val="00970B4A"/>
    <w:pPr>
      <w:spacing w:after="240"/>
      <w:ind w:left="567" w:hanging="567"/>
    </w:pPr>
  </w:style>
  <w:style w:type="paragraph" w:customStyle="1" w:styleId="CoverNormal24a">
    <w:name w:val="CoverNormal24a"/>
    <w:basedOn w:val="Normal"/>
    <w:rsid w:val="00970B4A"/>
    <w:pPr>
      <w:spacing w:after="480"/>
      <w:ind w:left="1417"/>
    </w:pPr>
  </w:style>
  <w:style w:type="paragraph" w:customStyle="1" w:styleId="CoverNormal">
    <w:name w:val="CoverNormal"/>
    <w:basedOn w:val="Normal"/>
    <w:rsid w:val="00970B4A"/>
    <w:pPr>
      <w:ind w:left="1418"/>
    </w:pPr>
  </w:style>
  <w:style w:type="paragraph" w:customStyle="1" w:styleId="AmCrossRef">
    <w:name w:val="AmCrossRef"/>
    <w:basedOn w:val="Normal"/>
    <w:rsid w:val="00970B4A"/>
    <w:pPr>
      <w:spacing w:before="240" w:after="240"/>
      <w:jc w:val="center"/>
    </w:pPr>
    <w:rPr>
      <w:i/>
    </w:rPr>
  </w:style>
  <w:style w:type="paragraph" w:customStyle="1" w:styleId="AmJustTitle">
    <w:name w:val="AmJustTitle"/>
    <w:basedOn w:val="Normal"/>
    <w:next w:val="AmJustText"/>
    <w:rsid w:val="00970B4A"/>
    <w:pPr>
      <w:keepNext/>
      <w:spacing w:before="240" w:after="240"/>
      <w:jc w:val="center"/>
    </w:pPr>
    <w:rPr>
      <w:i/>
    </w:rPr>
  </w:style>
  <w:style w:type="paragraph" w:customStyle="1" w:styleId="CoverReference">
    <w:name w:val="CoverReference"/>
    <w:basedOn w:val="Normal"/>
    <w:rsid w:val="00970B4A"/>
    <w:pPr>
      <w:spacing w:before="1080"/>
      <w:jc w:val="right"/>
    </w:pPr>
    <w:rPr>
      <w:rFonts w:ascii="Arial" w:hAnsi="Arial" w:cs="Arial"/>
      <w:b/>
    </w:rPr>
  </w:style>
  <w:style w:type="paragraph" w:customStyle="1" w:styleId="CoverDocType">
    <w:name w:val="CoverDocType"/>
    <w:basedOn w:val="Normal"/>
    <w:rsid w:val="00970B4A"/>
    <w:pPr>
      <w:ind w:left="1418"/>
    </w:pPr>
    <w:rPr>
      <w:rFonts w:ascii="Arial" w:hAnsi="Arial"/>
      <w:b/>
      <w:sz w:val="48"/>
    </w:rPr>
  </w:style>
  <w:style w:type="paragraph" w:customStyle="1" w:styleId="CoverDocType24a">
    <w:name w:val="CoverDocType24a"/>
    <w:basedOn w:val="Normal"/>
    <w:rsid w:val="00970B4A"/>
    <w:pPr>
      <w:spacing w:after="480"/>
      <w:ind w:left="1418"/>
    </w:pPr>
    <w:rPr>
      <w:rFonts w:ascii="Arial" w:hAnsi="Arial"/>
      <w:b/>
      <w:sz w:val="48"/>
    </w:rPr>
  </w:style>
  <w:style w:type="paragraph" w:customStyle="1" w:styleId="CoverDate">
    <w:name w:val="CoverDate"/>
    <w:basedOn w:val="Normal"/>
    <w:rsid w:val="00970B4A"/>
    <w:pPr>
      <w:spacing w:before="240" w:after="1200"/>
    </w:pPr>
  </w:style>
  <w:style w:type="paragraph" w:styleId="Header">
    <w:name w:val="header"/>
    <w:basedOn w:val="Normal"/>
    <w:link w:val="HeaderChar"/>
    <w:rsid w:val="00970B4A"/>
    <w:pPr>
      <w:tabs>
        <w:tab w:val="center" w:pos="4513"/>
        <w:tab w:val="right" w:pos="9026"/>
      </w:tabs>
    </w:pPr>
  </w:style>
  <w:style w:type="character" w:customStyle="1" w:styleId="HeaderChar">
    <w:name w:val="Header Char"/>
    <w:basedOn w:val="DefaultParagraphFont"/>
    <w:link w:val="Header"/>
    <w:rsid w:val="00970B4A"/>
    <w:rPr>
      <w:sz w:val="24"/>
      <w:lang w:val="fi-FI"/>
    </w:rPr>
  </w:style>
  <w:style w:type="paragraph" w:customStyle="1" w:styleId="AmOrLang">
    <w:name w:val="AmOrLang"/>
    <w:basedOn w:val="Normal"/>
    <w:rsid w:val="00970B4A"/>
    <w:pPr>
      <w:spacing w:before="240" w:after="240"/>
      <w:jc w:val="right"/>
    </w:pPr>
  </w:style>
  <w:style w:type="paragraph" w:customStyle="1" w:styleId="AmColumnHeading">
    <w:name w:val="AmColumnHeading"/>
    <w:basedOn w:val="Normal"/>
    <w:rsid w:val="00970B4A"/>
    <w:pPr>
      <w:spacing w:after="240"/>
      <w:jc w:val="center"/>
    </w:pPr>
    <w:rPr>
      <w:i/>
    </w:rPr>
  </w:style>
  <w:style w:type="paragraph" w:customStyle="1" w:styleId="AmNumberTabs">
    <w:name w:val="AmNumberTabs"/>
    <w:basedOn w:val="Normal"/>
    <w:link w:val="AmNumberTabsChar"/>
    <w:rsid w:val="00970B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70B4A"/>
    <w:pPr>
      <w:spacing w:before="240"/>
    </w:pPr>
    <w:rPr>
      <w:b/>
    </w:rPr>
  </w:style>
  <w:style w:type="paragraph" w:customStyle="1" w:styleId="EPBody">
    <w:name w:val="EPBody"/>
    <w:basedOn w:val="Normal"/>
    <w:rsid w:val="00970B4A"/>
    <w:pPr>
      <w:jc w:val="center"/>
    </w:pPr>
    <w:rPr>
      <w:rFonts w:ascii="Arial" w:hAnsi="Arial" w:cs="Arial"/>
      <w:i/>
      <w:sz w:val="22"/>
      <w:szCs w:val="22"/>
    </w:rPr>
  </w:style>
  <w:style w:type="paragraph" w:customStyle="1" w:styleId="EPFooter">
    <w:name w:val="EPFooter"/>
    <w:basedOn w:val="Normal"/>
    <w:rsid w:val="00970B4A"/>
    <w:pPr>
      <w:tabs>
        <w:tab w:val="center" w:pos="4535"/>
        <w:tab w:val="right" w:pos="9071"/>
      </w:tabs>
      <w:spacing w:before="240" w:after="240"/>
    </w:pPr>
    <w:rPr>
      <w:color w:val="010000"/>
      <w:sz w:val="22"/>
    </w:rPr>
  </w:style>
  <w:style w:type="paragraph" w:customStyle="1" w:styleId="EPComma">
    <w:name w:val="EPComma"/>
    <w:basedOn w:val="Normal"/>
    <w:rsid w:val="00970B4A"/>
    <w:pPr>
      <w:spacing w:before="480" w:after="240"/>
    </w:pPr>
  </w:style>
  <w:style w:type="paragraph" w:customStyle="1" w:styleId="Lgendesigne">
    <w:name w:val="Légende signe"/>
    <w:basedOn w:val="Normal"/>
    <w:rsid w:val="00970B4A"/>
    <w:pPr>
      <w:tabs>
        <w:tab w:val="right" w:pos="454"/>
        <w:tab w:val="left" w:pos="737"/>
      </w:tabs>
      <w:ind w:left="737" w:hanging="737"/>
    </w:pPr>
    <w:rPr>
      <w:snapToGrid w:val="0"/>
      <w:sz w:val="18"/>
      <w:lang w:eastAsia="en-US"/>
    </w:rPr>
  </w:style>
  <w:style w:type="paragraph" w:customStyle="1" w:styleId="Lgendetitre">
    <w:name w:val="Légende titre"/>
    <w:basedOn w:val="Normal"/>
    <w:rsid w:val="00970B4A"/>
    <w:pPr>
      <w:spacing w:before="240" w:after="240"/>
    </w:pPr>
    <w:rPr>
      <w:b/>
      <w:i/>
      <w:snapToGrid w:val="0"/>
      <w:lang w:eastAsia="en-US"/>
    </w:rPr>
  </w:style>
  <w:style w:type="paragraph" w:customStyle="1" w:styleId="Lgendestandard">
    <w:name w:val="Légende standard"/>
    <w:basedOn w:val="Normal"/>
    <w:rsid w:val="00970B4A"/>
    <w:rPr>
      <w:sz w:val="18"/>
    </w:rPr>
  </w:style>
  <w:style w:type="character" w:customStyle="1" w:styleId="Normal6Char">
    <w:name w:val="Normal6 Char"/>
    <w:basedOn w:val="DefaultParagraphFont"/>
    <w:link w:val="Normal6"/>
    <w:locked/>
    <w:rsid w:val="00970B4A"/>
    <w:rPr>
      <w:sz w:val="24"/>
      <w:lang w:val="fi-FI"/>
    </w:rPr>
  </w:style>
  <w:style w:type="paragraph" w:customStyle="1" w:styleId="Normal6">
    <w:name w:val="Normal6"/>
    <w:basedOn w:val="Normal"/>
    <w:link w:val="Normal6Char"/>
    <w:rsid w:val="00970B4A"/>
    <w:pPr>
      <w:spacing w:after="120"/>
    </w:pPr>
  </w:style>
  <w:style w:type="character" w:customStyle="1" w:styleId="NormalBoldChar">
    <w:name w:val="NormalBold Char"/>
    <w:basedOn w:val="DefaultParagraphFont"/>
    <w:link w:val="NormalBold"/>
    <w:locked/>
    <w:rsid w:val="00970B4A"/>
    <w:rPr>
      <w:b/>
      <w:sz w:val="24"/>
      <w:lang w:val="fi-FI"/>
    </w:rPr>
  </w:style>
  <w:style w:type="paragraph" w:customStyle="1" w:styleId="Normal12Italic">
    <w:name w:val="Normal12Italic"/>
    <w:basedOn w:val="Normal"/>
    <w:rsid w:val="00970B4A"/>
    <w:pPr>
      <w:spacing w:after="240"/>
    </w:pPr>
    <w:rPr>
      <w:i/>
      <w:noProof/>
    </w:rPr>
  </w:style>
  <w:style w:type="paragraph" w:customStyle="1" w:styleId="JustificationTitle">
    <w:name w:val="JustificationTitle"/>
    <w:basedOn w:val="Normal"/>
    <w:next w:val="Normal"/>
    <w:rsid w:val="00970B4A"/>
    <w:pPr>
      <w:keepNext/>
      <w:spacing w:before="240" w:after="240"/>
      <w:jc w:val="center"/>
    </w:pPr>
    <w:rPr>
      <w:i/>
      <w:noProof/>
    </w:rPr>
  </w:style>
  <w:style w:type="paragraph" w:customStyle="1" w:styleId="ColumnHeading">
    <w:name w:val="ColumnHeading"/>
    <w:basedOn w:val="Normal"/>
    <w:rsid w:val="00970B4A"/>
    <w:pPr>
      <w:spacing w:after="240"/>
      <w:jc w:val="center"/>
    </w:pPr>
    <w:rPr>
      <w:i/>
    </w:rPr>
  </w:style>
  <w:style w:type="paragraph" w:customStyle="1" w:styleId="AMNumberTabs0">
    <w:name w:val="AMNumberTabs"/>
    <w:basedOn w:val="Normal"/>
    <w:rsid w:val="00970B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70B4A"/>
    <w:pPr>
      <w:jc w:val="right"/>
    </w:pPr>
    <w:rPr>
      <w:lang w:val="fi-FI"/>
    </w:rPr>
  </w:style>
  <w:style w:type="paragraph" w:styleId="Footer">
    <w:name w:val="footer"/>
    <w:basedOn w:val="Normal"/>
    <w:link w:val="FooterChar"/>
    <w:rsid w:val="00970B4A"/>
    <w:pPr>
      <w:tabs>
        <w:tab w:val="center" w:pos="4513"/>
        <w:tab w:val="right" w:pos="9026"/>
      </w:tabs>
    </w:pPr>
  </w:style>
  <w:style w:type="character" w:customStyle="1" w:styleId="FooterChar">
    <w:name w:val="Footer Char"/>
    <w:basedOn w:val="DefaultParagraphFont"/>
    <w:link w:val="Footer"/>
    <w:rsid w:val="00970B4A"/>
    <w:rPr>
      <w:sz w:val="24"/>
      <w:lang w:val="fi-FI"/>
    </w:rPr>
  </w:style>
  <w:style w:type="paragraph" w:customStyle="1" w:styleId="Normal12a">
    <w:name w:val="Normal12a"/>
    <w:basedOn w:val="Normal"/>
    <w:rsid w:val="00970B4A"/>
    <w:pPr>
      <w:spacing w:after="240"/>
    </w:pPr>
  </w:style>
  <w:style w:type="paragraph" w:customStyle="1" w:styleId="CoverDateNoRef">
    <w:name w:val="CoverDateNoRef"/>
    <w:basedOn w:val="Normal"/>
    <w:rsid w:val="00970B4A"/>
    <w:pPr>
      <w:spacing w:before="1560" w:after="1200"/>
    </w:pPr>
  </w:style>
  <w:style w:type="paragraph" w:styleId="PlainText">
    <w:name w:val="Plain Text"/>
    <w:basedOn w:val="Normal"/>
    <w:link w:val="PlainTextChar"/>
    <w:uiPriority w:val="99"/>
    <w:unhideWhenUsed/>
    <w:rsid w:val="00970B4A"/>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970B4A"/>
    <w:rPr>
      <w:rFonts w:ascii="Calibri" w:eastAsia="Calibri" w:hAnsi="Calibri"/>
      <w:sz w:val="22"/>
      <w:szCs w:val="21"/>
      <w:lang w:val="fi-FI" w:eastAsia="en-US"/>
    </w:rPr>
  </w:style>
  <w:style w:type="character" w:styleId="Hyperlink">
    <w:name w:val="Hyperlink"/>
    <w:basedOn w:val="DefaultParagraphFont"/>
    <w:unhideWhenUsed/>
    <w:rsid w:val="00970B4A"/>
    <w:rPr>
      <w:color w:val="0000FF"/>
      <w:u w:val="single"/>
    </w:rPr>
  </w:style>
  <w:style w:type="paragraph" w:styleId="BalloonText">
    <w:name w:val="Balloon Text"/>
    <w:basedOn w:val="Normal"/>
    <w:link w:val="BalloonTextChar"/>
    <w:unhideWhenUsed/>
    <w:rsid w:val="00970B4A"/>
    <w:rPr>
      <w:rFonts w:ascii="Segoe UI" w:hAnsi="Segoe UI" w:cs="Segoe UI"/>
      <w:sz w:val="18"/>
      <w:szCs w:val="18"/>
    </w:rPr>
  </w:style>
  <w:style w:type="character" w:customStyle="1" w:styleId="BalloonTextChar">
    <w:name w:val="Balloon Text Char"/>
    <w:basedOn w:val="DefaultParagraphFont"/>
    <w:link w:val="BalloonText"/>
    <w:rsid w:val="00970B4A"/>
    <w:rPr>
      <w:rFonts w:ascii="Segoe UI" w:hAnsi="Segoe UI" w:cs="Segoe UI"/>
      <w:sz w:val="18"/>
      <w:szCs w:val="18"/>
      <w:lang w:val="fi-FI"/>
    </w:rPr>
  </w:style>
  <w:style w:type="character" w:styleId="CommentReference">
    <w:name w:val="annotation reference"/>
    <w:basedOn w:val="DefaultParagraphFont"/>
    <w:rsid w:val="00970B4A"/>
    <w:rPr>
      <w:sz w:val="16"/>
      <w:szCs w:val="16"/>
    </w:rPr>
  </w:style>
  <w:style w:type="paragraph" w:styleId="CommentText">
    <w:name w:val="annotation text"/>
    <w:basedOn w:val="Normal"/>
    <w:link w:val="CommentTextChar"/>
    <w:rsid w:val="00970B4A"/>
    <w:rPr>
      <w:sz w:val="20"/>
    </w:rPr>
  </w:style>
  <w:style w:type="character" w:customStyle="1" w:styleId="CommentTextChar">
    <w:name w:val="Comment Text Char"/>
    <w:basedOn w:val="DefaultParagraphFont"/>
    <w:link w:val="CommentText"/>
    <w:rsid w:val="00970B4A"/>
    <w:rPr>
      <w:lang w:val="fi-FI"/>
    </w:rPr>
  </w:style>
  <w:style w:type="paragraph" w:styleId="CommentSubject">
    <w:name w:val="annotation subject"/>
    <w:basedOn w:val="CommentText"/>
    <w:next w:val="CommentText"/>
    <w:link w:val="CommentSubjectChar"/>
    <w:unhideWhenUsed/>
    <w:rsid w:val="00970B4A"/>
    <w:rPr>
      <w:b/>
      <w:bCs/>
    </w:rPr>
  </w:style>
  <w:style w:type="character" w:customStyle="1" w:styleId="CommentSubjectChar">
    <w:name w:val="Comment Subject Char"/>
    <w:basedOn w:val="CommentTextChar"/>
    <w:link w:val="CommentSubject"/>
    <w:rsid w:val="00970B4A"/>
    <w:rPr>
      <w:b/>
      <w:bCs/>
      <w:lang w:val="fi-FI"/>
    </w:rPr>
  </w:style>
  <w:style w:type="character" w:customStyle="1" w:styleId="AmNumberTabsChar">
    <w:name w:val="AmNumberTabs Char"/>
    <w:basedOn w:val="DefaultParagraphFont"/>
    <w:link w:val="AmNumberTabs"/>
    <w:rsid w:val="00970B4A"/>
    <w:rPr>
      <w:b/>
      <w:sz w:val="24"/>
      <w:lang w:val="fi-FI"/>
    </w:rPr>
  </w:style>
  <w:style w:type="character" w:customStyle="1" w:styleId="NormalBold12bChar">
    <w:name w:val="NormalBold12b Char"/>
    <w:basedOn w:val="AmNumberTabsChar"/>
    <w:link w:val="NormalBold12b"/>
    <w:rsid w:val="00970B4A"/>
    <w:rPr>
      <w:b/>
      <w:sz w:val="24"/>
      <w:lang w:val="fi-FI"/>
    </w:rPr>
  </w:style>
  <w:style w:type="paragraph" w:customStyle="1" w:styleId="PageHeadingNotTOC">
    <w:name w:val="PageHeadingNotTOC"/>
    <w:basedOn w:val="Normal"/>
    <w:rsid w:val="00970B4A"/>
    <w:pPr>
      <w:keepNext/>
      <w:spacing w:after="480"/>
      <w:jc w:val="center"/>
    </w:pPr>
    <w:rPr>
      <w:rFonts w:ascii="Arial" w:hAnsi="Arial" w:cs="Arial"/>
      <w:b/>
    </w:rPr>
  </w:style>
  <w:style w:type="paragraph" w:customStyle="1" w:styleId="RollCallSymbols14pt">
    <w:name w:val="RollCallSymbols14pt"/>
    <w:basedOn w:val="Normal"/>
    <w:rsid w:val="00970B4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70B4A"/>
    <w:pPr>
      <w:tabs>
        <w:tab w:val="center" w:pos="284"/>
        <w:tab w:val="left" w:pos="426"/>
      </w:tabs>
    </w:pPr>
    <w:rPr>
      <w:snapToGrid w:val="0"/>
      <w:lang w:eastAsia="en-US"/>
    </w:rPr>
  </w:style>
  <w:style w:type="paragraph" w:customStyle="1" w:styleId="RollCallVotes">
    <w:name w:val="RollCallVotes"/>
    <w:basedOn w:val="Normal"/>
    <w:rsid w:val="00970B4A"/>
    <w:pPr>
      <w:spacing w:before="120" w:after="120"/>
      <w:jc w:val="center"/>
    </w:pPr>
    <w:rPr>
      <w:b/>
      <w:bCs/>
      <w:snapToGrid w:val="0"/>
      <w:sz w:val="16"/>
      <w:lang w:eastAsia="en-US"/>
    </w:rPr>
  </w:style>
  <w:style w:type="paragraph" w:customStyle="1" w:styleId="RollCallTable">
    <w:name w:val="RollCallTable"/>
    <w:basedOn w:val="Normal"/>
    <w:rsid w:val="00970B4A"/>
    <w:pPr>
      <w:spacing w:before="120" w:after="120"/>
    </w:pPr>
    <w:rPr>
      <w:snapToGrid w:val="0"/>
      <w:sz w:val="16"/>
      <w:lang w:eastAsia="en-US"/>
    </w:rPr>
  </w:style>
  <w:style w:type="paragraph" w:customStyle="1" w:styleId="Normal24a">
    <w:name w:val="Normal24a"/>
    <w:basedOn w:val="Normal"/>
    <w:rsid w:val="00970B4A"/>
    <w:pPr>
      <w:spacing w:after="480"/>
    </w:pPr>
  </w:style>
  <w:style w:type="paragraph" w:customStyle="1" w:styleId="NormalBoldCenter">
    <w:name w:val="NormalBoldCenter"/>
    <w:basedOn w:val="Normal"/>
    <w:rsid w:val="00970B4A"/>
    <w:pPr>
      <w:jc w:val="center"/>
    </w:pPr>
    <w:rPr>
      <w:b/>
    </w:rPr>
  </w:style>
  <w:style w:type="character" w:styleId="Emphasis">
    <w:name w:val="Emphasis"/>
    <w:basedOn w:val="DefaultParagraphFont"/>
    <w:uiPriority w:val="20"/>
    <w:qFormat/>
    <w:rsid w:val="00970B4A"/>
    <w:rPr>
      <w:i/>
      <w:iCs/>
    </w:rPr>
  </w:style>
  <w:style w:type="paragraph" w:customStyle="1" w:styleId="Default">
    <w:name w:val="Default"/>
    <w:basedOn w:val="Normal"/>
    <w:rsid w:val="00970B4A"/>
    <w:pPr>
      <w:widowControl/>
      <w:autoSpaceDE w:val="0"/>
      <w:autoSpaceDN w:val="0"/>
    </w:pPr>
    <w:rPr>
      <w:rFonts w:eastAsiaTheme="minorHAnsi"/>
      <w:color w:val="000000"/>
      <w:szCs w:val="24"/>
    </w:rPr>
  </w:style>
  <w:style w:type="paragraph" w:customStyle="1" w:styleId="AmHeadingPA">
    <w:name w:val="AmHeadingPA"/>
    <w:basedOn w:val="Normal"/>
    <w:next w:val="Normal"/>
    <w:rsid w:val="00970B4A"/>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970B4A"/>
    <w:pPr>
      <w:widowControl/>
      <w:ind w:left="720"/>
      <w:contextualSpacing/>
      <w:jc w:val="both"/>
    </w:pPr>
    <w:rPr>
      <w:rFonts w:eastAsia="Calibri"/>
      <w:szCs w:val="24"/>
      <w:lang w:eastAsia="en-US"/>
    </w:rPr>
  </w:style>
  <w:style w:type="paragraph" w:customStyle="1" w:styleId="Text1">
    <w:name w:val="Text 1"/>
    <w:basedOn w:val="Normal"/>
    <w:rsid w:val="00970B4A"/>
    <w:pPr>
      <w:widowControl/>
      <w:spacing w:before="120" w:after="120"/>
      <w:ind w:left="850"/>
      <w:jc w:val="both"/>
    </w:pPr>
    <w:rPr>
      <w:rFonts w:eastAsia="Calibri"/>
      <w:szCs w:val="22"/>
      <w:lang w:eastAsia="en-US"/>
    </w:rPr>
  </w:style>
  <w:style w:type="paragraph" w:styleId="Revision">
    <w:name w:val="Revision"/>
    <w:hidden/>
    <w:uiPriority w:val="99"/>
    <w:semiHidden/>
    <w:rsid w:val="00970B4A"/>
    <w:rPr>
      <w:sz w:val="24"/>
      <w:lang w:val="fi-FI"/>
    </w:rPr>
  </w:style>
  <w:style w:type="character" w:styleId="FollowedHyperlink">
    <w:name w:val="FollowedHyperlink"/>
    <w:basedOn w:val="DefaultParagraphFont"/>
    <w:rsid w:val="00970B4A"/>
    <w:rPr>
      <w:color w:val="954F72" w:themeColor="followedHyperlink"/>
      <w:u w:val="single"/>
    </w:rPr>
  </w:style>
  <w:style w:type="numbering" w:customStyle="1" w:styleId="NoList1">
    <w:name w:val="No List1"/>
    <w:next w:val="NoList"/>
    <w:uiPriority w:val="99"/>
    <w:semiHidden/>
    <w:unhideWhenUsed/>
    <w:rsid w:val="007E7AE7"/>
  </w:style>
  <w:style w:type="paragraph" w:customStyle="1" w:styleId="SignaturePersonne">
    <w:name w:val="Signature Personne"/>
    <w:basedOn w:val="Normal"/>
    <w:rsid w:val="007E7AE7"/>
    <w:pPr>
      <w:widowControl/>
      <w:tabs>
        <w:tab w:val="left" w:pos="4252"/>
      </w:tabs>
      <w:spacing w:line="360" w:lineRule="auto"/>
    </w:pPr>
    <w:rPr>
      <w:i/>
      <w:szCs w:val="24"/>
      <w:lang w:val="en-GB" w:eastAsia="en-US"/>
    </w:rPr>
  </w:style>
  <w:style w:type="paragraph" w:customStyle="1" w:styleId="Considrant">
    <w:name w:val="Considérant"/>
    <w:basedOn w:val="Normal"/>
    <w:rsid w:val="007E7AE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7E7AE7"/>
    <w:pPr>
      <w:keepNext/>
      <w:spacing w:before="600" w:after="120" w:line="360" w:lineRule="auto"/>
    </w:pPr>
    <w:rPr>
      <w:szCs w:val="24"/>
      <w:lang w:val="en-GB" w:eastAsia="en-US"/>
    </w:rPr>
  </w:style>
  <w:style w:type="paragraph" w:customStyle="1" w:styleId="Institutionquisigne">
    <w:name w:val="Institution qui signe"/>
    <w:basedOn w:val="Normal"/>
    <w:next w:val="Normal"/>
    <w:rsid w:val="007E7AE7"/>
    <w:pPr>
      <w:keepNext/>
      <w:tabs>
        <w:tab w:val="left" w:pos="4252"/>
      </w:tabs>
      <w:spacing w:before="720" w:line="360" w:lineRule="auto"/>
    </w:pPr>
    <w:rPr>
      <w:i/>
      <w:szCs w:val="24"/>
      <w:lang w:val="en-GB" w:eastAsia="en-US"/>
    </w:rPr>
  </w:style>
  <w:style w:type="paragraph" w:customStyle="1" w:styleId="Fait">
    <w:name w:val="Fait à"/>
    <w:basedOn w:val="Normal"/>
    <w:rsid w:val="007E7AE7"/>
    <w:pPr>
      <w:keepNext/>
      <w:widowControl/>
      <w:spacing w:before="120" w:line="360" w:lineRule="auto"/>
    </w:pPr>
    <w:rPr>
      <w:szCs w:val="24"/>
      <w:lang w:val="en-GB" w:eastAsia="en-US"/>
    </w:rPr>
  </w:style>
  <w:style w:type="paragraph" w:customStyle="1" w:styleId="FootnoteTextForceStyle">
    <w:name w:val="Footnote Text ForceStyle"/>
    <w:rsid w:val="007E7AE7"/>
    <w:pPr>
      <w:keepLines/>
      <w:widowControl w:val="0"/>
      <w:ind w:left="850" w:hanging="850"/>
    </w:pPr>
    <w:rPr>
      <w:sz w:val="24"/>
      <w:lang w:eastAsia="en-US"/>
    </w:rPr>
  </w:style>
  <w:style w:type="character" w:customStyle="1" w:styleId="Footer2">
    <w:name w:val="Footer2"/>
    <w:rsid w:val="007E7AE7"/>
    <w:rPr>
      <w:rFonts w:ascii="Arial" w:hAnsi="Arial"/>
      <w:b/>
      <w:sz w:val="48"/>
    </w:rPr>
  </w:style>
  <w:style w:type="paragraph" w:customStyle="1" w:styleId="Applicationdirecte">
    <w:name w:val="Application directe"/>
    <w:basedOn w:val="Normal"/>
    <w:next w:val="Normal"/>
    <w:rsid w:val="007E7AE7"/>
    <w:pPr>
      <w:spacing w:before="120" w:after="120" w:line="360" w:lineRule="auto"/>
    </w:pPr>
    <w:rPr>
      <w:szCs w:val="24"/>
      <w:lang w:val="en-GB" w:eastAsia="en-US"/>
    </w:rPr>
  </w:style>
  <w:style w:type="paragraph" w:customStyle="1" w:styleId="Normale">
    <w:name w:val="Normale"/>
    <w:rsid w:val="007E7AE7"/>
    <w:pPr>
      <w:widowControl w:val="0"/>
      <w:spacing w:before="120" w:after="120" w:line="360" w:lineRule="auto"/>
    </w:pPr>
    <w:rPr>
      <w:sz w:val="24"/>
      <w:lang w:eastAsia="en-US"/>
    </w:rPr>
  </w:style>
  <w:style w:type="paragraph" w:customStyle="1" w:styleId="Formuledadoption">
    <w:name w:val="Formule d'adoption"/>
    <w:basedOn w:val="Normal"/>
    <w:next w:val="Normal"/>
    <w:rsid w:val="007E7AE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7E7AE7"/>
    <w:pPr>
      <w:widowControl/>
      <w:spacing w:after="240" w:line="360" w:lineRule="auto"/>
      <w:ind w:left="5102"/>
    </w:pPr>
    <w:rPr>
      <w:szCs w:val="24"/>
      <w:lang w:val="en-GB" w:eastAsia="en-US"/>
    </w:rPr>
  </w:style>
  <w:style w:type="paragraph" w:customStyle="1" w:styleId="Footer1">
    <w:name w:val="Footer1"/>
    <w:basedOn w:val="Normal"/>
    <w:rsid w:val="007E7AE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7E7AE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7E7AE7"/>
    <w:pPr>
      <w:widowControl/>
      <w:spacing w:before="840" w:line="360" w:lineRule="auto"/>
      <w:jc w:val="center"/>
    </w:pPr>
    <w:rPr>
      <w:szCs w:val="24"/>
      <w:lang w:val="en-GB" w:eastAsia="en-US"/>
    </w:rPr>
  </w:style>
  <w:style w:type="paragraph" w:customStyle="1" w:styleId="Typedudocument">
    <w:name w:val="Type du document"/>
    <w:basedOn w:val="Normal"/>
    <w:next w:val="Normal"/>
    <w:rsid w:val="007E7AE7"/>
    <w:pPr>
      <w:widowControl/>
      <w:spacing w:before="360" w:line="360" w:lineRule="auto"/>
      <w:jc w:val="center"/>
    </w:pPr>
    <w:rPr>
      <w:b/>
      <w:szCs w:val="24"/>
      <w:lang w:val="en-GB" w:eastAsia="en-US"/>
    </w:rPr>
  </w:style>
  <w:style w:type="paragraph" w:customStyle="1" w:styleId="Titreobjet">
    <w:name w:val="Titre objet"/>
    <w:basedOn w:val="Normal"/>
    <w:next w:val="Normal"/>
    <w:rsid w:val="007E7AE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E7AE7"/>
    <w:pPr>
      <w:widowControl/>
      <w:spacing w:before="360" w:after="240" w:line="360" w:lineRule="auto"/>
      <w:jc w:val="center"/>
    </w:pPr>
    <w:rPr>
      <w:szCs w:val="24"/>
      <w:lang w:val="en-GB" w:eastAsia="en-US"/>
    </w:rPr>
  </w:style>
  <w:style w:type="character" w:customStyle="1" w:styleId="CMissingStyle">
    <w:name w:val="C_MissingStyle"/>
    <w:rsid w:val="007E7AE7"/>
    <w:rPr>
      <w:color w:val="FFFFFF"/>
      <w:sz w:val="22"/>
      <w:shd w:val="clear" w:color="000000" w:fill="000000"/>
    </w:rPr>
  </w:style>
  <w:style w:type="paragraph" w:customStyle="1" w:styleId="PMissingStyle">
    <w:name w:val="P_MissingStyle"/>
    <w:basedOn w:val="Normal"/>
    <w:rsid w:val="007E7AE7"/>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C1B94-B506-45AE-AF8C-40C38859C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11700</Words>
  <Characters>101043</Characters>
  <Application>Microsoft Office Word</Application>
  <DocSecurity>0</DocSecurity>
  <Lines>842</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LUKSITE Marija</cp:lastModifiedBy>
  <cp:revision>2</cp:revision>
  <cp:lastPrinted>2004-11-19T15:42:00Z</cp:lastPrinted>
  <dcterms:created xsi:type="dcterms:W3CDTF">2024-10-08T13:46:00Z</dcterms:created>
  <dcterms:modified xsi:type="dcterms:W3CDTF">2024-10-08T13:46:00Z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A9-0423/2023</vt:lpwstr>
  </property>
  <property fmtid="{D5CDD505-2E9C-101B-9397-08002B2CF9AE}" pid="4" name="&lt;Type&gt;">
    <vt:lpwstr>RR</vt:lpwstr>
  </property>
</Properties>
</file>