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37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37DE" w:rsidRDefault="00BE5126" w:rsidP="0010095E">
            <w:pPr>
              <w:pStyle w:val="EPName"/>
            </w:pPr>
            <w:r w:rsidRPr="001037DE">
              <w:t>Parlament Europejski</w:t>
            </w:r>
          </w:p>
          <w:p w:rsidR="00751A4A" w:rsidRPr="001037D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37D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037DE" w:rsidRDefault="00187494" w:rsidP="0010095E">
            <w:pPr>
              <w:pStyle w:val="EPLogo"/>
            </w:pPr>
            <w:r w:rsidRPr="001037D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37DE" w:rsidRDefault="00D058B8" w:rsidP="004C5D52">
      <w:pPr>
        <w:pStyle w:val="LineTop"/>
      </w:pPr>
    </w:p>
    <w:p w:rsidR="00680577" w:rsidRPr="001037DE" w:rsidRDefault="00BE5126" w:rsidP="00680577">
      <w:pPr>
        <w:pStyle w:val="EPBodyTA1"/>
      </w:pPr>
      <w:r w:rsidRPr="001037DE">
        <w:t>TEKSTY PRZYJĘTE</w:t>
      </w:r>
    </w:p>
    <w:p w:rsidR="00D058B8" w:rsidRPr="001037DE" w:rsidRDefault="00D058B8" w:rsidP="00D058B8">
      <w:pPr>
        <w:pStyle w:val="LineBottom"/>
      </w:pPr>
    </w:p>
    <w:p w:rsidR="00BE5126" w:rsidRPr="001037DE" w:rsidRDefault="00BE5126" w:rsidP="00BE5126">
      <w:pPr>
        <w:pStyle w:val="ATHeading1"/>
      </w:pPr>
      <w:bookmarkStart w:id="0" w:name="TANumber"/>
      <w:r w:rsidRPr="001037DE">
        <w:t>P9_TA(2024)0</w:t>
      </w:r>
      <w:bookmarkEnd w:id="0"/>
      <w:r w:rsidR="00A17D48">
        <w:t>134</w:t>
      </w:r>
    </w:p>
    <w:p w:rsidR="00BE5126" w:rsidRPr="001037DE" w:rsidRDefault="00BE5126" w:rsidP="00BE5126">
      <w:pPr>
        <w:pStyle w:val="ATHeading2"/>
      </w:pPr>
      <w:bookmarkStart w:id="1" w:name="title"/>
      <w:r w:rsidRPr="001037DE">
        <w:t>Europejska Agencja Bezpieczeństwa Morskiego i uchylenie rozporządzenia (WE) nr 1406/2002</w:t>
      </w:r>
      <w:bookmarkEnd w:id="1"/>
    </w:p>
    <w:p w:rsidR="00BE5126" w:rsidRPr="001037DE" w:rsidRDefault="00BE5126" w:rsidP="00BE5126">
      <w:pPr>
        <w:rPr>
          <w:i/>
          <w:vanish/>
        </w:rPr>
      </w:pPr>
      <w:r w:rsidRPr="001037DE">
        <w:rPr>
          <w:i/>
        </w:rPr>
        <w:fldChar w:fldCharType="begin"/>
      </w:r>
      <w:r w:rsidRPr="001037DE">
        <w:rPr>
          <w:i/>
        </w:rPr>
        <w:instrText xml:space="preserve"> TC"(</w:instrText>
      </w:r>
      <w:bookmarkStart w:id="2" w:name="DocNumber"/>
      <w:r w:rsidRPr="001037DE">
        <w:rPr>
          <w:i/>
        </w:rPr>
        <w:instrText>A9-0423/2023</w:instrText>
      </w:r>
      <w:bookmarkEnd w:id="2"/>
      <w:r w:rsidRPr="001037DE">
        <w:rPr>
          <w:i/>
        </w:rPr>
        <w:instrText xml:space="preserve"> - Sprawozdawca: Cláudia Monteiro de Aguiar)"\l3 \n&gt; \* MERGEFORMAT </w:instrText>
      </w:r>
      <w:r w:rsidRPr="001037DE">
        <w:rPr>
          <w:i/>
        </w:rPr>
        <w:fldChar w:fldCharType="end"/>
      </w:r>
    </w:p>
    <w:p w:rsidR="00BE5126" w:rsidRPr="001037DE" w:rsidRDefault="00BE5126" w:rsidP="00BE5126">
      <w:pPr>
        <w:rPr>
          <w:vanish/>
        </w:rPr>
      </w:pPr>
      <w:bookmarkStart w:id="3" w:name="Commission"/>
      <w:r w:rsidRPr="001037DE">
        <w:rPr>
          <w:vanish/>
        </w:rPr>
        <w:t>Komisja Transportu i Turystyki</w:t>
      </w:r>
      <w:bookmarkEnd w:id="3"/>
    </w:p>
    <w:p w:rsidR="00BE5126" w:rsidRPr="001037DE" w:rsidRDefault="00BE5126" w:rsidP="00BE5126">
      <w:pPr>
        <w:rPr>
          <w:vanish/>
        </w:rPr>
      </w:pPr>
      <w:bookmarkStart w:id="4" w:name="PE"/>
      <w:r w:rsidRPr="001037DE">
        <w:rPr>
          <w:vanish/>
        </w:rPr>
        <w:t>PE753.514</w:t>
      </w:r>
      <w:bookmarkEnd w:id="4"/>
    </w:p>
    <w:p w:rsidR="00BE5126" w:rsidRPr="001037DE" w:rsidRDefault="00BE5126" w:rsidP="00BE5126">
      <w:pPr>
        <w:pStyle w:val="ATHeading3"/>
      </w:pPr>
      <w:bookmarkStart w:id="5" w:name="Sujet"/>
      <w:r w:rsidRPr="001037DE">
        <w:t xml:space="preserve">Rezolucja ustawodawcza Parlamentu Europejskiego z dnia </w:t>
      </w:r>
      <w:r w:rsidR="00D71BFA">
        <w:t>12 marca</w:t>
      </w:r>
      <w:r w:rsidRPr="001037DE">
        <w:t xml:space="preserve"> 2024 r. w sprawie wniosku dotyczącego rozporządzenia Parlamentu Europejskiego i Rady w sprawie Europejskiej Agencji Bezpieczeństwa Morskiego i uchylającego rozporządzenie (WE) nr 1406/2002</w:t>
      </w:r>
      <w:bookmarkEnd w:id="5"/>
      <w:r w:rsidRPr="001037DE">
        <w:t xml:space="preserve"> </w:t>
      </w:r>
      <w:bookmarkStart w:id="6" w:name="References"/>
      <w:r w:rsidRPr="001037DE">
        <w:t>(COM</w:t>
      </w:r>
      <w:proofErr w:type="gramStart"/>
      <w:r w:rsidRPr="001037DE">
        <w:t>(2023)0269 – C</w:t>
      </w:r>
      <w:proofErr w:type="gramEnd"/>
      <w:r w:rsidRPr="001037DE">
        <w:t>9-0190/2023 – 2023/0163(COD))</w:t>
      </w:r>
      <w:bookmarkEnd w:id="6"/>
    </w:p>
    <w:p w:rsidR="00483F15" w:rsidRPr="001037DE" w:rsidRDefault="00483F15" w:rsidP="00483F15">
      <w:pPr>
        <w:pStyle w:val="NormalBold"/>
      </w:pPr>
      <w:bookmarkStart w:id="7" w:name="TextBodyBegin"/>
      <w:bookmarkEnd w:id="7"/>
      <w:r w:rsidRPr="001037DE">
        <w:t>(Zwykła procedura ustawodawcza: pierwsze czytanie)</w:t>
      </w:r>
    </w:p>
    <w:p w:rsidR="00483F15" w:rsidRPr="001037DE" w:rsidRDefault="00483F15" w:rsidP="00483F15">
      <w:pPr>
        <w:pStyle w:val="EPComma"/>
      </w:pPr>
      <w:r w:rsidRPr="001037DE">
        <w:rPr>
          <w:i/>
        </w:rPr>
        <w:t>Parlament Europejski</w:t>
      </w:r>
      <w:r w:rsidRPr="001037DE">
        <w:t>,</w:t>
      </w:r>
    </w:p>
    <w:p w:rsidR="00483F15" w:rsidRPr="001037DE" w:rsidRDefault="00483F15" w:rsidP="00483F15">
      <w:pPr>
        <w:pStyle w:val="NormalHanging12a"/>
      </w:pPr>
      <w:r w:rsidRPr="001037DE">
        <w:t>–</w:t>
      </w:r>
      <w:r w:rsidRPr="001037DE">
        <w:tab/>
        <w:t>uwzględniając wniosek Komisji przedstawiony Parlamentowi Europejskiemu i Radzie (COM(2023)0269),</w:t>
      </w:r>
    </w:p>
    <w:p w:rsidR="00483F15" w:rsidRPr="001037DE" w:rsidRDefault="00483F15" w:rsidP="00483F15">
      <w:pPr>
        <w:pStyle w:val="NormalHanging12a"/>
      </w:pPr>
      <w:r w:rsidRPr="001037DE">
        <w:t>–</w:t>
      </w:r>
      <w:r w:rsidRPr="001037DE">
        <w:tab/>
        <w:t>uwzględniając art. 294 ust. 2 oraz art. 100 ust. 2 Traktatu o funkcjonowaniu Unii Europejskiej, zgodnie z którymi wniosek został przedstawiony Parlamentowi przez Komisję (C9</w:t>
      </w:r>
      <w:r w:rsidRPr="001037DE">
        <w:noBreakHyphen/>
        <w:t>0190/2023),</w:t>
      </w:r>
    </w:p>
    <w:p w:rsidR="00483F15" w:rsidRPr="001037DE" w:rsidRDefault="00483F15" w:rsidP="00483F15">
      <w:pPr>
        <w:pStyle w:val="NormalHanging12a"/>
      </w:pPr>
      <w:r w:rsidRPr="001037DE">
        <w:t>–</w:t>
      </w:r>
      <w:r w:rsidRPr="001037DE">
        <w:tab/>
        <w:t>uwzględniając art. 294 ust. 3 Traktatu o funkcjonowaniu Unii Europejskiej,</w:t>
      </w:r>
    </w:p>
    <w:p w:rsidR="00483F15" w:rsidRPr="001037DE" w:rsidRDefault="00483F15" w:rsidP="00483F15">
      <w:pPr>
        <w:pStyle w:val="NormalHanging12a"/>
      </w:pPr>
      <w:r w:rsidRPr="001037DE">
        <w:t>–</w:t>
      </w:r>
      <w:r w:rsidRPr="001037DE">
        <w:tab/>
        <w:t>uwzględniając opinię Europejskiego Komitetu Ekonomiczno-Społecznego z dnia 20 września 2023 r.</w:t>
      </w:r>
      <w:r w:rsidRPr="001037DE">
        <w:rPr>
          <w:rStyle w:val="FootnoteReference"/>
        </w:rPr>
        <w:footnoteReference w:id="1"/>
      </w:r>
      <w:r w:rsidRPr="001037DE">
        <w:t>,</w:t>
      </w:r>
    </w:p>
    <w:p w:rsidR="00483F15" w:rsidRPr="001037DE" w:rsidRDefault="00483F15" w:rsidP="00483F15">
      <w:pPr>
        <w:pStyle w:val="NormalHanging12a"/>
      </w:pPr>
      <w:r w:rsidRPr="001037DE">
        <w:t>–</w:t>
      </w:r>
      <w:r w:rsidRPr="001037DE">
        <w:tab/>
        <w:t>po konsultacji z Komitetem Regionów,</w:t>
      </w:r>
    </w:p>
    <w:p w:rsidR="00483F15" w:rsidRPr="001037DE" w:rsidRDefault="00483F15" w:rsidP="00483F15">
      <w:pPr>
        <w:pStyle w:val="NormalHanging12a"/>
      </w:pPr>
      <w:r w:rsidRPr="001037DE">
        <w:t>–</w:t>
      </w:r>
      <w:r w:rsidRPr="001037DE">
        <w:tab/>
        <w:t>uwzględniając art. 59 Regulaminu,</w:t>
      </w:r>
    </w:p>
    <w:p w:rsidR="00483F15" w:rsidRPr="001037DE" w:rsidRDefault="00483F15" w:rsidP="00483F15">
      <w:pPr>
        <w:pStyle w:val="NormalHanging12a"/>
      </w:pPr>
      <w:r w:rsidRPr="001037DE">
        <w:t>–</w:t>
      </w:r>
      <w:r w:rsidRPr="001037DE">
        <w:tab/>
        <w:t xml:space="preserve">uwzględniając opinie przedstawione przez Komisję Budżetową i Komisję Rybołówstwa, </w:t>
      </w:r>
    </w:p>
    <w:p w:rsidR="00483F15" w:rsidRPr="001037DE" w:rsidRDefault="00483F15" w:rsidP="00483F15">
      <w:pPr>
        <w:pStyle w:val="NormalHanging12a"/>
      </w:pPr>
      <w:r w:rsidRPr="001037DE">
        <w:t>–</w:t>
      </w:r>
      <w:r w:rsidRPr="001037DE">
        <w:tab/>
        <w:t>uwzględniając sprawozdanie Komisji Transportu i Turystyki (A9-0423/2023),</w:t>
      </w:r>
    </w:p>
    <w:p w:rsidR="00483F15" w:rsidRPr="001037DE" w:rsidRDefault="00483F15" w:rsidP="00483F15">
      <w:pPr>
        <w:pStyle w:val="NormalHanging12a"/>
      </w:pPr>
      <w:r w:rsidRPr="001037DE">
        <w:t>1.</w:t>
      </w:r>
      <w:r w:rsidRPr="001037DE">
        <w:tab/>
      </w:r>
      <w:proofErr w:type="gramStart"/>
      <w:r w:rsidRPr="001037DE">
        <w:t>przyjmuje</w:t>
      </w:r>
      <w:proofErr w:type="gramEnd"/>
      <w:r w:rsidRPr="001037DE">
        <w:t xml:space="preserve"> poniższe stanowisko w pierwszym czytaniu;</w:t>
      </w:r>
    </w:p>
    <w:p w:rsidR="00483F15" w:rsidRPr="001037DE" w:rsidRDefault="00483F15" w:rsidP="00483F15">
      <w:pPr>
        <w:pStyle w:val="NormalHanging12a"/>
      </w:pPr>
      <w:r w:rsidRPr="001037DE">
        <w:t>2.</w:t>
      </w:r>
      <w:r w:rsidRPr="001037DE">
        <w:tab/>
      </w:r>
      <w:proofErr w:type="gramStart"/>
      <w:r w:rsidRPr="001037DE">
        <w:t>zwraca</w:t>
      </w:r>
      <w:proofErr w:type="gramEnd"/>
      <w:r w:rsidRPr="001037DE">
        <w:t xml:space="preserve"> się do Komisji o ponowne przekazanie mu sprawy, jeśli zastąpi ona pierwotny </w:t>
      </w:r>
      <w:r w:rsidRPr="001037DE">
        <w:lastRenderedPageBreak/>
        <w:t>wniosek, wprowadzi w nim istotne zmiany lub planuje ich wprowadzenie;</w:t>
      </w:r>
    </w:p>
    <w:p w:rsidR="00152ED0" w:rsidRDefault="00483F15" w:rsidP="00483F15">
      <w:pPr>
        <w:pStyle w:val="NormalHanging12a"/>
        <w:sectPr w:rsidR="00152ED0" w:rsidSect="00152E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134" w:bottom="1134" w:left="1134" w:header="1134" w:footer="567" w:gutter="0"/>
          <w:cols w:space="720"/>
          <w:noEndnote/>
          <w:docGrid w:linePitch="326"/>
        </w:sectPr>
      </w:pPr>
      <w:r w:rsidRPr="001037DE">
        <w:t>3.</w:t>
      </w:r>
      <w:r w:rsidRPr="001037DE">
        <w:tab/>
      </w:r>
      <w:proofErr w:type="gramStart"/>
      <w:r w:rsidRPr="001037DE">
        <w:t>zobowiązuje</w:t>
      </w:r>
      <w:proofErr w:type="gramEnd"/>
      <w:r w:rsidRPr="001037DE">
        <w:t xml:space="preserve"> swojego przewodniczącego do przekazania stanowiska Parlamentu Radzie i Komisji oraz parlamentom narodowym.</w:t>
      </w:r>
    </w:p>
    <w:p w:rsidR="00152ED0" w:rsidRPr="00636B59" w:rsidRDefault="00152ED0" w:rsidP="00152ED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proofErr w:type="spellStart"/>
      <w:r w:rsidRPr="00636B59">
        <w:rPr>
          <w:rFonts w:eastAsia="Calibri"/>
          <w:b/>
          <w:bCs/>
          <w:color w:val="000000"/>
        </w:rPr>
        <w:lastRenderedPageBreak/>
        <w:t>P9_TC1</w:t>
      </w:r>
      <w:proofErr w:type="spellEnd"/>
      <w:r w:rsidRPr="00636B59">
        <w:rPr>
          <w:rFonts w:eastAsia="Calibri"/>
          <w:b/>
          <w:bCs/>
          <w:color w:val="000000"/>
        </w:rPr>
        <w:t>-COD(2023)0163</w:t>
      </w:r>
    </w:p>
    <w:p w:rsidR="00152ED0" w:rsidRPr="00152ED0" w:rsidRDefault="00152ED0" w:rsidP="00152ED0">
      <w:pPr>
        <w:widowControl/>
        <w:autoSpaceDE w:val="0"/>
        <w:autoSpaceDN w:val="0"/>
        <w:adjustRightInd w:val="0"/>
        <w:rPr>
          <w:b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12 marca 2024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2024/...</w:t>
      </w:r>
      <w:r w:rsidRPr="00741191">
        <w:rPr>
          <w:b/>
        </w:rPr>
        <w:t xml:space="preserve"> </w:t>
      </w:r>
      <w:proofErr w:type="gramStart"/>
      <w:r w:rsidRPr="00152ED0">
        <w:rPr>
          <w:b/>
        </w:rPr>
        <w:t>w</w:t>
      </w:r>
      <w:proofErr w:type="gramEnd"/>
      <w:r w:rsidRPr="00152ED0">
        <w:rPr>
          <w:b/>
        </w:rPr>
        <w:t xml:space="preserve"> sprawie Europejskiej Agencji Bezpieczeństwa Morskiego i uchylające</w:t>
      </w:r>
      <w:r>
        <w:rPr>
          <w:b/>
        </w:rPr>
        <w:t>go</w:t>
      </w:r>
      <w:r w:rsidRPr="00152ED0">
        <w:rPr>
          <w:b/>
        </w:rPr>
        <w:t xml:space="preserve"> rozporządzenie (WE) nr 1406/2002</w:t>
      </w:r>
    </w:p>
    <w:p w:rsidR="00152ED0" w:rsidRPr="00152ED0" w:rsidRDefault="00152ED0" w:rsidP="00152ED0">
      <w:pPr>
        <w:pStyle w:val="IntrtEEE"/>
        <w:rPr>
          <w:lang w:val="pl-PL"/>
        </w:rPr>
      </w:pPr>
      <w:r w:rsidRPr="00152ED0">
        <w:rPr>
          <w:lang w:val="pl-PL"/>
        </w:rPr>
        <w:t>(Tekst mający znaczenie dla EOG)</w:t>
      </w:r>
    </w:p>
    <w:p w:rsidR="00152ED0" w:rsidRPr="00152ED0" w:rsidRDefault="00152ED0" w:rsidP="00152ED0">
      <w:pPr>
        <w:keepNext/>
        <w:spacing w:before="60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>PARLAMENT EUROPEJSKI I RADA UNII EUROPEJSKIEJ,</w:t>
      </w:r>
    </w:p>
    <w:p w:rsidR="00152ED0" w:rsidRPr="00152ED0" w:rsidRDefault="00152ED0" w:rsidP="00152ED0">
      <w:pPr>
        <w:spacing w:before="120" w:after="120" w:line="360" w:lineRule="auto"/>
        <w:rPr>
          <w:lang w:eastAsia="en-US"/>
        </w:rPr>
      </w:pPr>
      <w:proofErr w:type="gramStart"/>
      <w:r w:rsidRPr="00152ED0">
        <w:rPr>
          <w:lang w:eastAsia="en-US"/>
        </w:rPr>
        <w:t>uwzględniając</w:t>
      </w:r>
      <w:proofErr w:type="gramEnd"/>
      <w:r w:rsidRPr="00152ED0">
        <w:rPr>
          <w:lang w:eastAsia="en-US"/>
        </w:rPr>
        <w:t xml:space="preserve"> Traktat o funkcjonowaniu Unii Europejskiej, w szczególności jego art. 100 ust. 2,</w:t>
      </w:r>
    </w:p>
    <w:p w:rsidR="00152ED0" w:rsidRPr="00152ED0" w:rsidRDefault="00152ED0" w:rsidP="00152ED0">
      <w:pPr>
        <w:spacing w:before="120" w:after="120" w:line="360" w:lineRule="auto"/>
        <w:rPr>
          <w:lang w:eastAsia="en-US"/>
        </w:rPr>
      </w:pPr>
      <w:proofErr w:type="gramStart"/>
      <w:r w:rsidRPr="00152ED0">
        <w:rPr>
          <w:lang w:eastAsia="en-US"/>
        </w:rPr>
        <w:t>uwzględniając</w:t>
      </w:r>
      <w:proofErr w:type="gramEnd"/>
      <w:r w:rsidRPr="00152ED0">
        <w:rPr>
          <w:lang w:eastAsia="en-US"/>
        </w:rPr>
        <w:t xml:space="preserve"> wniosek Komisji Europejskiej,</w:t>
      </w:r>
    </w:p>
    <w:p w:rsidR="00152ED0" w:rsidRPr="00152ED0" w:rsidRDefault="00152ED0" w:rsidP="00152ED0">
      <w:pPr>
        <w:spacing w:before="120" w:after="120" w:line="360" w:lineRule="auto"/>
        <w:rPr>
          <w:lang w:eastAsia="en-US"/>
        </w:rPr>
      </w:pPr>
      <w:proofErr w:type="gramStart"/>
      <w:r w:rsidRPr="00152ED0">
        <w:rPr>
          <w:lang w:eastAsia="en-US"/>
        </w:rPr>
        <w:t>po</w:t>
      </w:r>
      <w:proofErr w:type="gramEnd"/>
      <w:r w:rsidRPr="00152ED0">
        <w:rPr>
          <w:lang w:eastAsia="en-US"/>
        </w:rPr>
        <w:t xml:space="preserve"> przekazaniu projektu aktu ustawodawczego parlamentom narodowym,</w:t>
      </w:r>
    </w:p>
    <w:p w:rsidR="00152ED0" w:rsidRPr="00152ED0" w:rsidRDefault="00152ED0" w:rsidP="00152ED0">
      <w:pPr>
        <w:spacing w:before="120" w:after="120" w:line="360" w:lineRule="auto"/>
        <w:rPr>
          <w:lang w:eastAsia="en-US"/>
        </w:rPr>
      </w:pPr>
      <w:proofErr w:type="gramStart"/>
      <w:r w:rsidRPr="00152ED0">
        <w:rPr>
          <w:lang w:eastAsia="en-US"/>
        </w:rPr>
        <w:t>uwzględniając</w:t>
      </w:r>
      <w:proofErr w:type="gramEnd"/>
      <w:r w:rsidRPr="00152ED0">
        <w:rPr>
          <w:lang w:eastAsia="en-US"/>
        </w:rPr>
        <w:t xml:space="preserve"> opinię Europejskiego Komitetu Ekonomiczno-Społecznego</w:t>
      </w:r>
      <w:r w:rsidRPr="00152ED0">
        <w:rPr>
          <w:vertAlign w:val="superscript"/>
          <w:lang w:val="en-GB" w:eastAsia="en-US"/>
        </w:rPr>
        <w:footnoteReference w:id="2"/>
      </w:r>
      <w:r w:rsidRPr="00152ED0">
        <w:rPr>
          <w:lang w:eastAsia="en-US"/>
        </w:rPr>
        <w:t>,</w:t>
      </w:r>
    </w:p>
    <w:p w:rsidR="00152ED0" w:rsidRPr="00152ED0" w:rsidRDefault="00152ED0" w:rsidP="00152ED0">
      <w:pPr>
        <w:spacing w:before="120" w:after="120" w:line="360" w:lineRule="auto"/>
        <w:rPr>
          <w:lang w:eastAsia="en-US"/>
        </w:rPr>
      </w:pPr>
      <w:proofErr w:type="gramStart"/>
      <w:r w:rsidRPr="00152ED0">
        <w:rPr>
          <w:lang w:eastAsia="en-US"/>
        </w:rPr>
        <w:t>uwzględniając</w:t>
      </w:r>
      <w:proofErr w:type="gramEnd"/>
      <w:r w:rsidRPr="00152ED0">
        <w:rPr>
          <w:lang w:eastAsia="en-US"/>
        </w:rPr>
        <w:t xml:space="preserve"> opinię Komitetu Regionów</w:t>
      </w:r>
      <w:r w:rsidRPr="00152ED0">
        <w:rPr>
          <w:vertAlign w:val="superscript"/>
          <w:lang w:val="en-GB" w:eastAsia="en-US"/>
        </w:rPr>
        <w:footnoteReference w:id="3"/>
      </w:r>
      <w:r w:rsidRPr="00152ED0">
        <w:rPr>
          <w:lang w:eastAsia="en-US"/>
        </w:rPr>
        <w:t>,</w:t>
      </w:r>
    </w:p>
    <w:p w:rsidR="00152ED0" w:rsidRPr="00152ED0" w:rsidRDefault="00152ED0" w:rsidP="00152ED0">
      <w:pPr>
        <w:spacing w:before="120" w:after="120" w:line="360" w:lineRule="auto"/>
        <w:rPr>
          <w:lang w:eastAsia="en-US"/>
        </w:rPr>
      </w:pPr>
      <w:proofErr w:type="gramStart"/>
      <w:r w:rsidRPr="00152ED0">
        <w:rPr>
          <w:lang w:eastAsia="en-US"/>
        </w:rPr>
        <w:t>stanowiąc</w:t>
      </w:r>
      <w:proofErr w:type="gramEnd"/>
      <w:r w:rsidRPr="00152ED0">
        <w:rPr>
          <w:lang w:eastAsia="en-US"/>
        </w:rPr>
        <w:t xml:space="preserve"> zgodnie ze zwykłą procedurą ustawodawczą,</w:t>
      </w:r>
    </w:p>
    <w:p w:rsidR="00C3114C" w:rsidRDefault="00C3114C">
      <w:pPr>
        <w:widowControl/>
        <w:rPr>
          <w:lang w:eastAsia="en-US"/>
        </w:rPr>
      </w:pPr>
      <w:r>
        <w:rPr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rPr>
          <w:lang w:eastAsia="en-US"/>
        </w:rPr>
      </w:pPr>
      <w:proofErr w:type="gramStart"/>
      <w:r w:rsidRPr="00152ED0">
        <w:rPr>
          <w:lang w:eastAsia="en-US"/>
        </w:rPr>
        <w:lastRenderedPageBreak/>
        <w:t>a</w:t>
      </w:r>
      <w:proofErr w:type="gramEnd"/>
      <w:r w:rsidRPr="00152ED0">
        <w:rPr>
          <w:lang w:eastAsia="en-US"/>
        </w:rPr>
        <w:t xml:space="preserve"> także mając na uwadze, co następuje: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(1)</w:t>
      </w:r>
      <w:r w:rsidRPr="00152ED0">
        <w:rPr>
          <w:szCs w:val="24"/>
          <w:lang w:eastAsia="en-US"/>
        </w:rPr>
        <w:tab/>
        <w:t>Unia</w:t>
      </w:r>
      <w:proofErr w:type="gramEnd"/>
      <w:r w:rsidRPr="00152ED0">
        <w:rPr>
          <w:szCs w:val="24"/>
          <w:lang w:eastAsia="en-US"/>
        </w:rPr>
        <w:t xml:space="preserve"> przyjęła szereg środków legislacyjnych w celu poprawy bezpieczeństwa morskiego i ochrony na morzu, promowania zrównoważonego rozwoju, w tym zapobiegania zanieczyszczeniom, oraz obniżenia emisyjności żeglugi, a także ułatwienia wymiany informacji i cyfryzacji sektora morskiego. Aby takie ustawodawstwo było skuteczne, powinno ono być odpowiednio i jednolicie stosowane w całej Unii. Zapewniłoby to równe warunki działania, zredukowało zakłócenia konkurencji wynikające z przewagi ekonomicznej statków niestosujących się do tych przepisów i wynagrodziło poważne podmioty związane z morzem.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(1a</w:t>
      </w:r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W</w:t>
      </w:r>
      <w:proofErr w:type="gramEnd"/>
      <w:r w:rsidRPr="00152ED0">
        <w:rPr>
          <w:b/>
          <w:i/>
          <w:szCs w:val="24"/>
          <w:lang w:eastAsia="en-US"/>
        </w:rPr>
        <w:t xml:space="preserve"> sektorze rybołówstwa wskaźniki wypadków są wysokie, a śmiertelność w wypadkach jest duża, dlatego ważną rolę odgrywa szkolenie rybaków w zakresie bezpieczeństwa pracy.</w:t>
      </w:r>
      <w:r w:rsidR="00C3114C">
        <w:rPr>
          <w:b/>
          <w:szCs w:val="24"/>
          <w:lang w:eastAsia="en-US"/>
        </w:rPr>
        <w:t xml:space="preserve"> [Popr. 1]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(2)</w:t>
      </w:r>
      <w:r w:rsidRPr="00152ED0">
        <w:rPr>
          <w:szCs w:val="24"/>
          <w:lang w:eastAsia="en-US"/>
        </w:rPr>
        <w:tab/>
        <w:t>Dążenie</w:t>
      </w:r>
      <w:proofErr w:type="gramEnd"/>
      <w:r w:rsidRPr="00152ED0">
        <w:rPr>
          <w:szCs w:val="24"/>
          <w:lang w:eastAsia="en-US"/>
        </w:rPr>
        <w:t xml:space="preserve"> do osiągnięcia tych celów wymaga znacznego zakresu prac o charakterze technicznym prowadzonych przez specjalistyczny organ. Dlatego konieczne okazało się stworzenie – w ramach drugiego „pakietu Erika” z 2002 r., w istniejących ramach instytucjonalnych oraz z poszanowaniem obowiązków i praw państw członkowskich jako państw bandery, państw portu i państw nadbrzeżnych – europejskiej agencji w celu zapewnienia wysokiego, jednolitego i skutecznego poziomu bezpieczeństwa morskiego i zapobiegania zanieczyszczeniu ze statków.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(3)</w:t>
      </w:r>
      <w:r w:rsidRPr="00152ED0">
        <w:rPr>
          <w:szCs w:val="24"/>
          <w:lang w:eastAsia="en-US"/>
        </w:rPr>
        <w:tab/>
        <w:t>Na</w:t>
      </w:r>
      <w:proofErr w:type="gramEnd"/>
      <w:r w:rsidRPr="00152ED0">
        <w:rPr>
          <w:szCs w:val="24"/>
          <w:lang w:eastAsia="en-US"/>
        </w:rPr>
        <w:t xml:space="preserve"> mocy rozporządzenia (WE) nr 1406/2002 Parlamentu Europejskiego i Rady</w:t>
      </w:r>
      <w:r w:rsidRPr="00152ED0">
        <w:rPr>
          <w:szCs w:val="24"/>
          <w:vertAlign w:val="superscript"/>
          <w:lang w:val="en-GB" w:eastAsia="en-US"/>
        </w:rPr>
        <w:footnoteReference w:id="4"/>
      </w:r>
      <w:r w:rsidRPr="00152ED0">
        <w:rPr>
          <w:szCs w:val="24"/>
          <w:lang w:eastAsia="en-US"/>
        </w:rPr>
        <w:t xml:space="preserve"> ustanowiono Europejską Agencję Bezpieczeństwa Morskiego („Agencja”) w celu wspomagania Komisji i państw członkowskich w skutecznym wdrażaniu na szczeblu unijnym prawodawstwa w dziedzinie bezpieczeństwa na morzu i zapobiegania zanieczyszczeniu przez odbywanie odpowiednich wizyt w państwach członkowskich w celu monitorowania odnośnego prawodawstwa oraz zapewniania szkoleń i budowania zdolności.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(4)</w:t>
      </w:r>
      <w:r w:rsidRPr="00152ED0">
        <w:rPr>
          <w:szCs w:val="24"/>
          <w:lang w:eastAsia="en-US"/>
        </w:rPr>
        <w:tab/>
        <w:t>Po</w:t>
      </w:r>
      <w:proofErr w:type="gramEnd"/>
      <w:r w:rsidRPr="00152ED0">
        <w:rPr>
          <w:szCs w:val="24"/>
          <w:lang w:eastAsia="en-US"/>
        </w:rPr>
        <w:t xml:space="preserve"> utworzeniu Agencji w 2002 r. przepisy Unii w dziedzinie bezpieczeństwa morskiego, zrównoważonego rozwoju i zapobiegania zanieczyszczeniu oraz ochrony na morzu zostały znacznie rozszerzone, co pociągnęło za sobą pięciokrotne wprowadzenie zmian do mandatu Agencji.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(5)</w:t>
      </w:r>
      <w:r w:rsidRPr="00152ED0">
        <w:rPr>
          <w:szCs w:val="24"/>
          <w:lang w:eastAsia="en-US"/>
        </w:rPr>
        <w:tab/>
        <w:t>Od</w:t>
      </w:r>
      <w:proofErr w:type="gramEnd"/>
      <w:r w:rsidRPr="00152ED0">
        <w:rPr>
          <w:szCs w:val="24"/>
          <w:lang w:eastAsia="en-US"/>
        </w:rPr>
        <w:t xml:space="preserve"> 2013 r. Agencja w dalszym ciągu znacznie rozszerza zakres swoich zadań przez podejmowanie odpowiednich zadań dodatkowych określonych w art. 2a rozporządzenia (WE) nr 1406/2002 albo przez badanie wniosków o pomoc techniczną ze strony Komisji i państw członkowskich, zwłaszcza w obszarze obniżenia emisyjności i cyfryzacji sektora morskiego. Ponadto bezpośredni wpływ na zadania Agencji mają zmiany w dyrektywach Parlamentu Europejskiego i Rady 2005/35/WE</w:t>
      </w:r>
      <w:r w:rsidRPr="00152ED0">
        <w:rPr>
          <w:szCs w:val="24"/>
          <w:vertAlign w:val="superscript"/>
          <w:lang w:val="en-GB" w:eastAsia="en-US"/>
        </w:rPr>
        <w:footnoteReference w:id="5"/>
      </w:r>
      <w:r w:rsidRPr="00152ED0">
        <w:rPr>
          <w:szCs w:val="24"/>
          <w:lang w:eastAsia="en-US"/>
        </w:rPr>
        <w:t>, 2009/16/WE</w:t>
      </w:r>
      <w:r w:rsidRPr="00152ED0">
        <w:rPr>
          <w:szCs w:val="24"/>
          <w:vertAlign w:val="superscript"/>
          <w:lang w:val="en-GB" w:eastAsia="en-US"/>
        </w:rPr>
        <w:footnoteReference w:id="6"/>
      </w:r>
      <w:r w:rsidRPr="00152ED0">
        <w:rPr>
          <w:szCs w:val="24"/>
          <w:lang w:eastAsia="en-US"/>
        </w:rPr>
        <w:t>, 2009/18/WE</w:t>
      </w:r>
      <w:r w:rsidRPr="00152ED0">
        <w:rPr>
          <w:szCs w:val="24"/>
          <w:vertAlign w:val="superscript"/>
          <w:lang w:val="en-GB" w:eastAsia="en-US"/>
        </w:rPr>
        <w:footnoteReference w:id="7"/>
      </w:r>
      <w:r w:rsidRPr="00152ED0">
        <w:rPr>
          <w:szCs w:val="24"/>
          <w:lang w:eastAsia="en-US"/>
        </w:rPr>
        <w:t xml:space="preserve"> i 2009/21/WE</w:t>
      </w:r>
      <w:r w:rsidRPr="00152ED0">
        <w:rPr>
          <w:szCs w:val="24"/>
          <w:vertAlign w:val="superscript"/>
          <w:lang w:val="en-GB" w:eastAsia="en-US"/>
        </w:rPr>
        <w:footnoteReference w:id="8"/>
      </w:r>
      <w:r w:rsidRPr="00152ED0">
        <w:rPr>
          <w:szCs w:val="24"/>
          <w:lang w:eastAsia="en-US"/>
        </w:rPr>
        <w:t>. W dyrektywach tych przewidziano w szczególności wykonywanie przez Agencję zadań związanych z zanieczyszczeniami pochodzącymi ze statków, systemem kontroli przeprowadzanej przez państwo portu na szczeblu Unii, działaniami państw członkowskich w zakresie dochodzeń w sprawach wypadków morskich na wodach Unii oraz obowiązkami państw członkowskich jako państw bandery.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(6)</w:t>
      </w:r>
      <w:r w:rsidRPr="00152ED0">
        <w:rPr>
          <w:szCs w:val="24"/>
          <w:lang w:eastAsia="en-US"/>
        </w:rPr>
        <w:tab/>
        <w:t>Ponadto</w:t>
      </w:r>
      <w:proofErr w:type="gramEnd"/>
      <w:r w:rsidRPr="00152ED0">
        <w:rPr>
          <w:szCs w:val="24"/>
          <w:lang w:eastAsia="en-US"/>
        </w:rPr>
        <w:t xml:space="preserve"> należy dostosować zarządzanie administracyjne i finansowe Agencji do porozumienia międzyinstytucjonalnego w sprawie zarządzania agencjami zdecentralizowanymi</w:t>
      </w:r>
      <w:r w:rsidRPr="00152ED0">
        <w:rPr>
          <w:szCs w:val="24"/>
          <w:vertAlign w:val="superscript"/>
          <w:lang w:val="en-GB" w:eastAsia="en-US"/>
        </w:rPr>
        <w:footnoteReference w:id="9"/>
      </w:r>
      <w:r w:rsidRPr="00152ED0">
        <w:rPr>
          <w:szCs w:val="24"/>
          <w:lang w:eastAsia="en-US"/>
        </w:rPr>
        <w:t xml:space="preserve"> oraz ramowego rozporządzenia finansowego dotyczącego organów zdecentralizowanych Unii</w:t>
      </w:r>
      <w:r w:rsidRPr="00152ED0">
        <w:rPr>
          <w:szCs w:val="24"/>
          <w:vertAlign w:val="superscript"/>
          <w:lang w:val="en-GB" w:eastAsia="en-US"/>
        </w:rPr>
        <w:footnoteReference w:id="10"/>
      </w:r>
      <w:r w:rsidRPr="00152ED0">
        <w:rPr>
          <w:szCs w:val="24"/>
          <w:lang w:eastAsia="en-US"/>
        </w:rPr>
        <w:t>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(7)</w:t>
      </w:r>
      <w:r w:rsidRPr="00152ED0">
        <w:rPr>
          <w:szCs w:val="24"/>
          <w:lang w:eastAsia="en-US"/>
        </w:rPr>
        <w:tab/>
        <w:t>Ze</w:t>
      </w:r>
      <w:proofErr w:type="gramEnd"/>
      <w:r w:rsidRPr="00152ED0">
        <w:rPr>
          <w:szCs w:val="24"/>
          <w:lang w:eastAsia="en-US"/>
        </w:rPr>
        <w:t xml:space="preserve"> względu na znaczącą liczbę zmian w związku z opisanym rozwojem sytuacji rozporządzenie (WE) nr 1406/2002 należy uchylić i zastąpić nowym aktem prawnym.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(8)</w:t>
      </w:r>
      <w:r w:rsidRPr="00152ED0">
        <w:rPr>
          <w:szCs w:val="24"/>
          <w:lang w:eastAsia="en-US"/>
        </w:rPr>
        <w:tab/>
        <w:t>Agencję</w:t>
      </w:r>
      <w:proofErr w:type="gramEnd"/>
      <w:r w:rsidRPr="00152ED0">
        <w:rPr>
          <w:szCs w:val="24"/>
          <w:lang w:eastAsia="en-US"/>
        </w:rPr>
        <w:t xml:space="preserve"> powołano początkowo jako organ, który miał przyczyniać się do zapewnienia wysokiego poziomu bezpieczeństwa morskiego w całej Unii, a także pomagać w zapobieganiu zanieczyszczeniom pochodzącym ze statków, a później także z instalacji naftowych i gazowych. Mimo że cele te zostały dodatkowo poszerzone o promowanie ochrony na morzu, uwaga poświęcana przez Agencję w ostatnich latach na wspieranie zmian regulacyjnych w obszarze obniżenia emisyjności i cyfryzacji żeglugi</w:t>
      </w:r>
      <w:r w:rsidRPr="00152ED0">
        <w:rPr>
          <w:b/>
          <w:i/>
          <w:szCs w:val="24"/>
          <w:lang w:eastAsia="en-US"/>
        </w:rPr>
        <w:t>, w tym obszarów portowych,</w:t>
      </w:r>
      <w:r w:rsidRPr="00152ED0">
        <w:rPr>
          <w:szCs w:val="24"/>
          <w:lang w:eastAsia="en-US"/>
        </w:rPr>
        <w:t xml:space="preserve"> zasługuje na dodanie tych dziedzin do ogólnych celów Agencji, dzięki czemu może ona przyczynić się do osiągania celów dwojakiej transformacji – ekologicznej i cyfrowej sektora. Także kluczowa rola Agencji w zapewnianiu morskiej orientacji sytuacyjnej za pośrednictwem zdjęć satelitarnych i przez obsługę zdalnie kierowanych bezzałogowych systemów powietrznych uzasadnia dodanie odpowiedniego celu ogólnego Agencji.</w:t>
      </w:r>
      <w:r w:rsidR="00C3114C">
        <w:rPr>
          <w:b/>
          <w:szCs w:val="24"/>
          <w:lang w:eastAsia="en-US"/>
        </w:rPr>
        <w:t xml:space="preserve"> [Popr. 2]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(9)</w:t>
      </w:r>
      <w:r w:rsidRPr="00152ED0">
        <w:rPr>
          <w:szCs w:val="24"/>
          <w:lang w:eastAsia="en-US"/>
        </w:rPr>
        <w:tab/>
        <w:t>Cele</w:t>
      </w:r>
      <w:proofErr w:type="gramEnd"/>
      <w:r w:rsidRPr="00152ED0">
        <w:rPr>
          <w:szCs w:val="24"/>
          <w:lang w:eastAsia="en-US"/>
        </w:rPr>
        <w:t xml:space="preserve"> te powinny definiować obszary zaangażowania Agencji we wspieranie Komisji i państw członkowskich poprzez udzielanie pomocy technicznej i operacyjnej w celu wdrażania polityki Unii dotyczącej obszarów morskich.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(10)</w:t>
      </w:r>
      <w:r w:rsidRPr="00152ED0">
        <w:rPr>
          <w:szCs w:val="24"/>
          <w:lang w:eastAsia="en-US"/>
        </w:rPr>
        <w:tab/>
        <w:t>Aby</w:t>
      </w:r>
      <w:proofErr w:type="gramEnd"/>
      <w:r w:rsidRPr="00152ED0">
        <w:rPr>
          <w:szCs w:val="24"/>
          <w:lang w:eastAsia="en-US"/>
        </w:rPr>
        <w:t xml:space="preserve"> we właściwy sposób osiągnąć te cele, Agencja powinna realizować konkretne zadania w obszarze bezpieczeństwa morskiego</w:t>
      </w:r>
      <w:r w:rsidRPr="00152ED0">
        <w:rPr>
          <w:b/>
          <w:i/>
          <w:szCs w:val="24"/>
          <w:lang w:eastAsia="en-US"/>
        </w:rPr>
        <w:t>, zapobiegania zanieczyszczeniom pochodzącym ze statków</w:t>
      </w:r>
      <w:r w:rsidRPr="00152ED0">
        <w:rPr>
          <w:szCs w:val="24"/>
          <w:lang w:eastAsia="en-US"/>
        </w:rPr>
        <w:t xml:space="preserve">, zrównoważonego rozwoju, obniżenia emisyjności sektora morskiego, ochrony na morzu i </w:t>
      </w:r>
      <w:proofErr w:type="spellStart"/>
      <w:r w:rsidRPr="00152ED0">
        <w:rPr>
          <w:szCs w:val="24"/>
          <w:lang w:eastAsia="en-US"/>
        </w:rPr>
        <w:t>cyberbezpieczeństwa</w:t>
      </w:r>
      <w:proofErr w:type="spellEnd"/>
      <w:r w:rsidRPr="00152ED0">
        <w:rPr>
          <w:szCs w:val="24"/>
          <w:lang w:eastAsia="en-US"/>
        </w:rPr>
        <w:t>, nadzoru morskiego i sytuacji kryzysowych na morzu oraz promowania cyfryzacji i ułatwiania wymiany danych związanych z sektorem morskim.</w:t>
      </w:r>
      <w:r w:rsidRPr="00152ED0">
        <w:rPr>
          <w:b/>
          <w:i/>
          <w:szCs w:val="24"/>
          <w:lang w:eastAsia="en-US"/>
        </w:rPr>
        <w:t xml:space="preserve"> Wykonując te zadania, Agencja powinna zwrócić uwagę na specyfikę różnych rodzajów działalności morskiej, ze szczególnym uwzględnieniem warunków mających zastosowanie do sektora rybołówstwa.</w:t>
      </w:r>
      <w:r w:rsidR="00C3114C">
        <w:rPr>
          <w:b/>
          <w:szCs w:val="24"/>
          <w:lang w:eastAsia="en-US"/>
        </w:rPr>
        <w:t xml:space="preserve"> [Popr. 3]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(11)</w:t>
      </w:r>
      <w:r w:rsidRPr="00152ED0">
        <w:rPr>
          <w:szCs w:val="24"/>
          <w:lang w:eastAsia="en-US"/>
        </w:rPr>
        <w:tab/>
        <w:t>Oprócz</w:t>
      </w:r>
      <w:proofErr w:type="gramEnd"/>
      <w:r w:rsidRPr="00152ED0">
        <w:rPr>
          <w:szCs w:val="24"/>
          <w:lang w:eastAsia="en-US"/>
        </w:rPr>
        <w:t xml:space="preserve"> konkretnych zadań Agencja powinna na wniosek Komisji lub państw członkowskich zapewniać horyzontalne wsparcie techniczne w realizacji wszelkich zadań wchodzących w zakres jej kompetencji i celów, wynikających z przyszłych potrzeb i rozwoju sytuacji na szczeblu Unii</w:t>
      </w:r>
      <w:r w:rsidRPr="00152ED0">
        <w:rPr>
          <w:b/>
          <w:i/>
          <w:szCs w:val="24"/>
          <w:lang w:eastAsia="en-US"/>
        </w:rPr>
        <w:t xml:space="preserve"> w obrębie prawodawstwa morskiego</w:t>
      </w:r>
      <w:r w:rsidRPr="00152ED0">
        <w:rPr>
          <w:szCs w:val="24"/>
          <w:lang w:eastAsia="en-US"/>
        </w:rPr>
        <w:t xml:space="preserve">. Takie dodatkowe zadania podlegają analizie dostępnych zasobów ludzkich i finansowych, które zarząd Agencji powinien wziąć pod uwagę przed podjęciem decyzji o włączeniu takich zadań do jednolitego dokumentu programowego Agencji w ramach rocznego lub wieloletniego programu prac. </w:t>
      </w:r>
      <w:r w:rsidRPr="00152ED0">
        <w:rPr>
          <w:b/>
          <w:i/>
          <w:szCs w:val="24"/>
          <w:lang w:eastAsia="en-US"/>
        </w:rPr>
        <w:t xml:space="preserve">Dlatego nowym dodatkowym zadaniom powinna towarzyszyć ocena skutków finansowych regulacji przedstawiona organom ustawodawczym i budżetowym. </w:t>
      </w:r>
      <w:r w:rsidRPr="00152ED0">
        <w:rPr>
          <w:szCs w:val="24"/>
          <w:lang w:eastAsia="en-US"/>
        </w:rPr>
        <w:t>Jest to niezbędne do zapewnienia, by niektóre zadania stanowiące główny obszar działalności Agencji mogły być w razie potrzeby traktowane priorytetowo.</w:t>
      </w:r>
      <w:r w:rsidR="00C3114C">
        <w:rPr>
          <w:b/>
          <w:szCs w:val="24"/>
          <w:lang w:eastAsia="en-US"/>
        </w:rPr>
        <w:t xml:space="preserve"> [Popr. 4]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(11a</w:t>
      </w:r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Wykonując</w:t>
      </w:r>
      <w:proofErr w:type="gramEnd"/>
      <w:r w:rsidRPr="00152ED0">
        <w:rPr>
          <w:b/>
          <w:i/>
          <w:szCs w:val="24"/>
          <w:lang w:eastAsia="en-US"/>
        </w:rPr>
        <w:t xml:space="preserve"> swoje zadania, Agencja powinna zwracać szczególną uwagę na sektor rybołówstwa, ponieważ wywiera on istotny wpływ gospodarczy i społeczny w UE. W szczególności statki rybackie i pracownicy ponoszą wysokie ryzyko związane z bezpieczeństwem morskim i odgrywają istotną rolę w transformacji ekologicznej.</w:t>
      </w:r>
      <w:r w:rsidR="00C3114C">
        <w:rPr>
          <w:b/>
          <w:szCs w:val="24"/>
          <w:lang w:eastAsia="en-US"/>
        </w:rPr>
        <w:t xml:space="preserve"> [Popr. 5]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(12)</w:t>
      </w:r>
      <w:r w:rsidRPr="00152ED0">
        <w:rPr>
          <w:szCs w:val="24"/>
          <w:lang w:eastAsia="en-US"/>
        </w:rPr>
        <w:tab/>
        <w:t>Agencja</w:t>
      </w:r>
      <w:proofErr w:type="gramEnd"/>
      <w:r w:rsidRPr="00152ED0">
        <w:rPr>
          <w:szCs w:val="24"/>
          <w:lang w:eastAsia="en-US"/>
        </w:rPr>
        <w:t xml:space="preserve"> zajmuje wiodącą pozycję w zakresie technicznej wiedzy eksperckiej w dziedzinach wchodzących w zakres jej kompetencji, a zatem powinna zapewniać państwom członkowskim szkolenia i działania w zakresie budowania zdolności, opracowując kursy oparte na wspólnych podstawowych programach szkoleń i wykorzystując w ramach ich realizacji narzędzia o najwyższym stopniu zaawansowania technologicznego.</w:t>
      </w:r>
      <w:r w:rsidRPr="00152ED0">
        <w:rPr>
          <w:b/>
          <w:i/>
          <w:szCs w:val="24"/>
          <w:lang w:eastAsia="en-US"/>
        </w:rPr>
        <w:t xml:space="preserve"> Agencja powinna między innym wspierać szkolenie inspektorów kontroli przeprowadzanej przez państwo portu w państwach członkowskich i urzędników administracji państwa bandery w celu prowadzenia ukierunkowanych inspekcji w zakresie wdrażania i egzekwowania Konwencji o pracy na morzu z 2006 r. w kwestii przestrzegania praw marynarzy oraz warunków pracy i życia na statkach. Aby zwiększyć atrakcyjność zawodów związanych z morzem, Agencja powinna ocenić, czy warto utworzyć sieć, w której uczestniczyłyby środowiska akademickie i wszelkie inne instytucje umożliwiające zdobywanie odpowiednich kwalifikacji, w celu zaspokojenia potrzeb w zakresie uczenia się przez całe życie.</w:t>
      </w:r>
      <w:r w:rsidR="00C3114C">
        <w:rPr>
          <w:b/>
          <w:szCs w:val="24"/>
          <w:lang w:eastAsia="en-US"/>
        </w:rPr>
        <w:t xml:space="preserve"> [Popr. 6]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(13)</w:t>
      </w:r>
      <w:r w:rsidRPr="00152ED0">
        <w:rPr>
          <w:szCs w:val="24"/>
          <w:lang w:eastAsia="en-US"/>
        </w:rPr>
        <w:tab/>
        <w:t>Ta</w:t>
      </w:r>
      <w:proofErr w:type="gramEnd"/>
      <w:r w:rsidRPr="00152ED0">
        <w:rPr>
          <w:szCs w:val="24"/>
          <w:lang w:eastAsia="en-US"/>
        </w:rPr>
        <w:t xml:space="preserve"> techniczna wiedza ekspercka Agencji powinna być dalej rozwijana przez prowadzenie badań w dziedzinie zagadnień związanych z morzem i angażowanie się w odpowiednie działania Unii w tym obszarze. Agencja powinna aktywnie przyczyniać się do osiągania celów związanych z poprawą bezpieczeństwa morskiego i ochrony na morzu, obniżeniem emisyjności żeglugi i </w:t>
      </w:r>
      <w:r w:rsidRPr="00152ED0">
        <w:rPr>
          <w:b/>
          <w:i/>
          <w:szCs w:val="24"/>
          <w:lang w:eastAsia="en-US"/>
        </w:rPr>
        <w:t xml:space="preserve">portów morskich oraz </w:t>
      </w:r>
      <w:r w:rsidRPr="00152ED0">
        <w:rPr>
          <w:szCs w:val="24"/>
          <w:lang w:eastAsia="en-US"/>
        </w:rPr>
        <w:t>zapobieganiem zanieczyszczeniom pochodzącym ze statków. W związku z tym Agencja mogłaby wydawać odpowiednie niewiążące wytyczne, zalecenia lub podręczniki, które mogłyby wspierać Komisję, państwa członkowskie lub sektor morski w osiąganiu tych celów.</w:t>
      </w:r>
      <w:r w:rsidR="00C3114C">
        <w:rPr>
          <w:b/>
          <w:szCs w:val="24"/>
          <w:lang w:eastAsia="en-US"/>
        </w:rPr>
        <w:t xml:space="preserve"> [Popr. 7]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(14)</w:t>
      </w:r>
      <w:r w:rsidRPr="00152ED0">
        <w:rPr>
          <w:szCs w:val="24"/>
          <w:lang w:eastAsia="en-US"/>
        </w:rPr>
        <w:tab/>
        <w:t>Jeśli</w:t>
      </w:r>
      <w:proofErr w:type="gramEnd"/>
      <w:r w:rsidRPr="00152ED0">
        <w:rPr>
          <w:szCs w:val="24"/>
          <w:lang w:eastAsia="en-US"/>
        </w:rPr>
        <w:t xml:space="preserve"> chodzi o bezpieczeństwo morskie, Agencja powinna wypracować aktywne podejście do określania zagrożeń i wyzwań związanych z bezpieczeństwem, co powinno służyć jako podstawa do przedstawiania Komisji co trzy lata sprawozdania z postępów w zakresie bezpieczeństwa na morzu. Ponadto Agencja powinna nadal wspierać Komisję i państwa członkowskie we wdrażaniu odpowiednich przepisów Unii, zwłaszcza dotyczących obowiązków państwa bandery i państwa portu, </w:t>
      </w:r>
      <w:proofErr w:type="spellStart"/>
      <w:r w:rsidRPr="00152ED0">
        <w:rPr>
          <w:strike/>
          <w:szCs w:val="24"/>
          <w:lang w:eastAsia="en-US"/>
        </w:rPr>
        <w:t>badania</w:t>
      </w:r>
      <w:r w:rsidRPr="00152ED0">
        <w:rPr>
          <w:b/>
          <w:i/>
          <w:szCs w:val="24"/>
          <w:lang w:eastAsia="en-US"/>
        </w:rPr>
        <w:t>bezpośrednio</w:t>
      </w:r>
      <w:proofErr w:type="spellEnd"/>
      <w:r w:rsidRPr="00152ED0">
        <w:rPr>
          <w:b/>
          <w:i/>
          <w:szCs w:val="24"/>
          <w:lang w:eastAsia="en-US"/>
        </w:rPr>
        <w:t xml:space="preserve"> wspomagających badanie</w:t>
      </w:r>
      <w:r w:rsidRPr="00152ED0">
        <w:rPr>
          <w:szCs w:val="24"/>
          <w:lang w:eastAsia="en-US"/>
        </w:rPr>
        <w:t xml:space="preserve"> wypadków na morzu, przepisów dotyczących bezpieczeństwa statków pasażerskich, uznanych organizacji i wyposażenia morskiego. Ponadto Agencja powinna odgrywać aktywną rolę we wspieraniu wykorzystywania autonomicznych i zautomatyzowanych nawodnych statków morskich, przy czym ważne jest również gromadzenie dalszych danych na temat szkolenia i certyfikacji marynarzy oraz Konwencji o pracy na morzu z 2006 r.</w:t>
      </w:r>
      <w:r w:rsidR="00C3114C">
        <w:rPr>
          <w:b/>
          <w:szCs w:val="24"/>
          <w:lang w:eastAsia="en-US"/>
        </w:rPr>
        <w:t xml:space="preserve"> [Popr. 8]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(14a</w:t>
      </w:r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Wzywa</w:t>
      </w:r>
      <w:proofErr w:type="gramEnd"/>
      <w:r w:rsidRPr="00152ED0">
        <w:rPr>
          <w:b/>
          <w:i/>
          <w:szCs w:val="24"/>
          <w:lang w:eastAsia="en-US"/>
        </w:rPr>
        <w:t xml:space="preserve"> Komisję do transpozycji do prawa UE Międzynarodowej konwencji MOP o wymaganiach w zakresie wyszkolenia, wydawania świadectw oraz pełnienia wacht dla załóg statków rybackich (STCW-F 1995) w celu osiągnięcia zharmonizowanych ram określających minimalny poziom wyszkolenia rybaków w Europie.</w:t>
      </w:r>
      <w:r w:rsidR="00C3114C">
        <w:rPr>
          <w:b/>
          <w:szCs w:val="24"/>
          <w:lang w:eastAsia="en-US"/>
        </w:rPr>
        <w:t xml:space="preserve"> [Popr. 9]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(15)</w:t>
      </w:r>
      <w:r w:rsidRPr="00152ED0">
        <w:rPr>
          <w:szCs w:val="24"/>
          <w:lang w:eastAsia="en-US"/>
        </w:rPr>
        <w:tab/>
        <w:t>Od</w:t>
      </w:r>
      <w:proofErr w:type="gramEnd"/>
      <w:r w:rsidRPr="00152ED0">
        <w:rPr>
          <w:szCs w:val="24"/>
          <w:lang w:eastAsia="en-US"/>
        </w:rPr>
        <w:t xml:space="preserve"> czasu ostatniej istotnej zmiany rozporządzenia w 2013 r. w sektorze morskim nastąpiły znaczące zmiany legislacyjne związane ze zrównoważonym rozwojem. Oprócz zadań, które do tej pory wchodziły w zakres mandatu Agencji, takich jak zapobieganie zanieczyszczeniom pochodzącym ze statków oraz instalacji naftowych i gazowych, głównie przez prowadzenie systemu </w:t>
      </w:r>
      <w:proofErr w:type="spellStart"/>
      <w:r w:rsidRPr="00152ED0">
        <w:rPr>
          <w:szCs w:val="24"/>
          <w:lang w:eastAsia="en-US"/>
        </w:rPr>
        <w:t>CleanSeaNet</w:t>
      </w:r>
      <w:proofErr w:type="spellEnd"/>
      <w:r w:rsidRPr="00152ED0">
        <w:rPr>
          <w:szCs w:val="24"/>
          <w:lang w:eastAsia="en-US"/>
        </w:rPr>
        <w:t>, Agencja powinna nadal wspierać Komisję we wdrażaniu dyrektywy Parlamentu Europejskiego i Rady (UE) 2019/883</w:t>
      </w:r>
      <w:r w:rsidRPr="00152ED0">
        <w:rPr>
          <w:szCs w:val="24"/>
          <w:vertAlign w:val="superscript"/>
          <w:lang w:val="en-GB" w:eastAsia="en-US"/>
        </w:rPr>
        <w:footnoteReference w:id="11"/>
      </w:r>
      <w:r w:rsidRPr="00152ED0">
        <w:rPr>
          <w:szCs w:val="24"/>
          <w:lang w:eastAsia="en-US"/>
        </w:rPr>
        <w:t xml:space="preserve"> i zadanie to należy uwzględnić w zaktualizowanym mandacie Agencji. Ponadto zachodzi zwiększona potrzeba, aby Agencja nadal służyła wsparciem we wdrażaniu dotyczących żeglugi elementów dyrektyw Parlamentu Europejskiego i Rady 2008/56/WE</w:t>
      </w:r>
      <w:r w:rsidRPr="00152ED0">
        <w:rPr>
          <w:szCs w:val="24"/>
          <w:vertAlign w:val="superscript"/>
          <w:lang w:val="en-GB" w:eastAsia="en-US"/>
        </w:rPr>
        <w:footnoteReference w:id="12"/>
      </w:r>
      <w:r w:rsidRPr="00152ED0">
        <w:rPr>
          <w:szCs w:val="24"/>
          <w:lang w:eastAsia="en-US"/>
        </w:rPr>
        <w:t xml:space="preserve"> i (UE) 2016/802</w:t>
      </w:r>
      <w:r w:rsidRPr="00152ED0">
        <w:rPr>
          <w:szCs w:val="24"/>
          <w:vertAlign w:val="superscript"/>
          <w:lang w:val="en-GB" w:eastAsia="en-US"/>
        </w:rPr>
        <w:footnoteReference w:id="13"/>
      </w:r>
      <w:r w:rsidRPr="00152ED0">
        <w:rPr>
          <w:szCs w:val="24"/>
          <w:lang w:eastAsia="en-US"/>
        </w:rPr>
        <w:t>. Te dwa obszary, wraz z zaangażowaniem Agencji w gromadzenie, analizę i udostępnianie danych dotyczących emisji tlenków azotu (</w:t>
      </w:r>
      <w:proofErr w:type="spellStart"/>
      <w:r w:rsidRPr="00152ED0">
        <w:rPr>
          <w:szCs w:val="24"/>
          <w:lang w:eastAsia="en-US"/>
        </w:rPr>
        <w:t>NO</w:t>
      </w:r>
      <w:r w:rsidRPr="00152ED0">
        <w:rPr>
          <w:szCs w:val="24"/>
          <w:vertAlign w:val="subscript"/>
          <w:lang w:eastAsia="en-US"/>
        </w:rPr>
        <w:t>x</w:t>
      </w:r>
      <w:proofErr w:type="spellEnd"/>
      <w:r w:rsidRPr="00152ED0">
        <w:rPr>
          <w:szCs w:val="24"/>
          <w:lang w:eastAsia="en-US"/>
        </w:rPr>
        <w:t>) ze statków, mają znaczenie dla promowania zrównoważonego rozwoju w sektorze morskim, co powinno być przedmiotem przestawianego przez Agencję co trzy lata sprawozdania z postępów.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(16)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dziedzinie obniżenia emisyjności sektora żeglugi morskiej Międzynarodowa Organizacja Morska (IMO) podejmuje działania na rzecz ograniczenia globalnych emisji generowanych przez transport morski i działania te wymagają wspierania, między innymi przez szybkie wdrożenie przyjętej w 2018 r. wstępnej strategii IMO w zakresie redukcji emisji gazów cieplarnianych ze statków. Obecnie trwają debaty nad sposobami praktycznej realizacji tych ambicji</w:t>
      </w:r>
      <w:r w:rsidRPr="00152ED0">
        <w:rPr>
          <w:strike/>
          <w:szCs w:val="24"/>
          <w:lang w:eastAsia="en-US"/>
        </w:rPr>
        <w:t>, w tym nad zmianą tej</w:t>
      </w:r>
      <w:r w:rsidRPr="00152ED0">
        <w:rPr>
          <w:b/>
          <w:i/>
          <w:szCs w:val="24"/>
          <w:lang w:eastAsia="en-US"/>
        </w:rPr>
        <w:t>. Dyskusje te obejmują możliwość zmiany</w:t>
      </w:r>
      <w:r w:rsidRPr="00152ED0">
        <w:rPr>
          <w:szCs w:val="24"/>
          <w:lang w:eastAsia="en-US"/>
        </w:rPr>
        <w:t xml:space="preserve"> wstępnej strategii</w:t>
      </w:r>
      <w:r w:rsidRPr="00152ED0">
        <w:rPr>
          <w:b/>
          <w:i/>
          <w:szCs w:val="24"/>
          <w:lang w:eastAsia="en-US"/>
        </w:rPr>
        <w:t xml:space="preserve"> i stanowią okazję, by zastanowić się nad ambicjami Unii na szczeblu międzynarodowym oraz nad znaczeniem zapewnienia globalnych równych warunków działania, co doprowadziłoby do wzmocnienia konkurencyjności UE w sektorze morskim</w:t>
      </w:r>
      <w:r w:rsidRPr="00152ED0">
        <w:rPr>
          <w:szCs w:val="24"/>
          <w:lang w:eastAsia="en-US"/>
        </w:rPr>
        <w:t>. Na szczeblu unijnym opracowano zestaw polityk i wniosków ustawodawczych mających na celu wspieranie obniżenia emisyjności i dalsze promowanie zrównoważonego rozwoju w sektorze morskim, co znalazło odzwierciedlenie w szczególności w Europejskim Zielonym Ładzie, kompleksowej strategii na rzecz zrównoważonej i inteligentnej mobilności, pakiecie „Gotowi na 55” oraz dążeniu do osiągnięcia zerowego poziomu emisji zanieczyszczeń. W związku z tym w mandacie Agencji należy uwzględnić potrzebę ograniczenia emisji gazów cieplarnianych z sektora morskiego.</w:t>
      </w:r>
      <w:r w:rsidR="00C3114C">
        <w:rPr>
          <w:b/>
          <w:szCs w:val="24"/>
          <w:lang w:eastAsia="en-US"/>
        </w:rPr>
        <w:t xml:space="preserve"> [Popr. 10]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(17)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związku z tym, podczas gdy Agencja powinna nadal wspierać Komisję i państwa członkowskie we wdrażaniu rozporządzenia Parlamentu Europejskiego i Rady (UE) 2015/757</w:t>
      </w:r>
      <w:r w:rsidRPr="00152ED0">
        <w:rPr>
          <w:szCs w:val="24"/>
          <w:vertAlign w:val="superscript"/>
          <w:lang w:val="en-GB" w:eastAsia="en-US"/>
        </w:rPr>
        <w:footnoteReference w:id="14"/>
      </w:r>
      <w:r w:rsidRPr="00152ED0">
        <w:rPr>
          <w:szCs w:val="24"/>
          <w:lang w:eastAsia="en-US"/>
        </w:rPr>
        <w:t xml:space="preserve">, powinna dalej uczestniczyć we wdrażaniu nowych środków regulacyjnych mających na celu obniżenie emisyjności sektora żeglugi, wynikających z pakietu legislacyjnego „Gotowi na 55”, takich jak rozporządzenie [...] </w:t>
      </w:r>
      <w:proofErr w:type="gramStart"/>
      <w:r w:rsidRPr="00152ED0">
        <w:rPr>
          <w:szCs w:val="24"/>
          <w:lang w:eastAsia="en-US"/>
        </w:rPr>
        <w:t>w</w:t>
      </w:r>
      <w:proofErr w:type="gramEnd"/>
      <w:r w:rsidRPr="00152ED0">
        <w:rPr>
          <w:szCs w:val="24"/>
          <w:lang w:eastAsia="en-US"/>
        </w:rPr>
        <w:t xml:space="preserve"> sprawie stosowania paliw odnawialnych i niskoemisyjnych w transporcie morskim oraz związanych z żeglugą elementów dyrektywy 2003/87/WE Parlamentu Europejskiego i Rady</w:t>
      </w:r>
      <w:r w:rsidRPr="00152ED0">
        <w:rPr>
          <w:szCs w:val="24"/>
          <w:vertAlign w:val="superscript"/>
          <w:lang w:val="en-GB" w:eastAsia="en-US"/>
        </w:rPr>
        <w:footnoteReference w:id="15"/>
      </w:r>
      <w:r w:rsidRPr="00152ED0">
        <w:rPr>
          <w:szCs w:val="24"/>
          <w:lang w:eastAsia="en-US"/>
        </w:rPr>
        <w:t xml:space="preserve"> ustanawiającej system handlu przydziałami emisji gazów cieplarnianych we Wspólnocie. </w:t>
      </w:r>
      <w:r w:rsidRPr="00152ED0">
        <w:rPr>
          <w:b/>
          <w:i/>
          <w:szCs w:val="24"/>
          <w:lang w:eastAsia="en-US"/>
        </w:rPr>
        <w:t xml:space="preserve">Obejmuje to monitorowanie i sprawozdawczość w odniesieniu do skutków morskiego systemu EU </w:t>
      </w:r>
      <w:proofErr w:type="spellStart"/>
      <w:r w:rsidRPr="00152ED0">
        <w:rPr>
          <w:b/>
          <w:i/>
          <w:szCs w:val="24"/>
          <w:lang w:eastAsia="en-US"/>
        </w:rPr>
        <w:t>ETS</w:t>
      </w:r>
      <w:proofErr w:type="spellEnd"/>
      <w:r w:rsidRPr="00152ED0">
        <w:rPr>
          <w:b/>
          <w:i/>
          <w:szCs w:val="24"/>
          <w:lang w:eastAsia="en-US"/>
        </w:rPr>
        <w:t xml:space="preserve"> i inicjatywy </w:t>
      </w:r>
      <w:proofErr w:type="spellStart"/>
      <w:r w:rsidRPr="00152ED0">
        <w:rPr>
          <w:b/>
          <w:i/>
          <w:szCs w:val="24"/>
          <w:lang w:eastAsia="en-US"/>
        </w:rPr>
        <w:t>FuelEU</w:t>
      </w:r>
      <w:proofErr w:type="spellEnd"/>
      <w:r w:rsidRPr="00152ED0">
        <w:rPr>
          <w:b/>
          <w:i/>
          <w:szCs w:val="24"/>
          <w:lang w:eastAsia="en-US"/>
        </w:rPr>
        <w:t xml:space="preserve"> </w:t>
      </w:r>
      <w:proofErr w:type="spellStart"/>
      <w:r w:rsidRPr="00152ED0">
        <w:rPr>
          <w:b/>
          <w:i/>
          <w:szCs w:val="24"/>
          <w:lang w:eastAsia="en-US"/>
        </w:rPr>
        <w:t>Maritime</w:t>
      </w:r>
      <w:proofErr w:type="spellEnd"/>
      <w:r w:rsidRPr="00152ED0">
        <w:rPr>
          <w:b/>
          <w:i/>
          <w:szCs w:val="24"/>
          <w:lang w:eastAsia="en-US"/>
        </w:rPr>
        <w:t xml:space="preserve"> na ruch portowy, omijanie portów i przenoszenie ruchu do portów przeładunkowych w państwach trzecich ze szkodą dla portów w UE. </w:t>
      </w:r>
      <w:r w:rsidRPr="00152ED0">
        <w:rPr>
          <w:szCs w:val="24"/>
          <w:lang w:eastAsia="en-US"/>
        </w:rPr>
        <w:t>Agencja powinna nadal zajmować wiodącą pozycję w zakresie wiedzy eksperckiej na szczeblu unijnym, aby wspierać proces przechodzenia sektora na paliwa odnawialne i niskoemisyjne, prowadząc badania i zapewniając wytyczne dotyczące przyjmowania i wdrażania zrównoważonych alternatywnych źródeł energii dla statków</w:t>
      </w:r>
      <w:r w:rsidRPr="00152ED0">
        <w:rPr>
          <w:strike/>
          <w:szCs w:val="24"/>
          <w:lang w:eastAsia="en-US"/>
        </w:rPr>
        <w:t>, w tym</w:t>
      </w:r>
      <w:r w:rsidRPr="00152ED0">
        <w:rPr>
          <w:b/>
          <w:i/>
          <w:szCs w:val="24"/>
          <w:lang w:eastAsia="en-US"/>
        </w:rPr>
        <w:t xml:space="preserve"> i odpowiedniej infrastruktury na obszarach portowych,</w:t>
      </w:r>
      <w:r w:rsidRPr="00152ED0">
        <w:rPr>
          <w:szCs w:val="24"/>
          <w:lang w:eastAsia="en-US"/>
        </w:rPr>
        <w:t xml:space="preserve"> zasilania statków energią elektryczną z lądu oraz w odniesieniu do wdrażania rozwiązań w zakresie efektywności energetycznej i </w:t>
      </w:r>
      <w:r w:rsidRPr="00152ED0">
        <w:rPr>
          <w:strike/>
          <w:szCs w:val="24"/>
          <w:lang w:eastAsia="en-US"/>
        </w:rPr>
        <w:t xml:space="preserve">wspomagającego </w:t>
      </w:r>
      <w:r w:rsidRPr="00152ED0">
        <w:rPr>
          <w:szCs w:val="24"/>
          <w:lang w:eastAsia="en-US"/>
        </w:rPr>
        <w:t>wykorzystania napędu wiatrowego</w:t>
      </w:r>
      <w:r w:rsidRPr="00152ED0">
        <w:rPr>
          <w:b/>
          <w:i/>
          <w:szCs w:val="24"/>
          <w:lang w:eastAsia="en-US"/>
        </w:rPr>
        <w:t>, słonecznego i energii kinetycznej fal. Obejmuje to również nowe technologie redukcji emisji gazów cieplarnianych, np. wychwytywanie dwutlenku węgla na statkach, a także praktyki w zakresie efektywności energetycznej, np. redukcję prędkości eksploatacyjnej statku. Ponadto powinna też dzielić się wiedzą ekspercką o zagrożeniach dla bezpieczeństwa portów, bunkrowaniu i magazynowaniu, wprowadzaniu zrównoważonych paliw alternatywnych, a także barierach technologicznych i regulacyjnych</w:t>
      </w:r>
      <w:r w:rsidRPr="00152ED0">
        <w:rPr>
          <w:szCs w:val="24"/>
          <w:lang w:eastAsia="en-US"/>
        </w:rPr>
        <w:t>. Aby monitorować</w:t>
      </w:r>
      <w:r w:rsidRPr="00152ED0">
        <w:rPr>
          <w:b/>
          <w:i/>
          <w:szCs w:val="24"/>
          <w:lang w:eastAsia="en-US"/>
        </w:rPr>
        <w:t xml:space="preserve"> i ułatwiać</w:t>
      </w:r>
      <w:r w:rsidRPr="00152ED0">
        <w:rPr>
          <w:szCs w:val="24"/>
          <w:lang w:eastAsia="en-US"/>
        </w:rPr>
        <w:t xml:space="preserve"> postępy w zakresie obniżenia emisyjności sektora żeglugi</w:t>
      </w:r>
      <w:r w:rsidRPr="00152ED0">
        <w:rPr>
          <w:b/>
          <w:i/>
          <w:szCs w:val="24"/>
          <w:lang w:eastAsia="en-US"/>
        </w:rPr>
        <w:t xml:space="preserve"> i obszarów portowych</w:t>
      </w:r>
      <w:r w:rsidRPr="00152ED0">
        <w:rPr>
          <w:szCs w:val="24"/>
          <w:lang w:eastAsia="en-US"/>
        </w:rPr>
        <w:t>, Agencja powinna co trzy lata składać Komisji</w:t>
      </w:r>
      <w:r w:rsidRPr="00152ED0">
        <w:rPr>
          <w:b/>
          <w:i/>
          <w:szCs w:val="24"/>
          <w:lang w:eastAsia="en-US"/>
        </w:rPr>
        <w:t xml:space="preserve"> i Parlamentowi</w:t>
      </w:r>
      <w:r w:rsidRPr="00152ED0">
        <w:rPr>
          <w:szCs w:val="24"/>
          <w:lang w:eastAsia="en-US"/>
        </w:rPr>
        <w:t xml:space="preserve"> sprawozdanie z działań na rzecz redukcji emisji gazów cieplarnianych wraz z ewentualnymi zaleceniami.</w:t>
      </w:r>
      <w:r w:rsidRPr="00152ED0">
        <w:rPr>
          <w:b/>
          <w:i/>
          <w:szCs w:val="24"/>
          <w:lang w:eastAsia="en-US"/>
        </w:rPr>
        <w:t xml:space="preserve"> Agencja powinna również informować o wszystkich trudnościach administracyjnych i praktycznych napotykanych przez państwa członkowskie przy wdrażaniu odnośnych </w:t>
      </w:r>
      <w:r w:rsidRPr="00152ED0">
        <w:rPr>
          <w:b/>
          <w:i/>
          <w:szCs w:val="24"/>
          <w:lang w:eastAsia="en-US"/>
        </w:rPr>
        <w:lastRenderedPageBreak/>
        <w:t>aktów ustawodawczych.</w:t>
      </w:r>
      <w:r w:rsidR="00C3114C">
        <w:rPr>
          <w:b/>
          <w:szCs w:val="24"/>
          <w:lang w:eastAsia="en-US"/>
        </w:rPr>
        <w:t xml:space="preserve"> [Popr. 11]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(18)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obszarze ochrony na morzu Agencja powinna nadal zapewniać pomoc techniczną na potrzeby inspekcji przeprowadzanych przez Komisję w ramach rozporządzenia (WE) nr 725/2004 Parlamentu Europejskiego i Rady</w:t>
      </w:r>
      <w:r w:rsidRPr="00152ED0">
        <w:rPr>
          <w:szCs w:val="24"/>
          <w:vertAlign w:val="superscript"/>
          <w:lang w:val="en-GB" w:eastAsia="en-US"/>
        </w:rPr>
        <w:footnoteReference w:id="16"/>
      </w:r>
      <w:r w:rsidRPr="00152ED0">
        <w:rPr>
          <w:szCs w:val="24"/>
          <w:lang w:eastAsia="en-US"/>
        </w:rPr>
        <w:t xml:space="preserve"> w sprawie wzmocnienia ochrony statków i obiektów portowych. Ze względu na fakt, że w ostatnich latach znacznie wzrosła liczba </w:t>
      </w:r>
      <w:proofErr w:type="spellStart"/>
      <w:r w:rsidRPr="00152ED0">
        <w:rPr>
          <w:szCs w:val="24"/>
          <w:lang w:eastAsia="en-US"/>
        </w:rPr>
        <w:t>cyberincydentów</w:t>
      </w:r>
      <w:proofErr w:type="spellEnd"/>
      <w:r w:rsidRPr="00152ED0">
        <w:rPr>
          <w:szCs w:val="24"/>
          <w:lang w:eastAsia="en-US"/>
        </w:rPr>
        <w:t xml:space="preserve"> w sektorze morskim, Agencja powinna wspierać działania Unii zmierzające do </w:t>
      </w:r>
      <w:r w:rsidRPr="00152ED0">
        <w:rPr>
          <w:b/>
          <w:i/>
          <w:szCs w:val="24"/>
          <w:lang w:eastAsia="en-US"/>
        </w:rPr>
        <w:t xml:space="preserve">zapobiegania </w:t>
      </w:r>
      <w:proofErr w:type="spellStart"/>
      <w:r w:rsidRPr="00152ED0">
        <w:rPr>
          <w:b/>
          <w:i/>
          <w:szCs w:val="24"/>
          <w:lang w:eastAsia="en-US"/>
        </w:rPr>
        <w:t>cyberincydentom</w:t>
      </w:r>
      <w:proofErr w:type="spellEnd"/>
      <w:r w:rsidRPr="00152ED0">
        <w:rPr>
          <w:b/>
          <w:i/>
          <w:szCs w:val="24"/>
          <w:lang w:eastAsia="en-US"/>
        </w:rPr>
        <w:t xml:space="preserve"> i do </w:t>
      </w:r>
      <w:r w:rsidRPr="00152ED0">
        <w:rPr>
          <w:szCs w:val="24"/>
          <w:lang w:eastAsia="en-US"/>
        </w:rPr>
        <w:t xml:space="preserve">zwiększenia </w:t>
      </w:r>
      <w:r w:rsidRPr="00152ED0">
        <w:rPr>
          <w:strike/>
          <w:szCs w:val="24"/>
          <w:lang w:eastAsia="en-US"/>
        </w:rPr>
        <w:t xml:space="preserve">odporności na </w:t>
      </w:r>
      <w:proofErr w:type="spellStart"/>
      <w:r w:rsidRPr="00152ED0">
        <w:rPr>
          <w:strike/>
          <w:szCs w:val="24"/>
          <w:lang w:eastAsia="en-US"/>
        </w:rPr>
        <w:t>cyberincydenty</w:t>
      </w:r>
      <w:r w:rsidRPr="00152ED0">
        <w:rPr>
          <w:b/>
          <w:i/>
          <w:szCs w:val="24"/>
          <w:lang w:eastAsia="en-US"/>
        </w:rPr>
        <w:t>cyberodporności</w:t>
      </w:r>
      <w:proofErr w:type="spellEnd"/>
      <w:r w:rsidRPr="00152ED0">
        <w:rPr>
          <w:szCs w:val="24"/>
          <w:lang w:eastAsia="en-US"/>
        </w:rPr>
        <w:t xml:space="preserve"> w sektorze morskim przez</w:t>
      </w:r>
      <w:r w:rsidRPr="00152ED0">
        <w:rPr>
          <w:b/>
          <w:i/>
          <w:szCs w:val="24"/>
          <w:lang w:eastAsia="en-US"/>
        </w:rPr>
        <w:t xml:space="preserve"> przygotowywanie wytycznych i</w:t>
      </w:r>
      <w:r w:rsidRPr="00152ED0">
        <w:rPr>
          <w:szCs w:val="24"/>
          <w:lang w:eastAsia="en-US"/>
        </w:rPr>
        <w:t xml:space="preserve"> ułatwianie wymiany najlepszych praktyk i informacji na temat </w:t>
      </w:r>
      <w:proofErr w:type="spellStart"/>
      <w:r w:rsidRPr="00152ED0">
        <w:rPr>
          <w:szCs w:val="24"/>
          <w:lang w:eastAsia="en-US"/>
        </w:rPr>
        <w:t>cyberincydentów</w:t>
      </w:r>
      <w:proofErr w:type="spellEnd"/>
      <w:r w:rsidRPr="00152ED0">
        <w:rPr>
          <w:szCs w:val="24"/>
          <w:lang w:eastAsia="en-US"/>
        </w:rPr>
        <w:t xml:space="preserve"> między państwami członkowskimi.</w:t>
      </w:r>
      <w:r w:rsidR="00C3114C">
        <w:rPr>
          <w:b/>
          <w:szCs w:val="24"/>
          <w:lang w:eastAsia="en-US"/>
        </w:rPr>
        <w:t xml:space="preserve"> [Popr. 12]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(19)</w:t>
      </w:r>
      <w:r w:rsidRPr="00152ED0">
        <w:rPr>
          <w:szCs w:val="24"/>
          <w:lang w:eastAsia="en-US"/>
        </w:rPr>
        <w:tab/>
        <w:t>Agencja</w:t>
      </w:r>
      <w:proofErr w:type="gramEnd"/>
      <w:r w:rsidRPr="00152ED0">
        <w:rPr>
          <w:szCs w:val="24"/>
          <w:lang w:eastAsia="en-US"/>
        </w:rPr>
        <w:t xml:space="preserve"> powinna nadal prowadzić system monitorowania i informacji o ruchu statków utworzony na mocy dyrektywy 2002/59/WE Parlamentu Europejskiego i Rady</w:t>
      </w:r>
      <w:r w:rsidRPr="00152ED0">
        <w:rPr>
          <w:szCs w:val="24"/>
          <w:vertAlign w:val="superscript"/>
          <w:lang w:val="en-GB" w:eastAsia="en-US"/>
        </w:rPr>
        <w:footnoteReference w:id="17"/>
      </w:r>
      <w:r w:rsidRPr="00152ED0">
        <w:rPr>
          <w:szCs w:val="24"/>
          <w:lang w:eastAsia="en-US"/>
        </w:rPr>
        <w:t xml:space="preserve"> wraz z innymi systemami służącymi do budowania morskiej orientacji sytuacyjnej. W związku z tym Agencja powinna nadal odgrywać istotną rolę w zarządzaniu komponentem programu Copernicus dotyczącym ochrony na morzu, a także nadal korzystać z dostępnych najnowszych technologii, takich jak zdalnie kierowane bezzałogowe system powietrzne, które zapewniają państwom członkowskim i innym organom Unii użyteczne narzędzie nadzoru i monitorowania. Oprócz tych usług Agencja udowodniła swoją strategiczną rolę w zapewnianiu morskiej orientacji sytuacyjnej w różnych sytuacjach kryzysowych, takich jak pandemia COVID-19 i agresja Rosji na Ukrainę. W związku z tym Agencja powinna prowadzić centrum, które będzie działać 24 godziny na dobę i 7 dni w tygodniu oraz będzie udzielać wsparcia Komisji i państwom członkowskim </w:t>
      </w:r>
      <w:r w:rsidRPr="00152ED0">
        <w:rPr>
          <w:strike/>
          <w:szCs w:val="24"/>
          <w:lang w:eastAsia="en-US"/>
        </w:rPr>
        <w:t xml:space="preserve">w takich </w:t>
      </w:r>
      <w:proofErr w:type="spellStart"/>
      <w:r w:rsidRPr="00152ED0">
        <w:rPr>
          <w:strike/>
          <w:szCs w:val="24"/>
          <w:lang w:eastAsia="en-US"/>
        </w:rPr>
        <w:t>sytuacjach</w:t>
      </w:r>
      <w:r w:rsidRPr="00152ED0">
        <w:rPr>
          <w:b/>
          <w:i/>
          <w:szCs w:val="24"/>
          <w:lang w:eastAsia="en-US"/>
        </w:rPr>
        <w:t>i</w:t>
      </w:r>
      <w:proofErr w:type="spellEnd"/>
      <w:r w:rsidRPr="00152ED0">
        <w:rPr>
          <w:b/>
          <w:i/>
          <w:szCs w:val="24"/>
          <w:lang w:eastAsia="en-US"/>
        </w:rPr>
        <w:t xml:space="preserve"> przekazywać informacje dotyczące potencjalnych i faktycznych sytuacji</w:t>
      </w:r>
      <w:r w:rsidRPr="00152ED0">
        <w:rPr>
          <w:szCs w:val="24"/>
          <w:lang w:eastAsia="en-US"/>
        </w:rPr>
        <w:t xml:space="preserve"> kryzysowych.</w:t>
      </w:r>
      <w:r w:rsidRPr="00152ED0">
        <w:rPr>
          <w:b/>
          <w:i/>
          <w:szCs w:val="24"/>
          <w:lang w:eastAsia="en-US"/>
        </w:rPr>
        <w:t xml:space="preserve"> Wspierając zdecydowaną i zjednoczoną reakcję Unii i jej państw członkowskich na rosyjską wojnę napastniczą przeciwko Ukrainie, Agencja powinna m.in. monitorować podejrzane zachowania w odniesieniu do rurociągów i wykrywać uchylanie się od sankcji w sektorze morskim.</w:t>
      </w:r>
      <w:r w:rsidR="00C3114C">
        <w:rPr>
          <w:b/>
          <w:szCs w:val="24"/>
          <w:lang w:eastAsia="en-US"/>
        </w:rPr>
        <w:t xml:space="preserve"> [Popr. 13]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(20)</w:t>
      </w:r>
      <w:r w:rsidRPr="00152ED0">
        <w:rPr>
          <w:szCs w:val="24"/>
          <w:lang w:eastAsia="en-US"/>
        </w:rPr>
        <w:tab/>
        <w:t>Cyfryzacja</w:t>
      </w:r>
      <w:proofErr w:type="gramEnd"/>
      <w:r w:rsidRPr="00152ED0">
        <w:rPr>
          <w:szCs w:val="24"/>
          <w:lang w:eastAsia="en-US"/>
        </w:rPr>
        <w:t xml:space="preserve"> danych wpisuje się w naturalny sposób w postępy technologiczne w zakresie gromadzenia i przekazywania danych, mając na celu przyczynienie się do oszczędności kosztów</w:t>
      </w:r>
      <w:r w:rsidRPr="00152ED0">
        <w:rPr>
          <w:b/>
          <w:i/>
          <w:szCs w:val="24"/>
          <w:lang w:eastAsia="en-US"/>
        </w:rPr>
        <w:t>, ograniczenia obciążeń administracyjnych</w:t>
      </w:r>
      <w:r w:rsidRPr="00152ED0">
        <w:rPr>
          <w:szCs w:val="24"/>
          <w:lang w:eastAsia="en-US"/>
        </w:rPr>
        <w:t xml:space="preserve"> i efektywnego wykorzystania zasobów ludzkich. Wdrożenie i eksploatacja autonomicznych nawodnych statków morskich oraz nowe rozwiązania cyfrowe i technologiczne zapewniają szeroki zakres nowych możliwości w zakresie gromadzenia danych i zarządzania zintegrowanymi systemami. Stwarza to możliwości potencjalnej cyfryzacji, automatyzacji i standaryzacji szeregu procesów, co ułatwiłoby zapewnienie bezpieczeństwa, ochrony, zrównoważonego rozwoju i efektywności operacji morskich, w tym mechanizmów nadzoru, na szczeblu Unii, przy jednoczesnym zmniejszeniu obciążeń administracyjnych spoczywających na państwach członkowskich. W związku z tym Agencja powinna m.in. upowszechniać i promować korzystanie z certyfikatów elektronicznych, zbieranie, zapisywanie i ocenę danych technicznych, systematyczne wykorzystywanie istniejących baz danych, łącznie z ich wymianą dzięki wykorzystaniu innowacyjnych narzędzi informatycznych i sztucznej inteligencji, oraz, w stosownych przypadkach, tworzenie dodatkowych </w:t>
      </w:r>
      <w:proofErr w:type="spellStart"/>
      <w:r w:rsidRPr="00152ED0">
        <w:rPr>
          <w:szCs w:val="24"/>
          <w:lang w:eastAsia="en-US"/>
        </w:rPr>
        <w:t>interoperacyjnych</w:t>
      </w:r>
      <w:proofErr w:type="spellEnd"/>
      <w:r w:rsidRPr="00152ED0">
        <w:rPr>
          <w:szCs w:val="24"/>
          <w:lang w:eastAsia="en-US"/>
        </w:rPr>
        <w:t xml:space="preserve"> baz danych.</w:t>
      </w:r>
      <w:r w:rsidR="00C3114C">
        <w:rPr>
          <w:b/>
          <w:szCs w:val="24"/>
          <w:lang w:eastAsia="en-US"/>
        </w:rPr>
        <w:t xml:space="preserve"> [Popr. 14]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(21)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celu właściwego wykonywania zadań powierzonych Agencji jej urzędnicy powinni odwiedzać państwa członkowskie, aby monitorować ogólne funkcjonowanie unijnego systemu bezpieczeństwa morskiego i zapobiegania zanieczyszczeniu. Agencja powinna również przeprowadzać inspekcje w celu wspierania Komisji w ocenie skutecznego wdrażania prawa Unii.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(22)</w:t>
      </w:r>
      <w:r w:rsidRPr="00152ED0">
        <w:rPr>
          <w:szCs w:val="24"/>
          <w:lang w:eastAsia="en-US"/>
        </w:rPr>
        <w:tab/>
        <w:t>Komisja</w:t>
      </w:r>
      <w:proofErr w:type="gramEnd"/>
      <w:r w:rsidRPr="00152ED0">
        <w:rPr>
          <w:szCs w:val="24"/>
          <w:lang w:eastAsia="en-US"/>
        </w:rPr>
        <w:t xml:space="preserve"> i państwa członkowskie mogą potrzebować pomocy technicznej i wiedzy eksperckiej w kontekście IMO, Międzynarodowej Organizacji Pracy (MOP) i memorandum paryskiego w sprawie kontroli przeprowadzanej przez państwo portu, podpisanego w Paryżu w dniu 26 stycznia 1982 r. („memorandum paryskie”)</w:t>
      </w:r>
      <w:r w:rsidRPr="00152ED0">
        <w:rPr>
          <w:b/>
          <w:i/>
          <w:szCs w:val="24"/>
          <w:lang w:eastAsia="en-US"/>
        </w:rPr>
        <w:t>, dlatego należy wzmocnić rolę EMSA, w szczególności na forum IMO, gdzie EMSA powinna być obecna podczas dyskusji i uczestniczyć w nich</w:t>
      </w:r>
      <w:r w:rsidRPr="00152ED0">
        <w:rPr>
          <w:szCs w:val="24"/>
          <w:lang w:eastAsia="en-US"/>
        </w:rPr>
        <w:t>. Komisja może również potrzebować pomocy technicznej Agencji we wspieraniu państw trzecich w dziedzinie gospodarki morskiej, w szczególności w zakresie budowania zdolności oraz środków zapobiegania zanieczyszczeniom i reagowania na nie. Należy powierzyć zarządowi Agencji zadanie przyjęcia strategii stosunków międzynarodowych Agencji w kwestiach podlegających jej kompetencjom w ramach jednolitego dokumentu programowego.</w:t>
      </w:r>
      <w:r w:rsidR="00C3114C">
        <w:rPr>
          <w:b/>
          <w:szCs w:val="24"/>
          <w:lang w:eastAsia="en-US"/>
        </w:rPr>
        <w:t xml:space="preserve"> [Popr. 15]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(23)</w:t>
      </w:r>
      <w:r w:rsidRPr="00152ED0">
        <w:rPr>
          <w:szCs w:val="24"/>
          <w:lang w:eastAsia="en-US"/>
        </w:rPr>
        <w:tab/>
        <w:t>Organy</w:t>
      </w:r>
      <w:proofErr w:type="gramEnd"/>
      <w:r w:rsidRPr="00152ED0">
        <w:rPr>
          <w:szCs w:val="24"/>
          <w:lang w:eastAsia="en-US"/>
        </w:rPr>
        <w:t xml:space="preserve"> krajowe pełniące funkcje straży przybrzeżnej są odpowiedzialne za szerokie spektrum zadań, które mogą obejmować bezpieczeństwo morskie, ochronę na morzu, działania poszukiwawcze i ratownicze na morzu, kontrolę granic morskich, kontrolę rybołówstwa morskiego, kontrolę celną na morzu, ogólne ściganie przestępstw na morzu i ochronę środowiska morskiego. Agencja, Europejska Agencja Straży Granicznej i Przybrzeżnej, ustanowiona rozporządzeniem Parlamentu Europejskiego i Rady (UE) 2019/1896</w:t>
      </w:r>
      <w:r w:rsidRPr="00152ED0">
        <w:rPr>
          <w:szCs w:val="24"/>
          <w:vertAlign w:val="superscript"/>
          <w:lang w:val="en-GB" w:eastAsia="en-US"/>
        </w:rPr>
        <w:footnoteReference w:id="18"/>
      </w:r>
      <w:r w:rsidRPr="00152ED0">
        <w:rPr>
          <w:szCs w:val="24"/>
          <w:lang w:eastAsia="en-US"/>
        </w:rPr>
        <w:t xml:space="preserve"> oraz Europejska Agencja Kontroli Rybołówstwa, ustanowiona rozporządzeniem Parlamentu Europejskiego i Rady (UE) 2019/473</w:t>
      </w:r>
      <w:r w:rsidRPr="00152ED0">
        <w:rPr>
          <w:szCs w:val="24"/>
          <w:vertAlign w:val="superscript"/>
          <w:lang w:val="en-GB" w:eastAsia="en-US"/>
        </w:rPr>
        <w:footnoteReference w:id="19"/>
      </w:r>
      <w:r w:rsidRPr="00152ED0">
        <w:rPr>
          <w:szCs w:val="24"/>
          <w:lang w:eastAsia="en-US"/>
        </w:rPr>
        <w:t xml:space="preserve"> powinny zacieśnić, w ramach ich mandatów, wzajemną współpracę, a także współpracę z organami krajowymi pełniącymi funkcje straży przybrzeżnej w celu poprawienia morskiej orientacji sytuacyjnej oraz wspierania spójnych i oszczędnych działań</w:t>
      </w:r>
      <w:r w:rsidRPr="00152ED0">
        <w:rPr>
          <w:b/>
          <w:i/>
          <w:szCs w:val="24"/>
          <w:lang w:eastAsia="en-US"/>
        </w:rPr>
        <w:t xml:space="preserve"> poprzez świadczenie usług oraz zapewnianie informacji, technologii, sprzętu i szkoleń, a także poprzez koordynację operacji wielozadaniowych, gromadzenie danych na potrzeby badań naukowych, monitorowanie wód europejskich oraz wdrażanie programów współpracy z państwami trzecimi</w:t>
      </w:r>
      <w:r w:rsidRPr="00152ED0">
        <w:rPr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16]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(24)</w:t>
      </w:r>
      <w:r w:rsidRPr="00152ED0">
        <w:rPr>
          <w:szCs w:val="24"/>
          <w:lang w:eastAsia="en-US"/>
        </w:rPr>
        <w:tab/>
        <w:t>Wdrożenie</w:t>
      </w:r>
      <w:proofErr w:type="gramEnd"/>
      <w:r w:rsidRPr="00152ED0">
        <w:rPr>
          <w:szCs w:val="24"/>
          <w:lang w:eastAsia="en-US"/>
        </w:rPr>
        <w:t xml:space="preserve"> niniejszego rozporządzenia nie powinno wpływać na podział kompetencji między Unią i państwami członkowskimi ani na obowiązki państw członkowskich wynikające z konwencji międzynarodowych, takich jak Konwencja Narodów Zjednoczonych o prawie morza, Międzynarodowa konwencja o bezpieczeństwie życia na morzu, Międzynarodowa konwencja o poszukiwaniu i ratownictwie morskim, Międzynarodowa konwencja o zapobieganiu zanieczyszczaniu morza przez statki, Międzynarodowa konwencja o wymaganiach w zakresie wyszkolenia marynarzy, wydawania im świadectw oraz pełnienia wacht i inne stosowne instrumenty międzynarodowe dotyczące morza.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(25)</w:t>
      </w:r>
      <w:r w:rsidRPr="00152ED0">
        <w:rPr>
          <w:szCs w:val="24"/>
          <w:lang w:eastAsia="en-US"/>
        </w:rPr>
        <w:tab/>
        <w:t>Aby</w:t>
      </w:r>
      <w:proofErr w:type="gramEnd"/>
      <w:r w:rsidRPr="00152ED0">
        <w:rPr>
          <w:szCs w:val="24"/>
          <w:lang w:eastAsia="en-US"/>
        </w:rPr>
        <w:t xml:space="preserve"> usprawnić proces decyzyjny w Agencji i przyczynić się do zwiększenia sprawności i skuteczności, należy wprowadzić dwupoziomową strukturę zarządzania. W tym celu państwa członkowskie i Komisja powinny być reprezentowane w zarządzie, który powinien dysponować niezbędnymi uprawnieniami, w tym uprawnieniem do ustanawiania budżetu i zatwierdzania dokumentu programowego</w:t>
      </w:r>
      <w:r w:rsidRPr="00152ED0">
        <w:rPr>
          <w:b/>
          <w:i/>
          <w:szCs w:val="24"/>
          <w:lang w:eastAsia="en-US"/>
        </w:rPr>
        <w:t>. Parlament Europejski powinien być reprezentowany w charakterze obserwatora</w:t>
      </w:r>
      <w:r w:rsidRPr="00152ED0">
        <w:rPr>
          <w:szCs w:val="24"/>
          <w:lang w:eastAsia="en-US"/>
        </w:rPr>
        <w:t>. Zarząd powinien nadawać ogólny kierunek działaniom Agencji i ściślej uczestniczyć w monitorowaniu działań Agencji, aby wzmocnić nadzór nad kwestiami administracyjnymi i budżetowymi. Należy powołać mniejszą radę wykonawczą, której zadaniem będzie właściwie przygotowywanie posiedzeń zarządu i wspomaganie jego procesu decyzyjnego. Uprawnienia rady wykonawczej należy określić w mandacie, który zostanie przyjęty przez zarząd i który w razie potrzeby powinien obejmować opinie i tymczasowe decyzje, z zastrzeżeniem ostatecznego zatwierdzenia ich przez zarząd. Na czele Agencji powinien stać dyrektor wykonawczy.</w:t>
      </w:r>
      <w:r w:rsidR="00C3114C">
        <w:rPr>
          <w:b/>
          <w:szCs w:val="24"/>
          <w:lang w:eastAsia="en-US"/>
        </w:rPr>
        <w:t xml:space="preserve"> [Popr. 17]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(26)</w:t>
      </w:r>
      <w:r w:rsidRPr="00152ED0">
        <w:rPr>
          <w:szCs w:val="24"/>
          <w:lang w:eastAsia="en-US"/>
        </w:rPr>
        <w:tab/>
        <w:t>Aby</w:t>
      </w:r>
      <w:proofErr w:type="gramEnd"/>
      <w:r w:rsidRPr="00152ED0">
        <w:rPr>
          <w:szCs w:val="24"/>
          <w:lang w:eastAsia="en-US"/>
        </w:rPr>
        <w:t xml:space="preserve"> zagwarantować przejrzystość decyzji zarządu, w jego posiedzeniach powinni uczestniczyć przedstawiciele zainteresowanych sektorów, ale bez prawa głosu. Przedstawiciele poszczególnych zainteresowanych stron powinni być powoływani przez Komisję na podstawie ich reprezentatywności na szczeblu unijnym.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(27)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celu właściwego wykonywania swoich zadań Agencja powinna mieć osobowość prawną i autonomiczny budżet, finansowany głównie przez wkład unijny i przez</w:t>
      </w:r>
      <w:r w:rsidRPr="00152ED0">
        <w:rPr>
          <w:b/>
          <w:i/>
          <w:szCs w:val="24"/>
          <w:lang w:eastAsia="en-US"/>
        </w:rPr>
        <w:t xml:space="preserve"> proporcjonalne</w:t>
      </w:r>
      <w:r w:rsidRPr="00152ED0">
        <w:rPr>
          <w:szCs w:val="24"/>
          <w:lang w:eastAsia="en-US"/>
        </w:rPr>
        <w:t xml:space="preserve"> honoraria i opłaty wnoszone przez państwa trzecie lub inne podmioty. Wszelkie wkłady finansowe wnoszone przez państwa członkowskie, państwa trzecie lub inne podmioty nie powinny naruszać niezależności i bezstronności Agencji. Aby zapewnić niezależność Agencji pod kątem jej zarządzania i w wydawanych przez nią opiniach, zaleceniach i decyzjach, struktura Agencji powinna być przejrzysta, a pełna odpowiedzialność powinna spocząć na dyrektorze wykonawczym. Pracownicy Agencji powinni być niezależni i powinni być zatrudnieni na umowy krótko- i długoterminowe, tak aby utrzymać strukturę merytoryczną organizacji i ciągłość jej działalności, prowadząc jednocześnie stałą niezbędną wymianę wiedzy eksperckiej z sektorem morskim. Wydatki Agencji powinny obejmować wydatki związane z personelem, administracją, infrastrukturą i działalnością.</w:t>
      </w:r>
      <w:r w:rsidR="00C3114C">
        <w:rPr>
          <w:b/>
          <w:szCs w:val="24"/>
          <w:lang w:eastAsia="en-US"/>
        </w:rPr>
        <w:t xml:space="preserve"> [Popr. 18]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(28)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odniesieniu do zapobiegania konfliktom interesów i zarządzania nimi Agencja powinna zapewnić bezstronność, integralność i wysokie standardy zawodowe. Nigdy nie powinien pojawić się żaden uzasadniony powód do podejrzeń, że wpływ na decyzje mogły mieć interesy sprzeczne z rolą Agencji jako organu służącego całej Unii, prywatne interesy lub powiązania dowolnego członka zarządu, które to interesy prowadziłyby lub mogły prowadzić do powstania konfliktu z właściwym wykonywaniem oficjalnych obowiązków przez daną osobę. Zarząd powinien zatem przyjąć </w:t>
      </w:r>
      <w:r w:rsidRPr="00152ED0">
        <w:rPr>
          <w:b/>
          <w:i/>
          <w:szCs w:val="24"/>
          <w:lang w:eastAsia="en-US"/>
        </w:rPr>
        <w:t xml:space="preserve">i podać do wiadomości publicznej </w:t>
      </w:r>
      <w:r w:rsidRPr="00152ED0">
        <w:rPr>
          <w:szCs w:val="24"/>
          <w:lang w:eastAsia="en-US"/>
        </w:rPr>
        <w:t>szczegółowe zasady dotyczące konfliktów interesów</w:t>
      </w:r>
      <w:r w:rsidRPr="00152ED0">
        <w:rPr>
          <w:b/>
          <w:i/>
          <w:szCs w:val="24"/>
          <w:lang w:eastAsia="en-US"/>
        </w:rPr>
        <w:t>, należycie uwzględniając zalecenia Europejskiego Rzecznika Praw Obywatelskich</w:t>
      </w:r>
      <w:r w:rsidRPr="00152ED0">
        <w:rPr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19]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(29)</w:t>
      </w:r>
      <w:r w:rsidRPr="00152ED0">
        <w:rPr>
          <w:szCs w:val="24"/>
          <w:lang w:eastAsia="en-US"/>
        </w:rPr>
        <w:tab/>
        <w:t>Szersza</w:t>
      </w:r>
      <w:proofErr w:type="gramEnd"/>
      <w:r w:rsidRPr="00152ED0">
        <w:rPr>
          <w:szCs w:val="24"/>
          <w:lang w:eastAsia="en-US"/>
        </w:rPr>
        <w:t xml:space="preserve"> perspektywa strategiczna dotycząca działalności Agencji pomogłaby skuteczniej planować jej zasoby i zarządzanie nimi oraz przyczyniłaby się do podniesienia jakości jej wyników. Zostało to potwierdzone i podkreślone rozporządzeniem delegowanym Komisji (UE) 2019/715. Dlatego też zarząd powinien przyjąć i okresowo aktualizować jednolity dokument programowy zawierający roczny i wieloletnie programy prac, skonsultowawszy go wcześniej należycie z odpowiednimi zainteresowanymi stronami.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(30)</w:t>
      </w:r>
      <w:r w:rsidRPr="00152ED0">
        <w:rPr>
          <w:szCs w:val="24"/>
          <w:lang w:eastAsia="en-US"/>
        </w:rPr>
        <w:tab/>
        <w:t>Jeżeli</w:t>
      </w:r>
      <w:proofErr w:type="gramEnd"/>
      <w:r w:rsidRPr="00152ED0">
        <w:rPr>
          <w:szCs w:val="24"/>
          <w:lang w:eastAsia="en-US"/>
        </w:rPr>
        <w:t xml:space="preserve"> Agencja otrzyma wniosek o wykonywanie nowych zadań, które nie zostały wyraźnie przewidziane w jej mandacie, lub niektórych zadań, w przypadku których zgodnie z jej mandatem konieczne jest rozważenie i przeanalizowanie wpływu na jej zasoby ludzkie i budżetowe, zarząd powinien uwzględnić takie zadania w dokumencie programowym dopiero po przeprowadzeniu takiej analizy. W analizie tej należy określić niezbędne zasoby, za pomocą których Agencja mogłaby wykonywać te nowe zadania, oraz czy będzie to negatywny wpływ na istniejące zadania Agencji.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(31)</w:t>
      </w:r>
      <w:r w:rsidRPr="00152ED0">
        <w:rPr>
          <w:szCs w:val="24"/>
          <w:lang w:eastAsia="en-US"/>
        </w:rPr>
        <w:tab/>
        <w:t>Agencja</w:t>
      </w:r>
      <w:proofErr w:type="gramEnd"/>
      <w:r w:rsidRPr="00152ED0">
        <w:rPr>
          <w:szCs w:val="24"/>
          <w:lang w:eastAsia="en-US"/>
        </w:rPr>
        <w:t xml:space="preserve"> powinna dysponować odpowiednimi zasobami oraz niezależnym budżetem, aby móc realizować swoje zadania. Należy ją finansować głównie za pomocą wkładu z budżetu ogólnego Unii. Procedura budżetowa Unii powinna mieć zastosowanie do wkładu Unii i wszelkich innych dotacji, którymi obciążany jest budżet ogólny. Badanie sprawozdania finansowego powinien przeprowadzać Trybunał Obrachunkowy Unii.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(32)</w:t>
      </w:r>
      <w:r w:rsidRPr="00152ED0">
        <w:rPr>
          <w:szCs w:val="24"/>
          <w:lang w:eastAsia="en-US"/>
        </w:rPr>
        <w:tab/>
        <w:t>Opłaty</w:t>
      </w:r>
      <w:proofErr w:type="gramEnd"/>
      <w:r w:rsidRPr="00152ED0">
        <w:rPr>
          <w:szCs w:val="24"/>
          <w:lang w:eastAsia="en-US"/>
        </w:rPr>
        <w:t xml:space="preserve"> poprawiają finansowanie agencji i można je rozważyć w odniesieniu do konkretnych usług wchodzących w zakres kompetencji Agencji i świadczonych przez nią na rzecz państw trzecich lub sektora. Wszelkie opłaty pobierane przez Agencję powinny pokrywać koszty świadczenia przez nią odpowiednich usług.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(33)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celu zapewnienia jednolitych warunków wykonywania niniejszego rozporządzenia w odniesieniu do honorariów i opłat należy powierzyć Komisji uprawnienia wykonawcze</w:t>
      </w:r>
      <w:r w:rsidRPr="00152ED0">
        <w:rPr>
          <w:b/>
          <w:i/>
          <w:szCs w:val="24"/>
          <w:lang w:eastAsia="en-US"/>
        </w:rPr>
        <w:t xml:space="preserve"> w zakresie ustalania honorariów i opłat za świadczenie usług</w:t>
      </w:r>
      <w:r w:rsidRPr="00152ED0">
        <w:rPr>
          <w:szCs w:val="24"/>
          <w:lang w:eastAsia="en-US"/>
        </w:rPr>
        <w:t>. Uprawnienia te powinny być wykonywane zgodnie z rozporządzeniem Parlamentu Europejskiego i Rady (UE) nr 182/2011</w:t>
      </w:r>
      <w:r w:rsidRPr="00152ED0">
        <w:rPr>
          <w:szCs w:val="24"/>
          <w:vertAlign w:val="superscript"/>
          <w:lang w:val="en-GB" w:eastAsia="en-US"/>
        </w:rPr>
        <w:footnoteReference w:id="20"/>
      </w:r>
      <w:r w:rsidRPr="00152ED0">
        <w:rPr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20]</w:t>
      </w:r>
    </w:p>
    <w:p w:rsidR="00C3114C" w:rsidRDefault="00C3114C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lastRenderedPageBreak/>
        <w:t>(33a</w:t>
      </w:r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W</w:t>
      </w:r>
      <w:proofErr w:type="gramEnd"/>
      <w:r w:rsidRPr="00152ED0">
        <w:rPr>
          <w:b/>
          <w:i/>
          <w:szCs w:val="24"/>
          <w:lang w:eastAsia="en-US"/>
        </w:rPr>
        <w:t xml:space="preserve"> celu określenia metodyki obliczania tych honorariów i opłat należy przekazać Komisji uprawnienia do przyjmowania aktów zgodnie z art. 290 Traktatu o funkcjonowaniu Unii Europejskiej w odniesieniu do … [treść i zakres]. Szczególnie ważne jest, aby w czasie prac przygotowawczych Komisja prowadziła stosowne konsultacje, w tym na poziomie ekspertów, oraz aby konsultacje te prowadzone były zgodnie z zasadami określonymi w Porozumieniu międzyinstytucjonalnym z dnia 13 kwietnia 2016 r. w sprawie lepszego stanowienia prawa</w:t>
      </w:r>
      <w:r w:rsidRPr="00152ED0">
        <w:rPr>
          <w:szCs w:val="24"/>
          <w:vertAlign w:val="superscript"/>
          <w:lang w:val="en-GB" w:eastAsia="en-US"/>
        </w:rPr>
        <w:footnoteReference w:id="21"/>
      </w:r>
      <w:r w:rsidRPr="00152ED0">
        <w:rPr>
          <w:b/>
          <w:i/>
          <w:szCs w:val="24"/>
          <w:lang w:eastAsia="en-US"/>
        </w:rPr>
        <w:t>. W szczególności, aby zapewnić Parlamentowi Europejskiemu i Radzie udział na równych zasadach w przygotowaniu aktów delegowanych, instytucje te otrzymują wszelkie dokumenty w tym samym czasie co eksperci państw członkowskich, a eksperci tych instytucji mogą systematycznie brać udział w posiedzeniach grup eksperckich Komisji zajmujących się przygotowaniem aktów delegowanych.</w:t>
      </w:r>
      <w:r w:rsidR="00C3114C">
        <w:rPr>
          <w:b/>
          <w:szCs w:val="24"/>
          <w:lang w:eastAsia="en-US"/>
        </w:rPr>
        <w:t xml:space="preserve"> [Popr. 21]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(34)</w:t>
      </w:r>
      <w:r w:rsidRPr="00152ED0">
        <w:rPr>
          <w:szCs w:val="24"/>
          <w:lang w:eastAsia="en-US"/>
        </w:rPr>
        <w:tab/>
        <w:t>Na</w:t>
      </w:r>
      <w:proofErr w:type="gramEnd"/>
      <w:r w:rsidRPr="00152ED0">
        <w:rPr>
          <w:szCs w:val="24"/>
          <w:lang w:eastAsia="en-US"/>
        </w:rPr>
        <w:t xml:space="preserve"> przestrzeni minionych lat utworzono szereg nowych agencji zdecentralizowanych, poprawiła się przejrzystość i poziom kontroli nad sposobem dysponowania funduszami Unii przyznawanymi tym agencjom, w szczególności w zakresie budżetowania pobieranych opłat, kontroli finansowej, uprawnień do udzielania absolutorium, składek emerytalnych i wewnętrznej procedury budżetowej (kodeks postępowania). W podobny sposób rozporządzenie (UE, </w:t>
      </w:r>
      <w:proofErr w:type="spellStart"/>
      <w:r w:rsidRPr="00152ED0">
        <w:rPr>
          <w:szCs w:val="24"/>
          <w:lang w:eastAsia="en-US"/>
        </w:rPr>
        <w:t>Euratom</w:t>
      </w:r>
      <w:proofErr w:type="spellEnd"/>
      <w:r w:rsidRPr="00152ED0">
        <w:rPr>
          <w:szCs w:val="24"/>
          <w:lang w:eastAsia="en-US"/>
        </w:rPr>
        <w:t>) nr 883/2013 Parlamentu Europejskiego i Rady</w:t>
      </w:r>
      <w:r w:rsidRPr="00152ED0">
        <w:rPr>
          <w:szCs w:val="24"/>
          <w:vertAlign w:val="superscript"/>
          <w:lang w:val="en-GB" w:eastAsia="en-US"/>
        </w:rPr>
        <w:footnoteReference w:id="22"/>
      </w:r>
      <w:r w:rsidRPr="00152ED0">
        <w:rPr>
          <w:szCs w:val="24"/>
          <w:lang w:eastAsia="en-US"/>
        </w:rPr>
        <w:t xml:space="preserve"> powinno być stosowane bez ograniczeń w stosunku do Agencji, która powinna przystąpić do międzyinstytucjonalnego porozumienia z dnia 25 maja 1999 r. zawartego między Parlamentem Europejskim, Radą Unii Europejskiej i Komisją Wspólnot Europejskich, dotyczącego wewnętrznych dochodzeń prowadzonych przez Europejski Urząd ds. Zwalczania Nadużyć Finansowych (OLAF)</w:t>
      </w:r>
      <w:r w:rsidRPr="00152ED0">
        <w:rPr>
          <w:szCs w:val="24"/>
          <w:vertAlign w:val="superscript"/>
          <w:lang w:val="en-GB" w:eastAsia="en-US"/>
        </w:rPr>
        <w:footnoteReference w:id="23"/>
      </w:r>
      <w:r w:rsidRPr="00152ED0">
        <w:rPr>
          <w:szCs w:val="24"/>
          <w:lang w:eastAsia="en-US"/>
        </w:rPr>
        <w:t>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(34a</w:t>
      </w:r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Proponowane</w:t>
      </w:r>
      <w:proofErr w:type="gramEnd"/>
      <w:r w:rsidRPr="00152ED0">
        <w:rPr>
          <w:b/>
          <w:i/>
          <w:szCs w:val="24"/>
          <w:lang w:eastAsia="en-US"/>
        </w:rPr>
        <w:t xml:space="preserve"> zwiększenie zasobów EMSA jest niewystarczające z uwagi na zakres proponowanego zwiększenia zadań Agencji oraz skalę ambicji UE w zakresie polityki morskiej. Kwota zasobów finansowych przeznaczonych na niniejszy wniosek powinna zatem pochodzić z nieprzydzielonych marginesów w ramach pułapów WRF lub zostać uruchomiona za pośrednictwem nietematycznych szczególnych instrumentów WRF. Ponieważ wniosek Komisji w sprawie rewizji WRF nie wzmocnił budżetu EMSA, zwiększenia środków dla EMSA nie można zrównoważyć kompensacyjnym zmniejszeniem zaprogramowanych wydatków w ramach instrumentu „Łącząc Europę” – Transport ani dążyć do zmniejszenia finansowania wszelkich innych programów unijnych. </w:t>
      </w:r>
      <w:r w:rsidR="00C3114C">
        <w:rPr>
          <w:b/>
          <w:szCs w:val="24"/>
          <w:lang w:eastAsia="en-US"/>
        </w:rPr>
        <w:t xml:space="preserve"> [Popr. 22]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(35)</w:t>
      </w:r>
      <w:r w:rsidRPr="00152ED0">
        <w:rPr>
          <w:szCs w:val="24"/>
          <w:lang w:eastAsia="en-US"/>
        </w:rPr>
        <w:tab/>
        <w:t>Ponieważ</w:t>
      </w:r>
      <w:proofErr w:type="gramEnd"/>
      <w:r w:rsidRPr="00152ED0">
        <w:rPr>
          <w:szCs w:val="24"/>
          <w:lang w:eastAsia="en-US"/>
        </w:rPr>
        <w:t xml:space="preserve"> cele niniejszego rozporządzenia, czyli ustanowienie wyspecjalizowanego organu, który może wspierać Komisję i państwa członkowskie w stosowaniu i monitorowaniu przepisów Unii w dziedzinie bezpieczeństwa morskiego, a także w ocenie jego skuteczności, nie mogą zostać w wystarczającym stopniu zrealizowane przez państwa członkowskie, natomiast ze względu na konieczność podjęcia współpracy mogą być lepiej zrealizowane na szczeblu unijnym, Unia może przyjąć środki zgodnie z zasadą pomocniczości ustanowioną w art. 5 Traktatu o Unii Europejskiej. Zgodnie z zasadą proporcjonalności określoną w tym artykule niniejsze rozporządzenie nie wykracza poza to, co jest konieczne do osiągnięcia tych celów.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(36)</w:t>
      </w:r>
      <w:r w:rsidRPr="00152ED0">
        <w:rPr>
          <w:szCs w:val="24"/>
          <w:lang w:eastAsia="en-US"/>
        </w:rPr>
        <w:tab/>
        <w:t>Aby</w:t>
      </w:r>
      <w:proofErr w:type="gramEnd"/>
      <w:r w:rsidRPr="00152ED0">
        <w:rPr>
          <w:szCs w:val="24"/>
          <w:lang w:eastAsia="en-US"/>
        </w:rPr>
        <w:t xml:space="preserve"> zapewnić właściwe funkcjonowanie Agencji, konieczne jest wdrożenie określonych zasad dotyczących zarządzania Agencją, aby wypełnić wymagania wspólnego oświadczenia i wspólnego podejścia uzgodnionych w ramach międzyinstytucjonalnej grupy roboczej ds. agencji zdecentralizowanych UE w lipcu 2012 r., których celem jest usprawnienie działań agencji i zwiększenie ich skuteczności.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lastRenderedPageBreak/>
        <w:t>(37)</w:t>
      </w:r>
      <w:r w:rsidRPr="00152ED0">
        <w:rPr>
          <w:szCs w:val="24"/>
          <w:lang w:eastAsia="en-US"/>
        </w:rPr>
        <w:tab/>
        <w:t>Niniejsze</w:t>
      </w:r>
      <w:proofErr w:type="gramEnd"/>
      <w:r w:rsidRPr="00152ED0">
        <w:rPr>
          <w:szCs w:val="24"/>
          <w:lang w:eastAsia="en-US"/>
        </w:rPr>
        <w:t xml:space="preserve"> rozporządzenie nie narusza praw podstawowych i jest zgodne z zasadami uznanymi w szczególności w Karcie praw podstawowych Unii Europejskiej.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proofErr w:type="gramStart"/>
      <w:r w:rsidRPr="00152ED0">
        <w:rPr>
          <w:szCs w:val="24"/>
          <w:lang w:eastAsia="en-US"/>
        </w:rPr>
        <w:t>(38)</w:t>
      </w:r>
      <w:r w:rsidRPr="00152ED0">
        <w:rPr>
          <w:szCs w:val="24"/>
          <w:lang w:eastAsia="en-US"/>
        </w:rPr>
        <w:tab/>
        <w:t>Europejska</w:t>
      </w:r>
      <w:proofErr w:type="gramEnd"/>
      <w:r w:rsidRPr="00152ED0">
        <w:rPr>
          <w:szCs w:val="24"/>
          <w:lang w:eastAsia="en-US"/>
        </w:rPr>
        <w:t xml:space="preserve"> Agencja Bezpieczeństwa Morskiego ustanowiona rozporządzeniem (WE) nr 1406/2022 pozostaje tą samą osobą prawną i będzie kontynuować wszystkie prowadzone przez siebie działania i procedury,</w:t>
      </w:r>
    </w:p>
    <w:p w:rsidR="00152ED0" w:rsidRPr="00152ED0" w:rsidRDefault="00152ED0" w:rsidP="00152ED0">
      <w:pPr>
        <w:keepNext/>
        <w:widowControl/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>PRZYJMUJĄ NINIEJSZE ROZPORZĄDZENIE: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ROZDZIAŁ I</w:t>
      </w:r>
      <w:r w:rsidRPr="00152ED0">
        <w:rPr>
          <w:szCs w:val="24"/>
          <w:lang w:eastAsia="en-US"/>
        </w:rPr>
        <w:br/>
        <w:t>PRZEDMIOT, ZAKRES STOSOWANIA I CELE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1</w:t>
      </w:r>
      <w:r w:rsidRPr="00152ED0">
        <w:rPr>
          <w:szCs w:val="24"/>
          <w:lang w:eastAsia="en-US"/>
        </w:rPr>
        <w:br/>
        <w:t>Ustanowienie, przedmiot i zakres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Niniejsze rozporządzenie zawiera kompleksowe przepisy dotyczące zadań i funkcjonowania Europejskiej Agencji Bezpieczeństwa Morskiego ustanowionej rozporządzeniem (WE) nr 1406/2002 („Agencja”) oraz zarządzania nią.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Agencja wspiera państwa członkowskie i Komisję w skutecznym stosowaniu i wdrażaniu prawa Unii dotyczącego transportu morskiego w całej Unii. W tym celu Agencja współpracuje z państwami członkowskimi i z Komisją oraz zapewnia im pomoc techniczną, operacyjną i naukową w zakresie celów i zadań Agencji określonych w art. 2 oraz w rozdziałach II i III.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3.</w:t>
      </w:r>
      <w:r w:rsidRPr="00152ED0">
        <w:rPr>
          <w:szCs w:val="24"/>
          <w:lang w:eastAsia="en-US"/>
        </w:rPr>
        <w:tab/>
        <w:t>Świadcząc pomoc, o której mowa w ust. 2, Agencja zapewnia w szczególności wsparcie państwom członkowskim i Komisji w prawidłowym stosowaniu odpowiednich aktów prawnych Unii, przyczyniając się jednocześnie do ogólnej skuteczności ruchu morskiego i transportu morskiego, jak określono w niniejszym rozporządzeniu, tak aby ułatwić osiągnięcie celów Unii w dziedzinie transportu morskiego.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Wszelkie wsparcie udzielane przez Agencję pozostaje bez uszczerbku dla praw i obowiązków państw członkowskich jako państw bandery, państw portu lub państw nadbrzeżnych.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2</w:t>
      </w:r>
      <w:r w:rsidRPr="00152ED0">
        <w:rPr>
          <w:szCs w:val="24"/>
          <w:lang w:eastAsia="en-US"/>
        </w:rPr>
        <w:br/>
        <w:t>Cele Agencji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 xml:space="preserve">Celem Agencji jest promowanie i ustanowienie wysokiego, jednolitego i skutecznego poziomu bezpieczeństwa morskiego, zmierzającego do </w:t>
      </w:r>
      <w:proofErr w:type="spellStart"/>
      <w:r w:rsidRPr="00152ED0">
        <w:rPr>
          <w:strike/>
          <w:szCs w:val="24"/>
          <w:lang w:eastAsia="en-US"/>
        </w:rPr>
        <w:t>wyeliminowania</w:t>
      </w:r>
      <w:r w:rsidRPr="00152ED0">
        <w:rPr>
          <w:b/>
          <w:i/>
          <w:szCs w:val="24"/>
          <w:lang w:eastAsia="en-US"/>
        </w:rPr>
        <w:t>maksymalnego</w:t>
      </w:r>
      <w:proofErr w:type="spellEnd"/>
      <w:r w:rsidRPr="00152ED0">
        <w:rPr>
          <w:b/>
          <w:i/>
          <w:szCs w:val="24"/>
          <w:lang w:eastAsia="en-US"/>
        </w:rPr>
        <w:t xml:space="preserve"> ograniczenia</w:t>
      </w:r>
      <w:r w:rsidRPr="00152ED0">
        <w:rPr>
          <w:szCs w:val="24"/>
          <w:lang w:eastAsia="en-US"/>
        </w:rPr>
        <w:t xml:space="preserve"> wypadków, zapewnienia ochrony na morzu, redukcji emisji gazów cieplarnianych ze statków oraz zrównoważonego rozwoju sektora morskiego, a także zapobieganie zanieczyszczeniom pochodzącym ze statków i reagowanie na nie oraz reagowanie na zanieczyszczenia morza spowodowane przez instalacje naftowe i gazowe.</w:t>
      </w:r>
      <w:r w:rsidR="00C3114C">
        <w:rPr>
          <w:b/>
          <w:szCs w:val="24"/>
          <w:lang w:eastAsia="en-US"/>
        </w:rPr>
        <w:t xml:space="preserve"> [Popr. 23]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2.</w:t>
      </w:r>
      <w:r w:rsidRPr="00152ED0">
        <w:rPr>
          <w:szCs w:val="24"/>
          <w:lang w:eastAsia="en-US"/>
        </w:rPr>
        <w:tab/>
        <w:t>Dalsze cele Agencji obejmują promowanie cyfryzacji sektora morskiego poprzez ułatwianie elektronicznej transmisji danych wspierającej uproszczenie</w:t>
      </w:r>
      <w:r w:rsidRPr="00152ED0">
        <w:rPr>
          <w:b/>
          <w:i/>
          <w:szCs w:val="24"/>
          <w:lang w:eastAsia="en-US"/>
        </w:rPr>
        <w:t>, ograniczenie obciążeń administracyjnych</w:t>
      </w:r>
      <w:r w:rsidRPr="00152ED0">
        <w:rPr>
          <w:szCs w:val="24"/>
          <w:lang w:eastAsia="en-US"/>
        </w:rPr>
        <w:t>, a także dostarczanie Komisji i państwom członkowskim zintegrowanych systemów i usług w zakresie nadzoru morskiego i morskiej orientacji sytuacyjnej.</w:t>
      </w:r>
      <w:r w:rsidR="00C3114C">
        <w:rPr>
          <w:b/>
          <w:szCs w:val="24"/>
          <w:lang w:eastAsia="en-US"/>
        </w:rPr>
        <w:t xml:space="preserve"> [Popr. 24]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ROZDZIAŁ II</w:t>
      </w:r>
      <w:r w:rsidRPr="00152ED0">
        <w:rPr>
          <w:szCs w:val="24"/>
          <w:lang w:eastAsia="en-US"/>
        </w:rPr>
        <w:br/>
        <w:t xml:space="preserve">ZADANIA AGENCJI 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3</w:t>
      </w:r>
      <w:r w:rsidRPr="00152ED0">
        <w:rPr>
          <w:szCs w:val="24"/>
          <w:lang w:eastAsia="en-US"/>
        </w:rPr>
        <w:br/>
        <w:t xml:space="preserve">Horyzontalne wsparcie techniczne 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Agencja wspomaga Komisję</w:t>
      </w:r>
      <w:r w:rsidRPr="00152ED0">
        <w:rPr>
          <w:b/>
          <w:i/>
          <w:szCs w:val="24"/>
          <w:lang w:eastAsia="en-US"/>
        </w:rPr>
        <w:t xml:space="preserve"> i państwa członkowskie</w:t>
      </w:r>
      <w:r w:rsidRPr="00152ED0">
        <w:rPr>
          <w:szCs w:val="24"/>
          <w:lang w:eastAsia="en-US"/>
        </w:rPr>
        <w:t>:</w:t>
      </w:r>
      <w:r w:rsidR="00C3114C">
        <w:rPr>
          <w:b/>
          <w:szCs w:val="24"/>
          <w:lang w:eastAsia="en-US"/>
        </w:rPr>
        <w:t xml:space="preserve"> [Popr. 25]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kontroli skutecznego wdrażania odnośnych obowiązujących aktów prawnych Unii, objętych celami Agencji, w szczególności przez przeprowadzanie wizyt i inspekcji, o których mowa w art. 10. W związku z tym Agencja może przedstawiać Komisji sugestie dotyczące ewentualnych ulepszeń;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pracach przygotowawczych na potrzeby uaktualniania i tworzenia stosownych aktów prawnych Unii wchodzących w zakres celów Agencji, w szczególności zgodnie z rozwojem prawa międzynarodowego;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wykonywaniu wszelkich innych zadań powierzonych Komisji w aktach ustawodawczych Unii dotyczących celów Agencji.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Agencja współpracuje z państwami członkowskimi w celu: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organizowania</w:t>
      </w:r>
      <w:proofErr w:type="gramEnd"/>
      <w:r w:rsidRPr="00152ED0">
        <w:rPr>
          <w:szCs w:val="24"/>
          <w:lang w:eastAsia="en-US"/>
        </w:rPr>
        <w:t>, w stosownych przypadkach, odpowiednich działań z zakresu budowania zdolności oraz działań szkoleniowych wchodzących w zakres celów Agencji i leżących w zakresie odpowiedzialności państw członkowskich. W związku z tym Agencja buduje odpowiednie zdolności w celu opracowywania, wdrażania i koordynowania działań szkoleniowych związanych z celami Agencji, w tym poprzez opracowywanie kursów, seminariów, konferencji i warsztatów opartych na wspólnym podstawowym programie szkoleń, a także szkoleń internetowych, e-uczenia się oraz innych innowacyjnych i zaawansowanych narzędzi szkoleniowych. Szczegóły takich działań szkoleniowych prowadzonych poza kształceniem formalnym są opracowywane w ścisłym porozumieniu z państwami członkowskimi i Komisją oraz zatwierdzane przez zarząd zgodnie z art. 17 niniejszego rozporządzenia, przy pełnym poszanowaniu art. 166 Traktatu o funkcjonowaniu Unii Europejskiej (TFUE);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opracowywania</w:t>
      </w:r>
      <w:proofErr w:type="gramEnd"/>
      <w:r w:rsidRPr="00152ED0">
        <w:rPr>
          <w:szCs w:val="24"/>
          <w:lang w:eastAsia="en-US"/>
        </w:rPr>
        <w:t xml:space="preserve"> rozwiązań technicznych, w tym zapewniania odpowiednich usług operacyjnych, oraz świadczenia pomocy technicznej, tak by stworzyć potencjał krajowy niezbędny do wykonywania odnośnych aktów prawnych Unii dotyczących celów Agencji.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Agencja promuje i ułatwia współpracę między państwami członkowskimi oraz między nimi a Komisją w zakresie wdrażania przepisów Unii przez wspieranie wymiany i upowszechniania doświadczeń i dobrych praktyk.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 xml:space="preserve">Na wniosek Komisji lub z własnej inicjatywy z zastrzeżeniem uzyskania zgody zarządu zgodnie z art. 17 Agencja bierze udział w zgodnych z jej celami działaniach badawczych w dziedzinie problematyki morskiej na szczeblu Unii. W związku z tym, bez uszczerbku dla innych działań badawczych na szczeblu Unii, Agencja wspiera Komisję i państwa członkowskie w określaniu kluczowych tematów badawczych oraz w analizowaniu prowadzonych i zakończonych projektów badawczych powiązanych z celami Agencji. W stosownych przypadkach, z zastrzeżeniem mających zastosowanie przepisów dotyczących własności intelektualnej i względów dotyczących ochrony, Agencja </w:t>
      </w:r>
      <w:r w:rsidRPr="00152ED0">
        <w:rPr>
          <w:strike/>
          <w:szCs w:val="24"/>
          <w:lang w:eastAsia="en-US"/>
        </w:rPr>
        <w:t xml:space="preserve">może </w:t>
      </w:r>
      <w:r w:rsidRPr="00152ED0">
        <w:rPr>
          <w:szCs w:val="24"/>
          <w:lang w:eastAsia="en-US"/>
        </w:rPr>
        <w:t xml:space="preserve">– po uzyskaniu zgody Komisji – </w:t>
      </w:r>
      <w:proofErr w:type="spellStart"/>
      <w:r w:rsidRPr="00152ED0">
        <w:rPr>
          <w:strike/>
          <w:szCs w:val="24"/>
          <w:lang w:eastAsia="en-US"/>
        </w:rPr>
        <w:t>upowszechniać</w:t>
      </w:r>
      <w:r w:rsidRPr="00152ED0">
        <w:rPr>
          <w:b/>
          <w:i/>
          <w:szCs w:val="24"/>
          <w:lang w:eastAsia="en-US"/>
        </w:rPr>
        <w:t>upowszechnia</w:t>
      </w:r>
      <w:proofErr w:type="spellEnd"/>
      <w:r w:rsidRPr="00152ED0">
        <w:rPr>
          <w:szCs w:val="24"/>
          <w:lang w:eastAsia="en-US"/>
        </w:rPr>
        <w:t xml:space="preserve"> wyniki swoich działań w zakresie badań naukowych i innowacji, wnosząc tym samym wkład w tworzenie synergii między działaniami w zakresie badań naukowych i innowacji prowadzonych przez inne organy Unii i państwa członkowskie.</w:t>
      </w:r>
      <w:r w:rsidR="00C3114C">
        <w:rPr>
          <w:b/>
          <w:szCs w:val="24"/>
          <w:lang w:eastAsia="en-US"/>
        </w:rPr>
        <w:t xml:space="preserve"> [Popr. 26]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5.</w:t>
      </w:r>
      <w:r w:rsidRPr="00152ED0">
        <w:rPr>
          <w:szCs w:val="24"/>
          <w:lang w:eastAsia="en-US"/>
        </w:rPr>
        <w:tab/>
        <w:t>W przypadku gdy jest to wymagane do wykonywania jej zadań, Agencja prowadzi badania z udziałem Komisji i, w stosownych przypadkach, za pośrednictwem konsultacyjnych grup sterujących, państw członkowskich oraz, w stosownych przypadkach, partnerów społecznych i przedstawicieli sektora posiadających wiedzę ekspercką w odpowiednich dziedzinach.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6.</w:t>
      </w:r>
      <w:r w:rsidRPr="00152ED0">
        <w:rPr>
          <w:szCs w:val="24"/>
          <w:lang w:eastAsia="en-US"/>
        </w:rPr>
        <w:tab/>
        <w:t>Na podstawie badań i analiz przeprowadzonych przez Agencję, ale także na podstawie doświadczenia zdobytego w wyniku własnych działań, w szczególności wizyt i inspekcji, oraz wymiany informacji i dobrych praktyk z państwami członkowskimi i Komisją, Agencja może wydawać, po uprzedniej konsultacji z Komisją, odpowiednie niewiążące zalecenia, wytyczne lub podręczniki w celu wspierania i ułatwiania państwom członkowskim, a w stosownych przypadkach przedstawicielom sektora, wykonywania przepisów Unii.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4</w:t>
      </w:r>
      <w:r w:rsidRPr="00152ED0">
        <w:rPr>
          <w:szCs w:val="24"/>
          <w:lang w:eastAsia="en-US"/>
        </w:rPr>
        <w:br/>
        <w:t>Zadania związane z bezpieczeństwem morskim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Agencja monitoruje postępy w zakresie bezpieczeństwa transportu morskiego w Unii, przeprowadza analizę ryzyka na podstawie dostępnych danych i opracowuje modele oceny ryzyka w zakresie bezpieczeństwa w celu określenia wyzwań i zagrożeń dla bezpieczeństwa. Co trzy lata Agencja przedstawia Komisji sprawozdanie z postępów w zakresie zapewniania bezpieczeństwa morskiego wraz z ewentualnymi zaleceniami technicznymi, które mogłyby zostać uwzględnione na szczeblu unijnym lub międzynarodowym. W związku z tym Agencja w szczególności analizuje i proponuje odpowiednie wytyczne lub zalecenia w odniesieniu do potencjalnych zagrożeń dla bezpieczeństwa wynikających z wdrażania i wykorzystywania zrównoważonych alternatywnych źródeł energii dla statków, w tym zasilania statków zacumowanych w porcie energią elektryczną z lądu</w:t>
      </w:r>
      <w:r w:rsidRPr="00152ED0">
        <w:rPr>
          <w:b/>
          <w:i/>
          <w:szCs w:val="24"/>
          <w:lang w:eastAsia="en-US"/>
        </w:rPr>
        <w:t xml:space="preserve">, technologii bateryjnych stosowanych w napędach, technologii </w:t>
      </w:r>
      <w:proofErr w:type="spellStart"/>
      <w:r w:rsidRPr="00152ED0">
        <w:rPr>
          <w:b/>
          <w:i/>
          <w:szCs w:val="24"/>
          <w:lang w:eastAsia="en-US"/>
        </w:rPr>
        <w:t>bezemisyjnych</w:t>
      </w:r>
      <w:proofErr w:type="spellEnd"/>
      <w:r w:rsidRPr="00152ED0">
        <w:rPr>
          <w:b/>
          <w:i/>
          <w:szCs w:val="24"/>
          <w:lang w:eastAsia="en-US"/>
        </w:rPr>
        <w:t xml:space="preserve"> zdefiniowanych w [</w:t>
      </w:r>
      <w:proofErr w:type="spellStart"/>
      <w:r w:rsidRPr="00152ED0">
        <w:rPr>
          <w:b/>
          <w:i/>
          <w:szCs w:val="24"/>
          <w:lang w:eastAsia="en-US"/>
        </w:rPr>
        <w:t>FuelEU</w:t>
      </w:r>
      <w:proofErr w:type="spellEnd"/>
      <w:r w:rsidRPr="00152ED0">
        <w:rPr>
          <w:b/>
          <w:i/>
          <w:szCs w:val="24"/>
          <w:lang w:eastAsia="en-US"/>
        </w:rPr>
        <w:t xml:space="preserve"> </w:t>
      </w:r>
      <w:proofErr w:type="spellStart"/>
      <w:r w:rsidRPr="00152ED0">
        <w:rPr>
          <w:b/>
          <w:i/>
          <w:szCs w:val="24"/>
          <w:lang w:eastAsia="en-US"/>
        </w:rPr>
        <w:t>Maritime</w:t>
      </w:r>
      <w:proofErr w:type="spellEnd"/>
      <w:r w:rsidRPr="00152ED0">
        <w:rPr>
          <w:b/>
          <w:i/>
          <w:szCs w:val="24"/>
          <w:lang w:eastAsia="en-US"/>
        </w:rPr>
        <w:t>] lub innych przyszłych technologii stosowanych na pokładach statków lub na obszarach portowych</w:t>
      </w:r>
      <w:r w:rsidRPr="00152ED0">
        <w:rPr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27]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2.</w:t>
      </w:r>
      <w:r w:rsidRPr="00152ED0">
        <w:rPr>
          <w:szCs w:val="24"/>
          <w:lang w:eastAsia="en-US"/>
        </w:rPr>
        <w:tab/>
        <w:t>Agencja wspomaga Komisję i państwa członkowskie we wdrażaniu dyrektywy 2009/21/WE. W szczególności Agencja opracowuje i prowadzi bazę danych wyników inspekcji zgodnie z [art. 6a] tej dyrektywy, wprowadza elektroniczne narzędzie sprawozdawcze, o którym mowa w [art. 9b] tej dyrektywy, prowadzi publiczną stronę internetową, o której mowa w art. 8 ust. 2c, oraz przedstawia Komisji zalecenia na podstawie zgromadzonych danych.</w:t>
      </w:r>
    </w:p>
    <w:p w:rsidR="00152ED0" w:rsidRPr="00152ED0" w:rsidRDefault="00152ED0" w:rsidP="00152ED0">
      <w:pPr>
        <w:spacing w:before="120" w:after="120" w:line="360" w:lineRule="auto"/>
        <w:ind w:left="850"/>
        <w:rPr>
          <w:szCs w:val="24"/>
          <w:lang w:eastAsia="en-US"/>
        </w:rPr>
      </w:pPr>
      <w:r w:rsidRPr="00152ED0">
        <w:rPr>
          <w:szCs w:val="24"/>
          <w:lang w:eastAsia="en-US"/>
        </w:rPr>
        <w:t>Agencja wspomaga Komisję w pełnieniu roli obserwatora w procesie audytu Międzynarodowej Organizacji Morskiej zgodnie z [art. 7] dyrektywy 2009/21/WE. Agencja opracowuje również odpowiednie narzędzia i usługi, które na wniosek państw członkowskich wspomagają je w wypełnianiu obowiązków wynikających z dyrektywy 2009/21/WE.</w:t>
      </w:r>
    </w:p>
    <w:p w:rsidR="00152ED0" w:rsidRPr="00152ED0" w:rsidRDefault="00152ED0" w:rsidP="00152ED0">
      <w:pPr>
        <w:spacing w:before="120" w:after="120" w:line="360" w:lineRule="auto"/>
        <w:ind w:left="850"/>
        <w:rPr>
          <w:szCs w:val="24"/>
          <w:lang w:eastAsia="en-US"/>
        </w:rPr>
      </w:pPr>
      <w:r w:rsidRPr="00152ED0">
        <w:rPr>
          <w:szCs w:val="24"/>
          <w:lang w:eastAsia="en-US"/>
        </w:rPr>
        <w:t>Agencja zapewnia również wspólny system budowania zdolności dla rzeczoznawców państwa członkowskiego i inspektorów państwa bandery państw członkowskich, o którym mowa w [art. 4c] wyżej wymienionej dyrektywy.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3.</w:t>
      </w:r>
      <w:r w:rsidRPr="00152ED0">
        <w:rPr>
          <w:szCs w:val="24"/>
          <w:lang w:eastAsia="en-US"/>
        </w:rPr>
        <w:tab/>
        <w:t>Agencja wspomaga Komisję</w:t>
      </w:r>
      <w:r w:rsidRPr="00152ED0">
        <w:rPr>
          <w:b/>
          <w:i/>
          <w:szCs w:val="24"/>
          <w:lang w:eastAsia="en-US"/>
        </w:rPr>
        <w:t xml:space="preserve"> i państwa członkowskie</w:t>
      </w:r>
      <w:r w:rsidRPr="00152ED0">
        <w:rPr>
          <w:szCs w:val="24"/>
          <w:lang w:eastAsia="en-US"/>
        </w:rPr>
        <w:t xml:space="preserve"> w opracowywaniu i prowadzeniu baz danych przewidzianych w art. 24 i 24a dyrektywy 2009/16/WE. Na podstawie zebranych danych Agencja wspomaga Komisję w analizowaniu odnośnych informacji i publikowaniu informacji dotyczących statków i przedsiębiorstw o niskim i bardzo niskim poziomie działalności zgodnie z dyrektywą 2009/16/WE.</w:t>
      </w:r>
      <w:r w:rsidR="00C3114C">
        <w:rPr>
          <w:b/>
          <w:szCs w:val="24"/>
          <w:lang w:eastAsia="en-US"/>
        </w:rPr>
        <w:t xml:space="preserve"> [Popr. 28]</w:t>
      </w:r>
    </w:p>
    <w:p w:rsidR="00152ED0" w:rsidRPr="00152ED0" w:rsidRDefault="00152ED0" w:rsidP="00152ED0">
      <w:pPr>
        <w:spacing w:before="120" w:after="120" w:line="360" w:lineRule="auto"/>
        <w:ind w:left="850"/>
        <w:rPr>
          <w:szCs w:val="24"/>
          <w:lang w:eastAsia="en-US"/>
        </w:rPr>
      </w:pPr>
      <w:r w:rsidRPr="00152ED0">
        <w:rPr>
          <w:szCs w:val="24"/>
          <w:lang w:eastAsia="en-US"/>
        </w:rPr>
        <w:t>Agencja opracowuje odpowiednie narzędzia i usługi, które na wniosek państw członkowskich wspomagają je w wypełnianiu obowiązków wynikających z dyrektywy 2009/16/WE.</w:t>
      </w:r>
    </w:p>
    <w:p w:rsidR="00152ED0" w:rsidRPr="00152ED0" w:rsidRDefault="00152ED0" w:rsidP="00152ED0">
      <w:pPr>
        <w:spacing w:before="120" w:after="120" w:line="360" w:lineRule="auto"/>
        <w:ind w:left="850"/>
        <w:rPr>
          <w:szCs w:val="24"/>
          <w:lang w:eastAsia="en-US"/>
        </w:rPr>
      </w:pPr>
      <w:r w:rsidRPr="00152ED0">
        <w:rPr>
          <w:szCs w:val="24"/>
          <w:lang w:eastAsia="en-US"/>
        </w:rPr>
        <w:t>Agencja zapewnia również program rozwoju zawodowego i szkoleń dla inspektorów kontroli przeprowadzanej przez państwo portu w państwach członkowskich zgodnie z [art. 22 ust. 7] wyżej wymienionej dyrektywy 2009/16/WE.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4.</w:t>
      </w:r>
      <w:r w:rsidRPr="00152ED0">
        <w:rPr>
          <w:szCs w:val="24"/>
          <w:lang w:eastAsia="en-US"/>
        </w:rPr>
        <w:tab/>
        <w:t xml:space="preserve">Agencja wspomaga Komisję w opracowywaniu i prowadzeniu bazy danych przewidzianej w art. 17 dyrektywy 2009/18/WE. Na podstawie zebranych danych Agencja opracowuje roczny przegląd wypadków i incydentów morskich. </w:t>
      </w:r>
      <w:r w:rsidRPr="00152ED0">
        <w:rPr>
          <w:strike/>
          <w:szCs w:val="24"/>
          <w:lang w:eastAsia="en-US"/>
        </w:rPr>
        <w:t xml:space="preserve">Agencja, na wniosek odnośnych państw członkowskich i przy założeniu braku konfliktu interesów, </w:t>
      </w:r>
      <w:proofErr w:type="spellStart"/>
      <w:r w:rsidRPr="00152ED0">
        <w:rPr>
          <w:strike/>
          <w:szCs w:val="24"/>
          <w:lang w:eastAsia="en-US"/>
        </w:rPr>
        <w:t>udziela</w:t>
      </w:r>
      <w:r w:rsidRPr="00152ED0">
        <w:rPr>
          <w:b/>
          <w:i/>
          <w:szCs w:val="24"/>
          <w:lang w:eastAsia="en-US"/>
        </w:rPr>
        <w:t>Państwa</w:t>
      </w:r>
      <w:proofErr w:type="spellEnd"/>
      <w:r w:rsidRPr="00152ED0">
        <w:rPr>
          <w:b/>
          <w:i/>
          <w:szCs w:val="24"/>
          <w:lang w:eastAsia="en-US"/>
        </w:rPr>
        <w:t xml:space="preserve"> członkowskie mogą zwrócić się do Agencji o udzielenie</w:t>
      </w:r>
      <w:r w:rsidRPr="00152ED0">
        <w:rPr>
          <w:szCs w:val="24"/>
          <w:lang w:eastAsia="en-US"/>
        </w:rPr>
        <w:t xml:space="preserve"> wsparcia operacyjnego </w:t>
      </w:r>
      <w:r w:rsidRPr="00152ED0">
        <w:rPr>
          <w:strike/>
          <w:szCs w:val="24"/>
          <w:lang w:eastAsia="en-US"/>
        </w:rPr>
        <w:t>tym państwom członkowskim</w:t>
      </w:r>
      <w:r w:rsidRPr="00152ED0">
        <w:rPr>
          <w:b/>
          <w:i/>
          <w:szCs w:val="24"/>
          <w:lang w:eastAsia="en-US"/>
        </w:rPr>
        <w:t>i technicznego</w:t>
      </w:r>
      <w:r w:rsidRPr="00152ED0">
        <w:rPr>
          <w:szCs w:val="24"/>
          <w:lang w:eastAsia="en-US"/>
        </w:rPr>
        <w:t xml:space="preserve"> w zakresie dochodzeń w sprawie bezpieczeństwa</w:t>
      </w:r>
      <w:r w:rsidRPr="00152ED0">
        <w:rPr>
          <w:b/>
          <w:i/>
          <w:szCs w:val="24"/>
          <w:lang w:eastAsia="en-US"/>
        </w:rPr>
        <w:t>. Agencja pozytywnie odpowiada na takie wnioski, jeżeli nie zachodzi konflikt interesów</w:t>
      </w:r>
      <w:r w:rsidRPr="00152ED0">
        <w:rPr>
          <w:szCs w:val="24"/>
          <w:lang w:eastAsia="en-US"/>
        </w:rPr>
        <w:t>. Agencja dokonuje również analizy sprawozdań z dochodzeń w sprawie bezpieczeństwa, aby określić wartość dodaną na poziomie Unii w zakresie wszelkich nabywanych doświadczeń.</w:t>
      </w:r>
      <w:r w:rsidR="00C3114C">
        <w:rPr>
          <w:b/>
          <w:szCs w:val="24"/>
          <w:lang w:eastAsia="en-US"/>
        </w:rPr>
        <w:t xml:space="preserve"> [Popr. 29]</w:t>
      </w:r>
    </w:p>
    <w:p w:rsidR="00152ED0" w:rsidRPr="00152ED0" w:rsidRDefault="00152ED0" w:rsidP="00152ED0">
      <w:pPr>
        <w:spacing w:before="120" w:after="120" w:line="360" w:lineRule="auto"/>
        <w:ind w:left="850"/>
        <w:rPr>
          <w:szCs w:val="24"/>
          <w:lang w:eastAsia="en-US"/>
        </w:rPr>
      </w:pPr>
      <w:r w:rsidRPr="00152ED0">
        <w:rPr>
          <w:szCs w:val="24"/>
          <w:lang w:eastAsia="en-US"/>
        </w:rPr>
        <w:t>Agencja zapewnia program rozwoju zawodowego i szkoleń dla właściwych organów ds. badania wypadków morskich.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5.</w:t>
      </w:r>
      <w:r w:rsidRPr="00152ED0">
        <w:rPr>
          <w:szCs w:val="24"/>
          <w:lang w:eastAsia="en-US"/>
        </w:rPr>
        <w:tab/>
        <w:t>Agencja wspomaga Komisję i państwa członkowskie we wdrażaniu dyrektyw Parlamentu Europejskiego i Rady 2009/45/WE</w:t>
      </w:r>
      <w:r w:rsidRPr="00152ED0">
        <w:rPr>
          <w:szCs w:val="24"/>
          <w:vertAlign w:val="superscript"/>
          <w:lang w:val="en-GB" w:eastAsia="en-US"/>
        </w:rPr>
        <w:footnoteReference w:id="24"/>
      </w:r>
      <w:r w:rsidRPr="00152ED0">
        <w:rPr>
          <w:szCs w:val="24"/>
          <w:lang w:eastAsia="en-US"/>
        </w:rPr>
        <w:t xml:space="preserve"> i 2003/25/WE</w:t>
      </w:r>
      <w:r w:rsidRPr="00152ED0">
        <w:rPr>
          <w:szCs w:val="24"/>
          <w:vertAlign w:val="superscript"/>
          <w:lang w:val="en-GB" w:eastAsia="en-US"/>
        </w:rPr>
        <w:footnoteReference w:id="25"/>
      </w:r>
      <w:r w:rsidRPr="00152ED0">
        <w:rPr>
          <w:szCs w:val="24"/>
          <w:lang w:eastAsia="en-US"/>
        </w:rPr>
        <w:t xml:space="preserve"> oraz dyrektywy Rady 98/41/WE</w:t>
      </w:r>
      <w:r w:rsidRPr="00152ED0">
        <w:rPr>
          <w:szCs w:val="24"/>
          <w:vertAlign w:val="superscript"/>
          <w:lang w:val="en-GB" w:eastAsia="en-US"/>
        </w:rPr>
        <w:footnoteReference w:id="26"/>
      </w:r>
      <w:r w:rsidRPr="00152ED0">
        <w:rPr>
          <w:szCs w:val="24"/>
          <w:lang w:eastAsia="en-US"/>
        </w:rPr>
        <w:t>. Agencja w szczególności opracowuje i prowadzi bazę danych służącą do rejestrowania środków przewidzianych w art. 9 dyrektywy 2009/45/WE i art. 9 dyrektywy 98/41/WE oraz wspiera Komisję w ocenie takich środków.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6.</w:t>
      </w:r>
      <w:r w:rsidRPr="00152ED0">
        <w:rPr>
          <w:szCs w:val="24"/>
          <w:lang w:eastAsia="en-US"/>
        </w:rPr>
        <w:tab/>
        <w:t>Agencja ułatwia współpracę i wymianę informacji między Komisją a państwami członkowskimi w celu oceny uznanych organizacji wykonujących zadania w zakresie certyfikacji i przeglądów zgodnie z art. 8 ust. 1 rozporządzenia (WE) nr 391/2009</w:t>
      </w:r>
      <w:r w:rsidRPr="00152ED0">
        <w:rPr>
          <w:szCs w:val="24"/>
          <w:vertAlign w:val="superscript"/>
          <w:lang w:val="en-GB" w:eastAsia="en-US"/>
        </w:rPr>
        <w:footnoteReference w:id="27"/>
      </w:r>
      <w:r w:rsidRPr="00152ED0">
        <w:rPr>
          <w:szCs w:val="24"/>
          <w:lang w:eastAsia="en-US"/>
        </w:rPr>
        <w:t>. Agencja w szczególności: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przekazuje</w:t>
      </w:r>
      <w:proofErr w:type="gramEnd"/>
      <w:r w:rsidRPr="00152ED0">
        <w:rPr>
          <w:szCs w:val="24"/>
          <w:lang w:eastAsia="en-US"/>
        </w:rPr>
        <w:t xml:space="preserve"> Komisji opinię na temat oceny uznanych organizacji zgodnie z art. 8 ust. 1 rozporządzenia (WE) nr 391/2009;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przekazuje</w:t>
      </w:r>
      <w:proofErr w:type="gramEnd"/>
      <w:r w:rsidRPr="00152ED0">
        <w:rPr>
          <w:szCs w:val="24"/>
          <w:lang w:eastAsia="en-US"/>
        </w:rPr>
        <w:t xml:space="preserve"> państwom członkowskim odpowiednie informacje w kontekście inspekcji przeprowadzonych w celu wsparcia oceny Komisji na podstawie art. 8 ust. 1 rozporządzenia (WE) nr 391/2009, aby wspierać monitorowanie uznanych organizacji i nadzór nad nimi zgodnie z art. 9 dyrektywy Parlamentu Europejskiego i Rady 2009/15/WE</w:t>
      </w:r>
      <w:r w:rsidRPr="00152ED0">
        <w:rPr>
          <w:szCs w:val="24"/>
          <w:vertAlign w:val="superscript"/>
          <w:lang w:val="en-GB" w:eastAsia="en-US"/>
        </w:rPr>
        <w:footnoteReference w:id="28"/>
      </w:r>
      <w:r w:rsidRPr="00152ED0">
        <w:rPr>
          <w:szCs w:val="24"/>
          <w:lang w:eastAsia="en-US"/>
        </w:rPr>
        <w:t>, wspierając państwa członkowskie w wypełnianiu ich unijnych i międzynarodowych zobowiązań jako państw bandery. W związku z tym Agencja wspomaga Komisję w zarządzaniu grupą wysokiego szczebla ds. państw bandery na mocy [art. 9 ust. 1] dyrektywy 2009/21/WE.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przekazuje</w:t>
      </w:r>
      <w:proofErr w:type="gramEnd"/>
      <w:r w:rsidRPr="00152ED0">
        <w:rPr>
          <w:szCs w:val="24"/>
          <w:lang w:eastAsia="en-US"/>
        </w:rPr>
        <w:t xml:space="preserve"> Komisji, z własnej inicjatywy lub na wniosek Komisji, zalecenia i pomoc techniczną w zakresie ewentualnych środków naprawczych lub nakładania grzywien na uznane organizacje zgodnie z art. 5 i 6 rozporządzenia (WE) nr 391/2009.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7.</w:t>
      </w:r>
      <w:r w:rsidRPr="00152ED0">
        <w:rPr>
          <w:szCs w:val="24"/>
          <w:lang w:eastAsia="en-US"/>
        </w:rPr>
        <w:tab/>
        <w:t>Agencja wspomaga Komisję</w:t>
      </w:r>
      <w:r w:rsidRPr="00152ED0">
        <w:rPr>
          <w:b/>
          <w:i/>
          <w:szCs w:val="24"/>
          <w:lang w:eastAsia="en-US"/>
        </w:rPr>
        <w:t xml:space="preserve"> i państwa członkowskie</w:t>
      </w:r>
      <w:r w:rsidRPr="00152ED0">
        <w:rPr>
          <w:szCs w:val="24"/>
          <w:lang w:eastAsia="en-US"/>
        </w:rPr>
        <w:t xml:space="preserve"> we wdrażaniu dyrektywy Parlamentu Europejskiego i Rady 2014/90/UE</w:t>
      </w:r>
      <w:r w:rsidRPr="00152ED0">
        <w:rPr>
          <w:szCs w:val="24"/>
          <w:vertAlign w:val="superscript"/>
          <w:lang w:val="en-GB" w:eastAsia="en-US"/>
        </w:rPr>
        <w:footnoteReference w:id="29"/>
      </w:r>
      <w:r w:rsidRPr="00152ED0">
        <w:rPr>
          <w:szCs w:val="24"/>
          <w:lang w:eastAsia="en-US"/>
        </w:rPr>
        <w:t xml:space="preserve"> przez dokonywanie oceny technicznej aspektów bezpieczeństwa, przedstawianie zaleceń wraz z wykazami odpowiednich wymogów projektowych, konstrukcyjnych i eksploatacyjnych oraz norm testowych, opracowanie i prowadzenie bazy danych przewidzianej w art. 35 ust. 4 tej dyrektywy oraz ułatwianie współpracy między oceniającymi jednostkami notyfikowanymi, pełniąc rolę sekretariatu technicznego ich grupy koordynacyjnej.</w:t>
      </w:r>
      <w:r w:rsidR="00C3114C">
        <w:rPr>
          <w:b/>
          <w:szCs w:val="24"/>
          <w:lang w:eastAsia="en-US"/>
        </w:rPr>
        <w:t xml:space="preserve"> [Popr. 30]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8.</w:t>
      </w:r>
      <w:r w:rsidRPr="00152ED0">
        <w:rPr>
          <w:szCs w:val="24"/>
          <w:lang w:eastAsia="en-US"/>
        </w:rPr>
        <w:tab/>
        <w:t>Agencja wspomaga Komisję i państwa członkowskie w identyfikacji zagrożeń dla bezpieczeństwa związanych z rozwojem autonomicznych i zautomatyzowanych nawodnych statków morskich (MASS) oraz wspomaga państwa członkowskie poprzez ułatwianie zatwierdzania projektów lub operacji MASS w drodze prowadzenia badań i opracowywania odpowiednich narzędzi cyfrowych, wytycznych i podręczników.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9.</w:t>
      </w:r>
      <w:r w:rsidRPr="00152ED0">
        <w:rPr>
          <w:szCs w:val="24"/>
          <w:lang w:eastAsia="en-US"/>
        </w:rPr>
        <w:tab/>
        <w:t>Agencja gromadzi i analizuje dane dotyczące marynarzy dostarczane i wykorzystywane zgodnie z dyrektywą Parlamentu Europejskiego i Rady (UE) 2022/993</w:t>
      </w:r>
      <w:r w:rsidRPr="00152ED0">
        <w:rPr>
          <w:szCs w:val="24"/>
          <w:vertAlign w:val="superscript"/>
          <w:lang w:val="en-GB" w:eastAsia="en-US"/>
        </w:rPr>
        <w:footnoteReference w:id="30"/>
      </w:r>
      <w:r w:rsidRPr="00152ED0">
        <w:rPr>
          <w:szCs w:val="24"/>
          <w:lang w:eastAsia="en-US"/>
        </w:rPr>
        <w:t>. Może również gromadzić i analizować dane dotyczące wdrażania Konwencji o pracy na morzu z 2006 r. (MLC 2006), aby przyczyniać się do poprawy warunków pracy i życia marynarzy na pokładzie.</w:t>
      </w:r>
      <w:r w:rsidRPr="00152ED0">
        <w:rPr>
          <w:b/>
          <w:i/>
          <w:szCs w:val="24"/>
          <w:lang w:eastAsia="en-US"/>
        </w:rPr>
        <w:t xml:space="preserve"> Komisja wykorzystuje te dane – wraz z danymi wygenerowanymi przez system informacyjny przewidziany w Międzynarodowej konwencji o wymaganiach w zakresie wyszkolenia marynarzy, wydawania im świadectw oraz pełnienia wacht (STCW) – do wypracowania odpowiednich reakcji strategicznych w celu rekrutacji marynarzy i zatrzymywania ich w branży.</w:t>
      </w:r>
      <w:r w:rsidR="00C3114C">
        <w:rPr>
          <w:b/>
          <w:szCs w:val="24"/>
          <w:lang w:eastAsia="en-US"/>
        </w:rPr>
        <w:t xml:space="preserve"> [Popr. 31]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5</w:t>
      </w:r>
      <w:r w:rsidRPr="00152ED0">
        <w:rPr>
          <w:szCs w:val="24"/>
          <w:lang w:eastAsia="en-US"/>
        </w:rPr>
        <w:br/>
        <w:t xml:space="preserve">Zadania związane ze zrównoważonym rozwojem 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Agencja wspiera państwa członkowskie w sposób efektywny pod względem kosztów dodatkowymi środkami reagowania na zanieczyszczenia w razie zanieczyszczenia spowodowanego przez statki, a także zanieczyszczenia morza spowodowanego przez instalacje naftowe i gazowe. Agencja podejmuje takie działania na wniosek poszkodowanego państwa członkowskiego, pod którego kierownictwem prowadzone są działania mające na celu usunięcie zanieczyszczeń. Takie wsparcie pozostaje bez uszczerbku dla odpowiedzialności państw nadbrzeżnych w zakresie funkcjonujących w nich właściwych mechanizmów reagowania na zanieczyszczenia oraz jest udzielane z poszanowaniem istniejących zasad współpracy pomiędzy państwami członkowskimi w tej dziedzinie. Środki operacyjne, które Agencja udostępnia państwom członkowskim, uwzględniają i umożliwiają przejście sektora na korzystanie ze zrównoważonych alternatywnych źródeł energii dla statków. W stosownych przypadkach wnioski o podjęcie działań zmierzających do zwalczania zanieczyszczeń przekazuje się za pośrednictwem Unijnego Mechanizmu Ochrony Ludności ustanowionego decyzją Parlamentu Europejskiego i Rady nr 1313/2013/UE</w:t>
      </w:r>
      <w:r w:rsidRPr="00152ED0">
        <w:rPr>
          <w:szCs w:val="24"/>
          <w:vertAlign w:val="superscript"/>
          <w:lang w:val="en-GB" w:eastAsia="en-US"/>
        </w:rPr>
        <w:footnoteReference w:id="31"/>
      </w:r>
      <w:r w:rsidRPr="00152ED0">
        <w:rPr>
          <w:szCs w:val="24"/>
          <w:lang w:eastAsia="en-US"/>
        </w:rPr>
        <w:t>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2.</w:t>
      </w:r>
      <w:r w:rsidRPr="00152ED0">
        <w:rPr>
          <w:szCs w:val="24"/>
          <w:lang w:eastAsia="en-US"/>
        </w:rPr>
        <w:tab/>
        <w:t>Agencja wspomaga Komisję i państwa członkowskie w wykrywaniu możliwych zanieczyszczeń i ściganiu statków dokonujących nielegalnych zrzutów zgodnie z dyrektywą 2005/35/WE. Agencja w szczególności pomaga we wdrażaniu art. [10, 10a, 10b, 10c i 10d] tej dyrektywy przez: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opracowanie</w:t>
      </w:r>
      <w:proofErr w:type="gramEnd"/>
      <w:r w:rsidRPr="00152ED0">
        <w:rPr>
          <w:szCs w:val="24"/>
          <w:lang w:eastAsia="en-US"/>
        </w:rPr>
        <w:t xml:space="preserve"> i prowadzenie niezbędnego systemu informacyjnego (</w:t>
      </w:r>
      <w:proofErr w:type="spellStart"/>
      <w:r w:rsidRPr="00152ED0">
        <w:rPr>
          <w:szCs w:val="24"/>
          <w:lang w:eastAsia="en-US"/>
        </w:rPr>
        <w:t>CleanSeaNet</w:t>
      </w:r>
      <w:proofErr w:type="spellEnd"/>
      <w:r w:rsidRPr="00152ED0">
        <w:rPr>
          <w:szCs w:val="24"/>
          <w:lang w:eastAsia="en-US"/>
        </w:rPr>
        <w:t xml:space="preserve">) w ramach unijnego systemu </w:t>
      </w:r>
      <w:proofErr w:type="spellStart"/>
      <w:r w:rsidRPr="00152ED0">
        <w:rPr>
          <w:szCs w:val="24"/>
          <w:lang w:eastAsia="en-US"/>
        </w:rPr>
        <w:t>SafeSeaNet</w:t>
      </w:r>
      <w:proofErr w:type="spellEnd"/>
      <w:r w:rsidRPr="00152ED0">
        <w:rPr>
          <w:szCs w:val="24"/>
          <w:lang w:eastAsia="en-US"/>
        </w:rPr>
        <w:t xml:space="preserve"> oraz baz danych;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gromadzenie</w:t>
      </w:r>
      <w:proofErr w:type="gramEnd"/>
      <w:r w:rsidRPr="00152ED0">
        <w:rPr>
          <w:szCs w:val="24"/>
          <w:lang w:eastAsia="en-US"/>
        </w:rPr>
        <w:t>, analizowanie i rozpowszechnianie istotnych informacji na temat wdrażania i egzekwowania dyrektywy 2005/35/WE;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budowanie</w:t>
      </w:r>
      <w:proofErr w:type="gramEnd"/>
      <w:r w:rsidRPr="00152ED0">
        <w:rPr>
          <w:szCs w:val="24"/>
          <w:lang w:eastAsia="en-US"/>
        </w:rPr>
        <w:t xml:space="preserve"> zdolności właściwych organów krajowych i usprawnianie wymiany najlepszych praktyk;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d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utworzenie</w:t>
      </w:r>
      <w:proofErr w:type="gramEnd"/>
      <w:r w:rsidRPr="00152ED0">
        <w:rPr>
          <w:szCs w:val="24"/>
          <w:lang w:eastAsia="en-US"/>
        </w:rPr>
        <w:t xml:space="preserve"> i prowadzenie internetowego kanału zewnętrznego zgłaszania nieprawidłowości, służącego do przyjmowania i przetwarzania zgłaszanych przez załogę informacji o potencjalnych nielegalnych zrzutach, oraz przekazywanie takich informacji zainteresowanemu państwu członkowskiemu lub zainteresowanym państwom członkowskim.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da</w:t>
      </w:r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przekazywanie</w:t>
      </w:r>
      <w:proofErr w:type="gramEnd"/>
      <w:r w:rsidRPr="00152ED0">
        <w:rPr>
          <w:b/>
          <w:i/>
          <w:szCs w:val="24"/>
          <w:lang w:eastAsia="en-US"/>
        </w:rPr>
        <w:t xml:space="preserve"> istotnych informacji innym agencjom UE, takim jak EFCA, i otrzymywanie od nich takich informacji, zwłaszcza w odniesieniu do utraconych narzędzi połowowych.</w:t>
      </w:r>
      <w:r w:rsidR="00C3114C">
        <w:rPr>
          <w:b/>
          <w:szCs w:val="24"/>
          <w:lang w:eastAsia="en-US"/>
        </w:rPr>
        <w:t xml:space="preserve"> [Popr. 32]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3.</w:t>
      </w:r>
      <w:r w:rsidRPr="00152ED0">
        <w:rPr>
          <w:szCs w:val="24"/>
          <w:lang w:eastAsia="en-US"/>
        </w:rPr>
        <w:tab/>
        <w:t xml:space="preserve">Agencja zapewnia usługę </w:t>
      </w:r>
      <w:proofErr w:type="spellStart"/>
      <w:r w:rsidRPr="00152ED0">
        <w:rPr>
          <w:szCs w:val="24"/>
          <w:lang w:eastAsia="en-US"/>
        </w:rPr>
        <w:t>CleanSeaNet</w:t>
      </w:r>
      <w:proofErr w:type="spellEnd"/>
      <w:r w:rsidRPr="00152ED0">
        <w:rPr>
          <w:szCs w:val="24"/>
          <w:lang w:eastAsia="en-US"/>
        </w:rPr>
        <w:t xml:space="preserve"> i wszelkie inne narzędzia wspomagające Komisję i państwa członkowskie, na ich wniosek, w monitorowaniu zakresu i wpływu na środowisko wycieków ropy naftowej z instalacji naftowych i gazowych.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Agencja wspomaga Komisję i państwa członkowskie we wdrażaniu dyrektywy (UE) 2019/883 w sprawie portowych urządzeń do odbioru odpadów ze statków. W szczególności Agencja wspomaga Komisję w opracowywaniu i prowadzeniu bazy danych wyników inspekcji, przewidzianej w art. 14 tej dyrektywy.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5.</w:t>
      </w:r>
      <w:r w:rsidRPr="00152ED0">
        <w:rPr>
          <w:szCs w:val="24"/>
          <w:lang w:eastAsia="en-US"/>
        </w:rPr>
        <w:tab/>
        <w:t>Agencja wspiera Komisję i państwa członkowskie w kontekście wdrażania dyrektywy 2008/56/WE, uczestnicząc w realizacji celu w zakresie osiągnięcia dobrego stanu środowiska wód morskich wraz z kwestiami związanymi z żeglugą i przy wykorzystaniu wyników uzyskanych przy pomocy istniejących narzędzi, takich jak zintegrowane usługi morskie. W związku z tym Agencja prowadzi dalsze badania w kwestiach związanych z kontenerami zagubionymi na morzu, w tym granulatami tworzyw sztucznych, i hałasem podwodnym oraz przedstawia zalecenia Komisji i państwom członkowskim.</w:t>
      </w:r>
    </w:p>
    <w:p w:rsidR="00152ED0" w:rsidRPr="00152ED0" w:rsidRDefault="00152ED0" w:rsidP="00152ED0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Jeżeli chodzi o kontenery zagubione na morzu, Agencja przedstawia zainteresowanym stronom z sektora i państwu bandery wytyczne w sprawie uzgodnionych przez IMO wymogów dotyczących obowiązkowego zgłaszania zagubionych kontenerów. Bada się również możliwość wprowadzenia wspólnych i skoordynowanych mechanizmów reagowania na szczeblu unijnym i międzynarodowym.</w:t>
      </w:r>
      <w:r w:rsidR="00C3114C">
        <w:rPr>
          <w:b/>
          <w:szCs w:val="24"/>
          <w:lang w:eastAsia="en-US"/>
        </w:rPr>
        <w:t xml:space="preserve"> [Popr. 33]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6.</w:t>
      </w:r>
      <w:r w:rsidRPr="00152ED0">
        <w:rPr>
          <w:szCs w:val="24"/>
          <w:lang w:eastAsia="en-US"/>
        </w:rPr>
        <w:tab/>
        <w:t>Agencja wspomaga Komisję i państwa członkowskie, w tym za pośrednictwem narzędzi i usług operacyjnych, we wdrażaniu związanych z żeglugą elementów dyrektywy (UE) 2016/802. W związku z tym działania Agencji obejmują również rozbudowę i prowadzenie bazy danych zapewniającej pomoc państwom członkowskim w zakresie odpowiedniego typowania i priorytetowego traktowania statków, które należy poddać inspekcji w związku z ryzykiem nieprzestrzegania przepisów tej dyrektywy.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7.</w:t>
      </w:r>
      <w:r w:rsidRPr="00152ED0">
        <w:rPr>
          <w:szCs w:val="24"/>
          <w:lang w:eastAsia="en-US"/>
        </w:rPr>
        <w:tab/>
        <w:t>Agencja wspomaga Komisję i państwa członkowskie, na ich wniosek, odpowiednimi narzędziami i usługami operacyjnymi w monitorowaniu i gromadzeniu danych dotyczących emisji tlenków azotu (</w:t>
      </w:r>
      <w:proofErr w:type="spellStart"/>
      <w:r w:rsidRPr="00152ED0">
        <w:rPr>
          <w:szCs w:val="24"/>
          <w:lang w:eastAsia="en-US"/>
        </w:rPr>
        <w:t>NO</w:t>
      </w:r>
      <w:r w:rsidRPr="00152ED0">
        <w:rPr>
          <w:szCs w:val="24"/>
          <w:vertAlign w:val="subscript"/>
          <w:lang w:eastAsia="en-US"/>
        </w:rPr>
        <w:t>x</w:t>
      </w:r>
      <w:proofErr w:type="spellEnd"/>
      <w:r w:rsidRPr="00152ED0">
        <w:rPr>
          <w:szCs w:val="24"/>
          <w:lang w:eastAsia="en-US"/>
        </w:rPr>
        <w:t>) ze statków.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8.</w:t>
      </w:r>
      <w:r w:rsidRPr="00152ED0">
        <w:rPr>
          <w:szCs w:val="24"/>
          <w:lang w:eastAsia="en-US"/>
        </w:rPr>
        <w:tab/>
        <w:t>Agencja wspiera Komisję i państwa członkowskie we wdrażaniu rozporządzenia Parlamentu Europejskiego i Rady (UE) nr 1257/2013</w:t>
      </w:r>
      <w:r w:rsidRPr="00152ED0">
        <w:rPr>
          <w:szCs w:val="24"/>
          <w:vertAlign w:val="superscript"/>
          <w:lang w:val="en-GB" w:eastAsia="en-US"/>
        </w:rPr>
        <w:footnoteReference w:id="32"/>
      </w:r>
      <w:r w:rsidRPr="00152ED0">
        <w:rPr>
          <w:szCs w:val="24"/>
          <w:lang w:eastAsia="en-US"/>
        </w:rPr>
        <w:t xml:space="preserve"> przez wydawanie odpowiednich wytycznych oraz gromadzenie i analizę danych dotyczących zgodności z przepisami tego rozporządzenia.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9.</w:t>
      </w:r>
      <w:r w:rsidRPr="00152ED0">
        <w:rPr>
          <w:szCs w:val="24"/>
          <w:lang w:eastAsia="en-US"/>
        </w:rPr>
        <w:tab/>
        <w:t>Agencja co trzy lata przedstawia Komisji sprawozdanie z postępów w ograniczaniu wpływu transportu morskiego na środowisko na szczeblu Unii.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6</w:t>
      </w:r>
      <w:r w:rsidRPr="00152ED0">
        <w:rPr>
          <w:szCs w:val="24"/>
          <w:lang w:eastAsia="en-US"/>
        </w:rPr>
        <w:br/>
        <w:t>Zadania związane z obniżeniem emisyjności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Agencja monitoruje postępy w zakresie środków operacyjnych i technicznych wprowadzanych w celu zwiększenia efektywności energetycznej statków</w:t>
      </w:r>
      <w:r w:rsidRPr="00152ED0">
        <w:rPr>
          <w:b/>
          <w:i/>
          <w:szCs w:val="24"/>
          <w:lang w:eastAsia="en-US"/>
        </w:rPr>
        <w:t xml:space="preserve"> i portów</w:t>
      </w:r>
      <w:r w:rsidRPr="00152ED0">
        <w:rPr>
          <w:szCs w:val="24"/>
          <w:lang w:eastAsia="en-US"/>
        </w:rPr>
        <w:t xml:space="preserve"> oraz wykorzystywania zrównoważonych paliw alternatywnych, systemów energetycznych i systemów zasilania dla statków, w tym zasilania energią elektryczną z lądu i </w:t>
      </w:r>
      <w:r w:rsidRPr="00152ED0">
        <w:rPr>
          <w:strike/>
          <w:szCs w:val="24"/>
          <w:lang w:eastAsia="en-US"/>
        </w:rPr>
        <w:t xml:space="preserve">wspomagającego wykorzystania </w:t>
      </w:r>
      <w:r w:rsidRPr="00152ED0">
        <w:rPr>
          <w:szCs w:val="24"/>
          <w:lang w:eastAsia="en-US"/>
        </w:rPr>
        <w:t>napędu wiatrowego</w:t>
      </w:r>
      <w:r w:rsidRPr="00152ED0">
        <w:rPr>
          <w:b/>
          <w:i/>
          <w:szCs w:val="24"/>
          <w:lang w:eastAsia="en-US"/>
        </w:rPr>
        <w:t>, a także wychwytywania dwutlenku węgla na statku</w:t>
      </w:r>
      <w:r w:rsidRPr="00152ED0">
        <w:rPr>
          <w:szCs w:val="24"/>
          <w:lang w:eastAsia="en-US"/>
        </w:rPr>
        <w:t>, co ma służyć ograniczaniu emisji gazów cieplarnianych ze statków.</w:t>
      </w:r>
      <w:r w:rsidR="00C3114C">
        <w:rPr>
          <w:b/>
          <w:szCs w:val="24"/>
          <w:lang w:eastAsia="en-US"/>
        </w:rPr>
        <w:t xml:space="preserve"> [Popr. 34]</w:t>
      </w:r>
    </w:p>
    <w:p w:rsidR="00C3114C" w:rsidRDefault="00C3114C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lastRenderedPageBreak/>
        <w:t>1a.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 xml:space="preserve">Agencja ocenia, czy potrzebne jest wdrożenie dodatkowych modułów szkoleniowych dla specjalistów z sektora morskiego zajmujących się nowymi i często złożonymi systemami hybrydowymi i </w:t>
      </w:r>
      <w:proofErr w:type="spellStart"/>
      <w:r w:rsidRPr="00152ED0">
        <w:rPr>
          <w:b/>
          <w:i/>
          <w:szCs w:val="24"/>
          <w:lang w:eastAsia="en-US"/>
        </w:rPr>
        <w:t>bezemisyjnymi</w:t>
      </w:r>
      <w:proofErr w:type="spellEnd"/>
      <w:r w:rsidRPr="00152ED0">
        <w:rPr>
          <w:b/>
          <w:i/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35]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Agencja zapewnia pomoc techniczną Komisji i państwom członkowskim, na ich wniosek, w odniesieniu do działań regulacyjnych mających na celu ograniczenie emisji gazów cieplarnianych ze statków</w:t>
      </w:r>
      <w:r w:rsidRPr="00152ED0">
        <w:rPr>
          <w:b/>
          <w:i/>
          <w:szCs w:val="24"/>
          <w:lang w:eastAsia="en-US"/>
        </w:rPr>
        <w:t xml:space="preserve"> i portów</w:t>
      </w:r>
      <w:r w:rsidRPr="00152ED0">
        <w:rPr>
          <w:szCs w:val="24"/>
          <w:lang w:eastAsia="en-US"/>
        </w:rPr>
        <w:t>. W związku z tym Agencja może korzystać z wszelkich narzędzi lub usług operacyjnych odpowiednich do zadania. W związku z tym Agencja w szczególności bada, analizuje i proponuje odpowiednie wytyczne lub zalecenia w odniesieniu do wdrażania i wykorzystywania zrównoważonych paliw alternatywnych, systemów energetycznych i systemów zasilania dla statków, w tym zasilania energią elektryczną z lądu</w:t>
      </w:r>
      <w:r w:rsidRPr="00152ED0">
        <w:rPr>
          <w:strike/>
          <w:szCs w:val="24"/>
          <w:lang w:eastAsia="en-US"/>
        </w:rPr>
        <w:t xml:space="preserve"> i wspomagającego</w:t>
      </w:r>
      <w:r w:rsidRPr="00152ED0">
        <w:rPr>
          <w:b/>
          <w:i/>
          <w:szCs w:val="24"/>
          <w:lang w:eastAsia="en-US"/>
        </w:rPr>
        <w:t>,</w:t>
      </w:r>
      <w:r w:rsidRPr="00152ED0">
        <w:rPr>
          <w:szCs w:val="24"/>
          <w:lang w:eastAsia="en-US"/>
        </w:rPr>
        <w:t xml:space="preserve"> wykorzystania napędu wiatrowego</w:t>
      </w:r>
      <w:r w:rsidRPr="00152ED0">
        <w:rPr>
          <w:b/>
          <w:i/>
          <w:szCs w:val="24"/>
          <w:lang w:eastAsia="en-US"/>
        </w:rPr>
        <w:t>, słonecznego i energii kinetycznej fal oraz wychwytywania dwutlenku węgla na statku, przy zapewnieniu przestrzegania zasady neutralności technologicznej</w:t>
      </w:r>
      <w:r w:rsidRPr="00152ED0">
        <w:rPr>
          <w:szCs w:val="24"/>
          <w:lang w:eastAsia="en-US"/>
        </w:rPr>
        <w:t>, jak również w odniesieniu do środków efektywności energetycznej</w:t>
      </w:r>
      <w:r w:rsidRPr="00152ED0">
        <w:rPr>
          <w:b/>
          <w:i/>
          <w:szCs w:val="24"/>
          <w:lang w:eastAsia="en-US"/>
        </w:rPr>
        <w:t>, obejmujących praktyki takie jak redukcja prędkości eksploatacyjnej statku i optymalizacja prędkości</w:t>
      </w:r>
      <w:r w:rsidRPr="00152ED0">
        <w:rPr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36]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3.</w:t>
      </w:r>
      <w:r w:rsidRPr="00152ED0">
        <w:rPr>
          <w:szCs w:val="24"/>
          <w:lang w:eastAsia="en-US"/>
        </w:rPr>
        <w:tab/>
        <w:t xml:space="preserve">Agencja wspomaga Komisję i państwa członkowskie we wdrażaniu rozporządzenia (UE) [... </w:t>
      </w:r>
      <w:proofErr w:type="gramStart"/>
      <w:r w:rsidRPr="00152ED0">
        <w:rPr>
          <w:szCs w:val="24"/>
          <w:lang w:eastAsia="en-US"/>
        </w:rPr>
        <w:t>w</w:t>
      </w:r>
      <w:proofErr w:type="gramEnd"/>
      <w:r w:rsidRPr="00152ED0">
        <w:rPr>
          <w:szCs w:val="24"/>
          <w:lang w:eastAsia="en-US"/>
        </w:rPr>
        <w:t xml:space="preserve"> sprawie stosowania paliw odnawialnych i niskoemisyjnych w transporcie morskim]. W szczególności Agencja wspomaga Komisję w opracowaniu i prowadzeniu bazy danych </w:t>
      </w:r>
      <w:proofErr w:type="spellStart"/>
      <w:r w:rsidRPr="00152ED0">
        <w:rPr>
          <w:szCs w:val="24"/>
          <w:lang w:eastAsia="en-US"/>
        </w:rPr>
        <w:t>FuelEU</w:t>
      </w:r>
      <w:proofErr w:type="spellEnd"/>
      <w:r w:rsidRPr="00152ED0">
        <w:rPr>
          <w:szCs w:val="24"/>
          <w:lang w:eastAsia="en-US"/>
        </w:rPr>
        <w:t xml:space="preserve"> i innych odpowiednich narzędzi informatycznych, o których mowa w [art. 16] tego rozporządzenia, w opracowaniu odpowiednich narzędzi monitorowania, wytycznych i ukierunkowanych narzędzi opartych na analizie ryzyka w celu usprawniania weryfikacji i wykonywania działań, o których mowa w [art. 15 ter] tego rozporządzenia, oraz w analizie odpowiednich danych i przygotowywaniu sprawozdań zgodnie z [art. 28] tego rozporządzenia.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Agencja wspomaga Komisję i państwa członkowskie we wdrażaniu rozporządzenia (UE) 2015/757. W szczególności Agencja wspomaga Komisję w opracowywaniu, aktualizowaniu i utrzymywaniu odpowiednich narzędzi informatycznych, baz danych i wytycznych do celów wdrażania tego rozporządzenia i ułatwiania działań w zakresie egzekwowania przepisów, wspomaga Komisję w analizie odpowiednich danych zgłaszanych na podstawie tego rozporządzenia oraz wspiera Komisję w działaniach mających na celu wypełnienie obowiązków wynikających z art. 21 tego rozporządzenia.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5.</w:t>
      </w:r>
      <w:r w:rsidRPr="00152ED0">
        <w:rPr>
          <w:szCs w:val="24"/>
          <w:lang w:eastAsia="en-US"/>
        </w:rPr>
        <w:tab/>
        <w:t>Agencja wspomaga Komisję i państwa członkowskie we wdrażaniu dyrektywy 2003/87/WE w zakresie mającym zastosowanie do sektora morskiego. W szczególności Agencja wspomaga Komisję w opracowywaniu odpowiednich informatycznych narzędzi wdrożeniowych, narzędzi monitorowania, wytycznych i ukierunkowanych narzędzi opartych na analizie ryzyka w celu usprawniania weryfikacji, wykonywania i wdrażania działań związanych z dyrektywą 2003/87/WE w odniesieniu do sektora morskiego, przy jednoczesnym wykorzystaniu wyników istniejących odpowiednich narzędzi, usług i baz danych.</w:t>
      </w:r>
    </w:p>
    <w:p w:rsidR="00152ED0" w:rsidRPr="00152ED0" w:rsidRDefault="00152ED0" w:rsidP="00C3114C">
      <w:pPr>
        <w:spacing w:before="120" w:after="120" w:line="360" w:lineRule="auto"/>
        <w:ind w:left="850" w:firstLine="1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Taka pomoc obejmuje również monitorowanie i sprawozdawczość w zakresie wpływu na ruch portowy, omijanie portów i przekierowywanie ruchu do sąsiadujących portów przeładunku kontenerów ze szkodą dla portów UE.</w:t>
      </w:r>
      <w:r w:rsidR="00C3114C">
        <w:rPr>
          <w:b/>
          <w:szCs w:val="24"/>
          <w:lang w:eastAsia="en-US"/>
        </w:rPr>
        <w:t xml:space="preserve"> [Popr. 37]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6.</w:t>
      </w:r>
      <w:r w:rsidRPr="00152ED0">
        <w:rPr>
          <w:szCs w:val="24"/>
          <w:lang w:eastAsia="en-US"/>
        </w:rPr>
        <w:tab/>
        <w:t>Agencja co trzy lata przedstawia Komisji sprawozdanie z postępów w obniżeniem emisyjności transportu morskiego na szczeblu Unii. Tam, gdzie to możliwe, sprawozdanie powinno zawierać analizę techniczną zidentyfikowanych kwestii, którymi można się zająć na szczeblu unijnym.</w:t>
      </w:r>
      <w:r w:rsidRPr="00152ED0">
        <w:rPr>
          <w:b/>
          <w:i/>
          <w:szCs w:val="24"/>
          <w:lang w:eastAsia="en-US"/>
        </w:rPr>
        <w:t xml:space="preserve"> Sprawozdanie jest udostępniane publicznie na stronie internetowej Agencji w formacie umożliwiającym wyszukiwanie i w sposób </w:t>
      </w:r>
      <w:proofErr w:type="spellStart"/>
      <w:r w:rsidRPr="00152ED0">
        <w:rPr>
          <w:b/>
          <w:i/>
          <w:szCs w:val="24"/>
          <w:lang w:eastAsia="en-US"/>
        </w:rPr>
        <w:t>zdezagregowany</w:t>
      </w:r>
      <w:proofErr w:type="spellEnd"/>
      <w:r w:rsidRPr="00152ED0">
        <w:rPr>
          <w:b/>
          <w:i/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38]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7</w:t>
      </w:r>
      <w:r w:rsidRPr="00152ED0">
        <w:rPr>
          <w:szCs w:val="24"/>
          <w:lang w:eastAsia="en-US"/>
        </w:rPr>
        <w:br/>
        <w:t xml:space="preserve">Zadania związane z ochroną na morzu i </w:t>
      </w:r>
      <w:proofErr w:type="spellStart"/>
      <w:r w:rsidRPr="00152ED0">
        <w:rPr>
          <w:szCs w:val="24"/>
          <w:lang w:eastAsia="en-US"/>
        </w:rPr>
        <w:t>cyberbezpieczeństwem</w:t>
      </w:r>
      <w:proofErr w:type="spellEnd"/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Agencja zapewnia Komisji</w:t>
      </w:r>
      <w:r w:rsidRPr="00152ED0">
        <w:rPr>
          <w:b/>
          <w:i/>
          <w:szCs w:val="24"/>
          <w:lang w:eastAsia="en-US"/>
        </w:rPr>
        <w:t xml:space="preserve"> i państwom członkowskim</w:t>
      </w:r>
      <w:r w:rsidRPr="00152ED0">
        <w:rPr>
          <w:szCs w:val="24"/>
          <w:lang w:eastAsia="en-US"/>
        </w:rPr>
        <w:t xml:space="preserve"> pomoc techniczną pod względem wykonywania zadań </w:t>
      </w:r>
      <w:r w:rsidRPr="00152ED0">
        <w:rPr>
          <w:strike/>
          <w:szCs w:val="24"/>
          <w:lang w:eastAsia="en-US"/>
        </w:rPr>
        <w:t xml:space="preserve">w zakresie inspekcji, </w:t>
      </w:r>
      <w:r w:rsidRPr="00152ED0">
        <w:rPr>
          <w:szCs w:val="24"/>
          <w:lang w:eastAsia="en-US"/>
        </w:rPr>
        <w:t xml:space="preserve">powierzonych jej zgodnie z art. 9 </w:t>
      </w:r>
      <w:r w:rsidRPr="00152ED0">
        <w:rPr>
          <w:strike/>
          <w:szCs w:val="24"/>
          <w:lang w:eastAsia="en-US"/>
        </w:rPr>
        <w:t xml:space="preserve">ust. 4 </w:t>
      </w:r>
      <w:r w:rsidRPr="00152ED0">
        <w:rPr>
          <w:szCs w:val="24"/>
          <w:lang w:eastAsia="en-US"/>
        </w:rPr>
        <w:t>rozporządzenia (WE) nr 725/2004.</w:t>
      </w:r>
      <w:r w:rsidR="00C3114C">
        <w:rPr>
          <w:b/>
          <w:szCs w:val="24"/>
          <w:lang w:eastAsia="en-US"/>
        </w:rPr>
        <w:t xml:space="preserve"> [Popr. 39]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 xml:space="preserve">Agencja wspiera Komisję i państwa członkowskie, wraz z wszelkimi innymi właściwymi organami Unii, w rozwijaniu odporności na </w:t>
      </w:r>
      <w:proofErr w:type="spellStart"/>
      <w:r w:rsidRPr="00152ED0">
        <w:rPr>
          <w:szCs w:val="24"/>
          <w:lang w:eastAsia="en-US"/>
        </w:rPr>
        <w:t>cyberincydenty</w:t>
      </w:r>
      <w:proofErr w:type="spellEnd"/>
      <w:r w:rsidRPr="00152ED0">
        <w:rPr>
          <w:szCs w:val="24"/>
          <w:lang w:eastAsia="en-US"/>
        </w:rPr>
        <w:t xml:space="preserve"> w sektorze morskim, w szczególności przez </w:t>
      </w:r>
      <w:r w:rsidRPr="00152ED0">
        <w:rPr>
          <w:b/>
          <w:i/>
          <w:szCs w:val="24"/>
          <w:lang w:eastAsia="en-US"/>
        </w:rPr>
        <w:t xml:space="preserve">wydawanie wytycznych, </w:t>
      </w:r>
      <w:r w:rsidRPr="00152ED0">
        <w:rPr>
          <w:szCs w:val="24"/>
          <w:lang w:eastAsia="en-US"/>
        </w:rPr>
        <w:t xml:space="preserve">ułatwianie wymiany najlepszych praktyk i informacji na temat </w:t>
      </w:r>
      <w:proofErr w:type="spellStart"/>
      <w:r w:rsidRPr="00152ED0">
        <w:rPr>
          <w:szCs w:val="24"/>
          <w:lang w:eastAsia="en-US"/>
        </w:rPr>
        <w:t>cyberincydentów</w:t>
      </w:r>
      <w:proofErr w:type="spellEnd"/>
      <w:r w:rsidRPr="00152ED0">
        <w:rPr>
          <w:szCs w:val="24"/>
          <w:lang w:eastAsia="en-US"/>
        </w:rPr>
        <w:t xml:space="preserve"> między państwami członkowskimi.</w:t>
      </w:r>
      <w:r w:rsidR="00C3114C">
        <w:rPr>
          <w:b/>
          <w:szCs w:val="24"/>
          <w:lang w:eastAsia="en-US"/>
        </w:rPr>
        <w:t xml:space="preserve"> [Popr. 40]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8</w:t>
      </w:r>
      <w:r w:rsidRPr="00152ED0">
        <w:rPr>
          <w:szCs w:val="24"/>
          <w:lang w:eastAsia="en-US"/>
        </w:rPr>
        <w:br/>
        <w:t>Zadania związane z nadzorem morskim i sytuacjami kryzysowymi na morzu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Agencja świadczy na rzecz Komisji i państw członkowskich, na ich wniosek, usługi w zakresie nadzoru morskiego i łączności morskiej, oparte na najnowszej technologii, w tym na infrastrukturze kosmicznej i naziemnej oraz czujnikach umieszczonych na wszelkiego rodzaju platformach, przyczyniając się w ten sposób do poprawy morskiej orientacji sytuacyjnej</w:t>
      </w:r>
      <w:r w:rsidRPr="00152ED0">
        <w:rPr>
          <w:b/>
          <w:i/>
          <w:szCs w:val="24"/>
          <w:lang w:eastAsia="en-US"/>
        </w:rPr>
        <w:t>, w tym w odniesieniu do nowych problemów geopolitycznych, takich jak wojna napastnicza Rosji przeciwko Ukrainie i związane z nią zagrożenia dla bezpieczeństwa poszczególnych państw członkowskich i całej Unii</w:t>
      </w:r>
      <w:r w:rsidRPr="00152ED0">
        <w:rPr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41]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W obszarze monitorowania ruchu, objętym dyrektywą 2002/59/WE, Agencja promuje w szczególności współpracę między państwami nadbrzeżnymi w odnośnych rejonach żeglugi, jak również opracowuje, prowadzi i obsługuje Centrum Danych systemu identyfikacji i śledzenia statków dalekiego zasięgu Unii Europejskiej oraz system wymiany informacji morskich (</w:t>
      </w:r>
      <w:proofErr w:type="spellStart"/>
      <w:r w:rsidRPr="00152ED0">
        <w:rPr>
          <w:szCs w:val="24"/>
          <w:lang w:eastAsia="en-US"/>
        </w:rPr>
        <w:t>SafeSeaNet</w:t>
      </w:r>
      <w:proofErr w:type="spellEnd"/>
      <w:r w:rsidRPr="00152ED0">
        <w:rPr>
          <w:szCs w:val="24"/>
          <w:lang w:eastAsia="en-US"/>
        </w:rPr>
        <w:t>), o którym mowa w art. 6b oraz 22a tej dyrektywy, jak również międzynarodowy system wymiany danych z systemu identyfikacji i śledzenia statków dalekiego zasięgu, zgodnie z zobowiązaniem podjętym na forum Międzynarodowej Organizacji Morskiej.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3.</w:t>
      </w:r>
      <w:r w:rsidRPr="00152ED0">
        <w:rPr>
          <w:szCs w:val="24"/>
          <w:lang w:eastAsia="en-US"/>
        </w:rPr>
        <w:tab/>
        <w:t>Agencja zapewnia Komisji, właściwym organom krajowym i instytucjom unijnym w zakresie ich kompetencji, na wniosek i bez uszczerbku dla przepisów prawa krajowego i unijnego, odpowiednie informacje o pozycji statków i dane z obserwacji Ziemi, by ułatwić im stosowanie środków przeciwko piractwu i umyślnym aktom bezprawnym, zgodnie z mającym zastosowanie prawem Unii lub na mocy uzgodnionych na szczeblu międzynarodowym instrumentów prawnych w obszarze transportu morskiego, z zastrzeżeniem mających zastosowanie przepisów o ochronie danych i zgodnie z procedurami administracyjnymi, które mają zostać ustanowione, w stosownych przypadkach, przez grupę sterującą wysokiego szczebla ustanowioną na mocy dyrektywy 2002/59/WE. Dostarczanie danych systemu identyfikacji i śledzenia statków dalekiego zasięgu odbywa się za zgodą danego państwa bandery.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4.</w:t>
      </w:r>
      <w:r w:rsidRPr="00152ED0">
        <w:rPr>
          <w:szCs w:val="24"/>
          <w:lang w:eastAsia="en-US"/>
        </w:rPr>
        <w:tab/>
        <w:t>Agencja prowadzi dostępne 24 godziny na dobę i 7 dni w tygodniu,</w:t>
      </w:r>
      <w:r w:rsidRPr="00152ED0">
        <w:rPr>
          <w:strike/>
          <w:szCs w:val="24"/>
          <w:lang w:eastAsia="en-US"/>
        </w:rPr>
        <w:t xml:space="preserve"> na wniosek i</w:t>
      </w:r>
      <w:r w:rsidRPr="00152ED0">
        <w:rPr>
          <w:szCs w:val="24"/>
          <w:lang w:eastAsia="en-US"/>
        </w:rPr>
        <w:t xml:space="preserve"> bez uszczerbku dla przepisów prawa krajowego i prawa Unii, centrum zapewniające Komisji, właściwym organom krajowym, bez uszczerbku dla ich praw i obowiązków jako państw bandery, państw nadbrzeżnych i państw portu, oraz odpowiednim organom Unii w ramach ich mandatu, morską orientację sytuacyjną i dane analityczne, w stosownych przypadkach, w zakresie:</w:t>
      </w:r>
      <w:r w:rsidR="00C3114C">
        <w:rPr>
          <w:b/>
          <w:szCs w:val="24"/>
          <w:lang w:eastAsia="en-US"/>
        </w:rPr>
        <w:t xml:space="preserve"> [Popr. 42]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bezpieczeństwa</w:t>
      </w:r>
      <w:proofErr w:type="gramEnd"/>
      <w:r w:rsidRPr="00152ED0">
        <w:rPr>
          <w:szCs w:val="24"/>
          <w:lang w:eastAsia="en-US"/>
        </w:rPr>
        <w:t xml:space="preserve"> i ochrony na morzu oraz zanieczyszczenia mórz;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sytuacji</w:t>
      </w:r>
      <w:proofErr w:type="gramEnd"/>
      <w:r w:rsidRPr="00152ED0">
        <w:rPr>
          <w:szCs w:val="24"/>
          <w:lang w:eastAsia="en-US"/>
        </w:rPr>
        <w:t xml:space="preserve"> kryzysowych na morzu;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wykonywania</w:t>
      </w:r>
      <w:proofErr w:type="gramEnd"/>
      <w:r w:rsidRPr="00152ED0">
        <w:rPr>
          <w:szCs w:val="24"/>
          <w:lang w:eastAsia="en-US"/>
        </w:rPr>
        <w:t xml:space="preserve"> wszelkich przepisów Unii, zgodnie z którymi wymagane jest monitorowanie ruchu statków</w:t>
      </w:r>
      <w:r w:rsidRPr="00152ED0">
        <w:rPr>
          <w:b/>
          <w:i/>
          <w:szCs w:val="24"/>
          <w:lang w:eastAsia="en-US"/>
        </w:rPr>
        <w:t xml:space="preserve"> i kontenerów utraconych na morzu</w:t>
      </w:r>
      <w:r w:rsidRPr="00152ED0">
        <w:rPr>
          <w:szCs w:val="24"/>
          <w:lang w:eastAsia="en-US"/>
        </w:rPr>
        <w:t>;</w:t>
      </w:r>
      <w:r w:rsidR="00C3114C">
        <w:rPr>
          <w:b/>
          <w:szCs w:val="24"/>
          <w:lang w:eastAsia="en-US"/>
        </w:rPr>
        <w:t xml:space="preserve"> [Popr. 43]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d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środków</w:t>
      </w:r>
      <w:proofErr w:type="gramEnd"/>
      <w:r w:rsidRPr="00152ED0">
        <w:rPr>
          <w:szCs w:val="24"/>
          <w:lang w:eastAsia="en-US"/>
        </w:rPr>
        <w:t xml:space="preserve"> przeciwko piractwu i umyślnym aktom bezprawnym, zgodnie z mającym zastosowanie prawem Unii lub na mocy uzgodnionych na szczeblu międzynarodowym instrumentów prawnych w obszarze transportu morskiego;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e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wykorzystania</w:t>
      </w:r>
      <w:proofErr w:type="gramEnd"/>
      <w:r w:rsidRPr="00152ED0">
        <w:rPr>
          <w:szCs w:val="24"/>
          <w:lang w:eastAsia="en-US"/>
        </w:rPr>
        <w:t xml:space="preserve"> MASS i ich interakcji ze statkami konwencjonalnymi.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Takie informacje przekazywane są z zastrzeżeniem mających zastosowanie przepisów o ochronie danych i zgodnie z procedurami administracyjnymi, które mają zostać ustanowione, w stosownych przypadkach, przez grupę sterującą wysokiego szczebla ustanowioną na mocy dyrektywy 2002/59/WE. Dostarczanie danych systemu identyfikacji i śledzenia statków dalekiego zasięgu odbywa się za zgodą danego państwa bandery.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5.</w:t>
      </w:r>
      <w:r w:rsidRPr="00152ED0">
        <w:rPr>
          <w:szCs w:val="24"/>
          <w:lang w:eastAsia="en-US"/>
        </w:rPr>
        <w:tab/>
        <w:t>W ramach swoich kompetencji Agencja przyczynia się do szybkiego reagowania na sytuacje kryzysowe i łagodzenia ich skutków, pomagając państwom członkowskim i Komisji, na ich wniosek, w realizacji planów awaryjnych oraz ułatwiając wymianę informacji i najlepszych praktyk.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6.</w:t>
      </w:r>
      <w:r w:rsidRPr="00152ED0">
        <w:rPr>
          <w:szCs w:val="24"/>
          <w:lang w:eastAsia="en-US"/>
        </w:rPr>
        <w:tab/>
        <w:t>Agencja wspiera Komisję w obsłudze komponentu nadzoru morskiego wchodzącego w skład usługi programu Copernicus w zakresie bezpieczeństwa w ramach zarządczych i finansowych programu Copernicus.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7.</w:t>
      </w:r>
      <w:r w:rsidRPr="00152ED0">
        <w:rPr>
          <w:szCs w:val="24"/>
          <w:lang w:eastAsia="en-US"/>
        </w:rPr>
        <w:tab/>
        <w:t>Agencja wspomaga Komisję i państwa członkowskie w opracowywaniu i utrzymywaniu dobrowolnego wspólnego mechanizmu wymiany informacji (</w:t>
      </w:r>
      <w:proofErr w:type="spellStart"/>
      <w:r w:rsidRPr="00152ED0">
        <w:rPr>
          <w:szCs w:val="24"/>
          <w:lang w:eastAsia="en-US"/>
        </w:rPr>
        <w:t>CISE</w:t>
      </w:r>
      <w:proofErr w:type="spellEnd"/>
      <w:r w:rsidRPr="00152ED0">
        <w:rPr>
          <w:szCs w:val="24"/>
          <w:lang w:eastAsia="en-US"/>
        </w:rPr>
        <w:t xml:space="preserve">), </w:t>
      </w:r>
      <w:proofErr w:type="spellStart"/>
      <w:r w:rsidRPr="00152ED0">
        <w:rPr>
          <w:szCs w:val="24"/>
          <w:lang w:eastAsia="en-US"/>
        </w:rPr>
        <w:t>interoperacyjnego</w:t>
      </w:r>
      <w:proofErr w:type="spellEnd"/>
      <w:r w:rsidRPr="00152ED0">
        <w:rPr>
          <w:szCs w:val="24"/>
          <w:lang w:eastAsia="en-US"/>
        </w:rPr>
        <w:t xml:space="preserve"> rozwiązania mającego na celu ułatwienie wymiany informacji między różnymi systemami wykorzystywanymi przez organy cywilne i wojskowe odpowiedzialne za obszary morskie, uzupełniającego informacje już udostępniane za pośrednictwem obowiązkowych systemów informacyjnych.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9</w:t>
      </w:r>
      <w:r w:rsidRPr="00152ED0">
        <w:rPr>
          <w:szCs w:val="24"/>
          <w:lang w:eastAsia="en-US"/>
        </w:rPr>
        <w:br/>
        <w:t>Zadania związane z cyfryzacją i uproszczeniem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 xml:space="preserve">Agencja, w stosownych przypadkach, gromadzi i zapewnia, w obszarach prawa Unii wchodzących w zakres jej kompetencji, obiektywne, wiarygodne i porównywalne statystyki, informacje oraz dane, aby umożliwić Komisji i państwom członkowskim podejmowanie niezbędnych kroków w celu poprawy ich działań oraz oceny skuteczności i efektywności kosztowej istniejących środków. Tego rodzaju zadania obejmują upowszechnianie i promowanie korzystania z certyfikatów elektronicznych, zbieranie, zapisywanie i ocenę danych technicznych, systematyczne wykorzystywanie istniejących baz danych, łącznie z ich wymianą dzięki wykorzystaniu innowacyjnych narzędzi informatycznych i sztucznej inteligencji, oraz, w stosownych przypadkach, tworzenie dodatkowych </w:t>
      </w:r>
      <w:proofErr w:type="spellStart"/>
      <w:r w:rsidRPr="00152ED0">
        <w:rPr>
          <w:szCs w:val="24"/>
          <w:lang w:eastAsia="en-US"/>
        </w:rPr>
        <w:t>interoperacyjnych</w:t>
      </w:r>
      <w:proofErr w:type="spellEnd"/>
      <w:r w:rsidRPr="00152ED0">
        <w:rPr>
          <w:szCs w:val="24"/>
          <w:lang w:eastAsia="en-US"/>
        </w:rPr>
        <w:t xml:space="preserve"> baz danych. W związku z tym Agencja wnosi również wkład w aspekt związany z obszarami morskimi w ramach wspólnej europejskiej przestrzeni danych dotyczących mobilności, badając powiązania z systemami innych rodzajów transportu.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2.</w:t>
      </w:r>
      <w:r w:rsidRPr="00152ED0">
        <w:rPr>
          <w:szCs w:val="24"/>
          <w:lang w:eastAsia="en-US"/>
        </w:rPr>
        <w:tab/>
        <w:t>Agencja wspomaga Komisję we wdrażaniu rozporządzenia Parlamentu Europejskiego i Rady (UE) 2019/1239</w:t>
      </w:r>
      <w:r w:rsidRPr="00152ED0">
        <w:rPr>
          <w:szCs w:val="24"/>
          <w:vertAlign w:val="superscript"/>
          <w:lang w:val="en-GB" w:eastAsia="en-US"/>
        </w:rPr>
        <w:footnoteReference w:id="33"/>
      </w:r>
      <w:r w:rsidRPr="00152ED0">
        <w:rPr>
          <w:szCs w:val="24"/>
          <w:lang w:eastAsia="en-US"/>
        </w:rPr>
        <w:t>, wykonując następujące zadania: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opracowywanie</w:t>
      </w:r>
      <w:proofErr w:type="gramEnd"/>
      <w:r w:rsidRPr="00152ED0">
        <w:rPr>
          <w:szCs w:val="24"/>
          <w:lang w:eastAsia="en-US"/>
        </w:rPr>
        <w:t>, udostępnianie i utrzymywanie wspólnych komponentów i usług informatycznych europejskiego systemu morskich pojedynczych punktów kontaktowych pod nadzorem Komisji;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utrzymywanie</w:t>
      </w:r>
      <w:proofErr w:type="gramEnd"/>
      <w:r w:rsidRPr="00152ED0">
        <w:rPr>
          <w:szCs w:val="24"/>
          <w:lang w:eastAsia="en-US"/>
        </w:rPr>
        <w:t xml:space="preserve"> zbioru danych europejskiego systemu morskich pojedynczych punktów kontaktowych, Przewodnika dotyczącego wdrażania komunikatów oraz wzorów cyfrowych arkuszy kalkulacyjnych;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udzielanie</w:t>
      </w:r>
      <w:proofErr w:type="gramEnd"/>
      <w:r w:rsidRPr="00152ED0">
        <w:rPr>
          <w:szCs w:val="24"/>
          <w:lang w:eastAsia="en-US"/>
        </w:rPr>
        <w:t xml:space="preserve"> państwom członkowskim wskazówek technicznych dotyczących wdrażania europejskiego systemu morskich pojedynczych punktów kontaktowych;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d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ułatwianie</w:t>
      </w:r>
      <w:proofErr w:type="gramEnd"/>
      <w:r w:rsidRPr="00152ED0">
        <w:rPr>
          <w:b/>
          <w:i/>
          <w:szCs w:val="24"/>
          <w:lang w:eastAsia="en-US"/>
        </w:rPr>
        <w:t xml:space="preserve"> i poprawa</w:t>
      </w:r>
      <w:r w:rsidRPr="00152ED0">
        <w:rPr>
          <w:szCs w:val="24"/>
          <w:lang w:eastAsia="en-US"/>
        </w:rPr>
        <w:t xml:space="preserve"> ponownego wykorzystania i udostępniania danych wymienianych w ramach europejskiego systemu morskich pojedynczych punktów kontaktowych za pośrednictwem </w:t>
      </w:r>
      <w:proofErr w:type="spellStart"/>
      <w:r w:rsidRPr="00152ED0">
        <w:rPr>
          <w:szCs w:val="24"/>
          <w:lang w:eastAsia="en-US"/>
        </w:rPr>
        <w:t>SafeSeaNet</w:t>
      </w:r>
      <w:proofErr w:type="spellEnd"/>
      <w:r w:rsidRPr="00152ED0">
        <w:rPr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44]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3.</w:t>
      </w:r>
      <w:r w:rsidRPr="00152ED0">
        <w:rPr>
          <w:szCs w:val="24"/>
          <w:lang w:eastAsia="en-US"/>
        </w:rPr>
        <w:tab/>
        <w:t>Agencja zapewnia</w:t>
      </w:r>
      <w:r w:rsidRPr="00152ED0">
        <w:rPr>
          <w:strike/>
          <w:szCs w:val="24"/>
          <w:lang w:eastAsia="en-US"/>
        </w:rPr>
        <w:t xml:space="preserve"> pomoc techniczną</w:t>
      </w:r>
      <w:r w:rsidRPr="00152ED0">
        <w:rPr>
          <w:szCs w:val="24"/>
          <w:lang w:eastAsia="en-US"/>
        </w:rPr>
        <w:t xml:space="preserve"> państwom członkowskim</w:t>
      </w:r>
      <w:r w:rsidRPr="00152ED0">
        <w:rPr>
          <w:b/>
          <w:i/>
          <w:szCs w:val="24"/>
          <w:lang w:eastAsia="en-US"/>
        </w:rPr>
        <w:t xml:space="preserve"> pomoc techniczną i operacyjną, a także regularne programy szkoleń i certyfikacji</w:t>
      </w:r>
      <w:r w:rsidRPr="00152ED0">
        <w:rPr>
          <w:szCs w:val="24"/>
          <w:lang w:eastAsia="en-US"/>
        </w:rPr>
        <w:t xml:space="preserve">, na ich wniosek i bez uszczerbku dla ich praw i obowiązków jako państw bandery, w zakresie cyfryzacji ich rejestrów i procedur </w:t>
      </w:r>
      <w:proofErr w:type="spellStart"/>
      <w:r w:rsidRPr="00152ED0">
        <w:rPr>
          <w:strike/>
          <w:szCs w:val="24"/>
          <w:lang w:eastAsia="en-US"/>
        </w:rPr>
        <w:t>umożliwiających</w:t>
      </w:r>
      <w:r w:rsidRPr="00152ED0">
        <w:rPr>
          <w:b/>
          <w:i/>
          <w:szCs w:val="24"/>
          <w:lang w:eastAsia="en-US"/>
        </w:rPr>
        <w:t>ułatwiających</w:t>
      </w:r>
      <w:proofErr w:type="spellEnd"/>
      <w:r w:rsidRPr="00152ED0">
        <w:rPr>
          <w:szCs w:val="24"/>
          <w:lang w:eastAsia="en-US"/>
        </w:rPr>
        <w:t xml:space="preserve"> wprowadzenie certyfikatów elektronicznych</w:t>
      </w:r>
      <w:r w:rsidRPr="00152ED0">
        <w:rPr>
          <w:b/>
          <w:i/>
          <w:szCs w:val="24"/>
          <w:lang w:eastAsia="en-US"/>
        </w:rPr>
        <w:t xml:space="preserve"> oraz w zakresie cyfryzacji wszelkich innych procedur, co może mieć pozytywny wpływ na zmniejszenie obciążenia administracyjnego organów państwa bandery, portu lub państwa nadbrzeżnego</w:t>
      </w:r>
      <w:r w:rsidRPr="00152ED0">
        <w:rPr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45]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10</w:t>
      </w:r>
      <w:r w:rsidRPr="00152ED0">
        <w:rPr>
          <w:szCs w:val="24"/>
          <w:lang w:eastAsia="en-US"/>
        </w:rPr>
        <w:br/>
        <w:t xml:space="preserve">Wizyty w państwach członkowskich i inspekcje 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Aby pomóc Komisji w wypełnianiu jej obowiązków wynikających z TFUE, w szczególności w ocenie skuteczności wykonania odnośnego prawa Unii, Agencja odbywa wizyty w państwach członkowskich zgodnie z metodami określonymi przez zarząd. W takich metodach uwzględnia się zintegrowane podejście w ramach każdej wizyty mającej na celu weryfikację za każdym razem więcej niż jednego aktu prawnego związanego z funkcją państwa bandery, państwa portu lub państwa nadbrzeżnego badanego państwa członkowskiego.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2.</w:t>
      </w:r>
      <w:r w:rsidRPr="00152ED0">
        <w:rPr>
          <w:szCs w:val="24"/>
          <w:lang w:eastAsia="en-US"/>
        </w:rPr>
        <w:tab/>
        <w:t>Agencja z odpowiednim wyprzedzeniem informuje odnośne państwo członkowskie o planowanej wizycie, nazwiskach upoważnionych urzędników oraz o dacie rozpoczęcia wizyty i oczekiwanym czasie jej trwania. Urzędnicy Agencji delegowani do odbycia tych wizyt dokonują tego na podstawie przedstawionej pisemnej decyzji dyrektora wykonawczego Agencji, wyszczególniającej przeznaczenie i cele misji.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Agencja może przeprowadzać inspekcje w imieniu Komisji, zgodnie z wymogami wiążących aktów prawnych Unii, dotyczące organizacji uznanych przez Unię, zgodnie z rozporządzeniem (WE) nr 391/2009, oraz dotyczące szkoleń i certyfikacji marynarzy w państwach trzecich, zgodnie z dyrektywą (UE) 2022/993.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Agencja może również przeprowadzać inspekcje w imieniu Komisji zgodnie z wymogami wszelkich innych wiążących aktów prawnych Unii, jeżeli Komisja podejmie decyzję o przekazaniu takiego zadania Agencji.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5.</w:t>
      </w:r>
      <w:r w:rsidRPr="00152ED0">
        <w:rPr>
          <w:szCs w:val="24"/>
          <w:lang w:eastAsia="en-US"/>
        </w:rPr>
        <w:tab/>
        <w:t>Na zakończenie każdej wizyty lub inspekcji Agencja opracowuje sprawozdanie i przesyła je Komisji i danemu państwu członkowskiemu. Sprawozdanie opracowuje się zgodnie ze wzorem ustanowionym wcześniej przez Komisję.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6.</w:t>
      </w:r>
      <w:r w:rsidRPr="00152ED0">
        <w:rPr>
          <w:szCs w:val="24"/>
          <w:lang w:eastAsia="en-US"/>
        </w:rPr>
        <w:tab/>
        <w:t>W stosownych przypadkach, a w każdym razie po zakończeniu każdego cyklu wizyt lub inspekcji, Agencja dokonuje analizy sprawozdań z tego cyklu w celu określenia ustaleń o charakterze horyzontalnym oraz ogólnych wniosków dotyczących skuteczności i efektywności kosztowej stosowanych środków. Agencja przedstawia tę analizę Komisji do dalszej dyskusji z państwami członkowskimi, aby wyciągnąć wszelkie stosowne wnioski i ułatwić rozpowszechnianie dobrych metod pracy</w:t>
      </w:r>
      <w:r w:rsidRPr="00152ED0">
        <w:rPr>
          <w:b/>
          <w:i/>
          <w:szCs w:val="24"/>
          <w:lang w:eastAsia="en-US"/>
        </w:rPr>
        <w:t>, w szczególności w odniesieniu do wykonania prawa Unii</w:t>
      </w:r>
      <w:r w:rsidRPr="00152ED0">
        <w:rPr>
          <w:szCs w:val="24"/>
          <w:lang w:eastAsia="en-US"/>
        </w:rPr>
        <w:t>.</w:t>
      </w:r>
      <w:r w:rsidR="00C3114C">
        <w:rPr>
          <w:b/>
          <w:szCs w:val="24"/>
          <w:lang w:eastAsia="en-US"/>
        </w:rPr>
        <w:t xml:space="preserve"> [Popr. 46]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ROZDZIAŁ III</w:t>
      </w:r>
      <w:r w:rsidRPr="00152ED0">
        <w:rPr>
          <w:szCs w:val="24"/>
          <w:lang w:eastAsia="en-US"/>
        </w:rPr>
        <w:br/>
        <w:t>INNE ZADANIA AGENCJI DOTYCZĄCE STOSUNKÓW MIĘDZYNARODOWYCH I WSPÓŁPRACY EUROPEJSKIEJ STRAŻY PRZYBRZEŻNEJ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11</w:t>
      </w:r>
      <w:r w:rsidRPr="00152ED0">
        <w:rPr>
          <w:szCs w:val="24"/>
          <w:lang w:eastAsia="en-US"/>
        </w:rPr>
        <w:br/>
        <w:t xml:space="preserve">Stosunki międzynarodowe 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 xml:space="preserve">Agencja zapewnia pomoc techniczną niezbędną państwom członkowskim i Komisji, na ich wniosek, do dokonania wkładu w odpowiednie prace organów technicznych IMO, </w:t>
      </w:r>
      <w:r w:rsidRPr="00152ED0">
        <w:rPr>
          <w:b/>
          <w:i/>
          <w:szCs w:val="24"/>
          <w:lang w:eastAsia="en-US"/>
        </w:rPr>
        <w:t xml:space="preserve">gdzie EMSA powinna, w ramach delegacji Komisji, być obecna podczas dyskusji i w nich uczestniczyć, </w:t>
      </w:r>
      <w:r w:rsidRPr="00152ED0">
        <w:rPr>
          <w:szCs w:val="24"/>
          <w:lang w:eastAsia="en-US"/>
        </w:rPr>
        <w:t xml:space="preserve">Międzynarodowej Organizacji Pracy – w zakresie żeglugi, oraz </w:t>
      </w:r>
      <w:r w:rsidRPr="00152ED0">
        <w:rPr>
          <w:strike/>
          <w:szCs w:val="24"/>
          <w:lang w:eastAsia="en-US"/>
        </w:rPr>
        <w:t xml:space="preserve">memorandum </w:t>
      </w:r>
      <w:proofErr w:type="spellStart"/>
      <w:r w:rsidRPr="00152ED0">
        <w:rPr>
          <w:strike/>
          <w:szCs w:val="24"/>
          <w:lang w:eastAsia="en-US"/>
        </w:rPr>
        <w:t>paryskiego</w:t>
      </w:r>
      <w:r w:rsidRPr="00152ED0">
        <w:rPr>
          <w:b/>
          <w:i/>
          <w:szCs w:val="24"/>
          <w:lang w:eastAsia="en-US"/>
        </w:rPr>
        <w:t>odpowiednich</w:t>
      </w:r>
      <w:proofErr w:type="spellEnd"/>
      <w:r w:rsidRPr="00152ED0">
        <w:rPr>
          <w:b/>
          <w:i/>
          <w:szCs w:val="24"/>
          <w:lang w:eastAsia="en-US"/>
        </w:rPr>
        <w:t xml:space="preserve"> memorandów</w:t>
      </w:r>
      <w:r w:rsidRPr="00152ED0">
        <w:rPr>
          <w:szCs w:val="24"/>
          <w:lang w:eastAsia="en-US"/>
        </w:rPr>
        <w:t xml:space="preserve"> w sprawie kontroli przeprowadzanej przez państwo portu</w:t>
      </w:r>
      <w:r w:rsidRPr="00152ED0">
        <w:rPr>
          <w:strike/>
          <w:szCs w:val="24"/>
          <w:lang w:eastAsia="en-US"/>
        </w:rPr>
        <w:t xml:space="preserve"> („memorandum paryskie”)</w:t>
      </w:r>
      <w:r w:rsidRPr="00152ED0">
        <w:rPr>
          <w:szCs w:val="24"/>
          <w:lang w:eastAsia="en-US"/>
        </w:rPr>
        <w:t xml:space="preserve"> oraz odpowiednich organizacji regionalnych, do których Unia przystąpiła, w sprawach wchodzących w zakres kompetencji Unii.</w:t>
      </w:r>
      <w:r w:rsidR="00C3114C">
        <w:rPr>
          <w:b/>
          <w:szCs w:val="24"/>
          <w:lang w:eastAsia="en-US"/>
        </w:rPr>
        <w:t xml:space="preserve"> [Popr. 47]</w:t>
      </w:r>
    </w:p>
    <w:p w:rsidR="00152ED0" w:rsidRPr="00152ED0" w:rsidRDefault="00152ED0" w:rsidP="00152ED0">
      <w:pPr>
        <w:spacing w:before="120" w:after="120" w:line="360" w:lineRule="auto"/>
        <w:ind w:left="850"/>
        <w:rPr>
          <w:szCs w:val="24"/>
          <w:lang w:eastAsia="en-US"/>
        </w:rPr>
      </w:pPr>
      <w:r w:rsidRPr="00152ED0">
        <w:rPr>
          <w:szCs w:val="24"/>
          <w:lang w:eastAsia="en-US"/>
        </w:rPr>
        <w:t>W celu skutecznego i efektywnego wykonywania tych zadań dyrektor wykonawczy może podjąć decyzję o umieszczeniu personelu w delegaturach Unii w państwach trzecich, z zastrzeżeniem odpowiednich umów z Europejską Służbą Działań Zewnętrznych. Decyzja ta wymaga uprzedniej zgody Komisji i zarządu. W decyzji tej określa się zakres działań prowadzonych przez umieszczony personel w sposób pozwalający uniknąć niepotrzebnych kosztów i powielania administracyjnych funkcji Agencji.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2.</w:t>
      </w:r>
      <w:r w:rsidRPr="00152ED0">
        <w:rPr>
          <w:szCs w:val="24"/>
          <w:lang w:eastAsia="en-US"/>
        </w:rPr>
        <w:tab/>
        <w:t xml:space="preserve">Agencja może, </w:t>
      </w:r>
      <w:r w:rsidRPr="00152ED0">
        <w:rPr>
          <w:strike/>
          <w:szCs w:val="24"/>
          <w:lang w:eastAsia="en-US"/>
        </w:rPr>
        <w:t xml:space="preserve">na wniosek </w:t>
      </w:r>
      <w:proofErr w:type="spellStart"/>
      <w:r w:rsidRPr="00152ED0">
        <w:rPr>
          <w:strike/>
          <w:szCs w:val="24"/>
          <w:lang w:eastAsia="en-US"/>
        </w:rPr>
        <w:t>Komisji</w:t>
      </w:r>
      <w:r w:rsidRPr="00152ED0">
        <w:rPr>
          <w:b/>
          <w:i/>
          <w:szCs w:val="24"/>
          <w:lang w:eastAsia="en-US"/>
        </w:rPr>
        <w:t>w</w:t>
      </w:r>
      <w:proofErr w:type="spellEnd"/>
      <w:r w:rsidRPr="00152ED0">
        <w:rPr>
          <w:b/>
          <w:i/>
          <w:szCs w:val="24"/>
          <w:lang w:eastAsia="en-US"/>
        </w:rPr>
        <w:t xml:space="preserve"> konsultacji z Komisją</w:t>
      </w:r>
      <w:r w:rsidRPr="00152ED0">
        <w:rPr>
          <w:szCs w:val="24"/>
          <w:lang w:eastAsia="en-US"/>
        </w:rPr>
        <w:t>, zapewniać pomoc techniczną, w tym organizację odpowiednich działań szkoleniowych, w zakresie odnośnych aktów prawnych UE, skierowaną do państw ubiegających się o przystąpienie do Unii oraz, w stosownych przypadkach, do krajów partnerskich objętych europejską polityką sąsiedztwa oraz krajów, które przystąpiły do memorandum paryskiego.</w:t>
      </w:r>
      <w:r w:rsidR="00C3114C">
        <w:rPr>
          <w:b/>
          <w:szCs w:val="24"/>
          <w:lang w:eastAsia="en-US"/>
        </w:rPr>
        <w:t xml:space="preserve"> [Popr. 48]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 xml:space="preserve">Agencja może, </w:t>
      </w:r>
      <w:r w:rsidRPr="00152ED0">
        <w:rPr>
          <w:strike/>
          <w:szCs w:val="24"/>
          <w:lang w:eastAsia="en-US"/>
        </w:rPr>
        <w:t xml:space="preserve">na wniosek Komisji lub Europejskiej </w:t>
      </w:r>
      <w:proofErr w:type="spellStart"/>
      <w:r w:rsidRPr="00152ED0">
        <w:rPr>
          <w:strike/>
          <w:szCs w:val="24"/>
          <w:lang w:eastAsia="en-US"/>
        </w:rPr>
        <w:t>Służby</w:t>
      </w:r>
      <w:r w:rsidRPr="00152ED0">
        <w:rPr>
          <w:b/>
          <w:i/>
          <w:szCs w:val="24"/>
          <w:lang w:eastAsia="en-US"/>
        </w:rPr>
        <w:t>w</w:t>
      </w:r>
      <w:proofErr w:type="spellEnd"/>
      <w:r w:rsidRPr="00152ED0">
        <w:rPr>
          <w:b/>
          <w:i/>
          <w:szCs w:val="24"/>
          <w:lang w:eastAsia="en-US"/>
        </w:rPr>
        <w:t xml:space="preserve"> konsultacji z Komisją lub Europejską Służbą</w:t>
      </w:r>
      <w:r w:rsidRPr="00152ED0">
        <w:rPr>
          <w:szCs w:val="24"/>
          <w:lang w:eastAsia="en-US"/>
        </w:rPr>
        <w:t xml:space="preserve"> Działań Zewnętrznych lub </w:t>
      </w:r>
      <w:r w:rsidRPr="00152ED0">
        <w:rPr>
          <w:strike/>
          <w:szCs w:val="24"/>
          <w:lang w:eastAsia="en-US"/>
        </w:rPr>
        <w:t xml:space="preserve">obu tych </w:t>
      </w:r>
      <w:proofErr w:type="spellStart"/>
      <w:r w:rsidRPr="00152ED0">
        <w:rPr>
          <w:strike/>
          <w:szCs w:val="24"/>
          <w:lang w:eastAsia="en-US"/>
        </w:rPr>
        <w:t>instytucji</w:t>
      </w:r>
      <w:r w:rsidRPr="00152ED0">
        <w:rPr>
          <w:b/>
          <w:i/>
          <w:szCs w:val="24"/>
          <w:lang w:eastAsia="en-US"/>
        </w:rPr>
        <w:t>obiema</w:t>
      </w:r>
      <w:proofErr w:type="spellEnd"/>
      <w:r w:rsidRPr="00152ED0">
        <w:rPr>
          <w:b/>
          <w:i/>
          <w:szCs w:val="24"/>
          <w:lang w:eastAsia="en-US"/>
        </w:rPr>
        <w:t xml:space="preserve"> tymi instytucjami</w:t>
      </w:r>
      <w:r w:rsidRPr="00152ED0">
        <w:rPr>
          <w:szCs w:val="24"/>
          <w:lang w:eastAsia="en-US"/>
        </w:rPr>
        <w:t>, świadczyć pomoc w razie zanieczyszczenia spowodowanego przez statki oraz zanieczyszczenia morza spowodowanego przez instalacje naftowe i gazowe, w wyniku którego poszkodowane są państwa trzecie dzielące regionalny basen morski z Unią. Agencja udziela pomocy zgodnie z Unijnym Mechanizmem Ochrony Ludności ustanowionym decyzją nr 1313/2013/UE i zgodnie z warunkami mającymi zastosowanie do państw członkowskich, o których mowa w art. 5 ust. 1 niniejszego rozporządzenia, stosowanymi analogicznie do państw trzecich. Zadania te są koordynowane z istniejącymi ustaleniami w zakresie współpracy regionalnej w zakresie zanieczyszczenia morza.</w:t>
      </w:r>
      <w:r w:rsidR="00C3114C">
        <w:rPr>
          <w:b/>
          <w:szCs w:val="24"/>
          <w:lang w:eastAsia="en-US"/>
        </w:rPr>
        <w:t xml:space="preserve"> [Popr. 49]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 xml:space="preserve">Bez uszczerbku dla art. 24 Agencja może, </w:t>
      </w:r>
      <w:r w:rsidRPr="00152ED0">
        <w:rPr>
          <w:strike/>
          <w:szCs w:val="24"/>
          <w:lang w:eastAsia="en-US"/>
        </w:rPr>
        <w:t xml:space="preserve">na wniosek </w:t>
      </w:r>
      <w:proofErr w:type="spellStart"/>
      <w:r w:rsidRPr="00152ED0">
        <w:rPr>
          <w:strike/>
          <w:szCs w:val="24"/>
          <w:lang w:eastAsia="en-US"/>
        </w:rPr>
        <w:t>Komisji</w:t>
      </w:r>
      <w:r w:rsidRPr="00152ED0">
        <w:rPr>
          <w:b/>
          <w:i/>
          <w:szCs w:val="24"/>
          <w:lang w:eastAsia="en-US"/>
        </w:rPr>
        <w:t>w</w:t>
      </w:r>
      <w:proofErr w:type="spellEnd"/>
      <w:r w:rsidRPr="00152ED0">
        <w:rPr>
          <w:b/>
          <w:i/>
          <w:szCs w:val="24"/>
          <w:lang w:eastAsia="en-US"/>
        </w:rPr>
        <w:t xml:space="preserve"> konsultacji z Komisją</w:t>
      </w:r>
      <w:r w:rsidRPr="00152ED0">
        <w:rPr>
          <w:szCs w:val="24"/>
          <w:lang w:eastAsia="en-US"/>
        </w:rPr>
        <w:t>, udzielać pomocy technicznej państwom trzecim w kwestiach wchodzących w zakres jej kompetencji.</w:t>
      </w:r>
      <w:r w:rsidR="00C3114C">
        <w:rPr>
          <w:b/>
          <w:szCs w:val="24"/>
          <w:lang w:eastAsia="en-US"/>
        </w:rPr>
        <w:t xml:space="preserve"> [Popr. 50]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5.</w:t>
      </w:r>
      <w:r w:rsidRPr="00152ED0">
        <w:rPr>
          <w:szCs w:val="24"/>
          <w:lang w:eastAsia="en-US"/>
        </w:rPr>
        <w:tab/>
        <w:t>Agencja może</w:t>
      </w:r>
      <w:r w:rsidRPr="00152ED0">
        <w:rPr>
          <w:strike/>
          <w:szCs w:val="24"/>
          <w:lang w:eastAsia="en-US"/>
        </w:rPr>
        <w:t>, po uzyskaniu zgody Komisji,</w:t>
      </w:r>
      <w:r w:rsidRPr="00152ED0">
        <w:rPr>
          <w:szCs w:val="24"/>
          <w:lang w:eastAsia="en-US"/>
        </w:rPr>
        <w:t xml:space="preserve"> zawierać porozumienia administracyjne i współpracować z innymi organami Unii zajmującymi się kwestiami wchodzącymi w zakres kompetencji Agencji. Takie porozumienia i współpraca podlegają opinii Komisji, która otrzymuje na ich temat okresowe sprawozdania.</w:t>
      </w:r>
      <w:r w:rsidR="00C3114C">
        <w:rPr>
          <w:b/>
          <w:szCs w:val="24"/>
          <w:lang w:eastAsia="en-US"/>
        </w:rPr>
        <w:t xml:space="preserve"> [Popr. 51]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6.</w:t>
      </w:r>
      <w:r w:rsidRPr="00152ED0">
        <w:rPr>
          <w:szCs w:val="24"/>
          <w:lang w:eastAsia="en-US"/>
        </w:rPr>
        <w:tab/>
        <w:t xml:space="preserve">Zarząd przyjmuje strategię stosunków międzynarodowych Agencji w kwestiach podlegających jej kompetencjom. Strategia ta </w:t>
      </w:r>
      <w:r w:rsidRPr="00152ED0">
        <w:rPr>
          <w:strike/>
          <w:szCs w:val="24"/>
          <w:lang w:eastAsia="en-US"/>
        </w:rPr>
        <w:t xml:space="preserve">jest zgodna z priorytetami politycznymi Komisji i </w:t>
      </w:r>
      <w:r w:rsidRPr="00152ED0">
        <w:rPr>
          <w:szCs w:val="24"/>
          <w:lang w:eastAsia="en-US"/>
        </w:rPr>
        <w:t xml:space="preserve">ma na celu wspieranie Komisji i Europejskiej Służby Działań Zewnętrznych w realizacji </w:t>
      </w:r>
      <w:r w:rsidRPr="00152ED0">
        <w:rPr>
          <w:strike/>
          <w:szCs w:val="24"/>
          <w:lang w:eastAsia="en-US"/>
        </w:rPr>
        <w:t xml:space="preserve">tych </w:t>
      </w:r>
      <w:r w:rsidRPr="00152ED0">
        <w:rPr>
          <w:szCs w:val="24"/>
          <w:lang w:eastAsia="en-US"/>
        </w:rPr>
        <w:t>priorytetów</w:t>
      </w:r>
      <w:r w:rsidRPr="00152ED0">
        <w:rPr>
          <w:b/>
          <w:i/>
          <w:szCs w:val="24"/>
          <w:lang w:eastAsia="en-US"/>
        </w:rPr>
        <w:t xml:space="preserve"> Unii</w:t>
      </w:r>
      <w:r w:rsidRPr="00152ED0">
        <w:rPr>
          <w:szCs w:val="24"/>
          <w:lang w:eastAsia="en-US"/>
        </w:rPr>
        <w:t>. Zostaje ona uwzględniona w dokumencie programowym Agencji, wraz z określeniem przeznaczonych na nią zasobów.</w:t>
      </w:r>
      <w:r w:rsidR="00C3114C">
        <w:rPr>
          <w:b/>
          <w:szCs w:val="24"/>
          <w:lang w:eastAsia="en-US"/>
        </w:rPr>
        <w:t xml:space="preserve"> [Popr. 52]</w:t>
      </w:r>
    </w:p>
    <w:p w:rsidR="00C3114C" w:rsidRDefault="00C3114C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12</w:t>
      </w:r>
      <w:r w:rsidRPr="00152ED0">
        <w:rPr>
          <w:szCs w:val="24"/>
          <w:lang w:eastAsia="en-US"/>
        </w:rPr>
        <w:br/>
        <w:t>Współpraca europejska w zakresie funkcji straży przybrzeżnej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Agencja, we współpracy z Europejską Agencją Straży Granicznej i Przybrzeżnej, ustanowioną rozporządzeniem (UE) 2019/1896, oraz Europejską Agencją Kontroli Rybołówstwa, ustanowioną rozporządzeniem (UE) 2019/473, każda z nich w ramach swojego mandatu, wspiera organy krajowe pełniące funkcje straży przybrzeżnej na poziomie krajowym i unijnym oraz, w stosownych przypadkach, na poziomie międzynarodowym poprzez: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udostępnianie</w:t>
      </w:r>
      <w:proofErr w:type="gramEnd"/>
      <w:r w:rsidRPr="00152ED0">
        <w:rPr>
          <w:szCs w:val="24"/>
          <w:lang w:eastAsia="en-US"/>
        </w:rPr>
        <w:t>, łączenie i analizę informacji dostępnych w systemach zgłaszania statków i innych systemach informacyjnych prowadzonych przez te agencje lub im udostępnianych, zgodnie z ich odpowiednimi podstawami prawnymi i z zastrzeżeniem prawa własności państw członkowskich dotyczącego danych;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świadczenie</w:t>
      </w:r>
      <w:proofErr w:type="gramEnd"/>
      <w:r w:rsidRPr="00152ED0">
        <w:rPr>
          <w:szCs w:val="24"/>
          <w:lang w:eastAsia="en-US"/>
        </w:rPr>
        <w:t xml:space="preserve"> usług w zakresie nadzoru i łączności opartych na najnowszej technologii, w tym infrastrukturze kosmicznej i naziemnej oraz czujnikach umieszczonych na wszelkiego rodzaju platformach;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budowanie</w:t>
      </w:r>
      <w:proofErr w:type="gramEnd"/>
      <w:r w:rsidRPr="00152ED0">
        <w:rPr>
          <w:szCs w:val="24"/>
          <w:lang w:eastAsia="en-US"/>
        </w:rPr>
        <w:t xml:space="preserve"> potencjału przez opracowywanie wytycznych i zaleceń oraz ustanawianie najlepszych praktyk, a także organizowanie szkoleń i wymiany pracowników;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d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wzmacnianie</w:t>
      </w:r>
      <w:proofErr w:type="gramEnd"/>
      <w:r w:rsidRPr="00152ED0">
        <w:rPr>
          <w:szCs w:val="24"/>
          <w:lang w:eastAsia="en-US"/>
        </w:rPr>
        <w:t xml:space="preserve"> wymiany informacji i współpracy w zakresie funkcji straży przybrzeżnej, w tym przez analizowanie wyzwań operacyjnych i zagrożeń pojawiających się na obszarach morskich</w:t>
      </w:r>
      <w:r w:rsidRPr="00152ED0">
        <w:rPr>
          <w:b/>
          <w:i/>
          <w:szCs w:val="24"/>
          <w:lang w:eastAsia="en-US"/>
        </w:rPr>
        <w:t>, między innymi poprzez wykorzystanie cyfrowych narzędzi symulacji do badania skutków wypadków</w:t>
      </w:r>
      <w:r w:rsidRPr="00152ED0">
        <w:rPr>
          <w:szCs w:val="24"/>
          <w:lang w:eastAsia="en-US"/>
        </w:rPr>
        <w:t>;</w:t>
      </w:r>
      <w:r w:rsidR="004105D0">
        <w:rPr>
          <w:b/>
          <w:szCs w:val="24"/>
          <w:lang w:eastAsia="en-US"/>
        </w:rPr>
        <w:t xml:space="preserve"> [Popr. 53]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e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udostępnianie</w:t>
      </w:r>
      <w:proofErr w:type="gramEnd"/>
      <w:r w:rsidRPr="00152ED0">
        <w:rPr>
          <w:szCs w:val="24"/>
          <w:lang w:eastAsia="en-US"/>
        </w:rPr>
        <w:t xml:space="preserve"> potencjałów przez planowanie i realizację operacji wielofunkcyjnych oraz przez udostępnianie aktywów i innych zdolności w zakresie, w jakim działania te są koordynowane przez te agencje i przeprowadzane za zgodą właściwych organów zainteresowanych państw członkowskich.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proofErr w:type="spellStart"/>
      <w:r w:rsidRPr="00152ED0">
        <w:rPr>
          <w:b/>
          <w:i/>
          <w:szCs w:val="24"/>
          <w:lang w:eastAsia="en-US"/>
        </w:rPr>
        <w:t>ea</w:t>
      </w:r>
      <w:proofErr w:type="spellEnd"/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dzielenie</w:t>
      </w:r>
      <w:proofErr w:type="gramEnd"/>
      <w:r w:rsidRPr="00152ED0">
        <w:rPr>
          <w:b/>
          <w:i/>
          <w:szCs w:val="24"/>
          <w:lang w:eastAsia="en-US"/>
        </w:rPr>
        <w:t xml:space="preserve"> się odpowiednimi wynikami badań naukowych, osiągnięciami i technologiami, w tym w dziedzinie sztucznej inteligencji, w sposób elastyczny i oparty na współpracy, w celu znalezienia rozwiązań dla wyzwań w różnych obszarach;</w:t>
      </w:r>
      <w:r w:rsidR="004105D0">
        <w:rPr>
          <w:b/>
          <w:szCs w:val="24"/>
          <w:lang w:eastAsia="en-US"/>
        </w:rPr>
        <w:t xml:space="preserve"> [Popr. 54]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proofErr w:type="spellStart"/>
      <w:r w:rsidRPr="00152ED0">
        <w:rPr>
          <w:b/>
          <w:i/>
          <w:szCs w:val="24"/>
          <w:lang w:eastAsia="en-US"/>
        </w:rPr>
        <w:t>eb</w:t>
      </w:r>
      <w:proofErr w:type="spellEnd"/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zacieśnienie</w:t>
      </w:r>
      <w:proofErr w:type="gramEnd"/>
      <w:r w:rsidRPr="00152ED0">
        <w:rPr>
          <w:b/>
          <w:i/>
          <w:szCs w:val="24"/>
          <w:lang w:eastAsia="en-US"/>
        </w:rPr>
        <w:t xml:space="preserve"> współpracy z myślą o gromadzeniu danych do celów morskich badań naukowych w zakresie ekosystemów morskich, oceanografii fizycznej, chemii morskiej, biologii morskiej, rybołówstwa, oceanicznych odwiertów naukowych i rdzeniowania naukowego, badań geologicznych i geofizycznych oraz innych działań;</w:t>
      </w:r>
      <w:r w:rsidR="004105D0">
        <w:rPr>
          <w:b/>
          <w:szCs w:val="24"/>
          <w:lang w:eastAsia="en-US"/>
        </w:rPr>
        <w:t xml:space="preserve"> [Popr. 55]</w:t>
      </w:r>
    </w:p>
    <w:p w:rsidR="004105D0" w:rsidRDefault="004105D0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proofErr w:type="spellStart"/>
      <w:r w:rsidRPr="00152ED0">
        <w:rPr>
          <w:b/>
          <w:i/>
          <w:szCs w:val="24"/>
          <w:lang w:eastAsia="en-US"/>
        </w:rPr>
        <w:lastRenderedPageBreak/>
        <w:t>ec</w:t>
      </w:r>
      <w:proofErr w:type="spellEnd"/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realizacja</w:t>
      </w:r>
      <w:proofErr w:type="gramEnd"/>
      <w:r w:rsidRPr="00152ED0">
        <w:rPr>
          <w:b/>
          <w:i/>
          <w:szCs w:val="24"/>
          <w:lang w:eastAsia="en-US"/>
        </w:rPr>
        <w:t xml:space="preserve"> projektów współpracy z państwami trzecimi w celu poprawy bezpieczeństwa morskiego, zapobiegania zanieczyszczeniom powodowanym przez statki, bezpieczeństwa morskiego i ochrony środowiska morskiego;</w:t>
      </w:r>
      <w:r w:rsidR="004105D0">
        <w:rPr>
          <w:b/>
          <w:szCs w:val="24"/>
          <w:lang w:eastAsia="en-US"/>
        </w:rPr>
        <w:t xml:space="preserve"> [Popr. 56]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Bez uszczerbku dla uprawnień zarządu Agencji, określonych w art. 15, konkretne formy współpracy w zakresie funkcji straży przybrzeżnej między Agencją, Europejską Agencją Straży Granicznej i Przybrzeżnej oraz Europejską Agencją Kontroli Rybołówstwa są określane w porozumieniu roboczym zgodnie z przyznanymi im mandatami oraz przepisami finansowymi mającymi zastosowanie do tych agencji. Takie porozumienie podlega zatwierdzeniu przez zarząd Agencji, zarząd Europejskiej Agencji Kontroli Rybołówstwa oraz zarząd Europejskiej Agencji Straży Granicznej i Przybrzeżnej.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Komisja, w ścisłej współpracy z państwami członkowskimi, Agencją oraz Europejską Agencją Straży Granicznej i Przybrzeżnej oraz Europejską Agencją Kontroli Rybołówstwa, udostępnia praktyczny podręcznik dotyczący współpracy europejskiej w zakresie funkcji straży przybrzeżnej. Podręcznik ten zawiera wskazówki, zalecenia i najlepsze praktyki w zakresie wymiany informacji. Komisja przyjmuje podręcznik w postaci zalecenia.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4.</w:t>
      </w:r>
      <w:r w:rsidRPr="00152ED0">
        <w:rPr>
          <w:szCs w:val="24"/>
          <w:lang w:eastAsia="en-US"/>
        </w:rPr>
        <w:tab/>
        <w:t>Zadania określone w niniejszym artykule pozostają bez uszczerbku dla zadań Agencji, o których mowa w art. 4–12, oraz nie naruszają praw i obowiązków państw członkowskich, w szczególności jako państw bandery, państw portu lub państw nadbrzeżnych.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13</w:t>
      </w:r>
      <w:r w:rsidRPr="00152ED0">
        <w:rPr>
          <w:szCs w:val="24"/>
          <w:lang w:eastAsia="en-US"/>
        </w:rPr>
        <w:br/>
        <w:t xml:space="preserve">Informacje i upowszechnianie rezultatów </w:t>
      </w:r>
    </w:p>
    <w:p w:rsidR="00152ED0" w:rsidRPr="00152ED0" w:rsidRDefault="00152ED0" w:rsidP="00152ED0">
      <w:pPr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>Agencja może z własnej inicjatywy włączać się w działania komunikacyjne w dziedzinach mieszczących się w jej mandacie. Działania komunikacyjne nie są sprzeczne z pozostałymi zadaniami, o których mowa w art. 4–13, i są wykonywane zgodnie z właściwymi planami komunikacji i rozpowszechniania informacji, przyjętymi przez zarząd. Plany te są regularnie aktualizowane przez zarząd w oparciu o analizę potrzeb.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ROZDZIAŁ IV</w:t>
      </w:r>
      <w:r w:rsidRPr="00152ED0">
        <w:rPr>
          <w:szCs w:val="24"/>
          <w:lang w:eastAsia="en-US"/>
        </w:rPr>
        <w:br/>
        <w:t xml:space="preserve">ORGANIZACJA AGENCJI 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14</w:t>
      </w:r>
      <w:r w:rsidRPr="00152ED0">
        <w:rPr>
          <w:szCs w:val="24"/>
          <w:lang w:eastAsia="en-US"/>
        </w:rPr>
        <w:br/>
        <w:t xml:space="preserve">Struktura administracyjna i kierownicza </w:t>
      </w:r>
    </w:p>
    <w:p w:rsidR="00152ED0" w:rsidRPr="00152ED0" w:rsidRDefault="00152ED0" w:rsidP="00152ED0">
      <w:pPr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>Strukturę administracyjną i kierowniczą Agencji tworzą: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zarząd</w:t>
      </w:r>
      <w:proofErr w:type="gramEnd"/>
      <w:r w:rsidRPr="00152ED0">
        <w:rPr>
          <w:szCs w:val="24"/>
          <w:lang w:eastAsia="en-US"/>
        </w:rPr>
        <w:t>, który pełni funkcje określone w art. 16;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rada</w:t>
      </w:r>
      <w:proofErr w:type="gramEnd"/>
      <w:r w:rsidRPr="00152ED0">
        <w:rPr>
          <w:szCs w:val="24"/>
          <w:lang w:eastAsia="en-US"/>
        </w:rPr>
        <w:t xml:space="preserve"> wykonawcza, która pełni funkcje określone w art. 21;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dyrektor</w:t>
      </w:r>
      <w:proofErr w:type="gramEnd"/>
      <w:r w:rsidRPr="00152ED0">
        <w:rPr>
          <w:szCs w:val="24"/>
          <w:lang w:eastAsia="en-US"/>
        </w:rPr>
        <w:t xml:space="preserve"> wykonawczy, który wykonuje obowiązki określone w art. 23.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15</w:t>
      </w:r>
      <w:r w:rsidRPr="00152ED0">
        <w:rPr>
          <w:szCs w:val="24"/>
          <w:lang w:eastAsia="en-US"/>
        </w:rPr>
        <w:br/>
        <w:t>Skład zarządu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W skład zarządu wchodzą przedstawiciele państw członkowskich, po jednym z każdego państwa, oraz czterech przedstawicieli Komisji, a każdy z nich ma prawo głosu.</w:t>
      </w:r>
    </w:p>
    <w:p w:rsidR="00152ED0" w:rsidRPr="004105D0" w:rsidRDefault="00152ED0" w:rsidP="00152ED0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W skład zarządu wchodzi również czterech specjalistów z najbardziej zainteresowanych sektorów, o których mowa w art. 2, powoływanych przez Komisję, którzy nie mają prawa głosu.</w:t>
      </w:r>
      <w:r w:rsidR="004105D0">
        <w:rPr>
          <w:b/>
          <w:szCs w:val="24"/>
          <w:lang w:eastAsia="en-US"/>
        </w:rPr>
        <w:t xml:space="preserve"> [Popr. 57]</w:t>
      </w:r>
    </w:p>
    <w:p w:rsidR="004105D0" w:rsidRDefault="004105D0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152ED0" w:rsidRPr="004105D0" w:rsidRDefault="00152ED0" w:rsidP="00152ED0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lastRenderedPageBreak/>
        <w:t>W skład zarządu wchodzi również dwóch przedstawicieli Parlamentu Europejskiego, w charakterze obserwatorów bez prawa głosu.</w:t>
      </w:r>
      <w:r w:rsidR="004105D0">
        <w:rPr>
          <w:b/>
          <w:szCs w:val="24"/>
          <w:lang w:eastAsia="en-US"/>
        </w:rPr>
        <w:t xml:space="preserve"> [Popr. 58]</w:t>
      </w:r>
    </w:p>
    <w:p w:rsidR="00152ED0" w:rsidRPr="00152ED0" w:rsidRDefault="00152ED0" w:rsidP="00152ED0">
      <w:pPr>
        <w:spacing w:before="120" w:after="120" w:line="360" w:lineRule="auto"/>
        <w:ind w:left="850"/>
        <w:rPr>
          <w:szCs w:val="24"/>
          <w:lang w:eastAsia="en-US"/>
        </w:rPr>
      </w:pPr>
      <w:r w:rsidRPr="00152ED0">
        <w:rPr>
          <w:szCs w:val="24"/>
          <w:lang w:eastAsia="en-US"/>
        </w:rPr>
        <w:t>Wszyscy członkowie zarządu są powoływani na podstawie odpowiedniego doświadczenia i wiedzy specjalistycznej w dziedzinach, o których mowa w art. 2. Zarówno państwa członkowskie, jak i Komisja dbają o zrównoważoną reprezentację kobiet i mężczyzn w zarządzie. Jeden z czterech specjalistów jest przedstawicielem ram stałej współpracy organów ds. badania wypadków zgodnie z art. 10 dyrektywy 2009/18/WE.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Każde państwo członkowskie</w:t>
      </w:r>
      <w:r w:rsidRPr="00152ED0">
        <w:rPr>
          <w:b/>
          <w:i/>
          <w:szCs w:val="24"/>
          <w:lang w:eastAsia="en-US"/>
        </w:rPr>
        <w:t>, Parlament Europejski</w:t>
      </w:r>
      <w:r w:rsidRPr="00152ED0">
        <w:rPr>
          <w:szCs w:val="24"/>
          <w:lang w:eastAsia="en-US"/>
        </w:rPr>
        <w:t xml:space="preserve"> i Komisja </w:t>
      </w:r>
      <w:proofErr w:type="spellStart"/>
      <w:r w:rsidRPr="00152ED0">
        <w:rPr>
          <w:strike/>
          <w:szCs w:val="24"/>
          <w:lang w:eastAsia="en-US"/>
        </w:rPr>
        <w:t>powołuje</w:t>
      </w:r>
      <w:r w:rsidRPr="00152ED0">
        <w:rPr>
          <w:b/>
          <w:i/>
          <w:szCs w:val="24"/>
          <w:lang w:eastAsia="en-US"/>
        </w:rPr>
        <w:t>powołują</w:t>
      </w:r>
      <w:proofErr w:type="spellEnd"/>
      <w:r w:rsidRPr="00152ED0">
        <w:rPr>
          <w:szCs w:val="24"/>
          <w:lang w:eastAsia="en-US"/>
        </w:rPr>
        <w:t xml:space="preserve"> swoich członków zarządu, a także zastępcę, który reprezentuje członka pod jego nieobecność.</w:t>
      </w:r>
      <w:r w:rsidR="004105D0">
        <w:rPr>
          <w:b/>
          <w:szCs w:val="24"/>
          <w:lang w:eastAsia="en-US"/>
        </w:rPr>
        <w:t xml:space="preserve"> [Popr. 59]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Okres kadencji wynosi cztery lata. Kadencja może być przedłużana.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4.</w:t>
      </w:r>
      <w:r w:rsidRPr="00152ED0">
        <w:rPr>
          <w:szCs w:val="24"/>
          <w:lang w:eastAsia="en-US"/>
        </w:rPr>
        <w:tab/>
        <w:t>W chwili obejmowania stanowiska każdy członek zarządu i jego zastępca podpisuje pisemne oświadczenie, że nie znajduje się w sytuacji konfliktu interesów. Każdy członek zarządu i jego zastępca uaktualnia swoje oświadczenie w przypadku zmiany okoliczności w odniesieniu do konfliktu interesów. Agencja publikuje oświadczenia i ich aktualizacje na swojej stronie internetowej.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16</w:t>
      </w:r>
      <w:r w:rsidRPr="00152ED0">
        <w:rPr>
          <w:szCs w:val="24"/>
          <w:lang w:eastAsia="en-US"/>
        </w:rPr>
        <w:br/>
        <w:t>Funkcje zarządu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Aby zapewnić wykonywanie zadań przez Agencję, zarząd: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wyznacza</w:t>
      </w:r>
      <w:proofErr w:type="gramEnd"/>
      <w:r w:rsidRPr="00152ED0">
        <w:rPr>
          <w:szCs w:val="24"/>
          <w:lang w:eastAsia="en-US"/>
        </w:rPr>
        <w:t xml:space="preserve"> ogólne i strategiczne kierunki działań Agencji;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corocznie</w:t>
      </w:r>
      <w:proofErr w:type="gramEnd"/>
      <w:r w:rsidRPr="00152ED0">
        <w:rPr>
          <w:szCs w:val="24"/>
          <w:lang w:eastAsia="en-US"/>
        </w:rPr>
        <w:t xml:space="preserve"> przyjmuje, większością dwóch trzecich głosów członków z prawem głosu, po otrzymaniu opinii Komisji oraz zgodnie z art. 17, jednolity dokument programowy Agencji;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szCs w:val="24"/>
          <w:lang w:eastAsia="en-US"/>
        </w:rPr>
        <w:t>, większością dwóch trzecich głosów członków z prawem głosu, roczny budżet Agencji i plan zatrudnienia oraz pełni inne funkcje związane z budżetem Agencji na podstawie rozdziału VI;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d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szCs w:val="24"/>
          <w:lang w:eastAsia="en-US"/>
        </w:rPr>
        <w:t>, większością dwóch trzecich głosów członków z prawem głosu, skonsolidowane roczne sprawozdanie z działalności Agencji i przekazuje je każdego roku najpóźniej do dnia 1 lipca Parlamentowi Europejskiemu, Radzie, Komisji, Trybunałowi Obrachunkowemu i państwom członkowskim. Sprawozdanie podawane jest do wiadomości publicznej;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e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szCs w:val="24"/>
          <w:lang w:eastAsia="en-US"/>
        </w:rPr>
        <w:t xml:space="preserve"> przepisy finansowe mające zastosowanie do Agencji zgodnie z art. 25;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f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wydaje</w:t>
      </w:r>
      <w:proofErr w:type="gramEnd"/>
      <w:r w:rsidRPr="00152ED0">
        <w:rPr>
          <w:szCs w:val="24"/>
          <w:lang w:eastAsia="en-US"/>
        </w:rPr>
        <w:t xml:space="preserve"> opinię na temat końcowego sprawozdania finansowego Agencji;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g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określa</w:t>
      </w:r>
      <w:proofErr w:type="gramEnd"/>
      <w:r w:rsidRPr="00152ED0">
        <w:rPr>
          <w:szCs w:val="24"/>
          <w:lang w:eastAsia="en-US"/>
        </w:rPr>
        <w:t xml:space="preserve"> metody przeprowadzania wizyt przewidzianych w art. 10.</w:t>
      </w:r>
      <w:r w:rsidRPr="00152ED0">
        <w:rPr>
          <w:strike/>
          <w:szCs w:val="24"/>
          <w:lang w:eastAsia="en-US"/>
        </w:rPr>
        <w:t xml:space="preserve"> W przypadku wyrażenia przez Komisję – w terminie 15 dni od daty przyjęcia metod – sprzeciwu w sprawie tych metod zarząd ponownie bada je i przyjmuje je z ewentualnymi poprawkami w drugim czytaniu albo większością dwóch trzecich głosów, włącznie z przedstawicielami Komisji, albo przy jednomyślności przedstawicieli państw członkowskich;</w:t>
      </w:r>
      <w:r w:rsidR="004105D0">
        <w:rPr>
          <w:b/>
          <w:szCs w:val="24"/>
          <w:lang w:eastAsia="en-US"/>
        </w:rPr>
        <w:t xml:space="preserve"> [Popr. 60]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h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rozpatruje</w:t>
      </w:r>
      <w:proofErr w:type="gramEnd"/>
      <w:r w:rsidRPr="00152ED0">
        <w:rPr>
          <w:szCs w:val="24"/>
          <w:lang w:eastAsia="en-US"/>
        </w:rPr>
        <w:t xml:space="preserve"> i zatwierdza porozumienia administracyjne, o których mowa w art. 11 ust. 5;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i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szCs w:val="24"/>
          <w:lang w:eastAsia="en-US"/>
        </w:rPr>
        <w:t xml:space="preserve"> strategię zwalczania nadużyć finansowych, odpowiednią w stosunku do ryzyka takich nadużyć, uwzględniając koszty i korzyści związane ze środkami, które mają być zastosowane;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j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b/>
          <w:i/>
          <w:szCs w:val="24"/>
          <w:lang w:eastAsia="en-US"/>
        </w:rPr>
        <w:t xml:space="preserve"> i podaje do wiadomości publicznej</w:t>
      </w:r>
      <w:r w:rsidRPr="00152ED0">
        <w:rPr>
          <w:szCs w:val="24"/>
          <w:lang w:eastAsia="en-US"/>
        </w:rPr>
        <w:t xml:space="preserve"> zasady dotyczące zapobiegania konfliktom interesów i zarządzania nimi w odniesieniu do swoich członków oraz co roku publikuje na swojej stronie internetowej deklarację interesów członków zarządu;</w:t>
      </w:r>
      <w:r w:rsidR="004105D0">
        <w:rPr>
          <w:b/>
          <w:szCs w:val="24"/>
          <w:lang w:eastAsia="en-US"/>
        </w:rPr>
        <w:t xml:space="preserve"> [Popr. 61]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k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na</w:t>
      </w:r>
      <w:proofErr w:type="gramEnd"/>
      <w:r w:rsidRPr="00152ED0">
        <w:rPr>
          <w:szCs w:val="24"/>
          <w:lang w:eastAsia="en-US"/>
        </w:rPr>
        <w:t xml:space="preserve"> podstawie analizy potrzeb przyjmuje i regularnie aktualizuje plany komunikacji i rozpowszechniania informacji określone w art. 13;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l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b/>
          <w:i/>
          <w:szCs w:val="24"/>
          <w:lang w:eastAsia="en-US"/>
        </w:rPr>
        <w:t xml:space="preserve"> i podaje do wiadomości publicznej</w:t>
      </w:r>
      <w:r w:rsidRPr="00152ED0">
        <w:rPr>
          <w:szCs w:val="24"/>
          <w:lang w:eastAsia="en-US"/>
        </w:rPr>
        <w:t xml:space="preserve"> swój regulamin wewnętrzny;</w:t>
      </w:r>
      <w:r w:rsidR="004105D0">
        <w:rPr>
          <w:b/>
          <w:szCs w:val="24"/>
          <w:lang w:eastAsia="en-US"/>
        </w:rPr>
        <w:t xml:space="preserve"> [Popr. 62]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m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powołuje</w:t>
      </w:r>
      <w:proofErr w:type="gramEnd"/>
      <w:r w:rsidRPr="00152ED0">
        <w:rPr>
          <w:szCs w:val="24"/>
          <w:lang w:eastAsia="en-US"/>
        </w:rPr>
        <w:t xml:space="preserve"> członków rady wykonawczej większością dwóch trzecich głosów członków z prawem głosu zgodnie z art. 21;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n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szCs w:val="24"/>
          <w:lang w:eastAsia="en-US"/>
        </w:rPr>
        <w:t xml:space="preserve"> mandat dotyczący zadań rady wykonawczej, o którym mowa w art. 21;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o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zgodnie</w:t>
      </w:r>
      <w:proofErr w:type="gramEnd"/>
      <w:r w:rsidRPr="00152ED0">
        <w:rPr>
          <w:szCs w:val="24"/>
          <w:lang w:eastAsia="en-US"/>
        </w:rPr>
        <w:t xml:space="preserve"> z ust. 2 wykonuje – w odniesieniu do pracowników Agencji – uprawnienia powierzone organowi powołującemu na mocy regulaminu pracowniczego oraz uprawnienia powierzone organowi uprawnionemu do zawierania umów o pracę na mocy warunków zatrudnienia innych pracowników Unii Europejskiej</w:t>
      </w:r>
      <w:r w:rsidRPr="00152ED0">
        <w:rPr>
          <w:szCs w:val="24"/>
          <w:vertAlign w:val="superscript"/>
          <w:lang w:val="en-GB" w:eastAsia="en-US"/>
        </w:rPr>
        <w:footnoteReference w:id="34"/>
      </w:r>
      <w:r w:rsidRPr="00152ED0">
        <w:rPr>
          <w:szCs w:val="24"/>
          <w:lang w:eastAsia="en-US"/>
        </w:rPr>
        <w:t>;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p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szCs w:val="24"/>
          <w:lang w:eastAsia="en-US"/>
        </w:rPr>
        <w:t xml:space="preserve"> przepisy wykonawcze w celu nadania skuteczności regulaminowi pracowniczemu i warunkom zatrudnienia innych pracowników Unii Europejskiej zgodnie z art. 110 ust. 2 regulaminu pracowniczego;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q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powołuje</w:t>
      </w:r>
      <w:proofErr w:type="gramEnd"/>
      <w:r w:rsidRPr="00152ED0">
        <w:rPr>
          <w:szCs w:val="24"/>
          <w:lang w:eastAsia="en-US"/>
        </w:rPr>
        <w:t xml:space="preserve"> dyrektora wykonawczego, udziela mu wskazówek i monitoruje jego pracę, a w stosownych przypadkach przedłuża jego kadencję lub odwołuje go ze stanowiska zgodnie z art. 22;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r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ustanawia</w:t>
      </w:r>
      <w:proofErr w:type="gramEnd"/>
      <w:r w:rsidRPr="00152ED0">
        <w:rPr>
          <w:szCs w:val="24"/>
          <w:lang w:eastAsia="en-US"/>
        </w:rPr>
        <w:t xml:space="preserve"> procedury podejmowania decyzji przez dyrektora wykonawczego;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s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</w:t>
      </w:r>
      <w:proofErr w:type="gramEnd"/>
      <w:r w:rsidRPr="00152ED0">
        <w:rPr>
          <w:szCs w:val="24"/>
          <w:lang w:eastAsia="en-US"/>
        </w:rPr>
        <w:t xml:space="preserve"> stosownych przypadkach powołuje księgowego podlegającego regulaminowi pracowniczemu i warunkom zatrudnienia innych pracowników Unii Europejskiej, który musi być całkowicie niezależny w wykonywaniu swoich obowiązków;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t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zapewnia</w:t>
      </w:r>
      <w:proofErr w:type="gramEnd"/>
      <w:r w:rsidRPr="00152ED0">
        <w:rPr>
          <w:szCs w:val="24"/>
          <w:lang w:eastAsia="en-US"/>
        </w:rPr>
        <w:t xml:space="preserve"> odpowiednie działania następcze w odniesieniu do ustaleń i zaleceń wynikających ze sprawozdań z wewnętrznych lub zewnętrznych audytów oraz ocen, jak również z dochodzeń przeprowadzanych przez Europejski Urząd ds. Zwalczania Nadużyć Finansowych (OLAF) i Prokuraturę Europejską (EPPO);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u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podejmuje</w:t>
      </w:r>
      <w:proofErr w:type="gramEnd"/>
      <w:r w:rsidRPr="00152ED0">
        <w:rPr>
          <w:szCs w:val="24"/>
          <w:lang w:eastAsia="en-US"/>
        </w:rPr>
        <w:t xml:space="preserve"> wszystkie decyzje dotyczące ustanowienia wewnętrznej struktury Agencji, w tym powoływania grup doradczych lub roboczych, oraz, w razie potrzeby, jej modyfikacji</w:t>
      </w:r>
      <w:r w:rsidRPr="00152ED0">
        <w:rPr>
          <w:b/>
          <w:i/>
          <w:szCs w:val="24"/>
          <w:lang w:eastAsia="en-US"/>
        </w:rPr>
        <w:t>, uwzględniając potrzeby Agencji w zakresie działalności i mając na uwadze należyte zarządzanie budżetem</w:t>
      </w:r>
      <w:r w:rsidRPr="00152ED0">
        <w:rPr>
          <w:szCs w:val="24"/>
          <w:lang w:eastAsia="en-US"/>
        </w:rPr>
        <w:t>;</w:t>
      </w:r>
      <w:r w:rsidR="004105D0">
        <w:rPr>
          <w:b/>
          <w:szCs w:val="24"/>
          <w:lang w:eastAsia="en-US"/>
        </w:rPr>
        <w:t xml:space="preserve"> [Popr. 63]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v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podejmuje</w:t>
      </w:r>
      <w:proofErr w:type="gramEnd"/>
      <w:r w:rsidRPr="00152ED0">
        <w:rPr>
          <w:szCs w:val="24"/>
          <w:lang w:eastAsia="en-US"/>
        </w:rPr>
        <w:t xml:space="preserve"> decyzje w sprawie usług, za świadczenie których Agencja może pobierać honoraria i opłaty, i przyjmuje ramowy model podziału finansowego środków pochodzących z honorariów i opłat, o których mowa w art. 26 ust. 3 lit. c).</w:t>
      </w:r>
      <w:r w:rsidRPr="00152ED0">
        <w:rPr>
          <w:strike/>
          <w:szCs w:val="24"/>
          <w:lang w:eastAsia="en-US"/>
        </w:rPr>
        <w:t xml:space="preserve"> W przypadku wyrażenia przez Komisję – w czasie 15 dni od daty przyjęcia przez zarząd decyzji dotyczącej usług świadczonych odpłatnie lub ramowego modelu – sprzeciwu w sprawie tej decyzji zarząd ponownie bada ją i przyjmuje ją z ewentualnymi poprawkami w drugim czytaniu albo większością dwóch trzecich głosów, włącznie z przedstawicielami Komisji, albo przy jednomyślności przedstawicieli państw członkowskich;</w:t>
      </w:r>
      <w:r w:rsidR="004105D0">
        <w:rPr>
          <w:b/>
          <w:strike/>
          <w:szCs w:val="24"/>
          <w:lang w:eastAsia="en-US"/>
        </w:rPr>
        <w:t xml:space="preserve"> </w:t>
      </w:r>
      <w:r w:rsidR="004105D0" w:rsidRPr="004105D0">
        <w:rPr>
          <w:b/>
          <w:szCs w:val="24"/>
          <w:lang w:eastAsia="en-US"/>
        </w:rPr>
        <w:t>[Popr. 64]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w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szCs w:val="24"/>
          <w:lang w:eastAsia="en-US"/>
        </w:rPr>
        <w:t xml:space="preserve"> strategię osiągnięcia przyrostu wydajności i synergii;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x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szCs w:val="24"/>
          <w:lang w:eastAsia="en-US"/>
        </w:rPr>
        <w:t xml:space="preserve"> strategię współpracy z państwami trzecimi lub organizacjami międzynarodowymi albo strategię współpracy z państwami trzecimi i organizacjami międzynarodowymi, o której mowa w art. 11 ust. 6.</w:t>
      </w:r>
      <w:r w:rsidRPr="00152ED0">
        <w:rPr>
          <w:strike/>
          <w:szCs w:val="24"/>
          <w:lang w:eastAsia="en-US"/>
        </w:rPr>
        <w:t xml:space="preserve"> W przypadku wyrażenia przez Komisję – w terminie 15 dni od daty przyjęcia strategii – sprzeciwu w sprawie tej strategii zarząd ponownie bada ją i przyjmuje ją z ewentualnymi poprawkami w drugim czytaniu albo większością dwóch trzecich głosów, włącznie z przedstawicielami Komisji, albo przy jednomyślności przedstawicieli państw członkowskich;</w:t>
      </w:r>
      <w:r w:rsidR="004105D0">
        <w:rPr>
          <w:b/>
          <w:szCs w:val="24"/>
          <w:lang w:eastAsia="en-US"/>
        </w:rPr>
        <w:t xml:space="preserve"> [Popr. 65]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y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przyjmuje</w:t>
      </w:r>
      <w:proofErr w:type="gramEnd"/>
      <w:r w:rsidRPr="00152ED0">
        <w:rPr>
          <w:szCs w:val="24"/>
          <w:lang w:eastAsia="en-US"/>
        </w:rPr>
        <w:t xml:space="preserve"> wewnętrzne przepisy Agencji dotyczące bezpieczeństwa, o których mowa w art. 41;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z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powołuje</w:t>
      </w:r>
      <w:proofErr w:type="gramEnd"/>
      <w:r w:rsidRPr="00152ED0">
        <w:rPr>
          <w:szCs w:val="24"/>
          <w:lang w:eastAsia="en-US"/>
        </w:rPr>
        <w:t xml:space="preserve"> inspektora ochrony danych Agencji.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Zgodnie z procedurą przewidzianą w art. 110 ust. 2 regulaminu pracowniczego zarząd przyjmuje – na podstawie art. 2 ust. 1 regulaminu pracowniczego i art. 6 warunków zatrudnienia innych pracowników Unii Europejskiej – decyzję przekazującą odpowiednie uprawnienia organu powołującego dyrektorowi wykonawczemu i określającą warunki, zgodnie z którymi możliwe jest zawieszenie przekazania tych uprawnień. Dyrektor wykonawczy jest upoważniony do dalszego przekazywania tych uprawnień.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Jeżeli wymagają tego szczególne okoliczności, zarząd może – w drodze decyzji – zawiesić tymczasowo przekazanie uprawnień organu powołującego dyrektorowi wykonawczemu i uprawnień dalej przez niego przekazanych oraz wykonywać je samodzielnie lub przekazać je jednemu ze swoich członków lub członkowi personelu innemu niż dyrektor wykonawczy.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17</w:t>
      </w:r>
      <w:r w:rsidRPr="00152ED0">
        <w:rPr>
          <w:szCs w:val="24"/>
          <w:lang w:eastAsia="en-US"/>
        </w:rPr>
        <w:br/>
        <w:t>Programowanie roczne i wieloletnie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Do dnia 30 listopada każdego roku zarząd przyjmuje jednolity dokument programowy zawierający założenia programowania rocznego i wieloletniego w oparciu o projekt przedstawiony przez dyrektora wykonawczego, biorąc pod uwagę opinię Komisji</w:t>
      </w:r>
      <w:r w:rsidRPr="00152ED0">
        <w:rPr>
          <w:b/>
          <w:i/>
          <w:szCs w:val="24"/>
          <w:lang w:eastAsia="en-US"/>
        </w:rPr>
        <w:t>, a w odniesieniu do programowania wieloletniego – po konsultacji z Parlamentem Europejskim</w:t>
      </w:r>
      <w:r w:rsidRPr="00152ED0">
        <w:rPr>
          <w:szCs w:val="24"/>
          <w:lang w:eastAsia="en-US"/>
        </w:rPr>
        <w:t>.</w:t>
      </w:r>
      <w:r w:rsidRPr="00152ED0">
        <w:rPr>
          <w:b/>
          <w:i/>
          <w:szCs w:val="24"/>
          <w:lang w:eastAsia="en-US"/>
        </w:rPr>
        <w:t xml:space="preserve"> Jeżeli zarząd podejmie decyzję o nieuwzględnianiu elementów opinii Komisji, musi to szczegółowo uzasadnić. Obowiązek szczegółowego uzasadnienia dotyczy również elementów poruszonych przez Parlament Europejski podczas konsultacji. Zarząd</w:t>
      </w:r>
      <w:r w:rsidRPr="00152ED0">
        <w:rPr>
          <w:szCs w:val="24"/>
          <w:lang w:eastAsia="en-US"/>
        </w:rPr>
        <w:t xml:space="preserve"> przekazuje </w:t>
      </w:r>
      <w:proofErr w:type="spellStart"/>
      <w:r w:rsidRPr="00152ED0">
        <w:rPr>
          <w:strike/>
          <w:szCs w:val="24"/>
          <w:lang w:eastAsia="en-US"/>
        </w:rPr>
        <w:t>go</w:t>
      </w:r>
      <w:r w:rsidRPr="00152ED0">
        <w:rPr>
          <w:b/>
          <w:i/>
          <w:szCs w:val="24"/>
          <w:lang w:eastAsia="en-US"/>
        </w:rPr>
        <w:t>jednolity</w:t>
      </w:r>
      <w:proofErr w:type="spellEnd"/>
      <w:r w:rsidRPr="00152ED0">
        <w:rPr>
          <w:b/>
          <w:i/>
          <w:szCs w:val="24"/>
          <w:lang w:eastAsia="en-US"/>
        </w:rPr>
        <w:t xml:space="preserve"> dokument programowy</w:t>
      </w:r>
      <w:r w:rsidRPr="00152ED0">
        <w:rPr>
          <w:szCs w:val="24"/>
          <w:lang w:eastAsia="en-US"/>
        </w:rPr>
        <w:t xml:space="preserve"> Parlamentowi Europejskiemu, Radzie i Komisji</w:t>
      </w:r>
      <w:r w:rsidRPr="00152ED0">
        <w:rPr>
          <w:b/>
          <w:i/>
          <w:szCs w:val="24"/>
          <w:lang w:eastAsia="en-US"/>
        </w:rPr>
        <w:t xml:space="preserve"> do 31 stycznia następnego roku</w:t>
      </w:r>
      <w:r w:rsidRPr="00152ED0">
        <w:rPr>
          <w:szCs w:val="24"/>
          <w:lang w:eastAsia="en-US"/>
        </w:rPr>
        <w:t>.</w:t>
      </w:r>
      <w:r w:rsidR="004105D0">
        <w:rPr>
          <w:b/>
          <w:szCs w:val="24"/>
          <w:lang w:eastAsia="en-US"/>
        </w:rPr>
        <w:t xml:space="preserve"> [Popr. 66]</w:t>
      </w:r>
    </w:p>
    <w:p w:rsidR="004105D0" w:rsidRDefault="004105D0">
      <w:pPr>
        <w:widowControl/>
        <w:rPr>
          <w:strike/>
          <w:szCs w:val="24"/>
          <w:lang w:eastAsia="en-US"/>
        </w:rPr>
      </w:pPr>
      <w:r>
        <w:rPr>
          <w:strike/>
          <w:szCs w:val="24"/>
          <w:lang w:eastAsia="en-US"/>
        </w:rPr>
        <w:br w:type="page"/>
      </w:r>
    </w:p>
    <w:p w:rsidR="00152ED0" w:rsidRPr="004105D0" w:rsidRDefault="00152ED0" w:rsidP="00152ED0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152ED0">
        <w:rPr>
          <w:strike/>
          <w:szCs w:val="24"/>
          <w:lang w:eastAsia="en-US"/>
        </w:rPr>
        <w:lastRenderedPageBreak/>
        <w:t>W przypadku wyrażenia przez Komisję – w terminie 15 dni od daty przyjęcia jednolitego dokumentu programowego – sprzeciwu w sprawie tego dokumentu zarząd ponownie bada go i przyjmuje go z ewentualnymi poprawkami w ciągu dwóch miesięcy w drugim czytaniu albo większością dwóch trzecich głosów, włącznie z przedstawicielami Komisji, albo przy jednomyślności przedstawicieli państw członkowskich.</w:t>
      </w:r>
      <w:r w:rsidR="004105D0">
        <w:rPr>
          <w:b/>
          <w:szCs w:val="24"/>
          <w:lang w:eastAsia="en-US"/>
        </w:rPr>
        <w:t xml:space="preserve"> [Popr. 67]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Jednolity dokument programowy staje się ostateczny po ostatecznym przyjęciu budżetu ogólnego, a w razie konieczności jest odpowiednio dostosowywany.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Roczny program prac zawiera szczegółowe cele oraz oczekiwane wyniki, a także wskaźniki skuteczności. Zawiera również opis działań, które mają być finansowane, oraz wskazanie zasobów finansowych i ludzkich przeznaczonych na każde działanie zgodnie z zasadami budżetowania zadaniowego i zarządzania kosztami działań. Roczny program prac jest spójny z wieloletnim programem prac, o którym mowa w ust. 7. Jednoznacznie określa on zadania, które dodano, zmieniono lub usunięto w stosunku do poprzedniego roku budżetowego. Programowanie roczne lub wieloletnie albo programowanie roczne i wieloletnie obejmuje strategię dotyczącą stosunków z państwami trzecimi lub organizacjami międzynarodowymi, o których mowa w art. 11, oraz działania związane z tą strategią.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4.</w:t>
      </w:r>
      <w:r w:rsidRPr="00152ED0">
        <w:rPr>
          <w:szCs w:val="24"/>
          <w:lang w:eastAsia="en-US"/>
        </w:rPr>
        <w:tab/>
        <w:t>Zarząd dokonuje zmiany przyjętego rocznego programu prac w przypadku przekazania Agencji nowego zadania. Dodanie takiego nowego zadania uwarunkowane jest przeprowadzeniem analizy skutków, jakie niesie ono ze sobą pod kątem zasobów ludzkich i budżetowych, oraz może wiązać się z decyzją o opóźnieniu realizacji innych zadań.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5.</w:t>
      </w:r>
      <w:r w:rsidRPr="00152ED0">
        <w:rPr>
          <w:szCs w:val="24"/>
          <w:lang w:eastAsia="en-US"/>
        </w:rPr>
        <w:tab/>
        <w:t>Zarząd analizuje i zatwierdza, w ramach przygotowywania jednolitego dokumentu programowego, wnioski Komisji lub państw członkowskich o pomoc techniczną, o których mowa w art. 3 ust. 1 lit. c), art. 3 ust. 2 lit. b), art. 5 ust. 5–8, art. 8 ust. 6 i 7, art. 9 ust. 3, art. 10 ust. 4 oraz art. 11 ust. 2 i 4. Zatwierdzenie takich wniosków: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nie</w:t>
      </w:r>
      <w:proofErr w:type="gramEnd"/>
      <w:r w:rsidRPr="00152ED0">
        <w:rPr>
          <w:szCs w:val="24"/>
          <w:lang w:eastAsia="en-US"/>
        </w:rPr>
        <w:t xml:space="preserve"> może mieć negatywnego wpływu na pozostałe zadania Agencji;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pozwala</w:t>
      </w:r>
      <w:proofErr w:type="gramEnd"/>
      <w:r w:rsidRPr="00152ED0">
        <w:rPr>
          <w:szCs w:val="24"/>
          <w:lang w:eastAsia="en-US"/>
        </w:rPr>
        <w:t xml:space="preserve"> uniknąć powielania podejmowanych działań;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podlega</w:t>
      </w:r>
      <w:proofErr w:type="gramEnd"/>
      <w:r w:rsidRPr="00152ED0">
        <w:rPr>
          <w:szCs w:val="24"/>
          <w:lang w:eastAsia="en-US"/>
        </w:rPr>
        <w:t xml:space="preserve"> analizie skutków, jakie niosą ono ze sobą pod kątem zasobów ludzkich i budżetowych; oraz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d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może</w:t>
      </w:r>
      <w:proofErr w:type="gramEnd"/>
      <w:r w:rsidRPr="00152ED0">
        <w:rPr>
          <w:szCs w:val="24"/>
          <w:lang w:eastAsia="en-US"/>
        </w:rPr>
        <w:t xml:space="preserve"> wiązać się z decyzją o opóźnieniu realizacji innych zadań.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6.</w:t>
      </w:r>
      <w:r w:rsidRPr="00152ED0">
        <w:rPr>
          <w:szCs w:val="24"/>
          <w:lang w:eastAsia="en-US"/>
        </w:rPr>
        <w:tab/>
        <w:t>Wszelkie istotne zmiany w rocznym programie prac przyjmuje się w drodze tej samej procedury co pierwotny roczny program prac. Zarząd może przekazać dyrektorowi wykonawczemu uprawnienia do dokonywania w rocznym programie prac zmian innych niż istotne.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7.</w:t>
      </w:r>
      <w:r w:rsidRPr="00152ED0">
        <w:rPr>
          <w:szCs w:val="24"/>
          <w:lang w:eastAsia="en-US"/>
        </w:rPr>
        <w:tab/>
        <w:t>Wieloletni program prac określa ogólne założenia programowania strategicznego, w tym cele, oczekiwane wyniki i wskaźniki skuteczności działania. Obejmuje on również programowanie w zakresie zasobów, w tym budżetu wieloletniego i personelu.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8.</w:t>
      </w:r>
      <w:r w:rsidRPr="00152ED0">
        <w:rPr>
          <w:szCs w:val="24"/>
          <w:lang w:eastAsia="en-US"/>
        </w:rPr>
        <w:tab/>
        <w:t>Programowanie w zakresie zasobów jest aktualizowane co roku. Programowanie strategiczne jest aktualizowane w stosownych przypadkach, a w szczególności w celu uwzględnienia wyników oceny, o której mowa w art. 41.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18</w:t>
      </w:r>
      <w:r w:rsidRPr="00152ED0">
        <w:rPr>
          <w:szCs w:val="24"/>
          <w:lang w:eastAsia="en-US"/>
        </w:rPr>
        <w:br/>
        <w:t>Przewodniczący zarządu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Zarząd wybiera przewodniczącego i zastępcę przewodniczącego spośród swoich członków z prawem głosu. Przewodniczący i zastępca przewodniczącego wybierani są większością dwóch trzecich głosów członków zarządu z prawem głosu.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2.</w:t>
      </w:r>
      <w:r w:rsidRPr="00152ED0">
        <w:rPr>
          <w:szCs w:val="24"/>
          <w:lang w:eastAsia="en-US"/>
        </w:rPr>
        <w:tab/>
        <w:t>Zastępca przewodniczącego automatycznie zajmuje miejsce przewodniczącego, jeśli niemożliwe jest pełnienie przez niego swoich obowiązków.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Kadencja przewodniczącego i zastępcy przewodniczącego trwa cztery lata. Ich kadencja może być przedłużona jeden raz. Jeżeli jednak w którymkolwiek momencie swojej kadencji tracą oni status członków zarządu, ich kadencja kończy się automatycznie w tym samym dniu.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19</w:t>
      </w:r>
      <w:r w:rsidRPr="00152ED0">
        <w:rPr>
          <w:szCs w:val="24"/>
          <w:lang w:eastAsia="en-US"/>
        </w:rPr>
        <w:br/>
        <w:t>Posiedzenia zarządu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Posiedzenia zarządu są prowadzone zgodnie z jego regulaminem wewnętrznym oraz są zwoływane przez przewodniczącego zarządu.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Dyrektor wykonawczy Agencji bierze udział w obradach oprócz sytuacji, kiedy jego udział mógłby doprowadzić do konfliktu interesów, zgodnie z decyzją przewodniczącego, lub kiedy zarząd ma podjąć decyzję zgodnie z art. 35.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3.</w:t>
      </w:r>
      <w:r w:rsidRPr="00152ED0">
        <w:rPr>
          <w:szCs w:val="24"/>
          <w:lang w:eastAsia="en-US"/>
        </w:rPr>
        <w:tab/>
        <w:t xml:space="preserve">Zarząd odbywa posiedzenie zwyczajne dwa razy do roku. Dodatkowo zbiera się z inicjatywy przewodniczącego lub na wniosek Komisji albo jednej trzeciej </w:t>
      </w:r>
      <w:r w:rsidRPr="00152ED0">
        <w:rPr>
          <w:strike/>
          <w:szCs w:val="24"/>
          <w:lang w:eastAsia="en-US"/>
        </w:rPr>
        <w:t xml:space="preserve">państw </w:t>
      </w:r>
      <w:proofErr w:type="spellStart"/>
      <w:r w:rsidRPr="00152ED0">
        <w:rPr>
          <w:strike/>
          <w:szCs w:val="24"/>
          <w:lang w:eastAsia="en-US"/>
        </w:rPr>
        <w:t>członkowskich</w:t>
      </w:r>
      <w:r w:rsidRPr="00152ED0">
        <w:rPr>
          <w:b/>
          <w:i/>
          <w:szCs w:val="24"/>
          <w:lang w:eastAsia="en-US"/>
        </w:rPr>
        <w:t>swoich</w:t>
      </w:r>
      <w:proofErr w:type="spellEnd"/>
      <w:r w:rsidRPr="00152ED0">
        <w:rPr>
          <w:b/>
          <w:i/>
          <w:szCs w:val="24"/>
          <w:lang w:eastAsia="en-US"/>
        </w:rPr>
        <w:t xml:space="preserve"> członków</w:t>
      </w:r>
      <w:r w:rsidRPr="00152ED0">
        <w:rPr>
          <w:szCs w:val="24"/>
          <w:lang w:eastAsia="en-US"/>
        </w:rPr>
        <w:t>.</w:t>
      </w:r>
      <w:r w:rsidR="004105D0">
        <w:rPr>
          <w:b/>
          <w:szCs w:val="24"/>
          <w:lang w:eastAsia="en-US"/>
        </w:rPr>
        <w:t xml:space="preserve"> [Popr. 68]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W przypadku zaistnienia kwestii poufności lub konfliktu interesów zarząd może podjąć decyzję o zbadaniu określonych punktów porządku obrad bez obecności zainteresowanych członków. Nie narusza to prawa państw członkowskich i Komisji do bycia reprezentowanym przez zastępcę lub jakąkolwiek inną osobę. Szczegółowe zasady stosowania niniejszego przepisu zostają określone w regulaminie wewnętrznym zarządu.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5.</w:t>
      </w:r>
      <w:r w:rsidRPr="00152ED0">
        <w:rPr>
          <w:szCs w:val="24"/>
          <w:lang w:eastAsia="en-US"/>
        </w:rPr>
        <w:tab/>
        <w:t>Zarząd może zaprosić każdą osobę, której opinia może być interesująca, do uczestniczenia w posiedzeniu jako obserwator.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6.</w:t>
      </w:r>
      <w:r w:rsidRPr="00152ED0">
        <w:rPr>
          <w:szCs w:val="24"/>
          <w:lang w:eastAsia="en-US"/>
        </w:rPr>
        <w:tab/>
        <w:t>Z zastrzeżeniem przepisów regulaminu wewnętrznego członkowie zarządu mogą korzystać z pomocy doradców lub ekspertów.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7.</w:t>
      </w:r>
      <w:r w:rsidRPr="00152ED0">
        <w:rPr>
          <w:szCs w:val="24"/>
          <w:lang w:eastAsia="en-US"/>
        </w:rPr>
        <w:tab/>
        <w:t>Obsługę sekretariatu zarządu zapewnia Agencja.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20</w:t>
      </w:r>
      <w:r w:rsidRPr="00152ED0">
        <w:rPr>
          <w:szCs w:val="24"/>
          <w:lang w:eastAsia="en-US"/>
        </w:rPr>
        <w:br/>
        <w:t>Zasady głosowania zarządu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Jeżeli niniejsze rozporządzenie nie stanowi inaczej, zarząd podejmuje decyzje bezwzględną większością głosów członków z prawem głosu.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trike/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</w:r>
      <w:r w:rsidRPr="00152ED0">
        <w:rPr>
          <w:strike/>
          <w:szCs w:val="24"/>
          <w:lang w:eastAsia="en-US"/>
        </w:rPr>
        <w:t>Decyzje, o których mowa w art. 16 ust. 1 lit. c</w:t>
      </w:r>
      <w:proofErr w:type="gramStart"/>
      <w:r w:rsidRPr="00152ED0">
        <w:rPr>
          <w:strike/>
          <w:szCs w:val="24"/>
          <w:lang w:eastAsia="en-US"/>
        </w:rPr>
        <w:t>)–e</w:t>
      </w:r>
      <w:proofErr w:type="gramEnd"/>
      <w:r w:rsidRPr="00152ED0">
        <w:rPr>
          <w:strike/>
          <w:szCs w:val="24"/>
          <w:lang w:eastAsia="en-US"/>
        </w:rPr>
        <w:t>) i w lit. i), j), n, o), p), q), t), u) oraz w art. 16 ust. 2 mogą zostać podjęte tylko wtedy, gdy przedstawiciele Komisji zagłosują za nimi. Do celów podejmowania decyzji, o których mowa w art. 16 ust. 1 lit. b), głos poparcia przedstawiciela Komisji jest wymagany tylko w odniesieniu do elementów decyzji niezwiązanych z rocznym i wieloletnim programem prac Agencji.</w:t>
      </w:r>
      <w:r w:rsidR="004105D0">
        <w:rPr>
          <w:b/>
          <w:szCs w:val="24"/>
          <w:lang w:eastAsia="en-US"/>
        </w:rPr>
        <w:t xml:space="preserve"> [Popr. 69]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Każdy członek</w:t>
      </w:r>
      <w:r w:rsidRPr="00152ED0">
        <w:rPr>
          <w:b/>
          <w:i/>
          <w:szCs w:val="24"/>
          <w:lang w:eastAsia="en-US"/>
        </w:rPr>
        <w:t xml:space="preserve"> z prawem głosu</w:t>
      </w:r>
      <w:r w:rsidRPr="00152ED0">
        <w:rPr>
          <w:szCs w:val="24"/>
          <w:lang w:eastAsia="en-US"/>
        </w:rPr>
        <w:t xml:space="preserve"> ma jeden głos. Dyrektor wykonawczy Agencji nie bierze udziału w głosowaniu.</w:t>
      </w:r>
      <w:r w:rsidR="004105D0">
        <w:rPr>
          <w:b/>
          <w:szCs w:val="24"/>
          <w:lang w:eastAsia="en-US"/>
        </w:rPr>
        <w:t xml:space="preserve"> [Popr. 70]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W przypadku nieobecności członka do wykonywania jego prawa głosu uprawniony jest jego zastępca.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5.</w:t>
      </w:r>
      <w:r w:rsidRPr="00152ED0">
        <w:rPr>
          <w:szCs w:val="24"/>
          <w:lang w:eastAsia="en-US"/>
        </w:rPr>
        <w:tab/>
        <w:t>Regulamin ustanawia bardziej szczegółowe ustalenia dotyczące głosowania, w tym warunki działania jednego członka w imieniu innego członka.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21</w:t>
      </w:r>
      <w:r w:rsidRPr="00152ED0">
        <w:rPr>
          <w:szCs w:val="24"/>
          <w:lang w:eastAsia="en-US"/>
        </w:rPr>
        <w:br/>
        <w:t xml:space="preserve">Rada wykonawcza 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Zarząd wspierany jest przez radę wykonawczą.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Rada wykonawcza: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nadzoruje</w:t>
      </w:r>
      <w:proofErr w:type="gramEnd"/>
      <w:r w:rsidRPr="00152ED0">
        <w:rPr>
          <w:szCs w:val="24"/>
          <w:lang w:eastAsia="en-US"/>
        </w:rPr>
        <w:t xml:space="preserve"> wykonywanie decyzji zarządu w zakresie zarządzania administracyjnego i budżetowego;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aa</w:t>
      </w:r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podejmuje</w:t>
      </w:r>
      <w:proofErr w:type="gramEnd"/>
      <w:r w:rsidRPr="00152ED0">
        <w:rPr>
          <w:b/>
          <w:i/>
          <w:szCs w:val="24"/>
          <w:lang w:eastAsia="en-US"/>
        </w:rPr>
        <w:t xml:space="preserve"> decyzje w kwestiach przewidzianych w przepisach finansowych przyjętych zgodnie z art. 25, które nie są zarezerwowane dla zarządu na mocy niniejszego rozporządzenia;</w:t>
      </w:r>
      <w:r w:rsidR="004105D0">
        <w:rPr>
          <w:b/>
          <w:szCs w:val="24"/>
          <w:lang w:eastAsia="en-US"/>
        </w:rPr>
        <w:t xml:space="preserve"> [Popr. 71]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przygotowuje</w:t>
      </w:r>
      <w:proofErr w:type="gramEnd"/>
      <w:r w:rsidRPr="00152ED0">
        <w:rPr>
          <w:szCs w:val="24"/>
          <w:lang w:eastAsia="en-US"/>
        </w:rPr>
        <w:t xml:space="preserve"> decyzje, które mają zostać przyjęte przez zarząd;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zapewnia</w:t>
      </w:r>
      <w:proofErr w:type="gramEnd"/>
      <w:r w:rsidRPr="00152ED0">
        <w:rPr>
          <w:szCs w:val="24"/>
          <w:lang w:eastAsia="en-US"/>
        </w:rPr>
        <w:t>, wraz z zarządem, podjęcie odpowiednich działań następczych w odniesieniu do ustaleń i zaleceń wynikających ze sprawozdań z wewnętrznych lub zewnętrznych audytów oraz ocen, jak również z dochodzeń OLAF-u i EPPO.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3.</w:t>
      </w:r>
      <w:r w:rsidRPr="00152ED0">
        <w:rPr>
          <w:szCs w:val="24"/>
          <w:lang w:eastAsia="en-US"/>
        </w:rPr>
        <w:tab/>
        <w:t>W przypadku pilnej potrzeby rada wykonawcza może podejmować określone decyzje tymczasowe w imieniu zarządu, w szczególności w kwestiach zarządzania administracyjnego, w tym w zakresie zawieszenia przekazania uprawnień organu powołującego oraz w kwestiach związanych z budżetem.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W skład rady wykonawczej wchodzą: przewodniczący</w:t>
      </w:r>
      <w:r w:rsidRPr="00152ED0">
        <w:rPr>
          <w:b/>
          <w:i/>
          <w:szCs w:val="24"/>
          <w:lang w:eastAsia="en-US"/>
        </w:rPr>
        <w:t xml:space="preserve"> i wiceprzewodniczący</w:t>
      </w:r>
      <w:r w:rsidRPr="00152ED0">
        <w:rPr>
          <w:szCs w:val="24"/>
          <w:lang w:eastAsia="en-US"/>
        </w:rPr>
        <w:t xml:space="preserve"> zarządu, jeden przedstawiciel Komisji w zarządzie i trzech innych członków mianowanych przez zarząd spośród jego członków z prawem głosu. Przewodniczący zarządu jest również przewodniczącym rady wykonawczej. Dyrektor wykonawczy bierze udział w posiedzeniach rady wykonawczej, ale nie ma prawa głosu.</w:t>
      </w:r>
      <w:r w:rsidRPr="00152ED0">
        <w:rPr>
          <w:b/>
          <w:i/>
          <w:szCs w:val="24"/>
          <w:lang w:eastAsia="en-US"/>
        </w:rPr>
        <w:t xml:space="preserve"> Rada wykonawcza może zapraszać innych obserwatorów do udziału w swoich posiedzeniach.</w:t>
      </w:r>
      <w:r w:rsidR="004105D0">
        <w:rPr>
          <w:b/>
          <w:szCs w:val="24"/>
          <w:lang w:eastAsia="en-US"/>
        </w:rPr>
        <w:t xml:space="preserve"> [Popr. 72]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5.</w:t>
      </w:r>
      <w:r w:rsidRPr="00152ED0">
        <w:rPr>
          <w:szCs w:val="24"/>
          <w:lang w:eastAsia="en-US"/>
        </w:rPr>
        <w:tab/>
        <w:t>Kadencja członków rady wykonawczej trwa cztery lata z możliwością przedłużenia. Kadencja członków rady wykonawczej kończy się wraz z zakończeniem ich członkostwa w zarządzie.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6.</w:t>
      </w:r>
      <w:r w:rsidRPr="00152ED0">
        <w:rPr>
          <w:szCs w:val="24"/>
          <w:lang w:eastAsia="en-US"/>
        </w:rPr>
        <w:tab/>
        <w:t>Rada wykonawcza odbywa co najmniej jedno posiedzenie zwyczajne co trzy miesiące. Ponadto zbiera się z inicjatywy przewodniczącego lub na wniosek jej członków.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6a.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Rada wykonawcza podejmuje decyzje w drodze konsensusu. Jeżeli rada wykonawcza nie może podjąć decyzji w drodze konsensusu, sprawa jest kierowana do zarządu.</w:t>
      </w:r>
      <w:r w:rsidR="004105D0">
        <w:rPr>
          <w:b/>
          <w:szCs w:val="24"/>
          <w:lang w:eastAsia="en-US"/>
        </w:rPr>
        <w:t xml:space="preserve"> [Popr. 73]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7.</w:t>
      </w:r>
      <w:r w:rsidRPr="00152ED0">
        <w:rPr>
          <w:szCs w:val="24"/>
          <w:lang w:eastAsia="en-US"/>
        </w:rPr>
        <w:tab/>
        <w:t>Zarząd ustanawia regulamin wewnętrzny rady wykonawczej.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ROZDZIAŁ V</w:t>
      </w:r>
      <w:r w:rsidRPr="00152ED0">
        <w:rPr>
          <w:szCs w:val="24"/>
          <w:lang w:eastAsia="en-US"/>
        </w:rPr>
        <w:br/>
        <w:t>DYREKTOR WYKONAWCZY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22</w:t>
      </w:r>
      <w:r w:rsidRPr="00152ED0">
        <w:rPr>
          <w:szCs w:val="24"/>
          <w:lang w:eastAsia="en-US"/>
        </w:rPr>
        <w:br/>
        <w:t xml:space="preserve">Powołanie, przedłużenie kadencji i odwołanie ze stanowiska 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</w:r>
      <w:r w:rsidR="004105D0" w:rsidRPr="001037DE">
        <w:t>Dyrektor wykonawczy jest powoływany przez zarząd w oparciu o posiadane przez niego kompetencje merytoryczne</w:t>
      </w:r>
      <w:r w:rsidR="004105D0" w:rsidRPr="001037DE">
        <w:rPr>
          <w:b/>
          <w:i/>
        </w:rPr>
        <w:t xml:space="preserve">, </w:t>
      </w:r>
      <w:r w:rsidR="004105D0" w:rsidRPr="001037DE">
        <w:t>umiejętności</w:t>
      </w:r>
      <w:r w:rsidR="004105D0" w:rsidRPr="001037DE">
        <w:rPr>
          <w:b/>
          <w:i/>
        </w:rPr>
        <w:t>, wiedzę ekspercką oraz</w:t>
      </w:r>
      <w:r w:rsidR="004105D0" w:rsidRPr="001037DE">
        <w:t> </w:t>
      </w:r>
      <w:r w:rsidR="004105D0" w:rsidRPr="001037DE">
        <w:rPr>
          <w:b/>
          <w:i/>
        </w:rPr>
        <w:t>dowiedzione kompetencje i doświadczenie związane z sektorem morskim</w:t>
      </w:r>
      <w:r w:rsidR="004105D0" w:rsidRPr="001037DE">
        <w:t xml:space="preserve"> spośród kandydatów z listy zaproponowanej przez Komisję po przeprowadzeniu otwartego i przejrzystego postępowania rekrutacyjnego, w toku którego zapewniono poszanowanie zasady równowagi płci.</w:t>
      </w:r>
      <w:r w:rsidR="004105D0">
        <w:rPr>
          <w:b/>
        </w:rPr>
        <w:t xml:space="preserve"> [Popr. 74]</w:t>
      </w:r>
    </w:p>
    <w:p w:rsidR="004105D0" w:rsidRDefault="004105D0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lastRenderedPageBreak/>
        <w:t>1a.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Dyrektor wykonawczy jest powoływany przez zarząd w oparciu o posiadane przez niego kompetencje merytoryczne, umiejętności, wiedzę ekspercką oraz dowiedzione kompetencje i doświadczenie związane z sektorem morskim spośród kandydatów z listy zaproponowanej przez Komisję po przeprowadzeniu otwartego i przejrzystego postępowania rekrutacyjnego, w toku którego zapewniono poszanowanie zasady równowagi płci.</w:t>
      </w:r>
      <w:r w:rsidR="004105D0">
        <w:rPr>
          <w:b/>
          <w:szCs w:val="24"/>
          <w:lang w:eastAsia="en-US"/>
        </w:rPr>
        <w:t xml:space="preserve"> [Popr. 75]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Do celu zawarcia umowy z dyrektorem wykonawczym Agencję reprezentuje przewodniczący zarządu.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Kadencja dyrektora wykonawczego trwa pięć lat. W odpowiednim czasie przed upływem tego okresu Komisja przeprowadza ocenę, w której uwzględnia się wyniki oceny pracy dyrektora wykonawczego oraz przyszłe zadania i wyzwania stojące przed Agencją.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Zarząd – działając na wniosek Komisji i z uwzględnieniem oceny, o której mowa w ust. 3 – może przedłużyć kadencję dyrektora wykonawczego jeden raz, na okres nie dłuższy niż pięć lat.</w:t>
      </w:r>
      <w:r w:rsidRPr="00152ED0">
        <w:rPr>
          <w:b/>
          <w:i/>
          <w:szCs w:val="24"/>
          <w:lang w:eastAsia="en-US"/>
        </w:rPr>
        <w:t xml:space="preserve"> Zarząd informuje Parlament Europejski i Radę o zamiarze przedłużenia mandatu dyrektora wykonawczego. Zanim zarząd podejmie decyzję o przedłużeniu mandatu, dyrektor wykonawczy może zostać poproszony o złożenie oświadczenia przed właściwą komisją Parlamentu Europejskiego i o udzielenie odpowiedzi na pytania jej członków.</w:t>
      </w:r>
      <w:r w:rsidR="004105D0">
        <w:rPr>
          <w:b/>
          <w:szCs w:val="24"/>
          <w:lang w:eastAsia="en-US"/>
        </w:rPr>
        <w:t xml:space="preserve"> [Popr. 76]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5.</w:t>
      </w:r>
      <w:r w:rsidRPr="00152ED0">
        <w:rPr>
          <w:szCs w:val="24"/>
          <w:lang w:eastAsia="en-US"/>
        </w:rPr>
        <w:tab/>
        <w:t>Dyrektor wykonawczy, którego kadencję przedłużono, nie może brać udziału w kolejnej procedurze wyboru na to samo stanowisko.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6.</w:t>
      </w:r>
      <w:r w:rsidRPr="00152ED0">
        <w:rPr>
          <w:szCs w:val="24"/>
          <w:lang w:eastAsia="en-US"/>
        </w:rPr>
        <w:tab/>
        <w:t>Dyrektor wykonawczy może zostać odwołany ze stanowiska jedynie decyzją zarządu działającego na wniosek Komisji.</w:t>
      </w:r>
      <w:r w:rsidRPr="00152ED0">
        <w:rPr>
          <w:b/>
          <w:i/>
          <w:szCs w:val="24"/>
          <w:lang w:eastAsia="en-US"/>
        </w:rPr>
        <w:t xml:space="preserve"> Parlament Europejski i Rada są informowane o powodach takiej decyzji w sposób zgodny z obowiązującymi wymogami dotyczącymi poufności.</w:t>
      </w:r>
      <w:r w:rsidR="004105D0">
        <w:rPr>
          <w:b/>
          <w:szCs w:val="24"/>
          <w:lang w:eastAsia="en-US"/>
        </w:rPr>
        <w:t xml:space="preserve"> [Popr. 77]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6a.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Zarząd podejmuje decyzje w sprawie powołania, przedłużenia kadencji lub odwołania ze stanowiska dyrektora wykonawczego większością dwóch trzecich głosów swoich członków z prawem głosu.</w:t>
      </w:r>
      <w:r w:rsidR="004105D0">
        <w:rPr>
          <w:b/>
          <w:szCs w:val="24"/>
          <w:lang w:eastAsia="en-US"/>
        </w:rPr>
        <w:t xml:space="preserve"> [Popr. 78]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7.</w:t>
      </w:r>
      <w:r w:rsidRPr="00152ED0">
        <w:rPr>
          <w:szCs w:val="24"/>
          <w:lang w:eastAsia="en-US"/>
        </w:rPr>
        <w:tab/>
        <w:t>Dyrektor wykonawczy zostaje zaangażowany jako pracownik Agencji zatrudniony na czas określony zgodnie z art. 2 lit. a) warunków zatrudnienia innych pracowników Unii Europejskiej.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23</w:t>
      </w:r>
      <w:r w:rsidRPr="00152ED0">
        <w:rPr>
          <w:szCs w:val="24"/>
          <w:lang w:eastAsia="en-US"/>
        </w:rPr>
        <w:br/>
        <w:t>Zadania i zakres obowiązków dyrektora wykonawczego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Dyrektor wykonawczy zarządza Agencją zgodnie z decyzjami zarządu i odpowiada przed zarządem.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Bez uszczerbku dla uprawnień Komisji, zarządu i rady wykonawczej, dyrektor wykonawczy jest niezależny w wykonywaniu swoich obowiązków i nie zwraca się o instrukcje ani ich nie przyjmuje od żadnego rządu ani jakiegokolwiek innego podmiotu.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Dyrektor wykonawczy na wezwanie Parlamentu Europejskiego informuje go o wykonywaniu swoich obowiązków. Rada może wezwać dyrektora wykonawczego do poinformowania jej o wykonywaniu powierzonych mu obowiązków.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Dyrektor wykonawczy jest przedstawicielem prawnym Agencji.</w:t>
      </w:r>
      <w:r w:rsidRPr="00152ED0">
        <w:rPr>
          <w:b/>
          <w:i/>
          <w:szCs w:val="24"/>
          <w:lang w:eastAsia="en-US"/>
        </w:rPr>
        <w:t xml:space="preserve"> A zatem dyrektor wykonawczy:</w:t>
      </w:r>
      <w:r w:rsidR="004105D0">
        <w:rPr>
          <w:b/>
          <w:szCs w:val="24"/>
          <w:lang w:eastAsia="en-US"/>
        </w:rPr>
        <w:t xml:space="preserve"> [Popr. 79]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a</w:t>
      </w:r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zapewnia</w:t>
      </w:r>
      <w:proofErr w:type="gramEnd"/>
      <w:r w:rsidRPr="00152ED0">
        <w:rPr>
          <w:b/>
          <w:i/>
          <w:szCs w:val="24"/>
          <w:lang w:eastAsia="en-US"/>
        </w:rPr>
        <w:t xml:space="preserve"> Komisji i państwom członkowskim pomoc techniczną i wiedzę fachową w kontekście posiedzeń IMO;</w:t>
      </w:r>
      <w:r w:rsidR="004105D0">
        <w:rPr>
          <w:b/>
          <w:szCs w:val="24"/>
          <w:lang w:eastAsia="en-US"/>
        </w:rPr>
        <w:t xml:space="preserve"> [Popr. 80]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b</w:t>
      </w:r>
      <w:proofErr w:type="gramStart"/>
      <w:r w:rsidRPr="00152ED0">
        <w:rPr>
          <w:b/>
          <w:i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ponosi</w:t>
      </w:r>
      <w:proofErr w:type="gramEnd"/>
      <w:r w:rsidRPr="00152ED0">
        <w:rPr>
          <w:b/>
          <w:i/>
          <w:szCs w:val="24"/>
          <w:lang w:eastAsia="en-US"/>
        </w:rPr>
        <w:t xml:space="preserve"> odpowiedzialność przed zarządem Agencji przy podejmowaniu trudnych politycznie decyzji w interesie Unii.</w:t>
      </w:r>
      <w:r w:rsidR="004105D0">
        <w:rPr>
          <w:b/>
          <w:szCs w:val="24"/>
          <w:lang w:eastAsia="en-US"/>
        </w:rPr>
        <w:t xml:space="preserve"> [Popr. 81]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5.</w:t>
      </w:r>
      <w:r w:rsidRPr="00152ED0">
        <w:rPr>
          <w:szCs w:val="24"/>
          <w:lang w:eastAsia="en-US"/>
        </w:rPr>
        <w:tab/>
        <w:t>Dyrektor wykonawczy odpowiada za realizację zadań powierzonych Agencji na mocy niniejszego rozporządzenia. Dyrektor wykonawczy w szczególności: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zapewnia</w:t>
      </w:r>
      <w:proofErr w:type="gramEnd"/>
      <w:r w:rsidRPr="00152ED0">
        <w:rPr>
          <w:strike/>
          <w:szCs w:val="24"/>
          <w:lang w:eastAsia="en-US"/>
        </w:rPr>
        <w:t xml:space="preserve"> zrównoważone i skuteczne</w:t>
      </w:r>
      <w:r w:rsidRPr="00152ED0">
        <w:rPr>
          <w:szCs w:val="24"/>
          <w:lang w:eastAsia="en-US"/>
        </w:rPr>
        <w:t xml:space="preserve"> bieżące kierowanie Agencją;</w:t>
      </w:r>
      <w:r w:rsidR="004105D0">
        <w:rPr>
          <w:b/>
          <w:szCs w:val="24"/>
          <w:lang w:eastAsia="en-US"/>
        </w:rPr>
        <w:t xml:space="preserve"> [Popr. 82]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organizuje</w:t>
      </w:r>
      <w:proofErr w:type="gramEnd"/>
      <w:r w:rsidRPr="00152ED0">
        <w:rPr>
          <w:szCs w:val="24"/>
          <w:lang w:eastAsia="en-US"/>
        </w:rPr>
        <w:t>, prowadzi i nadzoruje działalność i personel Agencji w granicach decyzji podejmowanych przez zarząd;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przygotowuje</w:t>
      </w:r>
      <w:proofErr w:type="gramEnd"/>
      <w:r w:rsidRPr="00152ED0">
        <w:rPr>
          <w:szCs w:val="24"/>
          <w:lang w:eastAsia="en-US"/>
        </w:rPr>
        <w:t xml:space="preserve"> i wykonuje decyzje przyjęte przez zarząd;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d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przygotowuje</w:t>
      </w:r>
      <w:proofErr w:type="gramEnd"/>
      <w:r w:rsidRPr="00152ED0">
        <w:rPr>
          <w:szCs w:val="24"/>
          <w:lang w:eastAsia="en-US"/>
        </w:rPr>
        <w:t xml:space="preserve"> projekty przepisów finansowych mających zastosowanie do Agencji i przedkłada je do przyjęcia przez zarząd;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e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opracowuje</w:t>
      </w:r>
      <w:proofErr w:type="gramEnd"/>
      <w:r w:rsidRPr="00152ED0">
        <w:rPr>
          <w:szCs w:val="24"/>
          <w:lang w:eastAsia="en-US"/>
        </w:rPr>
        <w:t xml:space="preserve"> preliminarz dochodów i wydatków Agencji zgodnie z art. 27 i wykonuje budżet zgodnie z art. 28;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f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przygotowuje</w:t>
      </w:r>
      <w:proofErr w:type="gramEnd"/>
      <w:r w:rsidRPr="00152ED0">
        <w:rPr>
          <w:szCs w:val="24"/>
          <w:lang w:eastAsia="en-US"/>
        </w:rPr>
        <w:t xml:space="preserve"> projekt jednolitego dokumentu programowego i przedkłada go do przyjęcia przez zarząd po konsultacji z Komisją co najmniej cztery tygodnie przed odpowiednim posiedzeniem zarządu;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g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wdraża</w:t>
      </w:r>
      <w:proofErr w:type="gramEnd"/>
      <w:r w:rsidRPr="00152ED0">
        <w:rPr>
          <w:szCs w:val="24"/>
          <w:lang w:eastAsia="en-US"/>
        </w:rPr>
        <w:t xml:space="preserve"> jednolity dokument programowy, dokonuje oceny postępów w stosunku do odpowiednich wskaźników i składa sprawozdania z jego wdrażania zarządowi;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h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przygotowuje</w:t>
      </w:r>
      <w:proofErr w:type="gramEnd"/>
      <w:r w:rsidRPr="00152ED0">
        <w:rPr>
          <w:szCs w:val="24"/>
          <w:lang w:eastAsia="en-US"/>
        </w:rPr>
        <w:t xml:space="preserve"> skonsolidowane roczne sprawozdanie z działalności Agencji oraz przedstawia je do oceny i przyjęcia przez zarząd;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i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odpowiada</w:t>
      </w:r>
      <w:proofErr w:type="gramEnd"/>
      <w:r w:rsidRPr="00152ED0">
        <w:rPr>
          <w:szCs w:val="24"/>
          <w:lang w:eastAsia="en-US"/>
        </w:rPr>
        <w:t xml:space="preserve"> na wszelkie wnioski o pomoc zgodnie z art. 17 ust. 5;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j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podejmuje</w:t>
      </w:r>
      <w:proofErr w:type="gramEnd"/>
      <w:r w:rsidRPr="00152ED0">
        <w:rPr>
          <w:szCs w:val="24"/>
          <w:lang w:eastAsia="en-US"/>
        </w:rPr>
        <w:t xml:space="preserve"> decyzje o przeprowadzaniu wizyt i inspekcji przewidzianych w art. 10, po konsultacji z Komisją i zgodnie z metodami przeprowadzania wizyt określonymi przez zarząd zgodnie z art. 16 ust. 1 lit. g);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k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podejmuje</w:t>
      </w:r>
      <w:proofErr w:type="gramEnd"/>
      <w:r w:rsidRPr="00152ED0">
        <w:rPr>
          <w:szCs w:val="24"/>
          <w:lang w:eastAsia="en-US"/>
        </w:rPr>
        <w:t xml:space="preserve"> decyzje o zawieraniu porozumień administracyjnych z innymi organami Unii działającymi w tych samych obszarach co Agencja, pod warunkiem że projekt porozumienia został najpierw przedstawiony do konsultacji Komisji i zarządowi zgodnie z art. 11 ust. 5 oraz że zarząd nie zgłosi sprzeciwu w ciągu czterech tygodni;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l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podejmuje</w:t>
      </w:r>
      <w:proofErr w:type="gramEnd"/>
      <w:r w:rsidRPr="00152ED0">
        <w:rPr>
          <w:szCs w:val="24"/>
          <w:lang w:eastAsia="en-US"/>
        </w:rPr>
        <w:t xml:space="preserve"> wszelkie niezbędne kroki, włączając w to przyjęcie wewnętrznych instrukcji administracyjnych oraz publikację komunikatów w celu zapewnienia funkcjonowania Agencji zgodnie z przepisami niniejszego rozporządzenia;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m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organizuje</w:t>
      </w:r>
      <w:proofErr w:type="gramEnd"/>
      <w:r w:rsidRPr="00152ED0">
        <w:rPr>
          <w:szCs w:val="24"/>
          <w:lang w:eastAsia="en-US"/>
        </w:rPr>
        <w:t xml:space="preserve"> skuteczny system monitorowania, aby umożliwić porównywanie osiągnięć Agencji z jej celami i zadaniami określonymi w niniejszym rozporządzeniu. W tym celu opracowuje, w porozumieniu z Komisją i zarządem, odpowiednio dostosowane wskaźniki wyników pozwalające na skuteczną ocenę osiągniętych rezultatów. Zapewnia regularne dostosowywanie struktury organizacyjnej Agencji do zmieniających się potrzeb w ramach dostępnych zasobów finansowych i ludzkich. W związku z tym dyrektor wykonawczy ustanawia procedury przeprowadzania regularnych ocen, spełniające uznane normy zawodowe;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n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ustanawia</w:t>
      </w:r>
      <w:proofErr w:type="gramEnd"/>
      <w:r w:rsidRPr="00152ED0">
        <w:rPr>
          <w:szCs w:val="24"/>
          <w:lang w:eastAsia="en-US"/>
        </w:rPr>
        <w:t xml:space="preserve"> skuteczny i wydajny system kontroli wewnętrznej i zapewnia jego funkcjonowanie oraz zgłasza zarządowi wszelkie istotne zmiany w tym systemie;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o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zapewnia</w:t>
      </w:r>
      <w:proofErr w:type="gramEnd"/>
      <w:r w:rsidRPr="00152ED0">
        <w:rPr>
          <w:szCs w:val="24"/>
          <w:lang w:eastAsia="en-US"/>
        </w:rPr>
        <w:t xml:space="preserve"> przeprowadzanie ocen ryzyka i zarządzania ryzykiem na potrzeby Agencji;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p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przygotowuje</w:t>
      </w:r>
      <w:proofErr w:type="gramEnd"/>
      <w:r w:rsidRPr="00152ED0">
        <w:rPr>
          <w:szCs w:val="24"/>
          <w:lang w:eastAsia="en-US"/>
        </w:rPr>
        <w:t xml:space="preserve"> plan działań następczych w następstwie wniosków ze sprawozdań z audytu wewnętrznego lub zewnętrznego oraz ocen, a także z dochodzeń przeprowadzonych przez OLAF i EPPO, o których mowa w art. 38, oraz składa dwa razy w roku Komisji, a regularnie – zarządowi, sprawozdania z postępów;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q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zapewnia</w:t>
      </w:r>
      <w:proofErr w:type="gramEnd"/>
      <w:r w:rsidRPr="00152ED0">
        <w:rPr>
          <w:szCs w:val="24"/>
          <w:lang w:eastAsia="en-US"/>
        </w:rPr>
        <w:t xml:space="preserve"> ochronę interesów finansowych Unii poprzez stosowanie środków zapobiegających nadużyciom finansowym, korupcji i wszelkiej innej nielegalnej działalności, bez uszczerbku dla kompetencji OLAF-u i EPPO w zakresie prowadzenia dochodzeń, poprzez skuteczne kontrole oraz – w przypadku stwierdzenia nieprawidłowości – odzyskiwanie kwot nienależnie wypłaconych, a także w razie potrzeby stosowanie skutecznych, proporcjonalnych i odstraszających kar administracyjnych, w tym kar pieniężnych;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r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przygotowuje</w:t>
      </w:r>
      <w:proofErr w:type="gramEnd"/>
      <w:r w:rsidRPr="00152ED0">
        <w:rPr>
          <w:szCs w:val="24"/>
          <w:lang w:eastAsia="en-US"/>
        </w:rPr>
        <w:t xml:space="preserve"> strategię zwalczania nadużyć finansowych, strategię osiągnięcia przyrostu wydajności i synergii, strategię współpracy z państwami trzecimi lub organizacjami międzynarodowymi albo strategię współpracy z państwami trzecimi i organizacjami międzynarodowymi oraz strategię zarządzania organizacyjnego i systemów kontroli wewnętrznej na potrzeby Agencji i przedstawia ją do zatwierdzenia przez zarząd;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s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promuje</w:t>
      </w:r>
      <w:proofErr w:type="gramEnd"/>
      <w:r w:rsidRPr="00152ED0">
        <w:rPr>
          <w:szCs w:val="24"/>
          <w:lang w:eastAsia="en-US"/>
        </w:rPr>
        <w:t xml:space="preserve"> różnorodność i zapewnia równowagę płci w zakresie rekrutacji pracowników Agencji;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t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rekrutuje</w:t>
      </w:r>
      <w:proofErr w:type="gramEnd"/>
      <w:r w:rsidRPr="00152ED0">
        <w:rPr>
          <w:szCs w:val="24"/>
          <w:lang w:eastAsia="en-US"/>
        </w:rPr>
        <w:t xml:space="preserve"> pracowników przy uwzględnieniu możliwie największego zasięgu geograficznego;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u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opracowuje</w:t>
      </w:r>
      <w:proofErr w:type="gramEnd"/>
      <w:r w:rsidRPr="00152ED0">
        <w:rPr>
          <w:szCs w:val="24"/>
          <w:lang w:eastAsia="en-US"/>
        </w:rPr>
        <w:t xml:space="preserve"> i wdraża politykę komunikacyjną Agencji;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v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wykonuje</w:t>
      </w:r>
      <w:proofErr w:type="gramEnd"/>
      <w:r w:rsidRPr="00152ED0">
        <w:rPr>
          <w:szCs w:val="24"/>
          <w:lang w:eastAsia="en-US"/>
        </w:rPr>
        <w:t xml:space="preserve"> wszelkie inne zadania powierzone lub przekazane mu przez zarząd lub wymagane zgodnie z niniejszym rozporządzeniem.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24</w:t>
      </w:r>
      <w:r w:rsidRPr="00152ED0">
        <w:rPr>
          <w:szCs w:val="24"/>
          <w:lang w:eastAsia="en-US"/>
        </w:rPr>
        <w:br/>
        <w:t>Uczestnictwo państw trzecich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Agencja pozostaje otwarta na uczestnictwo państw trzecich, które zawarły porozumienia z Unią, według których przyjęły i stosują się do prawa Unii w zakresie bezpieczeństwa morskiego, ochrony na morzu, zapobiegania zanieczyszczeniom powodowanym przez statki oraz działania w odpowiedzi na zanieczyszczenia powodowane przez statki.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Zgodnie z odpowiednimi przepisami takich umów Agencja po uzyskaniu opinii Komisji zawiera uzgodnienia określające rodzaj i zakres szczegółowych zasad uczestnictwa tych państw w działaniach Agencji, łącznie z przepisami dotyczącymi wkładów finansowych i pracowników.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ROZDZIAŁ VI</w:t>
      </w:r>
      <w:r w:rsidRPr="00152ED0">
        <w:rPr>
          <w:szCs w:val="24"/>
          <w:lang w:eastAsia="en-US"/>
        </w:rPr>
        <w:br/>
        <w:t>POSTANOWIENIA FINANSOWE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25</w:t>
      </w:r>
      <w:r w:rsidRPr="00152ED0">
        <w:rPr>
          <w:szCs w:val="24"/>
          <w:lang w:eastAsia="en-US"/>
        </w:rPr>
        <w:br/>
        <w:t>Przepisy finansowe</w:t>
      </w:r>
    </w:p>
    <w:p w:rsidR="00152ED0" w:rsidRPr="00152ED0" w:rsidRDefault="00152ED0" w:rsidP="00152ED0">
      <w:pPr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>Przepisy finansowe mające zastosowanie do Agencji przyjmuje zarząd po konsultacji z Komisją. Przepisy finansowe nie odbiegają od rozporządzenia delegowanego Komisji (UE) 2019/715, chyba że takie odstępstwo jest niezbędne ze względu na szczególne wymogi działalności Agencji i uzyskano wcześniejszą zgodę Komisji.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26</w:t>
      </w:r>
      <w:r w:rsidRPr="00152ED0">
        <w:rPr>
          <w:szCs w:val="24"/>
          <w:lang w:eastAsia="en-US"/>
        </w:rPr>
        <w:br/>
        <w:t>Budżet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Preliminarz wszystkich dochodów i wydatków Agencji jest przygotowywany w każdym roku budżetowym odpowiadającym rokowi kalendarzowemu i jest wykazywany w budżecie Agencji.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Dochody i wydatki wykazane w budżecie Agencji muszą się równoważyć.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3.</w:t>
      </w:r>
      <w:r w:rsidRPr="00152ED0">
        <w:rPr>
          <w:szCs w:val="24"/>
          <w:lang w:eastAsia="en-US"/>
        </w:rPr>
        <w:tab/>
        <w:t>Bez uszczerbku dla innych zasobów dochody Agencji obejmują: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a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wkład</w:t>
      </w:r>
      <w:proofErr w:type="gramEnd"/>
      <w:r w:rsidRPr="00152ED0">
        <w:rPr>
          <w:szCs w:val="24"/>
          <w:lang w:eastAsia="en-US"/>
        </w:rPr>
        <w:t xml:space="preserve"> Unii wpisany do budżetu ogólnego Unii Europejskiej i dotacje od organów unijnych;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b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ewentualne</w:t>
      </w:r>
      <w:proofErr w:type="gramEnd"/>
      <w:r w:rsidRPr="00152ED0">
        <w:rPr>
          <w:szCs w:val="24"/>
          <w:lang w:eastAsia="en-US"/>
        </w:rPr>
        <w:t xml:space="preserve"> wkłady państwa trzeciego, które uczestniczy w działaniach Agencji zgodnie z art. 24;</w:t>
      </w:r>
    </w:p>
    <w:p w:rsidR="00152ED0" w:rsidRPr="004105D0" w:rsidRDefault="00152ED0" w:rsidP="00152ED0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c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wszelkie</w:t>
      </w:r>
      <w:proofErr w:type="gramEnd"/>
      <w:r w:rsidRPr="00152ED0">
        <w:rPr>
          <w:szCs w:val="24"/>
          <w:lang w:eastAsia="en-US"/>
        </w:rPr>
        <w:t xml:space="preserve"> honoraria i opłaty za udostępnianie infrastruktury, przygotowywanie publikacji, prowadzenie szkoleń lub wszelkie inne usługi wchodzące w zakres niniejszego rozporządzenia, świadczone przez Agencję zgodnie z aktami </w:t>
      </w:r>
      <w:r w:rsidRPr="00152ED0">
        <w:rPr>
          <w:b/>
          <w:i/>
          <w:szCs w:val="24"/>
          <w:lang w:eastAsia="en-US"/>
        </w:rPr>
        <w:t xml:space="preserve">delegowanymi i </w:t>
      </w:r>
      <w:r w:rsidRPr="00152ED0">
        <w:rPr>
          <w:szCs w:val="24"/>
          <w:lang w:eastAsia="en-US"/>
        </w:rPr>
        <w:t>wykonawczymi</w:t>
      </w:r>
      <w:r w:rsidRPr="00152ED0">
        <w:rPr>
          <w:strike/>
          <w:szCs w:val="24"/>
          <w:lang w:eastAsia="en-US"/>
        </w:rPr>
        <w:t xml:space="preserve"> przyjętymi zgodnie z</w:t>
      </w:r>
      <w:r w:rsidRPr="00152ED0">
        <w:rPr>
          <w:b/>
          <w:i/>
          <w:szCs w:val="24"/>
          <w:lang w:eastAsia="en-US"/>
        </w:rPr>
        <w:t>, o których mowa w</w:t>
      </w:r>
      <w:r w:rsidRPr="00152ED0">
        <w:rPr>
          <w:szCs w:val="24"/>
          <w:lang w:eastAsia="en-US"/>
        </w:rPr>
        <w:t xml:space="preserve"> art. 33;</w:t>
      </w:r>
      <w:r w:rsidR="004105D0">
        <w:rPr>
          <w:b/>
          <w:szCs w:val="24"/>
          <w:lang w:eastAsia="en-US"/>
        </w:rPr>
        <w:t xml:space="preserve"> [Popr. 83]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zCs w:val="24"/>
          <w:lang w:eastAsia="en-US"/>
        </w:rPr>
        <w:t>d</w:t>
      </w:r>
      <w:proofErr w:type="gramStart"/>
      <w:r w:rsidRPr="00152ED0">
        <w:rPr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  <w:t>wszelkie</w:t>
      </w:r>
      <w:proofErr w:type="gramEnd"/>
      <w:r w:rsidRPr="00152ED0">
        <w:rPr>
          <w:szCs w:val="24"/>
          <w:lang w:eastAsia="en-US"/>
        </w:rPr>
        <w:t xml:space="preserve"> dobrowolne wkłady finansowe państw członkowskich, państw trzecich lub innych podmiotów, o ile wkłady takie są przejrzyste, jasno oznaczone w budżecie i nie zagrażają niezależności i bezstronności Agencji.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Wydatki Agencji obejmują wynagrodzenia pracowników, koszty administracyjne, koszty infrastruktury oraz koszty operacyjne.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27</w:t>
      </w:r>
      <w:r w:rsidRPr="00152ED0">
        <w:rPr>
          <w:szCs w:val="24"/>
          <w:lang w:eastAsia="en-US"/>
        </w:rPr>
        <w:br/>
        <w:t>Ustanawianie budżetu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Co roku dyrektor wykonawczy sporządza projekt preliminarza dochodów i wydatków Agencji na kolejny rok budżetowy, obejmujący również plan zatrudnienia, i przesyła go zarządowi.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Na podstawie tego projektu zarząd przyjmuje wstępny projekt preliminarza dochodów i wydatków Agencji na następny rok budżetowy.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Wstępny projekt preliminarza dochodów i wydatków Agencji przesyłany jest Komisji do dnia 31 stycznia każdego roku. Zarząd przesyła Komisji ostateczny projekt preliminarza do dnia 31 marca tegoż roku.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Preliminarz przesyłany jest przez Komisję władzy budżetowej wraz z projektem budżetu ogólnego Unii Europejskiej.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5.</w:t>
      </w:r>
      <w:r w:rsidRPr="00152ED0">
        <w:rPr>
          <w:szCs w:val="24"/>
          <w:lang w:eastAsia="en-US"/>
        </w:rPr>
        <w:tab/>
        <w:t>Na podstawie preliminarza Komisja wpisuje do projektu budżetu ogólnego Unii Europejskiej szacowane kwoty, jakie uważa za konieczne w odniesieniu do planu zatrudnienia, oraz kwotę dotacji, która obciąży budżet ogólny przedkładany władzy budżetowej zgodnie z art. 313 i 314 TFUE.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6.</w:t>
      </w:r>
      <w:r w:rsidRPr="00152ED0">
        <w:rPr>
          <w:szCs w:val="24"/>
          <w:lang w:eastAsia="en-US"/>
        </w:rPr>
        <w:tab/>
        <w:t>Władza budżetowa zatwierdza środki przewidziane na wkład dla Agencji.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7.</w:t>
      </w:r>
      <w:r w:rsidRPr="00152ED0">
        <w:rPr>
          <w:szCs w:val="24"/>
          <w:lang w:eastAsia="en-US"/>
        </w:rPr>
        <w:tab/>
        <w:t>Władza budżetowa przyjmuje też plan zatrudnienia dla Agencji.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8.</w:t>
      </w:r>
      <w:r w:rsidRPr="00152ED0">
        <w:rPr>
          <w:szCs w:val="24"/>
          <w:lang w:eastAsia="en-US"/>
        </w:rPr>
        <w:tab/>
        <w:t xml:space="preserve">Budżet Agencji jest </w:t>
      </w:r>
      <w:proofErr w:type="spellStart"/>
      <w:r w:rsidRPr="00152ED0">
        <w:rPr>
          <w:szCs w:val="24"/>
          <w:lang w:eastAsia="en-US"/>
        </w:rPr>
        <w:t>przyjmowanyprzez</w:t>
      </w:r>
      <w:proofErr w:type="spellEnd"/>
      <w:r w:rsidRPr="00152ED0">
        <w:rPr>
          <w:szCs w:val="24"/>
          <w:lang w:eastAsia="en-US"/>
        </w:rPr>
        <w:t xml:space="preserve"> zarząd</w:t>
      </w:r>
      <w:r w:rsidRPr="00152ED0">
        <w:rPr>
          <w:b/>
          <w:i/>
          <w:szCs w:val="24"/>
          <w:lang w:eastAsia="en-US"/>
        </w:rPr>
        <w:t xml:space="preserve"> większością dwóch trzecich głosów członków uprawnionych do głosowania</w:t>
      </w:r>
      <w:r w:rsidRPr="00152ED0">
        <w:rPr>
          <w:szCs w:val="24"/>
          <w:lang w:eastAsia="en-US"/>
        </w:rPr>
        <w:t>. Ostateczne jego zatwierdzenie następuje po ostatecznym przyjęciu budżetu ogólnego Unii Europejskiej. W stosownych przypadkach budżet jest odpowiednio dostosowywany.</w:t>
      </w:r>
      <w:r w:rsidR="004105D0">
        <w:rPr>
          <w:b/>
          <w:szCs w:val="24"/>
          <w:lang w:eastAsia="en-US"/>
        </w:rPr>
        <w:t xml:space="preserve"> [Popr. 84]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9.</w:t>
      </w:r>
      <w:r w:rsidRPr="00152ED0">
        <w:rPr>
          <w:szCs w:val="24"/>
          <w:lang w:eastAsia="en-US"/>
        </w:rPr>
        <w:tab/>
        <w:t>W przypadku projektów budowlanych, które mogą mieć znaczący wpływ na budżet Agencji, zastosowanie mają przepisy rozporządzenia delegowanego (UE) nr 2019</w:t>
      </w:r>
      <w:r w:rsidR="004105D0">
        <w:rPr>
          <w:szCs w:val="24"/>
          <w:lang w:eastAsia="en-US"/>
        </w:rPr>
        <w:t>/715</w:t>
      </w:r>
      <w:r w:rsidRPr="00152ED0">
        <w:rPr>
          <w:szCs w:val="24"/>
          <w:lang w:eastAsia="en-US"/>
        </w:rPr>
        <w:t>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28</w:t>
      </w:r>
      <w:r w:rsidRPr="00152ED0">
        <w:rPr>
          <w:szCs w:val="24"/>
          <w:lang w:eastAsia="en-US"/>
        </w:rPr>
        <w:br/>
        <w:t>Wykonanie budżetu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Dyrektor wykonawczy wykonuje budżet Agencji.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Co roku dyrektor wykonawczy przesyła władzy budżetowej wszelkie informacje istotne z punktu widzenia ustaleń procedur oceny.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29</w:t>
      </w:r>
      <w:r w:rsidRPr="00152ED0">
        <w:rPr>
          <w:szCs w:val="24"/>
          <w:lang w:eastAsia="en-US"/>
        </w:rPr>
        <w:br/>
        <w:t>Przedstawienie sprawozdania finansowego i absolutorium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Do dnia 1 marca następnego roku budżetowego księgowy Agencji przesyła wstępne sprawozdanie finansowe księgowemu Komisji oraz Trybunałowi Obrachunkowemu.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Do dnia 31 marca następnego roku budżetowego Agencja przesyła sprawozdanie z zarządzania budżetem i finansami Parlamentowi Europejskiemu, Radzie i Trybunałowi Obrachunkowemu.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Do dnia 31 marca następnego roku budżetowego księgowy Komisji przesyła Trybunałowi Obrachunkowemu wstępne sprawozdanie finansowe Agencji skonsolidowane ze sprawozdaniem finansowym Komisji.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Po otrzymaniu uwag Trybunału Obrachunkowego dotyczących wstępnego sprawozdania finansowego Agencji, zgodnie z art. 246 rozporządzenia finansowego, dyrektor wykonawczy sporządza na własną odpowiedzialność końcowe sprawozdanie finansowe Agencji i przedkłada je zarządowi w celu uzyskania jego opinii.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5.</w:t>
      </w:r>
      <w:r w:rsidRPr="00152ED0">
        <w:rPr>
          <w:szCs w:val="24"/>
          <w:lang w:eastAsia="en-US"/>
        </w:rPr>
        <w:tab/>
        <w:t>Zarząd wydaje opinię na temat końcowego sprawozdania finansowego Agencji.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6.</w:t>
      </w:r>
      <w:r w:rsidRPr="00152ED0">
        <w:rPr>
          <w:szCs w:val="24"/>
          <w:lang w:eastAsia="en-US"/>
        </w:rPr>
        <w:tab/>
        <w:t>Do dnia 1 lipca następującego po zakończeniu roku budżetowego księgowy przesyła końcowe sprawozdanie finansowe wraz z opinią zarządu Parlamentowi Europejskiemu, Radzie, Komisji i Trybunałowi Obrachunkowemu.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7.</w:t>
      </w:r>
      <w:r w:rsidRPr="00152ED0">
        <w:rPr>
          <w:szCs w:val="24"/>
          <w:lang w:eastAsia="en-US"/>
        </w:rPr>
        <w:tab/>
        <w:t xml:space="preserve">Końcowe sprawozdanie finansowe publikuje się w </w:t>
      </w:r>
      <w:bookmarkStart w:id="8" w:name="_GoBack"/>
      <w:r w:rsidRPr="00636B59">
        <w:rPr>
          <w:i/>
          <w:szCs w:val="24"/>
          <w:lang w:eastAsia="en-US"/>
        </w:rPr>
        <w:t>Dzienniku Urzędowym Unii Europejskiej</w:t>
      </w:r>
      <w:bookmarkEnd w:id="8"/>
      <w:r w:rsidRPr="00152ED0">
        <w:rPr>
          <w:szCs w:val="24"/>
          <w:lang w:eastAsia="en-US"/>
        </w:rPr>
        <w:t xml:space="preserve"> do dnia 15 listopada następnego roku budżetowego.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8.</w:t>
      </w:r>
      <w:r w:rsidRPr="00152ED0">
        <w:rPr>
          <w:szCs w:val="24"/>
          <w:lang w:eastAsia="en-US"/>
        </w:rPr>
        <w:tab/>
        <w:t>Do dnia 30 września dyrektor wykonawczy przesyła Trybunałowi Obrachunkowemu odpowiedź na jego uwagi. Dyrektor wykonawczy przesyła tę odpowiedź również zarządowi.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9.</w:t>
      </w:r>
      <w:r w:rsidRPr="00152ED0">
        <w:rPr>
          <w:szCs w:val="24"/>
          <w:lang w:eastAsia="en-US"/>
        </w:rPr>
        <w:tab/>
        <w:t>Dyrektor wykonawczy przedkłada Parlamentowi Europejskiemu, na jego wniosek, wszelkie informacje niezbędne do sprawnego zastosowania procedury udzielania absolutorium za dany rok budżetowy, zgodnie z art. 261 ust. 3 rozporządzenia finansowego.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10.</w:t>
      </w:r>
      <w:r w:rsidRPr="00152ED0">
        <w:rPr>
          <w:szCs w:val="24"/>
          <w:lang w:eastAsia="en-US"/>
        </w:rPr>
        <w:tab/>
        <w:t>Na zalecenie Rady, stanowiącej większością kwalifikowaną, do dnia 15 maja roku N + 2 Parlament Europejski udziela dyrektorowi wykonawczemu absolutorium z wykonania budżetu za rok budżetowy N.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ROZDZIAŁ VII</w:t>
      </w:r>
      <w:r w:rsidRPr="00152ED0">
        <w:rPr>
          <w:szCs w:val="24"/>
          <w:lang w:eastAsia="en-US"/>
        </w:rPr>
        <w:br/>
        <w:t>PERSONEL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30</w:t>
      </w:r>
      <w:r w:rsidRPr="00152ED0">
        <w:rPr>
          <w:szCs w:val="24"/>
          <w:lang w:eastAsia="en-US"/>
        </w:rPr>
        <w:br/>
        <w:t>Przepisy ogólne</w:t>
      </w:r>
    </w:p>
    <w:p w:rsidR="00152ED0" w:rsidRPr="00152ED0" w:rsidRDefault="00152ED0" w:rsidP="00152ED0">
      <w:pPr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>Do personelu Agencji mają zastosowanie Regulamin pracowniczy urzędników Unii Europejskiej i warunki zatrudnienia innych pracowników Unii Europejskiej oraz przepisy przyjęte w drodze porozumienia między instytucjami Unii w celu nadania skuteczności temu regulaminowi pracowniczemu i warunkom zatrudnienia innych pracowników.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31</w:t>
      </w:r>
      <w:r w:rsidRPr="00152ED0">
        <w:rPr>
          <w:szCs w:val="24"/>
          <w:lang w:eastAsia="en-US"/>
        </w:rPr>
        <w:br/>
        <w:t>Oddelegowani eksperci krajowi i inny personel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Agencja może korzystać z pomocy oddelegowanych ekspertów krajowych lub innych pracowników niezatrudnionych przez Agencję.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Zarząd przyjmuje decyzję określającą zasady oddelegowania ekspertów krajowych do Agencji.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ROZDZIAŁ VIII</w:t>
      </w:r>
      <w:r w:rsidRPr="00152ED0">
        <w:rPr>
          <w:szCs w:val="24"/>
          <w:lang w:eastAsia="en-US"/>
        </w:rPr>
        <w:br/>
        <w:t>PRZEPISY OGÓLNE I KOŃCOWE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32</w:t>
      </w:r>
      <w:r w:rsidRPr="00152ED0">
        <w:rPr>
          <w:szCs w:val="24"/>
          <w:lang w:eastAsia="en-US"/>
        </w:rPr>
        <w:br/>
        <w:t>Status prawny i siedziba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Agencja jest organem Unii i ma osobowość prawną.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W każdym państwie członkowskim Agencja korzysta ze zdolności prawnej i zdolności do czynności prawnych w najszerszym zakresie przyznawanym osobom prawnym przez prawo krajowe. Agencja może w szczególności nabywać oraz zbywać ruchomości i nieruchomości, a także może występować jako strona w postępowaniach sądowych.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Agencję reprezentuje dyrektor wykonawczy.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Siedziba Agencji znajduje się w Lizbonie w Republice Portugalskiej.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4a.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W celu uzyskania oszczędności finansowych Agencja, w stosownych przypadkach, ściśle współpracuje z innymi instytucjami, agencjami i organami Unii, w szczególności z tymi, które mają siedzibę w tym samym państwie członkowskim.</w:t>
      </w:r>
      <w:r w:rsidR="004105D0">
        <w:rPr>
          <w:b/>
          <w:szCs w:val="24"/>
          <w:lang w:eastAsia="en-US"/>
        </w:rPr>
        <w:t xml:space="preserve"> [Popr. 85]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5.</w:t>
      </w:r>
      <w:r w:rsidRPr="00152ED0">
        <w:rPr>
          <w:szCs w:val="24"/>
          <w:lang w:eastAsia="en-US"/>
        </w:rPr>
        <w:tab/>
        <w:t>Na wniosek Komisji zarząd może podjąć decyzję</w:t>
      </w:r>
      <w:r w:rsidRPr="00152ED0">
        <w:rPr>
          <w:b/>
          <w:i/>
          <w:szCs w:val="24"/>
          <w:lang w:eastAsia="en-US"/>
        </w:rPr>
        <w:t>, po poinformowaniu właściwej komisji Parlamentu Europejskiego</w:t>
      </w:r>
      <w:r w:rsidRPr="00152ED0">
        <w:rPr>
          <w:szCs w:val="24"/>
          <w:lang w:eastAsia="en-US"/>
        </w:rPr>
        <w:t>, za zgodą zainteresowanych państw członkowskich, we współpracy z nimi oraz z należytym uwzględnieniem wpływu na budżet, w tym jakichkolwiek wkładów, których mogą dokonać zainteresowane państwa członkowskie, o utworzeniu centrów regionalnych niezbędnych do realizacji zadań Agencji w najbardziej skuteczny i efektywny sposób. Podejmując taką decyzję, zarząd precyzyjnie określa zakres działań centrum regionalnego, unikając niepotrzebnych kosztów finansowych i wzmacniając współpracę z istniejącymi sieciami regionalnymi i krajowymi.</w:t>
      </w:r>
      <w:r w:rsidR="004105D0">
        <w:rPr>
          <w:b/>
          <w:szCs w:val="24"/>
          <w:lang w:eastAsia="en-US"/>
        </w:rPr>
        <w:t xml:space="preserve"> [Popr. 86]</w:t>
      </w:r>
    </w:p>
    <w:p w:rsidR="00152ED0" w:rsidRPr="004105D0" w:rsidRDefault="00152ED0" w:rsidP="00152ED0">
      <w:pPr>
        <w:spacing w:before="120" w:after="120" w:line="360" w:lineRule="auto"/>
        <w:jc w:val="center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Artykuł 33</w:t>
      </w:r>
      <w:r w:rsidRPr="00152ED0">
        <w:rPr>
          <w:szCs w:val="24"/>
          <w:lang w:eastAsia="en-US"/>
        </w:rPr>
        <w:br/>
      </w:r>
      <w:r w:rsidRPr="00152ED0">
        <w:rPr>
          <w:strike/>
          <w:szCs w:val="24"/>
          <w:lang w:eastAsia="en-US"/>
        </w:rPr>
        <w:t xml:space="preserve">Akty wykonawcze dotyczące honorariów i </w:t>
      </w:r>
      <w:proofErr w:type="spellStart"/>
      <w:r w:rsidRPr="00152ED0">
        <w:rPr>
          <w:strike/>
          <w:szCs w:val="24"/>
          <w:lang w:eastAsia="en-US"/>
        </w:rPr>
        <w:t>opłat</w:t>
      </w:r>
      <w:r w:rsidRPr="00152ED0">
        <w:rPr>
          <w:b/>
          <w:i/>
          <w:szCs w:val="24"/>
          <w:lang w:eastAsia="en-US"/>
        </w:rPr>
        <w:t>Honoraria</w:t>
      </w:r>
      <w:proofErr w:type="spellEnd"/>
      <w:r w:rsidRPr="00152ED0">
        <w:rPr>
          <w:b/>
          <w:i/>
          <w:szCs w:val="24"/>
          <w:lang w:eastAsia="en-US"/>
        </w:rPr>
        <w:t xml:space="preserve"> i opłaty</w:t>
      </w:r>
      <w:r w:rsidR="004105D0">
        <w:rPr>
          <w:b/>
          <w:szCs w:val="24"/>
          <w:lang w:eastAsia="en-US"/>
        </w:rPr>
        <w:t xml:space="preserve"> [Popr. 87]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trike/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</w:r>
      <w:r w:rsidRPr="00152ED0">
        <w:rPr>
          <w:strike/>
          <w:szCs w:val="24"/>
          <w:lang w:eastAsia="en-US"/>
        </w:rPr>
        <w:t>Zgodnie z zasadami określonymi w ust. 2, 3 i 4 Komisja przyjmuje akty wykonawcze określające: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trike/>
          <w:szCs w:val="24"/>
          <w:lang w:eastAsia="en-US"/>
        </w:rPr>
        <w:t>a</w:t>
      </w:r>
      <w:proofErr w:type="gramStart"/>
      <w:r w:rsidRPr="00152ED0">
        <w:rPr>
          <w:strike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strike/>
          <w:szCs w:val="24"/>
          <w:lang w:eastAsia="en-US"/>
        </w:rPr>
        <w:t>honoraria</w:t>
      </w:r>
      <w:proofErr w:type="gramEnd"/>
      <w:r w:rsidRPr="00152ED0">
        <w:rPr>
          <w:strike/>
          <w:szCs w:val="24"/>
          <w:lang w:eastAsia="en-US"/>
        </w:rPr>
        <w:t xml:space="preserve"> i opłaty pobierane przez Agencję, w szczególności w drodze stosowania art. 26 ust. 3 lit. c); oraz</w:t>
      </w:r>
    </w:p>
    <w:p w:rsidR="00152ED0" w:rsidRPr="00152ED0" w:rsidRDefault="00152ED0" w:rsidP="00152ED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152ED0">
        <w:rPr>
          <w:strike/>
          <w:szCs w:val="24"/>
          <w:lang w:eastAsia="en-US"/>
        </w:rPr>
        <w:t>b</w:t>
      </w:r>
      <w:proofErr w:type="gramStart"/>
      <w:r w:rsidRPr="00152ED0">
        <w:rPr>
          <w:strike/>
          <w:szCs w:val="24"/>
          <w:lang w:eastAsia="en-US"/>
        </w:rPr>
        <w:t>)</w:t>
      </w:r>
      <w:r w:rsidRPr="00152ED0">
        <w:rPr>
          <w:szCs w:val="24"/>
          <w:lang w:eastAsia="en-US"/>
        </w:rPr>
        <w:tab/>
      </w:r>
      <w:r w:rsidRPr="00152ED0">
        <w:rPr>
          <w:strike/>
          <w:szCs w:val="24"/>
          <w:lang w:eastAsia="en-US"/>
        </w:rPr>
        <w:t>warunki</w:t>
      </w:r>
      <w:proofErr w:type="gramEnd"/>
      <w:r w:rsidRPr="00152ED0">
        <w:rPr>
          <w:strike/>
          <w:szCs w:val="24"/>
          <w:lang w:eastAsia="en-US"/>
        </w:rPr>
        <w:t xml:space="preserve"> płatności.</w:t>
      </w:r>
    </w:p>
    <w:p w:rsidR="00152ED0" w:rsidRPr="004105D0" w:rsidRDefault="00152ED0" w:rsidP="00152ED0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152ED0">
        <w:rPr>
          <w:strike/>
          <w:szCs w:val="24"/>
          <w:lang w:eastAsia="en-US"/>
        </w:rPr>
        <w:t>Te akty wykonawcze przyjmuje się zgodnie z procedurą sprawdzającą, o której mowa w art. 34 ust. 2.</w:t>
      </w:r>
      <w:r w:rsidR="004105D0">
        <w:rPr>
          <w:b/>
          <w:strike/>
          <w:szCs w:val="24"/>
          <w:lang w:eastAsia="en-US"/>
        </w:rPr>
        <w:t xml:space="preserve"> </w:t>
      </w:r>
      <w:r w:rsidR="004105D0" w:rsidRPr="004105D0">
        <w:rPr>
          <w:b/>
          <w:szCs w:val="24"/>
          <w:lang w:eastAsia="en-US"/>
        </w:rPr>
        <w:t>[Popr. 88]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2.</w:t>
      </w:r>
      <w:r w:rsidRPr="00152ED0">
        <w:rPr>
          <w:szCs w:val="24"/>
          <w:lang w:eastAsia="en-US"/>
        </w:rPr>
        <w:tab/>
        <w:t>Za ewentualne usługi świadczone przez Agencję, w szczególności za wykonywanie zadań wchodzących w zakres jej kompetencji na rzecz państw trzecich i sektora, pobiera się honoraria i opłaty.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Wszelkie honoraria i opłaty są wyrażane i pobierane w euro. Honoraria i opłaty są ustalane w sposób przejrzysty, uczciwy i jednolity. W stosownych przypadkach uwzględnia się szczególne potrzeby małych i średnich przedsiębiorstw, w tym możliwość rozbicia płatności na kilka rat i etapów. Podział honorariów jest jasno odzwierciedlony w księgach rachunkowych. Termin uiszczenia honorariów i opłat jest ustalany w rozsądnej długości.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Kwotę honorariów i opłat ustala się na takim poziomie, by zapewnić, aby związany z nimi przychód był wystarczający do pokrycia pełnego kosztu świadczonych usług. W kosztach tych uwzględnia się w szczególności wszelkie wydatki Agencji związane z pracownikami zaangażowanymi w realizację czynności, o których mowa w ust. 2, w tym proporcjonalne składki wnoszone przez pracodawcę na rzecz programu emerytalnego. Jeżeli w wyniku świadczenia usług, z tytułu których pobierane są honoraria i opłaty, regularnie generowane jest dodatnie lub ujemne saldo środków, wysokość tych honorariów i opłat musi zostać obowiązkowo poddana weryfikacji. Te honoraria i opłaty stanowią dochody Agencji przeznaczone na określony cel.</w:t>
      </w:r>
    </w:p>
    <w:p w:rsidR="004105D0" w:rsidRDefault="004105D0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lastRenderedPageBreak/>
        <w:t>4a.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Komisja przyjmuje akty delegowane zgodnie z art. 33a w celu uzupełnienia niniejszego rozporządzenia przez określenie metodyki obliczania honorariów i opłat, o których mowa w ust. 2. Metodyka ta opiera się na zasadach określonych w ust. 3 i 4.</w:t>
      </w:r>
      <w:r w:rsidR="004105D0">
        <w:rPr>
          <w:b/>
          <w:szCs w:val="24"/>
          <w:lang w:eastAsia="en-US"/>
        </w:rPr>
        <w:t xml:space="preserve"> [Popr. 89]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4b.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Na podstawie metodyki określonej na podstawie ust. 4a Komisja przyjmuje akty wykonawcze określające honoraria i opłaty za świadczenie usług. Akty te przyjmuje się zgodnie z procedurą sprawdzającą, o której mowa w art. 34 ust. 2.</w:t>
      </w:r>
      <w:r w:rsidR="004105D0">
        <w:rPr>
          <w:b/>
          <w:szCs w:val="24"/>
          <w:lang w:eastAsia="en-US"/>
        </w:rPr>
        <w:t xml:space="preserve"> [Popr. 90]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Artykuł 33a</w:t>
      </w:r>
      <w:r w:rsidRPr="00152ED0">
        <w:rPr>
          <w:szCs w:val="24"/>
          <w:lang w:eastAsia="en-US"/>
        </w:rPr>
        <w:br/>
      </w:r>
      <w:r w:rsidRPr="00152ED0">
        <w:rPr>
          <w:b/>
          <w:i/>
          <w:szCs w:val="24"/>
          <w:lang w:eastAsia="en-US"/>
        </w:rPr>
        <w:t>Wykonywanie przekazanych uprawnień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Powierzenie Komisji uprawnień do przyjmowania aktów delegowanych podlega warunkom określonym w niniejszym artykule.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 xml:space="preserve">Uprawnienia do przyjmowania aktów delegowanych, o których mowa w art. 33 ust. 4a, powierza się Komisji na czas nieokreślony od dnia … [data wejścia w życie niniejszego rozporządzenia]. / </w:t>
      </w:r>
      <w:proofErr w:type="gramStart"/>
      <w:r w:rsidRPr="00152ED0">
        <w:rPr>
          <w:b/>
          <w:i/>
          <w:szCs w:val="24"/>
          <w:lang w:eastAsia="en-US"/>
        </w:rPr>
        <w:t>na</w:t>
      </w:r>
      <w:proofErr w:type="gramEnd"/>
      <w:r w:rsidRPr="00152ED0">
        <w:rPr>
          <w:b/>
          <w:i/>
          <w:szCs w:val="24"/>
          <w:lang w:eastAsia="en-US"/>
        </w:rPr>
        <w:t xml:space="preserve"> okres … lat od dnia …</w:t>
      </w:r>
    </w:p>
    <w:p w:rsidR="004105D0" w:rsidRDefault="004105D0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lastRenderedPageBreak/>
        <w:t>3.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Przekazanie uprawnień, o którym mowa w art. 33 ust. 4a, może zostać w dowolnym momencie odwołane przez Parlament Europejski lub przez Radę. Decyzja o odwołaniu kończy przekazanie określonych w niej uprawnień. Decyzja o odwołaniu staje się skuteczna następnego dnia po jej opublikowaniu w Dzienniku Urzędowym Unii Europejskiej lub w późniejszym terminie określonym w tej decyzji. Nie wpływa ona na ważność już obowiązujących aktów delegowanych.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Przed przyjęciem aktu delegowanego Komisja konsultuje się z ekspertami wyznaczonymi przez każde państwo członkowskie zgodnie z zasadami określonymi w Porozumieniu międzyinstytucjonalnym z dnia 13 kwietnia 2016 r. w sprawie lepszego stanowienia prawa.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5.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Niezwłocznie po przyjęciu aktu delegowanego Komisja przekazuje go równocześnie Parlamentowi Europejskiemu i Radzie.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b/>
          <w:i/>
          <w:szCs w:val="24"/>
          <w:lang w:eastAsia="en-US"/>
        </w:rPr>
        <w:t>6.</w:t>
      </w:r>
      <w:r w:rsidRPr="00152ED0">
        <w:rPr>
          <w:szCs w:val="24"/>
          <w:lang w:eastAsia="en-US"/>
        </w:rPr>
        <w:tab/>
      </w:r>
      <w:r w:rsidRPr="00152ED0">
        <w:rPr>
          <w:b/>
          <w:i/>
          <w:szCs w:val="24"/>
          <w:lang w:eastAsia="en-US"/>
        </w:rPr>
        <w:t>Akt delegowany przyjęty na podstawie art. 33 ust. 4a wchodzi w życie tylko wówczas, gdy ani Parlament Europejski, ani Rada nie wyraziły sprzeciwu w terminie dwóch miesięcy od przekazania tego aktu Parlamentowi Europejskiemu i Radzie, lub gdy, przed upływem tego terminu, zarówno Parlament Europejski, jak i Rada poinformowały Komisję, że nie wniosą sprzeciwu. Termin ten przedłuża się o dwa miesiące z inicjatywy Parlamentu Europejskiego lub Rady.</w:t>
      </w:r>
      <w:r w:rsidR="004105D0">
        <w:rPr>
          <w:b/>
          <w:szCs w:val="24"/>
          <w:lang w:eastAsia="en-US"/>
        </w:rPr>
        <w:t xml:space="preserve"> [Popr. 91]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34</w:t>
      </w:r>
      <w:r w:rsidRPr="00152ED0">
        <w:rPr>
          <w:szCs w:val="24"/>
          <w:lang w:eastAsia="en-US"/>
        </w:rPr>
        <w:br/>
        <w:t>Procedura komitetowa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Komisja jest wspierana przez Komitet ds. Bezpiecznych Mórz i Zapobiegania Zanieczyszczeniom Morza przez Statki (COSS) ustanowiony na mocy rozporządzenia (WE) nr 2099/2002 Parlamentu Europejskiego i Rady</w:t>
      </w:r>
      <w:r w:rsidRPr="00152ED0">
        <w:rPr>
          <w:szCs w:val="24"/>
          <w:vertAlign w:val="superscript"/>
          <w:lang w:val="en-GB" w:eastAsia="en-US"/>
        </w:rPr>
        <w:footnoteReference w:id="35"/>
      </w:r>
      <w:r w:rsidRPr="00152ED0">
        <w:rPr>
          <w:szCs w:val="24"/>
          <w:lang w:eastAsia="en-US"/>
        </w:rPr>
        <w:t>. Komitet ten jest komitetem w rozumieniu rozporządzenia (UE) nr 182/2011.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W przypadku odesłania do niniejszego ustępu stosuje się art. 5 rozporządzenia (UE) nr 182/2011.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35</w:t>
      </w:r>
      <w:r w:rsidRPr="00152ED0">
        <w:rPr>
          <w:szCs w:val="24"/>
          <w:lang w:eastAsia="en-US"/>
        </w:rPr>
        <w:br/>
        <w:t>Przywileje i immunitety</w:t>
      </w:r>
    </w:p>
    <w:p w:rsidR="00152ED0" w:rsidRPr="00152ED0" w:rsidRDefault="00152ED0" w:rsidP="00152ED0">
      <w:pPr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>Do Agencji i jej pracowników stosuje się Protokół w sprawie przywilejów i immunitetów Unii Europejskiej.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36</w:t>
      </w:r>
      <w:r w:rsidRPr="00152ED0">
        <w:rPr>
          <w:szCs w:val="24"/>
          <w:lang w:eastAsia="en-US"/>
        </w:rPr>
        <w:br/>
        <w:t>System językowy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Do Agencji mają zastosowanie przepisy rozporządzenia Rady nr 1</w:t>
      </w:r>
      <w:r w:rsidRPr="00152ED0">
        <w:rPr>
          <w:szCs w:val="24"/>
          <w:vertAlign w:val="superscript"/>
          <w:lang w:val="en-GB" w:eastAsia="en-US"/>
        </w:rPr>
        <w:footnoteReference w:id="36"/>
      </w:r>
      <w:r w:rsidRPr="00152ED0">
        <w:rPr>
          <w:szCs w:val="24"/>
          <w:lang w:eastAsia="en-US"/>
        </w:rPr>
        <w:t>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Usługi tłumaczeniowe niezbędne do funkcjonowania Agencji świadczy Centrum Tłumaczeń dla Organów Unii Europejskiej.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37</w:t>
      </w:r>
      <w:r w:rsidRPr="00152ED0">
        <w:rPr>
          <w:szCs w:val="24"/>
          <w:lang w:eastAsia="en-US"/>
        </w:rPr>
        <w:br/>
        <w:t>Przejrzystość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Do dokumentów posiadanych przez Agencję stosuje się rozporządzenie (WE) nr 1049/2001 Parlamentu Europejskiego i Rady</w:t>
      </w:r>
      <w:r w:rsidRPr="00152ED0">
        <w:rPr>
          <w:szCs w:val="24"/>
          <w:vertAlign w:val="superscript"/>
          <w:lang w:val="en-GB" w:eastAsia="en-US"/>
        </w:rPr>
        <w:footnoteReference w:id="37"/>
      </w:r>
      <w:r w:rsidRPr="00152ED0">
        <w:rPr>
          <w:szCs w:val="24"/>
          <w:lang w:eastAsia="en-US"/>
        </w:rPr>
        <w:t>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W terminie sześciu miesięcy od daty pierwszego posiedzenia zarząd przyjmuje szczegółowe zasady stosowania rozporządzenia (WE) nr 1049/2001.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Decyzje podjęte przez Agencję na mocy art. 8 rozporządzenia (WE) nr 1049/2001 mogą być przedmiotem skargi do Rzecznika Praw Obywatelskich lub może zostać przeciwko nim wniesiona skarga do Trybunału Sprawiedliwości Unii Europejskiej na warunkach określonych, odpowiednio, w art. 228 i 263 TFUE.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Przetwarzanie danych osobowych przez Agencję podlega rozporządzeniu Parlamentu Europejskiego i Rady (UE) 2018/1725</w:t>
      </w:r>
      <w:r w:rsidRPr="00152ED0">
        <w:rPr>
          <w:szCs w:val="24"/>
          <w:vertAlign w:val="superscript"/>
          <w:lang w:val="en-GB" w:eastAsia="en-US"/>
        </w:rPr>
        <w:footnoteReference w:id="38"/>
      </w:r>
      <w:r w:rsidRPr="00152ED0">
        <w:rPr>
          <w:szCs w:val="24"/>
          <w:lang w:eastAsia="en-US"/>
        </w:rPr>
        <w:t>.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38</w:t>
      </w:r>
      <w:r w:rsidRPr="00152ED0">
        <w:rPr>
          <w:szCs w:val="24"/>
          <w:lang w:eastAsia="en-US"/>
        </w:rPr>
        <w:br/>
        <w:t>Zwalczanie nadużyć finansowych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Aby ułatwić zwalczanie nadużyć finansowych, korupcji</w:t>
      </w:r>
      <w:r w:rsidRPr="00152ED0">
        <w:rPr>
          <w:b/>
          <w:i/>
          <w:szCs w:val="24"/>
          <w:lang w:eastAsia="en-US"/>
        </w:rPr>
        <w:t>, nadużyć stanowiska</w:t>
      </w:r>
      <w:r w:rsidRPr="00152ED0">
        <w:rPr>
          <w:szCs w:val="24"/>
          <w:lang w:eastAsia="en-US"/>
        </w:rPr>
        <w:t xml:space="preserve"> i innych nielegalnych działań zgodnie z rozporządzeniem (UE, </w:t>
      </w:r>
      <w:proofErr w:type="spellStart"/>
      <w:r w:rsidRPr="00152ED0">
        <w:rPr>
          <w:szCs w:val="24"/>
          <w:lang w:eastAsia="en-US"/>
        </w:rPr>
        <w:t>Euratom</w:t>
      </w:r>
      <w:proofErr w:type="spellEnd"/>
      <w:r w:rsidRPr="00152ED0">
        <w:rPr>
          <w:szCs w:val="24"/>
          <w:lang w:eastAsia="en-US"/>
        </w:rPr>
        <w:t>) nr 883/2013, Agencja przyjmuje odpowiednie przepisy mające zastosowanie do wszystkich pracowników Agencji.</w:t>
      </w:r>
      <w:r w:rsidR="004105D0">
        <w:rPr>
          <w:b/>
          <w:szCs w:val="24"/>
          <w:lang w:eastAsia="en-US"/>
        </w:rPr>
        <w:t xml:space="preserve"> [Popr. 92]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Europejski Trybunał Obrachunkowy jest uprawniony do przeprowadzania kontroli, na podstawie dokumentów i na miejscu, obejmujących wszystkich beneficjentów dotacji, wykonawców i podwykonawców, którzy otrzymują od Agencji unijne środki finansowe.</w:t>
      </w:r>
    </w:p>
    <w:p w:rsidR="00152ED0" w:rsidRPr="004105D0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 xml:space="preserve">Zgodnie z przepisami i procedurami określonymi w rozporządzeniu (UE, </w:t>
      </w:r>
      <w:proofErr w:type="spellStart"/>
      <w:r w:rsidRPr="00152ED0">
        <w:rPr>
          <w:szCs w:val="24"/>
          <w:lang w:eastAsia="en-US"/>
        </w:rPr>
        <w:t>Euratom</w:t>
      </w:r>
      <w:proofErr w:type="spellEnd"/>
      <w:r w:rsidRPr="00152ED0">
        <w:rPr>
          <w:szCs w:val="24"/>
          <w:lang w:eastAsia="en-US"/>
        </w:rPr>
        <w:t>) nr 883/2013 OLAF może prowadzić dochodzenia, w tym kontrole na miejscu i inspekcje, w celu ustalenia, czy doszło do nadużyć finansowych, korupcji</w:t>
      </w:r>
      <w:r w:rsidRPr="00152ED0">
        <w:rPr>
          <w:b/>
          <w:i/>
          <w:szCs w:val="24"/>
          <w:lang w:eastAsia="en-US"/>
        </w:rPr>
        <w:t>, nadużyć stanowiska</w:t>
      </w:r>
      <w:r w:rsidRPr="00152ED0">
        <w:rPr>
          <w:szCs w:val="24"/>
          <w:lang w:eastAsia="en-US"/>
        </w:rPr>
        <w:t xml:space="preserve"> lub jakichkolwiek innych nielegalnych działań naruszających interesy finansowe Unii w związku z dotacją lub zamówieniem finansowanymi przez Agencję.</w:t>
      </w:r>
      <w:r w:rsidR="004105D0">
        <w:rPr>
          <w:b/>
          <w:szCs w:val="24"/>
          <w:lang w:eastAsia="en-US"/>
        </w:rPr>
        <w:t xml:space="preserve"> [Popr. 93]</w:t>
      </w:r>
    </w:p>
    <w:p w:rsidR="004105D0" w:rsidRDefault="004105D0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4.</w:t>
      </w:r>
      <w:r w:rsidRPr="00152ED0">
        <w:rPr>
          <w:szCs w:val="24"/>
          <w:lang w:eastAsia="en-US"/>
        </w:rPr>
        <w:tab/>
        <w:t>Bez uszczerbku dla przepisów ust. 1, 2 i 3 zawierane przez Agencję umowy o współpracy z państwami trzecimi i organizacjami międzynarodowymi, składane przez nią zamówienia, zawierane przez nią umowy o udzielenie dotacji oraz decyzje o udzieleniu przez nią dotacji zawierają postanowienia wyraźnie upoważniające Europejski Trybunał Obrachunkowy, OLAF i EPPO do prowadzenia takich kontroli i dochodzeń zgodnie z ich odpowiednimi kompetencjami.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39</w:t>
      </w:r>
      <w:r w:rsidRPr="00152ED0">
        <w:rPr>
          <w:szCs w:val="24"/>
          <w:lang w:eastAsia="en-US"/>
        </w:rPr>
        <w:br/>
        <w:t>Przepisy bezpieczeństwa dotyczące ochrony informacji niejawnych oraz informacji szczególnie chronionych niebędących informacjami niejawnymi</w:t>
      </w:r>
    </w:p>
    <w:p w:rsidR="00152ED0" w:rsidRPr="00152ED0" w:rsidRDefault="00152ED0" w:rsidP="00152ED0">
      <w:pPr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 xml:space="preserve">Agencja przyjmuje własne przepisy bezpieczeństwa równoważne z przepisami bezpieczeństwa Komisji dotyczącymi ochrony informacji niejawnych UE (EUCI) oraz szczególnie chronionych informacji jawnych, zgodnie z decyzjami Komisji (UE, </w:t>
      </w:r>
      <w:proofErr w:type="spellStart"/>
      <w:r w:rsidRPr="00152ED0">
        <w:rPr>
          <w:szCs w:val="24"/>
          <w:lang w:eastAsia="en-US"/>
        </w:rPr>
        <w:t>Euratom</w:t>
      </w:r>
      <w:proofErr w:type="spellEnd"/>
      <w:r w:rsidRPr="00152ED0">
        <w:rPr>
          <w:szCs w:val="24"/>
          <w:lang w:eastAsia="en-US"/>
        </w:rPr>
        <w:t>) 2015/443</w:t>
      </w:r>
      <w:r w:rsidRPr="00152ED0">
        <w:rPr>
          <w:szCs w:val="24"/>
          <w:vertAlign w:val="superscript"/>
          <w:lang w:val="en-GB" w:eastAsia="en-US"/>
        </w:rPr>
        <w:footnoteReference w:id="39"/>
      </w:r>
      <w:r w:rsidRPr="00152ED0">
        <w:rPr>
          <w:szCs w:val="24"/>
          <w:lang w:eastAsia="en-US"/>
        </w:rPr>
        <w:t xml:space="preserve"> i 2015/444</w:t>
      </w:r>
      <w:r w:rsidRPr="00152ED0">
        <w:rPr>
          <w:szCs w:val="24"/>
          <w:vertAlign w:val="superscript"/>
          <w:lang w:val="en-GB" w:eastAsia="en-US"/>
        </w:rPr>
        <w:footnoteReference w:id="40"/>
      </w:r>
      <w:r w:rsidRPr="00152ED0">
        <w:rPr>
          <w:szCs w:val="24"/>
          <w:lang w:eastAsia="en-US"/>
        </w:rPr>
        <w:t>. Przepisy Agencji w zakresie bezpieczeństwa muszą obejmować przepisy dotyczące wymiany, przetwarzania i przechowywania takich informacji.</w:t>
      </w:r>
    </w:p>
    <w:p w:rsidR="00C8565B" w:rsidRDefault="00C8565B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40</w:t>
      </w:r>
      <w:r w:rsidRPr="00152ED0">
        <w:rPr>
          <w:szCs w:val="24"/>
          <w:lang w:eastAsia="en-US"/>
        </w:rPr>
        <w:br/>
        <w:t>Odpowiedzialność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Umowną odpowiedzialność Agencji określa ustawodawstwo mające zastosowanie do danej umowy.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Do wydawania wyroków na podstawie klauzuli arbitrażowej zamieszczonej w umowie zawartej przez Agencję właściwy jest Trybunał Sprawiedliwości Unii Europejskiej.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W przypadku odpowiedzialności pozaumownej Agencja naprawia szkodę wyrządzoną przez jej jednostki lub jej pracowników przy wykonywaniu ich obowiązków zgodnie z zasadami ogólnymi wspólnymi dla ustawodawstw państw członkowskich.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4.</w:t>
      </w:r>
      <w:r w:rsidRPr="00152ED0">
        <w:rPr>
          <w:szCs w:val="24"/>
          <w:lang w:eastAsia="en-US"/>
        </w:rPr>
        <w:tab/>
        <w:t>Do orzekania w sporach dotyczących odszkodowania za szkody, o których mowa w ust. 3, właściwy jest Trybunał Sprawiedliwości Unii Europejskiej.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5.</w:t>
      </w:r>
      <w:r w:rsidRPr="00152ED0">
        <w:rPr>
          <w:szCs w:val="24"/>
          <w:lang w:eastAsia="en-US"/>
        </w:rPr>
        <w:tab/>
        <w:t>Odpowiedzialność osobistą personelu wobec Agencji regulują przepisy określone w regulaminie pracowniczym lub warunkach zatrudnienia mające do niego zastosowanie.</w:t>
      </w:r>
    </w:p>
    <w:p w:rsidR="00C8565B" w:rsidRDefault="00C8565B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41</w:t>
      </w:r>
      <w:r w:rsidRPr="00152ED0">
        <w:rPr>
          <w:szCs w:val="24"/>
          <w:lang w:eastAsia="en-US"/>
        </w:rPr>
        <w:br/>
        <w:t>Ocena i przegląd</w:t>
      </w:r>
    </w:p>
    <w:p w:rsidR="00152ED0" w:rsidRPr="00C8565B" w:rsidRDefault="00152ED0" w:rsidP="00152ED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 xml:space="preserve">Nie później niż 5 lat od dnia [data wejścia w życie], a następnie co 5 lat Komisja przeprowadza ocenę w celu zbadania w szczególności wpływu, skuteczności i efektywności Agencji oraz </w:t>
      </w:r>
      <w:r w:rsidRPr="00152ED0">
        <w:rPr>
          <w:b/>
          <w:i/>
          <w:szCs w:val="24"/>
          <w:lang w:eastAsia="en-US"/>
        </w:rPr>
        <w:t xml:space="preserve">analizę kosztów i korzyści w odniesieniu do Agencji i </w:t>
      </w:r>
      <w:r w:rsidRPr="00152ED0">
        <w:rPr>
          <w:szCs w:val="24"/>
          <w:lang w:eastAsia="en-US"/>
        </w:rPr>
        <w:t>jej metod pracy. W ramach tej oceny uwzględnia się w szczególności ewentualną potrzebę zmodyfikowania mandatu Agencji i skutki finansowe takich modyfikacji.</w:t>
      </w:r>
      <w:r w:rsidR="00C8565B">
        <w:rPr>
          <w:b/>
          <w:szCs w:val="24"/>
          <w:lang w:eastAsia="en-US"/>
        </w:rPr>
        <w:t xml:space="preserve"> [Popr. 94]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2.</w:t>
      </w:r>
      <w:r w:rsidRPr="00152ED0">
        <w:rPr>
          <w:szCs w:val="24"/>
          <w:lang w:eastAsia="en-US"/>
        </w:rPr>
        <w:tab/>
        <w:t>Komisja przekazuje sprawozdanie z oceny wraz z wnioskami dotyczącymi sprawozdania do Parlamentu Europejskiego, Rady i zarządu. Ustalenia z oceny podaje się do wiadomości publicznej.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W ramach co drugiej oceny dokonuje się także oceny wyników osiągniętych przez Agencję z uwzględnieniem jej celów, mandatu i zadań. Jeśli Komisja uzna, że dalsze działanie Agencji w odniesieniu do powierzonych jej celów, mandatu i zadań nie jest już uzasadnione, może wnioskować o stosowną zmianę lub uchylenie niniejszego rozporządzenia.</w:t>
      </w:r>
    </w:p>
    <w:p w:rsidR="00C8565B" w:rsidRDefault="00C8565B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42</w:t>
      </w:r>
      <w:r w:rsidRPr="00152ED0">
        <w:rPr>
          <w:szCs w:val="24"/>
          <w:lang w:eastAsia="en-US"/>
        </w:rPr>
        <w:br/>
        <w:t>Dochodzenia administracyjne prowadzone przez Europejskiego Rzecznika Praw Obywatelskich</w:t>
      </w:r>
    </w:p>
    <w:p w:rsidR="00152ED0" w:rsidRPr="00152ED0" w:rsidRDefault="00152ED0" w:rsidP="00152ED0">
      <w:pPr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>Działania Agencji podlegają dochodzeniom prowadzonym przez Europejskiego Rzecznika Praw Obywatelskich zgodnie z postanowieniami art. 228 TFUE.</w:t>
      </w:r>
    </w:p>
    <w:p w:rsidR="00152ED0" w:rsidRPr="00636B59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636B59">
        <w:rPr>
          <w:szCs w:val="24"/>
          <w:lang w:eastAsia="en-US"/>
        </w:rPr>
        <w:t>Artykuł 43</w:t>
      </w:r>
      <w:r w:rsidRPr="00636B59">
        <w:rPr>
          <w:szCs w:val="24"/>
          <w:lang w:eastAsia="en-US"/>
        </w:rPr>
        <w:br/>
        <w:t>Przepisy przejściowe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1.</w:t>
      </w:r>
      <w:r w:rsidRPr="00152ED0">
        <w:rPr>
          <w:szCs w:val="24"/>
          <w:lang w:eastAsia="en-US"/>
        </w:rPr>
        <w:tab/>
        <w:t>Na zasadzie odstępstwa od art. 15 niniejszego rozporządzenia członkowie rady administracyjnej powołani na podstawie rozporządzenia (WE) nr 1406/2002 przed dniem [data wejścia w życie] pozostają na swoim stanowisku jako członkowie zarządu do czasu wygaśnięcia ich kadencji, bez uszczerbku dla praw każdego z państw członkowskich w zakresie mianowania nowych przedstawicieli.</w:t>
      </w:r>
    </w:p>
    <w:p w:rsidR="00C8565B" w:rsidRDefault="00C8565B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2.</w:t>
      </w:r>
      <w:r w:rsidRPr="00152ED0">
        <w:rPr>
          <w:szCs w:val="24"/>
          <w:lang w:eastAsia="en-US"/>
        </w:rPr>
        <w:tab/>
        <w:t>Dyrektor wykonawczy Agencji mianowany na podstawie art. 16 rozporządzenia (WE) nr 1406/2002 pozostaje na powierzonym mu stanowisku dyrektora wykonawczego, pełniąc zadania i obowiązki przewidziane w art. 23 niniejszego rozporządzenia. Jeżeli decyzja w sprawie przedłużenia mandatu dyrektora wykonawczego zgodnie z art. 16 ust. 2 rozporządzenia (UE) nr 1406/2002 zostanie przyjęta przed wejściem w życie niniejszego rozporządzenia, czas trwania rozszerzonego mandatu wyniesie 5 lat. Pozostałe warunki umowy pozostają niezmienione.</w:t>
      </w:r>
    </w:p>
    <w:p w:rsidR="00152ED0" w:rsidRPr="00152ED0" w:rsidRDefault="00152ED0" w:rsidP="00152ED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152ED0">
        <w:rPr>
          <w:szCs w:val="24"/>
          <w:lang w:eastAsia="en-US"/>
        </w:rPr>
        <w:t>3.</w:t>
      </w:r>
      <w:r w:rsidRPr="00152ED0">
        <w:rPr>
          <w:szCs w:val="24"/>
          <w:lang w:eastAsia="en-US"/>
        </w:rPr>
        <w:tab/>
        <w:t>Wejście w życie niniejszego rozporządzenia pozostaje bez uszczerbku dla wszystkich umów o pracę obowiązujących w dniu [data wejścia w życie].</w:t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t>Artykuł 44</w:t>
      </w:r>
      <w:r w:rsidRPr="00152ED0">
        <w:rPr>
          <w:szCs w:val="24"/>
          <w:lang w:eastAsia="en-US"/>
        </w:rPr>
        <w:br/>
        <w:t>Uchylenie</w:t>
      </w:r>
    </w:p>
    <w:p w:rsidR="00152ED0" w:rsidRPr="00152ED0" w:rsidRDefault="00152ED0" w:rsidP="00152ED0">
      <w:pPr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>Rozporządzenie (WE) nr 1406/2002 traci moc.</w:t>
      </w:r>
    </w:p>
    <w:p w:rsidR="00C8565B" w:rsidRDefault="00C8565B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152ED0" w:rsidRPr="00152ED0" w:rsidRDefault="00152ED0" w:rsidP="00152ED0">
      <w:pPr>
        <w:spacing w:before="120" w:after="120" w:line="360" w:lineRule="auto"/>
        <w:jc w:val="center"/>
        <w:rPr>
          <w:szCs w:val="24"/>
          <w:lang w:eastAsia="en-US"/>
        </w:rPr>
      </w:pPr>
      <w:r w:rsidRPr="00152ED0">
        <w:rPr>
          <w:szCs w:val="24"/>
          <w:lang w:eastAsia="en-US"/>
        </w:rPr>
        <w:lastRenderedPageBreak/>
        <w:t>Artykuł 45</w:t>
      </w:r>
      <w:r w:rsidRPr="00152ED0">
        <w:rPr>
          <w:szCs w:val="24"/>
          <w:lang w:eastAsia="en-US"/>
        </w:rPr>
        <w:br/>
        <w:t>Wejście w życie</w:t>
      </w:r>
    </w:p>
    <w:p w:rsidR="00152ED0" w:rsidRPr="00152ED0" w:rsidRDefault="00152ED0" w:rsidP="00152ED0">
      <w:pPr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 xml:space="preserve">Niniejsze rozporządzenie wchodzi w życie dwudziestego dnia po jego opublikowaniu w </w:t>
      </w:r>
      <w:r w:rsidRPr="00C8565B">
        <w:rPr>
          <w:i/>
          <w:szCs w:val="24"/>
          <w:lang w:eastAsia="en-US"/>
        </w:rPr>
        <w:t>Dzienniku Urzędowym Unii Europejskiej</w:t>
      </w:r>
      <w:r w:rsidRPr="00152ED0">
        <w:rPr>
          <w:szCs w:val="24"/>
          <w:lang w:eastAsia="en-US"/>
        </w:rPr>
        <w:t>.</w:t>
      </w:r>
    </w:p>
    <w:p w:rsidR="00152ED0" w:rsidRPr="00152ED0" w:rsidRDefault="00152ED0" w:rsidP="00152ED0">
      <w:pPr>
        <w:spacing w:before="120" w:after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>Niniejsze rozporządzenie wiąże w całości i jest bezpośrednio stosowane we wszystkich państwach członkowskich.</w:t>
      </w:r>
    </w:p>
    <w:p w:rsidR="00152ED0" w:rsidRPr="00152ED0" w:rsidRDefault="00152ED0" w:rsidP="00152ED0">
      <w:pPr>
        <w:keepNext/>
        <w:widowControl/>
        <w:spacing w:before="120" w:line="360" w:lineRule="auto"/>
        <w:rPr>
          <w:szCs w:val="24"/>
          <w:lang w:eastAsia="en-US"/>
        </w:rPr>
      </w:pPr>
      <w:r w:rsidRPr="00152ED0">
        <w:rPr>
          <w:szCs w:val="24"/>
          <w:lang w:eastAsia="en-US"/>
        </w:rPr>
        <w:t xml:space="preserve">Sporządzono w </w:t>
      </w:r>
      <w:r w:rsidR="00636B59">
        <w:rPr>
          <w:szCs w:val="24"/>
          <w:lang w:eastAsia="en-US"/>
        </w:rPr>
        <w:t>…</w:t>
      </w:r>
      <w:r w:rsidRPr="00152ED0">
        <w:rPr>
          <w:szCs w:val="24"/>
          <w:lang w:eastAsia="en-US"/>
        </w:rPr>
        <w:t xml:space="preserve"> dnia […] r.</w:t>
      </w:r>
    </w:p>
    <w:p w:rsidR="00152ED0" w:rsidRPr="00152ED0" w:rsidRDefault="00152ED0" w:rsidP="00152ED0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eastAsia="en-US"/>
        </w:rPr>
      </w:pPr>
      <w:r w:rsidRPr="00152ED0">
        <w:rPr>
          <w:i/>
          <w:szCs w:val="24"/>
          <w:lang w:eastAsia="en-US"/>
        </w:rPr>
        <w:t>W imieniu Parlamentu Europejskiego</w:t>
      </w:r>
      <w:r w:rsidRPr="00152ED0">
        <w:rPr>
          <w:i/>
          <w:szCs w:val="24"/>
          <w:lang w:eastAsia="en-US"/>
        </w:rPr>
        <w:tab/>
        <w:t>W imieniu Rady</w:t>
      </w:r>
    </w:p>
    <w:p w:rsidR="00483F15" w:rsidRPr="00636B59" w:rsidRDefault="00152ED0" w:rsidP="00636B59">
      <w:pPr>
        <w:widowControl/>
        <w:tabs>
          <w:tab w:val="left" w:pos="4252"/>
        </w:tabs>
        <w:spacing w:line="360" w:lineRule="auto"/>
        <w:rPr>
          <w:i/>
          <w:szCs w:val="24"/>
          <w:lang w:val="en-GB" w:eastAsia="en-US"/>
        </w:rPr>
      </w:pPr>
      <w:proofErr w:type="spellStart"/>
      <w:r w:rsidRPr="00152ED0">
        <w:rPr>
          <w:i/>
          <w:szCs w:val="24"/>
          <w:lang w:val="en-GB" w:eastAsia="en-US"/>
        </w:rPr>
        <w:t>Przewodnicząca</w:t>
      </w:r>
      <w:proofErr w:type="spellEnd"/>
      <w:r w:rsidRPr="00152ED0">
        <w:rPr>
          <w:i/>
          <w:szCs w:val="24"/>
          <w:lang w:val="en-GB" w:eastAsia="en-US"/>
        </w:rPr>
        <w:tab/>
      </w:r>
      <w:proofErr w:type="spellStart"/>
      <w:r w:rsidRPr="00152ED0">
        <w:rPr>
          <w:i/>
          <w:szCs w:val="24"/>
          <w:lang w:val="en-GB" w:eastAsia="en-US"/>
        </w:rPr>
        <w:t>Przewodniczący</w:t>
      </w:r>
      <w:proofErr w:type="spellEnd"/>
    </w:p>
    <w:sectPr w:rsidR="00483F15" w:rsidRPr="00636B59" w:rsidSect="00152ED0">
      <w:footnotePr>
        <w:numRestart w:val="eachSect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14C" w:rsidRPr="001037DE" w:rsidRDefault="00C3114C">
      <w:r w:rsidRPr="001037DE">
        <w:separator/>
      </w:r>
    </w:p>
  </w:endnote>
  <w:endnote w:type="continuationSeparator" w:id="0">
    <w:p w:rsidR="00C3114C" w:rsidRPr="001037DE" w:rsidRDefault="00C3114C">
      <w:r w:rsidRPr="001037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14C" w:rsidRPr="001037DE" w:rsidRDefault="00C3114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14C" w:rsidRPr="001037DE" w:rsidRDefault="00C3114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14C" w:rsidRPr="001037DE" w:rsidRDefault="00C311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14C" w:rsidRPr="001037DE" w:rsidRDefault="00C3114C">
      <w:r w:rsidRPr="001037DE">
        <w:separator/>
      </w:r>
    </w:p>
  </w:footnote>
  <w:footnote w:type="continuationSeparator" w:id="0">
    <w:p w:rsidR="00C3114C" w:rsidRPr="001037DE" w:rsidRDefault="00C3114C">
      <w:r w:rsidRPr="001037DE">
        <w:continuationSeparator/>
      </w:r>
    </w:p>
  </w:footnote>
  <w:footnote w:id="1">
    <w:p w:rsidR="00C3114C" w:rsidRPr="00537A72" w:rsidRDefault="00C3114C" w:rsidP="001037DE">
      <w:pPr>
        <w:pStyle w:val="FootnoteText"/>
        <w:ind w:left="567" w:hanging="567"/>
        <w:rPr>
          <w:sz w:val="24"/>
          <w:lang w:val="fi-FI"/>
        </w:rPr>
      </w:pPr>
      <w:r w:rsidRPr="001037DE">
        <w:rPr>
          <w:rStyle w:val="FootnoteReference"/>
          <w:sz w:val="24"/>
          <w:lang w:val="pl-PL"/>
        </w:rPr>
        <w:footnoteRef/>
      </w:r>
      <w:r w:rsidRPr="00537A72">
        <w:rPr>
          <w:sz w:val="24"/>
          <w:lang w:val="fi-FI"/>
        </w:rPr>
        <w:t xml:space="preserve"> </w:t>
      </w:r>
      <w:r w:rsidRPr="00537A72">
        <w:rPr>
          <w:sz w:val="24"/>
          <w:lang w:val="fi-FI"/>
        </w:rPr>
        <w:tab/>
      </w:r>
      <w:proofErr w:type="spellStart"/>
      <w:r w:rsidR="00C8565B">
        <w:rPr>
          <w:sz w:val="24"/>
          <w:lang w:val="fi-FI"/>
        </w:rPr>
        <w:t>Dz.U</w:t>
      </w:r>
      <w:proofErr w:type="spellEnd"/>
      <w:r w:rsidR="00C8565B">
        <w:rPr>
          <w:sz w:val="24"/>
          <w:lang w:val="fi-FI"/>
        </w:rPr>
        <w:t>.</w:t>
      </w:r>
      <w:r w:rsidRPr="00D16C5D">
        <w:rPr>
          <w:sz w:val="24"/>
          <w:lang w:val="fi-FI"/>
        </w:rPr>
        <w:t xml:space="preserve"> C, C/2023/873, 8.12.2023, ELI: http://data.europa.eu/eli/C/2023/873/oj</w:t>
      </w:r>
      <w:r w:rsidRPr="00537A72">
        <w:rPr>
          <w:sz w:val="24"/>
          <w:lang w:val="fi-FI"/>
        </w:rPr>
        <w:t>.</w:t>
      </w:r>
    </w:p>
  </w:footnote>
  <w:footnote w:id="2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Dz.U. </w:t>
      </w:r>
      <w:proofErr w:type="gramStart"/>
      <w:r w:rsidRPr="00152ED0">
        <w:rPr>
          <w:lang w:val="pl-PL"/>
        </w:rPr>
        <w:t>C  z</w:t>
      </w:r>
      <w:proofErr w:type="gramEnd"/>
      <w:r w:rsidRPr="00152ED0">
        <w:rPr>
          <w:lang w:val="pl-PL"/>
        </w:rPr>
        <w:t xml:space="preserve"> , s. .</w:t>
      </w:r>
    </w:p>
  </w:footnote>
  <w:footnote w:id="3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Dz.U. </w:t>
      </w:r>
      <w:proofErr w:type="gramStart"/>
      <w:r w:rsidRPr="00152ED0">
        <w:rPr>
          <w:lang w:val="pl-PL"/>
        </w:rPr>
        <w:t>C  z</w:t>
      </w:r>
      <w:proofErr w:type="gramEnd"/>
      <w:r w:rsidRPr="00152ED0">
        <w:rPr>
          <w:lang w:val="pl-PL"/>
        </w:rPr>
        <w:t xml:space="preserve"> , s. .</w:t>
      </w:r>
    </w:p>
  </w:footnote>
  <w:footnote w:id="4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(WE) nr 1406/2002 Parlamentu Europejskiego i Rady z dnia 27 czerwca 2002 r. ustanawiające Europejską Agencję Bezpieczeństwa Morskiego (Dz.U. L 208 z 5.8.2002,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1).</w:t>
      </w:r>
    </w:p>
  </w:footnote>
  <w:footnote w:id="5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2005/35/WE Parlamentu Europejskiego i Rady z dnia 7 września 2005 r. w sprawie zanieczyszczeń pochodzących ze statków oraz wprowadzenia sankcji, w tym sankcji karnych, za przestępstwa związane z zanieczyszczeniami (Dz.U. L 255 z 30.9.2005,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11).</w:t>
      </w:r>
    </w:p>
  </w:footnote>
  <w:footnote w:id="6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Parlamentu Europejskiego i Rady 2009/16/WE z dnia 23 kwietnia 2009 r. w sprawie kontroli przeprowadzanej przez państwo portu (Dz.U. L 131 z 28.5.2009,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57).</w:t>
      </w:r>
    </w:p>
  </w:footnote>
  <w:footnote w:id="7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Parlamentu Europejskiego i Rady 2009/18/WE z dnia 23 kwietnia 2009 r. ustanawiająca podstawowe zasady regulujące dochodzenia w sprawach wypadków w sektorze transportu morskiego i zmieniająca dyrektywę Rady 1999/35/WE oraz dyrektywę 2002/59/WE Parlamentu Europejskiego i Rady (Dz.U. L 131 z 28.5.2009,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114).</w:t>
      </w:r>
    </w:p>
  </w:footnote>
  <w:footnote w:id="8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Parlamentu Europejskiego i Rady 2009/21/WE z dnia 23 kwietnia 2009 r. w sprawie zgodności z wymaganiami dotyczącymi państwa bandery (Dz.U. L 131 z 28.5.2009,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132).</w:t>
      </w:r>
    </w:p>
  </w:footnote>
  <w:footnote w:id="9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>https</w:t>
      </w:r>
      <w:proofErr w:type="gramStart"/>
      <w:r w:rsidRPr="00152ED0">
        <w:rPr>
          <w:lang w:val="pl-PL"/>
        </w:rPr>
        <w:t>://european-union</w:t>
      </w:r>
      <w:proofErr w:type="gramEnd"/>
      <w:r w:rsidRPr="00152ED0">
        <w:rPr>
          <w:lang w:val="pl-PL"/>
        </w:rPr>
        <w:t>.</w:t>
      </w:r>
      <w:proofErr w:type="gramStart"/>
      <w:r w:rsidRPr="00152ED0">
        <w:rPr>
          <w:lang w:val="pl-PL"/>
        </w:rPr>
        <w:t>europa</w:t>
      </w:r>
      <w:proofErr w:type="gramEnd"/>
      <w:r w:rsidRPr="00152ED0">
        <w:rPr>
          <w:lang w:val="pl-PL"/>
        </w:rPr>
        <w:t>.</w:t>
      </w:r>
      <w:proofErr w:type="gramStart"/>
      <w:r w:rsidRPr="00152ED0">
        <w:rPr>
          <w:lang w:val="pl-PL"/>
        </w:rPr>
        <w:t>eu</w:t>
      </w:r>
      <w:proofErr w:type="gramEnd"/>
      <w:r w:rsidRPr="00152ED0">
        <w:rPr>
          <w:lang w:val="pl-PL"/>
        </w:rPr>
        <w:t>/system/files/2022-06/joint_statement_on_decentralised_agencies_en.</w:t>
      </w:r>
      <w:proofErr w:type="gramStart"/>
      <w:r w:rsidRPr="00152ED0">
        <w:rPr>
          <w:lang w:val="pl-PL"/>
        </w:rPr>
        <w:t>pdf</w:t>
      </w:r>
      <w:proofErr w:type="gramEnd"/>
    </w:p>
  </w:footnote>
  <w:footnote w:id="10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delegowane Komisji (UE) 2019/715 z dnia 18 grudnia 2018 r. w sprawie ramowego rozporządzenia finansowego dotyczącego organów utworzonych na podstawie </w:t>
      </w:r>
      <w:proofErr w:type="spellStart"/>
      <w:r w:rsidRPr="00152ED0">
        <w:rPr>
          <w:lang w:val="pl-PL"/>
        </w:rPr>
        <w:t>TFUE</w:t>
      </w:r>
      <w:proofErr w:type="spellEnd"/>
      <w:r w:rsidRPr="00152ED0">
        <w:rPr>
          <w:lang w:val="pl-PL"/>
        </w:rPr>
        <w:t xml:space="preserve"> oraz Traktatu </w:t>
      </w:r>
      <w:proofErr w:type="spellStart"/>
      <w:r w:rsidRPr="00152ED0">
        <w:rPr>
          <w:lang w:val="pl-PL"/>
        </w:rPr>
        <w:t>Euratom</w:t>
      </w:r>
      <w:proofErr w:type="spellEnd"/>
      <w:r w:rsidRPr="00152ED0">
        <w:rPr>
          <w:lang w:val="pl-PL"/>
        </w:rPr>
        <w:t xml:space="preserve">, o których mowa w art. 70 rozporządzenia Parlamentu Europejskiego i Rady (UE, </w:t>
      </w:r>
      <w:proofErr w:type="spellStart"/>
      <w:r w:rsidRPr="00152ED0">
        <w:rPr>
          <w:lang w:val="pl-PL"/>
        </w:rPr>
        <w:t>Euratom</w:t>
      </w:r>
      <w:proofErr w:type="spellEnd"/>
      <w:r w:rsidRPr="00152ED0">
        <w:rPr>
          <w:lang w:val="pl-PL"/>
        </w:rPr>
        <w:t xml:space="preserve">) 2018/1046 (Dz.U. L 122 z 10.5.2019,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1).</w:t>
      </w:r>
    </w:p>
  </w:footnote>
  <w:footnote w:id="11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Parlamentu Europejskiego i Rady (UE) 2019/883 z dnia 17 kwietnia 2019 r. w sprawie portowych urządzeń do odbioru odpadów ze statków, zmieniająca dyrektywę 2010/65/UE i uchylająca dyrektywę 2000/59/WE (Dz.U. L 151 z 7.6.2019,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116).</w:t>
      </w:r>
    </w:p>
  </w:footnote>
  <w:footnote w:id="12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Parlamentu Europejskiego i Rady 2008/56/WE z dnia 17 czerwca 2008 r. ustanawiająca ramy działań Wspólnoty w dziedzinie polityki środowiska morskiego (dyrektywa ramowa w sprawie strategii morskiej) (Dz.U. L 164 z 25.6.2008,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19).</w:t>
      </w:r>
    </w:p>
  </w:footnote>
  <w:footnote w:id="13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Parlamentu Europejskiego i Rady (UE) 2016/802 z dnia 11 maja 2016 r. odnosząca się do redukcji zawartości siarki w niektórych paliwach ciekłych (Dz.U. L 132 z 21.5.2016,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58).</w:t>
      </w:r>
    </w:p>
  </w:footnote>
  <w:footnote w:id="14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Parlamentu Europejskiego i Rady (UE) 2015/757 z dnia 29 kwietnia 2015 r. w sprawie monitorowania, raportowania i weryfikacji emisji dwutlenku węgla z transportu morskiego oraz zmiany dyrektywy 2009/16/WE (Dz.U. L 123 z 19.5.2015,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55).</w:t>
      </w:r>
    </w:p>
  </w:footnote>
  <w:footnote w:id="15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2003/87/WE Parlamentu Europejskiego i Rady z dnia 13 października 2003 r. ustanawiająca system handlu przydziałami emisji gazów cieplarnianych w Unii oraz zmieniająca dyrektywę Rady 96/61/WE (Dz.U. L 275 z 25.10.2003,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32).</w:t>
      </w:r>
    </w:p>
  </w:footnote>
  <w:footnote w:id="16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(WE) nr 725/2004 Parlamentu Europejskiego i Rady z dnia 31 marca 2004 r. w </w:t>
      </w:r>
      <w:proofErr w:type="spellStart"/>
      <w:r w:rsidRPr="00152ED0">
        <w:rPr>
          <w:lang w:val="pl-PL"/>
        </w:rPr>
        <w:t>sprawiewzmocnienia</w:t>
      </w:r>
      <w:proofErr w:type="spellEnd"/>
      <w:r w:rsidRPr="00152ED0">
        <w:rPr>
          <w:lang w:val="pl-PL"/>
        </w:rPr>
        <w:t xml:space="preserve"> ochrony statków i obiektów portowych, Dz.U. L 129 z 29.4.2004,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6.</w:t>
      </w:r>
    </w:p>
  </w:footnote>
  <w:footnote w:id="17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2002/59/WE Parlamentu Europejskiego i Rady z dnia 27 czerwca 2002 r. ustanawiająca wspólnotowy system monitorowania i informacji o ruchu statków i uchylająca dyrektywę Rady 93/75/EWG (Dz.U. L 208 z 5.8.2002,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10).</w:t>
      </w:r>
    </w:p>
  </w:footnote>
  <w:footnote w:id="18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Parlamentu Europejskiego i Rady (UE) 2019/1896 z dnia 13 listopada 2019 r. w sprawie Europejskiej Straży Granicznej i Przybrzeżnej oraz uchylenia rozporządzeń (UE) nr 1052/2013 i (UE) 2016/1624 (Dz.U. L 295 z 14.11.2019,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1).</w:t>
      </w:r>
    </w:p>
  </w:footnote>
  <w:footnote w:id="19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Parlamentu Europejskiego i Rady (UE) 2019/473 z dnia 19 marca 2019 r. w sprawie Europejskiej Agencji Kontroli Rybołówstwa (Dz.U. L 83 z 25.3.2019,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18).</w:t>
      </w:r>
    </w:p>
  </w:footnote>
  <w:footnote w:id="20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Parlamentu Europejskiego i Rady (UE) nr 182/2011 z dnia 16 lutego 2011 r. ustanawiające przepisy i zasady ogólne dotyczące trybu kontroli przez państwa członkowskie wykonywania uprawnień wykonawczych przez Komisję (Dz.U. L 55 z 28.2.2011,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13).</w:t>
      </w:r>
    </w:p>
  </w:footnote>
  <w:footnote w:id="21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</w:r>
      <w:r w:rsidRPr="00152ED0">
        <w:rPr>
          <w:b/>
          <w:i/>
          <w:lang w:val="pl-PL"/>
        </w:rPr>
        <w:t xml:space="preserve">Dz.U. L 123 z 12.5.2016, </w:t>
      </w:r>
      <w:proofErr w:type="gramStart"/>
      <w:r w:rsidRPr="00152ED0">
        <w:rPr>
          <w:b/>
          <w:i/>
          <w:lang w:val="pl-PL"/>
        </w:rPr>
        <w:t>s</w:t>
      </w:r>
      <w:proofErr w:type="gramEnd"/>
      <w:r w:rsidRPr="00152ED0">
        <w:rPr>
          <w:b/>
          <w:i/>
          <w:lang w:val="pl-PL"/>
        </w:rPr>
        <w:t>. 1.</w:t>
      </w:r>
    </w:p>
  </w:footnote>
  <w:footnote w:id="22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Parlamentu Europejskiego i Rady (UE, </w:t>
      </w:r>
      <w:proofErr w:type="spellStart"/>
      <w:r w:rsidRPr="00152ED0">
        <w:rPr>
          <w:lang w:val="pl-PL"/>
        </w:rPr>
        <w:t>Euratom</w:t>
      </w:r>
      <w:proofErr w:type="spellEnd"/>
      <w:r w:rsidRPr="00152ED0">
        <w:rPr>
          <w:lang w:val="pl-PL"/>
        </w:rPr>
        <w:t>) nr 883/2013 z dnia 11 września 2013 r. dotyczące dochodzeń prowadzonych przez Europejski Urząd ds. Zwalczania Nadużyć Finansowych (OLAF) oraz uchylające rozporządzenie (WE) nr 1073/1999 Parlamentu Europejskiego i Rady i rozporządzenie Rady (</w:t>
      </w:r>
      <w:proofErr w:type="spellStart"/>
      <w:r w:rsidRPr="00152ED0">
        <w:rPr>
          <w:lang w:val="pl-PL"/>
        </w:rPr>
        <w:t>Euratom</w:t>
      </w:r>
      <w:proofErr w:type="spellEnd"/>
      <w:r w:rsidRPr="00152ED0">
        <w:rPr>
          <w:lang w:val="pl-PL"/>
        </w:rPr>
        <w:t xml:space="preserve">) nr 1074/1999 (Dz.U. L 248 z 18.9.2013,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1).</w:t>
      </w:r>
    </w:p>
  </w:footnote>
  <w:footnote w:id="23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Dz.U. L 136 z 31.5.1999,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15.</w:t>
      </w:r>
    </w:p>
  </w:footnote>
  <w:footnote w:id="24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Parlamentu Europejskiego i Rady 2009/45/WE z dnia 6 maja 2009 r. w sprawie reguł i norm bezpieczeństwa statków pasażerskich (Dz.U. L 163 z 25.6.2009,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1).</w:t>
      </w:r>
    </w:p>
  </w:footnote>
  <w:footnote w:id="25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2003/25/WE Parlamentu Europejskiego i Rady z dnia 14 kwietnia 2003 r. w sprawie szczególnych wymogów stateczności dotyczących statków pasażerskich typu ro-ro (Dz.U. L 123 z 17.5.2003,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22).</w:t>
      </w:r>
    </w:p>
  </w:footnote>
  <w:footnote w:id="26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Rady 98/41/WE z dnia 18 czerwca 1998 r. w sprawie rejestracji osób podróżujących na pokładzie statków pasażerskich płynących do portów Państw Członkowskich Wspólnoty lub z portów Państw Członkowskich Wspólnoty (Dz.U. L 188 z 2.7.1998,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35).</w:t>
      </w:r>
    </w:p>
  </w:footnote>
  <w:footnote w:id="27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Parlamentu Europejskiego i Rady (WE) nr 391/2009 z dnia 23 kwietnia 2009 r. w sprawie wspólnych reguł i norm dotyczących organizacji dokonujących inspekcji i przeglądów na statkach (Dz.U. L 131 z 28.5.2009,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11).</w:t>
      </w:r>
    </w:p>
  </w:footnote>
  <w:footnote w:id="28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Parlamentu Europejskiego i Rady 2009/15/WE z dnia 23 kwietnia 2009 r. w sprawie wspólnych reguł i norm dotyczących organizacji dokonujących inspekcji i przeglądów na statkach oraz odpowiednich działań administracji morskich (Dz.U. L 131 z 28.5.2009,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47).</w:t>
      </w:r>
    </w:p>
  </w:footnote>
  <w:footnote w:id="29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Parlamentu Europejskiego i Rady 2014/90/UE z dnia 23 lipca 2014 r. w sprawie wyposażenia morskiego i uchylająca dyrektywę Rady 96/98/WE (Dz.U. L 257 z 28.8.2014,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146).</w:t>
      </w:r>
    </w:p>
  </w:footnote>
  <w:footnote w:id="30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Dyrektywa Parlamentu Europejskiego i Rady (UE) 2022/993 z dnia 8 czerwca 2022 r. w sprawie minimalnego poziomu wyszkolenia marynarzy (Dz.U. L 169 z 27.6.2022,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45).</w:t>
      </w:r>
    </w:p>
  </w:footnote>
  <w:footnote w:id="31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Decyzja Parlamentu Europejskiego i Rady nr 1313/2013/UE z dnia 17 grudnia 2013 r. w sprawie Unijnego Mechanizmu Ochrony Ludności (Dz.U. L 347 z 20.12.2013,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924).</w:t>
      </w:r>
    </w:p>
  </w:footnote>
  <w:footnote w:id="32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Parlamentu Europejskiego i Rady (UE) nr 1257/2013 z dnia 20 listopada 2013 r. w sprawie recyklingu statków oraz zmieniające rozporządzenie (WE) nr 1013/2006 i dyrektywę 2009/16/WE (Dz.U. L 330 z 10.12.2013,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1).</w:t>
      </w:r>
    </w:p>
  </w:footnote>
  <w:footnote w:id="33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Parlamentu Europejskiego i Rady (UE) 2019/1239 z dnia 20 czerwca 2019 r. ustanawiające europejski system morskich pojedynczych punktów kontaktowych i uchylające dyrektywę 2010/65/UE (Dz.U. L 198 z 25.7.2019,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64).</w:t>
      </w:r>
    </w:p>
  </w:footnote>
  <w:footnote w:id="34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Rady (EWG, </w:t>
      </w:r>
      <w:proofErr w:type="spellStart"/>
      <w:r w:rsidRPr="00152ED0">
        <w:rPr>
          <w:lang w:val="pl-PL"/>
        </w:rPr>
        <w:t>Euratom</w:t>
      </w:r>
      <w:proofErr w:type="spellEnd"/>
      <w:r w:rsidRPr="00152ED0">
        <w:rPr>
          <w:lang w:val="pl-PL"/>
        </w:rPr>
        <w:t xml:space="preserve">, </w:t>
      </w:r>
      <w:proofErr w:type="spellStart"/>
      <w:r w:rsidRPr="00152ED0">
        <w:rPr>
          <w:lang w:val="pl-PL"/>
        </w:rPr>
        <w:t>EWWiS</w:t>
      </w:r>
      <w:proofErr w:type="spellEnd"/>
      <w:r w:rsidRPr="00152ED0">
        <w:rPr>
          <w:lang w:val="pl-PL"/>
        </w:rPr>
        <w:t xml:space="preserve">) nr 259/68 z dnia 29 lutego 1968 r. ustanawiające regulamin pracowniczy urzędników Wspólnot Europejskich i warunki zatrudnienia innych pracowników Wspólnot oraz ustanawiające specjalne środki stosowane tymczasowo wobec urzędników Komisji (Dz.U. L 56 z 4.3.1968,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1).</w:t>
      </w:r>
    </w:p>
  </w:footnote>
  <w:footnote w:id="35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(WE) nr 2099/2002 Parlamentu Europejskiego i Rady z dnia 5 listopada 2002 r. ustanawiające Komitet ds. Bezpiecznych Mórz i Zapobiegania Zanieczyszczeniu Morza przez Statki (COSS) i zmieniające rozporządzenia dotyczące bezpieczeństwa na morzu i zapobiegania zanieczyszczeniom morza przez statki (Dz.U. L 324 z 29.11.2002,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1).</w:t>
      </w:r>
    </w:p>
  </w:footnote>
  <w:footnote w:id="36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Dz.U. 17 </w:t>
      </w:r>
      <w:proofErr w:type="gramStart"/>
      <w:r w:rsidRPr="00152ED0">
        <w:rPr>
          <w:lang w:val="pl-PL"/>
        </w:rPr>
        <w:t>z</w:t>
      </w:r>
      <w:proofErr w:type="gramEnd"/>
      <w:r w:rsidRPr="00152ED0">
        <w:rPr>
          <w:lang w:val="pl-PL"/>
        </w:rPr>
        <w:t xml:space="preserve"> 6.10.1958,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385/58. Rozporządzenie ostatnio zmienione rozporządzeniem (WE) nr 1791/2006 z dnia 20 listopada 2006 r. dostosowującym niektóre rozporządzenia i decyzje w związku z przystąpieniem Bułgarii i Rumunii.</w:t>
      </w:r>
    </w:p>
  </w:footnote>
  <w:footnote w:id="37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(WE) nr 1049/2001 Parlamentu Europejskiego i Rady z dnia 30 maja 2001 r. w sprawie publicznego dostępu do dokumentów Parlamentu Europejskiego, Rady i Komisji (Dz.U. L 145 z 31.5.2001,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43).</w:t>
      </w:r>
    </w:p>
  </w:footnote>
  <w:footnote w:id="38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Rozporządzenie Parlamentu Europejskiego i Rady (UE) 2018/1725 z dnia 23 października 2018 r. w sprawie ochrony osób fizycznych w związku z przetwarzaniem danych osobowych przez instytucje, organy i jednostki organizacyjne Unii i swobodnego przepływu takich danych oraz uchylenia rozporządzenia (WE) nr 45/2001 i decyzji nr 1247/2002/WE (Dz.U. L 295 z 21.11.2018,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39).</w:t>
      </w:r>
    </w:p>
  </w:footnote>
  <w:footnote w:id="39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Decyzja Komisji (UE, </w:t>
      </w:r>
      <w:proofErr w:type="spellStart"/>
      <w:r w:rsidRPr="00152ED0">
        <w:rPr>
          <w:lang w:val="pl-PL"/>
        </w:rPr>
        <w:t>Euratom</w:t>
      </w:r>
      <w:proofErr w:type="spellEnd"/>
      <w:r w:rsidRPr="00152ED0">
        <w:rPr>
          <w:lang w:val="pl-PL"/>
        </w:rPr>
        <w:t xml:space="preserve">) 2015/443 z dnia 13 marca 2015 r. w sprawie bezpieczeństwa w Komisji (Dz.U. L 72 z 17.3.2015,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41).</w:t>
      </w:r>
    </w:p>
  </w:footnote>
  <w:footnote w:id="40">
    <w:p w:rsidR="00C3114C" w:rsidRPr="00152ED0" w:rsidRDefault="00C3114C" w:rsidP="00152ED0">
      <w:pPr>
        <w:pStyle w:val="FootnoteTextForceStyle"/>
        <w:rPr>
          <w:lang w:val="pl-PL"/>
        </w:rPr>
      </w:pPr>
      <w:r>
        <w:rPr>
          <w:vertAlign w:val="superscript"/>
        </w:rPr>
        <w:footnoteRef/>
      </w:r>
      <w:r w:rsidRPr="00152ED0">
        <w:rPr>
          <w:lang w:val="pl-PL"/>
        </w:rPr>
        <w:tab/>
        <w:t xml:space="preserve">Decyzja Komisji (UE, </w:t>
      </w:r>
      <w:proofErr w:type="spellStart"/>
      <w:r w:rsidRPr="00152ED0">
        <w:rPr>
          <w:lang w:val="pl-PL"/>
        </w:rPr>
        <w:t>Euratom</w:t>
      </w:r>
      <w:proofErr w:type="spellEnd"/>
      <w:r w:rsidRPr="00152ED0">
        <w:rPr>
          <w:lang w:val="pl-PL"/>
        </w:rPr>
        <w:t xml:space="preserve">) 2015/444 z dnia 13 marca 2015 r. w sprawie przepisów bezpieczeństwa dotyczących ochrony informacji niejawnych UE (Dz.U. L 72 z 17.3.2015, </w:t>
      </w:r>
      <w:proofErr w:type="gramStart"/>
      <w:r w:rsidRPr="00152ED0">
        <w:rPr>
          <w:lang w:val="pl-PL"/>
        </w:rPr>
        <w:t>s</w:t>
      </w:r>
      <w:proofErr w:type="gramEnd"/>
      <w:r w:rsidRPr="00152ED0">
        <w:rPr>
          <w:lang w:val="pl-PL"/>
        </w:rPr>
        <w:t>. 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14C" w:rsidRPr="001037DE" w:rsidRDefault="00C3114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14C" w:rsidRPr="001037DE" w:rsidRDefault="00C311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14C" w:rsidRPr="001037DE" w:rsidRDefault="00C311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7831F2"/>
    <w:multiLevelType w:val="hybridMultilevel"/>
    <w:tmpl w:val="6F4400FC"/>
    <w:lvl w:ilvl="0" w:tplc="58CC14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58A406" w:tentative="1">
      <w:start w:val="1"/>
      <w:numFmt w:val="lowerLetter"/>
      <w:lvlText w:val="%2."/>
      <w:lvlJc w:val="left"/>
      <w:pPr>
        <w:ind w:left="1440" w:hanging="360"/>
      </w:pPr>
    </w:lvl>
    <w:lvl w:ilvl="2" w:tplc="0EE82950" w:tentative="1">
      <w:start w:val="1"/>
      <w:numFmt w:val="lowerRoman"/>
      <w:lvlText w:val="%3."/>
      <w:lvlJc w:val="right"/>
      <w:pPr>
        <w:ind w:left="2160" w:hanging="180"/>
      </w:pPr>
    </w:lvl>
    <w:lvl w:ilvl="3" w:tplc="3884A18A" w:tentative="1">
      <w:start w:val="1"/>
      <w:numFmt w:val="decimal"/>
      <w:lvlText w:val="%4."/>
      <w:lvlJc w:val="left"/>
      <w:pPr>
        <w:ind w:left="2880" w:hanging="360"/>
      </w:pPr>
    </w:lvl>
    <w:lvl w:ilvl="4" w:tplc="A9965C0E" w:tentative="1">
      <w:start w:val="1"/>
      <w:numFmt w:val="lowerLetter"/>
      <w:lvlText w:val="%5."/>
      <w:lvlJc w:val="left"/>
      <w:pPr>
        <w:ind w:left="3600" w:hanging="360"/>
      </w:pPr>
    </w:lvl>
    <w:lvl w:ilvl="5" w:tplc="F1A880CC" w:tentative="1">
      <w:start w:val="1"/>
      <w:numFmt w:val="lowerRoman"/>
      <w:lvlText w:val="%6."/>
      <w:lvlJc w:val="right"/>
      <w:pPr>
        <w:ind w:left="4320" w:hanging="180"/>
      </w:pPr>
    </w:lvl>
    <w:lvl w:ilvl="6" w:tplc="75CA62B4" w:tentative="1">
      <w:start w:val="1"/>
      <w:numFmt w:val="decimal"/>
      <w:lvlText w:val="%7."/>
      <w:lvlJc w:val="left"/>
      <w:pPr>
        <w:ind w:left="5040" w:hanging="360"/>
      </w:pPr>
    </w:lvl>
    <w:lvl w:ilvl="7" w:tplc="3192087E" w:tentative="1">
      <w:start w:val="1"/>
      <w:numFmt w:val="lowerLetter"/>
      <w:lvlText w:val="%8."/>
      <w:lvlJc w:val="left"/>
      <w:pPr>
        <w:ind w:left="5760" w:hanging="360"/>
      </w:pPr>
    </w:lvl>
    <w:lvl w:ilvl="8" w:tplc="199CED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60ABC"/>
    <w:multiLevelType w:val="hybridMultilevel"/>
    <w:tmpl w:val="F440D8D4"/>
    <w:lvl w:ilvl="0" w:tplc="EE0E40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E6DB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D059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7E88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C4D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96C4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9823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34E3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285B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672D067B"/>
    <w:multiLevelType w:val="hybridMultilevel"/>
    <w:tmpl w:val="EA4E777C"/>
    <w:lvl w:ilvl="0" w:tplc="0C988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D016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A68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56E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767D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7AD3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B68F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465A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44E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4"/>
  </w:num>
  <w:num w:numId="46">
    <w:abstractNumId w:val="11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3/2023"/>
    <w:docVar w:name="dvlangue" w:val="PL"/>
    <w:docVar w:name="dvnumam" w:val="187"/>
    <w:docVar w:name="dvpe" w:val="753.514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 Rady w sprawie Europejskiej Agencji Bezpieczeństwa Morskiego i uchylającego rozporządzenie (WE) nr 1406/2002(COM(2023)0269 – C9-0190/2023 – 2023/0163(COD))"/>
  </w:docVars>
  <w:rsids>
    <w:rsidRoot w:val="00BE5126"/>
    <w:rsid w:val="00002272"/>
    <w:rsid w:val="00064002"/>
    <w:rsid w:val="000677B9"/>
    <w:rsid w:val="000831BA"/>
    <w:rsid w:val="000A42CC"/>
    <w:rsid w:val="000E7DD9"/>
    <w:rsid w:val="0010095E"/>
    <w:rsid w:val="001037DE"/>
    <w:rsid w:val="00125B37"/>
    <w:rsid w:val="00152ED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05D0"/>
    <w:rsid w:val="00411CCE"/>
    <w:rsid w:val="0041666E"/>
    <w:rsid w:val="00421060"/>
    <w:rsid w:val="00471C19"/>
    <w:rsid w:val="00483F15"/>
    <w:rsid w:val="004867E3"/>
    <w:rsid w:val="00494A28"/>
    <w:rsid w:val="004C0004"/>
    <w:rsid w:val="004C5D52"/>
    <w:rsid w:val="0050519A"/>
    <w:rsid w:val="005072A1"/>
    <w:rsid w:val="00514517"/>
    <w:rsid w:val="00537A72"/>
    <w:rsid w:val="00545827"/>
    <w:rsid w:val="00560270"/>
    <w:rsid w:val="005C2568"/>
    <w:rsid w:val="006037C0"/>
    <w:rsid w:val="00636B5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D48"/>
    <w:rsid w:val="00A4295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126"/>
    <w:rsid w:val="00BE6ADC"/>
    <w:rsid w:val="00C05BFE"/>
    <w:rsid w:val="00C23CD4"/>
    <w:rsid w:val="00C3114C"/>
    <w:rsid w:val="00C61C0C"/>
    <w:rsid w:val="00C8565B"/>
    <w:rsid w:val="00C941CB"/>
    <w:rsid w:val="00CC2357"/>
    <w:rsid w:val="00CF071A"/>
    <w:rsid w:val="00D058B8"/>
    <w:rsid w:val="00D56C11"/>
    <w:rsid w:val="00D71BF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D0191"/>
  <w15:chartTrackingRefBased/>
  <w15:docId w15:val="{21BCF2DA-86D6-4773-9A1E-4571142F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83F1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83F1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83F1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83F1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83F1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83F15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483F15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483F15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483F15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483F1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83F1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83F1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83F15"/>
    <w:pPr>
      <w:spacing w:after="120"/>
    </w:pPr>
  </w:style>
  <w:style w:type="paragraph" w:customStyle="1" w:styleId="PageHeading">
    <w:name w:val="PageHeading"/>
    <w:basedOn w:val="Normal"/>
    <w:rsid w:val="00483F1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83F15"/>
    <w:rPr>
      <w:b/>
    </w:rPr>
  </w:style>
  <w:style w:type="paragraph" w:customStyle="1" w:styleId="NormalBold12a">
    <w:name w:val="NormalBold12a"/>
    <w:basedOn w:val="Normal"/>
    <w:rsid w:val="00483F15"/>
    <w:pPr>
      <w:spacing w:after="240"/>
    </w:pPr>
    <w:rPr>
      <w:b/>
    </w:rPr>
  </w:style>
  <w:style w:type="paragraph" w:customStyle="1" w:styleId="AmJustText">
    <w:name w:val="AmJustText"/>
    <w:basedOn w:val="Normal"/>
    <w:rsid w:val="00483F1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83F1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83F15"/>
    <w:pPr>
      <w:spacing w:after="480"/>
      <w:ind w:left="1417"/>
    </w:pPr>
  </w:style>
  <w:style w:type="paragraph" w:customStyle="1" w:styleId="CoverNormal">
    <w:name w:val="CoverNormal"/>
    <w:basedOn w:val="Normal"/>
    <w:rsid w:val="00483F15"/>
    <w:pPr>
      <w:ind w:left="1418"/>
    </w:pPr>
  </w:style>
  <w:style w:type="paragraph" w:customStyle="1" w:styleId="AmCrossRef">
    <w:name w:val="AmCrossRef"/>
    <w:basedOn w:val="Normal"/>
    <w:rsid w:val="00483F1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83F1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83F1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83F1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83F1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83F15"/>
    <w:pPr>
      <w:spacing w:before="240" w:after="1200"/>
    </w:pPr>
  </w:style>
  <w:style w:type="paragraph" w:styleId="Header">
    <w:name w:val="header"/>
    <w:basedOn w:val="Normal"/>
    <w:link w:val="HeaderChar"/>
    <w:rsid w:val="00483F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83F15"/>
    <w:rPr>
      <w:sz w:val="24"/>
      <w:lang w:val="pl-PL"/>
    </w:rPr>
  </w:style>
  <w:style w:type="paragraph" w:customStyle="1" w:styleId="AmOrLang">
    <w:name w:val="AmOrLang"/>
    <w:basedOn w:val="Normal"/>
    <w:rsid w:val="00483F1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83F1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83F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83F15"/>
    <w:pPr>
      <w:spacing w:before="240"/>
    </w:pPr>
    <w:rPr>
      <w:b/>
    </w:rPr>
  </w:style>
  <w:style w:type="paragraph" w:customStyle="1" w:styleId="EPBody">
    <w:name w:val="EPBody"/>
    <w:basedOn w:val="Normal"/>
    <w:rsid w:val="00483F1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83F1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83F15"/>
    <w:pPr>
      <w:spacing w:before="480" w:after="240"/>
    </w:pPr>
  </w:style>
  <w:style w:type="paragraph" w:customStyle="1" w:styleId="Lgendesigne">
    <w:name w:val="Légende signe"/>
    <w:basedOn w:val="Normal"/>
    <w:rsid w:val="00483F1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83F1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83F15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483F15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483F1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83F15"/>
    <w:rPr>
      <w:b/>
      <w:sz w:val="24"/>
      <w:lang w:val="pl-PL"/>
    </w:rPr>
  </w:style>
  <w:style w:type="paragraph" w:customStyle="1" w:styleId="Normal12Italic">
    <w:name w:val="Normal12Italic"/>
    <w:basedOn w:val="Normal"/>
    <w:rsid w:val="00483F15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483F15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483F1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83F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483F15"/>
    <w:pPr>
      <w:jc w:val="right"/>
    </w:pPr>
    <w:rPr>
      <w:lang w:val="pl-PL"/>
    </w:rPr>
  </w:style>
  <w:style w:type="paragraph" w:styleId="Footer">
    <w:name w:val="footer"/>
    <w:basedOn w:val="Normal"/>
    <w:link w:val="FooterChar"/>
    <w:rsid w:val="00483F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83F15"/>
    <w:rPr>
      <w:sz w:val="24"/>
      <w:lang w:val="pl-PL"/>
    </w:rPr>
  </w:style>
  <w:style w:type="paragraph" w:customStyle="1" w:styleId="Normal12a">
    <w:name w:val="Normal12a"/>
    <w:basedOn w:val="Normal"/>
    <w:rsid w:val="00483F15"/>
    <w:pPr>
      <w:spacing w:after="240"/>
    </w:pPr>
  </w:style>
  <w:style w:type="paragraph" w:customStyle="1" w:styleId="CoverDateNoRef">
    <w:name w:val="CoverDateNoRef"/>
    <w:basedOn w:val="Normal"/>
    <w:rsid w:val="00483F15"/>
    <w:pPr>
      <w:spacing w:before="1560" w:after="1200"/>
    </w:pPr>
  </w:style>
  <w:style w:type="paragraph" w:styleId="PlainText">
    <w:name w:val="Plain Text"/>
    <w:basedOn w:val="Normal"/>
    <w:link w:val="PlainTextChar"/>
    <w:uiPriority w:val="99"/>
    <w:unhideWhenUsed/>
    <w:rsid w:val="00483F15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83F15"/>
    <w:rPr>
      <w:rFonts w:ascii="Calibri" w:eastAsia="Calibri" w:hAnsi="Calibri"/>
      <w:sz w:val="22"/>
      <w:szCs w:val="21"/>
      <w:lang w:val="pl-PL" w:eastAsia="en-US"/>
    </w:rPr>
  </w:style>
  <w:style w:type="character" w:styleId="Hyperlink">
    <w:name w:val="Hyperlink"/>
    <w:basedOn w:val="DefaultParagraphFont"/>
    <w:unhideWhenUsed/>
    <w:rsid w:val="00483F15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483F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83F15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rsid w:val="00483F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83F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83F15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83F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83F15"/>
    <w:rPr>
      <w:b/>
      <w:bCs/>
      <w:lang w:val="pl-PL"/>
    </w:rPr>
  </w:style>
  <w:style w:type="character" w:customStyle="1" w:styleId="AmNumberTabsChar">
    <w:name w:val="AmNumberTabs Char"/>
    <w:basedOn w:val="DefaultParagraphFont"/>
    <w:link w:val="AmNumberTabs"/>
    <w:rsid w:val="00483F15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483F15"/>
    <w:rPr>
      <w:b/>
      <w:sz w:val="24"/>
      <w:lang w:val="pl-PL"/>
    </w:rPr>
  </w:style>
  <w:style w:type="paragraph" w:customStyle="1" w:styleId="PageHeadingNotTOC">
    <w:name w:val="PageHeadingNotTOC"/>
    <w:basedOn w:val="Normal"/>
    <w:rsid w:val="00483F1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483F1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83F1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83F1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83F15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483F15"/>
    <w:pPr>
      <w:spacing w:after="480"/>
    </w:pPr>
  </w:style>
  <w:style w:type="paragraph" w:customStyle="1" w:styleId="NormalBoldCenter">
    <w:name w:val="NormalBoldCenter"/>
    <w:basedOn w:val="Normal"/>
    <w:rsid w:val="00483F15"/>
    <w:pPr>
      <w:jc w:val="center"/>
    </w:pPr>
    <w:rPr>
      <w:b/>
    </w:rPr>
  </w:style>
  <w:style w:type="character" w:styleId="Emphasis">
    <w:name w:val="Emphasis"/>
    <w:basedOn w:val="DefaultParagraphFont"/>
    <w:uiPriority w:val="20"/>
    <w:qFormat/>
    <w:rsid w:val="00483F15"/>
    <w:rPr>
      <w:i/>
      <w:iCs/>
    </w:rPr>
  </w:style>
  <w:style w:type="paragraph" w:customStyle="1" w:styleId="Default">
    <w:name w:val="Default"/>
    <w:basedOn w:val="Normal"/>
    <w:rsid w:val="00483F15"/>
    <w:pPr>
      <w:widowControl/>
      <w:autoSpaceDE w:val="0"/>
      <w:autoSpaceDN w:val="0"/>
    </w:pPr>
    <w:rPr>
      <w:rFonts w:eastAsiaTheme="minorHAnsi"/>
      <w:color w:val="000000"/>
      <w:szCs w:val="24"/>
    </w:rPr>
  </w:style>
  <w:style w:type="paragraph" w:customStyle="1" w:styleId="AmHeadingPA">
    <w:name w:val="AmHeadingPA"/>
    <w:basedOn w:val="Normal"/>
    <w:next w:val="Normal"/>
    <w:rsid w:val="00483F1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83F15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customStyle="1" w:styleId="Text1">
    <w:name w:val="Text 1"/>
    <w:basedOn w:val="Normal"/>
    <w:rsid w:val="00483F15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styleId="Revision">
    <w:name w:val="Revision"/>
    <w:hidden/>
    <w:uiPriority w:val="99"/>
    <w:semiHidden/>
    <w:rsid w:val="00483F15"/>
    <w:rPr>
      <w:sz w:val="24"/>
      <w:lang w:val="pl-PL"/>
    </w:rPr>
  </w:style>
  <w:style w:type="paragraph" w:customStyle="1" w:styleId="Institutionquiagit">
    <w:name w:val="Institution qui agit"/>
    <w:basedOn w:val="Normal"/>
    <w:next w:val="Normal"/>
    <w:rsid w:val="00152ED0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152ED0"/>
    <w:pPr>
      <w:widowControl/>
      <w:spacing w:before="360" w:after="240" w:line="360" w:lineRule="auto"/>
      <w:jc w:val="center"/>
    </w:pPr>
    <w:rPr>
      <w:szCs w:val="24"/>
      <w:lang w:val="en-GB" w:eastAsia="en-US"/>
    </w:rPr>
  </w:style>
  <w:style w:type="paragraph" w:customStyle="1" w:styleId="FootnoteTextForceStyle">
    <w:name w:val="Footnote Text ForceStyle"/>
    <w:rsid w:val="00152ED0"/>
    <w:pPr>
      <w:keepLines/>
      <w:widowControl w:val="0"/>
      <w:ind w:left="850" w:hanging="850"/>
    </w:pPr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0331A-4DF9-4E7D-BA5A-0B62E4DAE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114</Pages>
  <Words>14845</Words>
  <Characters>100015</Characters>
  <Application>Microsoft Office Word</Application>
  <DocSecurity>0</DocSecurity>
  <Lines>833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LUKSITE Marija</cp:lastModifiedBy>
  <cp:revision>2</cp:revision>
  <cp:lastPrinted>2004-11-19T15:42:00Z</cp:lastPrinted>
  <dcterms:created xsi:type="dcterms:W3CDTF">2024-10-08T13:35:00Z</dcterms:created>
  <dcterms:modified xsi:type="dcterms:W3CDTF">2024-10-08T13:35:00Z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A9-0423/2023</vt:lpwstr>
  </property>
  <property fmtid="{D5CDD505-2E9C-101B-9397-08002B2CF9AE}" pid="4" name="&lt;Type&gt;">
    <vt:lpwstr>RR</vt:lpwstr>
  </property>
</Properties>
</file>