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7592">
        <w:trPr>
          <w:trHeight w:hRule="exact" w:val="1418"/>
        </w:trPr>
        <w:tc>
          <w:tcPr>
            <w:tcW w:w="6804" w:type="dxa"/>
            <w:shd w:val="clear" w:color="auto" w:fill="auto"/>
            <w:vAlign w:val="center"/>
          </w:tcPr>
          <w:p w:rsidR="00B47592" w:rsidRDefault="004245EA">
            <w:pPr>
              <w:pStyle w:val="EPName"/>
            </w:pPr>
            <w:r>
              <w:t>Európsky parlament</w:t>
            </w:r>
          </w:p>
          <w:p w:rsidR="00B47592" w:rsidRDefault="004245EA">
            <w:pPr>
              <w:pStyle w:val="EPTerm"/>
              <w:rPr>
                <w:rStyle w:val="HideTWBExt"/>
                <w:noProof w:val="0"/>
                <w:vanish w:val="0"/>
                <w:color w:val="auto"/>
              </w:rPr>
            </w:pPr>
            <w:r>
              <w:t>2019-2024</w:t>
            </w:r>
          </w:p>
        </w:tc>
        <w:tc>
          <w:tcPr>
            <w:tcW w:w="2268" w:type="dxa"/>
            <w:shd w:val="clear" w:color="auto" w:fill="auto"/>
          </w:tcPr>
          <w:p w:rsidR="00B47592" w:rsidRDefault="004245EA">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47592" w:rsidRDefault="00B47592">
      <w:pPr>
        <w:pStyle w:val="LineTop"/>
      </w:pPr>
    </w:p>
    <w:p w:rsidR="00B47592" w:rsidRDefault="004245EA">
      <w:pPr>
        <w:pStyle w:val="EPBodyTA1"/>
      </w:pPr>
      <w:r>
        <w:t>PRIJATÉ TEXTY</w:t>
      </w:r>
    </w:p>
    <w:p w:rsidR="00B47592" w:rsidRDefault="00B47592">
      <w:pPr>
        <w:pStyle w:val="LineBottom"/>
      </w:pPr>
    </w:p>
    <w:p w:rsidR="00B47592" w:rsidRDefault="004245EA">
      <w:pPr>
        <w:pStyle w:val="ATHeading1"/>
      </w:pPr>
      <w:bookmarkStart w:id="0" w:name="TANumber"/>
      <w:r>
        <w:t>P9_TA(2024)0</w:t>
      </w:r>
      <w:bookmarkEnd w:id="0"/>
      <w:r>
        <w:t>134</w:t>
      </w:r>
    </w:p>
    <w:p w:rsidR="00B47592" w:rsidRDefault="004245EA">
      <w:pPr>
        <w:pStyle w:val="ATHeading2"/>
      </w:pPr>
      <w:bookmarkStart w:id="1" w:name="title"/>
      <w:r>
        <w:t>Európska námorná bezpečnostná agentúra a zrušenie nariadenia (ES) č. 1406/2002</w:t>
      </w:r>
      <w:bookmarkEnd w:id="1"/>
    </w:p>
    <w:p w:rsidR="00B47592" w:rsidRDefault="004245EA">
      <w:pPr>
        <w:rPr>
          <w:i/>
          <w:vanish/>
        </w:rPr>
      </w:pPr>
      <w:r>
        <w:rPr>
          <w:i/>
        </w:rPr>
        <w:fldChar w:fldCharType="begin"/>
      </w:r>
      <w:r>
        <w:rPr>
          <w:i/>
        </w:rPr>
        <w:instrText xml:space="preserve"> TC"(</w:instrText>
      </w:r>
      <w:bookmarkStart w:id="2" w:name="DocNumber"/>
      <w:r>
        <w:rPr>
          <w:i/>
        </w:rPr>
        <w:instrText>A9-0423/2023</w:instrText>
      </w:r>
      <w:bookmarkEnd w:id="2"/>
      <w:r>
        <w:rPr>
          <w:i/>
        </w:rPr>
        <w:instrText xml:space="preserve"> - Spravodajkyňa: Cláudia Monteiro de Aguiar)"\l3 \n&gt; \* MERGEFORMAT </w:instrText>
      </w:r>
      <w:r>
        <w:rPr>
          <w:i/>
        </w:rPr>
        <w:fldChar w:fldCharType="end"/>
      </w:r>
    </w:p>
    <w:p w:rsidR="00B47592" w:rsidRDefault="004245EA">
      <w:pPr>
        <w:rPr>
          <w:vanish/>
        </w:rPr>
      </w:pPr>
      <w:bookmarkStart w:id="3" w:name="Commission"/>
      <w:r>
        <w:rPr>
          <w:vanish/>
        </w:rPr>
        <w:t>Výbor pre dopravu a cestovný ruch</w:t>
      </w:r>
      <w:bookmarkEnd w:id="3"/>
    </w:p>
    <w:p w:rsidR="00B47592" w:rsidRDefault="004245EA">
      <w:pPr>
        <w:rPr>
          <w:vanish/>
        </w:rPr>
      </w:pPr>
      <w:bookmarkStart w:id="4" w:name="PE"/>
      <w:r>
        <w:rPr>
          <w:vanish/>
        </w:rPr>
        <w:t>PE753.514</w:t>
      </w:r>
      <w:bookmarkEnd w:id="4"/>
    </w:p>
    <w:p w:rsidR="00B47592" w:rsidRDefault="004245EA">
      <w:pPr>
        <w:pStyle w:val="ATHeading3"/>
      </w:pPr>
      <w:bookmarkStart w:id="5" w:name="Sujet"/>
      <w:r>
        <w:t>Legislatívne uznesenie Európskeho parlamentu z 12. marca 2024 o návrhu nariadenia Európskeho parlamentu a Rady o Európskej námornej bezpečnostnej agentúre a o zrušení nariadenia (ES) č. 1406/2002</w:t>
      </w:r>
      <w:bookmarkEnd w:id="5"/>
      <w:r>
        <w:t xml:space="preserve"> </w:t>
      </w:r>
      <w:bookmarkStart w:id="6" w:name="References"/>
      <w:r>
        <w:t>(COM(2023)0269 – C9-0190/2023 – 2023/0163(COD))</w:t>
      </w:r>
      <w:bookmarkEnd w:id="6"/>
    </w:p>
    <w:p w:rsidR="00B47592" w:rsidRDefault="004245EA">
      <w:pPr>
        <w:pStyle w:val="NormalBold"/>
      </w:pPr>
      <w:bookmarkStart w:id="7" w:name="TextBodyBegin"/>
      <w:bookmarkEnd w:id="7"/>
      <w:r>
        <w:t>(Riadny legislatívny postup: prvé čítanie)</w:t>
      </w:r>
    </w:p>
    <w:p w:rsidR="00B47592" w:rsidRDefault="004245EA">
      <w:pPr>
        <w:pStyle w:val="EPComma"/>
      </w:pPr>
      <w:r>
        <w:rPr>
          <w:i/>
        </w:rPr>
        <w:t>Európsky parlament</w:t>
      </w:r>
      <w:r>
        <w:t>,</w:t>
      </w:r>
    </w:p>
    <w:p w:rsidR="00B47592" w:rsidRDefault="004245EA">
      <w:pPr>
        <w:pStyle w:val="NormalHanging12a"/>
      </w:pPr>
      <w:r>
        <w:t>–</w:t>
      </w:r>
      <w:r>
        <w:tab/>
        <w:t>so zreteľom na návrh Komisie pre Európsky parlament a Radu (COM(2023)0269),</w:t>
      </w:r>
    </w:p>
    <w:p w:rsidR="00B47592" w:rsidRDefault="004245EA">
      <w:pPr>
        <w:pStyle w:val="NormalHanging12a"/>
      </w:pPr>
      <w:r>
        <w:t>–</w:t>
      </w:r>
      <w:r>
        <w:tab/>
        <w:t>so zreteľom na článok 294 ods. 2 a článok 100 ods. 2 Zmluvy o fungovaní Európskej únie, v súlade s ktorými Komisia predložila návrh Európskemu parlamentu (C9</w:t>
      </w:r>
      <w:r>
        <w:noBreakHyphen/>
        <w:t>0190/2023),</w:t>
      </w:r>
    </w:p>
    <w:p w:rsidR="00B47592" w:rsidRDefault="004245EA">
      <w:pPr>
        <w:pStyle w:val="NormalHanging12a"/>
      </w:pPr>
      <w:r>
        <w:t>–</w:t>
      </w:r>
      <w:r>
        <w:tab/>
        <w:t>so zreteľom na článok 294 ods. 3 Zmluvy o fungovaní Európskej únie,</w:t>
      </w:r>
    </w:p>
    <w:p w:rsidR="00B47592" w:rsidRDefault="004245EA">
      <w:pPr>
        <w:pStyle w:val="NormalHanging12a"/>
      </w:pPr>
      <w:r>
        <w:t>–</w:t>
      </w:r>
      <w:r>
        <w:tab/>
        <w:t>so zreteľom na stanovisko Európskeho hospodárskeho a sociálneho výboru z 20. septembra 2023</w:t>
      </w:r>
      <w:r>
        <w:rPr>
          <w:rStyle w:val="FootnoteReference"/>
        </w:rPr>
        <w:footnoteReference w:id="1"/>
      </w:r>
      <w:r>
        <w:t>,</w:t>
      </w:r>
    </w:p>
    <w:p w:rsidR="00B47592" w:rsidRDefault="004245EA">
      <w:pPr>
        <w:pStyle w:val="NormalHanging12a"/>
      </w:pPr>
      <w:r>
        <w:t>–</w:t>
      </w:r>
      <w:r>
        <w:tab/>
        <w:t>po porade s Výborom regiónov,</w:t>
      </w:r>
    </w:p>
    <w:p w:rsidR="00B47592" w:rsidRDefault="004245EA">
      <w:pPr>
        <w:pStyle w:val="NormalHanging12a"/>
      </w:pPr>
      <w:r>
        <w:t>–</w:t>
      </w:r>
      <w:r>
        <w:tab/>
        <w:t>so zreteľom na článok 59 rokovacieho poriadku,</w:t>
      </w:r>
    </w:p>
    <w:p w:rsidR="00B47592" w:rsidRDefault="004245EA">
      <w:pPr>
        <w:pStyle w:val="NormalHanging12a"/>
      </w:pPr>
      <w:r>
        <w:t>–</w:t>
      </w:r>
      <w:r>
        <w:tab/>
        <w:t xml:space="preserve">so zreteľom na stanoviská Výboru pre rozpočet a Výboru pre rybárstvo, </w:t>
      </w:r>
    </w:p>
    <w:p w:rsidR="00B47592" w:rsidRDefault="004245EA">
      <w:pPr>
        <w:pStyle w:val="NormalHanging12a"/>
      </w:pPr>
      <w:r>
        <w:t>–</w:t>
      </w:r>
      <w:r>
        <w:tab/>
        <w:t>so zreteľom na správu Výboru pre dopravu a cestovný ruch (A9-0423/2023),</w:t>
      </w:r>
    </w:p>
    <w:p w:rsidR="00B47592" w:rsidRDefault="004245EA">
      <w:pPr>
        <w:pStyle w:val="NormalHanging12a"/>
      </w:pPr>
      <w:r>
        <w:t>1.</w:t>
      </w:r>
      <w:r>
        <w:tab/>
        <w:t>prijíma nasledujúcu pozíciu v prvom čítaní;</w:t>
      </w:r>
    </w:p>
    <w:p w:rsidR="00B47592" w:rsidRDefault="004245EA">
      <w:pPr>
        <w:pStyle w:val="NormalHanging12a"/>
      </w:pPr>
      <w:r>
        <w:t>2.</w:t>
      </w:r>
      <w:r>
        <w:tab/>
        <w:t xml:space="preserve">žiada Komisiu, aby mu vec znovu predložila, ak nahrádza, podstatne mení alebo má v </w:t>
      </w:r>
      <w:r>
        <w:lastRenderedPageBreak/>
        <w:t>úmysle podstatne zmeniť svoj návrh;</w:t>
      </w:r>
    </w:p>
    <w:p w:rsidR="00B47592" w:rsidRDefault="004245EA">
      <w:pPr>
        <w:pStyle w:val="NormalHanging12a"/>
      </w:pPr>
      <w:r>
        <w:t>3.</w:t>
      </w:r>
      <w:r>
        <w:tab/>
        <w:t>poveruje svoju predsedníčku, aby postúpila túto pozíciu Rade, Komisii a národným parlamentom.</w:t>
      </w:r>
    </w:p>
    <w:p w:rsidR="00B47592" w:rsidRDefault="00B47592">
      <w:pPr>
        <w:sectPr w:rsidR="00B47592">
          <w:endnotePr>
            <w:numFmt w:val="decimal"/>
          </w:endnotePr>
          <w:pgSz w:w="11906" w:h="16838" w:code="9"/>
          <w:pgMar w:top="1134" w:right="1418" w:bottom="1418" w:left="1418" w:header="1134" w:footer="567" w:gutter="0"/>
          <w:cols w:space="720"/>
          <w:noEndnote/>
          <w:docGrid w:linePitch="326"/>
        </w:sectPr>
      </w:pPr>
    </w:p>
    <w:p w:rsidR="00B47592" w:rsidRDefault="004245EA">
      <w:pPr>
        <w:pStyle w:val="Institutionquiagit"/>
        <w:keepNext w:val="0"/>
        <w:spacing w:before="0" w:after="240"/>
        <w:jc w:val="left"/>
        <w:outlineLvl w:val="0"/>
        <w:rPr>
          <w:b/>
        </w:rPr>
      </w:pPr>
      <w:r>
        <w:rPr>
          <w:b/>
        </w:rPr>
        <w:lastRenderedPageBreak/>
        <w:t>P9_TC1-COD(2023)0163</w:t>
      </w:r>
    </w:p>
    <w:p w:rsidR="00B47592" w:rsidRDefault="004245EA">
      <w:pPr>
        <w:rPr>
          <w:b/>
        </w:rPr>
      </w:pPr>
      <w:r>
        <w:rPr>
          <w:b/>
        </w:rPr>
        <w:t>Pozícia Európskeho parlamentu prijatá v prvom čítaní 12. marca 2024 na účely prijatia nariadenia Európskeho parlamentu a Rady (EÚ) 2024/... o Európskej námornej bezpečnostnej agentúre a o zrušení nariadenia (ES) č. 1406/2002</w:t>
      </w:r>
    </w:p>
    <w:p w:rsidR="00B47592" w:rsidRDefault="004245EA">
      <w:pPr>
        <w:widowControl/>
        <w:spacing w:before="360" w:after="240" w:line="360" w:lineRule="auto"/>
        <w:jc w:val="center"/>
        <w:rPr>
          <w:szCs w:val="24"/>
          <w:lang w:eastAsia="en-US"/>
        </w:rPr>
      </w:pPr>
      <w:r>
        <w:rPr>
          <w:szCs w:val="24"/>
          <w:lang w:eastAsia="en-US"/>
        </w:rPr>
        <w:t>(Text s významom pre EHP)</w:t>
      </w:r>
    </w:p>
    <w:p w:rsidR="00B47592" w:rsidRDefault="004245EA">
      <w:pPr>
        <w:keepNext/>
        <w:spacing w:before="600" w:after="120" w:line="360" w:lineRule="auto"/>
        <w:rPr>
          <w:szCs w:val="24"/>
          <w:lang w:eastAsia="en-US"/>
        </w:rPr>
      </w:pPr>
      <w:r>
        <w:rPr>
          <w:szCs w:val="24"/>
          <w:lang w:eastAsia="en-US"/>
        </w:rPr>
        <w:t>EURÓPSKY PARLAMENT A RADA EURÓPSKEJ ÚNIE,</w:t>
      </w:r>
    </w:p>
    <w:p w:rsidR="00B47592" w:rsidRDefault="004245EA">
      <w:pPr>
        <w:spacing w:before="120" w:after="120" w:line="360" w:lineRule="auto"/>
        <w:rPr>
          <w:lang w:eastAsia="en-US"/>
        </w:rPr>
      </w:pPr>
      <w:r>
        <w:rPr>
          <w:lang w:eastAsia="en-US"/>
        </w:rPr>
        <w:t>so zreteľom na Zmluvu o fungovaní Európskej únie, a najmä na jej článok 100 ods. 2,</w:t>
      </w:r>
    </w:p>
    <w:p w:rsidR="00B47592" w:rsidRDefault="004245EA">
      <w:pPr>
        <w:spacing w:before="120" w:after="120" w:line="360" w:lineRule="auto"/>
        <w:rPr>
          <w:lang w:eastAsia="en-US"/>
        </w:rPr>
      </w:pPr>
      <w:r>
        <w:rPr>
          <w:lang w:eastAsia="en-US"/>
        </w:rPr>
        <w:t>so zreteľom na návrh Európskej komisie,</w:t>
      </w:r>
    </w:p>
    <w:p w:rsidR="00B47592" w:rsidRDefault="004245EA">
      <w:pPr>
        <w:spacing w:before="120" w:after="120" w:line="360" w:lineRule="auto"/>
        <w:rPr>
          <w:lang w:eastAsia="en-US"/>
        </w:rPr>
      </w:pPr>
      <w:r>
        <w:rPr>
          <w:lang w:eastAsia="en-US"/>
        </w:rPr>
        <w:t>po postúpení návrhu legislatívneho aktu národným parlamentom,</w:t>
      </w:r>
    </w:p>
    <w:p w:rsidR="00B47592" w:rsidRDefault="004245EA">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2"/>
      </w:r>
      <w:r>
        <w:rPr>
          <w:lang w:eastAsia="en-US"/>
        </w:rPr>
        <w:t>,</w:t>
      </w:r>
    </w:p>
    <w:p w:rsidR="00B47592" w:rsidRDefault="004245EA">
      <w:pPr>
        <w:spacing w:before="120" w:after="120" w:line="360" w:lineRule="auto"/>
        <w:rPr>
          <w:lang w:eastAsia="en-US"/>
        </w:rPr>
      </w:pPr>
      <w:r>
        <w:rPr>
          <w:lang w:eastAsia="en-US"/>
        </w:rPr>
        <w:t>so zreteľom na stanovisko Výboru regiónov</w:t>
      </w:r>
      <w:r>
        <w:rPr>
          <w:vertAlign w:val="superscript"/>
          <w:lang w:eastAsia="en-US"/>
        </w:rPr>
        <w:footnoteReference w:id="3"/>
      </w:r>
      <w:r>
        <w:rPr>
          <w:lang w:eastAsia="en-US"/>
        </w:rPr>
        <w:t>,</w:t>
      </w:r>
    </w:p>
    <w:p w:rsidR="00B47592" w:rsidRDefault="004245EA">
      <w:pPr>
        <w:spacing w:before="120" w:after="120" w:line="360" w:lineRule="auto"/>
        <w:rPr>
          <w:lang w:eastAsia="en-US"/>
        </w:rPr>
      </w:pPr>
      <w:r>
        <w:rPr>
          <w:lang w:eastAsia="en-US"/>
        </w:rPr>
        <w:t>konajúc v súlade s riadnym legislatívnym postupom,</w:t>
      </w:r>
    </w:p>
    <w:p w:rsidR="00B72819" w:rsidRDefault="00B72819">
      <w:pPr>
        <w:widowControl/>
        <w:rPr>
          <w:lang w:eastAsia="en-US"/>
        </w:rPr>
      </w:pPr>
      <w:r>
        <w:rPr>
          <w:lang w:eastAsia="en-US"/>
        </w:rPr>
        <w:br w:type="page"/>
      </w:r>
    </w:p>
    <w:p w:rsidR="00B47592" w:rsidRDefault="004245EA">
      <w:pPr>
        <w:spacing w:before="120" w:after="120" w:line="360" w:lineRule="auto"/>
        <w:rPr>
          <w:lang w:eastAsia="en-US"/>
        </w:rPr>
      </w:pPr>
      <w:r>
        <w:rPr>
          <w:lang w:eastAsia="en-US"/>
        </w:rPr>
        <w:lastRenderedPageBreak/>
        <w:t>keďže:</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V Únii bolo prijatých niekoľko legislatívnych opatrení na zvýšenie námornej bezpečnosti a ochrany námornej dopravy, na podporu udržateľnosti (aj prostredníctvom zabránenia znečisťovaniu) a dekarbonizácie lodnej dopravy, a na uľahčenie výmeny informácií a digitalizácie odvetvia námornej dopravy. Aby boli tieto právne predpisy účinné, mali by sa uplatňovať vhodným a jednotným spôsobom v celej Únii. Tým by sa zabezpečili rovnaké podmienky, obmedzilo narušenie hospodárskej súťaže vyplývajúce z hospodárskych výhod, ktoré majú lode nespĺňajúce predpisy, a bolo by to na prospech aktérom námornej dopravy, ktorí sa správajú podľa pravidiel.</w:t>
      </w:r>
    </w:p>
    <w:p w:rsidR="00B47592" w:rsidRDefault="004245EA">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Odvetvie rybolovu má vysokú mieru nehodovosti, ktorá má tiež vysokú úroveň úmrtnosti, a dôležitú úlohu zohráva odborná príprava rybárov, pokiaľ ide o bezpečnosť práce.</w:t>
      </w:r>
      <w:r>
        <w:rPr>
          <w:b/>
          <w:szCs w:val="24"/>
          <w:lang w:eastAsia="en-US"/>
        </w:rPr>
        <w:t xml:space="preserve"> [PN 1]</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Plnenie týchto cieľov si vyžaduje značné úsilie na technickej úrovni pod vedením špecializovaného orgánu. Ako súčasť druhého „balíka opatrení Erika“ v roku 2002 bolo preto nevyhnuté v existujúcom inštitucionálnom rámci a s ohľadom na povinnosti a práva členských štátov ako vlajkových, prístavných a pobrežných štátov zriadiť európsku agentúru na účely zabezpečenia vysokej, jednotnej a účinnej úrovne námornej bezpečnosti a zabránenia znečisťovaniu z lodí.</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Nariadením Európskeho parlamentu a Rady (ES) č. 1406/2002</w:t>
      </w:r>
      <w:r>
        <w:rPr>
          <w:szCs w:val="24"/>
          <w:vertAlign w:val="superscript"/>
          <w:lang w:eastAsia="en-US"/>
        </w:rPr>
        <w:footnoteReference w:id="4"/>
      </w:r>
      <w:r>
        <w:rPr>
          <w:szCs w:val="24"/>
          <w:lang w:eastAsia="en-US"/>
        </w:rPr>
        <w:t xml:space="preserve"> sa ustanovila Európska námorná bezpečnostná agentúra (ďalej len „agentúra“), ktorá má Komisii a členským štátom prostredníctvom náležitých návštev v členských štátoch na účely monitorovania príslušných právnych predpisov a poskytovania odbornej prípravy a budovania kapacít pomáhať na úrovni Únie účinne vykonávať právne predpisy v oblastiach námornej bezpečnosti a zabránenia znečisťovaniu.</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Po zriadení agentúry v roku 2002 sa právne predpisy Únie v oblastiach námornej bezpečnosti, udržateľnosti, zabránenia znečisťovaniu a ochrany námornej dopravy značne rozšírili, čo viedlo k piatim zmenám mandátu agentúry.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Od roku 2013 agentúra pokračovala v podstatnom rozširovaní svojich úloh buď aktiváciou príslušných vedľajších úloh stanovených v článku 2a nariadenia (ES) č. 1406/2002, alebo na základe žiadostí o technickú pomoc Komisii a členským štátom, a to predovšetkým v oblasti dekarbonizácie a digitalizácie odvetvia námornej dopravy. Úlohy agentúry boli navyše priamo ovplyvnené aj zmenami smerníc Európskeho parlamentu a Rady 2005/35/ES</w:t>
      </w:r>
      <w:r>
        <w:rPr>
          <w:szCs w:val="24"/>
          <w:vertAlign w:val="superscript"/>
          <w:lang w:eastAsia="en-US"/>
        </w:rPr>
        <w:footnoteReference w:id="5"/>
      </w:r>
      <w:r>
        <w:rPr>
          <w:szCs w:val="24"/>
          <w:lang w:eastAsia="en-US"/>
        </w:rPr>
        <w:t>, 2009/16/ES</w:t>
      </w:r>
      <w:r>
        <w:rPr>
          <w:szCs w:val="24"/>
          <w:vertAlign w:val="superscript"/>
          <w:lang w:eastAsia="en-US"/>
        </w:rPr>
        <w:footnoteReference w:id="6"/>
      </w:r>
      <w:r>
        <w:rPr>
          <w:szCs w:val="24"/>
          <w:lang w:eastAsia="en-US"/>
        </w:rPr>
        <w:t>, 2009/18/ES</w:t>
      </w:r>
      <w:r>
        <w:rPr>
          <w:szCs w:val="24"/>
          <w:vertAlign w:val="superscript"/>
          <w:lang w:eastAsia="en-US"/>
        </w:rPr>
        <w:footnoteReference w:id="7"/>
      </w:r>
      <w:r>
        <w:rPr>
          <w:szCs w:val="24"/>
          <w:lang w:eastAsia="en-US"/>
        </w:rPr>
        <w:t xml:space="preserve"> a 2009/21/ES</w:t>
      </w:r>
      <w:r>
        <w:rPr>
          <w:szCs w:val="24"/>
          <w:vertAlign w:val="superscript"/>
          <w:lang w:eastAsia="en-US"/>
        </w:rPr>
        <w:footnoteReference w:id="8"/>
      </w:r>
      <w:r>
        <w:rPr>
          <w:szCs w:val="24"/>
          <w:lang w:eastAsia="en-US"/>
        </w:rPr>
        <w:t>. Týmito smernicami sa konkrétne zabezpečuje, aby agentúra mohla plniť úlohy súvisiace so znečisťovaním mora z lodí, so systémom štátnej prístavnej kontroly na úrovni Únie, s činnosťami členských štátov týkajúcimi sa vyšetrovaní námorných nehôd vo vodách Únie a s povinnosťami členských štátov ako vlajkových štátov.</w:t>
      </w:r>
    </w:p>
    <w:p w:rsidR="00B47592" w:rsidRDefault="004245EA">
      <w:pPr>
        <w:spacing w:before="120" w:after="120" w:line="360" w:lineRule="auto"/>
        <w:ind w:left="850" w:hanging="850"/>
        <w:rPr>
          <w:szCs w:val="24"/>
          <w:lang w:eastAsia="en-US"/>
        </w:rPr>
      </w:pPr>
      <w:r>
        <w:rPr>
          <w:szCs w:val="24"/>
          <w:lang w:eastAsia="en-US"/>
        </w:rPr>
        <w:t>(6)</w:t>
      </w:r>
      <w:r>
        <w:rPr>
          <w:szCs w:val="24"/>
          <w:lang w:eastAsia="en-US"/>
        </w:rPr>
        <w:tab/>
        <w:t xml:space="preserve">Okrem toho sa administratívne a finančné riadenie agentúry musí zosúladiť s </w:t>
      </w:r>
      <w:proofErr w:type="spellStart"/>
      <w:r>
        <w:rPr>
          <w:szCs w:val="24"/>
          <w:lang w:eastAsia="en-US"/>
        </w:rPr>
        <w:t>medziinštitucionálnou</w:t>
      </w:r>
      <w:proofErr w:type="spellEnd"/>
      <w:r>
        <w:rPr>
          <w:szCs w:val="24"/>
          <w:lang w:eastAsia="en-US"/>
        </w:rPr>
        <w:t xml:space="preserve"> dohodou o riadení decentralizovaných agentúr</w:t>
      </w:r>
      <w:r>
        <w:rPr>
          <w:szCs w:val="24"/>
          <w:vertAlign w:val="superscript"/>
          <w:lang w:eastAsia="en-US"/>
        </w:rPr>
        <w:footnoteReference w:id="9"/>
      </w:r>
      <w:r>
        <w:rPr>
          <w:szCs w:val="24"/>
          <w:lang w:eastAsia="en-US"/>
        </w:rPr>
        <w:t xml:space="preserve"> a s rámcovým nariadením o rozpočtových pravidlách pre decentralizované orgány Únie</w:t>
      </w:r>
      <w:r>
        <w:rPr>
          <w:szCs w:val="24"/>
          <w:vertAlign w:val="superscript"/>
          <w:lang w:eastAsia="en-US"/>
        </w:rPr>
        <w:footnoteReference w:id="10"/>
      </w:r>
      <w:r>
        <w:rPr>
          <w:szCs w:val="24"/>
          <w:lang w:eastAsia="en-US"/>
        </w:rPr>
        <w:t>.</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(7)</w:t>
      </w:r>
      <w:r>
        <w:rPr>
          <w:szCs w:val="24"/>
          <w:lang w:eastAsia="en-US"/>
        </w:rPr>
        <w:tab/>
        <w:t>Z dôvodu značného počtu zmien vzhľadom na uvedený vývoj je vhodné zrušiť nariadenie (ES) č. 1406/2002 a nahradiť ho novým právnym aktom.</w:t>
      </w:r>
    </w:p>
    <w:p w:rsidR="00B47592" w:rsidRDefault="004245EA">
      <w:pPr>
        <w:spacing w:before="120" w:after="120" w:line="360" w:lineRule="auto"/>
        <w:ind w:left="850" w:hanging="850"/>
        <w:rPr>
          <w:b/>
          <w:szCs w:val="24"/>
          <w:lang w:eastAsia="en-US"/>
        </w:rPr>
      </w:pPr>
      <w:r>
        <w:rPr>
          <w:szCs w:val="24"/>
          <w:lang w:eastAsia="en-US"/>
        </w:rPr>
        <w:t>(8)</w:t>
      </w:r>
      <w:r>
        <w:rPr>
          <w:szCs w:val="24"/>
          <w:lang w:eastAsia="en-US"/>
        </w:rPr>
        <w:tab/>
        <w:t>Agentúra bola pôvodne zriadená s cieľom prispieť k vytvoreniu vysokej úrovne námornej bezpečnosti v celej Únii a zároveň mala pomôcť pri zabránení znečisteniu z lodí a neskôr aj zo zariadení na ťažbu ropy a zemného plynu. Hoci boli tieto ciele ďalej posilnené tým, že sa doplnila podpora ochrany námornej dopravy, zameranie agentúry na podporu regulačných zmien v oblasti dekarbonizácie a digitalizácie lodnej dopravy</w:t>
      </w:r>
      <w:r>
        <w:rPr>
          <w:b/>
          <w:i/>
          <w:szCs w:val="24"/>
          <w:lang w:eastAsia="en-US"/>
        </w:rPr>
        <w:t xml:space="preserve"> vrátane prístavných oblastí</w:t>
      </w:r>
      <w:r>
        <w:rPr>
          <w:szCs w:val="24"/>
          <w:lang w:eastAsia="en-US"/>
        </w:rPr>
        <w:t xml:space="preserve"> v posledných rokoch si zaslúži, aby boli tieto oblasti doplnené medzi všeobecné ciele agentúry, čo jej umožní prispieť k dosahovaniu cieľov dvojakej (zelenej a digitálnej) transformácie odvetvia. Podobne odôvodňuje kľúčová úloha agentúry pri poskytovaní prehľadu z hľadiska informovanosti o námornej situácii na mori prostredníctvom satelitných snímok a prevádzky leteckých systémov pilotovaných na diaľku doplnenie príslušného všeobecného cieľa pre agentúru.</w:t>
      </w:r>
      <w:r>
        <w:rPr>
          <w:b/>
          <w:szCs w:val="24"/>
          <w:lang w:eastAsia="en-US"/>
        </w:rPr>
        <w:t xml:space="preserve"> [PN 2]</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(9)</w:t>
      </w:r>
      <w:r>
        <w:rPr>
          <w:szCs w:val="24"/>
          <w:lang w:eastAsia="en-US"/>
        </w:rPr>
        <w:tab/>
        <w:t>Týmito cieľmi by sa mali vymedziť oblasti zapojenia agentúry do podpory poskytovanej Komisii a členským štátom v rámci technickej a operačnej pomoci s cieľom vykonávať politiky Únie v námornej oblasti.</w:t>
      </w:r>
    </w:p>
    <w:p w:rsidR="00B47592" w:rsidRDefault="004245EA">
      <w:pPr>
        <w:spacing w:before="120" w:after="120" w:line="360" w:lineRule="auto"/>
        <w:ind w:left="850" w:hanging="850"/>
        <w:rPr>
          <w:b/>
          <w:szCs w:val="24"/>
          <w:lang w:eastAsia="en-US"/>
        </w:rPr>
      </w:pPr>
      <w:r>
        <w:rPr>
          <w:szCs w:val="24"/>
          <w:lang w:eastAsia="en-US"/>
        </w:rPr>
        <w:t>(10)</w:t>
      </w:r>
      <w:r>
        <w:rPr>
          <w:szCs w:val="24"/>
          <w:lang w:eastAsia="en-US"/>
        </w:rPr>
        <w:tab/>
        <w:t>Na riadne splnenie týchto cieľov je vhodné, aby agentúra vykonávala osobitné úlohy v oblasti námornej bezpečnosti</w:t>
      </w:r>
      <w:r>
        <w:rPr>
          <w:b/>
          <w:i/>
          <w:szCs w:val="24"/>
          <w:lang w:eastAsia="en-US"/>
        </w:rPr>
        <w:t>, zabránenia znečisťovaniu z lodí</w:t>
      </w:r>
      <w:r>
        <w:rPr>
          <w:szCs w:val="24"/>
          <w:lang w:eastAsia="en-US"/>
        </w:rPr>
        <w:t>, udržateľnosti, dekarbonizácie odvetvia námornej dopravy, ochrany námornej dopravy a kybernetickej bezpečnosti, námorného dozoru a námorných kríz a podpory digitalizácie a uľahčovania výmen údajov v námornej oblasti.</w:t>
      </w:r>
      <w:r>
        <w:rPr>
          <w:b/>
          <w:i/>
          <w:szCs w:val="24"/>
          <w:lang w:eastAsia="en-US"/>
        </w:rPr>
        <w:t xml:space="preserve"> Pri vykonávaní týchto úloh by agentúra mala venovať pozornosť špecifikám rôznych druhov námorných činností s osobitným dôrazom na podmienky uplatniteľné na odvetvie rybolovu.</w:t>
      </w:r>
      <w:r>
        <w:rPr>
          <w:b/>
          <w:szCs w:val="24"/>
          <w:lang w:eastAsia="en-US"/>
        </w:rPr>
        <w:t xml:space="preserve"> [PN 3]</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(11)</w:t>
      </w:r>
      <w:r>
        <w:rPr>
          <w:szCs w:val="24"/>
          <w:lang w:eastAsia="en-US"/>
        </w:rPr>
        <w:tab/>
        <w:t>Okrem osobitných úloh by agentúra mala na žiadosť Komisie alebo členských štátov poskytovať horizontálnu, technickú podporu v záujme plnenia každej úlohy, ktorá patrí do rámca jej právomocí a cieľov a ktorá vyplynie z budúcich potrieb a vývoja na úrovni Únie</w:t>
      </w:r>
      <w:r>
        <w:rPr>
          <w:b/>
          <w:i/>
          <w:szCs w:val="24"/>
          <w:lang w:eastAsia="en-US"/>
        </w:rPr>
        <w:t xml:space="preserve"> v pôsobnosti právnych predpisov v oblasti námornej dopravy</w:t>
      </w:r>
      <w:r>
        <w:rPr>
          <w:szCs w:val="24"/>
          <w:lang w:eastAsia="en-US"/>
        </w:rPr>
        <w:t xml:space="preserve">. Tieto dodatočné úlohy by sa mali posúdiť z hľadiska dostupných ľudských a finančných zdrojov, ktoré by správna rada agentúry mala zohľadniť pred prijatím rozhodnutia zaradiť ich v rámci ročného alebo viacročného pracovného programu agentúry do jej jednotného programového dokumentu. </w:t>
      </w:r>
      <w:r>
        <w:rPr>
          <w:b/>
          <w:i/>
          <w:szCs w:val="24"/>
          <w:lang w:eastAsia="en-US"/>
        </w:rPr>
        <w:t xml:space="preserve">Nové dodatočné úlohy by preto mali byť sprevádzané legislatívnym finančným výkazom, ktorý sa predloží legislatívnym a rozpočtovým orgánom. </w:t>
      </w:r>
      <w:r>
        <w:rPr>
          <w:szCs w:val="24"/>
          <w:lang w:eastAsia="en-US"/>
        </w:rPr>
        <w:t>Je to nevyhnutné, aby sa zabezpečilo, že v prípade potreby bude možné uprednostniť určité úlohy, ktoré tvoria základ činnosti agentúry.</w:t>
      </w:r>
      <w:r>
        <w:rPr>
          <w:b/>
          <w:szCs w:val="24"/>
          <w:lang w:eastAsia="en-US"/>
        </w:rPr>
        <w:t xml:space="preserve"> [PN 4]</w:t>
      </w:r>
    </w:p>
    <w:p w:rsidR="00B47592" w:rsidRDefault="004245EA">
      <w:pPr>
        <w:spacing w:before="120" w:after="120" w:line="360" w:lineRule="auto"/>
        <w:ind w:left="850" w:hanging="850"/>
        <w:rPr>
          <w:b/>
          <w:szCs w:val="24"/>
          <w:lang w:eastAsia="en-US"/>
        </w:rPr>
      </w:pPr>
      <w:r>
        <w:rPr>
          <w:b/>
          <w:i/>
          <w:szCs w:val="24"/>
          <w:lang w:eastAsia="en-US"/>
        </w:rPr>
        <w:t>(11a)</w:t>
      </w:r>
      <w:r>
        <w:rPr>
          <w:szCs w:val="24"/>
          <w:lang w:eastAsia="en-US"/>
        </w:rPr>
        <w:tab/>
      </w:r>
      <w:r>
        <w:rPr>
          <w:b/>
          <w:i/>
          <w:szCs w:val="24"/>
          <w:lang w:eastAsia="en-US"/>
        </w:rPr>
        <w:t>Agentúra by pri plnení svojich úloh mala venovať osobitnú pozornosť odvetviu rybárstva, pretože má v EÚ značný hospodársky a sociálny vplyv. Ide najmä o to, že rybárske lode a rybári sú vystavovaní väčším bezpečnostným rizikám na mori a zároveň zohrávajú významnú úlohu pri zelenej transformácii.</w:t>
      </w:r>
      <w:r>
        <w:rPr>
          <w:b/>
          <w:szCs w:val="24"/>
          <w:lang w:eastAsia="en-US"/>
        </w:rPr>
        <w:t xml:space="preserve"> [PN 5]</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(12)</w:t>
      </w:r>
      <w:r>
        <w:rPr>
          <w:szCs w:val="24"/>
          <w:lang w:eastAsia="en-US"/>
        </w:rPr>
        <w:tab/>
        <w:t>Agentúra zaujíma z hľadiska technických odborných znalostí v oblastiach svojich právomocí popredné postavenie, a preto by členským štátom mala poskytovať činnosti odbornej prípravy a budovania kapacít, pre ktoré vyvinie kurzy so spoločnými základnými učebnými osnovami a pri ktorých uskutočňovaní použije technologicky najvyspelejšie nástroje.</w:t>
      </w:r>
      <w:r>
        <w:rPr>
          <w:b/>
          <w:i/>
          <w:szCs w:val="24"/>
          <w:lang w:eastAsia="en-US"/>
        </w:rPr>
        <w:t xml:space="preserve"> Agentúra by mala okrem iného podporovať odbornú prípravu inšpektorov štátnej prístavnej kontroly členských štátov a úradníkov správnych orgánov vlajkového štátu na vykonávanie cielených inšpekcií, pokiaľ ide o vykonávanie a presadzovanie Dohovoru o pracovných normách v námornej doprave z roku 2006 v súvislosti s uplatňovaním práv námorníkov a pracovných a životných podmienok na palubách lodí. S cieľom zvýšiť atraktívnosť námorných profesií by agentúra mala posúdiť vytvorenie siete zahŕňajúcej akademickú obec a akékoľvek iné inštitúcie poskytujúce vhodné kvalifikácie na podporu potrieb celoživotného vzdelávania.</w:t>
      </w:r>
      <w:r>
        <w:rPr>
          <w:b/>
          <w:szCs w:val="24"/>
          <w:lang w:eastAsia="en-US"/>
        </w:rPr>
        <w:t xml:space="preserve"> [PN 6]</w:t>
      </w:r>
    </w:p>
    <w:p w:rsidR="00B47592" w:rsidRDefault="004245EA">
      <w:pPr>
        <w:spacing w:before="120" w:after="120" w:line="360" w:lineRule="auto"/>
        <w:ind w:left="850" w:hanging="850"/>
        <w:rPr>
          <w:b/>
          <w:szCs w:val="24"/>
          <w:lang w:eastAsia="en-US"/>
        </w:rPr>
      </w:pPr>
      <w:r>
        <w:rPr>
          <w:szCs w:val="24"/>
          <w:lang w:eastAsia="en-US"/>
        </w:rPr>
        <w:t>(13)</w:t>
      </w:r>
      <w:r>
        <w:rPr>
          <w:szCs w:val="24"/>
          <w:lang w:eastAsia="en-US"/>
        </w:rPr>
        <w:tab/>
        <w:t xml:space="preserve">Agentúra by tieto svoje technické odborné znalosti mala ďalej rozvíjať tak, že bude uskutočňovať výskum v námornej oblasti a prispievať k príslušným činnostiam Únie v danej oblasti. Proaktívnym prístupom by mala prispievať k dosahovaniu cieľov zvýšenia námornej bezpečnosti, ochrany námornej dopravy, dekarbonizácie lodnej dopravy a </w:t>
      </w:r>
      <w:r>
        <w:rPr>
          <w:b/>
          <w:i/>
          <w:szCs w:val="24"/>
          <w:lang w:eastAsia="en-US"/>
        </w:rPr>
        <w:t xml:space="preserve">námorných prístavov a </w:t>
      </w:r>
      <w:r>
        <w:rPr>
          <w:szCs w:val="24"/>
          <w:lang w:eastAsia="en-US"/>
        </w:rPr>
        <w:t>zabránenia znečisťovaniu z lodí. V tejto súvislosti by agentúra mohla vydávať relevantné nezáväzné usmernenia, odporúčania alebo príručky, ktoré by mohli Komisii, členským štátom a/alebo námornému odvetviu pomôcť pri dosahovaní týchto cieľov.</w:t>
      </w:r>
      <w:r>
        <w:rPr>
          <w:b/>
          <w:szCs w:val="24"/>
          <w:lang w:eastAsia="en-US"/>
        </w:rPr>
        <w:t xml:space="preserve"> [PN 7]</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(14)</w:t>
      </w:r>
      <w:r>
        <w:rPr>
          <w:szCs w:val="24"/>
          <w:lang w:eastAsia="en-US"/>
        </w:rPr>
        <w:tab/>
        <w:t xml:space="preserve">Pokiaľ ide o námornú bezpečnosť, mala by agentúra vypracovať proaktívny prístup pri určovaní bezpečnostných rizík a výziev, na základe ktorého by Komisii mala každé tri roky predložiť správu o pokroku v oblasti námornej bezpečnosti. Agentúra by okrem toho mala naďalej pomáhať Komisii a členským štátom pri vykonávaní príslušných právnych predpisov Únie, najmä v oblastiach povinností vlajkových a prístavných štátov, </w:t>
      </w:r>
      <w:proofErr w:type="spellStart"/>
      <w:r>
        <w:rPr>
          <w:strike/>
          <w:szCs w:val="24"/>
          <w:lang w:eastAsia="en-US"/>
        </w:rPr>
        <w:t>vyšetrovania</w:t>
      </w:r>
      <w:r>
        <w:rPr>
          <w:b/>
          <w:i/>
          <w:szCs w:val="24"/>
          <w:lang w:eastAsia="en-US"/>
        </w:rPr>
        <w:t>pričom</w:t>
      </w:r>
      <w:proofErr w:type="spellEnd"/>
      <w:r>
        <w:rPr>
          <w:b/>
          <w:i/>
          <w:szCs w:val="24"/>
          <w:lang w:eastAsia="en-US"/>
        </w:rPr>
        <w:t xml:space="preserve"> by mala priamo podporovať vyšetrovanie</w:t>
      </w:r>
      <w:r>
        <w:rPr>
          <w:szCs w:val="24"/>
          <w:lang w:eastAsia="en-US"/>
        </w:rPr>
        <w:t xml:space="preserve"> námorných nehôd, právnych predpisov o bezpečnosti osobných lodí, uznaných organizácií a vybavenia námorných lodí. V neposlednom rade by agentúra mala iniciatívne vystupovať v rámci pomoci pri zavádzaní námorných autonómnych a automatizovaných hladinových lodí, pričom je zároveň dôležité zbierať ďalšie údaje v oblasti odbornej prípravy a osvedčovania námorníkov a Dohovoru o pracovných normách v námornej doprave (2006).</w:t>
      </w:r>
      <w:r>
        <w:rPr>
          <w:b/>
          <w:szCs w:val="24"/>
          <w:lang w:eastAsia="en-US"/>
        </w:rPr>
        <w:t xml:space="preserve"> [PN 8]</w:t>
      </w:r>
    </w:p>
    <w:p w:rsidR="00B47592" w:rsidRDefault="004245EA">
      <w:pPr>
        <w:spacing w:before="120" w:after="120" w:line="360" w:lineRule="auto"/>
        <w:ind w:left="850" w:hanging="850"/>
        <w:rPr>
          <w:b/>
          <w:szCs w:val="24"/>
          <w:lang w:eastAsia="en-US"/>
        </w:rPr>
      </w:pPr>
      <w:r>
        <w:rPr>
          <w:b/>
          <w:i/>
          <w:szCs w:val="24"/>
          <w:lang w:eastAsia="en-US"/>
        </w:rPr>
        <w:t>(14a)</w:t>
      </w:r>
      <w:r>
        <w:rPr>
          <w:szCs w:val="24"/>
          <w:lang w:eastAsia="en-US"/>
        </w:rPr>
        <w:tab/>
      </w:r>
      <w:r>
        <w:rPr>
          <w:b/>
          <w:i/>
          <w:szCs w:val="24"/>
          <w:lang w:eastAsia="en-US"/>
        </w:rPr>
        <w:t>Vyzýva Komisiu, aby do práva EÚ transponovala Medzinárodný dohovor IMO o normách výcviku, kvalifikácie a strážnej služby posádky rybárskych plavidiel (STCW-F 1995) s cieľom dosiahnuť harmonizovaný rámec pre minimálnu úroveň odbornej prípravy rybárov v Európe.</w:t>
      </w:r>
      <w:r>
        <w:rPr>
          <w:b/>
          <w:szCs w:val="24"/>
          <w:lang w:eastAsia="en-US"/>
        </w:rPr>
        <w:t xml:space="preserve"> [PN 9]</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(15)</w:t>
      </w:r>
      <w:r>
        <w:rPr>
          <w:szCs w:val="24"/>
          <w:lang w:eastAsia="en-US"/>
        </w:rPr>
        <w:tab/>
        <w:t xml:space="preserve">Od poslednej podstatnej zmeny nariadenia v roku 2013 došlo k významnému vývoju právnych predpisov v odvetví námornej dopravy, pokiaľ ide o udržateľnosť. Popri úlohách, na ktoré sa doteraz vzťahoval mandát agentúry, ako je zabránenie znečisťovaniu z lodí a zo zariadení na ťažbu ropy a zemného plynu, najmä prostredníctvom prevádzky systému </w:t>
      </w:r>
      <w:proofErr w:type="spellStart"/>
      <w:r>
        <w:rPr>
          <w:szCs w:val="24"/>
          <w:lang w:eastAsia="en-US"/>
        </w:rPr>
        <w:t>CleanSeaNet</w:t>
      </w:r>
      <w:proofErr w:type="spellEnd"/>
      <w:r>
        <w:rPr>
          <w:szCs w:val="24"/>
          <w:lang w:eastAsia="en-US"/>
        </w:rPr>
        <w:t>, by agentúra mala naďalej pomáhať Komisii pri vykonávaní smernice Európskeho parlamentu a Rady (EÚ) 2019/883</w:t>
      </w:r>
      <w:r>
        <w:rPr>
          <w:szCs w:val="24"/>
          <w:vertAlign w:val="superscript"/>
          <w:lang w:eastAsia="en-US"/>
        </w:rPr>
        <w:footnoteReference w:id="11"/>
      </w:r>
      <w:r>
        <w:rPr>
          <w:szCs w:val="24"/>
          <w:lang w:eastAsia="en-US"/>
        </w:rPr>
        <w:t xml:space="preserve"> a táto úloha by sa mala zohľadniť v jej aktualizovanom mandáte. Navyše je čoraz väčšmi potrebné, aby agentúra pokračovala v poskytovaní pomoci pri vykonávaní prvkov smerníc Európskeho parlamentu a Rady 2008/56/ES</w:t>
      </w:r>
      <w:r>
        <w:rPr>
          <w:szCs w:val="24"/>
          <w:vertAlign w:val="superscript"/>
          <w:lang w:eastAsia="en-US"/>
        </w:rPr>
        <w:footnoteReference w:id="12"/>
      </w:r>
      <w:r>
        <w:rPr>
          <w:szCs w:val="24"/>
          <w:lang w:eastAsia="en-US"/>
        </w:rPr>
        <w:t xml:space="preserve"> a (EÚ) 2016/802</w:t>
      </w:r>
      <w:r>
        <w:rPr>
          <w:szCs w:val="24"/>
          <w:vertAlign w:val="superscript"/>
          <w:lang w:eastAsia="en-US"/>
        </w:rPr>
        <w:footnoteReference w:id="13"/>
      </w:r>
      <w:r>
        <w:rPr>
          <w:szCs w:val="24"/>
          <w:lang w:eastAsia="en-US"/>
        </w:rPr>
        <w:t xml:space="preserve"> súvisiacich s lodnou dopravou. Tieto dve oblasti spoločne s účasťou agentúry na zbere, analýze a spoločnom využívaní údajov súvisiacich s emisiami oxidov dusíka (</w:t>
      </w:r>
      <w:proofErr w:type="spellStart"/>
      <w:r>
        <w:rPr>
          <w:szCs w:val="24"/>
          <w:lang w:eastAsia="en-US"/>
        </w:rPr>
        <w:t>NO</w:t>
      </w:r>
      <w:r>
        <w:rPr>
          <w:szCs w:val="24"/>
          <w:vertAlign w:val="subscript"/>
          <w:lang w:eastAsia="en-US"/>
        </w:rPr>
        <w:t>x</w:t>
      </w:r>
      <w:proofErr w:type="spellEnd"/>
      <w:r>
        <w:rPr>
          <w:szCs w:val="24"/>
          <w:lang w:eastAsia="en-US"/>
        </w:rPr>
        <w:t>) z lodí sú dôležité pre podporu udržateľnosti v odvetví námornej dopravy, v súvislosti s ktorou by agentúra mala každé tri roky predkladať správu o dosiahnutom pokroku.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(16)</w:t>
      </w:r>
      <w:r>
        <w:rPr>
          <w:szCs w:val="24"/>
          <w:lang w:eastAsia="en-US"/>
        </w:rPr>
        <w:tab/>
        <w:t xml:space="preserve">V oblasti dekarbonizácie odvetvia lodnej dopravy by sa mali podporovať súčasné snahy o obmedzenie celosvetových emisií z námornej dopravy v rámci Medzinárodnej námornej organizácie vrátane rýchleho vykonania prvej stratégie Medzinárodnej námornej organizácie na zníženie emisií skleníkových plynov z lodí prijatej v roku 2018. Prebiehajú rokovania o prostriedkoch vykonávania tohto ambiciózneho cieľa v praxi </w:t>
      </w:r>
      <w:r>
        <w:rPr>
          <w:strike/>
          <w:szCs w:val="24"/>
          <w:lang w:eastAsia="en-US"/>
        </w:rPr>
        <w:t xml:space="preserve">vrátane rokovaní o revízii </w:t>
      </w:r>
      <w:proofErr w:type="spellStart"/>
      <w:r>
        <w:rPr>
          <w:strike/>
          <w:szCs w:val="24"/>
          <w:lang w:eastAsia="en-US"/>
        </w:rPr>
        <w:t>prvej</w:t>
      </w:r>
      <w:r>
        <w:rPr>
          <w:b/>
          <w:i/>
          <w:szCs w:val="24"/>
          <w:lang w:eastAsia="en-US"/>
        </w:rPr>
        <w:t>.V</w:t>
      </w:r>
      <w:proofErr w:type="spellEnd"/>
      <w:r>
        <w:rPr>
          <w:b/>
          <w:i/>
          <w:szCs w:val="24"/>
          <w:lang w:eastAsia="en-US"/>
        </w:rPr>
        <w:t xml:space="preserve"> rámci nich sa diskutuje aj o možnosti revízie pôvodnej stratégie a zároveň sú príležitosťou zamyslieť sa nad ambíciami Únie na medzinárodnej úrovni a nad významom zabezpečenia rovnakých podmienok na celosvetovej úrovni, ktoré by viedli k posilneniu námornej konkurencieschopnosti EÚ</w:t>
      </w:r>
      <w:r>
        <w:rPr>
          <w:szCs w:val="24"/>
          <w:lang w:eastAsia="en-US"/>
        </w:rPr>
        <w:t xml:space="preserve"> stratégie. Na úrovni Únie bol vypracovaný súbor politík a legislatívnych návrhov na podporu dekarbonizácie a na ďalšie presadzovanie udržateľnosti odvetvia námornej dopravy, čo sa odráža najmä v Európskej zelenej dohode, stratégii pre udržateľnú a inteligentnú mobilitu, legislatívnom balíku Fit </w:t>
      </w:r>
      <w:proofErr w:type="spellStart"/>
      <w:r>
        <w:rPr>
          <w:szCs w:val="24"/>
          <w:lang w:eastAsia="en-US"/>
        </w:rPr>
        <w:t>for</w:t>
      </w:r>
      <w:proofErr w:type="spellEnd"/>
      <w:r>
        <w:rPr>
          <w:szCs w:val="24"/>
          <w:lang w:eastAsia="en-US"/>
        </w:rPr>
        <w:t xml:space="preserve"> 55 a stratégii nulového znečistenia. Preto by sa v mandáte agentúry mala zohľadniť potreba znížiť emisie skleníkových plynov z odvetvia námornej dopravy.</w:t>
      </w:r>
      <w:r>
        <w:rPr>
          <w:b/>
          <w:szCs w:val="24"/>
          <w:lang w:eastAsia="en-US"/>
        </w:rPr>
        <w:t xml:space="preserve"> [PN 10]</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(17)</w:t>
      </w:r>
      <w:r>
        <w:rPr>
          <w:szCs w:val="24"/>
          <w:lang w:eastAsia="en-US"/>
        </w:rPr>
        <w:tab/>
        <w:t>V tejto súvislosti by agentúra síce naďalej mala poskytovať pomoc Komisii a členským štátom pri vykonávaní nariadenia Európskeho parlamentu a Rady (EÚ) 2015/757</w:t>
      </w:r>
      <w:r>
        <w:rPr>
          <w:szCs w:val="24"/>
          <w:vertAlign w:val="superscript"/>
          <w:lang w:eastAsia="en-US"/>
        </w:rPr>
        <w:footnoteReference w:id="14"/>
      </w:r>
      <w:r>
        <w:rPr>
          <w:szCs w:val="24"/>
          <w:lang w:eastAsia="en-US"/>
        </w:rPr>
        <w:t xml:space="preserve">, ďalej by však mala ďalej pomáhať pri vykonávaní nových regulačných opatrení na dekarbonizáciu odvetvia lodnej dopravy vyplývajúcich z legislatívneho balíka Fit </w:t>
      </w:r>
      <w:proofErr w:type="spellStart"/>
      <w:r>
        <w:rPr>
          <w:szCs w:val="24"/>
          <w:lang w:eastAsia="en-US"/>
        </w:rPr>
        <w:t>for</w:t>
      </w:r>
      <w:proofErr w:type="spellEnd"/>
      <w:r>
        <w:rPr>
          <w:szCs w:val="24"/>
          <w:lang w:eastAsia="en-US"/>
        </w:rPr>
        <w:t xml:space="preserve"> 55, ako sú nariadenie […] o využívaní palív z obnoviteľných zdrojov a </w:t>
      </w:r>
      <w:proofErr w:type="spellStart"/>
      <w:r>
        <w:rPr>
          <w:szCs w:val="24"/>
          <w:lang w:eastAsia="en-US"/>
        </w:rPr>
        <w:t>nízkouhlíkových</w:t>
      </w:r>
      <w:proofErr w:type="spellEnd"/>
      <w:r>
        <w:rPr>
          <w:szCs w:val="24"/>
          <w:lang w:eastAsia="en-US"/>
        </w:rPr>
        <w:t xml:space="preserve"> palív v námornej doprave a prvky smernice Európskeho parlamentu a Rady 2003/87/ES</w:t>
      </w:r>
      <w:r>
        <w:rPr>
          <w:szCs w:val="24"/>
          <w:vertAlign w:val="superscript"/>
          <w:lang w:eastAsia="en-US"/>
        </w:rPr>
        <w:footnoteReference w:id="15"/>
      </w:r>
      <w:r>
        <w:rPr>
          <w:szCs w:val="24"/>
          <w:lang w:eastAsia="en-US"/>
        </w:rPr>
        <w:t xml:space="preserve"> o vytvorení systému obchodovania s emisnými kvótami skleníkových plynov v Spoločenstve, ktoré súvisia s lodnou dopravou. </w:t>
      </w:r>
      <w:r>
        <w:rPr>
          <w:b/>
          <w:i/>
          <w:szCs w:val="24"/>
          <w:lang w:eastAsia="en-US"/>
        </w:rPr>
        <w:t xml:space="preserve">Zahŕňa to aj monitorovanie a nahlasovanie vplyvov systému EU </w:t>
      </w:r>
      <w:proofErr w:type="spellStart"/>
      <w:r>
        <w:rPr>
          <w:b/>
          <w:i/>
          <w:szCs w:val="24"/>
          <w:lang w:eastAsia="en-US"/>
        </w:rPr>
        <w:t>ETS</w:t>
      </w:r>
      <w:proofErr w:type="spellEnd"/>
      <w:r>
        <w:rPr>
          <w:b/>
          <w:i/>
          <w:szCs w:val="24"/>
          <w:lang w:eastAsia="en-US"/>
        </w:rPr>
        <w:t xml:space="preserve"> a iniciatívy </w:t>
      </w:r>
      <w:proofErr w:type="spellStart"/>
      <w:r>
        <w:rPr>
          <w:b/>
          <w:i/>
          <w:szCs w:val="24"/>
          <w:lang w:eastAsia="en-US"/>
        </w:rPr>
        <w:t>FuelEU</w:t>
      </w:r>
      <w:proofErr w:type="spellEnd"/>
      <w:r>
        <w:rPr>
          <w:b/>
          <w:i/>
          <w:szCs w:val="24"/>
          <w:lang w:eastAsia="en-US"/>
        </w:rPr>
        <w:t xml:space="preserve"> </w:t>
      </w:r>
      <w:proofErr w:type="spellStart"/>
      <w:r>
        <w:rPr>
          <w:b/>
          <w:i/>
          <w:szCs w:val="24"/>
          <w:lang w:eastAsia="en-US"/>
        </w:rPr>
        <w:t>Maritime</w:t>
      </w:r>
      <w:proofErr w:type="spellEnd"/>
      <w:r>
        <w:rPr>
          <w:b/>
          <w:i/>
          <w:szCs w:val="24"/>
          <w:lang w:eastAsia="en-US"/>
        </w:rPr>
        <w:t xml:space="preserve"> na prístavnú dopravu, úniky v prístavoch a presun dopravy do prístavov prekládky v tretích krajinách na úkor prístavov EÚ. </w:t>
      </w:r>
      <w:r>
        <w:rPr>
          <w:szCs w:val="24"/>
          <w:lang w:eastAsia="en-US"/>
        </w:rPr>
        <w:t xml:space="preserve">Agentúra by mala byť naďalej lídrom v oblasti odborných znalostí na úrovni Únie, aby mohla pomáhať pri prechode odvetvia na palivá z obnoviteľných zdrojov a </w:t>
      </w:r>
      <w:proofErr w:type="spellStart"/>
      <w:r>
        <w:rPr>
          <w:szCs w:val="24"/>
          <w:lang w:eastAsia="en-US"/>
        </w:rPr>
        <w:t>nízkouhlíkové</w:t>
      </w:r>
      <w:proofErr w:type="spellEnd"/>
      <w:r>
        <w:rPr>
          <w:szCs w:val="24"/>
          <w:lang w:eastAsia="en-US"/>
        </w:rPr>
        <w:t xml:space="preserve"> palivá tak, že bude vykonávať výskum a poskytovať usmernenia o prijímaní a zavádzaní udržateľných alternatívnych zdrojov energie pre lode </w:t>
      </w:r>
      <w:proofErr w:type="spellStart"/>
      <w:r>
        <w:rPr>
          <w:strike/>
          <w:szCs w:val="24"/>
          <w:lang w:eastAsia="en-US"/>
        </w:rPr>
        <w:t>vrátane</w:t>
      </w:r>
      <w:r>
        <w:rPr>
          <w:b/>
          <w:i/>
          <w:szCs w:val="24"/>
          <w:lang w:eastAsia="en-US"/>
        </w:rPr>
        <w:t>a</w:t>
      </w:r>
      <w:proofErr w:type="spellEnd"/>
      <w:r>
        <w:rPr>
          <w:b/>
          <w:i/>
          <w:szCs w:val="24"/>
          <w:lang w:eastAsia="en-US"/>
        </w:rPr>
        <w:t xml:space="preserve"> súvisiacej infraštruktúry v prístavných oblastiach,</w:t>
      </w:r>
      <w:r>
        <w:rPr>
          <w:szCs w:val="24"/>
          <w:lang w:eastAsia="en-US"/>
        </w:rPr>
        <w:t xml:space="preserve"> pobrežného zásobovania lodí elektrinou a v súvislosti so zavádzaním energeticky efektívnych riešení a riešení pohonu pomocou vetra</w:t>
      </w:r>
      <w:r>
        <w:rPr>
          <w:b/>
          <w:i/>
          <w:szCs w:val="24"/>
          <w:lang w:eastAsia="en-US"/>
        </w:rPr>
        <w:t>, slnečnej energie a kinetických vĺn</w:t>
      </w:r>
      <w:r>
        <w:rPr>
          <w:szCs w:val="24"/>
          <w:lang w:eastAsia="en-US"/>
        </w:rPr>
        <w:t>.</w:t>
      </w:r>
      <w:r>
        <w:rPr>
          <w:b/>
          <w:i/>
          <w:szCs w:val="24"/>
          <w:lang w:eastAsia="en-US"/>
        </w:rPr>
        <w:t xml:space="preserve"> To zahŕňa aj nové technológie znižovania emisií skleníkových plynov, ako je zachytávanie uhlíka na palube, a postupy energetickej efektívnosti, ako je pomalá plavba. Okrem toho by mala poskytovať svoje odborné znalosti týkajúce sa rizík prístavov v súvislosti s bezpečnosťou, tankovaním a skladovaním paliva pri zavádzaní udržateľných alternatívnych palív a technologických a regulačných prekážok. S cieľom monitorovať a pripraviť pôdu pre pokrok</w:t>
      </w:r>
      <w:r>
        <w:rPr>
          <w:strike/>
          <w:szCs w:val="24"/>
          <w:lang w:eastAsia="en-US"/>
        </w:rPr>
        <w:t xml:space="preserve"> Na účely monitorovania pokroku</w:t>
      </w:r>
      <w:r>
        <w:rPr>
          <w:szCs w:val="24"/>
          <w:lang w:eastAsia="en-US"/>
        </w:rPr>
        <w:t xml:space="preserve"> v oblasti dekarbonizácie odvetvia lodnej dopravy </w:t>
      </w:r>
      <w:r>
        <w:rPr>
          <w:b/>
          <w:i/>
          <w:szCs w:val="24"/>
          <w:lang w:eastAsia="en-US"/>
        </w:rPr>
        <w:t>a prístavných oblast</w:t>
      </w:r>
      <w:r w:rsidR="00243D3D">
        <w:rPr>
          <w:b/>
          <w:i/>
          <w:szCs w:val="24"/>
          <w:lang w:eastAsia="en-US"/>
        </w:rPr>
        <w:t>í</w:t>
      </w:r>
      <w:r>
        <w:rPr>
          <w:b/>
          <w:i/>
          <w:szCs w:val="24"/>
          <w:lang w:eastAsia="en-US"/>
        </w:rPr>
        <w:t xml:space="preserve"> </w:t>
      </w:r>
      <w:r>
        <w:rPr>
          <w:szCs w:val="24"/>
          <w:lang w:eastAsia="en-US"/>
        </w:rPr>
        <w:t>by agentúra mala každé tri roky podávať Komisii</w:t>
      </w:r>
      <w:r>
        <w:rPr>
          <w:b/>
          <w:i/>
          <w:szCs w:val="24"/>
          <w:lang w:eastAsia="en-US"/>
        </w:rPr>
        <w:t xml:space="preserve"> a Európskemu parlamentu</w:t>
      </w:r>
      <w:r>
        <w:rPr>
          <w:szCs w:val="24"/>
          <w:lang w:eastAsia="en-US"/>
        </w:rPr>
        <w:t xml:space="preserve"> správu o úsilí o znižovanie emisií skleníkových plynov a o všetkých prípadných odporúčaniach.</w:t>
      </w:r>
      <w:r>
        <w:rPr>
          <w:b/>
          <w:i/>
          <w:szCs w:val="24"/>
          <w:lang w:eastAsia="en-US"/>
        </w:rPr>
        <w:t xml:space="preserve"> Agentúra by mala podávať správy aj o všetkých administratívnych a praktických ťažkostiach, s ktorými sa členské štáty stretávajú pri vykonávaní súvisiacich legislatívnych aktov.</w:t>
      </w:r>
      <w:r>
        <w:rPr>
          <w:b/>
          <w:szCs w:val="24"/>
          <w:lang w:eastAsia="en-US"/>
        </w:rPr>
        <w:t xml:space="preserve"> [PN 11]</w:t>
      </w: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(18)</w:t>
      </w:r>
      <w:r>
        <w:rPr>
          <w:szCs w:val="24"/>
          <w:lang w:eastAsia="en-US"/>
        </w:rPr>
        <w:tab/>
        <w:t>V oblasti ochrany námornej dopravy by agentúra mala naďalej poskytovať Komisii technickú pomoc pre inšpekcie v rámci nariadenia Európskeho parlamentu a Rady (ES) č. 725/2004</w:t>
      </w:r>
      <w:r>
        <w:rPr>
          <w:szCs w:val="24"/>
          <w:vertAlign w:val="superscript"/>
          <w:lang w:eastAsia="en-US"/>
        </w:rPr>
        <w:footnoteReference w:id="16"/>
      </w:r>
      <w:r>
        <w:rPr>
          <w:szCs w:val="24"/>
          <w:lang w:eastAsia="en-US"/>
        </w:rPr>
        <w:t xml:space="preserve"> o zvýšení bezpečnosti lodí a prístavných zariadení. Vzhľadom na výrazné zvýšenie počtu </w:t>
      </w:r>
      <w:proofErr w:type="spellStart"/>
      <w:r>
        <w:rPr>
          <w:szCs w:val="24"/>
          <w:lang w:eastAsia="en-US"/>
        </w:rPr>
        <w:t>kybernetickobezpečnostných</w:t>
      </w:r>
      <w:proofErr w:type="spellEnd"/>
      <w:r>
        <w:rPr>
          <w:szCs w:val="24"/>
          <w:lang w:eastAsia="en-US"/>
        </w:rPr>
        <w:t xml:space="preserve"> incidentov v odvetví námornej dopravy v posledných rokoch by agentúra mala pomáhať v úsilí Únie</w:t>
      </w:r>
      <w:r w:rsidRPr="00243D3D">
        <w:rPr>
          <w:szCs w:val="24"/>
          <w:lang w:eastAsia="en-US"/>
        </w:rPr>
        <w:t xml:space="preserve"> </w:t>
      </w:r>
      <w:r w:rsidRPr="003F7CBF">
        <w:rPr>
          <w:szCs w:val="24"/>
          <w:lang w:eastAsia="en-US"/>
        </w:rPr>
        <w:t>o</w:t>
      </w:r>
      <w:r w:rsidR="00243D3D" w:rsidRPr="001A11F5">
        <w:rPr>
          <w:szCs w:val="24"/>
          <w:lang w:eastAsia="en-US"/>
        </w:rPr>
        <w:t xml:space="preserve"> </w:t>
      </w:r>
      <w:r>
        <w:rPr>
          <w:strike/>
          <w:szCs w:val="24"/>
          <w:lang w:eastAsia="en-US"/>
        </w:rPr>
        <w:t xml:space="preserve">zvýšenie odolnosti </w:t>
      </w:r>
      <w:proofErr w:type="spellStart"/>
      <w:r>
        <w:rPr>
          <w:strike/>
          <w:szCs w:val="24"/>
          <w:lang w:eastAsia="en-US"/>
        </w:rPr>
        <w:t>proti</w:t>
      </w:r>
      <w:r>
        <w:rPr>
          <w:b/>
          <w:i/>
          <w:szCs w:val="24"/>
          <w:lang w:eastAsia="en-US"/>
        </w:rPr>
        <w:t>predchádzanie</w:t>
      </w:r>
      <w:proofErr w:type="spellEnd"/>
      <w:r>
        <w:rPr>
          <w:szCs w:val="24"/>
          <w:lang w:eastAsia="en-US"/>
        </w:rPr>
        <w:t xml:space="preserve"> </w:t>
      </w:r>
      <w:proofErr w:type="spellStart"/>
      <w:r>
        <w:rPr>
          <w:szCs w:val="24"/>
          <w:lang w:eastAsia="en-US"/>
        </w:rPr>
        <w:t>kybernetickobezpečnostným</w:t>
      </w:r>
      <w:proofErr w:type="spellEnd"/>
      <w:r>
        <w:rPr>
          <w:szCs w:val="24"/>
          <w:lang w:eastAsia="en-US"/>
        </w:rPr>
        <w:t xml:space="preserve"> incidentom </w:t>
      </w:r>
      <w:r>
        <w:rPr>
          <w:b/>
          <w:i/>
          <w:szCs w:val="24"/>
          <w:lang w:eastAsia="en-US"/>
        </w:rPr>
        <w:t xml:space="preserve">a zvýšenie kybernetickej odolnosti </w:t>
      </w:r>
      <w:r>
        <w:rPr>
          <w:szCs w:val="24"/>
          <w:lang w:eastAsia="en-US"/>
        </w:rPr>
        <w:t>v odvetví námornej dopravy</w:t>
      </w:r>
      <w:r>
        <w:rPr>
          <w:b/>
          <w:i/>
          <w:szCs w:val="24"/>
          <w:lang w:eastAsia="en-US"/>
        </w:rPr>
        <w:t xml:space="preserve"> vypracovaním usmernení a</w:t>
      </w:r>
      <w:r>
        <w:rPr>
          <w:szCs w:val="24"/>
          <w:lang w:eastAsia="en-US"/>
        </w:rPr>
        <w:t xml:space="preserve"> uľahčením výmeny najlepších postupov a informácií o </w:t>
      </w:r>
      <w:proofErr w:type="spellStart"/>
      <w:r>
        <w:rPr>
          <w:szCs w:val="24"/>
          <w:lang w:eastAsia="en-US"/>
        </w:rPr>
        <w:t>kybernetickobezpečnostných</w:t>
      </w:r>
      <w:proofErr w:type="spellEnd"/>
      <w:r>
        <w:rPr>
          <w:szCs w:val="24"/>
          <w:lang w:eastAsia="en-US"/>
        </w:rPr>
        <w:t xml:space="preserve"> incidentoch medzi členskými štátmi.</w:t>
      </w:r>
      <w:r>
        <w:rPr>
          <w:b/>
          <w:szCs w:val="24"/>
          <w:lang w:eastAsia="en-US"/>
        </w:rPr>
        <w:t xml:space="preserve"> [PN 12]</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(19)</w:t>
      </w:r>
      <w:r>
        <w:rPr>
          <w:szCs w:val="24"/>
          <w:lang w:eastAsia="en-US"/>
        </w:rPr>
        <w:tab/>
        <w:t>Agentúra by mala naďalej prevádzkovať monitorovací a informačný systém pre lodnú dopravu zriadený podľa smernice Európskeho parlamentu a Rady 2002/59/ES</w:t>
      </w:r>
      <w:r>
        <w:rPr>
          <w:szCs w:val="24"/>
          <w:vertAlign w:val="superscript"/>
          <w:lang w:eastAsia="en-US"/>
        </w:rPr>
        <w:footnoteReference w:id="17"/>
      </w:r>
      <w:r>
        <w:rPr>
          <w:szCs w:val="24"/>
          <w:lang w:eastAsia="en-US"/>
        </w:rPr>
        <w:t xml:space="preserve">, ako aj ďalšie systémy, ktoré sú podkladom pre vytvorenie prehľadu z hľadiska informovanosti o námornej situácii. V tejto súvislosti by agentúra mala naďalej zohrávať zásadnú úlohu pri riadení zložky programu </w:t>
      </w:r>
      <w:proofErr w:type="spellStart"/>
      <w:r>
        <w:rPr>
          <w:szCs w:val="24"/>
          <w:lang w:eastAsia="en-US"/>
        </w:rPr>
        <w:t>Copernicus</w:t>
      </w:r>
      <w:proofErr w:type="spellEnd"/>
      <w:r>
        <w:rPr>
          <w:szCs w:val="24"/>
          <w:lang w:eastAsia="en-US"/>
        </w:rPr>
        <w:t xml:space="preserve"> týkajúcej sa ochrany námornej dopravy a mala by pokračovať vo využívaní najmodernejších dostupných technológií, ako sú letecké systémy pilotované na diaľku, a poskytovať tak členským štátom a ďalším orgánom Únie užitočný nástroj na dozor a monitorovanie. Okrem týchto služieb agentúra preukázala svoju strategickú úlohu pri poskytovaní informovanosti o námornej situácii na podporu v rôznych krízach, ako napríklad pandémia ochorenia COVID-19 a </w:t>
      </w:r>
      <w:r>
        <w:rPr>
          <w:strike/>
          <w:szCs w:val="24"/>
          <w:lang w:eastAsia="en-US"/>
        </w:rPr>
        <w:t xml:space="preserve">ruská </w:t>
      </w:r>
      <w:r>
        <w:rPr>
          <w:szCs w:val="24"/>
          <w:lang w:eastAsia="en-US"/>
        </w:rPr>
        <w:t>útočná vojna</w:t>
      </w:r>
      <w:r>
        <w:rPr>
          <w:b/>
          <w:i/>
          <w:szCs w:val="24"/>
          <w:lang w:eastAsia="en-US"/>
        </w:rPr>
        <w:t xml:space="preserve"> Ruska</w:t>
      </w:r>
      <w:r>
        <w:rPr>
          <w:szCs w:val="24"/>
          <w:lang w:eastAsia="en-US"/>
        </w:rPr>
        <w:t xml:space="preserve"> proti Ukrajine. Preto by agentúra mala prevádzkovať centrum, ktoré by bolo k dispozícii nepretržite a ktoré by malo pomáhať Komisii a členským štátom </w:t>
      </w:r>
      <w:r>
        <w:rPr>
          <w:strike/>
          <w:szCs w:val="24"/>
          <w:lang w:eastAsia="en-US"/>
        </w:rPr>
        <w:t xml:space="preserve">v takýchto </w:t>
      </w:r>
      <w:r>
        <w:rPr>
          <w:b/>
          <w:i/>
          <w:szCs w:val="24"/>
          <w:lang w:eastAsia="en-US"/>
        </w:rPr>
        <w:t xml:space="preserve">a poskytovať informácie o potenciálnych a </w:t>
      </w:r>
      <w:r>
        <w:rPr>
          <w:szCs w:val="24"/>
          <w:lang w:eastAsia="en-US"/>
        </w:rPr>
        <w:t>núdzových situáciách.</w:t>
      </w:r>
      <w:r>
        <w:rPr>
          <w:b/>
          <w:i/>
          <w:szCs w:val="24"/>
          <w:lang w:eastAsia="en-US"/>
        </w:rPr>
        <w:t xml:space="preserve"> Na podporu silnej a jednotnej reakcie Únie a jej členských štátov na útočnú vojnu Ruska proti Ukrajine by agentúra mala okrem iného monitorovať podozrivé správanie v okolí plynovodov a odhaľovať obchádzanie sankcií na mori.</w:t>
      </w:r>
      <w:r>
        <w:rPr>
          <w:b/>
          <w:szCs w:val="24"/>
          <w:lang w:eastAsia="en-US"/>
        </w:rPr>
        <w:t xml:space="preserve"> [PN 13]</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(20)</w:t>
      </w:r>
      <w:r>
        <w:rPr>
          <w:szCs w:val="24"/>
          <w:lang w:eastAsia="en-US"/>
        </w:rPr>
        <w:tab/>
        <w:t>Digitalizácia údajov je súčasťou technologického pokroku v oblasti zberu údajov a komunikácie a má prispieť k úsporám nákladov</w:t>
      </w:r>
      <w:r>
        <w:rPr>
          <w:b/>
          <w:i/>
          <w:szCs w:val="24"/>
          <w:lang w:eastAsia="en-US"/>
        </w:rPr>
        <w:t>, znižovaniu administratívneho zaťaženia</w:t>
      </w:r>
      <w:r>
        <w:rPr>
          <w:szCs w:val="24"/>
          <w:lang w:eastAsia="en-US"/>
        </w:rPr>
        <w:t xml:space="preserve"> a efektívnemu využívaniu ľudských zdrojov. Zavádzanie a prevádzka námorných autonómnych hladinových lodí a digitálny a technologický vývoj poskytujú široký okruh nových príležitostí z hľadiska zberu údajov a riadenia integrovaných systémov. Tým vznikajú príležitosti na možnú digitalizáciu, automatizáciu a štandardizáciu viacerých procesov, čo by mohlo na úrovni Únie uľahčiť bezpečnosť, ochranu, udržateľnosť a efektívnosť námorných operácií vrátane mechanizmov dozoru, čím by sa zároveň znížilo administratívne zaťaženie členských štátov. V tejto súvislosti by agentúra mala okrem iného uľahčiť a podporiť používanie elektronických osvedčení, zhromažďovanie, zaznamenávanie a hodnotenie technických údajov, systematické využívanie existujúcich databáz vrátane výmeny dát prostredníctvom používania inovačných nástrojov IT a umelej inteligencie a prípadne rozvoj doplňujúcich </w:t>
      </w:r>
      <w:proofErr w:type="spellStart"/>
      <w:r>
        <w:rPr>
          <w:szCs w:val="24"/>
          <w:lang w:eastAsia="en-US"/>
        </w:rPr>
        <w:t>interoperabilných</w:t>
      </w:r>
      <w:proofErr w:type="spellEnd"/>
      <w:r>
        <w:rPr>
          <w:szCs w:val="24"/>
          <w:lang w:eastAsia="en-US"/>
        </w:rPr>
        <w:t xml:space="preserve"> databáz.</w:t>
      </w:r>
      <w:r>
        <w:rPr>
          <w:b/>
          <w:szCs w:val="24"/>
          <w:lang w:eastAsia="en-US"/>
        </w:rPr>
        <w:t xml:space="preserve"> [PN 14]</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(21)</w:t>
      </w:r>
      <w:r>
        <w:rPr>
          <w:szCs w:val="24"/>
          <w:lang w:eastAsia="en-US"/>
        </w:rPr>
        <w:tab/>
        <w:t>Na to, aby agentúra mohla riadne vykonávať úlohy jej zverené, je vhodné, aby jej zamestnanci vykonávali návštevy v členských štátoch zamerané na monitorovanie celkového fungovania systému Únie pre námornú bezpečnosť a zabránenie znečisťovaniu. Agentúra by mala vykonávať aj inšpekcie, ktoré by pomohli Komisii pri posudzovaní účinného vykonávania práva Únie.</w:t>
      </w:r>
    </w:p>
    <w:p w:rsidR="00B47592" w:rsidRDefault="004245EA">
      <w:pPr>
        <w:spacing w:before="120" w:after="120" w:line="360" w:lineRule="auto"/>
        <w:ind w:left="850" w:hanging="850"/>
        <w:rPr>
          <w:b/>
          <w:szCs w:val="24"/>
          <w:lang w:eastAsia="en-US"/>
        </w:rPr>
      </w:pPr>
      <w:r>
        <w:rPr>
          <w:szCs w:val="24"/>
          <w:lang w:eastAsia="en-US"/>
        </w:rPr>
        <w:t>(22)</w:t>
      </w:r>
      <w:r>
        <w:rPr>
          <w:szCs w:val="24"/>
          <w:lang w:eastAsia="en-US"/>
        </w:rPr>
        <w:tab/>
        <w:t xml:space="preserve">Komisia a členské štáty by mohli potrebovať technickú pomoc a odborné znalosti v kontexte Medzinárodnej námornej organizácie, Medzinárodnej organizácie práce a Parížskeho memoranda o porozumení o štátnej prístavnej kontrole podpísaného v Paríži 26. januára 1982 (ďalej len „Parížske </w:t>
      </w:r>
      <w:proofErr w:type="spellStart"/>
      <w:r>
        <w:rPr>
          <w:szCs w:val="24"/>
          <w:lang w:eastAsia="en-US"/>
        </w:rPr>
        <w:t>MoP</w:t>
      </w:r>
      <w:proofErr w:type="spellEnd"/>
      <w:r>
        <w:rPr>
          <w:szCs w:val="24"/>
          <w:lang w:eastAsia="en-US"/>
        </w:rPr>
        <w:t>“)</w:t>
      </w:r>
      <w:r>
        <w:rPr>
          <w:b/>
          <w:i/>
          <w:szCs w:val="24"/>
          <w:lang w:eastAsia="en-US"/>
        </w:rPr>
        <w:t>. Tým by sa mala posilniť úloha agentúry EMSA, najmä v rámci Medzinárodnej námornej organizácie, kde by sa agentúra mohla zúčastňovať na rokovaniach a zapájať sa do nich</w:t>
      </w:r>
      <w:r>
        <w:rPr>
          <w:szCs w:val="24"/>
          <w:lang w:eastAsia="en-US"/>
        </w:rPr>
        <w:t>. Komisia by podobne mohla potrebovať technickú pomoc agentúry aj pri podpore tretích krajín v námornej oblasti, najmä v súvislosti s budovaním kapacít a prostriedkami na zabránenie znečisteniu a odozvu naň. Správna rada agentúry by sa mala poveriť tým, aby v rámci jednotného programového dokumentu prijala stratégiu medzinárodných vzťahov agentúry týkajúcu sa otázok, ktoré patria do jej právomocí.</w:t>
      </w:r>
      <w:r>
        <w:rPr>
          <w:b/>
          <w:szCs w:val="24"/>
          <w:lang w:eastAsia="en-US"/>
        </w:rPr>
        <w:t xml:space="preserve"> [PN 15]</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(23)</w:t>
      </w:r>
      <w:r>
        <w:rPr>
          <w:szCs w:val="24"/>
          <w:lang w:eastAsia="en-US"/>
        </w:rPr>
        <w:tab/>
        <w:t>Vnútroštátne orgány plniace funkcie pobrežnej stráže sú zodpovedné za široký okruh úloh, medzi ktoré môže patriť námorná bezpečnosť, bezpečnostná ochrana, pátranie a záchrana, kontrola hraníc, kontrola rybárstva, colná kontrola, všeobecné presadzovanie práva a ochrana životného prostredia. Agentúra, Európska agentúra pre pohraničnú a pobrežnú stráž zriadená nariadením Európskeho parlamentu a Rady (EÚ) 2019/1896</w:t>
      </w:r>
      <w:r>
        <w:rPr>
          <w:szCs w:val="24"/>
          <w:vertAlign w:val="superscript"/>
          <w:lang w:eastAsia="en-US"/>
        </w:rPr>
        <w:footnoteReference w:id="18"/>
      </w:r>
      <w:r>
        <w:rPr>
          <w:szCs w:val="24"/>
          <w:lang w:eastAsia="en-US"/>
        </w:rPr>
        <w:t xml:space="preserve"> a Európska agentúra pre kontrolu rybárstva zriadená nariadením Európskeho parlamentu a Rady (EÚ) 2019/473</w:t>
      </w:r>
      <w:r>
        <w:rPr>
          <w:szCs w:val="24"/>
          <w:vertAlign w:val="superscript"/>
          <w:lang w:eastAsia="en-US"/>
        </w:rPr>
        <w:footnoteReference w:id="19"/>
      </w:r>
      <w:r>
        <w:rPr>
          <w:szCs w:val="24"/>
          <w:lang w:eastAsia="en-US"/>
        </w:rPr>
        <w:t xml:space="preserve"> by preto mali v rámci svojho mandátu posilniť vzájomnú spoluprácu, ako aj spoluprácu s vnútroštátnymi orgánmi vykonávajúcimi funkcie pobrežnej stráže s cieľom zvýšiť informovanosť o námornej situácii a podporiť súdržné a nákladovo efektívne opatrenia</w:t>
      </w:r>
      <w:r>
        <w:rPr>
          <w:b/>
          <w:i/>
          <w:szCs w:val="24"/>
          <w:lang w:eastAsia="en-US"/>
        </w:rPr>
        <w:t xml:space="preserve"> poskytovaním služieb, informácií, technológií, zariadení a odbornej prípravy, ako aj koordináciou viacúčelových operácií, zhromažďovaním údajov na vedecký výskum, monitorovaním európskych vôd a realizáciou programov spolupráce s tretími krajinami</w:t>
      </w:r>
      <w:r>
        <w:rPr>
          <w:szCs w:val="24"/>
          <w:lang w:eastAsia="en-US"/>
        </w:rPr>
        <w:t>.</w:t>
      </w:r>
      <w:r>
        <w:rPr>
          <w:b/>
          <w:szCs w:val="24"/>
          <w:lang w:eastAsia="en-US"/>
        </w:rPr>
        <w:t xml:space="preserve"> [PN 16]</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(24)</w:t>
      </w:r>
      <w:r>
        <w:rPr>
          <w:szCs w:val="24"/>
          <w:lang w:eastAsia="en-US"/>
        </w:rPr>
        <w:tab/>
        <w:t>Vykonávanie tohto nariadenia by nemalo mať vplyv na rozdelenie právomocí medzi Úniou a členskými štátmi ani na záväzky členských štátov podľa medzinárodných dohovorov, ako sú Dohovor Organizácie Spojených národov o morskom práve, Medzinárodný dohovor o bezpečnosti ľudského života na mori, Medzinárodný dohovor o pátraní a záchrane na mori, Medzinárodný dohovor o zabránení znečisťovaniu z lodí, Medzinárodný dohovor o normách výcviku, kvalifikácie a strážnej služby námorníkov a ďalšie relevantné medzinárodné nástroje v námornej oblasti.</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(25)</w:t>
      </w:r>
      <w:r>
        <w:rPr>
          <w:szCs w:val="24"/>
          <w:lang w:eastAsia="en-US"/>
        </w:rPr>
        <w:tab/>
        <w:t xml:space="preserve">S cieľom zefektívniť rozhodovací proces v agentúre a prispieť k zvýšeniu efektívnosti a účinnosti by sa mala zaviesť dvojstupňová riadiaca štruktúra. Na tento účel by členské štáty a Komisia mali byť zastúpené v správnej rade, ktorej budú zverené potrebné právomoci vrátane právomoci zostaviť rozpočet a schváliť programový dokument. </w:t>
      </w:r>
      <w:r>
        <w:rPr>
          <w:b/>
          <w:i/>
          <w:szCs w:val="24"/>
          <w:lang w:eastAsia="en-US"/>
        </w:rPr>
        <w:t xml:space="preserve">Európsky parlament by mal byť zastúpený ako pozorovateľ. Správna rada by mala určovať všeobecné smerovanie činnosti agentúry a </w:t>
      </w:r>
      <w:r>
        <w:rPr>
          <w:szCs w:val="24"/>
          <w:lang w:eastAsia="en-US"/>
        </w:rPr>
        <w:t xml:space="preserve">na účely posilnenia dohľadu nad administratívnymi a rozpočtovými záležitosťami by </w:t>
      </w:r>
      <w:r>
        <w:rPr>
          <w:strike/>
          <w:szCs w:val="24"/>
          <w:lang w:eastAsia="en-US"/>
        </w:rPr>
        <w:t xml:space="preserve">správna rada mala určovať všeobecné smerovanie činnosti agentúry a mala by </w:t>
      </w:r>
      <w:r>
        <w:rPr>
          <w:b/>
          <w:i/>
          <w:szCs w:val="24"/>
          <w:lang w:eastAsia="en-US"/>
        </w:rPr>
        <w:t xml:space="preserve">mala </w:t>
      </w:r>
      <w:r>
        <w:rPr>
          <w:szCs w:val="24"/>
          <w:lang w:eastAsia="en-US"/>
        </w:rPr>
        <w:t xml:space="preserve">byť užšie zapojená do </w:t>
      </w:r>
      <w:r>
        <w:rPr>
          <w:strike/>
          <w:szCs w:val="24"/>
          <w:lang w:eastAsia="en-US"/>
        </w:rPr>
        <w:t xml:space="preserve">ich </w:t>
      </w:r>
      <w:r>
        <w:rPr>
          <w:szCs w:val="24"/>
          <w:lang w:eastAsia="en-US"/>
        </w:rPr>
        <w:t>monitorovania</w:t>
      </w:r>
      <w:r>
        <w:rPr>
          <w:b/>
          <w:i/>
          <w:szCs w:val="24"/>
          <w:lang w:eastAsia="en-US"/>
        </w:rPr>
        <w:t xml:space="preserve"> činností agentúry</w:t>
      </w:r>
      <w:r>
        <w:rPr>
          <w:szCs w:val="24"/>
          <w:lang w:eastAsia="en-US"/>
        </w:rPr>
        <w:t>. Mala by sa zriadiť menšia výkonná rada, ktorej úlohou by bola riadna príprava zasadnutí správnej rady a podpora jej rozhodovacieho procesu. Právomoci výkonnej rady by sa mali vymedziť v rámci mandátu, ktorý prijme správna rada, a v prípade potreby by mali zahŕňať stanoviská a predbežné rozhodnutia podliehajúce konečnému schváleniu správnou radou. Agentúru by mal riadiť výkonný riaditeľ.</w:t>
      </w:r>
      <w:r>
        <w:rPr>
          <w:b/>
          <w:szCs w:val="24"/>
          <w:lang w:eastAsia="en-US"/>
        </w:rPr>
        <w:t xml:space="preserve"> [PN 17]</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(26)</w:t>
      </w:r>
      <w:r>
        <w:rPr>
          <w:szCs w:val="24"/>
          <w:lang w:eastAsia="en-US"/>
        </w:rPr>
        <w:tab/>
        <w:t>Na zaručenie transparentnosti rozhodnutí správnej rady by sa na jej zasadnutiach mali zúčastňovať zástupcovia dotknutých odvetví, ale bez hlasovacieho práva. Zástupcov jednotlivých zainteresovaných strán by mala vymenúvať Komisia na základe ich reprezentatívnosti na úrovni Únie.</w:t>
      </w:r>
    </w:p>
    <w:p w:rsidR="00B47592" w:rsidRDefault="004245EA">
      <w:pPr>
        <w:spacing w:before="120" w:after="120" w:line="360" w:lineRule="auto"/>
        <w:ind w:left="850" w:hanging="850"/>
        <w:rPr>
          <w:b/>
          <w:szCs w:val="24"/>
          <w:lang w:eastAsia="en-US"/>
        </w:rPr>
      </w:pPr>
      <w:r>
        <w:rPr>
          <w:szCs w:val="24"/>
          <w:lang w:eastAsia="en-US"/>
        </w:rPr>
        <w:t>(27)</w:t>
      </w:r>
      <w:r>
        <w:rPr>
          <w:szCs w:val="24"/>
          <w:lang w:eastAsia="en-US"/>
        </w:rPr>
        <w:tab/>
        <w:t>Na to, aby agentúra mohla riadne vykonávať svoje úlohy, mala by mať právnu subjektivitu a samostatný rozpočet financovaný hlavne z príspevku Únie a</w:t>
      </w:r>
      <w:r>
        <w:rPr>
          <w:b/>
          <w:i/>
          <w:szCs w:val="24"/>
          <w:lang w:eastAsia="en-US"/>
        </w:rPr>
        <w:t xml:space="preserve"> primeraných</w:t>
      </w:r>
      <w:r>
        <w:rPr>
          <w:szCs w:val="24"/>
          <w:lang w:eastAsia="en-US"/>
        </w:rPr>
        <w:t xml:space="preserve"> poplatkov a platieb hradených tretími krajinami alebo inými subjektmi. Nezávislosť a nestrannosť agentúry by nemali byť ohrozené finančnými príspevkami, ktoré by dostávala od členských štátov, tretích krajín alebo iných subjektov. V záujme zabezpečenia nezávislosti agentúry pri jej každodennom riadení a stanoviskách, odporúčaniach a rozhodnutiach, ktoré vydáva, by jej organizácia mala byť transparentná a výkonný riaditeľ by mal mať plnú zodpovednosť. Zamestnanci agentúry by mali byť nezávislí a mali by byť zamestnaní na základe krátkodobých aj dlhodobých zmlúv, aby sa zachovali organizačné znalosti a kontinuita činnosti agentúry a aby sa súčasne zachovala potrebná a priebežná výmena odborných znalostí s odvetvím námornej dopravy. Výdavky agentúry by mali zahŕňať náklady na zamestnancov, administratívu, infraštruktúru a prevádzku.</w:t>
      </w:r>
      <w:r>
        <w:rPr>
          <w:b/>
          <w:szCs w:val="24"/>
          <w:lang w:eastAsia="en-US"/>
        </w:rPr>
        <w:t xml:space="preserve"> [PN 18]</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(28)</w:t>
      </w:r>
      <w:r>
        <w:rPr>
          <w:szCs w:val="24"/>
          <w:lang w:eastAsia="en-US"/>
        </w:rPr>
        <w:tab/>
        <w:t xml:space="preserve">Pokiaľ ide o prevenciu a riadenie konfliktov záujmov, je zásadné, aby agentúra konala nestranne, preukazovala bezúhonnosť a vysokú úroveň profesionality. Nikdy by nemali vzniknúť oprávnené dôvody domnievať sa, že rozhodnutia by mohli byť ovplyvnené záujmami, ktoré sú v rozpore s úlohou agentúry ako orgánu slúžiaceho celej Únii, alebo súkromnými záujmami, prípadne vzťahmi ktoréhokoľvek člena správnej rady, ktoré by viedli alebo by mohli viesť ku konfliktu s riadnym plnením úradných povinností dotknutej osoby. Správna rada by preto mala prijať </w:t>
      </w:r>
      <w:r>
        <w:rPr>
          <w:b/>
          <w:i/>
          <w:szCs w:val="24"/>
          <w:lang w:eastAsia="en-US"/>
        </w:rPr>
        <w:t xml:space="preserve">a zverejniť </w:t>
      </w:r>
      <w:r>
        <w:rPr>
          <w:szCs w:val="24"/>
          <w:lang w:eastAsia="en-US"/>
        </w:rPr>
        <w:t>komplexné pravidlá o konflikte záujmov</w:t>
      </w:r>
      <w:r>
        <w:rPr>
          <w:b/>
          <w:i/>
          <w:szCs w:val="24"/>
          <w:lang w:eastAsia="en-US"/>
        </w:rPr>
        <w:t>, pričom náležite zohľadní odporúčania európskeho ombudsmana</w:t>
      </w:r>
      <w:r>
        <w:rPr>
          <w:szCs w:val="24"/>
          <w:lang w:eastAsia="en-US"/>
        </w:rPr>
        <w:t>.</w:t>
      </w:r>
      <w:r>
        <w:rPr>
          <w:b/>
          <w:szCs w:val="24"/>
          <w:lang w:eastAsia="en-US"/>
        </w:rPr>
        <w:t xml:space="preserve"> [PN 19]</w:t>
      </w:r>
    </w:p>
    <w:p w:rsidR="00B47592" w:rsidRDefault="004245EA">
      <w:pPr>
        <w:spacing w:before="120" w:after="120" w:line="360" w:lineRule="auto"/>
        <w:ind w:left="850" w:hanging="850"/>
        <w:rPr>
          <w:szCs w:val="24"/>
          <w:lang w:eastAsia="en-US"/>
        </w:rPr>
      </w:pPr>
      <w:r>
        <w:rPr>
          <w:szCs w:val="24"/>
          <w:lang w:eastAsia="en-US"/>
        </w:rPr>
        <w:t>(29)</w:t>
      </w:r>
      <w:r>
        <w:rPr>
          <w:szCs w:val="24"/>
          <w:lang w:eastAsia="en-US"/>
        </w:rPr>
        <w:tab/>
        <w:t>Širší strategický výhľad, pokiaľ ide o činnosti agentúry, by pomohol účinnejšie plánovať a riadiť jej zdroje a prispel by k vyššej kvalite jej výstupov. Táto skutočnosť sa potvrdila a podporila v delegovanom nariadení (EÚ) 2019/715. Správna rada by preto po náležitých konzultáciách s príslušnými zainteresovanými stranami mala prijať a pravidelne aktualizovať jednotný programový dokument obsahujúci ročný a viacročný pracovný program.</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(30)</w:t>
      </w:r>
      <w:r>
        <w:rPr>
          <w:szCs w:val="24"/>
          <w:lang w:eastAsia="en-US"/>
        </w:rPr>
        <w:tab/>
        <w:t>Ak bola agentúra požiadaná, aby vykonávala novú úlohu, ktorá nebola osobitne stanovená v jej mandáte, alebo určité úlohy, v prípade ktorých je v súlade s jej mandátom potrebné posúdiť a analyzovať vplyv na jej zdroje z hľadiska ľudských a rozpočtových zdrojov, správna rada by tieto úlohy mala zahrnúť do programového dokumentu až po vykonaní tejto analýzy. V uvedenej analýze by sa mali určiť nevyhnutné zdroje, pomocou ktorých by agentúra mohla splniť tieto nové úlohy, ako aj to, či nové úlohy majú negatívny vplyv na existujúce úlohy agentúry.</w:t>
      </w:r>
    </w:p>
    <w:p w:rsidR="00B47592" w:rsidRDefault="004245EA">
      <w:pPr>
        <w:spacing w:before="120" w:after="120" w:line="360" w:lineRule="auto"/>
        <w:ind w:left="850" w:hanging="850"/>
        <w:rPr>
          <w:szCs w:val="24"/>
          <w:lang w:eastAsia="en-US"/>
        </w:rPr>
      </w:pPr>
      <w:r>
        <w:rPr>
          <w:szCs w:val="24"/>
          <w:lang w:eastAsia="en-US"/>
        </w:rPr>
        <w:t>(31)</w:t>
      </w:r>
      <w:r>
        <w:rPr>
          <w:szCs w:val="24"/>
          <w:lang w:eastAsia="en-US"/>
        </w:rPr>
        <w:tab/>
        <w:t>Agentúra by mala mať primerané zdroje na vykonávanie svojich úloh a mal by sa pre ňu vyčleniť samostatný rozpočet. Jej finančné prostriedky by mali pochádzať najmä z príspevku zo všeobecného rozpočtu Únie. Na príspevok Únie a všetky ďalšie dotácie, ktoré možno hradiť zo všeobecného rozpočtu Únie, by sa mal uplatňovať rozpočtový postup Únie. Audit účtov by mal vykonávať Európsky dvor audítorov.</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(32)</w:t>
      </w:r>
      <w:r>
        <w:rPr>
          <w:szCs w:val="24"/>
          <w:lang w:eastAsia="en-US"/>
        </w:rPr>
        <w:tab/>
        <w:t>V prípade konkrétnych služieb, ktoré patria do rozsahu pôsobnosti právomocí agentúry a ktoré agentúra poskytuje tretím krajinám alebo danému odvetviu, je možné zvážiť zavedenie poplatkov, ktorými sa zvýšia finančné prostriedky agentúry. Všetky poplatky, ktoré agentúra vyberie, by mali pokrývať jej náklady na poskytovanie príslušných služieb.</w:t>
      </w:r>
    </w:p>
    <w:p w:rsidR="00B47592" w:rsidRDefault="004245EA">
      <w:pPr>
        <w:spacing w:before="120" w:after="120" w:line="360" w:lineRule="auto"/>
        <w:ind w:left="850" w:hanging="850"/>
        <w:rPr>
          <w:b/>
          <w:szCs w:val="24"/>
          <w:lang w:eastAsia="en-US"/>
        </w:rPr>
      </w:pPr>
      <w:r>
        <w:rPr>
          <w:szCs w:val="24"/>
          <w:lang w:eastAsia="en-US"/>
        </w:rPr>
        <w:t>(33)</w:t>
      </w:r>
      <w:r>
        <w:rPr>
          <w:szCs w:val="24"/>
          <w:lang w:eastAsia="en-US"/>
        </w:rPr>
        <w:tab/>
        <w:t>V záujme zabezpečenia jednotných podmienok na vykonávanie tohto nariadenia, pokiaľ ide o poplatky a platby, by sa na Komisiu mali preniesť vykonávacie právomoci</w:t>
      </w:r>
      <w:r>
        <w:rPr>
          <w:b/>
          <w:i/>
          <w:szCs w:val="24"/>
          <w:lang w:eastAsia="en-US"/>
        </w:rPr>
        <w:t xml:space="preserve"> týkajúce sa určovania poplatkov a platieb za poskytovanie služieb</w:t>
      </w:r>
      <w:r>
        <w:rPr>
          <w:szCs w:val="24"/>
          <w:lang w:eastAsia="en-US"/>
        </w:rPr>
        <w:t>. Uvedené právomoci by sa mali vykonávať v súlade s nariadením Európskeho parlamentu a Rady (EÚ) č. 182/2011</w:t>
      </w:r>
      <w:r>
        <w:rPr>
          <w:szCs w:val="24"/>
          <w:vertAlign w:val="superscript"/>
          <w:lang w:eastAsia="en-US"/>
        </w:rPr>
        <w:footnoteReference w:id="20"/>
      </w:r>
      <w:r>
        <w:rPr>
          <w:szCs w:val="24"/>
          <w:lang w:eastAsia="en-US"/>
        </w:rPr>
        <w:t>.</w:t>
      </w:r>
      <w:r>
        <w:rPr>
          <w:b/>
          <w:szCs w:val="24"/>
          <w:lang w:eastAsia="en-US"/>
        </w:rPr>
        <w:t xml:space="preserve"> [PN 20]</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850" w:hanging="850"/>
        <w:rPr>
          <w:b/>
          <w:szCs w:val="24"/>
          <w:lang w:eastAsia="en-US"/>
        </w:rPr>
      </w:pPr>
      <w:r>
        <w:rPr>
          <w:b/>
          <w:i/>
          <w:szCs w:val="24"/>
          <w:lang w:eastAsia="en-US"/>
        </w:rPr>
        <w:lastRenderedPageBreak/>
        <w:t>(33a)</w:t>
      </w:r>
      <w:r>
        <w:rPr>
          <w:szCs w:val="24"/>
          <w:lang w:eastAsia="en-US"/>
        </w:rPr>
        <w:tab/>
      </w:r>
      <w:r>
        <w:rPr>
          <w:b/>
          <w:i/>
          <w:szCs w:val="24"/>
          <w:lang w:eastAsia="en-US"/>
        </w:rPr>
        <w:t xml:space="preserve">S cieľom špecifikovať metodiku výpočtu týchto poplatkov a platieb by sa mala na Komisiu delegovať právomoc prijímať akty v súlade s článkom 290 Zmluvy o fungovaní Európskej únie, čo sa týka … [obsah a rozsah pôsobnosti]. Je osobitne dôležité, aby Komisia počas prípravných prác uskutočnila príslušné konzultácie, a to aj na úrovni expertov, a aby tieto konzultácie vykonávala v súlade so zásadami stanovenými v </w:t>
      </w:r>
      <w:proofErr w:type="spellStart"/>
      <w:r>
        <w:rPr>
          <w:b/>
          <w:i/>
          <w:szCs w:val="24"/>
          <w:lang w:eastAsia="en-US"/>
        </w:rPr>
        <w:t>Medziinštitucionálnej</w:t>
      </w:r>
      <w:proofErr w:type="spellEnd"/>
      <w:r>
        <w:rPr>
          <w:b/>
          <w:i/>
          <w:szCs w:val="24"/>
          <w:lang w:eastAsia="en-US"/>
        </w:rPr>
        <w:t xml:space="preserve"> dohode z 13. apríla 2016 o lepšej tvorbe práva</w:t>
      </w:r>
      <w:r>
        <w:rPr>
          <w:szCs w:val="24"/>
          <w:vertAlign w:val="superscript"/>
          <w:lang w:eastAsia="en-US"/>
        </w:rPr>
        <w:footnoteReference w:id="21"/>
      </w:r>
      <w:r>
        <w:rPr>
          <w:b/>
          <w:i/>
          <w:szCs w:val="24"/>
          <w:lang w:eastAsia="en-US"/>
        </w:rPr>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r>
        <w:rPr>
          <w:b/>
          <w:szCs w:val="24"/>
          <w:lang w:eastAsia="en-US"/>
        </w:rPr>
        <w:t xml:space="preserve"> [PN 21]</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(34)</w:t>
      </w:r>
      <w:r>
        <w:rPr>
          <w:szCs w:val="24"/>
          <w:lang w:eastAsia="en-US"/>
        </w:rPr>
        <w:tab/>
        <w:t xml:space="preserve">V uplynulých rokoch, počas ktorých bolo vytvorených viacero decentralizovaných agentúr, sa zlepšila transparentnosť a kontrola hospodárenia s finančnými prostriedkami Únie, ktoré boli týmto agentúram pridelené, a to najmä pokiaľ ide o zahrnutie poplatkov do rozpočtu, finančnú kontrolu, právomoc udeliť absolutórium, príspevky do systému dôchodkového zabezpečenia a vnútorný rozpočtový postup (kódex správania). Podobne by sa na agentúru malo bez obmedzení uplatňovať nariadenie Európskeho parlamentu a Rady (EÚ, </w:t>
      </w:r>
      <w:proofErr w:type="spellStart"/>
      <w:r>
        <w:rPr>
          <w:szCs w:val="24"/>
          <w:lang w:eastAsia="en-US"/>
        </w:rPr>
        <w:t>Euratom</w:t>
      </w:r>
      <w:proofErr w:type="spellEnd"/>
      <w:r>
        <w:rPr>
          <w:szCs w:val="24"/>
          <w:lang w:eastAsia="en-US"/>
        </w:rPr>
        <w:t>) č. 883/2013</w:t>
      </w:r>
      <w:r>
        <w:rPr>
          <w:szCs w:val="24"/>
          <w:vertAlign w:val="superscript"/>
          <w:lang w:eastAsia="en-US"/>
        </w:rPr>
        <w:footnoteReference w:id="22"/>
      </w:r>
      <w:r>
        <w:rPr>
          <w:szCs w:val="24"/>
          <w:lang w:eastAsia="en-US"/>
        </w:rPr>
        <w:t xml:space="preserve"> a agentúra by mala pristúpiť k </w:t>
      </w:r>
      <w:proofErr w:type="spellStart"/>
      <w:r>
        <w:rPr>
          <w:szCs w:val="24"/>
          <w:lang w:eastAsia="en-US"/>
        </w:rPr>
        <w:t>Medziinštitucionálnej</w:t>
      </w:r>
      <w:proofErr w:type="spellEnd"/>
      <w:r>
        <w:rPr>
          <w:szCs w:val="24"/>
          <w:lang w:eastAsia="en-US"/>
        </w:rPr>
        <w:t xml:space="preserve"> dohode z 25. mája 1999 medzi Európskym parlamentom, Radou Európskej únie a Komisiou Európskych spoločenstiev, ktorá sa týka vnútorných vyšetrovaní Európskym úradom pre boj proti podvodom (OLAF)</w:t>
      </w:r>
      <w:r>
        <w:rPr>
          <w:szCs w:val="24"/>
          <w:vertAlign w:val="superscript"/>
          <w:lang w:eastAsia="en-US"/>
        </w:rPr>
        <w:footnoteReference w:id="23"/>
      </w:r>
      <w:r>
        <w:rPr>
          <w:szCs w:val="24"/>
          <w:lang w:eastAsia="en-US"/>
        </w:rPr>
        <w:t>.</w:t>
      </w:r>
    </w:p>
    <w:p w:rsidR="00B47592" w:rsidRDefault="004245EA">
      <w:pPr>
        <w:spacing w:before="120" w:after="120" w:line="360" w:lineRule="auto"/>
        <w:ind w:left="850" w:hanging="850"/>
        <w:rPr>
          <w:b/>
          <w:szCs w:val="24"/>
          <w:lang w:eastAsia="en-US"/>
        </w:rPr>
      </w:pPr>
      <w:r>
        <w:rPr>
          <w:b/>
          <w:i/>
          <w:szCs w:val="24"/>
          <w:lang w:eastAsia="en-US"/>
        </w:rPr>
        <w:t>(34a)</w:t>
      </w:r>
      <w:r>
        <w:rPr>
          <w:szCs w:val="24"/>
          <w:lang w:eastAsia="en-US"/>
        </w:rPr>
        <w:tab/>
      </w:r>
      <w:r w:rsidR="0072381D" w:rsidRPr="005364EF">
        <w:rPr>
          <w:b/>
          <w:i/>
        </w:rPr>
        <w:t>Navrhované zvýšenie zdrojov pre EMSA</w:t>
      </w:r>
      <w:r w:rsidR="0072381D">
        <w:rPr>
          <w:b/>
          <w:i/>
          <w:szCs w:val="24"/>
          <w:lang w:eastAsia="en-US"/>
        </w:rPr>
        <w:t xml:space="preserve"> </w:t>
      </w:r>
      <w:r>
        <w:rPr>
          <w:b/>
          <w:i/>
          <w:szCs w:val="24"/>
          <w:lang w:eastAsia="en-US"/>
        </w:rPr>
        <w:t xml:space="preserve">je nedostatočné vzhľadom na rozsah navrhovaného rozšírenia úloh agentúry a rozsah ambícií EÚ v oblasti námornej politiky. Finančné zdroje vyčlenené na tento návrh by sa preto mali čerpať z nepridelených rezerv v rámci stropov VFR alebo mobilizovať prostredníctvom netematických osobitných nástrojov VFR. Keďže v návrhu Komisie na revíziu VFR sa neposilnil rozpočet EMSA, zvýšenie rozpočtových prostriedkov pre EMSA nemôže byť vyrovnané kompenzačným znížením plánovaných výdavkov v rámci NPE – Doprava ani nemôže viesť k zníženiu financovania akýchkoľvek iných programov Únie. </w:t>
      </w:r>
      <w:r>
        <w:rPr>
          <w:b/>
          <w:szCs w:val="24"/>
          <w:lang w:eastAsia="en-US"/>
        </w:rPr>
        <w:t>[PN 22]</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(35)</w:t>
      </w:r>
      <w:r>
        <w:rPr>
          <w:szCs w:val="24"/>
          <w:lang w:eastAsia="en-US"/>
        </w:rPr>
        <w:tab/>
        <w:t>Keďže ciele tohto nariadenia, konkrétne vytvorenie špecializovaného orgánu, ktorý môže pomáhať Komisii a členským štátom pri uplatňovaní a monitorovaní právnych predpisov Únie v oblasti námornej bezpečnosti, a ktorý môže pomáhať pri hodnotení ich účinnosti, nie je možné uspokojivo dosiahnuť na úrovni členských štátov, ale z dôvodu potreby nadviazať spoluprácu ich možno lepšie dosiahnuť na úrovni Únie, môže Únia prijať opatrenia v súlade so zásadou subsidiarity podľa článku 5 Zmluvy o Európskej únii. V súlade so zásadou proporcionality podľa uvedeného článku toto nariadenie neprekračuje rámec toho, čo je nevyhnutné na dosiahnutie uvedených cieľov.</w:t>
      </w:r>
    </w:p>
    <w:p w:rsidR="00B47592" w:rsidRDefault="004245EA">
      <w:pPr>
        <w:spacing w:before="120" w:after="120" w:line="360" w:lineRule="auto"/>
        <w:ind w:left="850" w:hanging="850"/>
        <w:rPr>
          <w:szCs w:val="24"/>
          <w:lang w:eastAsia="en-US"/>
        </w:rPr>
      </w:pPr>
      <w:r>
        <w:rPr>
          <w:szCs w:val="24"/>
          <w:lang w:eastAsia="en-US"/>
        </w:rPr>
        <w:t>(36)</w:t>
      </w:r>
      <w:r>
        <w:rPr>
          <w:szCs w:val="24"/>
          <w:lang w:eastAsia="en-US"/>
        </w:rPr>
        <w:tab/>
        <w:t xml:space="preserve">V záujme riadneho fungovania agentúry je potrebné zaviesť určité zásady týkajúce sa jej riadenia, aby sa dosiahol súlad so spoločným vyhlásením a spoločným prístupom, ktorých účelom je zefektívniť činnosti agentúr a zvýšiť ich výkonnosť a na ktorých sa v júli 2012 dohodla </w:t>
      </w:r>
      <w:proofErr w:type="spellStart"/>
      <w:r>
        <w:rPr>
          <w:szCs w:val="24"/>
          <w:lang w:eastAsia="en-US"/>
        </w:rPr>
        <w:t>medziinštitucionálna</w:t>
      </w:r>
      <w:proofErr w:type="spellEnd"/>
      <w:r>
        <w:rPr>
          <w:szCs w:val="24"/>
          <w:lang w:eastAsia="en-US"/>
        </w:rPr>
        <w:t xml:space="preserve"> pracovná skupina pre decentralizované agentúry EÚ.</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(37)</w:t>
      </w:r>
      <w:r>
        <w:rPr>
          <w:szCs w:val="24"/>
          <w:lang w:eastAsia="en-US"/>
        </w:rPr>
        <w:tab/>
        <w:t>Týmto nariadením sa rešpektujú základné práva a dodržiavajú zásady, ktoré sa uznávajú najmä v Charte základných práv Európskej únie.</w:t>
      </w:r>
    </w:p>
    <w:p w:rsidR="00B47592" w:rsidRDefault="004245EA">
      <w:pPr>
        <w:spacing w:before="120" w:after="120" w:line="360" w:lineRule="auto"/>
        <w:ind w:left="850" w:hanging="850"/>
        <w:rPr>
          <w:szCs w:val="24"/>
          <w:lang w:eastAsia="en-US"/>
        </w:rPr>
      </w:pPr>
      <w:r>
        <w:rPr>
          <w:szCs w:val="24"/>
          <w:lang w:eastAsia="en-US"/>
        </w:rPr>
        <w:t>(38)</w:t>
      </w:r>
      <w:r>
        <w:rPr>
          <w:szCs w:val="24"/>
          <w:lang w:eastAsia="en-US"/>
        </w:rPr>
        <w:tab/>
        <w:t>Európska námorná bezpečnostná agentúra zriadená nariadením (ES) č. 1406/2002 ostáva rovnakou právnickou osobou a bude pokračovať vo vykonávaní všetkých svojich činností a postupov,</w:t>
      </w:r>
    </w:p>
    <w:p w:rsidR="00B47592" w:rsidRDefault="004245EA">
      <w:pPr>
        <w:keepNext/>
        <w:widowControl/>
        <w:spacing w:before="120" w:after="120" w:line="360" w:lineRule="auto"/>
        <w:rPr>
          <w:szCs w:val="24"/>
          <w:lang w:eastAsia="en-US"/>
        </w:rPr>
      </w:pPr>
      <w:r>
        <w:rPr>
          <w:szCs w:val="24"/>
          <w:lang w:eastAsia="en-US"/>
        </w:rPr>
        <w:t>PRIJALI TOTO NARIADENIE: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KAPITOLA I</w:t>
      </w:r>
      <w:r>
        <w:rPr>
          <w:szCs w:val="24"/>
          <w:lang w:eastAsia="en-US"/>
        </w:rPr>
        <w:br/>
        <w:t>PREDMET ÚPRAVY, ROZSAH PÔSOBNOSTI A CIELE</w:t>
      </w:r>
    </w:p>
    <w:p w:rsidR="00B47592" w:rsidRDefault="004245EA">
      <w:pPr>
        <w:spacing w:before="120" w:after="120" w:line="360" w:lineRule="auto"/>
        <w:jc w:val="center"/>
        <w:rPr>
          <w:szCs w:val="24"/>
          <w:lang w:eastAsia="en-US"/>
        </w:rPr>
      </w:pPr>
      <w:r>
        <w:rPr>
          <w:szCs w:val="24"/>
          <w:lang w:eastAsia="en-US"/>
        </w:rPr>
        <w:t>Článok 1</w:t>
      </w:r>
      <w:r>
        <w:rPr>
          <w:szCs w:val="24"/>
          <w:lang w:eastAsia="en-US"/>
        </w:rPr>
        <w:br/>
        <w:t>Zriadenie, predmet úpravy a rozsah pôsobnosti</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V tomto nariadení sa stanovujú komplexné pravidlá týkajúce sa úloh, fungovania a riadenia Európskej námornej bezpečnostnej agentúry zriadenej nariadením (ES) č. 1406/2002 (ďalej len „agentúra“).</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Agentúra pomáha členským štátom a Komisii pri účinnom uplatňovaní a vykonávaní práva Únie súvisiaceho s námornou dopravou v celej Únii. Na tento účel agentúra spolupracuje s členskými štátmi a Komisiou a poskytuje im technickú, operačnú a vedeckú pomoc v rozsahu pôsobnosti cieľov a úloh agentúry stanovených v článku 2 a v kapitolách II a III.</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Poskytovaním pomoci uvedenej v odseku 2 agentúra poskytuje najmä podporu členským štátom a Komisii pri riadnom uplatňovaní príslušných právnych aktov Únie a zároveň prispieva k celkovej efektívnosti námornej premávky a námornej dopravy, ako sa stanovuje v tomto nariadení, s cieľom uľahčiť dosahovanie cieľov Únie v oblasti námornej dopravy.</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Pomocou poskytovanou agentúrou nie sú dotknuté práva a povinnosti členských štátov ako vlajkových, prístavných alebo pobrežných štátov.</w:t>
      </w:r>
    </w:p>
    <w:p w:rsidR="00B47592" w:rsidRDefault="004245EA">
      <w:pPr>
        <w:spacing w:before="120" w:after="120" w:line="360" w:lineRule="auto"/>
        <w:jc w:val="center"/>
        <w:rPr>
          <w:szCs w:val="24"/>
          <w:lang w:eastAsia="en-US"/>
        </w:rPr>
      </w:pPr>
      <w:r>
        <w:rPr>
          <w:szCs w:val="24"/>
          <w:lang w:eastAsia="en-US"/>
        </w:rPr>
        <w:t xml:space="preserve"> Článok 2</w:t>
      </w:r>
      <w:r>
        <w:rPr>
          <w:szCs w:val="24"/>
          <w:lang w:eastAsia="en-US"/>
        </w:rPr>
        <w:br/>
        <w:t>Ciele agentúry</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 xml:space="preserve">Ciele agentúry sú podpora a vytvorenie vysokej, jednotnej a účinnej úrovne námornej bezpečnosti zameranej na </w:t>
      </w:r>
      <w:r>
        <w:rPr>
          <w:strike/>
          <w:szCs w:val="24"/>
          <w:lang w:eastAsia="en-US"/>
        </w:rPr>
        <w:t xml:space="preserve">nulovú </w:t>
      </w:r>
      <w:proofErr w:type="spellStart"/>
      <w:r>
        <w:rPr>
          <w:strike/>
          <w:szCs w:val="24"/>
          <w:lang w:eastAsia="en-US"/>
        </w:rPr>
        <w:t>nehodovosť</w:t>
      </w:r>
      <w:r>
        <w:rPr>
          <w:b/>
          <w:i/>
          <w:szCs w:val="24"/>
          <w:lang w:eastAsia="en-US"/>
        </w:rPr>
        <w:t>maximálne</w:t>
      </w:r>
      <w:proofErr w:type="spellEnd"/>
      <w:r>
        <w:rPr>
          <w:b/>
          <w:i/>
          <w:szCs w:val="24"/>
          <w:lang w:eastAsia="en-US"/>
        </w:rPr>
        <w:t xml:space="preserve"> zníženie nehodovosti</w:t>
      </w:r>
      <w:r>
        <w:rPr>
          <w:szCs w:val="24"/>
          <w:lang w:eastAsia="en-US"/>
        </w:rPr>
        <w:t>, ochrana námornej dopravy, zníženie emisií skleníkových plynov z lodí a udržateľnosť odvetvia námornej dopravy, ako aj zabránenie znečisteniu z lodí a odozva naň a odozva na znečisťovanie morí zo zariadení na ťažbu ropy a zemného plynu.</w:t>
      </w:r>
      <w:r>
        <w:rPr>
          <w:b/>
          <w:szCs w:val="24"/>
          <w:lang w:eastAsia="en-US"/>
        </w:rPr>
        <w:t xml:space="preserve"> [PN 23]</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2.</w:t>
      </w:r>
      <w:r>
        <w:rPr>
          <w:szCs w:val="24"/>
          <w:lang w:eastAsia="en-US"/>
        </w:rPr>
        <w:tab/>
        <w:t>Ďalšie ciele agentúry sú podpora digitalizácie odvetvia námornej dopravy uľahčením elektronického prenosu údajov na podporu zjednodušenia</w:t>
      </w:r>
      <w:r>
        <w:rPr>
          <w:b/>
          <w:i/>
          <w:szCs w:val="24"/>
          <w:lang w:eastAsia="en-US"/>
        </w:rPr>
        <w:t>, zníženia administratívnej záťaže a poskytovania</w:t>
      </w:r>
      <w:r>
        <w:rPr>
          <w:strike/>
          <w:szCs w:val="24"/>
          <w:lang w:eastAsia="en-US"/>
        </w:rPr>
        <w:t xml:space="preserve"> a poskytovanie</w:t>
      </w:r>
      <w:r>
        <w:rPr>
          <w:szCs w:val="24"/>
          <w:lang w:eastAsia="en-US"/>
        </w:rPr>
        <w:t xml:space="preserve"> integrovaných systémov a služieb námorného dozoru a informovanosti o námornej situácii Komisii a členským štátom.</w:t>
      </w:r>
      <w:r>
        <w:rPr>
          <w:b/>
          <w:szCs w:val="24"/>
          <w:lang w:eastAsia="en-US"/>
        </w:rPr>
        <w:t xml:space="preserve"> [PN 24]</w:t>
      </w:r>
    </w:p>
    <w:p w:rsidR="00B47592" w:rsidRDefault="004245EA">
      <w:pPr>
        <w:spacing w:before="120" w:after="120" w:line="360" w:lineRule="auto"/>
        <w:jc w:val="center"/>
        <w:rPr>
          <w:szCs w:val="24"/>
          <w:lang w:eastAsia="en-US"/>
        </w:rPr>
      </w:pPr>
      <w:r>
        <w:rPr>
          <w:szCs w:val="24"/>
          <w:lang w:eastAsia="en-US"/>
        </w:rPr>
        <w:t>KAPITOLA II</w:t>
      </w:r>
      <w:r>
        <w:rPr>
          <w:szCs w:val="24"/>
          <w:lang w:eastAsia="en-US"/>
        </w:rPr>
        <w:br/>
        <w:t xml:space="preserve">ÚLOHY AGENTÚRY </w:t>
      </w:r>
    </w:p>
    <w:p w:rsidR="00B47592" w:rsidRDefault="004245EA">
      <w:pPr>
        <w:spacing w:before="120" w:after="120" w:line="360" w:lineRule="auto"/>
        <w:jc w:val="center"/>
        <w:rPr>
          <w:szCs w:val="24"/>
          <w:lang w:eastAsia="en-US"/>
        </w:rPr>
      </w:pPr>
      <w:r>
        <w:rPr>
          <w:szCs w:val="24"/>
          <w:lang w:eastAsia="en-US"/>
        </w:rPr>
        <w:t>Článok 3</w:t>
      </w:r>
      <w:r>
        <w:rPr>
          <w:szCs w:val="24"/>
          <w:lang w:eastAsia="en-US"/>
        </w:rPr>
        <w:br/>
        <w:t xml:space="preserve">Horizontálna technická podpora </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Agentúra pomáha Komisii</w:t>
      </w:r>
      <w:r>
        <w:rPr>
          <w:b/>
          <w:i/>
          <w:szCs w:val="24"/>
          <w:lang w:eastAsia="en-US"/>
        </w:rPr>
        <w:t xml:space="preserve"> a členským štátom</w:t>
      </w:r>
      <w:r>
        <w:rPr>
          <w:szCs w:val="24"/>
          <w:lang w:eastAsia="en-US"/>
        </w:rPr>
        <w:t>:</w:t>
      </w:r>
      <w:r>
        <w:rPr>
          <w:b/>
          <w:szCs w:val="24"/>
          <w:lang w:eastAsia="en-US"/>
        </w:rPr>
        <w:t xml:space="preserve"> [PN 25]</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pri kontrole účinného vykonávania príslušných záväzných právnych aktov Únie, ktoré patria medzi ciele agentúry, najmä vykonávaním návštev a inšpekcií podľa článku 10. Agentúra môže v tejto súvislosti podávať Komisii návrhy na prípadné zlepšenia;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b)</w:t>
      </w:r>
      <w:r>
        <w:rPr>
          <w:szCs w:val="24"/>
          <w:lang w:eastAsia="en-US"/>
        </w:rPr>
        <w:tab/>
        <w:t>pri prípravách na aktualizáciu a vypracovanie príslušných právnych aktov Únie, ktoré patria medzi ciele agentúry, najmä v súlade s vývojom medzinárodného práva;</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pri plnení akejkoľvek inej úlohy, ktorá sa Komisii ukladá v legislatívnych aktoch Únie týkajúcich sa cieľov agentúry.</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Agentúra spolupracuje s členskými štátmi:</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na prípadnom organizovaní príslušných činností budovania kapacít a odbornej prípravy v oblastiach, ktoré patria medzi ciele agentúry a za ktoré sú zodpovedné členské štáty. Agentúra v tejto súvislosti vytvára primerané spôsobilosti s cieľom vypracovať, vykonávať a koordinovať činnosti odbornej prípravy relevantné pre ciele agentúry, okrem iného tak, že vyvíja kurzy so spoločnými základnými učebnými osnovami, semináre, konferencie, workshopy, ako aj webové nástroje elektronického učenia sa a iné inovatívne a progresívne nástroje odbornej prípravy. Podrobnosti týkajúce sa týchto činností odbornej prípravy poskytovaných mimo rámca formálneho vzdelávania sa vypracujú na základe dôkladných konzultácií s členskými štátmi a Komisiou a v súlade s článkom 17 tohto nariadenia ich schváli správna rada, pričom sa v plnej miere dodrží článok 166 Zmluvy o fungovaní Európskej únie (ZFEÚ);</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b)</w:t>
      </w:r>
      <w:r>
        <w:rPr>
          <w:szCs w:val="24"/>
          <w:lang w:eastAsia="en-US"/>
        </w:rPr>
        <w:tab/>
        <w:t>na vývoji technických riešení vrátane poskytovania príslušných operačných služieb a na poskytovaní technickej pomoci pri budovaní vnútroštátnych kapacít potrebných na vykonávanie príslušných právnych aktov Únie týkajúcich sa cieľov agentúry.</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Agentúra podporuje a uľahčuje spoluprácu medzi členskými štátmi navzájom a medzi členskými štátmi a Komisiou pri vykonávaní právnych predpisov Únie tak, že podporuje výmenu a šírenie skúseností a osvedčených postupov.</w:t>
      </w:r>
    </w:p>
    <w:p w:rsidR="00B47592" w:rsidRDefault="004245EA">
      <w:pPr>
        <w:spacing w:before="120" w:after="120" w:line="360" w:lineRule="auto"/>
        <w:ind w:left="850" w:hanging="850"/>
        <w:rPr>
          <w:b/>
          <w:szCs w:val="24"/>
          <w:lang w:eastAsia="en-US"/>
        </w:rPr>
      </w:pPr>
      <w:r>
        <w:rPr>
          <w:szCs w:val="24"/>
          <w:lang w:eastAsia="en-US"/>
        </w:rPr>
        <w:t>4.</w:t>
      </w:r>
      <w:r>
        <w:rPr>
          <w:szCs w:val="24"/>
          <w:lang w:eastAsia="en-US"/>
        </w:rPr>
        <w:tab/>
        <w:t>Agentúra na žiadosť Komisie alebo z vlastnej iniciatívy a pod podmienkou schválenia správnou radou v súlade s článkom 17 prispieva k činnostiam námorného výskumu na úrovni Únie, ktoré sú v súlade s cieľmi agentúry. Agentúra v tejto súvislosti bez toho, aby boli dotknuté ďalšie výskumné činnosti na úrovni Únie, pomáha Komisii a členským štátom pri určovaní kľúčových výskumných tém a pri analýze prebiehajúcich a dokončených výskumných projektov relevantných pre ciele agentúry. V prípade potreby</w:t>
      </w:r>
      <w:r>
        <w:rPr>
          <w:strike/>
          <w:szCs w:val="24"/>
          <w:lang w:eastAsia="en-US"/>
        </w:rPr>
        <w:t xml:space="preserve"> môže </w:t>
      </w:r>
      <w:r>
        <w:rPr>
          <w:szCs w:val="24"/>
          <w:lang w:eastAsia="en-US"/>
        </w:rPr>
        <w:t xml:space="preserve">agentúra v súlade s platnými predpismi týkajúcimi sa duševného vlastníctva a po zvážení bezpečnostných hľadísk </w:t>
      </w:r>
      <w:proofErr w:type="spellStart"/>
      <w:r>
        <w:rPr>
          <w:strike/>
          <w:szCs w:val="24"/>
          <w:lang w:eastAsia="en-US"/>
        </w:rPr>
        <w:t>šíriť</w:t>
      </w:r>
      <w:r>
        <w:rPr>
          <w:b/>
          <w:i/>
          <w:szCs w:val="24"/>
          <w:lang w:eastAsia="en-US"/>
        </w:rPr>
        <w:t>šíri</w:t>
      </w:r>
      <w:proofErr w:type="spellEnd"/>
      <w:r>
        <w:rPr>
          <w:szCs w:val="24"/>
          <w:lang w:eastAsia="en-US"/>
        </w:rPr>
        <w:t xml:space="preserve"> na základe súhlasu Komisie ako súčasť svojho prínosu k tvorbe synergií medzi výskumnými a inovačnými činnosťami ďalších orgánov Únie a členských štátov výsledky svojich činností v oblasti výskumu a inovácií.</w:t>
      </w:r>
      <w:r>
        <w:rPr>
          <w:b/>
          <w:szCs w:val="24"/>
          <w:lang w:eastAsia="en-US"/>
        </w:rPr>
        <w:t xml:space="preserve"> [PN 26]</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Ak je to potrebné na plnenie jej úloh, uskutoční agentúra štúdie s účasťou Komisie, prípadne členských štátov (prostredníctvom konzultácií s riadiacimi skupinami) a v náležitých prípadoch s účasťou sociálnych partnerov a zástupcov príslušného odvetvia s odbornými znalosťami o príslušných témach.</w:t>
      </w:r>
    </w:p>
    <w:p w:rsidR="00B47592" w:rsidRDefault="004245EA">
      <w:pPr>
        <w:spacing w:before="120" w:after="120" w:line="360" w:lineRule="auto"/>
        <w:ind w:left="850" w:hanging="850"/>
        <w:rPr>
          <w:szCs w:val="24"/>
          <w:lang w:eastAsia="en-US"/>
        </w:rPr>
      </w:pPr>
      <w:r>
        <w:rPr>
          <w:szCs w:val="24"/>
          <w:lang w:eastAsia="en-US"/>
        </w:rPr>
        <w:t>6.</w:t>
      </w:r>
      <w:r>
        <w:rPr>
          <w:szCs w:val="24"/>
          <w:lang w:eastAsia="en-US"/>
        </w:rPr>
        <w:tab/>
        <w:t>Agentúra môže na základe výskumu a štúdií, ktoré uskutoční, ale aj na základe skúseností získaných pri vlastných činnostiach, najmä návštevách a inšpekciách, a na základe výmeny informácií a osvedčených postupov s členskými štátmi a Komisiou po predchádzajúcej konzultácii s Komisiou vydať relevantné nezáväzné odporúčania, usmernenia alebo príručky na podporu a pomoc členským štátom, prípadne príslušnému odvetviu pri vykonávaní právnych predpisov Únie.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4</w:t>
      </w:r>
      <w:r>
        <w:rPr>
          <w:szCs w:val="24"/>
          <w:lang w:eastAsia="en-US"/>
        </w:rPr>
        <w:br/>
        <w:t>Úlohy súvisiace s námornou bezpečnosťou</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 xml:space="preserve">Agentúra monitoruje pokrok v oblasti bezpečnosti námornej dopravy v Únii, vykonáva analýzu rizík na základe dostupných údajov a vypracúva modely posudzovania bezpečnostného rizika na určenie bezpečnostných problémov a rizík. Každé tri roky predloží Komisii správu o pokroku v oblasti námornej bezpečnosti s prípadnými technickými odporúčaniami, ktoré by sa mohli riešiť na úrovni Únie alebo na medzinárodnej úrovni. Agentúra v tejto súvislosti analyzuje najmä potenciálne bezpečnostné riziká vyplývajúce z využívania a zavádzania udržateľných alternatívnych zdrojov pohonu pre lode vrátane pobrežného zásobovania lodí v </w:t>
      </w:r>
      <w:proofErr w:type="spellStart"/>
      <w:r>
        <w:rPr>
          <w:szCs w:val="24"/>
          <w:lang w:eastAsia="en-US"/>
        </w:rPr>
        <w:t>kotvisku</w:t>
      </w:r>
      <w:proofErr w:type="spellEnd"/>
      <w:r>
        <w:rPr>
          <w:szCs w:val="24"/>
          <w:lang w:eastAsia="en-US"/>
        </w:rPr>
        <w:t xml:space="preserve"> elektrinou</w:t>
      </w:r>
      <w:r>
        <w:rPr>
          <w:b/>
          <w:i/>
          <w:szCs w:val="24"/>
          <w:lang w:eastAsia="en-US"/>
        </w:rPr>
        <w:t xml:space="preserve">, batériových technológií využívaných na pohon, technológií s nulovými emisiami vymedzených v iniciatíve </w:t>
      </w:r>
      <w:proofErr w:type="spellStart"/>
      <w:r>
        <w:rPr>
          <w:b/>
          <w:i/>
          <w:szCs w:val="24"/>
          <w:lang w:eastAsia="en-US"/>
        </w:rPr>
        <w:t>FuelEU</w:t>
      </w:r>
      <w:proofErr w:type="spellEnd"/>
      <w:r>
        <w:rPr>
          <w:b/>
          <w:i/>
          <w:szCs w:val="24"/>
          <w:lang w:eastAsia="en-US"/>
        </w:rPr>
        <w:t xml:space="preserve"> </w:t>
      </w:r>
      <w:proofErr w:type="spellStart"/>
      <w:r>
        <w:rPr>
          <w:b/>
          <w:i/>
          <w:szCs w:val="24"/>
          <w:lang w:eastAsia="en-US"/>
        </w:rPr>
        <w:t>Maritime</w:t>
      </w:r>
      <w:proofErr w:type="spellEnd"/>
      <w:r>
        <w:rPr>
          <w:b/>
          <w:i/>
          <w:szCs w:val="24"/>
          <w:lang w:eastAsia="en-US"/>
        </w:rPr>
        <w:t xml:space="preserve"> alebo iných budúcich technológií na palube lodí či v prístavných oblastiach,</w:t>
      </w:r>
      <w:r>
        <w:rPr>
          <w:szCs w:val="24"/>
          <w:lang w:eastAsia="en-US"/>
        </w:rPr>
        <w:t xml:space="preserve"> a navrhne relevantné usmernenia alebo odporúčania týkajúce sa týchto rizík.</w:t>
      </w:r>
      <w:r>
        <w:rPr>
          <w:b/>
          <w:szCs w:val="24"/>
          <w:lang w:eastAsia="en-US"/>
        </w:rPr>
        <w:t xml:space="preserve"> [PN 27]</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Agentúra pomáha Komisii a členským štátom pri vykonávaní smernice 2009/21/ES. Agentúra najmä v súlade s [článkom 6a] uvedenej smernice vytvorí a spravuje inšpekčnú databázu, vytvorí nástroj elektronického podávania správ uvedený v [článku 9b] uvedenej smernice, spravuje verejné webové sídlo uvedené v článku 8 ods. 2c a poskytuje Komisii odporúčania založené na zozbieraných údajoch.</w:t>
      </w:r>
    </w:p>
    <w:p w:rsidR="00B47592" w:rsidRDefault="004245EA">
      <w:pPr>
        <w:spacing w:before="120" w:after="120" w:line="360" w:lineRule="auto"/>
        <w:ind w:left="850"/>
        <w:rPr>
          <w:szCs w:val="24"/>
          <w:lang w:eastAsia="en-US"/>
        </w:rPr>
      </w:pPr>
      <w:r>
        <w:rPr>
          <w:szCs w:val="24"/>
          <w:lang w:eastAsia="en-US"/>
        </w:rPr>
        <w:t>Agentúra pomáha Komisii pri jej účasti ako pozorovateľa v rámci auditu uskutočňovaného Medzinárodnou námornou organizáciou podľa [článku 7] smernice 2009/21/ES. Agentúra okrem toho vytvorí príslušné nástroje a služby, ktoré budú členským štátom na ich žiadosť pomáhať pri plnení ich povinností vyplývajúcich zo smernice 2009/21/ES.</w:t>
      </w:r>
    </w:p>
    <w:p w:rsidR="00B47592" w:rsidRDefault="004245EA">
      <w:pPr>
        <w:spacing w:before="120" w:after="120" w:line="360" w:lineRule="auto"/>
        <w:ind w:left="850"/>
        <w:rPr>
          <w:szCs w:val="24"/>
          <w:lang w:eastAsia="en-US"/>
        </w:rPr>
      </w:pPr>
      <w:r>
        <w:rPr>
          <w:szCs w:val="24"/>
          <w:lang w:eastAsia="en-US"/>
        </w:rPr>
        <w:t>Agentúra takisto poskytne spoločný systém budovania kapacít pre znalcov vlajkového štátu a pre inšpektorov vlajkového štátu z členských štátov uvedených v [článku 4c] uvedenej smernice.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3.</w:t>
      </w:r>
      <w:r>
        <w:rPr>
          <w:szCs w:val="24"/>
          <w:lang w:eastAsia="en-US"/>
        </w:rPr>
        <w:tab/>
        <w:t>Agentúra pomáha Komisii</w:t>
      </w:r>
      <w:r>
        <w:rPr>
          <w:b/>
          <w:i/>
          <w:szCs w:val="24"/>
          <w:lang w:eastAsia="en-US"/>
        </w:rPr>
        <w:t xml:space="preserve"> a členským štátom</w:t>
      </w:r>
      <w:r>
        <w:rPr>
          <w:szCs w:val="24"/>
          <w:lang w:eastAsia="en-US"/>
        </w:rPr>
        <w:t xml:space="preserve"> pri vývoji a správe databáz stanovených v článkoch 24 a 24a smernice 2009/16/ES. Agentúra na základe zozbieraných údajov pomáha Komisii pri analýze príslušných informácií a uverejňovaní informácií týkajúcich sa lodí a spoločností s nízkou a veľmi nízkou úrovňou výkonnosti podľa smernice 2009/16/ES.</w:t>
      </w:r>
      <w:r>
        <w:rPr>
          <w:b/>
          <w:szCs w:val="24"/>
          <w:lang w:eastAsia="en-US"/>
        </w:rPr>
        <w:t xml:space="preserve"> [PN 28]</w:t>
      </w:r>
    </w:p>
    <w:p w:rsidR="00B47592" w:rsidRDefault="004245EA">
      <w:pPr>
        <w:spacing w:before="120" w:after="120" w:line="360" w:lineRule="auto"/>
        <w:ind w:left="850"/>
        <w:rPr>
          <w:szCs w:val="24"/>
          <w:lang w:eastAsia="en-US"/>
        </w:rPr>
      </w:pPr>
      <w:r>
        <w:rPr>
          <w:szCs w:val="24"/>
          <w:lang w:eastAsia="en-US"/>
        </w:rPr>
        <w:t>Agentúra vytvorí príslušné nástroje a služby, ktoré budú členským štátom na ich žiadosť pomáhať pri plnení ich povinností vyplývajúcich zo smernice 2009/16/ES.</w:t>
      </w:r>
    </w:p>
    <w:p w:rsidR="00B47592" w:rsidRDefault="004245EA">
      <w:pPr>
        <w:spacing w:before="120" w:after="120" w:line="360" w:lineRule="auto"/>
        <w:ind w:left="850"/>
        <w:rPr>
          <w:szCs w:val="24"/>
          <w:lang w:eastAsia="en-US"/>
        </w:rPr>
      </w:pPr>
      <w:r>
        <w:rPr>
          <w:szCs w:val="24"/>
          <w:lang w:eastAsia="en-US"/>
        </w:rPr>
        <w:t>Agentúra takisto poskytne program profesijného rozvoja a odbornej prípravy pre inšpektorov štátnej prístavnej kontroly z členských štátov, ako sa stanovuje v [článku 22 ods. 7] uvedenej smernice 2009/16/ES.</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4.</w:t>
      </w:r>
      <w:r>
        <w:rPr>
          <w:szCs w:val="24"/>
          <w:lang w:eastAsia="en-US"/>
        </w:rPr>
        <w:tab/>
        <w:t xml:space="preserve">Agentúra pomáha Komisii pri vývoji a správe databázy stanovenej v článku 17 smernice 2009/18/ES. Agentúra na základe zozbieraných údajov vypracuje každoročný prehľad týkajúci sa námorných nehôd a mimoriadnych udalostí. </w:t>
      </w:r>
      <w:r>
        <w:rPr>
          <w:strike/>
          <w:szCs w:val="24"/>
          <w:lang w:eastAsia="en-US"/>
        </w:rPr>
        <w:t xml:space="preserve">Agentúra na žiadosť dotknutých členských štátov a za predpokladu, že nevznikne konflikt záujmov, poskytne týmto členským </w:t>
      </w:r>
      <w:proofErr w:type="spellStart"/>
      <w:r>
        <w:rPr>
          <w:strike/>
          <w:szCs w:val="24"/>
          <w:lang w:eastAsia="en-US"/>
        </w:rPr>
        <w:t>štátom</w:t>
      </w:r>
      <w:r>
        <w:rPr>
          <w:b/>
          <w:i/>
          <w:szCs w:val="24"/>
          <w:lang w:eastAsia="en-US"/>
        </w:rPr>
        <w:t>Členské</w:t>
      </w:r>
      <w:proofErr w:type="spellEnd"/>
      <w:r>
        <w:rPr>
          <w:b/>
          <w:i/>
          <w:szCs w:val="24"/>
          <w:lang w:eastAsia="en-US"/>
        </w:rPr>
        <w:t xml:space="preserve"> štáty môžu vyzvať agentúru, aby poskytla</w:t>
      </w:r>
      <w:r>
        <w:rPr>
          <w:szCs w:val="24"/>
          <w:lang w:eastAsia="en-US"/>
        </w:rPr>
        <w:t xml:space="preserve"> operačnú</w:t>
      </w:r>
      <w:r>
        <w:rPr>
          <w:b/>
          <w:i/>
          <w:szCs w:val="24"/>
          <w:lang w:eastAsia="en-US"/>
        </w:rPr>
        <w:t xml:space="preserve"> a technickú</w:t>
      </w:r>
      <w:r>
        <w:rPr>
          <w:szCs w:val="24"/>
          <w:lang w:eastAsia="en-US"/>
        </w:rPr>
        <w:t xml:space="preserve"> podporu týkajúcu sa bezpečnostných vyšetrovaní</w:t>
      </w:r>
      <w:r>
        <w:rPr>
          <w:b/>
          <w:i/>
          <w:szCs w:val="24"/>
          <w:lang w:eastAsia="en-US"/>
        </w:rPr>
        <w:t>. Agentúra vyhovie takýmto žiadostiam za predpokladu, že pre ňu nevznikne konflikt záujmov</w:t>
      </w:r>
      <w:r>
        <w:rPr>
          <w:szCs w:val="24"/>
          <w:lang w:eastAsia="en-US"/>
        </w:rPr>
        <w:t>. Agentúra takisto vykonáva analýzu správ z bezpečnostného vyšetrovania s cieľom určiť pridanú hodnotu na úrovni Únie v podobe vyvodenia ponaučení.</w:t>
      </w:r>
      <w:r>
        <w:rPr>
          <w:b/>
          <w:szCs w:val="24"/>
          <w:lang w:eastAsia="en-US"/>
        </w:rPr>
        <w:t xml:space="preserve"> [PN 29]</w:t>
      </w:r>
    </w:p>
    <w:p w:rsidR="00B47592" w:rsidRDefault="004245EA">
      <w:pPr>
        <w:spacing w:before="120" w:after="120" w:line="360" w:lineRule="auto"/>
        <w:ind w:left="850"/>
        <w:rPr>
          <w:szCs w:val="24"/>
          <w:lang w:eastAsia="en-US"/>
        </w:rPr>
      </w:pPr>
      <w:r>
        <w:rPr>
          <w:szCs w:val="24"/>
          <w:lang w:eastAsia="en-US"/>
        </w:rPr>
        <w:t>Agentúra poskytne program profesijného rozvoja a odbornej prípravy pre príslušné orgány bezpečnostného vyšetrovania námorných nehôd.</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Agentúra pomáha Komisii a členským štátom pri vykonávaní smerníc Európskeho parlamentu a Rady 2009/45/ES</w:t>
      </w:r>
      <w:r>
        <w:rPr>
          <w:szCs w:val="24"/>
          <w:vertAlign w:val="superscript"/>
          <w:lang w:eastAsia="en-US"/>
        </w:rPr>
        <w:footnoteReference w:id="24"/>
      </w:r>
      <w:r>
        <w:rPr>
          <w:szCs w:val="24"/>
          <w:lang w:eastAsia="en-US"/>
        </w:rPr>
        <w:t xml:space="preserve"> a 2003/25/ES</w:t>
      </w:r>
      <w:r>
        <w:rPr>
          <w:szCs w:val="24"/>
          <w:vertAlign w:val="superscript"/>
          <w:lang w:eastAsia="en-US"/>
        </w:rPr>
        <w:footnoteReference w:id="25"/>
      </w:r>
      <w:r>
        <w:rPr>
          <w:szCs w:val="24"/>
          <w:lang w:eastAsia="en-US"/>
        </w:rPr>
        <w:t xml:space="preserve"> a smernice Rady 98/41/ES</w:t>
      </w:r>
      <w:r>
        <w:rPr>
          <w:szCs w:val="24"/>
          <w:vertAlign w:val="superscript"/>
          <w:lang w:eastAsia="en-US"/>
        </w:rPr>
        <w:footnoteReference w:id="26"/>
      </w:r>
      <w:r>
        <w:rPr>
          <w:szCs w:val="24"/>
          <w:lang w:eastAsia="en-US"/>
        </w:rPr>
        <w:t>. Agentúra najmä vytvorí a spravuje databázu na zaznamenávanie opatrení, ako sa stanovuje v článku 9 smernice 2009/45/ES a článku 9 smernice 98/41/ES, a pomáha Komisii pri posudzovaní týchto opatrení.</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6.</w:t>
      </w:r>
      <w:r>
        <w:rPr>
          <w:szCs w:val="24"/>
          <w:lang w:eastAsia="en-US"/>
        </w:rPr>
        <w:tab/>
        <w:t>Agentúra uľahčuje spoluprácu a výmenu informácií medzi Komisiou a členskými štátmi na účely posudzovania uznaných organizácií, ktoré vykonávajú prehliadky a činnosti osvedčovania, v súlade s článkom 8 ods. 1 nariadenia (ES) č. 391/2009</w:t>
      </w:r>
      <w:r>
        <w:rPr>
          <w:szCs w:val="24"/>
          <w:vertAlign w:val="superscript"/>
          <w:lang w:eastAsia="en-US"/>
        </w:rPr>
        <w:footnoteReference w:id="27"/>
      </w:r>
      <w:r>
        <w:rPr>
          <w:szCs w:val="24"/>
          <w:lang w:eastAsia="en-US"/>
        </w:rPr>
        <w:t>. Agentúra predovšetkým:</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poskytuje Komisii stanovisko týkajúce jej posúdenia uznaných organizácií podľa článku 8 ods. 1 nariadenia (ES) č. 391/2009;</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poskytuje členským štátom náležité informácie v kontexte inšpekcií vykonávaných na podporu Komisie pri vypracovaní posúdenia podľa článku 8 ods. 1 nariadenia (ES) č. 391/2009 s cieľom podporiť monitorovanie uznaných organizácií a dohľad nad nimi podľa článku 9 smernice Európskeho parlamentu a Rady 2009/15/ES</w:t>
      </w:r>
      <w:r>
        <w:rPr>
          <w:szCs w:val="24"/>
          <w:vertAlign w:val="superscript"/>
          <w:lang w:eastAsia="en-US"/>
        </w:rPr>
        <w:footnoteReference w:id="28"/>
      </w:r>
      <w:r>
        <w:rPr>
          <w:szCs w:val="24"/>
          <w:lang w:eastAsia="en-US"/>
        </w:rPr>
        <w:t xml:space="preserve"> a pomôcť tak členským štátom pri plnení ich povinností na úrovni Únie a medzinárodných povinností ako vlajkových štátov. V tejto súvislosti agentúra pomáha Komisii pri riadení skupiny na vysokej úrovni pre záležitosti týkajúce sa vlajkových štátov podľa [článku 9 ods. 1] smernice 2009/21/ES;</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c)</w:t>
      </w:r>
      <w:r>
        <w:rPr>
          <w:szCs w:val="24"/>
          <w:lang w:eastAsia="en-US"/>
        </w:rPr>
        <w:tab/>
        <w:t>z vlastnej iniciatívy alebo na žiadosť Komisie poskytne Komisii odporúčanie a technickú pomoc týkajúce sa prípadných nápravných opatrení alebo uloženia pokút uznaným organizáciám v súlade s článkami 5 a 6 nariadenia (ES) č. 391/2009.</w:t>
      </w:r>
    </w:p>
    <w:p w:rsidR="00B47592" w:rsidRDefault="004245EA">
      <w:pPr>
        <w:spacing w:before="120" w:after="120" w:line="360" w:lineRule="auto"/>
        <w:ind w:left="850" w:hanging="850"/>
        <w:rPr>
          <w:b/>
          <w:szCs w:val="24"/>
          <w:lang w:eastAsia="en-US"/>
        </w:rPr>
      </w:pPr>
      <w:r>
        <w:rPr>
          <w:szCs w:val="24"/>
          <w:lang w:eastAsia="en-US"/>
        </w:rPr>
        <w:t>7.</w:t>
      </w:r>
      <w:r>
        <w:rPr>
          <w:szCs w:val="24"/>
          <w:lang w:eastAsia="en-US"/>
        </w:rPr>
        <w:tab/>
        <w:t xml:space="preserve">Agentúra pomáha Komisii </w:t>
      </w:r>
      <w:r>
        <w:rPr>
          <w:b/>
          <w:i/>
          <w:szCs w:val="24"/>
          <w:lang w:eastAsia="en-US"/>
        </w:rPr>
        <w:t xml:space="preserve">a členským štátom </w:t>
      </w:r>
      <w:r>
        <w:rPr>
          <w:szCs w:val="24"/>
          <w:lang w:eastAsia="en-US"/>
        </w:rPr>
        <w:t>pri vykonávaní smernice Európskeho parlamentu a Rady 2014/90/EÚ</w:t>
      </w:r>
      <w:r>
        <w:rPr>
          <w:szCs w:val="24"/>
          <w:vertAlign w:val="superscript"/>
          <w:lang w:eastAsia="en-US"/>
        </w:rPr>
        <w:footnoteReference w:id="29"/>
      </w:r>
      <w:r>
        <w:rPr>
          <w:szCs w:val="24"/>
          <w:lang w:eastAsia="en-US"/>
        </w:rPr>
        <w:t xml:space="preserve"> poskytovaním svojho technického posúdenia bezpečnostných aspektov, poskytovaním odporúčaní so zoznamami príslušných požiadaviek na konštrukčný návrh, konštrukciu a výkonnosť a skúšobných noriem, vytvorením a správou databázy, ako sa stanovuje v článku 35 ods. 4 uvedenej smernice, a uľahčením spolupráce medzi notifikovanými orgánmi posudzovania, ktoré pôsobia ako technický sekretariát pre svoju koordinačnú skupinu.</w:t>
      </w:r>
      <w:r>
        <w:rPr>
          <w:b/>
          <w:szCs w:val="24"/>
          <w:lang w:eastAsia="en-US"/>
        </w:rPr>
        <w:t xml:space="preserve"> [PN 30]</w:t>
      </w:r>
    </w:p>
    <w:p w:rsidR="00B47592" w:rsidRDefault="004245EA">
      <w:pPr>
        <w:spacing w:before="120" w:after="120" w:line="360" w:lineRule="auto"/>
        <w:ind w:left="850" w:hanging="850"/>
        <w:rPr>
          <w:szCs w:val="24"/>
          <w:lang w:eastAsia="en-US"/>
        </w:rPr>
      </w:pPr>
      <w:r>
        <w:rPr>
          <w:szCs w:val="24"/>
          <w:lang w:eastAsia="en-US"/>
        </w:rPr>
        <w:t>8.</w:t>
      </w:r>
      <w:r>
        <w:rPr>
          <w:szCs w:val="24"/>
          <w:lang w:eastAsia="en-US"/>
        </w:rPr>
        <w:tab/>
        <w:t>Agentúra pomáha Komisii a členským štátom pri určovaní bezpečnostných rizík súvisiacich s vývojom námorných autonómnych a automatizovaných hladinových lodí a pomáha členským štátom tým, že prostredníctvom výskumu a vývoja príslušných digitálnych nástrojov uľahčuje usmernenia a príručky na schvaľovanie projektov a/alebo prevádzky námorných autonómnych a automatizovaných hladinových lodí.</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9.</w:t>
      </w:r>
      <w:r>
        <w:rPr>
          <w:szCs w:val="24"/>
          <w:lang w:eastAsia="en-US"/>
        </w:rPr>
        <w:tab/>
        <w:t>Agentúra zhromažďuje a analyzuje údaje o námorníkoch, ktoré sa poskytujú a využívajú v súlade so smernicou Európskeho parlamentu a Rady (EÚ) 2022/993</w:t>
      </w:r>
      <w:r>
        <w:rPr>
          <w:szCs w:val="24"/>
          <w:vertAlign w:val="superscript"/>
          <w:lang w:eastAsia="en-US"/>
        </w:rPr>
        <w:footnoteReference w:id="30"/>
      </w:r>
      <w:r>
        <w:rPr>
          <w:szCs w:val="24"/>
          <w:lang w:eastAsia="en-US"/>
        </w:rPr>
        <w:t>. Agentúra môže zhromažďovať a analyzovať aj údaje o vykonávaní Dohovoru o pracovných normách v námornej doprave z roku 2006 s cieľom pomáhať pri zlepšovaní pracovných a životných podmienok námorníkov na palube.</w:t>
      </w:r>
      <w:r>
        <w:rPr>
          <w:b/>
          <w:i/>
          <w:szCs w:val="24"/>
          <w:lang w:eastAsia="en-US"/>
        </w:rPr>
        <w:t xml:space="preserve"> Komisia použije tieto údaje spolu s údajmi získanými prostredníctvom informačného systému Medzinárodného dohovoru o normách výcviku, kvalifikácie a strážnej služby námorníkov (STCW IS) na vypracovanie vhodných strategických reakcií s cieľom robiť nábor a udržať námorníkov v profesii.</w:t>
      </w:r>
      <w:r>
        <w:rPr>
          <w:b/>
          <w:szCs w:val="24"/>
          <w:lang w:eastAsia="en-US"/>
        </w:rPr>
        <w:t xml:space="preserve"> [PN 31]</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5</w:t>
      </w:r>
      <w:r>
        <w:rPr>
          <w:szCs w:val="24"/>
          <w:lang w:eastAsia="en-US"/>
        </w:rPr>
        <w:br/>
        <w:t xml:space="preserve">Úlohy súvisiace s udržateľnosťou </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V prípade znečistenia z lodí, ako aj v prípade znečistenia morí zo zariadení na ťažbu ropy a zemného plynu agentúra nákladovo efektívnym spôsobom podporuje členské štáty dodatočnými prostriedkami odozvy na znečistenie. Agentúra takto koná na žiadosť postihnutého členského štátu, pod ktorého právomocou sa vykonávajú čistiace práce. Touto pomocou nie je dotknutá zodpovednosť pobrežných štátov mať zavedené vhodné mechanizmy odozvy na znečistenie a zároveň sa pri nej rešpektuje existujúca spolupráca v tejto oblasti medzi členskými štátmi. Operačnými prostriedkami, ktoré agentúra poskytuje členským štátom, sa zohľadní a zaistí prechod odvetvia na používanie udržateľných alternatívnych zdrojov energie pre lode. Žiadosti o mobilizáciu opatrení zameraných proti znečisťovaniu sa podľa potreby odovzdávajú prostredníctvom mechanizmu EÚ v oblasti civilnej ochrany zriadeného rozhodnutím Európskeho parlamentu a Rady č. 1313/2013/EÚ</w:t>
      </w:r>
      <w:r>
        <w:rPr>
          <w:szCs w:val="24"/>
          <w:vertAlign w:val="superscript"/>
          <w:lang w:eastAsia="en-US"/>
        </w:rPr>
        <w:footnoteReference w:id="31"/>
      </w:r>
      <w:r>
        <w:rPr>
          <w:szCs w:val="24"/>
          <w:lang w:eastAsia="en-US"/>
        </w:rPr>
        <w:t>.</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Agentúra v súlade so smernicou 2005/35/ES pomáha Komisii a členským štátom pri odhaľovaní možného znečistenia a pri sledovaní lodí, ktoré sa dopúšťajú nezákonného vypúšťania. Agentúra predovšetkým pomáha pri vykonávaní článkov [10, 10a, 10b, 10c a 10d] uvedenej smernice:</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vytvorením a správou potrebného informačného systému (</w:t>
      </w:r>
      <w:proofErr w:type="spellStart"/>
      <w:r>
        <w:rPr>
          <w:szCs w:val="24"/>
          <w:lang w:eastAsia="en-US"/>
        </w:rPr>
        <w:t>CleanSeaNet</w:t>
      </w:r>
      <w:proofErr w:type="spellEnd"/>
      <w:r>
        <w:rPr>
          <w:szCs w:val="24"/>
          <w:lang w:eastAsia="en-US"/>
        </w:rPr>
        <w:t>) v rámci systému Únie na výmenu námorných informácií (</w:t>
      </w:r>
      <w:proofErr w:type="spellStart"/>
      <w:r>
        <w:rPr>
          <w:szCs w:val="24"/>
          <w:lang w:eastAsia="en-US"/>
        </w:rPr>
        <w:t>SafeSeaNet</w:t>
      </w:r>
      <w:proofErr w:type="spellEnd"/>
      <w:r>
        <w:rPr>
          <w:szCs w:val="24"/>
          <w:lang w:eastAsia="en-US"/>
        </w:rPr>
        <w:t>) a vytvorením a správou databáz;</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zberom, analýzou a šírením príslušných informácií o vykonávaní a presadzovaní smernice 2005/35/ES;</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poskytovaním budovania kapacít príslušným vnútroštátnym orgánom a uľahčovaním výmeny najlepších postupov;</w:t>
      </w:r>
    </w:p>
    <w:p w:rsidR="00B47592" w:rsidRDefault="004245EA">
      <w:pPr>
        <w:spacing w:before="120" w:after="120" w:line="360" w:lineRule="auto"/>
        <w:ind w:left="1416" w:hanging="566"/>
        <w:rPr>
          <w:b/>
          <w:i/>
          <w:szCs w:val="24"/>
          <w:lang w:eastAsia="en-US"/>
        </w:rPr>
      </w:pPr>
      <w:r>
        <w:rPr>
          <w:szCs w:val="24"/>
          <w:lang w:eastAsia="en-US"/>
        </w:rPr>
        <w:t>d)</w:t>
      </w:r>
      <w:r>
        <w:rPr>
          <w:szCs w:val="24"/>
          <w:lang w:eastAsia="en-US"/>
        </w:rPr>
        <w:tab/>
        <w:t>vytvorením a správou online kanálu externého nahlasovania na prijímanie a spracovanie informácií o možnom nepovolenom vypúšťaní, ktoré oznámila posádka, a odovzdávaním týchto informácií dotknutým členským štátom</w:t>
      </w:r>
      <w:r>
        <w:rPr>
          <w:strike/>
          <w:szCs w:val="24"/>
          <w:lang w:eastAsia="en-US"/>
        </w:rPr>
        <w:t>.</w:t>
      </w:r>
      <w:r>
        <w:rPr>
          <w:b/>
          <w:i/>
          <w:szCs w:val="24"/>
          <w:lang w:eastAsia="en-US"/>
        </w:rPr>
        <w:t>;</w:t>
      </w:r>
    </w:p>
    <w:p w:rsidR="00B47592" w:rsidRDefault="004245EA">
      <w:pPr>
        <w:spacing w:before="120" w:after="120" w:line="360" w:lineRule="auto"/>
        <w:ind w:left="1416" w:hanging="566"/>
        <w:rPr>
          <w:b/>
          <w:szCs w:val="24"/>
          <w:lang w:eastAsia="en-US"/>
        </w:rPr>
      </w:pPr>
      <w:r>
        <w:rPr>
          <w:b/>
          <w:i/>
          <w:szCs w:val="24"/>
          <w:lang w:eastAsia="en-US"/>
        </w:rPr>
        <w:t>da)</w:t>
      </w:r>
      <w:r>
        <w:rPr>
          <w:szCs w:val="24"/>
          <w:lang w:eastAsia="en-US"/>
        </w:rPr>
        <w:tab/>
      </w:r>
      <w:r>
        <w:rPr>
          <w:b/>
          <w:i/>
          <w:szCs w:val="24"/>
          <w:lang w:eastAsia="en-US"/>
        </w:rPr>
        <w:t>výmenou a získavaním relevantných informácií od iných agentúr EÚ, ako je EFCA, najmä v súvislosti so strateným rybárskym výstrojom.</w:t>
      </w:r>
      <w:r>
        <w:rPr>
          <w:b/>
          <w:szCs w:val="24"/>
          <w:lang w:eastAsia="en-US"/>
        </w:rPr>
        <w:t xml:space="preserve"> [PN 32]</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Agentúra poskytuje službu </w:t>
      </w:r>
      <w:proofErr w:type="spellStart"/>
      <w:r>
        <w:rPr>
          <w:szCs w:val="24"/>
          <w:lang w:eastAsia="en-US"/>
        </w:rPr>
        <w:t>CleanSeaNet</w:t>
      </w:r>
      <w:proofErr w:type="spellEnd"/>
      <w:r>
        <w:rPr>
          <w:szCs w:val="24"/>
          <w:lang w:eastAsia="en-US"/>
        </w:rPr>
        <w:t xml:space="preserve"> a ďalšie nástroje, ktoré majú na požiadanie pomôcť Komisii a členským štátom pri monitorovaní rozsahu a environmentálneho vplyvu znečistenia mora ropou spôsobeného zariadeniami na ťažbu ropy a zemného plynu.</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Agentúra pomáha Komisii a členským štátom pri vykonávaní smernice (EÚ) 2019/883 o prístavných zberných zariadeniach na vykladanie odpadu z lodí. Agentúra najmä pomáha Komisii pri vývoji a správe inšpekčnej databázy stanovenej v článku 14 uvedenej smernice.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 xml:space="preserve">Agentúra pomáha Komisii a členským štátom v kontexte vykonávania smernice 2008/56/ES tak, že vzhľadom na jej prvky, ktoré sa týkajú lodnej dopravy, prispieva k cieľu dosiahnuť dobrý environmentálny stav morských vôd, a využívaním výsledkov existujúcich nástrojov, ako sú integrované námorné služby. V tejto súvislosti agentúra vykonáva ďalší výskum týkajúci sa problematiky stratených kontajnerov vrátane takých, v ktorých sa prepravujú plastové </w:t>
      </w:r>
      <w:proofErr w:type="spellStart"/>
      <w:r>
        <w:rPr>
          <w:szCs w:val="24"/>
          <w:lang w:eastAsia="en-US"/>
        </w:rPr>
        <w:t>pelety</w:t>
      </w:r>
      <w:proofErr w:type="spellEnd"/>
      <w:r>
        <w:rPr>
          <w:szCs w:val="24"/>
          <w:lang w:eastAsia="en-US"/>
        </w:rPr>
        <w:t xml:space="preserve">, a podmorského hluku </w:t>
      </w:r>
      <w:r w:rsidRPr="003F7CBF">
        <w:rPr>
          <w:strike/>
          <w:szCs w:val="24"/>
          <w:lang w:eastAsia="en-US"/>
        </w:rPr>
        <w:t>a</w:t>
      </w:r>
      <w:r>
        <w:rPr>
          <w:b/>
          <w:i/>
          <w:szCs w:val="24"/>
          <w:lang w:eastAsia="en-US"/>
        </w:rPr>
        <w:t>,</w:t>
      </w:r>
      <w:r>
        <w:rPr>
          <w:szCs w:val="24"/>
          <w:lang w:eastAsia="en-US"/>
        </w:rPr>
        <w:t xml:space="preserve"> predkladá odporúčania Komisii a členským štátom.</w:t>
      </w:r>
    </w:p>
    <w:p w:rsidR="00B47592" w:rsidRDefault="004245EA">
      <w:pPr>
        <w:spacing w:before="120" w:after="120" w:line="360" w:lineRule="auto"/>
        <w:ind w:left="850"/>
        <w:rPr>
          <w:b/>
          <w:szCs w:val="24"/>
          <w:lang w:eastAsia="en-US"/>
        </w:rPr>
      </w:pPr>
      <w:r>
        <w:rPr>
          <w:b/>
          <w:i/>
          <w:szCs w:val="24"/>
          <w:lang w:eastAsia="en-US"/>
        </w:rPr>
        <w:t>Pokiaľ ide o kontajnery stratené na mori, agentúra poskytne zainteresovaným stranám z odvetvia a vlajkovému štátu usmernenia týkajúce sa požiadaviek dohodnutých v rámci IMO na povinné nahlasovanie stratených kontajnerov. Preskúma sa aj možnosť zavedenia mechanizmov kolektívnej a koordinovanej reakcie na úrovni EÚ a medzinárodnej úrovni.</w:t>
      </w:r>
      <w:r>
        <w:rPr>
          <w:b/>
          <w:szCs w:val="24"/>
          <w:lang w:eastAsia="en-US"/>
        </w:rPr>
        <w:t xml:space="preserve"> [PN 33]</w:t>
      </w:r>
    </w:p>
    <w:p w:rsidR="00B47592" w:rsidRDefault="004245EA">
      <w:pPr>
        <w:spacing w:before="120" w:after="120" w:line="360" w:lineRule="auto"/>
        <w:ind w:left="850" w:hanging="850"/>
        <w:rPr>
          <w:szCs w:val="24"/>
          <w:lang w:eastAsia="en-US"/>
        </w:rPr>
      </w:pPr>
      <w:r>
        <w:rPr>
          <w:szCs w:val="24"/>
          <w:lang w:eastAsia="en-US"/>
        </w:rPr>
        <w:t>6.</w:t>
      </w:r>
      <w:r>
        <w:rPr>
          <w:szCs w:val="24"/>
          <w:lang w:eastAsia="en-US"/>
        </w:rPr>
        <w:tab/>
        <w:t>Agentúra pomáha Komisii a členským štátom, a to aj pomocou operačných nástrojov a služieb, pri vykonávaní prvkov smernice (EÚ) 2016/802, ktoré sa týkajú lodnej dopravy. V tejto súvislosti agentúra takisto zlepší a spravuje databázu, ktorá členským štátom poskytuje pomoc pri vhodnom výbere lodí na inšpekcie a stanovovaní priorít pri inšpekcii lodí na základe rizika nesúladu s uvedenou smernicou.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7.</w:t>
      </w:r>
      <w:r>
        <w:rPr>
          <w:szCs w:val="24"/>
          <w:lang w:eastAsia="en-US"/>
        </w:rPr>
        <w:tab/>
        <w:t>Agentúra pomáha Komisii a členským štátom na ich žiadosť primeranými operačnými nástrojmi a službami pri monitorovaní a zbere údajov v súvislosti s emisiami oxidov dusíka (</w:t>
      </w:r>
      <w:proofErr w:type="spellStart"/>
      <w:r>
        <w:rPr>
          <w:szCs w:val="24"/>
          <w:lang w:eastAsia="en-US"/>
        </w:rPr>
        <w:t>NO</w:t>
      </w:r>
      <w:r>
        <w:rPr>
          <w:szCs w:val="24"/>
          <w:vertAlign w:val="subscript"/>
          <w:lang w:eastAsia="en-US"/>
        </w:rPr>
        <w:t>x</w:t>
      </w:r>
      <w:proofErr w:type="spellEnd"/>
      <w:r>
        <w:rPr>
          <w:szCs w:val="24"/>
          <w:lang w:eastAsia="en-US"/>
        </w:rPr>
        <w:t>) z lodí.</w:t>
      </w:r>
    </w:p>
    <w:p w:rsidR="00B47592" w:rsidRDefault="004245EA">
      <w:pPr>
        <w:spacing w:before="120" w:after="120" w:line="360" w:lineRule="auto"/>
        <w:ind w:left="850" w:hanging="850"/>
        <w:rPr>
          <w:szCs w:val="24"/>
          <w:lang w:eastAsia="en-US"/>
        </w:rPr>
      </w:pPr>
      <w:r>
        <w:rPr>
          <w:szCs w:val="24"/>
          <w:lang w:eastAsia="en-US"/>
        </w:rPr>
        <w:t>8.</w:t>
      </w:r>
      <w:r>
        <w:rPr>
          <w:szCs w:val="24"/>
          <w:lang w:eastAsia="en-US"/>
        </w:rPr>
        <w:tab/>
        <w:t>Agentúra pomáha Komisii a členským štátom pri vykonávaní nariadenia Európskeho parlamentu a Rady (EÚ) č. 1257/2013</w:t>
      </w:r>
      <w:r>
        <w:rPr>
          <w:szCs w:val="24"/>
          <w:vertAlign w:val="superscript"/>
          <w:lang w:eastAsia="en-US"/>
        </w:rPr>
        <w:footnoteReference w:id="32"/>
      </w:r>
      <w:r>
        <w:rPr>
          <w:szCs w:val="24"/>
          <w:lang w:eastAsia="en-US"/>
        </w:rPr>
        <w:t xml:space="preserve"> vydávaním náležitých usmernení a zberom a analýzou údajov o dodržiavaní ustanovení uvedeného nariadenia.</w:t>
      </w:r>
    </w:p>
    <w:p w:rsidR="00B47592" w:rsidRDefault="004245EA">
      <w:pPr>
        <w:spacing w:before="120" w:after="120" w:line="360" w:lineRule="auto"/>
        <w:ind w:left="850" w:hanging="850"/>
        <w:rPr>
          <w:szCs w:val="24"/>
          <w:lang w:eastAsia="en-US"/>
        </w:rPr>
      </w:pPr>
      <w:r>
        <w:rPr>
          <w:szCs w:val="24"/>
          <w:lang w:eastAsia="en-US"/>
        </w:rPr>
        <w:t>9.</w:t>
      </w:r>
      <w:r>
        <w:rPr>
          <w:szCs w:val="24"/>
          <w:lang w:eastAsia="en-US"/>
        </w:rPr>
        <w:tab/>
        <w:t>Agentúra každé tri roky predloží Komisii správu o pokroku dosiahnutom pri znižovaní vplyvu námornej dopravy na úrovni Únie na životné prostredie.</w:t>
      </w:r>
    </w:p>
    <w:p w:rsidR="00B47592" w:rsidRDefault="004245EA">
      <w:pPr>
        <w:spacing w:before="120" w:after="120" w:line="360" w:lineRule="auto"/>
        <w:jc w:val="center"/>
        <w:rPr>
          <w:szCs w:val="24"/>
          <w:lang w:eastAsia="en-US"/>
        </w:rPr>
      </w:pPr>
      <w:r>
        <w:rPr>
          <w:szCs w:val="24"/>
          <w:lang w:eastAsia="en-US"/>
        </w:rPr>
        <w:t>Článok 6</w:t>
      </w:r>
      <w:r>
        <w:rPr>
          <w:szCs w:val="24"/>
          <w:lang w:eastAsia="en-US"/>
        </w:rPr>
        <w:br/>
        <w:t>Úlohy súvisiace s dekarbonizáciou</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Agentúra monitoruje pokrok pri operačných a technických opatreniach prijatých na zvýšenie energetickej efektívnosti lodí</w:t>
      </w:r>
      <w:r>
        <w:rPr>
          <w:b/>
          <w:i/>
          <w:szCs w:val="24"/>
          <w:lang w:eastAsia="en-US"/>
        </w:rPr>
        <w:t xml:space="preserve"> a prístavov</w:t>
      </w:r>
      <w:r>
        <w:rPr>
          <w:szCs w:val="24"/>
          <w:lang w:eastAsia="en-US"/>
        </w:rPr>
        <w:t xml:space="preserve"> a pri zavádzaní udržateľných alternatívnych palív, energie a pohonných systémov pre lode vrátane pobrežného zásobovania elektrinou</w:t>
      </w:r>
      <w:r>
        <w:rPr>
          <w:strike/>
          <w:szCs w:val="24"/>
          <w:lang w:eastAsia="en-US"/>
        </w:rPr>
        <w:t xml:space="preserve"> a</w:t>
      </w:r>
      <w:r>
        <w:rPr>
          <w:b/>
          <w:i/>
          <w:szCs w:val="24"/>
          <w:lang w:eastAsia="en-US"/>
        </w:rPr>
        <w:t>,</w:t>
      </w:r>
      <w:r>
        <w:rPr>
          <w:szCs w:val="24"/>
          <w:lang w:eastAsia="en-US"/>
        </w:rPr>
        <w:t xml:space="preserve"> pohonu pomocou vetra</w:t>
      </w:r>
      <w:r>
        <w:rPr>
          <w:b/>
          <w:i/>
          <w:szCs w:val="24"/>
          <w:lang w:eastAsia="en-US"/>
        </w:rPr>
        <w:t xml:space="preserve"> a zachytávania uhlíka na palube</w:t>
      </w:r>
      <w:r>
        <w:rPr>
          <w:szCs w:val="24"/>
          <w:lang w:eastAsia="en-US"/>
        </w:rPr>
        <w:t xml:space="preserve"> s cieľom znížiť emisie skleníkových plynov z lodí.</w:t>
      </w:r>
      <w:r>
        <w:rPr>
          <w:b/>
          <w:szCs w:val="24"/>
          <w:lang w:eastAsia="en-US"/>
        </w:rPr>
        <w:t xml:space="preserve"> [PN 34]</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850" w:hanging="850"/>
        <w:rPr>
          <w:b/>
          <w:szCs w:val="24"/>
          <w:lang w:eastAsia="en-US"/>
        </w:rPr>
      </w:pPr>
      <w:r>
        <w:rPr>
          <w:b/>
          <w:i/>
          <w:szCs w:val="24"/>
          <w:lang w:eastAsia="en-US"/>
        </w:rPr>
        <w:lastRenderedPageBreak/>
        <w:t>1a.</w:t>
      </w:r>
      <w:r>
        <w:rPr>
          <w:szCs w:val="24"/>
          <w:lang w:eastAsia="en-US"/>
        </w:rPr>
        <w:tab/>
      </w:r>
      <w:r>
        <w:rPr>
          <w:b/>
          <w:i/>
          <w:szCs w:val="24"/>
          <w:lang w:eastAsia="en-US"/>
        </w:rPr>
        <w:t>Agentúra posudzuje potrebu zaviesť dodatočné moduly odbornej prípravy pre pracovníkov v námornej doprave, ktorí narábajú s novými a často zložitými hybridnými systémami a systémami s nulovými emisiami.</w:t>
      </w:r>
      <w:r>
        <w:rPr>
          <w:b/>
          <w:szCs w:val="24"/>
          <w:lang w:eastAsia="en-US"/>
        </w:rPr>
        <w:t xml:space="preserve"> [PN 35]</w:t>
      </w:r>
    </w:p>
    <w:p w:rsidR="00B47592" w:rsidRDefault="004245EA">
      <w:pPr>
        <w:spacing w:before="120" w:after="120" w:line="360" w:lineRule="auto"/>
        <w:ind w:left="850" w:hanging="850"/>
        <w:rPr>
          <w:b/>
          <w:szCs w:val="24"/>
          <w:lang w:eastAsia="en-US"/>
        </w:rPr>
      </w:pPr>
      <w:r>
        <w:rPr>
          <w:szCs w:val="24"/>
          <w:lang w:eastAsia="en-US"/>
        </w:rPr>
        <w:t>2.</w:t>
      </w:r>
      <w:r>
        <w:rPr>
          <w:szCs w:val="24"/>
          <w:lang w:eastAsia="en-US"/>
        </w:rPr>
        <w:tab/>
        <w:t>Agentúra Komisii a členským štátom na ich žiadosť poskytuje technickú pomoc v súvislosti s regulačným úsilím o zníženie emisií skleníkových plynov z lodí</w:t>
      </w:r>
      <w:r>
        <w:rPr>
          <w:b/>
          <w:i/>
          <w:szCs w:val="24"/>
          <w:lang w:eastAsia="en-US"/>
        </w:rPr>
        <w:t xml:space="preserve"> a prístavov</w:t>
      </w:r>
      <w:r>
        <w:rPr>
          <w:szCs w:val="24"/>
          <w:lang w:eastAsia="en-US"/>
        </w:rPr>
        <w:t xml:space="preserve">. Agentúra môže v tejto súvislosti využívať všetky operačné nástroje alebo služby súvisiace s úlohou. Agentúra predovšetkým skúma, analyzuje a navrhuje príslušné usmernenia alebo odporúčania súvisiace s využívaním a zavádzaním udržateľných alternatívnych palív, energie a pohonných systémov pre lode vrátane pobrežného zásobovania elektrinou a pohonu pomocou vetra, </w:t>
      </w:r>
      <w:r>
        <w:rPr>
          <w:b/>
          <w:i/>
          <w:szCs w:val="24"/>
          <w:lang w:eastAsia="en-US"/>
        </w:rPr>
        <w:t xml:space="preserve">slnečnej energie a kinetických vĺn a zachytávania uhlíka na palube pri zabezpečení dodržiavania technologickej neutrality, </w:t>
      </w:r>
      <w:r>
        <w:rPr>
          <w:szCs w:val="24"/>
          <w:lang w:eastAsia="en-US"/>
        </w:rPr>
        <w:t>ako aj súvisiace s opatreniami v oblasti energetickej efektívnosti</w:t>
      </w:r>
      <w:r>
        <w:rPr>
          <w:b/>
          <w:i/>
          <w:szCs w:val="24"/>
          <w:lang w:eastAsia="en-US"/>
        </w:rPr>
        <w:t xml:space="preserve"> vrátane postupov, ako je pomalá plavba a optimalizácia rýchlosti</w:t>
      </w:r>
      <w:r>
        <w:rPr>
          <w:szCs w:val="24"/>
          <w:lang w:eastAsia="en-US"/>
        </w:rPr>
        <w:t>.</w:t>
      </w:r>
      <w:r>
        <w:rPr>
          <w:b/>
          <w:szCs w:val="24"/>
          <w:lang w:eastAsia="en-US"/>
        </w:rPr>
        <w:t xml:space="preserve"> [PN 36]</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Agentúra pomáha Komisii a členským štátom pri vykonávaní nariadenia (EÚ) [… o využívaní palív z obnoviteľných zdrojov a </w:t>
      </w:r>
      <w:proofErr w:type="spellStart"/>
      <w:r>
        <w:rPr>
          <w:szCs w:val="24"/>
          <w:lang w:eastAsia="en-US"/>
        </w:rPr>
        <w:t>nízkouhlíkových</w:t>
      </w:r>
      <w:proofErr w:type="spellEnd"/>
      <w:r>
        <w:rPr>
          <w:szCs w:val="24"/>
          <w:lang w:eastAsia="en-US"/>
        </w:rPr>
        <w:t xml:space="preserve"> palív v námornej doprave]. Agentúra najmä pomáha Komisii pri vývoji a správe databázy </w:t>
      </w:r>
      <w:proofErr w:type="spellStart"/>
      <w:r>
        <w:rPr>
          <w:szCs w:val="24"/>
          <w:lang w:eastAsia="en-US"/>
        </w:rPr>
        <w:t>FuelEU</w:t>
      </w:r>
      <w:proofErr w:type="spellEnd"/>
      <w:r>
        <w:rPr>
          <w:szCs w:val="24"/>
          <w:lang w:eastAsia="en-US"/>
        </w:rPr>
        <w:t xml:space="preserve"> a ďalších relevantných nástrojov IT, ako sa uvádza v [článku 16] uvedeného nariadenia, pri vytváraní vhodných monitorovacích nástrojov, usmernení a nástrojov na výber založený na posudzovaní rizík, ktorými sa majú uľahčiť činnosti overovania a presadzovania dodržiavania predpisov podľa [článku 15b] uvedeného nariadenia, a pri analýze príslušných údajov a príprave podávania správ podľa [článku 28] uvedeného nariadenia.</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Agentúra pomáha Komisii a členským štátom pri vykonávaní nariadenia (EÚ) 2015/757. Agentúra pomáha Komisii najmä pri vytváraní, aktualizácii a správe príslušných nástrojov IT, databáz a usmernení na účely vykonávania uvedeného nariadenia a uľahčenia činností presadzovania dodržiavania predpisov, pomáha Komisii pri analýze príslušných údajov nahlásených podľa uvedeného nariadenia a podporuje Komisiu pri činnostiach, ktoré Komisia vykonáva s cieľom splniť povinnosti podľa článku 21 uvedeného nariadenia.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Agentúra pomáha Komisii a členským štátom pri vykonávaní smernice 2003/87/ES v rozsahu, v akom sa týka odvetvia námornej dopravy. Agentúra pomáha Komisii najmä pri vytváraní vhodných nástrojov IT na vykonávanie, monitorovacích nástrojov, usmernení a nástrojov výberu opierajúcich sa o posudzovanie rizík, ktoré majú uľahčiť činnosti overovania, presadzovania dodržiavania predpisov a vykonávania v súvislosti so smernicou 2003/87/ES v rozsahu, v akom sa týka odvetvia námornej dopravy, a pritom využíva výsledky existujúcich relevantných nástrojov, služieb a databáz.</w:t>
      </w:r>
    </w:p>
    <w:p w:rsidR="00B47592" w:rsidRDefault="004245EA" w:rsidP="003F7CBF">
      <w:pPr>
        <w:spacing w:before="120" w:after="120" w:line="360" w:lineRule="auto"/>
        <w:ind w:left="850" w:firstLine="1"/>
        <w:rPr>
          <w:b/>
          <w:szCs w:val="24"/>
          <w:lang w:eastAsia="en-US"/>
        </w:rPr>
      </w:pPr>
      <w:r>
        <w:rPr>
          <w:b/>
          <w:i/>
          <w:szCs w:val="24"/>
          <w:lang w:eastAsia="en-US"/>
        </w:rPr>
        <w:t>Takáto pomoc zahŕňa aj monitorovanie a podávanie správ o vplyvoch na prístavnú dopravu, únikoch v prístavoch a presunoch dopravy do susedných prístavov na prekládku kontajnerov na úkor prístavov EÚ.</w:t>
      </w:r>
      <w:r>
        <w:rPr>
          <w:b/>
          <w:szCs w:val="24"/>
          <w:lang w:eastAsia="en-US"/>
        </w:rPr>
        <w:t xml:space="preserve"> [PN 37]</w:t>
      </w:r>
    </w:p>
    <w:p w:rsidR="00B47592" w:rsidRDefault="004245EA">
      <w:pPr>
        <w:spacing w:before="120" w:after="120" w:line="360" w:lineRule="auto"/>
        <w:ind w:left="850" w:hanging="850"/>
        <w:rPr>
          <w:b/>
          <w:szCs w:val="24"/>
          <w:lang w:eastAsia="en-US"/>
        </w:rPr>
      </w:pPr>
      <w:r>
        <w:rPr>
          <w:szCs w:val="24"/>
          <w:lang w:eastAsia="en-US"/>
        </w:rPr>
        <w:t>6.</w:t>
      </w:r>
      <w:r>
        <w:rPr>
          <w:szCs w:val="24"/>
          <w:lang w:eastAsia="en-US"/>
        </w:rPr>
        <w:tab/>
        <w:t>Agentúra každé tri roky predloží Komisii správu o pokroku pri dosahovaní dekarbonizácie námornej dopravy na úrovni Únie. Ak je to možné, správa obsahuje technickú analýzu zistených problémov, ktoré by bolo možné riešiť na úrovni Únie.</w:t>
      </w:r>
      <w:r>
        <w:rPr>
          <w:b/>
          <w:i/>
          <w:szCs w:val="24"/>
          <w:lang w:eastAsia="en-US"/>
        </w:rPr>
        <w:t xml:space="preserve"> Správa sa zverejní na webovom sídle agentúry vo formáte umožňujúcom vyhľadávanie a v rozčlenenej podobe.</w:t>
      </w:r>
      <w:r>
        <w:rPr>
          <w:b/>
          <w:szCs w:val="24"/>
          <w:lang w:eastAsia="en-US"/>
        </w:rPr>
        <w:t xml:space="preserve"> [PN 38]</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7</w:t>
      </w:r>
      <w:r>
        <w:rPr>
          <w:szCs w:val="24"/>
          <w:lang w:eastAsia="en-US"/>
        </w:rPr>
        <w:br/>
        <w:t>Úlohy súvisiace s ochranou námornej dopravy a kybernetickou bezpečnosťou</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Agentúra Komisii</w:t>
      </w:r>
      <w:r>
        <w:rPr>
          <w:b/>
          <w:i/>
          <w:szCs w:val="24"/>
          <w:lang w:eastAsia="en-US"/>
        </w:rPr>
        <w:t xml:space="preserve"> a členským štátom</w:t>
      </w:r>
      <w:r>
        <w:rPr>
          <w:szCs w:val="24"/>
          <w:lang w:eastAsia="en-US"/>
        </w:rPr>
        <w:t xml:space="preserve"> poskytuje technickú pomoc pri plnení úloh</w:t>
      </w:r>
      <w:r>
        <w:rPr>
          <w:strike/>
          <w:szCs w:val="24"/>
          <w:lang w:eastAsia="en-US"/>
        </w:rPr>
        <w:t xml:space="preserve"> inšpekcie</w:t>
      </w:r>
      <w:r>
        <w:rPr>
          <w:szCs w:val="24"/>
          <w:lang w:eastAsia="en-US"/>
        </w:rPr>
        <w:t xml:space="preserve">, ktoré </w:t>
      </w:r>
      <w:proofErr w:type="spellStart"/>
      <w:r>
        <w:rPr>
          <w:strike/>
          <w:szCs w:val="24"/>
          <w:lang w:eastAsia="en-US"/>
        </w:rPr>
        <w:t>jej</w:t>
      </w:r>
      <w:r>
        <w:rPr>
          <w:b/>
          <w:i/>
          <w:szCs w:val="24"/>
          <w:lang w:eastAsia="en-US"/>
        </w:rPr>
        <w:t>im</w:t>
      </w:r>
      <w:proofErr w:type="spellEnd"/>
      <w:r>
        <w:rPr>
          <w:szCs w:val="24"/>
          <w:lang w:eastAsia="en-US"/>
        </w:rPr>
        <w:t xml:space="preserve"> boli uložené podľa článku 9</w:t>
      </w:r>
      <w:r>
        <w:rPr>
          <w:strike/>
          <w:szCs w:val="24"/>
          <w:lang w:eastAsia="en-US"/>
        </w:rPr>
        <w:t xml:space="preserve"> ods. 4 </w:t>
      </w:r>
      <w:r>
        <w:rPr>
          <w:szCs w:val="24"/>
          <w:lang w:eastAsia="en-US"/>
        </w:rPr>
        <w:t>nariadenia (ES) č. 725/2004.</w:t>
      </w:r>
      <w:r>
        <w:rPr>
          <w:b/>
          <w:szCs w:val="24"/>
          <w:lang w:eastAsia="en-US"/>
        </w:rPr>
        <w:t xml:space="preserve"> [PN 39]</w:t>
      </w:r>
    </w:p>
    <w:p w:rsidR="00B47592" w:rsidRDefault="004245EA">
      <w:pPr>
        <w:spacing w:before="120" w:after="120" w:line="360" w:lineRule="auto"/>
        <w:ind w:left="850" w:hanging="850"/>
        <w:rPr>
          <w:b/>
          <w:szCs w:val="24"/>
          <w:lang w:eastAsia="en-US"/>
        </w:rPr>
      </w:pPr>
      <w:r>
        <w:rPr>
          <w:szCs w:val="24"/>
          <w:lang w:eastAsia="en-US"/>
        </w:rPr>
        <w:t>2.</w:t>
      </w:r>
      <w:r>
        <w:rPr>
          <w:szCs w:val="24"/>
          <w:lang w:eastAsia="en-US"/>
        </w:rPr>
        <w:tab/>
        <w:t xml:space="preserve">Spolu s ďalšími relevantnými orgánmi Únie pomáha agentúra Komisii a členským štátom pri budovaní odolnosti proti </w:t>
      </w:r>
      <w:proofErr w:type="spellStart"/>
      <w:r>
        <w:rPr>
          <w:szCs w:val="24"/>
          <w:lang w:eastAsia="en-US"/>
        </w:rPr>
        <w:t>kybernetickobezpečnostným</w:t>
      </w:r>
      <w:proofErr w:type="spellEnd"/>
      <w:r>
        <w:rPr>
          <w:szCs w:val="24"/>
          <w:lang w:eastAsia="en-US"/>
        </w:rPr>
        <w:t xml:space="preserve"> incidentom v odvetví námornej dopravy, a to najmä </w:t>
      </w:r>
      <w:r>
        <w:rPr>
          <w:b/>
          <w:i/>
          <w:szCs w:val="24"/>
          <w:lang w:eastAsia="en-US"/>
        </w:rPr>
        <w:t xml:space="preserve">poskytovaním usmernení a </w:t>
      </w:r>
      <w:r>
        <w:rPr>
          <w:szCs w:val="24"/>
          <w:lang w:eastAsia="en-US"/>
        </w:rPr>
        <w:t xml:space="preserve">uľahčením výmeny najlepších postupov a informácií o </w:t>
      </w:r>
      <w:proofErr w:type="spellStart"/>
      <w:r>
        <w:rPr>
          <w:szCs w:val="24"/>
          <w:lang w:eastAsia="en-US"/>
        </w:rPr>
        <w:t>kybernetickobezpečnostných</w:t>
      </w:r>
      <w:proofErr w:type="spellEnd"/>
      <w:r>
        <w:rPr>
          <w:szCs w:val="24"/>
          <w:lang w:eastAsia="en-US"/>
        </w:rPr>
        <w:t xml:space="preserve"> incidentoch medzi členskými štátmi.</w:t>
      </w:r>
      <w:r>
        <w:rPr>
          <w:b/>
          <w:szCs w:val="24"/>
          <w:lang w:eastAsia="en-US"/>
        </w:rPr>
        <w:t xml:space="preserve"> [PN 40]</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8</w:t>
      </w:r>
      <w:r>
        <w:rPr>
          <w:szCs w:val="24"/>
          <w:lang w:eastAsia="en-US"/>
        </w:rPr>
        <w:br/>
        <w:t>Úlohy súvisiace s námorným dozorom a námornými krízami</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Agentúra poskytuje Komisii a členským štátom na ich žiadosť služby námorného dozoru a komunikačné služby založené na najmodernejších technológiách vrátane vesmírnych a pozemných infraštruktúr a snímačov umiestnených na platformách akéhokoľvek druhu, a tak zlepšuje informovanosť o námornej situácii</w:t>
      </w:r>
      <w:r>
        <w:rPr>
          <w:b/>
          <w:i/>
          <w:szCs w:val="24"/>
          <w:lang w:eastAsia="en-US"/>
        </w:rPr>
        <w:t>, a to aj so zreteľom na nové geopolitické výzvy, ako napríklad útočnú vojnu Ruska voči Ukrajine a súvisiace bezpečnostné hrozby pre konkrétne členské štáty a Úniu ako celok</w:t>
      </w:r>
      <w:r>
        <w:rPr>
          <w:szCs w:val="24"/>
          <w:lang w:eastAsia="en-US"/>
        </w:rPr>
        <w:t>.</w:t>
      </w:r>
      <w:r>
        <w:rPr>
          <w:b/>
          <w:szCs w:val="24"/>
          <w:lang w:eastAsia="en-US"/>
        </w:rPr>
        <w:t xml:space="preserve"> [PN 41]</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V oblasti monitorovania dopravy, na ktorú sa vzťahuje smernica 2002/59/ES, agentúra podporuje najmä spoluprácu medzi pobrežnými štátmi v dotknutých plavebných oblastiach a vytvorí, spravuje a prevádzkuje dátové stredisko Európskej únie na identifikáciu a sledovanie lodí na veľkú vzdialenosť (dátové stredisko EÚ pre LRIT) podľa článku 6b uvedenej smernice a systém Únie na výmenu námorných informácií (</w:t>
      </w:r>
      <w:proofErr w:type="spellStart"/>
      <w:r>
        <w:rPr>
          <w:szCs w:val="24"/>
          <w:lang w:eastAsia="en-US"/>
        </w:rPr>
        <w:t>SafeSeaNet</w:t>
      </w:r>
      <w:proofErr w:type="spellEnd"/>
      <w:r>
        <w:rPr>
          <w:szCs w:val="24"/>
          <w:lang w:eastAsia="en-US"/>
        </w:rPr>
        <w:t xml:space="preserve">) podľa článku </w:t>
      </w:r>
      <w:proofErr w:type="spellStart"/>
      <w:r>
        <w:rPr>
          <w:szCs w:val="24"/>
          <w:lang w:eastAsia="en-US"/>
        </w:rPr>
        <w:t>22a</w:t>
      </w:r>
      <w:proofErr w:type="spellEnd"/>
      <w:r>
        <w:rPr>
          <w:szCs w:val="24"/>
          <w:lang w:eastAsia="en-US"/>
        </w:rPr>
        <w:t xml:space="preserve"> uvedenej smernice, ako aj systém na medzinárodnú výmenu údajov v oblasti informácií identifikácie a sledovania lodí na veľkú vzdialenosť v súlade so záväzkom v rámci Medzinárodnej námornej organizácie.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Agentúra na požiadanie a bez toho, aby bolo dotknuté vnútroštátne právo a právo Únie, poskytuje v záujme uľahčenia opatrení zameraných proti hrozbám pirátstva a úmyselných protiprávnych činov, ako sa stanovujú v platnom práve Únie alebo na základe právnych nástrojov v oblasti námornej dopravy dohodnutých na medzinárodnej úrovni, Komisii, príslušným vnútroštátnym orgánom a relevantným orgánom Únie v rámci ich mandátu relevantné údaje o polohe plavidiel a údaje z pozorovania Zeme pričom sa uplatňujú príslušné predpisy o ochrane údajov a dodržiavajú administratívne postupy, ktoré podľa potreby stanoví riadiaca skupina na vysokej úrovni zriadená v súlade so smernicou 2002/59/ES. Poskytovanie údajov identifikácie a sledovania lodí na veľkú vzdialenosť podlieha súhlasu dotknutého vlajkového štátu.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4.</w:t>
      </w:r>
      <w:r>
        <w:rPr>
          <w:szCs w:val="24"/>
          <w:lang w:eastAsia="en-US"/>
        </w:rPr>
        <w:tab/>
        <w:t>Agentúra prevádzkuje stredisko, ktoré je k dispozícii nepretržite a ktoré</w:t>
      </w:r>
      <w:r>
        <w:rPr>
          <w:strike/>
          <w:szCs w:val="24"/>
          <w:lang w:eastAsia="en-US"/>
        </w:rPr>
        <w:t xml:space="preserve"> na požiadanie a </w:t>
      </w:r>
      <w:r>
        <w:rPr>
          <w:szCs w:val="24"/>
          <w:lang w:eastAsia="en-US"/>
        </w:rPr>
        <w:t>bez toho, aby bolo dotknuté vnútroštátne právo a právo Únie, poskytuje Komisii, príslušným vnútroštátnym orgánom bez toho, aby boli dotknuté ich práva a povinnosti vlajkových, pobrežných a prístavných štátov, a príslušným orgánom Únie v rámci ich mandátu informovanosť o námornej situácii a prípadne analytické údaje a podporuje ich:</w:t>
      </w:r>
      <w:r>
        <w:rPr>
          <w:b/>
          <w:szCs w:val="24"/>
          <w:lang w:eastAsia="en-US"/>
        </w:rPr>
        <w:t xml:space="preserve"> [PN 42]</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v oblasti bezpečnosti, ochrany a znečistenia na mori;</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v núdzových situáciách na mori;</w:t>
      </w:r>
    </w:p>
    <w:p w:rsidR="00B47592" w:rsidRDefault="004245EA">
      <w:pPr>
        <w:spacing w:before="120" w:after="120" w:line="360" w:lineRule="auto"/>
        <w:ind w:left="1416" w:hanging="566"/>
        <w:rPr>
          <w:b/>
          <w:szCs w:val="24"/>
          <w:lang w:eastAsia="en-US"/>
        </w:rPr>
      </w:pPr>
      <w:r>
        <w:rPr>
          <w:szCs w:val="24"/>
          <w:lang w:eastAsia="en-US"/>
        </w:rPr>
        <w:t>c)</w:t>
      </w:r>
      <w:r>
        <w:rPr>
          <w:szCs w:val="24"/>
          <w:lang w:eastAsia="en-US"/>
        </w:rPr>
        <w:tab/>
        <w:t>pri vykonávaní právnych predpisov Únie, ktoré si vyžadujú monitorovanie pohybu lodí</w:t>
      </w:r>
      <w:r>
        <w:rPr>
          <w:b/>
          <w:i/>
          <w:szCs w:val="24"/>
          <w:lang w:eastAsia="en-US"/>
        </w:rPr>
        <w:t xml:space="preserve"> a kontajnerov stratených na mori</w:t>
      </w:r>
      <w:r>
        <w:rPr>
          <w:szCs w:val="24"/>
          <w:lang w:eastAsia="en-US"/>
        </w:rPr>
        <w:t>;</w:t>
      </w:r>
      <w:r>
        <w:rPr>
          <w:b/>
          <w:szCs w:val="24"/>
          <w:lang w:eastAsia="en-US"/>
        </w:rPr>
        <w:t xml:space="preserve"> [PN 43]</w:t>
      </w:r>
    </w:p>
    <w:p w:rsidR="00B47592" w:rsidRDefault="004245EA">
      <w:pPr>
        <w:spacing w:before="120" w:after="120" w:line="360" w:lineRule="auto"/>
        <w:ind w:left="1416" w:hanging="566"/>
        <w:rPr>
          <w:szCs w:val="24"/>
          <w:lang w:eastAsia="en-US"/>
        </w:rPr>
      </w:pPr>
      <w:r>
        <w:rPr>
          <w:szCs w:val="24"/>
          <w:lang w:eastAsia="en-US"/>
        </w:rPr>
        <w:t>d)</w:t>
      </w:r>
      <w:r>
        <w:rPr>
          <w:szCs w:val="24"/>
          <w:lang w:eastAsia="en-US"/>
        </w:rPr>
        <w:tab/>
        <w:t>pri opatreniach zameraných proti hrozbám pirátstva a úmyselných protiprávnych činov, ako sa stanovujú v platnom práve Únie alebo na základe právnych nástrojov v oblasti námornej dopravy dohodnutých na medzinárodnej úrovni;</w:t>
      </w:r>
    </w:p>
    <w:p w:rsidR="00B47592" w:rsidRDefault="004245EA">
      <w:pPr>
        <w:spacing w:before="120" w:after="120" w:line="360" w:lineRule="auto"/>
        <w:ind w:left="1416" w:hanging="566"/>
        <w:rPr>
          <w:szCs w:val="24"/>
          <w:lang w:eastAsia="en-US"/>
        </w:rPr>
      </w:pPr>
      <w:r>
        <w:rPr>
          <w:szCs w:val="24"/>
          <w:lang w:eastAsia="en-US"/>
        </w:rPr>
        <w:t>e)</w:t>
      </w:r>
      <w:r>
        <w:rPr>
          <w:szCs w:val="24"/>
          <w:lang w:eastAsia="en-US"/>
        </w:rPr>
        <w:tab/>
        <w:t>pri zavádzaní námorných autonómnych a automatizovaných hladinových lodí a ich interakcii s konvenčnými loďami.</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rPr>
          <w:szCs w:val="24"/>
          <w:lang w:eastAsia="en-US"/>
        </w:rPr>
      </w:pPr>
      <w:r>
        <w:rPr>
          <w:szCs w:val="24"/>
          <w:lang w:eastAsia="en-US"/>
        </w:rPr>
        <w:lastRenderedPageBreak/>
        <w:t>Poskytovanie týchto informácií podlieha príslušným predpisom o ochrane údajov a dodržiavaniu administratívnych postupov, ktoré podľa potreby stanoví riadiaca skupina na vysokej úrovni zriadená v súlade so smernicou 2002/59/ES. Poskytovanie údajov identifikácie a sledovania lodí na veľkú vzdialenosť podlieha súhlasu dotknutého vlajkového štátu.</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Agentúra v rámci svojich právomocí prispieva k včasnej odozve na krízy a k ich zmierňovaniu tým, že na požiadanie pomáha členským štátom a Komisii pri realizácii plánov pre nepredvídané udalosti a že uľahčuje výmenu informácií a najlepších postupov.</w:t>
      </w:r>
    </w:p>
    <w:p w:rsidR="00B47592" w:rsidRDefault="004245EA">
      <w:pPr>
        <w:spacing w:before="120" w:after="120" w:line="360" w:lineRule="auto"/>
        <w:ind w:left="850" w:hanging="850"/>
        <w:rPr>
          <w:szCs w:val="24"/>
          <w:lang w:eastAsia="en-US"/>
        </w:rPr>
      </w:pPr>
      <w:r>
        <w:rPr>
          <w:szCs w:val="24"/>
          <w:lang w:eastAsia="en-US"/>
        </w:rPr>
        <w:t>6.</w:t>
      </w:r>
      <w:r>
        <w:rPr>
          <w:szCs w:val="24"/>
          <w:lang w:eastAsia="en-US"/>
        </w:rPr>
        <w:tab/>
        <w:t xml:space="preserve">Agentúra pomáha Komisii pri prevádzkovaní zložky námorného dozoru služby bezpečnosti programu </w:t>
      </w:r>
      <w:proofErr w:type="spellStart"/>
      <w:r>
        <w:rPr>
          <w:szCs w:val="24"/>
          <w:lang w:eastAsia="en-US"/>
        </w:rPr>
        <w:t>Copernicus</w:t>
      </w:r>
      <w:proofErr w:type="spellEnd"/>
      <w:r>
        <w:rPr>
          <w:szCs w:val="24"/>
          <w:lang w:eastAsia="en-US"/>
        </w:rPr>
        <w:t xml:space="preserve"> v riadiacom a finančnom rámci programu </w:t>
      </w:r>
      <w:proofErr w:type="spellStart"/>
      <w:r>
        <w:rPr>
          <w:szCs w:val="24"/>
          <w:lang w:eastAsia="en-US"/>
        </w:rPr>
        <w:t>Copernicus</w:t>
      </w:r>
      <w:proofErr w:type="spellEnd"/>
      <w:r>
        <w:rPr>
          <w:szCs w:val="24"/>
          <w:lang w:eastAsia="en-US"/>
        </w:rPr>
        <w:t>.</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 xml:space="preserve">Agentúra pomáha Komisii a členským štátom pri vývoji a správe dobrovoľného spoločného prostredia na výmenu informácií (ďalej len „CISE“), ktoré je riešením </w:t>
      </w:r>
      <w:proofErr w:type="spellStart"/>
      <w:r>
        <w:rPr>
          <w:szCs w:val="24"/>
          <w:lang w:eastAsia="en-US"/>
        </w:rPr>
        <w:t>interoperability</w:t>
      </w:r>
      <w:proofErr w:type="spellEnd"/>
      <w:r>
        <w:rPr>
          <w:szCs w:val="24"/>
          <w:lang w:eastAsia="en-US"/>
        </w:rPr>
        <w:t xml:space="preserve"> s cieľom uľahčiť výmenu informácií medzi jednotlivými systémami používanými civilnými a vojenskými orgánmi so zodpovednosťou v námornej oblasti, ktoré dopĺňajú informácie, ktoré už sú dostupné prostredníctvom povinných informačných systémov.</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9</w:t>
      </w:r>
      <w:r>
        <w:rPr>
          <w:szCs w:val="24"/>
          <w:lang w:eastAsia="en-US"/>
        </w:rPr>
        <w:br/>
        <w:t>Úlohy súvisiace s digitalizáciou a zjednodušením</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 xml:space="preserve">Agentúra podľa potreby zbiera a poskytuje objektívne, spoľahlivé a porovnateľné štatistiky, informácie a údaje v oblastiach práva Únie patriacich do právomocí agentúry s cieľom umožniť Komisii a členským štátom prijať potrebné kroky na zlepšenie svojich opatrení a vyhodnotiť účinnosť a nákladovú efektívnosť existujúcich opatrení. Tieto úlohy zahŕňajú uľahčenie a podporu elektronických osvedčení, zhromažďovanie, zaznamenávanie a hodnotenie technických údajov, systematické využívanie existujúcich databáz vrátane výmeny dát prostredníctvom používania inovačných nástrojov IT a umelej inteligencie a prípadne rozvoj doplňujúcich </w:t>
      </w:r>
      <w:proofErr w:type="spellStart"/>
      <w:r>
        <w:rPr>
          <w:szCs w:val="24"/>
          <w:lang w:eastAsia="en-US"/>
        </w:rPr>
        <w:t>interoperabilných</w:t>
      </w:r>
      <w:proofErr w:type="spellEnd"/>
      <w:r>
        <w:rPr>
          <w:szCs w:val="24"/>
          <w:lang w:eastAsia="en-US"/>
        </w:rPr>
        <w:t xml:space="preserve"> databáz. Agentúra v tejto súvislosti skúmaním prepojení so systémami ostatných druhov dopravy prispieva aj k námornej oblasti spoločného európskeho dátového priestoru pre mobilitu.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Agentúra pomáha Komisii pri vykonávaní nariadenia Európskeho parlamentu a Rady (EÚ) 2019/1239</w:t>
      </w:r>
      <w:r>
        <w:rPr>
          <w:szCs w:val="24"/>
          <w:vertAlign w:val="superscript"/>
          <w:lang w:eastAsia="en-US"/>
        </w:rPr>
        <w:footnoteReference w:id="33"/>
      </w:r>
      <w:r>
        <w:rPr>
          <w:szCs w:val="24"/>
          <w:lang w:eastAsia="en-US"/>
        </w:rPr>
        <w:t xml:space="preserve"> plnením týchto úloh:</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vyvíja, sprístupňuje a spravuje spoločné zložky IT a služby európskeho prostredia jednotnej námornej platformy (ďalej len „</w:t>
      </w:r>
      <w:proofErr w:type="spellStart"/>
      <w:r>
        <w:rPr>
          <w:szCs w:val="24"/>
          <w:lang w:eastAsia="en-US"/>
        </w:rPr>
        <w:t>EMSWe</w:t>
      </w:r>
      <w:proofErr w:type="spellEnd"/>
      <w:r>
        <w:rPr>
          <w:szCs w:val="24"/>
          <w:lang w:eastAsia="en-US"/>
        </w:rPr>
        <w:t>“) v rámci zodpovednosti Komisie;</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 xml:space="preserve">spravuje súbor údajov prostredia </w:t>
      </w:r>
      <w:proofErr w:type="spellStart"/>
      <w:r>
        <w:rPr>
          <w:szCs w:val="24"/>
          <w:lang w:eastAsia="en-US"/>
        </w:rPr>
        <w:t>EMSWe</w:t>
      </w:r>
      <w:proofErr w:type="spellEnd"/>
      <w:r>
        <w:rPr>
          <w:szCs w:val="24"/>
          <w:lang w:eastAsia="en-US"/>
        </w:rPr>
        <w:t>, vykonávaciu príručku pre správy a vzory digitálnych tabuliek;</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 xml:space="preserve">poskytuje členským štátom technické usmernenia pre vykonávanie prostredia </w:t>
      </w:r>
      <w:proofErr w:type="spellStart"/>
      <w:r>
        <w:rPr>
          <w:szCs w:val="24"/>
          <w:lang w:eastAsia="en-US"/>
        </w:rPr>
        <w:t>EMSWe</w:t>
      </w:r>
      <w:proofErr w:type="spellEnd"/>
      <w:r>
        <w:rPr>
          <w:szCs w:val="24"/>
          <w:lang w:eastAsia="en-US"/>
        </w:rPr>
        <w:t>;</w:t>
      </w:r>
    </w:p>
    <w:p w:rsidR="00B47592" w:rsidRDefault="004245EA">
      <w:pPr>
        <w:spacing w:before="120" w:after="120" w:line="360" w:lineRule="auto"/>
        <w:ind w:left="1416" w:hanging="566"/>
        <w:rPr>
          <w:b/>
          <w:szCs w:val="24"/>
          <w:lang w:eastAsia="en-US"/>
        </w:rPr>
      </w:pPr>
      <w:r>
        <w:rPr>
          <w:szCs w:val="24"/>
          <w:lang w:eastAsia="en-US"/>
        </w:rPr>
        <w:t>d)</w:t>
      </w:r>
      <w:r>
        <w:rPr>
          <w:szCs w:val="24"/>
          <w:lang w:eastAsia="en-US"/>
        </w:rPr>
        <w:tab/>
        <w:t>uľahčuje</w:t>
      </w:r>
      <w:r>
        <w:rPr>
          <w:b/>
          <w:i/>
          <w:szCs w:val="24"/>
          <w:lang w:eastAsia="en-US"/>
        </w:rPr>
        <w:t xml:space="preserve"> a zlepšuje</w:t>
      </w:r>
      <w:r>
        <w:rPr>
          <w:szCs w:val="24"/>
          <w:lang w:eastAsia="en-US"/>
        </w:rPr>
        <w:t xml:space="preserve"> opätovné použitie a spoločné využívanie údajov, ktoré sú predmetom výmeny v rámci prostredia </w:t>
      </w:r>
      <w:proofErr w:type="spellStart"/>
      <w:r>
        <w:rPr>
          <w:szCs w:val="24"/>
          <w:lang w:eastAsia="en-US"/>
        </w:rPr>
        <w:t>EMSWe</w:t>
      </w:r>
      <w:proofErr w:type="spellEnd"/>
      <w:r>
        <w:rPr>
          <w:szCs w:val="24"/>
          <w:lang w:eastAsia="en-US"/>
        </w:rPr>
        <w:t xml:space="preserve"> pomocou systému </w:t>
      </w:r>
      <w:proofErr w:type="spellStart"/>
      <w:r>
        <w:rPr>
          <w:szCs w:val="24"/>
          <w:lang w:eastAsia="en-US"/>
        </w:rPr>
        <w:t>SafeSeaNet</w:t>
      </w:r>
      <w:proofErr w:type="spellEnd"/>
      <w:r>
        <w:rPr>
          <w:szCs w:val="24"/>
          <w:lang w:eastAsia="en-US"/>
        </w:rPr>
        <w:t>.</w:t>
      </w:r>
      <w:r>
        <w:rPr>
          <w:b/>
          <w:szCs w:val="24"/>
          <w:lang w:eastAsia="en-US"/>
        </w:rPr>
        <w:t xml:space="preserve"> [PN 44]</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3.</w:t>
      </w:r>
      <w:r>
        <w:rPr>
          <w:szCs w:val="24"/>
          <w:lang w:eastAsia="en-US"/>
        </w:rPr>
        <w:tab/>
        <w:t xml:space="preserve">Agentúra poskytuje členským štátom na ich žiadosť a bez toho, aby boli dotknuté ich práva a povinnosti vlajkových štátov, technickú </w:t>
      </w:r>
      <w:r>
        <w:rPr>
          <w:b/>
          <w:i/>
          <w:szCs w:val="24"/>
          <w:lang w:eastAsia="en-US"/>
        </w:rPr>
        <w:t xml:space="preserve">a operačnú </w:t>
      </w:r>
      <w:r>
        <w:rPr>
          <w:szCs w:val="24"/>
          <w:lang w:eastAsia="en-US"/>
        </w:rPr>
        <w:t xml:space="preserve">pomoc </w:t>
      </w:r>
      <w:r>
        <w:rPr>
          <w:strike/>
          <w:szCs w:val="24"/>
          <w:lang w:eastAsia="en-US"/>
        </w:rPr>
        <w:t>pri digitalizácii</w:t>
      </w:r>
      <w:r>
        <w:rPr>
          <w:b/>
          <w:i/>
          <w:szCs w:val="24"/>
          <w:lang w:eastAsia="en-US"/>
        </w:rPr>
        <w:t>, ako aj pravidelné programy odbornej prípravy a osvedčovania, pokiaľ ide o digitalizáciu</w:t>
      </w:r>
      <w:r>
        <w:rPr>
          <w:szCs w:val="24"/>
          <w:lang w:eastAsia="en-US"/>
        </w:rPr>
        <w:t xml:space="preserve"> ich registrov a postupov uľahčujúcich využívanie elektronických osvedčení</w:t>
      </w:r>
      <w:r>
        <w:rPr>
          <w:b/>
          <w:i/>
          <w:szCs w:val="24"/>
          <w:lang w:eastAsia="en-US"/>
        </w:rPr>
        <w:t xml:space="preserve"> a digitalizáciu akýchkoľvek iných postupov, čo môže mať pozitívny vplyv na zníženie administratívnej záťaže orgánov vlajkových, prístavných alebo pobrežných štátov</w:t>
      </w:r>
      <w:r>
        <w:rPr>
          <w:szCs w:val="24"/>
          <w:lang w:eastAsia="en-US"/>
        </w:rPr>
        <w:t>.</w:t>
      </w:r>
      <w:r>
        <w:rPr>
          <w:b/>
          <w:szCs w:val="24"/>
          <w:lang w:eastAsia="en-US"/>
        </w:rPr>
        <w:t xml:space="preserve"> [PN 45]</w:t>
      </w:r>
    </w:p>
    <w:p w:rsidR="00B47592" w:rsidRDefault="004245EA">
      <w:pPr>
        <w:spacing w:before="120" w:after="120" w:line="360" w:lineRule="auto"/>
        <w:jc w:val="center"/>
        <w:rPr>
          <w:szCs w:val="24"/>
          <w:lang w:eastAsia="en-US"/>
        </w:rPr>
      </w:pPr>
      <w:r>
        <w:rPr>
          <w:szCs w:val="24"/>
          <w:lang w:eastAsia="en-US"/>
        </w:rPr>
        <w:t>Článok 10</w:t>
      </w:r>
      <w:r>
        <w:rPr>
          <w:szCs w:val="24"/>
          <w:lang w:eastAsia="en-US"/>
        </w:rPr>
        <w:br/>
        <w:t>Návštevy v členských štátoch a inšpekcie</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Agentúra s cieľom pomáhať Komisii pri plnení jej povinností podľa ZFEÚ, najmä pri posudzovaní účinného vykonávania príslušného práva Únie, vykonáva v súlade s metodikou stanovenou správnou radou návštevy v členských štátoch. V tejto metodike sa zohľadní integrovaný prístup s cieľom pri každej návšteve overovať dodržiavanie viacerých právnych predpisov týkajúcich sa funkcie vlajkového, prístavného alebo pobrežného štátu skúmaného členského štátu počas návštevy.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Agentúra vo vhodnom čase informuje dotknutý členský štát o plánovanej návšteve, menách oprávnených pracovníkov, dátume začiatku návštevy a jej očakávanej dĺžke. Pracovníci agentúry poverení vykonávať tieto návštevy tak urobia po predložení písomného rozhodnutia výkonného riaditeľa agentúry, v ktorom sa uvádzajú účel a ciele ich misie.</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Agentúra môže vykonávať inšpekcie v mene Komisie podľa požiadaviek záväzných právnych aktov Únie, pokiaľ ide o organizácie uznané Úniou v súlade s nariadením (ES) č. 391/2009 a pokiaľ ide o odbornú prípravu a osvedčovanie námorníkov v tretích krajinách v súlade so smernicou (EÚ) 2022/993.</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Agentúra môže takisto vykonávať inšpekcie v mene Komisie podľa požiadaviek iných záväzných právnych aktov Únie, ak sa Komisia rozhodne delegovať túto úlohu na agentúru.</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Agentúra na konci každej návštevy alebo inšpekcie vypracuje správu, ktorú pošle Komisii a dotknutému členskému štátu. Správa sa vypracuje podľa vzoru, ktorý vopred stanoví Komisia.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6.</w:t>
      </w:r>
      <w:r>
        <w:rPr>
          <w:szCs w:val="24"/>
          <w:lang w:eastAsia="en-US"/>
        </w:rPr>
        <w:tab/>
        <w:t>Ak je to vhodné a vždy, keď sa uzavrie cyklus návštev alebo inšpekcií, agentúra analyzuje správy z tohto cyklu s cieľom identifikovať horizontálne zistenia a vyvodiť všeobecné závery týkajúce sa účinnosti a nákladovej efektívnosti zavedených opatrení. V záujme vyvodenia relevantných ponaučení a uľahčenia šírenia dobrých pracovných postupov</w:t>
      </w:r>
      <w:r>
        <w:rPr>
          <w:b/>
          <w:i/>
          <w:szCs w:val="24"/>
          <w:lang w:eastAsia="en-US"/>
        </w:rPr>
        <w:t>, najmä pokiaľ ide o vykonávanie práva Únie,</w:t>
      </w:r>
      <w:r>
        <w:rPr>
          <w:szCs w:val="24"/>
          <w:lang w:eastAsia="en-US"/>
        </w:rPr>
        <w:t xml:space="preserve"> predloží agentúra túto analýzu Komisii na ďalšie prerokovanie s členskými štátmi.</w:t>
      </w:r>
      <w:r>
        <w:rPr>
          <w:b/>
          <w:szCs w:val="24"/>
          <w:lang w:eastAsia="en-US"/>
        </w:rPr>
        <w:t xml:space="preserve"> [PN 46]</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KAPITOLA III</w:t>
      </w:r>
      <w:r>
        <w:rPr>
          <w:szCs w:val="24"/>
          <w:lang w:eastAsia="en-US"/>
        </w:rPr>
        <w:br/>
        <w:t>ĎALŠIE ÚLOHY AGENTÚRY TÝKAJÚCE SA MEDZINÁRODNÝCH VZŤAHOV A EURÓPSKEJ SPOLUPRÁCE V OBLASTI POBREŽNEJ STRÁŽE</w:t>
      </w:r>
    </w:p>
    <w:p w:rsidR="00B47592" w:rsidRDefault="004245EA">
      <w:pPr>
        <w:spacing w:before="120" w:after="120" w:line="360" w:lineRule="auto"/>
        <w:jc w:val="center"/>
        <w:rPr>
          <w:szCs w:val="24"/>
          <w:lang w:eastAsia="en-US"/>
        </w:rPr>
      </w:pPr>
      <w:r>
        <w:rPr>
          <w:szCs w:val="24"/>
          <w:lang w:eastAsia="en-US"/>
        </w:rPr>
        <w:t>Článok 11</w:t>
      </w:r>
      <w:r>
        <w:rPr>
          <w:szCs w:val="24"/>
          <w:lang w:eastAsia="en-US"/>
        </w:rPr>
        <w:br/>
        <w:t xml:space="preserve">Medzinárodné vzťahy </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 xml:space="preserve">Agentúra na základe žiadosti členských štátov a Komisie poskytuje technickú pomoc, ktorú potrebujú, aby mohli vzhľadom na záležitosti v právomoci Únie prispievať k príslušnej práci technických orgánov Medzinárodnej námornej organizácie, </w:t>
      </w:r>
      <w:r>
        <w:rPr>
          <w:b/>
          <w:i/>
          <w:szCs w:val="24"/>
          <w:lang w:eastAsia="en-US"/>
        </w:rPr>
        <w:t xml:space="preserve">kde by agentúra EMSA mala v rámci delegácie Komisie navštevovať rokovania a zúčastňovať sa na nich, </w:t>
      </w:r>
      <w:r>
        <w:rPr>
          <w:szCs w:val="24"/>
          <w:lang w:eastAsia="en-US"/>
        </w:rPr>
        <w:t xml:space="preserve">Medzinárodnej organizácie práce, pokiaľ ide o lodnú dopravu, a </w:t>
      </w:r>
      <w:r>
        <w:rPr>
          <w:strike/>
          <w:szCs w:val="24"/>
          <w:lang w:eastAsia="en-US"/>
        </w:rPr>
        <w:t xml:space="preserve">Parížskeho </w:t>
      </w:r>
      <w:proofErr w:type="spellStart"/>
      <w:r>
        <w:rPr>
          <w:strike/>
          <w:szCs w:val="24"/>
          <w:lang w:eastAsia="en-US"/>
        </w:rPr>
        <w:t>memoranda</w:t>
      </w:r>
      <w:r>
        <w:rPr>
          <w:b/>
          <w:i/>
          <w:szCs w:val="24"/>
          <w:lang w:eastAsia="en-US"/>
        </w:rPr>
        <w:t>príslušných</w:t>
      </w:r>
      <w:proofErr w:type="spellEnd"/>
      <w:r>
        <w:rPr>
          <w:b/>
          <w:i/>
          <w:szCs w:val="24"/>
          <w:lang w:eastAsia="en-US"/>
        </w:rPr>
        <w:t xml:space="preserve"> memoránd</w:t>
      </w:r>
      <w:r>
        <w:rPr>
          <w:szCs w:val="24"/>
          <w:lang w:eastAsia="en-US"/>
        </w:rPr>
        <w:t xml:space="preserve"> o porozumení o štátnej prístavnej kontrole</w:t>
      </w:r>
      <w:r>
        <w:rPr>
          <w:strike/>
          <w:szCs w:val="24"/>
          <w:lang w:eastAsia="en-US"/>
        </w:rPr>
        <w:t xml:space="preserve"> (ďalej len „Parížske </w:t>
      </w:r>
      <w:proofErr w:type="spellStart"/>
      <w:r>
        <w:rPr>
          <w:strike/>
          <w:szCs w:val="24"/>
          <w:lang w:eastAsia="en-US"/>
        </w:rPr>
        <w:t>MoP</w:t>
      </w:r>
      <w:proofErr w:type="spellEnd"/>
      <w:r>
        <w:rPr>
          <w:strike/>
          <w:szCs w:val="24"/>
          <w:lang w:eastAsia="en-US"/>
        </w:rPr>
        <w:t xml:space="preserve">“) </w:t>
      </w:r>
      <w:r>
        <w:rPr>
          <w:szCs w:val="24"/>
          <w:lang w:eastAsia="en-US"/>
        </w:rPr>
        <w:t>a príslušných regionálnych organizácií, ku ktorým Únia pristúpila.</w:t>
      </w:r>
      <w:r>
        <w:rPr>
          <w:b/>
          <w:szCs w:val="24"/>
          <w:lang w:eastAsia="en-US"/>
        </w:rPr>
        <w:t xml:space="preserve"> [PN 47]</w:t>
      </w:r>
    </w:p>
    <w:p w:rsidR="00B47592" w:rsidRDefault="004245EA">
      <w:pPr>
        <w:spacing w:before="120" w:after="120" w:line="360" w:lineRule="auto"/>
        <w:ind w:left="850"/>
        <w:rPr>
          <w:szCs w:val="24"/>
          <w:lang w:eastAsia="en-US"/>
        </w:rPr>
      </w:pPr>
      <w:r>
        <w:rPr>
          <w:szCs w:val="24"/>
          <w:lang w:eastAsia="en-US"/>
        </w:rPr>
        <w:t>Na účely efektívneho a účinného vykonávania týchto úloh môže výkonný riaditeľ pod podmienkou uzavretia náležitých dohôd s Európskou službou pre vonkajšiu činnosť rozhodnúť o umiestnení zamestnancov v delegáciách Únie v tretích krajinách. Na toto rozhodnutie je potrebný predchádzajúci súhlas Komisie a správnej rady. V tomto rozhodnutí sa vymedzí rozsah činností, ktoré majú umiestnení zamestnanci vykonávať, a to tak, aby sa zabránilo vzniku zbytočných nákladov a zdvojovaniu administratívnych funkcií agentúry.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Štátom, ktoré žiadajú o pristúpenie k Únii, prípadne partnerským krajinám v rámci európskeho susedstva a krajinám, ktoré sa zúčastňujú na Parížskom </w:t>
      </w:r>
      <w:proofErr w:type="spellStart"/>
      <w:r>
        <w:rPr>
          <w:szCs w:val="24"/>
          <w:lang w:eastAsia="en-US"/>
        </w:rPr>
        <w:t>MoP</w:t>
      </w:r>
      <w:proofErr w:type="spellEnd"/>
      <w:r>
        <w:rPr>
          <w:szCs w:val="24"/>
          <w:lang w:eastAsia="en-US"/>
        </w:rPr>
        <w:t xml:space="preserve">, môže agentúra </w:t>
      </w:r>
      <w:r>
        <w:rPr>
          <w:strike/>
          <w:szCs w:val="24"/>
          <w:lang w:eastAsia="en-US"/>
        </w:rPr>
        <w:t xml:space="preserve">na žiadosť </w:t>
      </w:r>
      <w:proofErr w:type="spellStart"/>
      <w:r>
        <w:rPr>
          <w:strike/>
          <w:szCs w:val="24"/>
          <w:lang w:eastAsia="en-US"/>
        </w:rPr>
        <w:t>Komisie</w:t>
      </w:r>
      <w:r>
        <w:rPr>
          <w:b/>
          <w:i/>
          <w:szCs w:val="24"/>
          <w:lang w:eastAsia="en-US"/>
        </w:rPr>
        <w:t>po</w:t>
      </w:r>
      <w:proofErr w:type="spellEnd"/>
      <w:r>
        <w:rPr>
          <w:b/>
          <w:i/>
          <w:szCs w:val="24"/>
          <w:lang w:eastAsia="en-US"/>
        </w:rPr>
        <w:t xml:space="preserve"> porade s Komisiou</w:t>
      </w:r>
      <w:r>
        <w:rPr>
          <w:szCs w:val="24"/>
          <w:lang w:eastAsia="en-US"/>
        </w:rPr>
        <w:t xml:space="preserve"> poskytnúť technickú pomoc vrátane organizácie relevantných činností odbornej prípravy, pokiaľ ide o príslušné právne akty Únie.</w:t>
      </w:r>
      <w:r>
        <w:rPr>
          <w:b/>
          <w:szCs w:val="24"/>
          <w:lang w:eastAsia="en-US"/>
        </w:rPr>
        <w:t xml:space="preserve"> [PN 48]</w:t>
      </w:r>
    </w:p>
    <w:p w:rsidR="00B47592" w:rsidRDefault="004245EA">
      <w:pPr>
        <w:spacing w:before="120" w:after="120" w:line="360" w:lineRule="auto"/>
        <w:ind w:left="850" w:hanging="850"/>
        <w:rPr>
          <w:b/>
          <w:szCs w:val="24"/>
          <w:lang w:eastAsia="en-US"/>
        </w:rPr>
      </w:pPr>
      <w:r>
        <w:rPr>
          <w:szCs w:val="24"/>
          <w:lang w:eastAsia="en-US"/>
        </w:rPr>
        <w:t>3.</w:t>
      </w:r>
      <w:r>
        <w:rPr>
          <w:szCs w:val="24"/>
          <w:lang w:eastAsia="en-US"/>
        </w:rPr>
        <w:tab/>
        <w:t xml:space="preserve">Agentúra môže </w:t>
      </w:r>
      <w:r>
        <w:rPr>
          <w:strike/>
          <w:szCs w:val="24"/>
          <w:lang w:eastAsia="en-US"/>
        </w:rPr>
        <w:t xml:space="preserve">na žiadosť </w:t>
      </w:r>
      <w:proofErr w:type="spellStart"/>
      <w:r>
        <w:rPr>
          <w:strike/>
          <w:szCs w:val="24"/>
          <w:lang w:eastAsia="en-US"/>
        </w:rPr>
        <w:t>Komisie</w:t>
      </w:r>
      <w:r>
        <w:rPr>
          <w:b/>
          <w:i/>
          <w:szCs w:val="24"/>
          <w:lang w:eastAsia="en-US"/>
        </w:rPr>
        <w:t>po</w:t>
      </w:r>
      <w:proofErr w:type="spellEnd"/>
      <w:r>
        <w:rPr>
          <w:b/>
          <w:i/>
          <w:szCs w:val="24"/>
          <w:lang w:eastAsia="en-US"/>
        </w:rPr>
        <w:t xml:space="preserve"> porade s Komisiou</w:t>
      </w:r>
      <w:r>
        <w:rPr>
          <w:szCs w:val="24"/>
          <w:lang w:eastAsia="en-US"/>
        </w:rPr>
        <w:t xml:space="preserve"> alebo </w:t>
      </w:r>
      <w:r>
        <w:rPr>
          <w:strike/>
          <w:szCs w:val="24"/>
          <w:lang w:eastAsia="en-US"/>
        </w:rPr>
        <w:t xml:space="preserve">Európskej </w:t>
      </w:r>
      <w:proofErr w:type="spellStart"/>
      <w:r>
        <w:rPr>
          <w:strike/>
          <w:szCs w:val="24"/>
          <w:lang w:eastAsia="en-US"/>
        </w:rPr>
        <w:t>služby</w:t>
      </w:r>
      <w:r>
        <w:rPr>
          <w:b/>
          <w:i/>
          <w:szCs w:val="24"/>
          <w:lang w:eastAsia="en-US"/>
        </w:rPr>
        <w:t>Európskou</w:t>
      </w:r>
      <w:proofErr w:type="spellEnd"/>
      <w:r>
        <w:rPr>
          <w:b/>
          <w:i/>
          <w:szCs w:val="24"/>
          <w:lang w:eastAsia="en-US"/>
        </w:rPr>
        <w:t xml:space="preserve"> službou</w:t>
      </w:r>
      <w:r>
        <w:rPr>
          <w:szCs w:val="24"/>
          <w:lang w:eastAsia="en-US"/>
        </w:rPr>
        <w:t xml:space="preserve"> pre vonkajšiu činnosť alebo </w:t>
      </w:r>
      <w:r>
        <w:rPr>
          <w:strike/>
          <w:szCs w:val="24"/>
          <w:lang w:eastAsia="en-US"/>
        </w:rPr>
        <w:t xml:space="preserve">na žiadosť obidvoch </w:t>
      </w:r>
      <w:proofErr w:type="spellStart"/>
      <w:r>
        <w:rPr>
          <w:strike/>
          <w:szCs w:val="24"/>
          <w:lang w:eastAsia="en-US"/>
        </w:rPr>
        <w:t>inštitúcií</w:t>
      </w:r>
      <w:r>
        <w:rPr>
          <w:b/>
          <w:i/>
          <w:szCs w:val="24"/>
          <w:lang w:eastAsia="en-US"/>
        </w:rPr>
        <w:t>s</w:t>
      </w:r>
      <w:proofErr w:type="spellEnd"/>
      <w:r>
        <w:rPr>
          <w:b/>
          <w:i/>
          <w:szCs w:val="24"/>
          <w:lang w:eastAsia="en-US"/>
        </w:rPr>
        <w:t xml:space="preserve"> oboma inštitúciami</w:t>
      </w:r>
      <w:r>
        <w:rPr>
          <w:szCs w:val="24"/>
          <w:lang w:eastAsia="en-US"/>
        </w:rPr>
        <w:t xml:space="preserve"> poskytovať pomoc v prípade znečistenia z lodí, ako aj v prípade znečistenia morí zo zariadení na ťažbu ropy a zemného plynu, ktoré postihuje tretie krajiny, s ktorými má Únia spoločnú regionálnu morskú oblasť. Agentúra poskytuje pomoc v súlade s mechanizmom Únie v oblasti civilnej ochrany stanoveným rozhodnutím č. 1313/2013/EÚ a podľa podmienok vzťahujúcich sa na členské štáty podľa ustanovení článku 5 ods. 1 tohto nariadenia uplatňovaných analogicky na tretie krajiny. Tieto úlohy sa koordinujú s existujúcimi dohodami o regionálnej spolupráci, ktoré sa týkajú znečisťovania morí.</w:t>
      </w:r>
      <w:r>
        <w:rPr>
          <w:b/>
          <w:szCs w:val="24"/>
          <w:lang w:eastAsia="en-US"/>
        </w:rPr>
        <w:t xml:space="preserve"> [PN 49]</w:t>
      </w:r>
    </w:p>
    <w:p w:rsidR="00B47592" w:rsidRDefault="004245EA">
      <w:pPr>
        <w:spacing w:before="120" w:after="120" w:line="360" w:lineRule="auto"/>
        <w:ind w:left="850" w:hanging="850"/>
        <w:rPr>
          <w:b/>
          <w:szCs w:val="24"/>
          <w:lang w:eastAsia="en-US"/>
        </w:rPr>
      </w:pPr>
      <w:r>
        <w:rPr>
          <w:szCs w:val="24"/>
          <w:lang w:eastAsia="en-US"/>
        </w:rPr>
        <w:t>4.</w:t>
      </w:r>
      <w:r>
        <w:rPr>
          <w:szCs w:val="24"/>
          <w:lang w:eastAsia="en-US"/>
        </w:rPr>
        <w:tab/>
        <w:t xml:space="preserve">Bez toho, aby boli dotknuté ustanovenia článku 24, môže agentúra </w:t>
      </w:r>
      <w:r>
        <w:rPr>
          <w:strike/>
          <w:szCs w:val="24"/>
          <w:lang w:eastAsia="en-US"/>
        </w:rPr>
        <w:t xml:space="preserve">na žiadosť </w:t>
      </w:r>
      <w:proofErr w:type="spellStart"/>
      <w:r>
        <w:rPr>
          <w:strike/>
          <w:szCs w:val="24"/>
          <w:lang w:eastAsia="en-US"/>
        </w:rPr>
        <w:t>Komisie</w:t>
      </w:r>
      <w:r>
        <w:rPr>
          <w:b/>
          <w:i/>
          <w:szCs w:val="24"/>
          <w:lang w:eastAsia="en-US"/>
        </w:rPr>
        <w:t>po</w:t>
      </w:r>
      <w:proofErr w:type="spellEnd"/>
      <w:r>
        <w:rPr>
          <w:b/>
          <w:i/>
          <w:szCs w:val="24"/>
          <w:lang w:eastAsia="en-US"/>
        </w:rPr>
        <w:t xml:space="preserve"> porade s Komisiou</w:t>
      </w:r>
      <w:r>
        <w:rPr>
          <w:szCs w:val="24"/>
          <w:lang w:eastAsia="en-US"/>
        </w:rPr>
        <w:t xml:space="preserve"> poskytovať technickú pomoc tretím krajinám, pokiaľ ide o záležitosti, ktoré patria do jej právomocí.</w:t>
      </w:r>
      <w:r>
        <w:rPr>
          <w:b/>
          <w:szCs w:val="24"/>
          <w:lang w:eastAsia="en-US"/>
        </w:rPr>
        <w:t xml:space="preserve"> [PN 50]</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5.</w:t>
      </w:r>
      <w:r>
        <w:rPr>
          <w:szCs w:val="24"/>
          <w:lang w:eastAsia="en-US"/>
        </w:rPr>
        <w:tab/>
        <w:t>Agentúra môže</w:t>
      </w:r>
      <w:r>
        <w:rPr>
          <w:strike/>
          <w:szCs w:val="24"/>
          <w:lang w:eastAsia="en-US"/>
        </w:rPr>
        <w:t xml:space="preserve"> po schválení Komisiou </w:t>
      </w:r>
      <w:r>
        <w:rPr>
          <w:szCs w:val="24"/>
          <w:lang w:eastAsia="en-US"/>
        </w:rPr>
        <w:t>uzavrieť správne dojednania a nadviazať administratívnu spoluprácu s inými orgánmi Únie, ktoré pracujú v oblastiach, ktoré patria do rozsahu pôsobnosti právomocí agentúry. Takéto dojednania a spolupráca sú podmienené stanoviskom Komisie a Komisii sa o nich musia pravidelne podávať správy.</w:t>
      </w:r>
      <w:r>
        <w:rPr>
          <w:b/>
          <w:szCs w:val="24"/>
          <w:lang w:eastAsia="en-US"/>
        </w:rPr>
        <w:t xml:space="preserve"> [PN 51]</w:t>
      </w:r>
    </w:p>
    <w:p w:rsidR="00B47592" w:rsidRDefault="004245EA">
      <w:pPr>
        <w:spacing w:before="120" w:after="120" w:line="360" w:lineRule="auto"/>
        <w:ind w:left="850" w:hanging="850"/>
        <w:rPr>
          <w:b/>
          <w:szCs w:val="24"/>
          <w:lang w:eastAsia="en-US"/>
        </w:rPr>
      </w:pPr>
      <w:r>
        <w:rPr>
          <w:szCs w:val="24"/>
          <w:lang w:eastAsia="en-US"/>
        </w:rPr>
        <w:t>6.</w:t>
      </w:r>
      <w:r>
        <w:rPr>
          <w:szCs w:val="24"/>
          <w:lang w:eastAsia="en-US"/>
        </w:rPr>
        <w:tab/>
        <w:t>Správna rada prijme stratégiu medzinárodných vzťahov agentúry týkajúcich sa otázok, ktoré patria do jej právomocí. Táto stratégia musí byť</w:t>
      </w:r>
      <w:r>
        <w:rPr>
          <w:strike/>
          <w:szCs w:val="24"/>
          <w:lang w:eastAsia="en-US"/>
        </w:rPr>
        <w:t xml:space="preserve"> v súlade s politickými prioritami Komisie a musí byť </w:t>
      </w:r>
      <w:r>
        <w:rPr>
          <w:szCs w:val="24"/>
          <w:lang w:eastAsia="en-US"/>
        </w:rPr>
        <w:t xml:space="preserve">zameraná na pomoc Komisii a Európskej službe pre vonkajšiu činnosť pri plnení </w:t>
      </w:r>
      <w:r>
        <w:rPr>
          <w:strike/>
          <w:szCs w:val="24"/>
          <w:lang w:eastAsia="en-US"/>
        </w:rPr>
        <w:t xml:space="preserve">týchto </w:t>
      </w:r>
      <w:r>
        <w:rPr>
          <w:szCs w:val="24"/>
          <w:lang w:eastAsia="en-US"/>
        </w:rPr>
        <w:t>priorít</w:t>
      </w:r>
      <w:r>
        <w:rPr>
          <w:b/>
          <w:i/>
          <w:szCs w:val="24"/>
          <w:lang w:eastAsia="en-US"/>
        </w:rPr>
        <w:t xml:space="preserve"> Únie</w:t>
      </w:r>
      <w:r>
        <w:rPr>
          <w:szCs w:val="24"/>
          <w:lang w:eastAsia="en-US"/>
        </w:rPr>
        <w:t>. Táto stratégia sa zahrnie do programového dokumentu agentúry s uvedením súvisiacich zdrojov.</w:t>
      </w:r>
      <w:r>
        <w:rPr>
          <w:b/>
          <w:szCs w:val="24"/>
          <w:lang w:eastAsia="en-US"/>
        </w:rPr>
        <w:t xml:space="preserve"> [PN 52]</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12</w:t>
      </w:r>
      <w:r>
        <w:rPr>
          <w:szCs w:val="24"/>
          <w:lang w:eastAsia="en-US"/>
        </w:rPr>
        <w:br/>
        <w:t>Európska spolupráca týkajúca sa funkcií pobrežnej stráže</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Agentúra v spolupráci s Európskou agentúrou pre pohraničnú a pobrežnú stráž zriadenou nariadením (EÚ) 2019/1896 a s Európskou agentúrou pre kontrolu rybárstva zriadenou nariadením (EÚ) 2019/473, s každou v rámci jej príslušného mandátu, podporuje vnútroštátne orgány plniace funkcie pobrežnej stráže na vnútroštátnej úrovni a na úrovni Únie a v prípade potreby aj na medzinárodnej úrovni, a to:</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výmenou, združovaním a analýzou informácií dostupných v systémoch hlásenia lodí a iných informačných systémoch prevádzkovaných uvedenými agentúrami alebo prístupných uvedeným agentúram v súlade s ich príslušnými právnymi základmi a bez toho, aby bolo dotknuté vlastníctvo údajov členskými štátmi;</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zabezpečovaním služieb dozoru a komunikačných služieb založených na najmodernejších technológiách vrátane vesmírnych a pozemných infraštruktúr a snímačov umiestnených na platformách akéhokoľvek druhu;</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budovaním kapacít tak, že vypracúva usmernenia a odporúčania a stanovuje najlepšie postupy a zabezpečuje odbornú prípravu a výmenu pracovníkov;</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b/>
          <w:szCs w:val="24"/>
          <w:lang w:eastAsia="en-US"/>
        </w:rPr>
      </w:pPr>
      <w:r>
        <w:rPr>
          <w:szCs w:val="24"/>
          <w:lang w:eastAsia="en-US"/>
        </w:rPr>
        <w:lastRenderedPageBreak/>
        <w:t>d)</w:t>
      </w:r>
      <w:r>
        <w:rPr>
          <w:szCs w:val="24"/>
          <w:lang w:eastAsia="en-US"/>
        </w:rPr>
        <w:tab/>
        <w:t>posilňovaním výmeny informácií a spolupráce v súvislosti s funkciami pobrežnej stráže, a to aj analyzovaním operačných výziev a vznikajúcich rizík v námornej oblasti</w:t>
      </w:r>
      <w:r>
        <w:rPr>
          <w:b/>
          <w:i/>
          <w:szCs w:val="24"/>
          <w:lang w:eastAsia="en-US"/>
        </w:rPr>
        <w:t xml:space="preserve"> vrátane využívania digitálnych simulačných nástrojov na štúdium účinkov nehôd</w:t>
      </w:r>
      <w:r>
        <w:rPr>
          <w:szCs w:val="24"/>
          <w:lang w:eastAsia="en-US"/>
        </w:rPr>
        <w:t>;</w:t>
      </w:r>
      <w:r>
        <w:rPr>
          <w:b/>
          <w:szCs w:val="24"/>
          <w:lang w:eastAsia="en-US"/>
        </w:rPr>
        <w:t xml:space="preserve"> [PN 53]</w:t>
      </w:r>
    </w:p>
    <w:p w:rsidR="00B47592" w:rsidRDefault="004245EA">
      <w:pPr>
        <w:spacing w:before="120" w:after="120" w:line="360" w:lineRule="auto"/>
        <w:ind w:left="1416" w:hanging="566"/>
        <w:rPr>
          <w:b/>
          <w:i/>
          <w:szCs w:val="24"/>
          <w:lang w:eastAsia="en-US"/>
        </w:rPr>
      </w:pPr>
      <w:r>
        <w:rPr>
          <w:szCs w:val="24"/>
          <w:lang w:eastAsia="en-US"/>
        </w:rPr>
        <w:t>e)</w:t>
      </w:r>
      <w:r>
        <w:rPr>
          <w:szCs w:val="24"/>
          <w:lang w:eastAsia="en-US"/>
        </w:rPr>
        <w:tab/>
        <w:t>spoločným využívaním kapacít prostredníctvom plánovania a vykonávania viacúčelových operácií a spoločného využívania prostriedkov a iných spôsobilostí v takom rozsahu, v akom sú tieto činnosti koordinované uvedenými agentúrami a odsúhlasené príslušnými orgánmi dotknutých členských štátov</w:t>
      </w:r>
      <w:r>
        <w:rPr>
          <w:strike/>
          <w:szCs w:val="24"/>
          <w:lang w:eastAsia="en-US"/>
        </w:rPr>
        <w:t>.</w:t>
      </w:r>
      <w:r>
        <w:rPr>
          <w:b/>
          <w:i/>
          <w:szCs w:val="24"/>
          <w:lang w:eastAsia="en-US"/>
        </w:rPr>
        <w:t>;</w:t>
      </w:r>
    </w:p>
    <w:p w:rsidR="00B47592" w:rsidRDefault="004245EA">
      <w:pPr>
        <w:spacing w:before="120" w:after="120" w:line="360" w:lineRule="auto"/>
        <w:ind w:left="1416" w:hanging="566"/>
        <w:rPr>
          <w:b/>
          <w:szCs w:val="24"/>
          <w:lang w:eastAsia="en-US"/>
        </w:rPr>
      </w:pPr>
      <w:proofErr w:type="spellStart"/>
      <w:r>
        <w:rPr>
          <w:b/>
          <w:i/>
          <w:szCs w:val="24"/>
          <w:lang w:eastAsia="en-US"/>
        </w:rPr>
        <w:t>ea</w:t>
      </w:r>
      <w:proofErr w:type="spellEnd"/>
      <w:r>
        <w:rPr>
          <w:b/>
          <w:i/>
          <w:szCs w:val="24"/>
          <w:lang w:eastAsia="en-US"/>
        </w:rPr>
        <w:t>)</w:t>
      </w:r>
      <w:r>
        <w:rPr>
          <w:szCs w:val="24"/>
          <w:lang w:eastAsia="en-US"/>
        </w:rPr>
        <w:tab/>
      </w:r>
      <w:proofErr w:type="spellStart"/>
      <w:r>
        <w:rPr>
          <w:b/>
          <w:i/>
          <w:szCs w:val="24"/>
          <w:lang w:eastAsia="en-US"/>
        </w:rPr>
        <w:t>kolaboratívnym</w:t>
      </w:r>
      <w:proofErr w:type="spellEnd"/>
      <w:r>
        <w:rPr>
          <w:b/>
          <w:i/>
          <w:szCs w:val="24"/>
          <w:lang w:eastAsia="en-US"/>
        </w:rPr>
        <w:t xml:space="preserve"> a flexibilným spoločným využívaním relevantného výskumu, vývoja a technológií vrátane umelej inteligencie s cieľom nájsť riešenia výziev v rôznych oblastiach;</w:t>
      </w:r>
      <w:r>
        <w:rPr>
          <w:b/>
          <w:szCs w:val="24"/>
          <w:lang w:eastAsia="en-US"/>
        </w:rPr>
        <w:t xml:space="preserve"> [PN 54]</w:t>
      </w:r>
    </w:p>
    <w:p w:rsidR="00B47592" w:rsidRDefault="004245EA">
      <w:pPr>
        <w:spacing w:before="120" w:after="120" w:line="360" w:lineRule="auto"/>
        <w:ind w:left="1416" w:hanging="566"/>
        <w:rPr>
          <w:b/>
          <w:szCs w:val="24"/>
          <w:lang w:eastAsia="en-US"/>
        </w:rPr>
      </w:pPr>
      <w:proofErr w:type="spellStart"/>
      <w:r>
        <w:rPr>
          <w:b/>
          <w:i/>
          <w:szCs w:val="24"/>
          <w:lang w:eastAsia="en-US"/>
        </w:rPr>
        <w:t>eb</w:t>
      </w:r>
      <w:proofErr w:type="spellEnd"/>
      <w:r>
        <w:rPr>
          <w:b/>
          <w:i/>
          <w:szCs w:val="24"/>
          <w:lang w:eastAsia="en-US"/>
        </w:rPr>
        <w:t>)</w:t>
      </w:r>
      <w:r>
        <w:rPr>
          <w:szCs w:val="24"/>
          <w:lang w:eastAsia="en-US"/>
        </w:rPr>
        <w:tab/>
      </w:r>
      <w:r>
        <w:rPr>
          <w:b/>
          <w:i/>
          <w:szCs w:val="24"/>
          <w:lang w:eastAsia="en-US"/>
        </w:rPr>
        <w:t xml:space="preserve">zintenzívnením spolupráce s cieľom zbierať na účely morského vedeckého výskumu údaje o morských ekosystémoch, fyzickej </w:t>
      </w:r>
      <w:proofErr w:type="spellStart"/>
      <w:r>
        <w:rPr>
          <w:b/>
          <w:i/>
          <w:szCs w:val="24"/>
          <w:lang w:eastAsia="en-US"/>
        </w:rPr>
        <w:t>oceánografii</w:t>
      </w:r>
      <w:proofErr w:type="spellEnd"/>
      <w:r>
        <w:rPr>
          <w:b/>
          <w:i/>
          <w:szCs w:val="24"/>
          <w:lang w:eastAsia="en-US"/>
        </w:rPr>
        <w:t>, morskej chémii, morskej biológii, rybárstve, vedeckom oceánskom vŕtaní a jadrovom vŕtaní, geologickom a geofyzikálnom výskume a iných činnostiach;</w:t>
      </w:r>
      <w:r>
        <w:rPr>
          <w:b/>
          <w:szCs w:val="24"/>
          <w:lang w:eastAsia="en-US"/>
        </w:rPr>
        <w:t xml:space="preserve"> [PN 55]</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1416" w:hanging="566"/>
        <w:rPr>
          <w:b/>
          <w:szCs w:val="24"/>
          <w:lang w:eastAsia="en-US"/>
        </w:rPr>
      </w:pPr>
      <w:proofErr w:type="spellStart"/>
      <w:r>
        <w:rPr>
          <w:b/>
          <w:i/>
          <w:szCs w:val="24"/>
          <w:lang w:eastAsia="en-US"/>
        </w:rPr>
        <w:lastRenderedPageBreak/>
        <w:t>ec</w:t>
      </w:r>
      <w:proofErr w:type="spellEnd"/>
      <w:r>
        <w:rPr>
          <w:b/>
          <w:i/>
          <w:szCs w:val="24"/>
          <w:lang w:eastAsia="en-US"/>
        </w:rPr>
        <w:t>)</w:t>
      </w:r>
      <w:r>
        <w:rPr>
          <w:szCs w:val="24"/>
          <w:lang w:eastAsia="en-US"/>
        </w:rPr>
        <w:tab/>
      </w:r>
      <w:r>
        <w:rPr>
          <w:b/>
          <w:i/>
          <w:szCs w:val="24"/>
          <w:lang w:eastAsia="en-US"/>
        </w:rPr>
        <w:t>realizáciou projektov spolupráce s tretími krajinami na zlepšenie námornej bezpečnosti, zabránenie znečisťovania z lodí, námornú ochranu a ochranu morského prostredia.</w:t>
      </w:r>
      <w:r>
        <w:rPr>
          <w:b/>
          <w:szCs w:val="24"/>
          <w:lang w:eastAsia="en-US"/>
        </w:rPr>
        <w:t xml:space="preserve"> [PN 56]</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 xml:space="preserve">Bez toho, aby boli dotknuté právomoci správnej rady agentúry uvedené v článku 15, stanovia sa presné formy spolupráce medzi agentúrou, Európskou agentúrou pre pohraničnú a pobrežnú stráž a Európskou agentúrou pre kontrolu rybárstva týkajúcej sa funkcií pobrežnej stráže v súlade s mandátmi uvedených agentúr a rozpočtovými pravidlami, ktoré sa na </w:t>
      </w:r>
      <w:proofErr w:type="spellStart"/>
      <w:r>
        <w:rPr>
          <w:szCs w:val="24"/>
          <w:lang w:eastAsia="en-US"/>
        </w:rPr>
        <w:t>ne</w:t>
      </w:r>
      <w:proofErr w:type="spellEnd"/>
      <w:r>
        <w:rPr>
          <w:szCs w:val="24"/>
          <w:lang w:eastAsia="en-US"/>
        </w:rPr>
        <w:t xml:space="preserve"> vzťahujú, v pracovnej dohode. Túto dohodu schvaľuje správna rada agentúry, správna rada Európskej agentúry pre kontrolu rybárstva a riadiaca rada Európskej agentúry pre pohraničnú a pobrežnú stráž.</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Komisia v úzkej spolupráci s členskými štátmi, agentúrou, Európskou agentúrou pre pohraničnú a pobrežnú stráž a Európskou agentúrou pre kontrolu rybárstva sprístupní praktickú príručku o európskej spolupráci týkajúcej sa funkcií pobrežnej stráže. Uvedená príručka bude obsahovať usmernenia, odporúčania a najlepšie postupy na výmenu informácií. Komisia prijme túto príručku vo forme odporúčania.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4.</w:t>
      </w:r>
      <w:r>
        <w:rPr>
          <w:szCs w:val="24"/>
          <w:lang w:eastAsia="en-US"/>
        </w:rPr>
        <w:tab/>
        <w:t>Úlohy stanovené v tomto článku nesmú narúšať plnenie úloh agentúry uvedených v článkoch 4 až 12 a nesmú zasahovať do práv a povinností členských štátov, najmä práv a povinností vlajkových štátov, prístavných štátov alebo pobrežných štátov.</w:t>
      </w:r>
    </w:p>
    <w:p w:rsidR="00B47592" w:rsidRDefault="004245EA">
      <w:pPr>
        <w:spacing w:before="120" w:after="120" w:line="360" w:lineRule="auto"/>
        <w:jc w:val="center"/>
        <w:rPr>
          <w:szCs w:val="24"/>
          <w:lang w:eastAsia="en-US"/>
        </w:rPr>
      </w:pPr>
      <w:r>
        <w:rPr>
          <w:szCs w:val="24"/>
          <w:lang w:eastAsia="en-US"/>
        </w:rPr>
        <w:t>Článok 13</w:t>
      </w:r>
      <w:r>
        <w:rPr>
          <w:szCs w:val="24"/>
          <w:lang w:eastAsia="en-US"/>
        </w:rPr>
        <w:br/>
        <w:t xml:space="preserve">Oznamovanie a šírenie informácií </w:t>
      </w:r>
    </w:p>
    <w:p w:rsidR="00B47592" w:rsidRDefault="004245EA">
      <w:pPr>
        <w:spacing w:before="120" w:after="120" w:line="360" w:lineRule="auto"/>
        <w:rPr>
          <w:szCs w:val="24"/>
          <w:lang w:eastAsia="en-US"/>
        </w:rPr>
      </w:pPr>
      <w:r>
        <w:rPr>
          <w:szCs w:val="24"/>
          <w:lang w:eastAsia="en-US"/>
        </w:rPr>
        <w:t>Agentúra môže z vlastnej iniciatívy vykonávať komunikačné činnosti v oblastiach patriacich do jej mandátu. Komunikačné činnosti nesmú narúšať plnenie ostatných úloh uvedených v článkoch 4 až 13 a vykonávajú sa v súlade s príslušnými plánmi oznamovania a šírenia informácií prijatými správnou radou. Tieto plány správna rada pravidelne aktualizuje na základe analýzy potrieb.</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KAPITOLA IV</w:t>
      </w:r>
      <w:r>
        <w:rPr>
          <w:szCs w:val="24"/>
          <w:lang w:eastAsia="en-US"/>
        </w:rPr>
        <w:br/>
        <w:t xml:space="preserve">ORGANIZÁCIA AGENTÚRY </w:t>
      </w:r>
    </w:p>
    <w:p w:rsidR="00B47592" w:rsidRDefault="004245EA">
      <w:pPr>
        <w:spacing w:before="120" w:after="120" w:line="360" w:lineRule="auto"/>
        <w:jc w:val="center"/>
        <w:rPr>
          <w:szCs w:val="24"/>
          <w:lang w:eastAsia="en-US"/>
        </w:rPr>
      </w:pPr>
      <w:r>
        <w:rPr>
          <w:szCs w:val="24"/>
          <w:lang w:eastAsia="en-US"/>
        </w:rPr>
        <w:t>Článok 14</w:t>
      </w:r>
      <w:r>
        <w:rPr>
          <w:szCs w:val="24"/>
          <w:lang w:eastAsia="en-US"/>
        </w:rPr>
        <w:br/>
        <w:t xml:space="preserve">Administratívna a riadiaca štruktúra </w:t>
      </w:r>
    </w:p>
    <w:p w:rsidR="00B47592" w:rsidRDefault="004245EA">
      <w:pPr>
        <w:spacing w:before="120" w:after="120" w:line="360" w:lineRule="auto"/>
        <w:rPr>
          <w:szCs w:val="24"/>
          <w:lang w:eastAsia="en-US"/>
        </w:rPr>
      </w:pPr>
      <w:r>
        <w:rPr>
          <w:szCs w:val="24"/>
          <w:lang w:eastAsia="en-US"/>
        </w:rPr>
        <w:t>Administratívu a riadiacu štruktúru agentúry tvorí:</w:t>
      </w:r>
    </w:p>
    <w:p w:rsidR="00B47592" w:rsidRDefault="004245EA">
      <w:pPr>
        <w:spacing w:before="120" w:after="120" w:line="360" w:lineRule="auto"/>
        <w:ind w:left="850" w:hanging="850"/>
        <w:rPr>
          <w:szCs w:val="24"/>
          <w:lang w:eastAsia="en-US"/>
        </w:rPr>
      </w:pPr>
      <w:r>
        <w:rPr>
          <w:szCs w:val="24"/>
          <w:lang w:eastAsia="en-US"/>
        </w:rPr>
        <w:t>a)</w:t>
      </w:r>
      <w:r>
        <w:rPr>
          <w:szCs w:val="24"/>
          <w:lang w:eastAsia="en-US"/>
        </w:rPr>
        <w:tab/>
        <w:t>správna rada, ktorá vykonáva funkcie uvedené v článku 16;</w:t>
      </w:r>
    </w:p>
    <w:p w:rsidR="00B47592" w:rsidRDefault="004245EA">
      <w:pPr>
        <w:spacing w:before="120" w:after="120" w:line="360" w:lineRule="auto"/>
        <w:ind w:left="850" w:hanging="850"/>
        <w:rPr>
          <w:szCs w:val="24"/>
          <w:lang w:eastAsia="en-US"/>
        </w:rPr>
      </w:pPr>
      <w:r>
        <w:rPr>
          <w:szCs w:val="24"/>
          <w:lang w:eastAsia="en-US"/>
        </w:rPr>
        <w:t>b)</w:t>
      </w:r>
      <w:r>
        <w:rPr>
          <w:szCs w:val="24"/>
          <w:lang w:eastAsia="en-US"/>
        </w:rPr>
        <w:tab/>
        <w:t>výkonná rada, ktorá vykonáva funkcie uvedené v článku 21;</w:t>
      </w:r>
    </w:p>
    <w:p w:rsidR="00B47592" w:rsidRDefault="004245EA">
      <w:pPr>
        <w:spacing w:before="120" w:after="120" w:line="360" w:lineRule="auto"/>
        <w:ind w:left="850" w:hanging="850"/>
        <w:rPr>
          <w:szCs w:val="24"/>
          <w:lang w:eastAsia="en-US"/>
        </w:rPr>
      </w:pPr>
      <w:r>
        <w:rPr>
          <w:szCs w:val="24"/>
          <w:lang w:eastAsia="en-US"/>
        </w:rPr>
        <w:t>c)</w:t>
      </w:r>
      <w:r>
        <w:rPr>
          <w:szCs w:val="24"/>
          <w:lang w:eastAsia="en-US"/>
        </w:rPr>
        <w:tab/>
        <w:t>výkonný riaditeľ, ktorý vykonáva povinnosti uvedené v článku 23.</w:t>
      </w:r>
    </w:p>
    <w:p w:rsidR="00B47592" w:rsidRDefault="004245EA">
      <w:pPr>
        <w:spacing w:before="120" w:after="120" w:line="360" w:lineRule="auto"/>
        <w:jc w:val="center"/>
        <w:rPr>
          <w:szCs w:val="24"/>
          <w:lang w:eastAsia="en-US"/>
        </w:rPr>
      </w:pPr>
      <w:r>
        <w:rPr>
          <w:szCs w:val="24"/>
          <w:lang w:eastAsia="en-US"/>
        </w:rPr>
        <w:t>Článok 15</w:t>
      </w:r>
      <w:r>
        <w:rPr>
          <w:szCs w:val="24"/>
          <w:lang w:eastAsia="en-US"/>
        </w:rPr>
        <w:br/>
        <w:t>Zloženie správnej rady</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Správna rada sa skladá z jedného zástupcu každého členského štátu a štyroch zástupcov Komisie, pričom všetci majú hlasovacie právo.</w:t>
      </w:r>
    </w:p>
    <w:p w:rsidR="00B47592" w:rsidRDefault="004245EA">
      <w:pPr>
        <w:spacing w:before="120" w:after="120" w:line="360" w:lineRule="auto"/>
        <w:ind w:left="850"/>
        <w:rPr>
          <w:szCs w:val="24"/>
          <w:lang w:eastAsia="en-US"/>
        </w:rPr>
      </w:pPr>
      <w:r>
        <w:rPr>
          <w:szCs w:val="24"/>
          <w:lang w:eastAsia="en-US"/>
        </w:rPr>
        <w:t>Do správnej rady patria aj štyria odborníci z odvetví najviac dotknutých cieľmi uvedenými v článku 2, ktorí nemajú hlasovacie právo a ktorých vymenúva Komisia.</w:t>
      </w:r>
      <w:r>
        <w:rPr>
          <w:b/>
          <w:i/>
          <w:szCs w:val="24"/>
          <w:lang w:eastAsia="en-US"/>
        </w:rPr>
        <w:t xml:space="preserve"> </w:t>
      </w:r>
      <w:r>
        <w:rPr>
          <w:b/>
          <w:szCs w:val="24"/>
          <w:lang w:eastAsia="en-US"/>
        </w:rPr>
        <w:t xml:space="preserve">[PN 57 </w:t>
      </w:r>
      <w:r>
        <w:rPr>
          <w:b/>
          <w:i/>
          <w:szCs w:val="24"/>
          <w:lang w:eastAsia="en-US"/>
        </w:rPr>
        <w:t>Netýka sa slovenskej verzie</w:t>
      </w:r>
      <w:r>
        <w:rPr>
          <w:b/>
          <w:szCs w:val="24"/>
          <w:lang w:eastAsia="en-US"/>
        </w:rPr>
        <w:t>]</w:t>
      </w:r>
      <w:r>
        <w:rPr>
          <w:b/>
          <w:i/>
          <w:szCs w:val="24"/>
          <w:lang w:eastAsia="en-US"/>
        </w:rPr>
        <w:t>.</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850"/>
        <w:rPr>
          <w:b/>
          <w:szCs w:val="24"/>
          <w:lang w:eastAsia="en-US"/>
        </w:rPr>
      </w:pPr>
      <w:r>
        <w:rPr>
          <w:b/>
          <w:i/>
          <w:szCs w:val="24"/>
          <w:lang w:eastAsia="en-US"/>
        </w:rPr>
        <w:lastRenderedPageBreak/>
        <w:t>Správna rada zahŕňa aj dvoch zástupcov Európskeho parlamentu, ktorí pôsobia ako pozorovatelia bez hlasovacích práv.</w:t>
      </w:r>
      <w:r>
        <w:rPr>
          <w:b/>
          <w:szCs w:val="24"/>
          <w:lang w:eastAsia="en-US"/>
        </w:rPr>
        <w:t xml:space="preserve"> [PN 58]</w:t>
      </w:r>
    </w:p>
    <w:p w:rsidR="00B47592" w:rsidRDefault="004245EA">
      <w:pPr>
        <w:spacing w:before="120" w:after="120" w:line="360" w:lineRule="auto"/>
        <w:ind w:left="850"/>
        <w:rPr>
          <w:szCs w:val="24"/>
          <w:lang w:eastAsia="en-US"/>
        </w:rPr>
      </w:pPr>
      <w:r>
        <w:rPr>
          <w:szCs w:val="24"/>
          <w:lang w:eastAsia="en-US"/>
        </w:rPr>
        <w:t>Všetci členovia správnej rady sa vymenúvajú na základe úrovne svojich príslušných skúseností a odborných znalostí v oblastiach uvedených v článku 2. Tak členské štáty, ako aj Komisia sa usilujú o vyvážené zastúpenie mužov a žien v správnej rade. Jeden zo štyroch odborníkov musí byť zástupca rámca stálej spolupráce orgánov na vyšetrovanie nehôd v súlade s článkom 10 smernice 2009/18/ES.</w:t>
      </w:r>
    </w:p>
    <w:p w:rsidR="00B47592" w:rsidRDefault="004245EA">
      <w:pPr>
        <w:spacing w:before="120" w:after="120" w:line="360" w:lineRule="auto"/>
        <w:ind w:left="850" w:hanging="850"/>
        <w:rPr>
          <w:b/>
          <w:szCs w:val="24"/>
          <w:lang w:eastAsia="en-US"/>
        </w:rPr>
      </w:pPr>
      <w:r>
        <w:rPr>
          <w:szCs w:val="24"/>
          <w:lang w:eastAsia="en-US"/>
        </w:rPr>
        <w:t>2.</w:t>
      </w:r>
      <w:r>
        <w:rPr>
          <w:szCs w:val="24"/>
          <w:lang w:eastAsia="en-US"/>
        </w:rPr>
        <w:tab/>
        <w:t>Každý členský štát</w:t>
      </w:r>
      <w:r>
        <w:rPr>
          <w:b/>
          <w:i/>
          <w:szCs w:val="24"/>
          <w:lang w:eastAsia="en-US"/>
        </w:rPr>
        <w:t>, Európsky parlament</w:t>
      </w:r>
      <w:r>
        <w:rPr>
          <w:szCs w:val="24"/>
          <w:lang w:eastAsia="en-US"/>
        </w:rPr>
        <w:t xml:space="preserve"> a Komisia </w:t>
      </w:r>
      <w:proofErr w:type="spellStart"/>
      <w:r>
        <w:rPr>
          <w:strike/>
          <w:szCs w:val="24"/>
          <w:lang w:eastAsia="en-US"/>
        </w:rPr>
        <w:t>vymenuje</w:t>
      </w:r>
      <w:r>
        <w:rPr>
          <w:b/>
          <w:i/>
          <w:szCs w:val="24"/>
          <w:lang w:eastAsia="en-US"/>
        </w:rPr>
        <w:t>vymenujú</w:t>
      </w:r>
      <w:proofErr w:type="spellEnd"/>
      <w:r>
        <w:rPr>
          <w:szCs w:val="24"/>
          <w:lang w:eastAsia="en-US"/>
        </w:rPr>
        <w:t xml:space="preserve"> svojich členov správnej rady, ako aj náhradníkov, ktorí budú členov zastupovať v prípade ich neprítomnosti.</w:t>
      </w:r>
      <w:r>
        <w:rPr>
          <w:b/>
          <w:szCs w:val="24"/>
          <w:lang w:eastAsia="en-US"/>
        </w:rPr>
        <w:t xml:space="preserve"> [PN 59]</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Funkčné obdobie je štyri roky. Funkčné obdobie sa môže obnoviť.</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4.</w:t>
      </w:r>
      <w:r>
        <w:rPr>
          <w:szCs w:val="24"/>
          <w:lang w:eastAsia="en-US"/>
        </w:rPr>
        <w:tab/>
        <w:t>Každý člen a náhradník pri nástupe do funkcie podpíše písomné vyhlásenie, že sa nenachádza v situácii konfliktu záujmov. Každý člen a náhradník v prípade zmeny okolností, pokiaľ ide o akýkoľvek konflikt záujmov, svoje vyhlásenie aktualizuje. Vyhlásenia o záujmoch a ich aktualizácie agentúra zverejní na svojom webovej sídle.</w:t>
      </w:r>
    </w:p>
    <w:p w:rsidR="00B47592" w:rsidRDefault="004245EA">
      <w:pPr>
        <w:spacing w:before="120" w:after="120" w:line="360" w:lineRule="auto"/>
        <w:jc w:val="center"/>
        <w:rPr>
          <w:szCs w:val="24"/>
          <w:lang w:eastAsia="en-US"/>
        </w:rPr>
      </w:pPr>
      <w:r>
        <w:rPr>
          <w:szCs w:val="24"/>
          <w:lang w:eastAsia="en-US"/>
        </w:rPr>
        <w:t>Článok 16</w:t>
      </w:r>
      <w:r>
        <w:rPr>
          <w:szCs w:val="24"/>
          <w:lang w:eastAsia="en-US"/>
        </w:rPr>
        <w:br/>
        <w:t>Funkcie správnej rady</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S cieľom zabezpečiť, aby agentúra vykonávala svoje úlohy, správna rada:</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určuje všeobecné a strategické smerovanie činností agentúry;</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každoročne po doručení stanoviska Komisie a v súlade s článkom 17 dvojtretinovou väčšinou svojich členov s hlasovacím právom prijíma jednotný programový dokument agentúry;</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dvojtretinovou väčšinou svojich členov s hlasovacím právom prijíma ročný rozpočet a plán pracovných miest agentúry a vykonáva ďalšie funkcie súvisiace s rozpočtom agentúry podľa kapitoly VI;</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d)</w:t>
      </w:r>
      <w:r>
        <w:rPr>
          <w:szCs w:val="24"/>
          <w:lang w:eastAsia="en-US"/>
        </w:rPr>
        <w:tab/>
        <w:t>dvojtretinovou väčšinou svojich členov s hlasovacím právom prijíma konsolidovanú výročnú správu o činnosti agentúry a každý rok ju do 1. júla predloží Európskemu parlamentu, Rade, Komisii, Európskemu dvoru audítorov a členským štátom. Správa sa uverejňuje;</w:t>
      </w:r>
    </w:p>
    <w:p w:rsidR="00B47592" w:rsidRDefault="004245EA">
      <w:pPr>
        <w:spacing w:before="120" w:after="120" w:line="360" w:lineRule="auto"/>
        <w:ind w:left="1416" w:hanging="566"/>
        <w:rPr>
          <w:szCs w:val="24"/>
          <w:lang w:eastAsia="en-US"/>
        </w:rPr>
      </w:pPr>
      <w:r>
        <w:rPr>
          <w:szCs w:val="24"/>
          <w:lang w:eastAsia="en-US"/>
        </w:rPr>
        <w:t>e)</w:t>
      </w:r>
      <w:r>
        <w:rPr>
          <w:szCs w:val="24"/>
          <w:lang w:eastAsia="en-US"/>
        </w:rPr>
        <w:tab/>
        <w:t>v súlade s článkom 25 prijíma rozpočtové pravidlá platné pre agentúru;</w:t>
      </w:r>
    </w:p>
    <w:p w:rsidR="00B47592" w:rsidRDefault="004245EA">
      <w:pPr>
        <w:spacing w:before="120" w:after="120" w:line="360" w:lineRule="auto"/>
        <w:ind w:left="1416" w:hanging="566"/>
        <w:rPr>
          <w:szCs w:val="24"/>
          <w:lang w:eastAsia="en-US"/>
        </w:rPr>
      </w:pPr>
      <w:r>
        <w:rPr>
          <w:szCs w:val="24"/>
          <w:lang w:eastAsia="en-US"/>
        </w:rPr>
        <w:t>f)</w:t>
      </w:r>
      <w:r>
        <w:rPr>
          <w:szCs w:val="24"/>
          <w:lang w:eastAsia="en-US"/>
        </w:rPr>
        <w:tab/>
        <w:t>predkladá svoje stanovisko ku konečnej účtovnej závierke agentúry;</w:t>
      </w:r>
    </w:p>
    <w:p w:rsidR="00B47592" w:rsidRDefault="004245EA">
      <w:pPr>
        <w:spacing w:before="120" w:after="120" w:line="360" w:lineRule="auto"/>
        <w:ind w:left="1416" w:hanging="566"/>
        <w:rPr>
          <w:b/>
          <w:szCs w:val="24"/>
          <w:lang w:eastAsia="en-US"/>
        </w:rPr>
      </w:pPr>
      <w:r>
        <w:rPr>
          <w:szCs w:val="24"/>
          <w:lang w:eastAsia="en-US"/>
        </w:rPr>
        <w:t>g)</w:t>
      </w:r>
      <w:r>
        <w:rPr>
          <w:szCs w:val="24"/>
          <w:lang w:eastAsia="en-US"/>
        </w:rPr>
        <w:tab/>
        <w:t>stanovuje metodiku pre návštevy, ktoré sa uskutočňujú podľa článku 10</w:t>
      </w:r>
      <w:r>
        <w:rPr>
          <w:strike/>
          <w:szCs w:val="24"/>
          <w:lang w:eastAsia="en-US"/>
        </w:rPr>
        <w:t>. Ak Komisia do 15 dní od prijatia uvedenej metodiky vyjadrí nesúhlas, riadiaca rada metodiku opätovne preskúma a prijme ju s prípadnými zmenami v druhom čítaní buď dvojtretinovou väčšinou vrátane hlasov zástupcov Komisie, alebo jednomyseľne hlasmi zástupcov členských štátov</w:t>
      </w:r>
      <w:r>
        <w:rPr>
          <w:szCs w:val="24"/>
          <w:lang w:eastAsia="en-US"/>
        </w:rPr>
        <w:t>;</w:t>
      </w:r>
      <w:r>
        <w:rPr>
          <w:b/>
          <w:szCs w:val="24"/>
          <w:lang w:eastAsia="en-US"/>
        </w:rPr>
        <w:t xml:space="preserve"> [PN 60]</w:t>
      </w:r>
    </w:p>
    <w:p w:rsidR="00B47592" w:rsidRDefault="004245EA">
      <w:pPr>
        <w:spacing w:before="120" w:after="120" w:line="360" w:lineRule="auto"/>
        <w:ind w:left="1416" w:hanging="566"/>
        <w:rPr>
          <w:szCs w:val="24"/>
          <w:lang w:eastAsia="en-US"/>
        </w:rPr>
      </w:pPr>
      <w:r>
        <w:rPr>
          <w:szCs w:val="24"/>
          <w:lang w:eastAsia="en-US"/>
        </w:rPr>
        <w:t>h)</w:t>
      </w:r>
      <w:r>
        <w:rPr>
          <w:szCs w:val="24"/>
          <w:lang w:eastAsia="en-US"/>
        </w:rPr>
        <w:tab/>
        <w:t>posudzuje a schvaľuje správne dojednania v zmysle článku 11 ods. 5;</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i)</w:t>
      </w:r>
      <w:r>
        <w:rPr>
          <w:szCs w:val="24"/>
          <w:lang w:eastAsia="en-US"/>
        </w:rPr>
        <w:tab/>
        <w:t>prijíma stratégiu pre boj proti podvodom, ktorá je po zohľadnení nákladov a prínosov opatrení, ktoré sa majú vykonať, primeraná rizikám podvodov;</w:t>
      </w:r>
    </w:p>
    <w:p w:rsidR="00B47592" w:rsidRDefault="004245EA">
      <w:pPr>
        <w:spacing w:before="120" w:after="120" w:line="360" w:lineRule="auto"/>
        <w:ind w:left="1416" w:hanging="566"/>
        <w:rPr>
          <w:b/>
          <w:szCs w:val="24"/>
          <w:lang w:eastAsia="en-US"/>
        </w:rPr>
      </w:pPr>
      <w:r>
        <w:rPr>
          <w:szCs w:val="24"/>
          <w:lang w:eastAsia="en-US"/>
        </w:rPr>
        <w:t>j)</w:t>
      </w:r>
      <w:r>
        <w:rPr>
          <w:szCs w:val="24"/>
          <w:lang w:eastAsia="en-US"/>
        </w:rPr>
        <w:tab/>
        <w:t xml:space="preserve">prijíma </w:t>
      </w:r>
      <w:r>
        <w:rPr>
          <w:b/>
          <w:i/>
          <w:szCs w:val="24"/>
          <w:lang w:eastAsia="en-US"/>
        </w:rPr>
        <w:t xml:space="preserve">a uverejňuje </w:t>
      </w:r>
      <w:r>
        <w:rPr>
          <w:szCs w:val="24"/>
          <w:lang w:eastAsia="en-US"/>
        </w:rPr>
        <w:t>pravidlá na predchádzanie konfliktom záujmov svojich členov a ich riadenie a každoročne na svojom webovom sídle zverejňuje vyhlásenia o záujmoch členov správnej rady;</w:t>
      </w:r>
      <w:r>
        <w:rPr>
          <w:b/>
          <w:szCs w:val="24"/>
          <w:lang w:eastAsia="en-US"/>
        </w:rPr>
        <w:t xml:space="preserve"> [PN 61]</w:t>
      </w:r>
    </w:p>
    <w:p w:rsidR="00B47592" w:rsidRDefault="004245EA">
      <w:pPr>
        <w:spacing w:before="120" w:after="120" w:line="360" w:lineRule="auto"/>
        <w:ind w:left="1416" w:hanging="566"/>
        <w:rPr>
          <w:szCs w:val="24"/>
          <w:lang w:eastAsia="en-US"/>
        </w:rPr>
      </w:pPr>
      <w:r>
        <w:rPr>
          <w:szCs w:val="24"/>
          <w:lang w:eastAsia="en-US"/>
        </w:rPr>
        <w:t>k)</w:t>
      </w:r>
      <w:r>
        <w:rPr>
          <w:szCs w:val="24"/>
          <w:lang w:eastAsia="en-US"/>
        </w:rPr>
        <w:tab/>
        <w:t>prijíma a na základe analýzy potrieb pravidelne aktualizuje plány oznamovania a šírenia informácií uvedené v článku 13;</w:t>
      </w:r>
    </w:p>
    <w:p w:rsidR="00B47592" w:rsidRDefault="004245EA">
      <w:pPr>
        <w:spacing w:before="120" w:after="120" w:line="360" w:lineRule="auto"/>
        <w:ind w:left="1416" w:hanging="566"/>
        <w:rPr>
          <w:b/>
          <w:szCs w:val="24"/>
          <w:lang w:eastAsia="en-US"/>
        </w:rPr>
      </w:pPr>
      <w:r>
        <w:rPr>
          <w:szCs w:val="24"/>
          <w:lang w:eastAsia="en-US"/>
        </w:rPr>
        <w:t>l)</w:t>
      </w:r>
      <w:r>
        <w:rPr>
          <w:szCs w:val="24"/>
          <w:lang w:eastAsia="en-US"/>
        </w:rPr>
        <w:tab/>
        <w:t>prijíma</w:t>
      </w:r>
      <w:r>
        <w:rPr>
          <w:b/>
          <w:i/>
          <w:szCs w:val="24"/>
          <w:lang w:eastAsia="en-US"/>
        </w:rPr>
        <w:t xml:space="preserve"> a uverejňuje</w:t>
      </w:r>
      <w:r>
        <w:rPr>
          <w:szCs w:val="24"/>
          <w:lang w:eastAsia="en-US"/>
        </w:rPr>
        <w:t xml:space="preserve"> svoj rokovací poriadok;</w:t>
      </w:r>
      <w:r>
        <w:rPr>
          <w:b/>
          <w:szCs w:val="24"/>
          <w:lang w:eastAsia="en-US"/>
        </w:rPr>
        <w:t xml:space="preserve"> [PN 62]</w:t>
      </w:r>
    </w:p>
    <w:p w:rsidR="00B47592" w:rsidRDefault="004245EA">
      <w:pPr>
        <w:spacing w:before="120" w:after="120" w:line="360" w:lineRule="auto"/>
        <w:ind w:left="1416" w:hanging="566"/>
        <w:rPr>
          <w:szCs w:val="24"/>
          <w:lang w:eastAsia="en-US"/>
        </w:rPr>
      </w:pPr>
      <w:r>
        <w:rPr>
          <w:szCs w:val="24"/>
          <w:lang w:eastAsia="en-US"/>
        </w:rPr>
        <w:t>m)</w:t>
      </w:r>
      <w:r>
        <w:rPr>
          <w:szCs w:val="24"/>
          <w:lang w:eastAsia="en-US"/>
        </w:rPr>
        <w:tab/>
        <w:t>v súlade s článkom 21 vymenúva členov výkonnej rady dvojtretinovou väčšinou hlasov svojich členov s hlasovacím právom;</w:t>
      </w:r>
    </w:p>
    <w:p w:rsidR="00B47592" w:rsidRDefault="004245EA">
      <w:pPr>
        <w:spacing w:before="120" w:after="120" w:line="360" w:lineRule="auto"/>
        <w:ind w:left="1416" w:hanging="566"/>
        <w:rPr>
          <w:szCs w:val="24"/>
          <w:lang w:eastAsia="en-US"/>
        </w:rPr>
      </w:pPr>
      <w:r>
        <w:rPr>
          <w:szCs w:val="24"/>
          <w:lang w:eastAsia="en-US"/>
        </w:rPr>
        <w:t>n)</w:t>
      </w:r>
      <w:r>
        <w:rPr>
          <w:szCs w:val="24"/>
          <w:lang w:eastAsia="en-US"/>
        </w:rPr>
        <w:tab/>
        <w:t>prijíma mandát pre úlohy výkonnej rady podľa článku 21;</w:t>
      </w:r>
    </w:p>
    <w:p w:rsidR="00B47592" w:rsidRDefault="004245EA">
      <w:pPr>
        <w:spacing w:before="120" w:after="120" w:line="360" w:lineRule="auto"/>
        <w:ind w:left="1416" w:hanging="566"/>
        <w:rPr>
          <w:szCs w:val="24"/>
          <w:lang w:eastAsia="en-US"/>
        </w:rPr>
      </w:pPr>
      <w:r>
        <w:rPr>
          <w:szCs w:val="24"/>
          <w:lang w:eastAsia="en-US"/>
        </w:rPr>
        <w:t>o)</w:t>
      </w:r>
      <w:r>
        <w:rPr>
          <w:szCs w:val="24"/>
          <w:lang w:eastAsia="en-US"/>
        </w:rPr>
        <w:tab/>
        <w:t>v súlade s odsekom 2 vykonáva vo vzťahu k zamestnancom agentúry právomoci, ktoré sú podľa služobného poriadku zverené menovaciemu orgánu, ako aj právomoci, ktoré sú podľa podmienok zamestnávania ostatných zamestnancov zverené orgánu splnomocnenému uzatvárať pracovné zmluvy</w:t>
      </w:r>
      <w:r>
        <w:rPr>
          <w:szCs w:val="24"/>
          <w:vertAlign w:val="superscript"/>
          <w:lang w:eastAsia="en-US"/>
        </w:rPr>
        <w:footnoteReference w:id="34"/>
      </w:r>
      <w:r>
        <w:rPr>
          <w:szCs w:val="24"/>
          <w:lang w:eastAsia="en-US"/>
        </w:rPr>
        <w:t>;</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p)</w:t>
      </w:r>
      <w:r>
        <w:rPr>
          <w:szCs w:val="24"/>
          <w:lang w:eastAsia="en-US"/>
        </w:rPr>
        <w:tab/>
        <w:t>v súlade s článkom 110 ods. 2 služobného poriadku prijíma vykonávacie predpisy na účely vykonávania služobného poriadku a podmienok zamestnávania ostatných zamestnancov;</w:t>
      </w:r>
    </w:p>
    <w:p w:rsidR="00B47592" w:rsidRDefault="004245EA">
      <w:pPr>
        <w:spacing w:before="120" w:after="120" w:line="360" w:lineRule="auto"/>
        <w:ind w:left="1416" w:hanging="566"/>
        <w:rPr>
          <w:szCs w:val="24"/>
          <w:lang w:eastAsia="en-US"/>
        </w:rPr>
      </w:pPr>
      <w:r>
        <w:rPr>
          <w:szCs w:val="24"/>
          <w:lang w:eastAsia="en-US"/>
        </w:rPr>
        <w:t>q)</w:t>
      </w:r>
      <w:r>
        <w:rPr>
          <w:szCs w:val="24"/>
          <w:lang w:eastAsia="en-US"/>
        </w:rPr>
        <w:tab/>
        <w:t>v súlade s článkom 22 vymenúva výkonného riaditeľa, poskytuje mu usmernenia a monitoruje jeho činnosť a v prípade potreby predlžuje jeho funkčné obdobie alebo ho odvoláva z funkcie;</w:t>
      </w:r>
    </w:p>
    <w:p w:rsidR="00B47592" w:rsidRDefault="004245EA">
      <w:pPr>
        <w:spacing w:before="120" w:after="120" w:line="360" w:lineRule="auto"/>
        <w:ind w:left="1416" w:hanging="566"/>
        <w:rPr>
          <w:szCs w:val="24"/>
          <w:lang w:eastAsia="en-US"/>
        </w:rPr>
      </w:pPr>
      <w:r>
        <w:rPr>
          <w:szCs w:val="24"/>
          <w:lang w:eastAsia="en-US"/>
        </w:rPr>
        <w:t>r)</w:t>
      </w:r>
      <w:r>
        <w:rPr>
          <w:szCs w:val="24"/>
          <w:lang w:eastAsia="en-US"/>
        </w:rPr>
        <w:tab/>
        <w:t>stanovuje postupy rozhodovania výkonného riaditeľa;</w:t>
      </w:r>
    </w:p>
    <w:p w:rsidR="00B47592" w:rsidRDefault="004245EA">
      <w:pPr>
        <w:spacing w:before="120" w:after="120" w:line="360" w:lineRule="auto"/>
        <w:ind w:left="1416" w:hanging="566"/>
        <w:rPr>
          <w:szCs w:val="24"/>
          <w:lang w:eastAsia="en-US"/>
        </w:rPr>
      </w:pPr>
      <w:r>
        <w:rPr>
          <w:szCs w:val="24"/>
          <w:lang w:eastAsia="en-US"/>
        </w:rPr>
        <w:t>s)</w:t>
      </w:r>
      <w:r>
        <w:rPr>
          <w:szCs w:val="24"/>
          <w:lang w:eastAsia="en-US"/>
        </w:rPr>
        <w:tab/>
        <w:t>podľa potreby na základe služobného poriadku a podmienok zamestnávania ostatných zamestnancov vymenúva účtovníka, ktorý je pri vykonávaní svojich povinností úplne nezávislý;</w:t>
      </w:r>
    </w:p>
    <w:p w:rsidR="00B47592" w:rsidRDefault="004245EA">
      <w:pPr>
        <w:spacing w:before="120" w:after="120" w:line="360" w:lineRule="auto"/>
        <w:ind w:left="1416" w:hanging="566"/>
        <w:rPr>
          <w:szCs w:val="24"/>
          <w:lang w:eastAsia="en-US"/>
        </w:rPr>
      </w:pPr>
      <w:r>
        <w:rPr>
          <w:szCs w:val="24"/>
          <w:lang w:eastAsia="en-US"/>
        </w:rPr>
        <w:t>t)</w:t>
      </w:r>
      <w:r>
        <w:rPr>
          <w:szCs w:val="24"/>
          <w:lang w:eastAsia="en-US"/>
        </w:rPr>
        <w:tab/>
        <w:t>zabezpečuje primerané opatrenia v nadväznosti na zistenia a odporúčania vyplývajúce zo správ a hodnotení interného alebo externého auditu, ako aj z vyšetrovaní vykonávaných Európskym úradom pre boj proti podvodom (ďalej len „OLAF“) a Európskou prokuratúrou;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b/>
          <w:szCs w:val="24"/>
          <w:lang w:eastAsia="en-US"/>
        </w:rPr>
      </w:pPr>
      <w:r>
        <w:rPr>
          <w:szCs w:val="24"/>
          <w:lang w:eastAsia="en-US"/>
        </w:rPr>
        <w:lastRenderedPageBreak/>
        <w:t>u)</w:t>
      </w:r>
      <w:r>
        <w:rPr>
          <w:szCs w:val="24"/>
          <w:lang w:eastAsia="en-US"/>
        </w:rPr>
        <w:tab/>
        <w:t>prijíma všetky rozhodnutia o zriadení vnútorných štruktúr agentúry vrátane vytvorenia poradných alebo pracovných skupín a v prípade potreby o ich zmene</w:t>
      </w:r>
      <w:r>
        <w:rPr>
          <w:b/>
          <w:i/>
          <w:szCs w:val="24"/>
          <w:lang w:eastAsia="en-US"/>
        </w:rPr>
        <w:t xml:space="preserve"> s prihliadnutím na potreby týkajúce sa činnosti agentúry a so zreteľom na správne rozpočtové riadenie</w:t>
      </w:r>
      <w:r>
        <w:rPr>
          <w:szCs w:val="24"/>
          <w:lang w:eastAsia="en-US"/>
        </w:rPr>
        <w:t>;</w:t>
      </w:r>
      <w:r>
        <w:rPr>
          <w:b/>
          <w:szCs w:val="24"/>
          <w:lang w:eastAsia="en-US"/>
        </w:rPr>
        <w:t xml:space="preserve"> [PN 63]</w:t>
      </w:r>
    </w:p>
    <w:p w:rsidR="00B47592" w:rsidRDefault="004245EA">
      <w:pPr>
        <w:spacing w:before="120" w:after="120" w:line="360" w:lineRule="auto"/>
        <w:ind w:left="1416" w:hanging="566"/>
        <w:rPr>
          <w:b/>
          <w:szCs w:val="24"/>
          <w:lang w:eastAsia="en-US"/>
        </w:rPr>
      </w:pPr>
      <w:r>
        <w:rPr>
          <w:szCs w:val="24"/>
          <w:lang w:eastAsia="en-US"/>
        </w:rPr>
        <w:t>v)</w:t>
      </w:r>
      <w:r>
        <w:rPr>
          <w:szCs w:val="24"/>
          <w:lang w:eastAsia="en-US"/>
        </w:rPr>
        <w:tab/>
        <w:t>rozhoduje o službách, ktoré agentúra môže ponúkať za poplatky a platby, a prijíma rámcový vzor finančného rozvrhnutia splatných poplatkov a platieb, ako sa uvádza v článku 26 ods. 3 písm. c)</w:t>
      </w:r>
      <w:r>
        <w:rPr>
          <w:strike/>
          <w:szCs w:val="24"/>
          <w:lang w:eastAsia="en-US"/>
        </w:rPr>
        <w:t>. Ak Komisia do 15 dní od prijatia rozhodnutia správnej rady o službách ponúkaných za poplatky alebo o rámcovom vzore vyjadrí svoj nesúhlas, správna rada rozhodnutie opätovne preskúma a prijme ho s prípadnými zmenami v druhom čítaní buď dvojtretinovou väčšinou hlasov vrátane zástupcov Komisie, alebo jednomyseľne hlasmi zástupcov členských štátov</w:t>
      </w:r>
      <w:r>
        <w:rPr>
          <w:szCs w:val="24"/>
          <w:lang w:eastAsia="en-US"/>
        </w:rPr>
        <w:t>;</w:t>
      </w:r>
      <w:r>
        <w:rPr>
          <w:b/>
          <w:szCs w:val="24"/>
          <w:lang w:eastAsia="en-US"/>
        </w:rPr>
        <w:t xml:space="preserve"> [PN 64]</w:t>
      </w:r>
    </w:p>
    <w:p w:rsidR="00B47592" w:rsidRDefault="004245EA">
      <w:pPr>
        <w:spacing w:before="120" w:after="120" w:line="360" w:lineRule="auto"/>
        <w:ind w:left="1416" w:hanging="566"/>
        <w:rPr>
          <w:szCs w:val="24"/>
          <w:lang w:eastAsia="en-US"/>
        </w:rPr>
      </w:pPr>
      <w:r>
        <w:rPr>
          <w:szCs w:val="24"/>
          <w:lang w:eastAsia="en-US"/>
        </w:rPr>
        <w:t>w)</w:t>
      </w:r>
      <w:r>
        <w:rPr>
          <w:szCs w:val="24"/>
          <w:lang w:eastAsia="en-US"/>
        </w:rPr>
        <w:tab/>
        <w:t>prijíma stratégiu na zvýšenie efektívnosti a dosiahnutie synergií;</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b/>
          <w:szCs w:val="24"/>
          <w:lang w:eastAsia="en-US"/>
        </w:rPr>
      </w:pPr>
      <w:r>
        <w:rPr>
          <w:szCs w:val="24"/>
          <w:lang w:eastAsia="en-US"/>
        </w:rPr>
        <w:lastRenderedPageBreak/>
        <w:t>x)</w:t>
      </w:r>
      <w:r>
        <w:rPr>
          <w:szCs w:val="24"/>
          <w:lang w:eastAsia="en-US"/>
        </w:rPr>
        <w:tab/>
        <w:t>prijíma stratégiu spolupráce s tretími krajinami alebo medzinárodnými organizáciami alebo s tretími krajinami aj medzinárodnými organizáciami uvedenú v článku 11 ods. 6</w:t>
      </w:r>
      <w:r>
        <w:rPr>
          <w:strike/>
          <w:szCs w:val="24"/>
          <w:lang w:eastAsia="en-US"/>
        </w:rPr>
        <w:t>. Ak Komisia do 15 dní od prijatia uvedenej stratégie vyjadrí nesúhlas, riadiaca rada stratégiu opätovne preskúma a prijme ju s prípadnými zmenami v druhom čítaní buď dvojtretinovou väčšinou hlasov vrátane zástupcov Komisie, alebo jednomyseľne hlasmi zástupcov členských štátov</w:t>
      </w:r>
      <w:r>
        <w:rPr>
          <w:szCs w:val="24"/>
          <w:lang w:eastAsia="en-US"/>
        </w:rPr>
        <w:t>;</w:t>
      </w:r>
      <w:r>
        <w:rPr>
          <w:b/>
          <w:szCs w:val="24"/>
          <w:lang w:eastAsia="en-US"/>
        </w:rPr>
        <w:t xml:space="preserve"> [PN 65]</w:t>
      </w:r>
    </w:p>
    <w:p w:rsidR="00B47592" w:rsidRDefault="004245EA">
      <w:pPr>
        <w:spacing w:before="120" w:after="120" w:line="360" w:lineRule="auto"/>
        <w:ind w:left="1416" w:hanging="566"/>
        <w:rPr>
          <w:szCs w:val="24"/>
          <w:lang w:eastAsia="en-US"/>
        </w:rPr>
      </w:pPr>
      <w:r>
        <w:rPr>
          <w:szCs w:val="24"/>
          <w:lang w:eastAsia="en-US"/>
        </w:rPr>
        <w:t>y)</w:t>
      </w:r>
      <w:r>
        <w:rPr>
          <w:szCs w:val="24"/>
          <w:lang w:eastAsia="en-US"/>
        </w:rPr>
        <w:tab/>
        <w:t>prijíma interné bezpečnostné predpisy agentúry, ako sa uvádza v článku 41;</w:t>
      </w:r>
    </w:p>
    <w:p w:rsidR="00B47592" w:rsidRDefault="004245EA">
      <w:pPr>
        <w:spacing w:before="120" w:after="120" w:line="360" w:lineRule="auto"/>
        <w:ind w:left="1416" w:hanging="566"/>
        <w:rPr>
          <w:szCs w:val="24"/>
          <w:lang w:eastAsia="en-US"/>
        </w:rPr>
      </w:pPr>
      <w:r>
        <w:rPr>
          <w:szCs w:val="24"/>
          <w:lang w:eastAsia="en-US"/>
        </w:rPr>
        <w:t>z)</w:t>
      </w:r>
      <w:r>
        <w:rPr>
          <w:szCs w:val="24"/>
          <w:lang w:eastAsia="en-US"/>
        </w:rPr>
        <w:tab/>
        <w:t>vymenúva zodpovednú osobu agentúry pre ochranu údajov.</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Správna rada v súlade s článkom 110 ods. 2 služobného poriadku prijíma rozhodnutie na základe článku 2 ods. 1 služobného poriadku a článku 6 podmienok zamestnávania ostatných zamestnancov, ktorým deleguje príslušné právomoci menovacieho orgánu na výkonného riaditeľa a ktorým vymedzuje podmienky, za ktorých možno toto delegovanie právomoci pozastaviť. Výkonný riaditeľ je oprávnený tieto právomoci delegovať ďalej.</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rPr>
          <w:szCs w:val="24"/>
          <w:lang w:eastAsia="en-US"/>
        </w:rPr>
      </w:pPr>
      <w:r>
        <w:rPr>
          <w:szCs w:val="24"/>
          <w:lang w:eastAsia="en-US"/>
        </w:rPr>
        <w:lastRenderedPageBreak/>
        <w:t>Ak si to vyžadujú mimoriadne okolnosti, správna rada môže na základe rozhodnutia dočasne pozastaviť delegovanie právomocí menovacieho orgánu na výkonného riaditeľa a na subjekty, ktorým ďalej delegoval právomoc, a tieto právomoci vykonávať sama alebo ich delegovať na jedného zo svojich členov alebo na zamestnanca, ktorý nie je výkonným riaditeľom.</w:t>
      </w:r>
    </w:p>
    <w:p w:rsidR="00B47592" w:rsidRDefault="004245EA">
      <w:pPr>
        <w:spacing w:before="120" w:after="120" w:line="360" w:lineRule="auto"/>
        <w:jc w:val="center"/>
        <w:rPr>
          <w:szCs w:val="24"/>
          <w:lang w:eastAsia="en-US"/>
        </w:rPr>
      </w:pPr>
      <w:r>
        <w:rPr>
          <w:szCs w:val="24"/>
          <w:lang w:eastAsia="en-US"/>
        </w:rPr>
        <w:t>Článok 17</w:t>
      </w:r>
      <w:r>
        <w:rPr>
          <w:szCs w:val="24"/>
          <w:lang w:eastAsia="en-US"/>
        </w:rPr>
        <w:br/>
        <w:t>Ročné a viacročné programovanie</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Správna rada do 30. novembra každého roka na základe návrhu predloženého výkonným riaditeľom</w:t>
      </w:r>
      <w:r>
        <w:rPr>
          <w:strike/>
          <w:szCs w:val="24"/>
          <w:lang w:eastAsia="en-US"/>
        </w:rPr>
        <w:t xml:space="preserve"> a</w:t>
      </w:r>
      <w:r>
        <w:rPr>
          <w:b/>
          <w:i/>
          <w:szCs w:val="24"/>
          <w:lang w:eastAsia="en-US"/>
        </w:rPr>
        <w:t>,</w:t>
      </w:r>
      <w:r>
        <w:rPr>
          <w:szCs w:val="24"/>
          <w:lang w:eastAsia="en-US"/>
        </w:rPr>
        <w:t xml:space="preserve"> po zohľadnení stanoviska Komisie</w:t>
      </w:r>
      <w:r>
        <w:rPr>
          <w:b/>
          <w:i/>
          <w:szCs w:val="24"/>
          <w:lang w:eastAsia="en-US"/>
        </w:rPr>
        <w:t xml:space="preserve"> a porade s Európskym parlamentom v súvislosti s viacročným programovaním</w:t>
      </w:r>
      <w:r>
        <w:rPr>
          <w:szCs w:val="24"/>
          <w:lang w:eastAsia="en-US"/>
        </w:rPr>
        <w:t xml:space="preserve"> prijme jednotný programový dokument obsahujúci viacročné a ročné programovanie. </w:t>
      </w:r>
      <w:r>
        <w:rPr>
          <w:strike/>
          <w:szCs w:val="24"/>
          <w:lang w:eastAsia="en-US"/>
        </w:rPr>
        <w:t xml:space="preserve">Riadiaca rada tento </w:t>
      </w:r>
      <w:proofErr w:type="spellStart"/>
      <w:r>
        <w:rPr>
          <w:strike/>
          <w:szCs w:val="24"/>
          <w:lang w:eastAsia="en-US"/>
        </w:rPr>
        <w:t>dokument</w:t>
      </w:r>
      <w:r>
        <w:rPr>
          <w:b/>
          <w:i/>
          <w:szCs w:val="24"/>
          <w:lang w:eastAsia="en-US"/>
        </w:rPr>
        <w:t>Ak</w:t>
      </w:r>
      <w:proofErr w:type="spellEnd"/>
      <w:r>
        <w:rPr>
          <w:b/>
          <w:i/>
          <w:szCs w:val="24"/>
          <w:lang w:eastAsia="en-US"/>
        </w:rPr>
        <w:t xml:space="preserve"> sa správna rada rozhodne nezohľadniť prvky stanoviska Komisie, dôkladne to odôvodní. Povinnosť poskytnúť dôkladné odôvodnenie sa uplatní aj na prvky, na ktoré upozorní Európsky parlament počas konzultácií. Správna rada</w:t>
      </w:r>
      <w:r>
        <w:rPr>
          <w:szCs w:val="24"/>
          <w:lang w:eastAsia="en-US"/>
        </w:rPr>
        <w:t xml:space="preserve"> predkladá </w:t>
      </w:r>
      <w:r>
        <w:rPr>
          <w:b/>
          <w:i/>
          <w:szCs w:val="24"/>
          <w:lang w:eastAsia="en-US"/>
        </w:rPr>
        <w:t xml:space="preserve">jednotný programový dokument </w:t>
      </w:r>
      <w:r>
        <w:rPr>
          <w:szCs w:val="24"/>
          <w:lang w:eastAsia="en-US"/>
        </w:rPr>
        <w:t>Európskemu parlamentu, Rade a Komisii</w:t>
      </w:r>
      <w:r>
        <w:rPr>
          <w:b/>
          <w:i/>
          <w:szCs w:val="24"/>
          <w:lang w:eastAsia="en-US"/>
        </w:rPr>
        <w:t xml:space="preserve"> do 31</w:t>
      </w:r>
      <w:r>
        <w:rPr>
          <w:szCs w:val="24"/>
          <w:lang w:eastAsia="en-US"/>
        </w:rPr>
        <w:t>.</w:t>
      </w:r>
      <w:r>
        <w:rPr>
          <w:b/>
          <w:i/>
          <w:szCs w:val="24"/>
          <w:lang w:eastAsia="en-US"/>
        </w:rPr>
        <w:t xml:space="preserve"> januára nasledujúceho roka.</w:t>
      </w:r>
      <w:r>
        <w:rPr>
          <w:b/>
          <w:szCs w:val="24"/>
          <w:lang w:eastAsia="en-US"/>
        </w:rPr>
        <w:t xml:space="preserve"> [PN 66]</w:t>
      </w:r>
    </w:p>
    <w:p w:rsidR="00B47592" w:rsidRDefault="004245EA">
      <w:pPr>
        <w:widowControl/>
        <w:rPr>
          <w:strike/>
          <w:szCs w:val="24"/>
          <w:lang w:eastAsia="en-US"/>
        </w:rPr>
      </w:pPr>
      <w:r>
        <w:rPr>
          <w:strike/>
          <w:szCs w:val="24"/>
          <w:lang w:eastAsia="en-US"/>
        </w:rPr>
        <w:br w:type="page"/>
      </w:r>
    </w:p>
    <w:p w:rsidR="00B47592" w:rsidRDefault="004245EA">
      <w:pPr>
        <w:spacing w:before="120" w:after="120" w:line="360" w:lineRule="auto"/>
        <w:ind w:left="850"/>
        <w:rPr>
          <w:b/>
          <w:szCs w:val="24"/>
          <w:lang w:eastAsia="en-US"/>
        </w:rPr>
      </w:pPr>
      <w:r>
        <w:rPr>
          <w:strike/>
          <w:szCs w:val="24"/>
          <w:lang w:eastAsia="en-US"/>
        </w:rPr>
        <w:lastRenderedPageBreak/>
        <w:t>Ak Komisia do 15 dní od prijatia jednotného programového dokumentu vyjadrí s dokumentom nesúhlas, správna rada jednotný programový dokument opätovne preskúma a do dvoch mesiacov ho prijme s prípadnými zmenami v druhom čítaní buď dvojtretinovou väčšinou hlasov vrátane zástupcov Komisie, alebo jednomyseľne hlasmi zástupcov členských štátov.</w:t>
      </w:r>
      <w:r>
        <w:rPr>
          <w:b/>
          <w:szCs w:val="24"/>
          <w:lang w:eastAsia="en-US"/>
        </w:rPr>
        <w:t xml:space="preserve"> [PN 67]</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Jednotný programový dokument nadobúda definitívnu podobu po konečnom prijatí všeobecného rozpočtu a v prípade potreby sa zodpovedajúcim spôsobom upraví.</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V ročnom pracovnom programe sa uvádzajú podrobné ciele a očakávané výsledky vrátane ukazovateľov výkonnosti. Obsahuje aj opis opatrení, ktoré sa majú financovať, a informáciu o finančných a ľudských zdrojoch vyčlenených na každé opatrenie v súlade so zásadami zostavovania rozpočtu a riadenia na základe činností. Ročný pracovný program musí byť v súlade s viacročným pracovným programom uvedeným v odseku 7. Musia sa v ňom jasne uvádzať úlohy, ktoré sa v porovnaní s predchádzajúcim rozpočtovým rokom doplnili, zmenili alebo vypustili. Ročné a/alebo viacročné programovanie musí zahŕňať stratégiu týkajúcu sa vzťahov s tretími krajinami alebo medzinárodnými organizáciami uvedenú v článku 11 a opatrenia súvisiace s touto stratégiou.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4.</w:t>
      </w:r>
      <w:r>
        <w:rPr>
          <w:szCs w:val="24"/>
          <w:lang w:eastAsia="en-US"/>
        </w:rPr>
        <w:tab/>
        <w:t>Správna rada zmení prijatý ročný pracovný program, keď sa agentúre uloží nová úloha. Začlenenie takejto novej úlohy podlieha analýze vplyvu na ľudské a rozpočtové zdroje a môže byť podmienené rozhodnutím o odložení vykonávania iných úloh.</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Správna rada v rámci prípravy jednotného programového dokumentu preskúma a schváli žiadosti Komisie alebo členských štátov o technickú pomoc podľa článku 3 ods. 1 písm. c), článku 3 ods. 2 písm. b), článku 5 ods. 5 až 8, článku 8 ods. 6 a 7, článku 9 ods. 3, článku 10 ods. 4 a článku 11 ods. 2 a 4. Schválenie týchto žiadostí:</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nesmie narúšať plnenie ostatných úloh agentúry;</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musí predchádzať zdvojovaniu úsilia;</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podlieha analýze vplyvu na ľudské a rozpočtové zdroje a</w:t>
      </w:r>
    </w:p>
    <w:p w:rsidR="00B47592" w:rsidRDefault="004245EA">
      <w:pPr>
        <w:spacing w:before="120" w:after="120" w:line="360" w:lineRule="auto"/>
        <w:ind w:left="1416" w:hanging="566"/>
        <w:rPr>
          <w:szCs w:val="24"/>
          <w:lang w:eastAsia="en-US"/>
        </w:rPr>
      </w:pPr>
      <w:r>
        <w:rPr>
          <w:szCs w:val="24"/>
          <w:lang w:eastAsia="en-US"/>
        </w:rPr>
        <w:t>d)</w:t>
      </w:r>
      <w:r>
        <w:rPr>
          <w:szCs w:val="24"/>
          <w:lang w:eastAsia="en-US"/>
        </w:rPr>
        <w:tab/>
        <w:t>môže byť podmienené rozhodnutím o odložení vykonávania iných úloh.</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6.</w:t>
      </w:r>
      <w:r>
        <w:rPr>
          <w:szCs w:val="24"/>
          <w:lang w:eastAsia="en-US"/>
        </w:rPr>
        <w:tab/>
        <w:t>Všetky podstatné zmeny ročného pracovného programu sa prijímajú rovnakým postupom ako pôvodný ročný pracovný program. Právomoc prijímať menej podstatné zmeny v ročnom pracovnom programe môže správna rada delegovať na výkonného riaditeľa.</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Vo viacročnom pracovnom programe sa stanovuje celkové strategické programovanie vrátane cieľov, očakávaných výsledkov a ukazovateľov výkonnosti. Ďalej sa v ňom stanovuje programovanie zdrojov vrátane viacročného rozpočtu a personálu.</w:t>
      </w:r>
    </w:p>
    <w:p w:rsidR="00B47592" w:rsidRDefault="004245EA">
      <w:pPr>
        <w:spacing w:before="120" w:after="120" w:line="360" w:lineRule="auto"/>
        <w:ind w:left="850" w:hanging="850"/>
        <w:rPr>
          <w:szCs w:val="24"/>
          <w:lang w:eastAsia="en-US"/>
        </w:rPr>
      </w:pPr>
      <w:r>
        <w:rPr>
          <w:szCs w:val="24"/>
          <w:lang w:eastAsia="en-US"/>
        </w:rPr>
        <w:t>8.</w:t>
      </w:r>
      <w:r>
        <w:rPr>
          <w:szCs w:val="24"/>
          <w:lang w:eastAsia="en-US"/>
        </w:rPr>
        <w:tab/>
        <w:t>Programovanie zdrojov sa každoročne aktualizuje. Strategické programovanie sa aktualizuje podľa potreby, najmä s cieľom zohľadniť výsledok hodnotenia uvedeného v článku 41.</w:t>
      </w:r>
    </w:p>
    <w:p w:rsidR="00B47592" w:rsidRDefault="004245EA">
      <w:pPr>
        <w:spacing w:before="120" w:after="120" w:line="360" w:lineRule="auto"/>
        <w:jc w:val="center"/>
        <w:rPr>
          <w:szCs w:val="24"/>
          <w:lang w:eastAsia="en-US"/>
        </w:rPr>
      </w:pPr>
      <w:r>
        <w:rPr>
          <w:szCs w:val="24"/>
          <w:lang w:eastAsia="en-US"/>
        </w:rPr>
        <w:t>Článok 18</w:t>
      </w:r>
      <w:r>
        <w:rPr>
          <w:szCs w:val="24"/>
          <w:lang w:eastAsia="en-US"/>
        </w:rPr>
        <w:br/>
        <w:t>Predseda správnej rady</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Správna rada si spomedzi svojich členov s hlasovacím právom volí predsedu a podpredsedu. Predseda a podpredseda sú volení dvojtretinovou väčšinou hlasov členov správnej rady s hlasovacím právom.</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Podpredseda automaticky zastupuje predsedu, ak predseda nemôže plniť svoje povinnosti.</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Funkčné obdobie predsedu a podpredsedu trvá štyri roky. Ich funkčné obdobie sa môže raz obnoviť. Ak sa však ich členstvo v správnej rade kedykoľvek počas funkčného obdobia skončí, k danému dátumu sa automaticky končí aj ich funkčné obdobie.</w:t>
      </w:r>
    </w:p>
    <w:p w:rsidR="00B47592" w:rsidRDefault="004245EA">
      <w:pPr>
        <w:spacing w:before="120" w:after="120" w:line="360" w:lineRule="auto"/>
        <w:jc w:val="center"/>
        <w:rPr>
          <w:szCs w:val="24"/>
          <w:lang w:eastAsia="en-US"/>
        </w:rPr>
      </w:pPr>
      <w:r>
        <w:rPr>
          <w:szCs w:val="24"/>
          <w:lang w:eastAsia="en-US"/>
        </w:rPr>
        <w:t>Článok 19</w:t>
      </w:r>
      <w:r>
        <w:rPr>
          <w:szCs w:val="24"/>
          <w:lang w:eastAsia="en-US"/>
        </w:rPr>
        <w:br/>
        <w:t>Zasadnutia správnej rady</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Zasadnutia správnej rady prebiehajú v súlade s jej rokovacím poriadkom a zvoláva ich jej predseda.</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V súlade s článkom 35 sa výkonný riaditeľ agentúry zúčastňuje na rokovaniach s výnimkou prípadov, v ktorých by jeho účasť podľa rozhodnutia predsedu mohla mať za následok konflikt záujmov, alebo prípadov, keď má správna rada prijať rozhodnutie.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3.</w:t>
      </w:r>
      <w:r>
        <w:rPr>
          <w:szCs w:val="24"/>
          <w:lang w:eastAsia="en-US"/>
        </w:rPr>
        <w:tab/>
        <w:t xml:space="preserve">Riadne zasadnutie správnej rady sa uskutoční dvakrát za rok. Okrem toho sa zasadnutie koná z podnetu predsedu, na žiadosť Komisie alebo jednej tretiny </w:t>
      </w:r>
      <w:r>
        <w:rPr>
          <w:strike/>
          <w:szCs w:val="24"/>
          <w:lang w:eastAsia="en-US"/>
        </w:rPr>
        <w:t xml:space="preserve">členských </w:t>
      </w:r>
      <w:proofErr w:type="spellStart"/>
      <w:r>
        <w:rPr>
          <w:strike/>
          <w:szCs w:val="24"/>
          <w:lang w:eastAsia="en-US"/>
        </w:rPr>
        <w:t>štátov</w:t>
      </w:r>
      <w:r>
        <w:rPr>
          <w:b/>
          <w:i/>
          <w:szCs w:val="24"/>
          <w:lang w:eastAsia="en-US"/>
        </w:rPr>
        <w:t>členov</w:t>
      </w:r>
      <w:proofErr w:type="spellEnd"/>
      <w:r>
        <w:rPr>
          <w:b/>
          <w:i/>
          <w:szCs w:val="24"/>
          <w:lang w:eastAsia="en-US"/>
        </w:rPr>
        <w:t xml:space="preserve"> rady</w:t>
      </w:r>
      <w:r>
        <w:rPr>
          <w:szCs w:val="24"/>
          <w:lang w:eastAsia="en-US"/>
        </w:rPr>
        <w:t>.</w:t>
      </w:r>
      <w:r>
        <w:rPr>
          <w:b/>
          <w:szCs w:val="24"/>
          <w:lang w:eastAsia="en-US"/>
        </w:rPr>
        <w:t xml:space="preserve"> [PN 68]</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Ak ide o dôvernú záležitosť alebo konflikt záujmov, správna rada môže rozhodnúť, že preskúma určité body svojho programu bez prítomnosti dotknutých členov. Tým nie je dotknuté právo členských štátov ani Komisie nechať sa zastupovať náhradníkom alebo akoukoľvek inou osobou. Podrobné pravidlá uplatňovania tohto ustanovenia sa stanovia v rokovacom poriadku správnej rady.</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Správna rada môže na svoje zasadnutia pozvať ako pozorovateľa akúkoľvek osobu, o ktorej stanovisko má záujem.</w:t>
      </w:r>
    </w:p>
    <w:p w:rsidR="00B47592" w:rsidRDefault="004245EA">
      <w:pPr>
        <w:spacing w:before="120" w:after="120" w:line="360" w:lineRule="auto"/>
        <w:ind w:left="850" w:hanging="850"/>
        <w:rPr>
          <w:szCs w:val="24"/>
          <w:lang w:eastAsia="en-US"/>
        </w:rPr>
      </w:pPr>
      <w:r>
        <w:rPr>
          <w:szCs w:val="24"/>
          <w:lang w:eastAsia="en-US"/>
        </w:rPr>
        <w:t>6.</w:t>
      </w:r>
      <w:r>
        <w:rPr>
          <w:szCs w:val="24"/>
          <w:lang w:eastAsia="en-US"/>
        </w:rPr>
        <w:tab/>
        <w:t>Pokiaľ sa v rokovacom poriadku správnej rady nestanovuje inak, môžu jej členom pomáhať poradcovia alebo experti.</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Sekretariát správnej rady zabezpečuje agentúra.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20</w:t>
      </w:r>
      <w:r>
        <w:rPr>
          <w:szCs w:val="24"/>
          <w:lang w:eastAsia="en-US"/>
        </w:rPr>
        <w:br/>
        <w:t>Pravidlá hlasovania správnej rady</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Pokiaľ sa v tomto nariadení nestanovuje inak, prijíma správna rada rozhodnutia absolútnou väčšinou hlasov svojich členov s hlasovacím právom.</w:t>
      </w:r>
    </w:p>
    <w:p w:rsidR="00B47592" w:rsidRDefault="004245EA">
      <w:pPr>
        <w:spacing w:before="120" w:after="120" w:line="360" w:lineRule="auto"/>
        <w:ind w:left="850" w:hanging="850"/>
        <w:rPr>
          <w:b/>
          <w:szCs w:val="24"/>
          <w:lang w:eastAsia="en-US"/>
        </w:rPr>
      </w:pPr>
      <w:r>
        <w:rPr>
          <w:strike/>
          <w:szCs w:val="24"/>
          <w:lang w:eastAsia="en-US"/>
        </w:rPr>
        <w:t>2.</w:t>
      </w:r>
      <w:r>
        <w:rPr>
          <w:szCs w:val="24"/>
          <w:lang w:eastAsia="en-US"/>
        </w:rPr>
        <w:tab/>
      </w:r>
      <w:r>
        <w:rPr>
          <w:strike/>
          <w:szCs w:val="24"/>
          <w:lang w:eastAsia="en-US"/>
        </w:rPr>
        <w:t xml:space="preserve">Rozhodnutia uvedené v článku 16 ods. 1 písmenách c) až (e) a písmenách i), j), n), o), p), q), t), u) a v článku 16 ods. 2) možno prijať len vtedy, ak zástupcovia Komisie hlasujú za </w:t>
      </w:r>
      <w:proofErr w:type="spellStart"/>
      <w:r>
        <w:rPr>
          <w:strike/>
          <w:szCs w:val="24"/>
          <w:lang w:eastAsia="en-US"/>
        </w:rPr>
        <w:t>ne</w:t>
      </w:r>
      <w:proofErr w:type="spellEnd"/>
      <w:r>
        <w:rPr>
          <w:strike/>
          <w:szCs w:val="24"/>
          <w:lang w:eastAsia="en-US"/>
        </w:rPr>
        <w:t>. Na účely prijatia rozhodnutí uvedených v článku 16 ods. 1 písmene b) sa hlasovanie zástupcu Komisie v prospech týchto rozhodnutí vyžaduje len v prípade prvkov rozhodnutia, ktoré nesúvisia s ročným a viacročným pracovným programom agentúry.</w:t>
      </w:r>
      <w:r>
        <w:rPr>
          <w:b/>
          <w:szCs w:val="24"/>
          <w:lang w:eastAsia="en-US"/>
        </w:rPr>
        <w:t xml:space="preserve"> [PN 69]</w:t>
      </w:r>
    </w:p>
    <w:p w:rsidR="00B47592" w:rsidRDefault="004245EA">
      <w:pPr>
        <w:spacing w:before="120" w:after="120" w:line="360" w:lineRule="auto"/>
        <w:ind w:left="850" w:hanging="850"/>
        <w:rPr>
          <w:b/>
          <w:szCs w:val="24"/>
          <w:lang w:eastAsia="en-US"/>
        </w:rPr>
      </w:pPr>
      <w:r>
        <w:rPr>
          <w:szCs w:val="24"/>
          <w:lang w:eastAsia="en-US"/>
        </w:rPr>
        <w:t>3.</w:t>
      </w:r>
      <w:r>
        <w:rPr>
          <w:szCs w:val="24"/>
          <w:lang w:eastAsia="en-US"/>
        </w:rPr>
        <w:tab/>
        <w:t>Každý člen</w:t>
      </w:r>
      <w:r>
        <w:rPr>
          <w:b/>
          <w:i/>
          <w:szCs w:val="24"/>
          <w:lang w:eastAsia="en-US"/>
        </w:rPr>
        <w:t xml:space="preserve"> s hlasovacím právom</w:t>
      </w:r>
      <w:r>
        <w:rPr>
          <w:szCs w:val="24"/>
          <w:lang w:eastAsia="en-US"/>
        </w:rPr>
        <w:t xml:space="preserve"> má jeden hlas. Výkonný riaditeľ agentúry nehlasuje.</w:t>
      </w:r>
      <w:r>
        <w:rPr>
          <w:b/>
          <w:szCs w:val="24"/>
          <w:lang w:eastAsia="en-US"/>
        </w:rPr>
        <w:t xml:space="preserve"> [PN 70]</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V neprítomnosti člena je oprávnený uplatniť jeho hlasovacie právo náhradník uvedeného člena.</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Podrobnejšie pravidlá hlasovania vrátane podmienok, za akých môže jeden člen konať v mene iného člena, sa stanovia v rokovacom poriadku.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21</w:t>
      </w:r>
      <w:r>
        <w:rPr>
          <w:szCs w:val="24"/>
          <w:lang w:eastAsia="en-US"/>
        </w:rPr>
        <w:br/>
        <w:t xml:space="preserve">Výkonná rada </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Správnej rade pomáha výkonná rada.</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Výkonná rada:</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dohliada na vykonávanie rozhodnutí správnej rady o administratívnom a rozpočtovom riadení;</w:t>
      </w:r>
    </w:p>
    <w:p w:rsidR="00B47592" w:rsidRDefault="004245EA">
      <w:pPr>
        <w:spacing w:before="120" w:after="120" w:line="360" w:lineRule="auto"/>
        <w:ind w:left="1416" w:hanging="566"/>
        <w:rPr>
          <w:b/>
          <w:szCs w:val="24"/>
          <w:lang w:eastAsia="en-US"/>
        </w:rPr>
      </w:pPr>
      <w:proofErr w:type="spellStart"/>
      <w:r>
        <w:rPr>
          <w:b/>
          <w:i/>
          <w:szCs w:val="24"/>
          <w:lang w:eastAsia="en-US"/>
        </w:rPr>
        <w:t>aa</w:t>
      </w:r>
      <w:proofErr w:type="spellEnd"/>
      <w:r>
        <w:rPr>
          <w:b/>
          <w:i/>
          <w:szCs w:val="24"/>
          <w:lang w:eastAsia="en-US"/>
        </w:rPr>
        <w:t>)</w:t>
      </w:r>
      <w:r>
        <w:rPr>
          <w:szCs w:val="24"/>
          <w:lang w:eastAsia="en-US"/>
        </w:rPr>
        <w:tab/>
      </w:r>
      <w:r>
        <w:rPr>
          <w:b/>
          <w:i/>
          <w:szCs w:val="24"/>
          <w:lang w:eastAsia="en-US"/>
        </w:rPr>
        <w:t>rozhoduje o záležitostiach stanovených v rozpočtových pravidlách prijatých podľa článku 25, ktoré nie sú týmto nariadením vyhradené pre správnu radu;</w:t>
      </w:r>
      <w:r>
        <w:rPr>
          <w:b/>
          <w:szCs w:val="24"/>
          <w:lang w:eastAsia="en-US"/>
        </w:rPr>
        <w:t xml:space="preserve"> [PN 71]</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pripravuje rozhodnutia, ktoré má prijať správna rada;</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spoločne so správnou radou zabezpečuje primerané opatrenia v nadväznosti na zistenia a odporúčania vyplývajúce zo správ a hodnotení interného alebo externého auditu, ako aj z vyšetrovaní vykonávaných úradom OLAF a Európskou prokuratúrou.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Ak je to potrebné z dôvodu naliehavosti, môže výkonná rada prijať určité dočasné rozhodnutia v mene správnej rady, a to najmä o otázkach administratívneho riadenia, vrátane rozhodnutí o pozastavení delegovania právomocí menovacieho orgánu a o rozpočtových záležitostiach.</w:t>
      </w:r>
    </w:p>
    <w:p w:rsidR="00B47592" w:rsidRDefault="004245EA">
      <w:pPr>
        <w:spacing w:before="120" w:after="120" w:line="360" w:lineRule="auto"/>
        <w:ind w:left="850" w:hanging="850"/>
        <w:rPr>
          <w:b/>
          <w:szCs w:val="24"/>
          <w:lang w:eastAsia="en-US"/>
        </w:rPr>
      </w:pPr>
      <w:r>
        <w:rPr>
          <w:szCs w:val="24"/>
          <w:lang w:eastAsia="en-US"/>
        </w:rPr>
        <w:t>4.</w:t>
      </w:r>
      <w:r>
        <w:rPr>
          <w:szCs w:val="24"/>
          <w:lang w:eastAsia="en-US"/>
        </w:rPr>
        <w:tab/>
        <w:t>Výkonnú radu tvoria predseda</w:t>
      </w:r>
      <w:r>
        <w:rPr>
          <w:b/>
          <w:i/>
          <w:szCs w:val="24"/>
          <w:lang w:eastAsia="en-US"/>
        </w:rPr>
        <w:t xml:space="preserve"> a podpredseda</w:t>
      </w:r>
      <w:r>
        <w:rPr>
          <w:szCs w:val="24"/>
          <w:lang w:eastAsia="en-US"/>
        </w:rPr>
        <w:t xml:space="preserve"> správnej rady, jeden zástupca Komisie v správnej rade a traja ďalší členovia vymenovaní správnou radou spomedzi jej členov, ktorí majú právo hlasovať. Predseda správnej rady je aj predsedom výkonnej rady. Výkonný riaditeľ sa zúčastňuje na zasadnutiach výkonnej rady, ale nemá hlasovacie právo.</w:t>
      </w:r>
      <w:r>
        <w:rPr>
          <w:b/>
          <w:i/>
          <w:szCs w:val="24"/>
          <w:lang w:eastAsia="en-US"/>
        </w:rPr>
        <w:t xml:space="preserve"> Výkonná rada môže prizvať na svoje zasadnutia aj iných pozorovateľov.</w:t>
      </w:r>
      <w:r>
        <w:rPr>
          <w:b/>
          <w:szCs w:val="24"/>
          <w:lang w:eastAsia="en-US"/>
        </w:rPr>
        <w:t xml:space="preserve"> [PN 72]</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Funkčné obdobie členov výkonnej rady trvá štyri roky a je možné ho obnoviť. Funkčné obdobie členov výkonnej rady sa končí vtedy, keď sa končí ich členstvo v správnej rade.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6.</w:t>
      </w:r>
      <w:r>
        <w:rPr>
          <w:szCs w:val="24"/>
          <w:lang w:eastAsia="en-US"/>
        </w:rPr>
        <w:tab/>
        <w:t>Výkonná rada uskutoční aspoň jedno riadne zasadnutie raz za tri mesiace. Okrem toho zasadá na podnet predsedu alebo na žiadosť svojich členov.</w:t>
      </w:r>
    </w:p>
    <w:p w:rsidR="00B47592" w:rsidRDefault="004245EA">
      <w:pPr>
        <w:spacing w:before="120" w:after="120" w:line="360" w:lineRule="auto"/>
        <w:ind w:left="850" w:hanging="850"/>
        <w:rPr>
          <w:b/>
          <w:szCs w:val="24"/>
          <w:lang w:eastAsia="en-US"/>
        </w:rPr>
      </w:pPr>
      <w:r>
        <w:rPr>
          <w:b/>
          <w:i/>
          <w:szCs w:val="24"/>
          <w:lang w:eastAsia="en-US"/>
        </w:rPr>
        <w:t>6a.</w:t>
      </w:r>
      <w:r>
        <w:rPr>
          <w:szCs w:val="24"/>
          <w:lang w:eastAsia="en-US"/>
        </w:rPr>
        <w:tab/>
      </w:r>
      <w:r>
        <w:rPr>
          <w:b/>
          <w:i/>
          <w:szCs w:val="24"/>
          <w:lang w:eastAsia="en-US"/>
        </w:rPr>
        <w:t>Výkonná rada prijíma rozhodnutia na základe konsenzu. Ak výkonná rada nie je schopná prijať rozhodnutie na základe konsenzu, záležitosť sa postúpi správnej rade.</w:t>
      </w:r>
      <w:r>
        <w:rPr>
          <w:b/>
          <w:szCs w:val="24"/>
          <w:lang w:eastAsia="en-US"/>
        </w:rPr>
        <w:t xml:space="preserve"> [PN 73]</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Rokovací poriadok výkonnej rady stanovuje správna rada.</w:t>
      </w:r>
    </w:p>
    <w:p w:rsidR="00B47592" w:rsidRDefault="004245EA">
      <w:pPr>
        <w:spacing w:before="120" w:after="120" w:line="360" w:lineRule="auto"/>
        <w:jc w:val="center"/>
        <w:rPr>
          <w:szCs w:val="24"/>
          <w:lang w:eastAsia="en-US"/>
        </w:rPr>
      </w:pPr>
      <w:r>
        <w:rPr>
          <w:szCs w:val="24"/>
          <w:lang w:eastAsia="en-US"/>
        </w:rPr>
        <w:t>KAPITOLA V</w:t>
      </w:r>
      <w:r>
        <w:rPr>
          <w:szCs w:val="24"/>
          <w:lang w:eastAsia="en-US"/>
        </w:rPr>
        <w:br/>
        <w:t>VÝKONNÝ RIADITEĽ</w:t>
      </w:r>
    </w:p>
    <w:p w:rsidR="00B47592" w:rsidRDefault="004245EA">
      <w:pPr>
        <w:spacing w:before="120" w:after="120" w:line="360" w:lineRule="auto"/>
        <w:jc w:val="center"/>
        <w:rPr>
          <w:szCs w:val="24"/>
          <w:lang w:eastAsia="en-US"/>
        </w:rPr>
      </w:pPr>
      <w:r>
        <w:rPr>
          <w:szCs w:val="24"/>
          <w:lang w:eastAsia="en-US"/>
        </w:rPr>
        <w:t>Článok 22</w:t>
      </w:r>
      <w:r>
        <w:rPr>
          <w:szCs w:val="24"/>
          <w:lang w:eastAsia="en-US"/>
        </w:rPr>
        <w:br/>
        <w:t xml:space="preserve">Vymenovanie, predĺženie funkčného obdobia alebo odvolanie z funkcie </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Výkonného riaditeľa vymenúva správna rada na základe zásluh</w:t>
      </w:r>
      <w:r>
        <w:rPr>
          <w:b/>
          <w:i/>
          <w:szCs w:val="24"/>
          <w:lang w:eastAsia="en-US"/>
        </w:rPr>
        <w:t xml:space="preserve">, zručností, odborných znalostí a preukázanej spôsobilosti a skúseností relevantných pre námorné </w:t>
      </w:r>
      <w:proofErr w:type="spellStart"/>
      <w:r>
        <w:rPr>
          <w:b/>
          <w:i/>
          <w:szCs w:val="24"/>
          <w:lang w:eastAsia="en-US"/>
        </w:rPr>
        <w:t>odvetvie</w:t>
      </w:r>
      <w:r>
        <w:rPr>
          <w:strike/>
          <w:szCs w:val="24"/>
          <w:lang w:eastAsia="en-US"/>
        </w:rPr>
        <w:t>a</w:t>
      </w:r>
      <w:proofErr w:type="spellEnd"/>
      <w:r>
        <w:rPr>
          <w:strike/>
          <w:szCs w:val="24"/>
          <w:lang w:eastAsia="en-US"/>
        </w:rPr>
        <w:t xml:space="preserve"> schopností</w:t>
      </w:r>
      <w:r>
        <w:rPr>
          <w:szCs w:val="24"/>
          <w:lang w:eastAsia="en-US"/>
        </w:rPr>
        <w:t xml:space="preserve"> zo zoznamu kandidátov navrhnutých Komisiou na základe otvoreného a transparentného výberového konania, pri ktorom sa dodržiava zásada vyváženého zastúpenia mužov a žien.</w:t>
      </w:r>
      <w:r>
        <w:rPr>
          <w:b/>
          <w:szCs w:val="24"/>
          <w:lang w:eastAsia="en-US"/>
        </w:rPr>
        <w:t xml:space="preserve"> [PN 74]</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850" w:hanging="850"/>
        <w:rPr>
          <w:b/>
          <w:szCs w:val="24"/>
          <w:lang w:eastAsia="en-US"/>
        </w:rPr>
      </w:pPr>
      <w:r>
        <w:rPr>
          <w:b/>
          <w:i/>
          <w:szCs w:val="24"/>
          <w:lang w:eastAsia="en-US"/>
        </w:rPr>
        <w:lastRenderedPageBreak/>
        <w:t>1a.</w:t>
      </w:r>
      <w:r>
        <w:rPr>
          <w:szCs w:val="24"/>
          <w:lang w:eastAsia="en-US"/>
        </w:rPr>
        <w:tab/>
      </w:r>
      <w:r>
        <w:rPr>
          <w:b/>
          <w:i/>
          <w:szCs w:val="24"/>
          <w:lang w:eastAsia="en-US"/>
        </w:rPr>
        <w:t>Kandidát, ktorého vybrala správna rada, sa pred vymenovaním vyzve, aby predniesol vyhlásenie pred príslušným výborom Európskeho parlamentu a odpovedal na otázky jeho členov.</w:t>
      </w:r>
      <w:r>
        <w:rPr>
          <w:b/>
          <w:szCs w:val="24"/>
          <w:lang w:eastAsia="en-US"/>
        </w:rPr>
        <w:t xml:space="preserve"> [PN 75]</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Agentúru na účely uzatvorenia zmluvy s výkonným riaditeľom zastupuje predseda správnej rady.</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Funkčné obdobie výkonného riaditeľa je päť rokov. V dostatočnom predstihu pred koncom tohto obdobia Komisia vykoná posúdenie, v ktorom zohľadní hodnotenie výsledkov činnosti výkonného riaditeľa a budúce úlohy a výzvy agentúry.</w:t>
      </w:r>
    </w:p>
    <w:p w:rsidR="00B47592" w:rsidRDefault="004245EA">
      <w:pPr>
        <w:spacing w:before="120" w:after="120" w:line="360" w:lineRule="auto"/>
        <w:ind w:left="850" w:hanging="850"/>
        <w:rPr>
          <w:b/>
          <w:szCs w:val="24"/>
          <w:lang w:eastAsia="en-US"/>
        </w:rPr>
      </w:pPr>
      <w:r>
        <w:rPr>
          <w:szCs w:val="24"/>
          <w:lang w:eastAsia="en-US"/>
        </w:rPr>
        <w:t>4.</w:t>
      </w:r>
      <w:r>
        <w:rPr>
          <w:szCs w:val="24"/>
          <w:lang w:eastAsia="en-US"/>
        </w:rPr>
        <w:tab/>
        <w:t>Správna rada môže na základe návrhu Komisie a po zohľadnení posúdenia uvedeného v odseku 3 jedenkrát predĺžiť funkčné obdobie výkonného riaditeľa, a to najviac o päť rokov.</w:t>
      </w:r>
      <w:r>
        <w:rPr>
          <w:b/>
          <w:i/>
          <w:szCs w:val="24"/>
          <w:lang w:eastAsia="en-US"/>
        </w:rPr>
        <w:t xml:space="preserve"> Správna rada informuje Európsky parlament a Radu o svojom úmysle predĺžiť mandát výkonného riaditeľa. Predtým, ako správna rada prijme rozhodnutie o predĺžení mandátu, môže byť výkonný riaditeľ vyzvaný, aby predniesol vyhlásenie pred príslušným výborom Európskeho parlamentu a odpovedal na otázky jeho členov.</w:t>
      </w:r>
      <w:r>
        <w:rPr>
          <w:b/>
          <w:szCs w:val="24"/>
          <w:lang w:eastAsia="en-US"/>
        </w:rPr>
        <w:t xml:space="preserve"> [PN 76]</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Výkonný riaditeľ, ktorého funkčné obdobie sa predĺžilo, sa nemôže zúčastniť na ďalšom výberovom konaní na rovnakú funkciu.</w:t>
      </w:r>
    </w:p>
    <w:p w:rsidR="00B47592" w:rsidRDefault="004245EA">
      <w:pPr>
        <w:spacing w:before="120" w:after="120" w:line="360" w:lineRule="auto"/>
        <w:ind w:left="850" w:hanging="850"/>
        <w:rPr>
          <w:b/>
          <w:szCs w:val="24"/>
          <w:lang w:eastAsia="en-US"/>
        </w:rPr>
      </w:pPr>
      <w:r>
        <w:rPr>
          <w:szCs w:val="24"/>
          <w:lang w:eastAsia="en-US"/>
        </w:rPr>
        <w:t>6.</w:t>
      </w:r>
      <w:r>
        <w:rPr>
          <w:szCs w:val="24"/>
          <w:lang w:eastAsia="en-US"/>
        </w:rPr>
        <w:tab/>
        <w:t>Výkonný riaditeľ môže byť odvolaný z funkcie len na základe rozhodnutia správnej rady konajúcej na návrh Komisie.</w:t>
      </w:r>
      <w:r>
        <w:rPr>
          <w:b/>
          <w:i/>
          <w:szCs w:val="24"/>
          <w:lang w:eastAsia="en-US"/>
        </w:rPr>
        <w:t xml:space="preserve"> Európsky parlament a Rada sú informovaní o dôvodoch takéhoto rozhodnutia spôsobom, ktorý je v súlade s príslušnými požiadavkami na dôvernosť.</w:t>
      </w:r>
      <w:r>
        <w:rPr>
          <w:b/>
          <w:szCs w:val="24"/>
          <w:lang w:eastAsia="en-US"/>
        </w:rPr>
        <w:t xml:space="preserve"> [PN 77]</w:t>
      </w:r>
    </w:p>
    <w:p w:rsidR="00B47592" w:rsidRDefault="004245EA">
      <w:pPr>
        <w:spacing w:before="120" w:after="120" w:line="360" w:lineRule="auto"/>
        <w:ind w:left="850" w:hanging="850"/>
        <w:rPr>
          <w:b/>
          <w:szCs w:val="24"/>
          <w:lang w:eastAsia="en-US"/>
        </w:rPr>
      </w:pPr>
      <w:r>
        <w:rPr>
          <w:b/>
          <w:i/>
          <w:szCs w:val="24"/>
          <w:lang w:eastAsia="en-US"/>
        </w:rPr>
        <w:t>6a.</w:t>
      </w:r>
      <w:r>
        <w:rPr>
          <w:szCs w:val="24"/>
          <w:lang w:eastAsia="en-US"/>
        </w:rPr>
        <w:tab/>
      </w:r>
      <w:r>
        <w:rPr>
          <w:b/>
          <w:i/>
          <w:szCs w:val="24"/>
          <w:lang w:eastAsia="en-US"/>
        </w:rPr>
        <w:t>Správna rada prijíma rozhodnutia o vymenovaní výkonného riaditeľa, predĺžení jeho funkčného obdobia alebo o jeho odvolaní z funkcie na základe dvojtretinovej väčšiny členov s hlasovacím právom.</w:t>
      </w:r>
      <w:r>
        <w:rPr>
          <w:b/>
          <w:szCs w:val="24"/>
          <w:lang w:eastAsia="en-US"/>
        </w:rPr>
        <w:t xml:space="preserve"> [PN 78]</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Výkonný riaditeľ je zamestnaný ako dočasný zamestnanec agentúry podľa článku 2 písm. a) podmienok zamestnávania ostatných zamestnancov.</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23</w:t>
      </w:r>
      <w:r>
        <w:rPr>
          <w:szCs w:val="24"/>
          <w:lang w:eastAsia="en-US"/>
        </w:rPr>
        <w:br/>
        <w:t>Úlohy a povinnosti výkonného riaditeľa</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Výkonný riaditeľ riadi agentúru v súlade s rozhodnutiami správnej rady a zodpovedá sa jej.</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Bez toho, aby boli dotknuté právomoci Komisie, správnej rady a výkonnej rady, je výkonný riaditeľ pri výkone svojich povinností nezávislý a nesmie žiadať pokyny od žiadnej vlády ani žiadneho iného subjektu, ani ich od nich prijímať.</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Na výzvu podáva výkonný riaditeľ Európskemu parlamentu správu o plnení svojich povinností. Rada môže výkonného riaditeľa vyzvať, aby podal správu o plnení svojich povinností.</w:t>
      </w:r>
    </w:p>
    <w:p w:rsidR="00B47592" w:rsidRDefault="004245EA">
      <w:pPr>
        <w:spacing w:before="120" w:after="120" w:line="360" w:lineRule="auto"/>
        <w:ind w:left="850" w:hanging="850"/>
        <w:rPr>
          <w:b/>
          <w:szCs w:val="24"/>
          <w:lang w:eastAsia="en-US"/>
        </w:rPr>
      </w:pPr>
      <w:r>
        <w:rPr>
          <w:szCs w:val="24"/>
          <w:lang w:eastAsia="en-US"/>
        </w:rPr>
        <w:t>4.</w:t>
      </w:r>
      <w:r>
        <w:rPr>
          <w:szCs w:val="24"/>
          <w:lang w:eastAsia="en-US"/>
        </w:rPr>
        <w:tab/>
        <w:t>Výkonný riaditeľ je právnym zástupcom agentúry.</w:t>
      </w:r>
      <w:r>
        <w:rPr>
          <w:b/>
          <w:i/>
          <w:szCs w:val="24"/>
          <w:lang w:eastAsia="en-US"/>
        </w:rPr>
        <w:t xml:space="preserve"> Výkonný riaditeľ preto:</w:t>
      </w:r>
      <w:r>
        <w:rPr>
          <w:b/>
          <w:szCs w:val="24"/>
          <w:lang w:eastAsia="en-US"/>
        </w:rPr>
        <w:t xml:space="preserve"> [PN 79]</w:t>
      </w:r>
    </w:p>
    <w:p w:rsidR="00B47592" w:rsidRDefault="004245EA">
      <w:pPr>
        <w:spacing w:before="120" w:after="120" w:line="360" w:lineRule="auto"/>
        <w:ind w:left="1416" w:hanging="566"/>
        <w:rPr>
          <w:b/>
          <w:szCs w:val="24"/>
          <w:lang w:eastAsia="en-US"/>
        </w:rPr>
      </w:pPr>
      <w:r>
        <w:rPr>
          <w:b/>
          <w:i/>
          <w:szCs w:val="24"/>
          <w:lang w:eastAsia="en-US"/>
        </w:rPr>
        <w:t>a)</w:t>
      </w:r>
      <w:r>
        <w:rPr>
          <w:szCs w:val="24"/>
          <w:lang w:eastAsia="en-US"/>
        </w:rPr>
        <w:tab/>
      </w:r>
      <w:r>
        <w:rPr>
          <w:b/>
          <w:i/>
          <w:szCs w:val="24"/>
          <w:lang w:eastAsia="en-US"/>
        </w:rPr>
        <w:t>poskytuje technickú pomoc a odborné znalosti Komisii a členským štátom v rámci IMO;</w:t>
      </w:r>
      <w:r>
        <w:rPr>
          <w:b/>
          <w:szCs w:val="24"/>
          <w:lang w:eastAsia="en-US"/>
        </w:rPr>
        <w:t xml:space="preserve"> [PN 80]</w:t>
      </w:r>
    </w:p>
    <w:p w:rsidR="00B47592" w:rsidRDefault="004245EA">
      <w:pPr>
        <w:spacing w:before="120" w:after="120" w:line="360" w:lineRule="auto"/>
        <w:ind w:left="1416" w:hanging="566"/>
        <w:rPr>
          <w:b/>
          <w:szCs w:val="24"/>
          <w:lang w:eastAsia="en-US"/>
        </w:rPr>
      </w:pPr>
      <w:r>
        <w:rPr>
          <w:b/>
          <w:i/>
          <w:szCs w:val="24"/>
          <w:lang w:eastAsia="en-US"/>
        </w:rPr>
        <w:t>b)</w:t>
      </w:r>
      <w:r>
        <w:rPr>
          <w:szCs w:val="24"/>
          <w:lang w:eastAsia="en-US"/>
        </w:rPr>
        <w:tab/>
      </w:r>
      <w:r>
        <w:rPr>
          <w:b/>
          <w:i/>
          <w:szCs w:val="24"/>
          <w:lang w:eastAsia="en-US"/>
        </w:rPr>
        <w:t>sa zodpovedá správnej rade agentúry pri prijímaní politicky citlivých rozhodnutí v záujme Únie.</w:t>
      </w:r>
      <w:r>
        <w:rPr>
          <w:b/>
          <w:szCs w:val="24"/>
          <w:lang w:eastAsia="en-US"/>
        </w:rPr>
        <w:t xml:space="preserve"> [PN 81]</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Výkonný riaditeľ zodpovedá za vykonávanie úloh, ktoré sa agentúre ukladajú týmto nariadením. Výkonný riaditeľ je zodpovedný najmä za:</w:t>
      </w:r>
    </w:p>
    <w:p w:rsidR="00B47592" w:rsidRDefault="004245EA">
      <w:pPr>
        <w:spacing w:before="120" w:after="120" w:line="360" w:lineRule="auto"/>
        <w:ind w:left="1416" w:hanging="566"/>
        <w:rPr>
          <w:b/>
          <w:szCs w:val="24"/>
          <w:lang w:eastAsia="en-US"/>
        </w:rPr>
      </w:pPr>
      <w:r>
        <w:rPr>
          <w:szCs w:val="24"/>
          <w:lang w:eastAsia="en-US"/>
        </w:rPr>
        <w:t>a)</w:t>
      </w:r>
      <w:r>
        <w:rPr>
          <w:szCs w:val="24"/>
          <w:lang w:eastAsia="en-US"/>
        </w:rPr>
        <w:tab/>
        <w:t>zabezpečenie</w:t>
      </w:r>
      <w:r>
        <w:rPr>
          <w:strike/>
          <w:szCs w:val="24"/>
          <w:lang w:eastAsia="en-US"/>
        </w:rPr>
        <w:t xml:space="preserve"> udržateľnej a efektívnej </w:t>
      </w:r>
      <w:r>
        <w:rPr>
          <w:szCs w:val="24"/>
          <w:lang w:eastAsia="en-US"/>
        </w:rPr>
        <w:t>každodennej správy agentúry;</w:t>
      </w:r>
      <w:r>
        <w:rPr>
          <w:b/>
          <w:szCs w:val="24"/>
          <w:lang w:eastAsia="en-US"/>
        </w:rPr>
        <w:t xml:space="preserve"> [PN 82]</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organizáciu a riadenie operácií a zamestnancov agentúry a za dohľad nad nimi v rámci obmedzení stanovených rozhodnutiami riadiacej rady;</w:t>
      </w:r>
    </w:p>
    <w:p w:rsidR="00B47592" w:rsidRDefault="004245EA">
      <w:pPr>
        <w:spacing w:before="120" w:after="120" w:line="360" w:lineRule="auto"/>
        <w:ind w:left="1416" w:hanging="566"/>
        <w:rPr>
          <w:szCs w:val="24"/>
          <w:lang w:eastAsia="en-US"/>
        </w:rPr>
      </w:pPr>
      <w:r>
        <w:rPr>
          <w:szCs w:val="24"/>
          <w:lang w:eastAsia="en-US"/>
        </w:rPr>
        <w:t>c)</w:t>
      </w:r>
      <w:r>
        <w:rPr>
          <w:szCs w:val="24"/>
          <w:lang w:eastAsia="en-US"/>
        </w:rPr>
        <w:tab/>
        <w:t>prípravu a vykonávanie rozhodnutí prijatých správnou radou;</w:t>
      </w:r>
    </w:p>
    <w:p w:rsidR="00B47592" w:rsidRDefault="004245EA">
      <w:pPr>
        <w:spacing w:before="120" w:after="120" w:line="360" w:lineRule="auto"/>
        <w:ind w:left="1416" w:hanging="566"/>
        <w:rPr>
          <w:szCs w:val="24"/>
          <w:lang w:eastAsia="en-US"/>
        </w:rPr>
      </w:pPr>
      <w:r>
        <w:rPr>
          <w:szCs w:val="24"/>
          <w:lang w:eastAsia="en-US"/>
        </w:rPr>
        <w:t>d)</w:t>
      </w:r>
      <w:r>
        <w:rPr>
          <w:szCs w:val="24"/>
          <w:lang w:eastAsia="en-US"/>
        </w:rPr>
        <w:tab/>
        <w:t>prípravu návrhu rozpočtových pravidiel platných pre agentúru, ktoré má prijať správna rada;</w:t>
      </w:r>
    </w:p>
    <w:p w:rsidR="00B47592" w:rsidRDefault="004245EA">
      <w:pPr>
        <w:spacing w:before="120" w:after="120" w:line="360" w:lineRule="auto"/>
        <w:ind w:left="1416" w:hanging="566"/>
        <w:rPr>
          <w:szCs w:val="24"/>
          <w:lang w:eastAsia="en-US"/>
        </w:rPr>
      </w:pPr>
      <w:r>
        <w:rPr>
          <w:szCs w:val="24"/>
          <w:lang w:eastAsia="en-US"/>
        </w:rPr>
        <w:t>e)</w:t>
      </w:r>
      <w:r>
        <w:rPr>
          <w:szCs w:val="24"/>
          <w:lang w:eastAsia="en-US"/>
        </w:rPr>
        <w:tab/>
        <w:t>zostavovanie odhadov príjmov a výdavkov agentúry v súlade s článkom 27 a plnenie rozpočtu v súlade s článkom 28;</w:t>
      </w:r>
    </w:p>
    <w:p w:rsidR="00B47592" w:rsidRDefault="004245EA">
      <w:pPr>
        <w:spacing w:before="120" w:after="120" w:line="360" w:lineRule="auto"/>
        <w:ind w:left="1416" w:hanging="566"/>
        <w:rPr>
          <w:szCs w:val="24"/>
          <w:lang w:eastAsia="en-US"/>
        </w:rPr>
      </w:pPr>
      <w:r>
        <w:rPr>
          <w:szCs w:val="24"/>
          <w:lang w:eastAsia="en-US"/>
        </w:rPr>
        <w:t>f)</w:t>
      </w:r>
      <w:r>
        <w:rPr>
          <w:szCs w:val="24"/>
          <w:lang w:eastAsia="en-US"/>
        </w:rPr>
        <w:tab/>
        <w:t>prípravu návrhu jednotného programového dokumentu a jeho predloženie správnej rade na prijatie po konzultáciách s Komisiou najneskôr štyri týždne pred príslušným zasadnutím správnej rady;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g)</w:t>
      </w:r>
      <w:r>
        <w:rPr>
          <w:szCs w:val="24"/>
          <w:lang w:eastAsia="en-US"/>
        </w:rPr>
        <w:tab/>
        <w:t>vykonávanie jednotného programového dokumentu, posudzovanie pokroku na základe príslušných ukazovateľov a podávanie správ správnej rade o jeho vykonávaní;</w:t>
      </w:r>
    </w:p>
    <w:p w:rsidR="00B47592" w:rsidRDefault="004245EA">
      <w:pPr>
        <w:spacing w:before="120" w:after="120" w:line="360" w:lineRule="auto"/>
        <w:ind w:left="1416" w:hanging="566"/>
        <w:rPr>
          <w:szCs w:val="24"/>
          <w:lang w:eastAsia="en-US"/>
        </w:rPr>
      </w:pPr>
      <w:r>
        <w:rPr>
          <w:szCs w:val="24"/>
          <w:lang w:eastAsia="en-US"/>
        </w:rPr>
        <w:t>h)</w:t>
      </w:r>
      <w:r>
        <w:rPr>
          <w:szCs w:val="24"/>
          <w:lang w:eastAsia="en-US"/>
        </w:rPr>
        <w:tab/>
        <w:t>prípravu konsolidovanej výročnej správy o činnosti agentúry a jej predloženie správnej rade na posúdenie a prijatie;</w:t>
      </w:r>
    </w:p>
    <w:p w:rsidR="00B47592" w:rsidRDefault="004245EA">
      <w:pPr>
        <w:spacing w:before="120" w:after="120" w:line="360" w:lineRule="auto"/>
        <w:ind w:left="1416" w:hanging="566"/>
        <w:rPr>
          <w:szCs w:val="24"/>
          <w:lang w:eastAsia="en-US"/>
        </w:rPr>
      </w:pPr>
      <w:r>
        <w:rPr>
          <w:szCs w:val="24"/>
          <w:lang w:eastAsia="en-US"/>
        </w:rPr>
        <w:t>i)</w:t>
      </w:r>
      <w:r>
        <w:rPr>
          <w:szCs w:val="24"/>
          <w:lang w:eastAsia="en-US"/>
        </w:rPr>
        <w:tab/>
        <w:t>vybavovanie žiadostí o pomoc v súlade s článkom 17 ods. 5;</w:t>
      </w:r>
    </w:p>
    <w:p w:rsidR="00B47592" w:rsidRDefault="004245EA">
      <w:pPr>
        <w:spacing w:before="120" w:after="120" w:line="360" w:lineRule="auto"/>
        <w:ind w:left="1416" w:hanging="566"/>
        <w:rPr>
          <w:szCs w:val="24"/>
          <w:lang w:eastAsia="en-US"/>
        </w:rPr>
      </w:pPr>
      <w:r>
        <w:rPr>
          <w:szCs w:val="24"/>
          <w:lang w:eastAsia="en-US"/>
        </w:rPr>
        <w:t>j)</w:t>
      </w:r>
      <w:r>
        <w:rPr>
          <w:szCs w:val="24"/>
          <w:lang w:eastAsia="en-US"/>
        </w:rPr>
        <w:tab/>
        <w:t>rozhodovanie o vykonaní návštev a inšpekcií stanovených v článku 10 na základe konzultácií s Komisiou a v súlade s metodikou pre návštevy stanovenou správnou radou v súlade s článkom 16 ods. 1 písm. g);</w:t>
      </w:r>
    </w:p>
    <w:p w:rsidR="00B47592" w:rsidRDefault="004245EA">
      <w:pPr>
        <w:spacing w:before="120" w:after="120" w:line="360" w:lineRule="auto"/>
        <w:ind w:left="1416" w:hanging="566"/>
        <w:rPr>
          <w:szCs w:val="24"/>
          <w:lang w:eastAsia="en-US"/>
        </w:rPr>
      </w:pPr>
      <w:r>
        <w:rPr>
          <w:szCs w:val="24"/>
          <w:lang w:eastAsia="en-US"/>
        </w:rPr>
        <w:t>k)</w:t>
      </w:r>
      <w:r>
        <w:rPr>
          <w:szCs w:val="24"/>
          <w:lang w:eastAsia="en-US"/>
        </w:rPr>
        <w:tab/>
        <w:t>rozhodovanie o uzatvorení správnych dojednaní s inými orgánmi Únie, ktoré pracujú v oblastiach činností agentúry, pokiaľ sa návrh dojednania predložil najprv na konzultáciu Komisii a správnej rade v súlade s článkom 11 ods. 5 a pokiaľ správna rada do štyroch týždňov nevyjadrila voči nemu výhrady;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l)</w:t>
      </w:r>
      <w:r>
        <w:rPr>
          <w:szCs w:val="24"/>
          <w:lang w:eastAsia="en-US"/>
        </w:rPr>
        <w:tab/>
        <w:t>prijatie všetkých nevyhnutných krokov vrátane prijímania vnútorných administratívnych pokynov a uverejňovania oznámení s cieľom zabezpečiť fungovanie agentúry v súlade s ustanoveniami tohto nariadenia;</w:t>
      </w:r>
    </w:p>
    <w:p w:rsidR="00B47592" w:rsidRDefault="004245EA">
      <w:pPr>
        <w:spacing w:before="120" w:after="120" w:line="360" w:lineRule="auto"/>
        <w:ind w:left="1416" w:hanging="566"/>
        <w:rPr>
          <w:szCs w:val="24"/>
          <w:lang w:eastAsia="en-US"/>
        </w:rPr>
      </w:pPr>
      <w:r>
        <w:rPr>
          <w:szCs w:val="24"/>
          <w:lang w:eastAsia="en-US"/>
        </w:rPr>
        <w:t>m)</w:t>
      </w:r>
      <w:r>
        <w:rPr>
          <w:szCs w:val="24"/>
          <w:lang w:eastAsia="en-US"/>
        </w:rPr>
        <w:tab/>
        <w:t>organizáciu účinného monitorovacieho systému, aby sa výsledky agentúry mohli porovnávať s jej cieľmi a úlohami stanovenými v tomto nariadení. Na tento účel zavedie po dohode s Komisiou a správnou radou ukazovatele výkonnosti prispôsobené tak, aby umožňovali účinne posúdiť dosiahnuté výsledky. Výkonný riaditeľ zabezpečuje, aby sa organizačná štruktúra agentúry pravidelne prispôsobovala meniacim sa potrebám, a to v rámci finančných a ľudských zdrojov, ktoré sú k dispozícii. V tejto súvislosti stanovuje postupy pravidelného hodnotenia zodpovedajúce uznaným odborným štandardom;</w:t>
      </w:r>
    </w:p>
    <w:p w:rsidR="00B47592" w:rsidRDefault="004245EA">
      <w:pPr>
        <w:spacing w:before="120" w:after="120" w:line="360" w:lineRule="auto"/>
        <w:ind w:left="1416" w:hanging="566"/>
        <w:rPr>
          <w:szCs w:val="24"/>
          <w:lang w:eastAsia="en-US"/>
        </w:rPr>
      </w:pPr>
      <w:r>
        <w:rPr>
          <w:szCs w:val="24"/>
          <w:lang w:eastAsia="en-US"/>
        </w:rPr>
        <w:t>n)</w:t>
      </w:r>
      <w:r>
        <w:rPr>
          <w:szCs w:val="24"/>
          <w:lang w:eastAsia="en-US"/>
        </w:rPr>
        <w:tab/>
        <w:t>zavedenie účinného a efektívneho systému vnútornej kontroly a zabezpečenie jeho fungovania, ako aj za informovanie správnej rady o všetkých jeho podstatných zmenách;</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o)</w:t>
      </w:r>
      <w:r>
        <w:rPr>
          <w:szCs w:val="24"/>
          <w:lang w:eastAsia="en-US"/>
        </w:rPr>
        <w:tab/>
        <w:t>zabezpečenie vykonávania posúdenia rizika a riadenia rizík za agentúru;</w:t>
      </w:r>
    </w:p>
    <w:p w:rsidR="00B47592" w:rsidRDefault="004245EA">
      <w:pPr>
        <w:spacing w:before="120" w:after="120" w:line="360" w:lineRule="auto"/>
        <w:ind w:left="1416" w:hanging="566"/>
        <w:rPr>
          <w:szCs w:val="24"/>
          <w:lang w:eastAsia="en-US"/>
        </w:rPr>
      </w:pPr>
      <w:r>
        <w:rPr>
          <w:szCs w:val="24"/>
          <w:lang w:eastAsia="en-US"/>
        </w:rPr>
        <w:t>p)</w:t>
      </w:r>
      <w:r>
        <w:rPr>
          <w:szCs w:val="24"/>
          <w:lang w:eastAsia="en-US"/>
        </w:rPr>
        <w:tab/>
        <w:t>prípravu akčného plánu v nadväznosti na závery správ a hodnotení interného alebo externého auditu, ako aj vyšetrovaní úradu OLAF a Európskej prokuratúry, ako sa uvádza v článku 38, a podávanie správ o pokroku, ktoré sa predkladajú dvakrát ročne Komisii a pravidelne správnej rade;</w:t>
      </w:r>
    </w:p>
    <w:p w:rsidR="00B47592" w:rsidRDefault="004245EA">
      <w:pPr>
        <w:spacing w:before="120" w:after="120" w:line="360" w:lineRule="auto"/>
        <w:ind w:left="1416" w:hanging="566"/>
        <w:rPr>
          <w:szCs w:val="24"/>
          <w:lang w:eastAsia="en-US"/>
        </w:rPr>
      </w:pPr>
      <w:r>
        <w:rPr>
          <w:szCs w:val="24"/>
          <w:lang w:eastAsia="en-US"/>
        </w:rPr>
        <w:t>q)</w:t>
      </w:r>
      <w:r>
        <w:rPr>
          <w:szCs w:val="24"/>
          <w:lang w:eastAsia="en-US"/>
        </w:rPr>
        <w:tab/>
        <w:t>ochranu finančných záujmov Únie uplatňovaním preventívnych opatrení proti podvodom, korupcii a akémukoľvek inému protiprávnemu konaniu bez toho, aby boli dotknuté vyšetrovacie právomoci úradu OLAF a Európskej prokuratúry, a to pomocou účinných kontrol a v prípade zistenia nezrovnalostí vymáhaním nesprávne vyplatených súm a prípadne uložením účinných, primeraných a odrádzajúcich administratívnych, ako aj finančných sankcií;</w:t>
      </w:r>
    </w:p>
    <w:p w:rsidR="00B47592" w:rsidRDefault="004245EA">
      <w:pPr>
        <w:spacing w:before="120" w:after="120" w:line="360" w:lineRule="auto"/>
        <w:ind w:left="1416" w:hanging="566"/>
        <w:rPr>
          <w:szCs w:val="24"/>
          <w:lang w:eastAsia="en-US"/>
        </w:rPr>
      </w:pPr>
      <w:r>
        <w:rPr>
          <w:szCs w:val="24"/>
          <w:lang w:eastAsia="en-US"/>
        </w:rPr>
        <w:t>r)</w:t>
      </w:r>
      <w:r>
        <w:rPr>
          <w:szCs w:val="24"/>
          <w:lang w:eastAsia="en-US"/>
        </w:rPr>
        <w:tab/>
        <w:t>prípravu stratégie pre boj proti podvodom, stratégie na zvýšenie efektívnosti a dosiahnutie synergií, stratégie spolupráce s tretími krajinami a/alebo medzinárodnými organizáciami a stratégie pre organizačné riadenie a systémy vnútornej kontroly pre agentúru a ich predloženie správnej rade na schválenie;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1416" w:hanging="566"/>
        <w:rPr>
          <w:szCs w:val="24"/>
          <w:lang w:eastAsia="en-US"/>
        </w:rPr>
      </w:pPr>
      <w:r>
        <w:rPr>
          <w:szCs w:val="24"/>
          <w:lang w:eastAsia="en-US"/>
        </w:rPr>
        <w:lastRenderedPageBreak/>
        <w:t>s)</w:t>
      </w:r>
      <w:r>
        <w:rPr>
          <w:szCs w:val="24"/>
          <w:lang w:eastAsia="en-US"/>
        </w:rPr>
        <w:tab/>
        <w:t>podporu rozmanitosti a zabezpečenie vyváženého zastúpenia mužov a žien pri prijímaní zamestnancov agentúry;</w:t>
      </w:r>
    </w:p>
    <w:p w:rsidR="00B47592" w:rsidRDefault="004245EA">
      <w:pPr>
        <w:spacing w:before="120" w:after="120" w:line="360" w:lineRule="auto"/>
        <w:ind w:left="1416" w:hanging="566"/>
        <w:rPr>
          <w:szCs w:val="24"/>
          <w:lang w:eastAsia="en-US"/>
        </w:rPr>
      </w:pPr>
      <w:r>
        <w:rPr>
          <w:szCs w:val="24"/>
          <w:lang w:eastAsia="en-US"/>
        </w:rPr>
        <w:t>t)</w:t>
      </w:r>
      <w:r>
        <w:rPr>
          <w:szCs w:val="24"/>
          <w:lang w:eastAsia="en-US"/>
        </w:rPr>
        <w:tab/>
        <w:t>prijímanie zamestnancov na čo najširšom geografickom základe;</w:t>
      </w:r>
    </w:p>
    <w:p w:rsidR="00B47592" w:rsidRDefault="004245EA">
      <w:pPr>
        <w:spacing w:before="120" w:after="120" w:line="360" w:lineRule="auto"/>
        <w:ind w:left="1416" w:hanging="566"/>
        <w:rPr>
          <w:szCs w:val="24"/>
          <w:lang w:eastAsia="en-US"/>
        </w:rPr>
      </w:pPr>
      <w:r>
        <w:rPr>
          <w:szCs w:val="24"/>
          <w:lang w:eastAsia="en-US"/>
        </w:rPr>
        <w:t>u)</w:t>
      </w:r>
      <w:r>
        <w:rPr>
          <w:szCs w:val="24"/>
          <w:lang w:eastAsia="en-US"/>
        </w:rPr>
        <w:tab/>
        <w:t>navrhnutie a vykonávanie komunikačnej politiky agentúry;</w:t>
      </w:r>
    </w:p>
    <w:p w:rsidR="00B47592" w:rsidRDefault="004245EA">
      <w:pPr>
        <w:spacing w:before="120" w:after="120" w:line="360" w:lineRule="auto"/>
        <w:ind w:left="1416" w:hanging="566"/>
        <w:rPr>
          <w:szCs w:val="24"/>
          <w:lang w:eastAsia="en-US"/>
        </w:rPr>
      </w:pPr>
      <w:r>
        <w:rPr>
          <w:szCs w:val="24"/>
          <w:lang w:eastAsia="en-US"/>
        </w:rPr>
        <w:t>v)</w:t>
      </w:r>
      <w:r>
        <w:rPr>
          <w:szCs w:val="24"/>
          <w:lang w:eastAsia="en-US"/>
        </w:rPr>
        <w:tab/>
        <w:t>plnenie akýchkoľvek ďalších úloh, ktoré mu zverí alebo na neho deleguje správna rada, alebo ako sa vyžadujú v tomto nariadení.</w:t>
      </w:r>
    </w:p>
    <w:p w:rsidR="00B47592" w:rsidRDefault="004245EA">
      <w:pPr>
        <w:spacing w:before="120" w:after="120" w:line="360" w:lineRule="auto"/>
        <w:jc w:val="center"/>
        <w:rPr>
          <w:szCs w:val="24"/>
          <w:lang w:eastAsia="en-US"/>
        </w:rPr>
      </w:pPr>
      <w:r>
        <w:rPr>
          <w:szCs w:val="24"/>
          <w:lang w:eastAsia="en-US"/>
        </w:rPr>
        <w:t>Článok 24</w:t>
      </w:r>
      <w:r>
        <w:rPr>
          <w:szCs w:val="24"/>
          <w:lang w:eastAsia="en-US"/>
        </w:rPr>
        <w:br/>
        <w:t>Účasť tretích krajín</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Agentúra je otvorená účasti tretích krajín, ktoré uzavreli dohody s Úniou, podľa ktorých prijali a uplatňujú právo Únie v oblasti námornej bezpečnosti, ochrany námornej dopravy, zabránenia znečisťovaniu z lodí a odozvy na znečisťovanie z lodí.</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Agentúra na základe príslušných ustanovení uvedených dohôd a na základe stanoviska Komisie uzatvorí dojednania, ktorými sa spresňuje povaha a rozsah podrobných pravidiel účasti týchto krajín na činnosti agentúry vrátane ustanovení o finančných príspevkoch a zamestnancoch.</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KAPITOLA VI</w:t>
      </w:r>
      <w:r>
        <w:rPr>
          <w:szCs w:val="24"/>
          <w:lang w:eastAsia="en-US"/>
        </w:rPr>
        <w:br/>
        <w:t>FINANČNÉ USTANOVENIA</w:t>
      </w:r>
    </w:p>
    <w:p w:rsidR="00B47592" w:rsidRDefault="004245EA">
      <w:pPr>
        <w:spacing w:before="120" w:after="120" w:line="360" w:lineRule="auto"/>
        <w:jc w:val="center"/>
        <w:rPr>
          <w:szCs w:val="24"/>
          <w:lang w:eastAsia="en-US"/>
        </w:rPr>
      </w:pPr>
      <w:r>
        <w:rPr>
          <w:szCs w:val="24"/>
          <w:lang w:eastAsia="en-US"/>
        </w:rPr>
        <w:t>Článok 25</w:t>
      </w:r>
      <w:r>
        <w:rPr>
          <w:szCs w:val="24"/>
          <w:lang w:eastAsia="en-US"/>
        </w:rPr>
        <w:br/>
        <w:t>Rozpočtové pravidlá</w:t>
      </w:r>
    </w:p>
    <w:p w:rsidR="00B47592" w:rsidRDefault="004245EA">
      <w:pPr>
        <w:spacing w:before="120" w:after="120" w:line="360" w:lineRule="auto"/>
        <w:rPr>
          <w:szCs w:val="24"/>
          <w:lang w:eastAsia="en-US"/>
        </w:rPr>
      </w:pPr>
      <w:r>
        <w:rPr>
          <w:szCs w:val="24"/>
          <w:lang w:eastAsia="en-US"/>
        </w:rPr>
        <w:t>Rozpočtové pravidlá platné pre agentúru prijíma správna rada po porade s Komisiou. Rozpočtové pravidlá sa nesmú odchyľovať od delegovaného nariadenia Komisie (EÚ) 2019/715, pokiaľ takáto odchýlka nie je osobitne potrebná na prevádzku agentúry a pokiaľ ju vopred neodsúhlasila Komisia.</w:t>
      </w:r>
    </w:p>
    <w:p w:rsidR="00B47592" w:rsidRDefault="004245EA">
      <w:pPr>
        <w:spacing w:before="120" w:after="120" w:line="360" w:lineRule="auto"/>
        <w:jc w:val="center"/>
        <w:rPr>
          <w:szCs w:val="24"/>
          <w:lang w:eastAsia="en-US"/>
        </w:rPr>
      </w:pPr>
      <w:r>
        <w:rPr>
          <w:szCs w:val="24"/>
          <w:lang w:eastAsia="en-US"/>
        </w:rPr>
        <w:t>Článok 26</w:t>
      </w:r>
      <w:r>
        <w:rPr>
          <w:szCs w:val="24"/>
          <w:lang w:eastAsia="en-US"/>
        </w:rPr>
        <w:br/>
        <w:t>Rozpočet</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Pre každý rozpočtový rok, ktorý zodpovedá kalendárnemu roku, sa vypracujú odhady všetkých príjmov a výdavkov agentúry, ktoré sa uvedú v rozpočte agentúry.</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Rozpočet agentúry musí byť z hľadiska príjmov a výdavkov vyrovnaný.</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3.</w:t>
      </w:r>
      <w:r>
        <w:rPr>
          <w:szCs w:val="24"/>
          <w:lang w:eastAsia="en-US"/>
        </w:rPr>
        <w:tab/>
        <w:t>Bez toho, aby boli dotknuté iné zdroje, príjmy agentúry zahŕňajú:</w:t>
      </w:r>
    </w:p>
    <w:p w:rsidR="00B47592" w:rsidRDefault="004245EA">
      <w:pPr>
        <w:spacing w:before="120" w:after="120" w:line="360" w:lineRule="auto"/>
        <w:ind w:left="1416" w:hanging="566"/>
        <w:rPr>
          <w:szCs w:val="24"/>
          <w:lang w:eastAsia="en-US"/>
        </w:rPr>
      </w:pPr>
      <w:r>
        <w:rPr>
          <w:szCs w:val="24"/>
          <w:lang w:eastAsia="en-US"/>
        </w:rPr>
        <w:t>a)</w:t>
      </w:r>
      <w:r>
        <w:rPr>
          <w:szCs w:val="24"/>
          <w:lang w:eastAsia="en-US"/>
        </w:rPr>
        <w:tab/>
        <w:t>príspevok od Únie zahrnutý do všeobecného rozpočtu Európskej únie a granty od orgánov Únie;</w:t>
      </w:r>
    </w:p>
    <w:p w:rsidR="00B47592" w:rsidRDefault="004245EA">
      <w:pPr>
        <w:spacing w:before="120" w:after="120" w:line="360" w:lineRule="auto"/>
        <w:ind w:left="1416" w:hanging="566"/>
        <w:rPr>
          <w:szCs w:val="24"/>
          <w:lang w:eastAsia="en-US"/>
        </w:rPr>
      </w:pPr>
      <w:r>
        <w:rPr>
          <w:szCs w:val="24"/>
          <w:lang w:eastAsia="en-US"/>
        </w:rPr>
        <w:t>b)</w:t>
      </w:r>
      <w:r>
        <w:rPr>
          <w:szCs w:val="24"/>
          <w:lang w:eastAsia="en-US"/>
        </w:rPr>
        <w:tab/>
        <w:t>možné príspevky tretích krajín, ktoré sa zúčastňujú na činnosti agentúry v súlade s článkom 24;</w:t>
      </w:r>
    </w:p>
    <w:p w:rsidR="00B47592" w:rsidRDefault="004245EA">
      <w:pPr>
        <w:spacing w:before="120" w:after="120" w:line="360" w:lineRule="auto"/>
        <w:ind w:left="1416" w:hanging="566"/>
        <w:rPr>
          <w:b/>
          <w:szCs w:val="24"/>
          <w:lang w:eastAsia="en-US"/>
        </w:rPr>
      </w:pPr>
      <w:r>
        <w:rPr>
          <w:szCs w:val="24"/>
          <w:lang w:eastAsia="en-US"/>
        </w:rPr>
        <w:t>c)</w:t>
      </w:r>
      <w:r>
        <w:rPr>
          <w:szCs w:val="24"/>
          <w:lang w:eastAsia="en-US"/>
        </w:rPr>
        <w:tab/>
        <w:t xml:space="preserve">akékoľvek poplatky a platby za infraštruktúru, publikácie, odbornú prípravu alebo iné služby, ktoré patria do rozsahu pôsobnosti tohto nariadenia, poskytované agentúrou v súlade s </w:t>
      </w:r>
      <w:r>
        <w:rPr>
          <w:b/>
          <w:i/>
          <w:szCs w:val="24"/>
          <w:lang w:eastAsia="en-US"/>
        </w:rPr>
        <w:t xml:space="preserve">delegovanými aktmi a </w:t>
      </w:r>
      <w:r>
        <w:rPr>
          <w:szCs w:val="24"/>
          <w:lang w:eastAsia="en-US"/>
        </w:rPr>
        <w:t xml:space="preserve">vykonávacími aktmi </w:t>
      </w:r>
      <w:r>
        <w:rPr>
          <w:strike/>
          <w:szCs w:val="24"/>
          <w:lang w:eastAsia="en-US"/>
        </w:rPr>
        <w:t xml:space="preserve">prijatými </w:t>
      </w:r>
      <w:proofErr w:type="spellStart"/>
      <w:r>
        <w:rPr>
          <w:strike/>
          <w:szCs w:val="24"/>
          <w:lang w:eastAsia="en-US"/>
        </w:rPr>
        <w:t>podľa</w:t>
      </w:r>
      <w:r>
        <w:rPr>
          <w:b/>
          <w:i/>
          <w:szCs w:val="24"/>
          <w:lang w:eastAsia="en-US"/>
        </w:rPr>
        <w:t>uvedenými</w:t>
      </w:r>
      <w:proofErr w:type="spellEnd"/>
      <w:r>
        <w:rPr>
          <w:b/>
          <w:i/>
          <w:szCs w:val="24"/>
          <w:lang w:eastAsia="en-US"/>
        </w:rPr>
        <w:t xml:space="preserve"> v</w:t>
      </w:r>
      <w:r>
        <w:rPr>
          <w:szCs w:val="24"/>
          <w:lang w:eastAsia="en-US"/>
        </w:rPr>
        <w:t xml:space="preserve"> článku 33;</w:t>
      </w:r>
      <w:r>
        <w:rPr>
          <w:b/>
          <w:szCs w:val="24"/>
          <w:lang w:eastAsia="en-US"/>
        </w:rPr>
        <w:t xml:space="preserve"> [PN 83]</w:t>
      </w:r>
    </w:p>
    <w:p w:rsidR="00B47592" w:rsidRDefault="004245EA">
      <w:pPr>
        <w:spacing w:before="120" w:after="120" w:line="360" w:lineRule="auto"/>
        <w:ind w:left="1416" w:hanging="566"/>
        <w:rPr>
          <w:szCs w:val="24"/>
          <w:lang w:eastAsia="en-US"/>
        </w:rPr>
      </w:pPr>
      <w:r>
        <w:rPr>
          <w:szCs w:val="24"/>
          <w:lang w:eastAsia="en-US"/>
        </w:rPr>
        <w:t>d)</w:t>
      </w:r>
      <w:r>
        <w:rPr>
          <w:szCs w:val="24"/>
          <w:lang w:eastAsia="en-US"/>
        </w:rPr>
        <w:tab/>
        <w:t>akýkoľvek dobrovoľný finančný príspevok členských štátov, tretích krajín alebo iných subjektov za predpokladu, že takýto príspevok je transparentný, jasne identifikovaný v rozpočte a neohrozuje nezávislosť a nestrannosť agentúry.</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Výdavky agentúry zahŕňajú odmeňovanie zamestnancov, administratívne výdavky, výdavky na infraštruktúru a prevádzkové náklady.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27</w:t>
      </w:r>
      <w:r>
        <w:rPr>
          <w:szCs w:val="24"/>
          <w:lang w:eastAsia="en-US"/>
        </w:rPr>
        <w:br/>
        <w:t xml:space="preserve"> Zostavovanie rozpočtu</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Výkonný riaditeľ každý rok vypracúva návrh výkazu odhadov príjmov a výdavkov agentúry na nasledujúci rozpočtový rok vrátane plánu pracovných miest a posiela ho správnej rade.</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Na základe tohto návrhu správna rada prijíma predbežný návrh odhadu príjmov a výdavkov agentúry na nasledujúci rozpočtový rok.</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Predbežný návrh odhadu príjmov a výdavkov agentúry sa každý rok do 31. januára predkladá Komisii. Konečný návrh odhadu pošle správna rada Komisii do 31. marca daného roku.</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Komisia zašle výkaz odhadov rozpočtovému orgánu spolu s návrhom všeobecného rozpočtu Európskej únie.</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Komisia na základe výkazu odhadov do návrhu všeobecného rozpočtu Európskej únie zahrnie odhady, ktoré považuje za potrebné pre plán pracovných miest, a sumu subvencie, ktorá sa má hradiť zo všeobecného rozpočtu, ktorý predkladá rozpočtovému orgánu podľa článkov 313 a 314 ZFEÚ.</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6.</w:t>
      </w:r>
      <w:r>
        <w:rPr>
          <w:szCs w:val="24"/>
          <w:lang w:eastAsia="en-US"/>
        </w:rPr>
        <w:tab/>
        <w:t>Rozpočtový orgán schvaľuje rozpočtové prostriedky na príspevok pre agentúru.</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Rozpočtový orgán prijíma plán pracovných miest agentúry.</w:t>
      </w:r>
    </w:p>
    <w:p w:rsidR="00B47592" w:rsidRDefault="004245EA">
      <w:pPr>
        <w:spacing w:before="120" w:after="120" w:line="360" w:lineRule="auto"/>
        <w:ind w:left="850" w:hanging="850"/>
        <w:rPr>
          <w:b/>
          <w:szCs w:val="24"/>
          <w:lang w:eastAsia="en-US"/>
        </w:rPr>
      </w:pPr>
      <w:r>
        <w:rPr>
          <w:szCs w:val="24"/>
          <w:lang w:eastAsia="en-US"/>
        </w:rPr>
        <w:t>8.</w:t>
      </w:r>
      <w:r>
        <w:rPr>
          <w:szCs w:val="24"/>
          <w:lang w:eastAsia="en-US"/>
        </w:rPr>
        <w:tab/>
        <w:t>Rozpočet agentúry prijíma správna rada</w:t>
      </w:r>
      <w:r>
        <w:rPr>
          <w:b/>
          <w:i/>
          <w:szCs w:val="24"/>
          <w:lang w:eastAsia="en-US"/>
        </w:rPr>
        <w:t xml:space="preserve"> dvojtretinovou väčšinou hlasov svojich členov s hlasovacím právom</w:t>
      </w:r>
      <w:r>
        <w:rPr>
          <w:szCs w:val="24"/>
          <w:lang w:eastAsia="en-US"/>
        </w:rPr>
        <w:t>. Konečným sa stáva po konečnom prijatí všeobecného rozpočtu Európskej únie. V prípade potreby sa zodpovedajúcim spôsobom upravuje.</w:t>
      </w:r>
      <w:r>
        <w:rPr>
          <w:b/>
          <w:szCs w:val="24"/>
          <w:lang w:eastAsia="en-US"/>
        </w:rPr>
        <w:t xml:space="preserve"> [PN 84]</w:t>
      </w:r>
    </w:p>
    <w:p w:rsidR="00B47592" w:rsidRDefault="004245EA">
      <w:pPr>
        <w:spacing w:before="120" w:after="120" w:line="360" w:lineRule="auto"/>
        <w:ind w:left="850" w:hanging="850"/>
        <w:rPr>
          <w:szCs w:val="24"/>
          <w:lang w:eastAsia="en-US"/>
        </w:rPr>
      </w:pPr>
      <w:r>
        <w:rPr>
          <w:szCs w:val="24"/>
          <w:lang w:eastAsia="en-US"/>
        </w:rPr>
        <w:t>9.</w:t>
      </w:r>
      <w:r>
        <w:rPr>
          <w:szCs w:val="24"/>
          <w:lang w:eastAsia="en-US"/>
        </w:rPr>
        <w:tab/>
        <w:t>Na akékoľvek stavebné projekty, ktoré by mohli mať významný vplyv na rozpočet agentúry, sa vzťahujú ustanovenia delegovaného nariadenia (EÚ) 2019/715.</w:t>
      </w:r>
    </w:p>
    <w:p w:rsidR="00B47592" w:rsidRDefault="004245EA">
      <w:pPr>
        <w:spacing w:before="120" w:after="120" w:line="360" w:lineRule="auto"/>
        <w:jc w:val="center"/>
        <w:rPr>
          <w:szCs w:val="24"/>
          <w:lang w:eastAsia="en-US"/>
        </w:rPr>
      </w:pPr>
      <w:r>
        <w:rPr>
          <w:szCs w:val="24"/>
          <w:lang w:eastAsia="en-US"/>
        </w:rPr>
        <w:t>Článok 28</w:t>
      </w:r>
      <w:r>
        <w:rPr>
          <w:szCs w:val="24"/>
          <w:lang w:eastAsia="en-US"/>
        </w:rPr>
        <w:br/>
        <w:t>Plnenie rozpočtu</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Výkonný riaditeľ plní rozpočet agentúry.</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Výkonný riaditeľ každý rok predkladá rozpočtovému orgánu všetky informácie relevantné pre výsledky postupov hodnotenia.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29</w:t>
      </w:r>
      <w:r>
        <w:rPr>
          <w:szCs w:val="24"/>
          <w:lang w:eastAsia="en-US"/>
        </w:rPr>
        <w:br/>
        <w:t>Predkladanie účtovnej závierky a absolutórium</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Účtovník agentúry zasiela účtovníkovi Komisie a Európskemu dvoru audítorov predbežnú účtovnú závierku do 1. marca nasledujúceho rozpočtového roka.</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Agentúra do 31. marca nasledujúceho rozpočtového roka zašle Európskemu parlamentu, Rade a Európskemu dvoru audítorov správu o rozpočtovom a finančnom riadení.</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Účtovník Komisie do 31. marca nasledujúceho rozpočtového roka zašle Európskemu dvoru audítorov predbežnú účtovnú závierku agentúry konsolidovanú s účtovnou závierkou Komisie.</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Výkonný riaditeľ po prijatí pripomienok Európskeho dvora audítorov k predbežnej účtovnej závierke agentúry podľa článku 246 nariadenia o rozpočtových pravidlách na vlastnú zodpovednosť vypracuje konečnú účtovnú závierku agentúry a predloží ju správnej rade na vyjadrenie stanoviska.</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5.</w:t>
      </w:r>
      <w:r>
        <w:rPr>
          <w:szCs w:val="24"/>
          <w:lang w:eastAsia="en-US"/>
        </w:rPr>
        <w:tab/>
        <w:t>Správna rada predloží svoje stanovisko ku konečnej účtovnej závierke agentúry.</w:t>
      </w:r>
    </w:p>
    <w:p w:rsidR="00B47592" w:rsidRDefault="004245EA">
      <w:pPr>
        <w:spacing w:before="120" w:after="120" w:line="360" w:lineRule="auto"/>
        <w:ind w:left="850" w:hanging="850"/>
        <w:rPr>
          <w:szCs w:val="24"/>
          <w:lang w:eastAsia="en-US"/>
        </w:rPr>
      </w:pPr>
      <w:r>
        <w:rPr>
          <w:szCs w:val="24"/>
          <w:lang w:eastAsia="en-US"/>
        </w:rPr>
        <w:t>6.</w:t>
      </w:r>
      <w:r>
        <w:rPr>
          <w:szCs w:val="24"/>
          <w:lang w:eastAsia="en-US"/>
        </w:rPr>
        <w:tab/>
        <w:t>Účtovník do 1. júla nasledujúceho rozpočtového roka zašle konečnú účtovnú závierku spolu so stanoviskom správnej rady Európskemu parlamentu, Rade, Komisii a Európskemu dvoru audítorov.</w:t>
      </w:r>
    </w:p>
    <w:p w:rsidR="00B47592" w:rsidRDefault="004245EA">
      <w:pPr>
        <w:spacing w:before="120" w:after="120" w:line="360" w:lineRule="auto"/>
        <w:ind w:left="850" w:hanging="850"/>
        <w:rPr>
          <w:szCs w:val="24"/>
          <w:lang w:eastAsia="en-US"/>
        </w:rPr>
      </w:pPr>
      <w:r>
        <w:rPr>
          <w:szCs w:val="24"/>
          <w:lang w:eastAsia="en-US"/>
        </w:rPr>
        <w:t>7.</w:t>
      </w:r>
      <w:r>
        <w:rPr>
          <w:szCs w:val="24"/>
          <w:lang w:eastAsia="en-US"/>
        </w:rPr>
        <w:tab/>
        <w:t xml:space="preserve">Konečná účtovná závierka sa do 15. novembra nasledujúceho rozpočtového roka uverejní v </w:t>
      </w:r>
      <w:r w:rsidRPr="00B72819">
        <w:rPr>
          <w:i/>
          <w:szCs w:val="24"/>
          <w:lang w:eastAsia="en-US"/>
        </w:rPr>
        <w:t>Úradnom vestníku Európskej únie</w:t>
      </w:r>
      <w:r>
        <w:rPr>
          <w:szCs w:val="24"/>
          <w:lang w:eastAsia="en-US"/>
        </w:rPr>
        <w:t>.</w:t>
      </w:r>
    </w:p>
    <w:p w:rsidR="00B47592" w:rsidRDefault="004245EA">
      <w:pPr>
        <w:spacing w:before="120" w:after="120" w:line="360" w:lineRule="auto"/>
        <w:ind w:left="850" w:hanging="850"/>
        <w:rPr>
          <w:szCs w:val="24"/>
          <w:lang w:eastAsia="en-US"/>
        </w:rPr>
      </w:pPr>
      <w:r>
        <w:rPr>
          <w:szCs w:val="24"/>
          <w:lang w:eastAsia="en-US"/>
        </w:rPr>
        <w:t>8.</w:t>
      </w:r>
      <w:r>
        <w:rPr>
          <w:szCs w:val="24"/>
          <w:lang w:eastAsia="en-US"/>
        </w:rPr>
        <w:tab/>
        <w:t>Výkonný riaditeľ do 30. septembra zašle Európskemu dvoru audítorov odpoveď na jeho pripomienky. Výkonný riaditeľ zašle túto odpoveď aj správnej rade.</w:t>
      </w:r>
    </w:p>
    <w:p w:rsidR="00B47592" w:rsidRDefault="004245EA">
      <w:pPr>
        <w:spacing w:before="120" w:after="120" w:line="360" w:lineRule="auto"/>
        <w:ind w:left="850" w:hanging="850"/>
        <w:rPr>
          <w:szCs w:val="24"/>
          <w:lang w:eastAsia="en-US"/>
        </w:rPr>
      </w:pPr>
      <w:r>
        <w:rPr>
          <w:szCs w:val="24"/>
          <w:lang w:eastAsia="en-US"/>
        </w:rPr>
        <w:t>9.</w:t>
      </w:r>
      <w:r>
        <w:rPr>
          <w:szCs w:val="24"/>
          <w:lang w:eastAsia="en-US"/>
        </w:rPr>
        <w:tab/>
        <w:t>V súlade s článkom 261 ods. 3 nariadenia o rozpočtových pravidlách predloží výkonný riaditeľ Európskemu parlamentu na jeho žiadosť všetky informácie potrebné na riadne uplatnenie postupu udelenia absolutória za príslušný rozpočtový rok.</w:t>
      </w:r>
    </w:p>
    <w:p w:rsidR="00B47592" w:rsidRDefault="004245EA">
      <w:pPr>
        <w:spacing w:before="120" w:after="120" w:line="360" w:lineRule="auto"/>
        <w:ind w:left="850" w:hanging="850"/>
        <w:rPr>
          <w:szCs w:val="24"/>
          <w:lang w:eastAsia="en-US"/>
        </w:rPr>
      </w:pPr>
      <w:r>
        <w:rPr>
          <w:szCs w:val="24"/>
          <w:lang w:eastAsia="en-US"/>
        </w:rPr>
        <w:t>10.</w:t>
      </w:r>
      <w:r>
        <w:rPr>
          <w:szCs w:val="24"/>
          <w:lang w:eastAsia="en-US"/>
        </w:rPr>
        <w:tab/>
        <w:t>Na odporúčanie Rady, ktorá sa uznáša kvalifikovanou väčšinou, Európsky parlament udelí výkonnému riaditeľovi absolutórium za plnenie rozpočtu na rok N do 15. mája roku N + 2.</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KAPITOLA VII</w:t>
      </w:r>
      <w:r>
        <w:rPr>
          <w:szCs w:val="24"/>
          <w:lang w:eastAsia="en-US"/>
        </w:rPr>
        <w:br/>
        <w:t>ZAMESTNANCI</w:t>
      </w:r>
    </w:p>
    <w:p w:rsidR="00B47592" w:rsidRDefault="004245EA">
      <w:pPr>
        <w:spacing w:before="120" w:after="120" w:line="360" w:lineRule="auto"/>
        <w:jc w:val="center"/>
        <w:rPr>
          <w:szCs w:val="24"/>
          <w:lang w:eastAsia="en-US"/>
        </w:rPr>
      </w:pPr>
      <w:r>
        <w:rPr>
          <w:szCs w:val="24"/>
          <w:lang w:eastAsia="en-US"/>
        </w:rPr>
        <w:t>Článok 30</w:t>
      </w:r>
      <w:r>
        <w:rPr>
          <w:szCs w:val="24"/>
          <w:lang w:eastAsia="en-US"/>
        </w:rPr>
        <w:br/>
        <w:t>Všeobecné ustanovenie</w:t>
      </w:r>
    </w:p>
    <w:p w:rsidR="00B47592" w:rsidRDefault="004245EA">
      <w:pPr>
        <w:spacing w:before="120" w:after="120" w:line="360" w:lineRule="auto"/>
        <w:rPr>
          <w:szCs w:val="24"/>
          <w:lang w:eastAsia="en-US"/>
        </w:rPr>
      </w:pPr>
      <w:r>
        <w:rPr>
          <w:szCs w:val="24"/>
          <w:lang w:eastAsia="en-US"/>
        </w:rPr>
        <w:t>Na zamestnancov agentúry sa vzťahuje služobný poriadok a podmienky zamestnávania ostatných zamestnancov a pravidlá prijaté na základe dohody medzi inštitúciami Únie na účely uplatňovania tohto služobného poriadku a podmienok zamestnávania ostatných zamestnancov.</w:t>
      </w:r>
    </w:p>
    <w:p w:rsidR="00B47592" w:rsidRDefault="004245EA">
      <w:pPr>
        <w:spacing w:before="120" w:after="120" w:line="360" w:lineRule="auto"/>
        <w:jc w:val="center"/>
        <w:rPr>
          <w:szCs w:val="24"/>
          <w:lang w:eastAsia="en-US"/>
        </w:rPr>
      </w:pPr>
      <w:r>
        <w:rPr>
          <w:szCs w:val="24"/>
          <w:lang w:eastAsia="en-US"/>
        </w:rPr>
        <w:t>Článok 31</w:t>
      </w:r>
      <w:r>
        <w:rPr>
          <w:szCs w:val="24"/>
          <w:lang w:eastAsia="en-US"/>
        </w:rPr>
        <w:br/>
        <w:t>Vyslaní národní experti a ostatní zamestnanci</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Agentúra môže využívať vyslaných národných expertov alebo ostatných zamestnancov, ktorých ona sama nezamestnáva.</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Správna rada prijme rozhodnutie, v ktorom sa stanovujú pravidlá vysielania národných expertov do agentúry.</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KAPITOLA VIII</w:t>
      </w:r>
      <w:r>
        <w:rPr>
          <w:szCs w:val="24"/>
          <w:lang w:eastAsia="en-US"/>
        </w:rPr>
        <w:br/>
        <w:t>VŠEOBECNÉ A ZÁVEREČNÉ USTANOVENIA</w:t>
      </w:r>
    </w:p>
    <w:p w:rsidR="00B47592" w:rsidRDefault="004245EA">
      <w:pPr>
        <w:spacing w:before="120" w:after="120" w:line="360" w:lineRule="auto"/>
        <w:jc w:val="center"/>
        <w:rPr>
          <w:szCs w:val="24"/>
          <w:lang w:eastAsia="en-US"/>
        </w:rPr>
      </w:pPr>
      <w:r>
        <w:rPr>
          <w:szCs w:val="24"/>
          <w:lang w:eastAsia="en-US"/>
        </w:rPr>
        <w:t>Článok 32</w:t>
      </w:r>
      <w:r>
        <w:rPr>
          <w:szCs w:val="24"/>
          <w:lang w:eastAsia="en-US"/>
        </w:rPr>
        <w:br/>
        <w:t>Právne postavenie a sídlo</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Agentúra je orgánom Únie a má právnu subjektivitu.</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Agentúra v každom členskom štáte požíva čo najširšiu právnu spôsobilosť, akú ich právo priznáva právnickým osobám. Agentúra môže najmä nadobúdať hnuteľný a nehnuteľný majetok a nakladať s ním, ako aj byť účastníkom v súdnom konaní.</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Agentúru zastupuje jej výkonný riaditeľ.</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Sídlo agentúry je v Lisabone v Portugalskej republike.</w:t>
      </w:r>
    </w:p>
    <w:p w:rsidR="00B47592" w:rsidRDefault="004245EA">
      <w:pPr>
        <w:spacing w:before="120" w:after="120" w:line="360" w:lineRule="auto"/>
        <w:ind w:left="850" w:hanging="850"/>
        <w:rPr>
          <w:b/>
          <w:szCs w:val="24"/>
          <w:lang w:eastAsia="en-US"/>
        </w:rPr>
      </w:pPr>
      <w:r>
        <w:rPr>
          <w:b/>
          <w:i/>
          <w:szCs w:val="24"/>
          <w:lang w:eastAsia="en-US"/>
        </w:rPr>
        <w:t>4a.</w:t>
      </w:r>
      <w:r>
        <w:rPr>
          <w:szCs w:val="24"/>
          <w:lang w:eastAsia="en-US"/>
        </w:rPr>
        <w:tab/>
      </w:r>
      <w:r>
        <w:rPr>
          <w:b/>
          <w:i/>
          <w:szCs w:val="24"/>
          <w:lang w:eastAsia="en-US"/>
        </w:rPr>
        <w:t>S cieľom dosiahnuť finančné úspory agentúra podľa potreby úzko spolupracuje s inými inštitúciami, agentúrami a orgánmi Únie, najmä s tými, ktoré majú sídlo v tom istom členskom štáte.</w:t>
      </w:r>
      <w:r>
        <w:rPr>
          <w:b/>
          <w:szCs w:val="24"/>
          <w:lang w:eastAsia="en-US"/>
        </w:rPr>
        <w:t xml:space="preserve"> [PN 85]</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b/>
          <w:szCs w:val="24"/>
          <w:lang w:eastAsia="en-US"/>
        </w:rPr>
      </w:pPr>
      <w:r>
        <w:rPr>
          <w:szCs w:val="24"/>
          <w:lang w:eastAsia="en-US"/>
        </w:rPr>
        <w:lastRenderedPageBreak/>
        <w:t>5.</w:t>
      </w:r>
      <w:r>
        <w:rPr>
          <w:szCs w:val="24"/>
          <w:lang w:eastAsia="en-US"/>
        </w:rPr>
        <w:tab/>
        <w:t xml:space="preserve">Na žiadosť Komisie môže správna rada po </w:t>
      </w:r>
      <w:r>
        <w:rPr>
          <w:strike/>
          <w:szCs w:val="24"/>
          <w:lang w:eastAsia="en-US"/>
        </w:rPr>
        <w:t xml:space="preserve">odsúhlasení dotknutými členskými </w:t>
      </w:r>
      <w:proofErr w:type="spellStart"/>
      <w:r>
        <w:rPr>
          <w:strike/>
          <w:szCs w:val="24"/>
          <w:lang w:eastAsia="en-US"/>
        </w:rPr>
        <w:t>štátmi</w:t>
      </w:r>
      <w:r>
        <w:rPr>
          <w:b/>
          <w:i/>
          <w:szCs w:val="24"/>
          <w:lang w:eastAsia="en-US"/>
        </w:rPr>
        <w:t>informovaní</w:t>
      </w:r>
      <w:proofErr w:type="spellEnd"/>
      <w:r>
        <w:rPr>
          <w:b/>
          <w:i/>
          <w:szCs w:val="24"/>
          <w:lang w:eastAsia="en-US"/>
        </w:rPr>
        <w:t xml:space="preserve"> príslušného výboru Európskeho parlamentu so súhlasom dotknutých členských štátov</w:t>
      </w:r>
      <w:r>
        <w:rPr>
          <w:szCs w:val="24"/>
          <w:lang w:eastAsia="en-US"/>
        </w:rPr>
        <w:t xml:space="preserve"> a v spolupráci s nimi a po riadnom zvážení vplyvu na rozpočet vrátane príspevkov, ktoré by mohli poskytnúť dotknuté členské štáty, rozhodnúť o zriadení regionálnych centier potrebných na čo najefektívnejšie a najúčinnejšie plnenie niektorých úloh agentúry. Správna rada pri prijímaní takéhoto rozhodnutia vymedzí presný rozsah činností regionálneho centra, pričom zabráni zbytočným finančným nákladom a posilní spoluprácu s existujúcimi regionálnymi a národnými sieťami.</w:t>
      </w:r>
      <w:r>
        <w:rPr>
          <w:b/>
          <w:szCs w:val="24"/>
          <w:lang w:eastAsia="en-US"/>
        </w:rPr>
        <w:t xml:space="preserve"> [PN 86]</w:t>
      </w:r>
    </w:p>
    <w:p w:rsidR="00B47592" w:rsidRDefault="004245EA">
      <w:pPr>
        <w:spacing w:before="120" w:after="120" w:line="360" w:lineRule="auto"/>
        <w:jc w:val="center"/>
        <w:rPr>
          <w:b/>
          <w:szCs w:val="24"/>
          <w:lang w:eastAsia="en-US"/>
        </w:rPr>
      </w:pPr>
      <w:r>
        <w:rPr>
          <w:szCs w:val="24"/>
          <w:lang w:eastAsia="en-US"/>
        </w:rPr>
        <w:t>Článok 33</w:t>
      </w:r>
      <w:r>
        <w:rPr>
          <w:szCs w:val="24"/>
          <w:lang w:eastAsia="en-US"/>
        </w:rPr>
        <w:br/>
      </w:r>
      <w:r>
        <w:rPr>
          <w:strike/>
          <w:szCs w:val="24"/>
          <w:lang w:eastAsia="en-US"/>
        </w:rPr>
        <w:t xml:space="preserve">Vykonávacie akty týkajúce sa poplatkov a </w:t>
      </w:r>
      <w:proofErr w:type="spellStart"/>
      <w:r>
        <w:rPr>
          <w:strike/>
          <w:szCs w:val="24"/>
          <w:lang w:eastAsia="en-US"/>
        </w:rPr>
        <w:t>platieb</w:t>
      </w:r>
      <w:r>
        <w:rPr>
          <w:b/>
          <w:i/>
          <w:szCs w:val="24"/>
          <w:lang w:eastAsia="en-US"/>
        </w:rPr>
        <w:t>Poplatky</w:t>
      </w:r>
      <w:proofErr w:type="spellEnd"/>
      <w:r>
        <w:rPr>
          <w:b/>
          <w:i/>
          <w:szCs w:val="24"/>
          <w:lang w:eastAsia="en-US"/>
        </w:rPr>
        <w:t xml:space="preserve"> a platby</w:t>
      </w:r>
      <w:r>
        <w:rPr>
          <w:b/>
          <w:szCs w:val="24"/>
          <w:lang w:eastAsia="en-US"/>
        </w:rPr>
        <w:t xml:space="preserve"> [</w:t>
      </w:r>
      <w:proofErr w:type="spellStart"/>
      <w:r>
        <w:rPr>
          <w:b/>
          <w:szCs w:val="24"/>
          <w:lang w:eastAsia="en-US"/>
        </w:rPr>
        <w:t>PN</w:t>
      </w:r>
      <w:proofErr w:type="spellEnd"/>
      <w:r>
        <w:rPr>
          <w:b/>
          <w:szCs w:val="24"/>
          <w:lang w:eastAsia="en-US"/>
        </w:rPr>
        <w:t> 87]</w:t>
      </w:r>
    </w:p>
    <w:p w:rsidR="00B47592" w:rsidRDefault="004245EA">
      <w:pPr>
        <w:spacing w:before="120" w:after="120" w:line="360" w:lineRule="auto"/>
        <w:ind w:left="850" w:hanging="850"/>
        <w:rPr>
          <w:szCs w:val="24"/>
          <w:lang w:eastAsia="en-US"/>
        </w:rPr>
      </w:pPr>
      <w:r>
        <w:rPr>
          <w:strike/>
          <w:szCs w:val="24"/>
          <w:lang w:eastAsia="en-US"/>
        </w:rPr>
        <w:t>1.</w:t>
      </w:r>
      <w:r>
        <w:rPr>
          <w:szCs w:val="24"/>
          <w:lang w:eastAsia="en-US"/>
        </w:rPr>
        <w:tab/>
      </w:r>
      <w:r>
        <w:rPr>
          <w:strike/>
          <w:szCs w:val="24"/>
          <w:lang w:eastAsia="en-US"/>
        </w:rPr>
        <w:t>Komisia v súlade so zásadami uvedenými v odsekoch 2, 3 a 4 prijme vykonávacie akty, v ktorých stanoví:</w:t>
      </w:r>
    </w:p>
    <w:p w:rsidR="00B47592" w:rsidRDefault="004245EA">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poplatky a platby splatné agentúre, najmä pri uplatňovaní článku 26 ods. 3 písm. c), a</w:t>
      </w:r>
    </w:p>
    <w:p w:rsidR="00B47592" w:rsidRDefault="004245EA">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platobné podmienky.</w:t>
      </w:r>
    </w:p>
    <w:p w:rsidR="00B47592" w:rsidRDefault="004245EA">
      <w:pPr>
        <w:spacing w:before="120" w:after="120" w:line="360" w:lineRule="auto"/>
        <w:ind w:left="850"/>
        <w:rPr>
          <w:b/>
          <w:szCs w:val="24"/>
          <w:lang w:eastAsia="en-US"/>
        </w:rPr>
      </w:pPr>
      <w:r>
        <w:rPr>
          <w:strike/>
          <w:szCs w:val="24"/>
          <w:lang w:eastAsia="en-US"/>
        </w:rPr>
        <w:t>Uvedené vykonávacie akty sa prijmú v súlade s postupom preskúmania uvedeným v článku 34 ods. 2.</w:t>
      </w:r>
      <w:r>
        <w:rPr>
          <w:b/>
          <w:szCs w:val="24"/>
          <w:lang w:eastAsia="en-US"/>
        </w:rPr>
        <w:t xml:space="preserve"> [PN 88]</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Poplatky a platby sa vyberajú za možné služby poskytnuté agentúrou, najmä tretím krajinám a subjektom odvetvia, v prípade úloh, ktoré patria do jej právomocí.</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Všetky poplatky a platby sa uvádzajú a sú splatné v eurách. Poplatky a platby sa stanovia transparentne, spravodlivo a jednotne. Podľa potreby sa zohľadnia osobitné potreby malých a stredných podnikov vrátane možnosti rozdelenia platieb na niekoľko splátok a etáp. Rozvrhnutie poplatkov sa v účtoch jasne označí. Na zaplatenie poplatkov a platieb sa stanovia primerané lehoty.</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Výška poplatkov a platieb sa stanoví na takej úrovni, aby sa zabezpečilo, že príjem z nich je dostatočný na pokrytie celkových nákladov za poskytnuté služby. V týchto nákladoch sa odzrkadľujú najmä všetky výdavky agentúry, ktoré sa pripisujú zamestnancom zapojeným do činností uvedených v odseku 2, vrátane pomerných príspevkov zamestnávateľa do systému dôchodkového zabezpečenia. Ak by v dôsledku poskytovania služieb hradených z poplatkov a platieb opakovane dochádzalo k významným nerovnováham, výška uvedených poplatkov a platieb sa prehodnotí. Uvedené poplatky a platby sa pripíšu ako príjmy agentúry.</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850" w:hanging="850"/>
        <w:rPr>
          <w:b/>
          <w:szCs w:val="24"/>
          <w:lang w:eastAsia="en-US"/>
        </w:rPr>
      </w:pPr>
      <w:r>
        <w:rPr>
          <w:b/>
          <w:i/>
          <w:szCs w:val="24"/>
          <w:lang w:eastAsia="en-US"/>
        </w:rPr>
        <w:lastRenderedPageBreak/>
        <w:t>4a.</w:t>
      </w:r>
      <w:r>
        <w:rPr>
          <w:szCs w:val="24"/>
          <w:lang w:eastAsia="en-US"/>
        </w:rPr>
        <w:tab/>
      </w:r>
      <w:r>
        <w:rPr>
          <w:b/>
          <w:i/>
          <w:szCs w:val="24"/>
          <w:lang w:eastAsia="en-US"/>
        </w:rPr>
        <w:t>Komisia prijme delegované akty v súlade s článkom 33a s cieľom doplniť toto nariadenie stanovením metodiky výpočtu poplatkov a platieb uvedených v odseku 2. Táto metodika je založená na zásadách stanovených v odsekoch 3 a 4.</w:t>
      </w:r>
      <w:r>
        <w:rPr>
          <w:b/>
          <w:szCs w:val="24"/>
          <w:lang w:eastAsia="en-US"/>
        </w:rPr>
        <w:t xml:space="preserve"> [PN 89]</w:t>
      </w:r>
    </w:p>
    <w:p w:rsidR="00B47592" w:rsidRDefault="004245EA">
      <w:pPr>
        <w:spacing w:before="120" w:after="120" w:line="360" w:lineRule="auto"/>
        <w:ind w:left="850" w:hanging="850"/>
        <w:rPr>
          <w:b/>
          <w:szCs w:val="24"/>
          <w:lang w:eastAsia="en-US"/>
        </w:rPr>
      </w:pPr>
      <w:r>
        <w:rPr>
          <w:b/>
          <w:i/>
          <w:szCs w:val="24"/>
          <w:lang w:eastAsia="en-US"/>
        </w:rPr>
        <w:t>4b.</w:t>
      </w:r>
      <w:r>
        <w:rPr>
          <w:szCs w:val="24"/>
          <w:lang w:eastAsia="en-US"/>
        </w:rPr>
        <w:tab/>
      </w:r>
      <w:r>
        <w:rPr>
          <w:b/>
          <w:i/>
          <w:szCs w:val="24"/>
          <w:lang w:eastAsia="en-US"/>
        </w:rPr>
        <w:t>Na základe metodiky stanovenej podľa odseku 4a Komisia prijme vykonávacie akty, v ktorých spresní poplatky a platby za poskytovanie služieb. Uvedené akty sa prijímajú v súlade s postupom preskúmania uvedeným v článku 34 ods. 2.</w:t>
      </w:r>
      <w:r>
        <w:rPr>
          <w:b/>
          <w:szCs w:val="24"/>
          <w:lang w:eastAsia="en-US"/>
        </w:rPr>
        <w:t xml:space="preserve"> [PN 90]</w:t>
      </w:r>
    </w:p>
    <w:p w:rsidR="00B47592" w:rsidRDefault="004245EA">
      <w:pPr>
        <w:spacing w:before="120" w:after="120" w:line="360" w:lineRule="auto"/>
        <w:jc w:val="center"/>
        <w:rPr>
          <w:szCs w:val="24"/>
          <w:lang w:eastAsia="en-US"/>
        </w:rPr>
      </w:pPr>
      <w:r>
        <w:rPr>
          <w:b/>
          <w:i/>
          <w:szCs w:val="24"/>
          <w:lang w:eastAsia="en-US"/>
        </w:rPr>
        <w:t>Článok 33a</w:t>
      </w:r>
      <w:r>
        <w:rPr>
          <w:szCs w:val="24"/>
          <w:lang w:eastAsia="en-US"/>
        </w:rPr>
        <w:br/>
      </w:r>
      <w:r>
        <w:rPr>
          <w:b/>
          <w:i/>
          <w:szCs w:val="24"/>
          <w:lang w:eastAsia="en-US"/>
        </w:rPr>
        <w:t>Vykonávanie delegovania právomoci</w:t>
      </w:r>
    </w:p>
    <w:p w:rsidR="00B47592" w:rsidRDefault="004245EA">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Komisii sa udeľuje právomoc prijímať delegované akty za podmienok stanovených v tomto článku.</w:t>
      </w:r>
    </w:p>
    <w:p w:rsidR="00B47592" w:rsidRDefault="004245EA">
      <w:pPr>
        <w:spacing w:before="120" w:after="120" w:line="360" w:lineRule="auto"/>
        <w:ind w:left="850" w:hanging="850"/>
        <w:rPr>
          <w:szCs w:val="24"/>
          <w:lang w:eastAsia="en-US"/>
        </w:rPr>
      </w:pPr>
      <w:r>
        <w:rPr>
          <w:b/>
          <w:i/>
          <w:szCs w:val="24"/>
          <w:lang w:eastAsia="en-US"/>
        </w:rPr>
        <w:t>2.</w:t>
      </w:r>
      <w:r>
        <w:rPr>
          <w:szCs w:val="24"/>
          <w:lang w:eastAsia="en-US"/>
        </w:rPr>
        <w:tab/>
      </w:r>
      <w:r>
        <w:rPr>
          <w:b/>
          <w:i/>
          <w:szCs w:val="24"/>
          <w:lang w:eastAsia="en-US"/>
        </w:rPr>
        <w:t>Právomoc prijímať delegované akty uvedené v článku 33 ods. 4a sa Komisii udeľuje na dobu neurčitú od ... [dátum začatia uplatňovania tohto nariadenia] / na obdobie ... rokov od … .</w:t>
      </w:r>
    </w:p>
    <w:p w:rsidR="00B47592" w:rsidRDefault="004245EA">
      <w:pPr>
        <w:widowControl/>
        <w:rPr>
          <w:b/>
          <w:i/>
          <w:szCs w:val="24"/>
          <w:lang w:eastAsia="en-US"/>
        </w:rPr>
      </w:pPr>
      <w:r>
        <w:rPr>
          <w:b/>
          <w:i/>
          <w:szCs w:val="24"/>
          <w:lang w:eastAsia="en-US"/>
        </w:rPr>
        <w:br w:type="page"/>
      </w:r>
    </w:p>
    <w:p w:rsidR="00B47592" w:rsidRDefault="004245EA">
      <w:pPr>
        <w:spacing w:before="120" w:after="120" w:line="360" w:lineRule="auto"/>
        <w:ind w:left="850" w:hanging="850"/>
        <w:rPr>
          <w:szCs w:val="24"/>
          <w:lang w:eastAsia="en-US"/>
        </w:rPr>
      </w:pPr>
      <w:r>
        <w:rPr>
          <w:b/>
          <w:i/>
          <w:szCs w:val="24"/>
          <w:lang w:eastAsia="en-US"/>
        </w:rPr>
        <w:lastRenderedPageBreak/>
        <w:t>3.</w:t>
      </w:r>
      <w:r>
        <w:rPr>
          <w:szCs w:val="24"/>
          <w:lang w:eastAsia="en-US"/>
        </w:rPr>
        <w:tab/>
      </w:r>
      <w:r>
        <w:rPr>
          <w:b/>
          <w:i/>
          <w:szCs w:val="24"/>
          <w:lang w:eastAsia="en-US"/>
        </w:rPr>
        <w:t>Delegovanie právomoci uvedené v článku 33 ods. 4a môže Európsky parlament alebo Rada kedykoľvek odvolať. Rozhodnutím o odvolaní sa ukončuje delegovanie právomoci v ňom uvedenej. Účinnosť nadobúda dňom nasledujúcim po jeho uverejnení v Úradnom vestníku Európskej únie alebo k neskoršiemu dátumu, ktorý je v ňom určený. Nie je ním dotknutá platnosť žiadneho delegovaného aktu, ktorý už nadobudol účinnosť.</w:t>
      </w:r>
    </w:p>
    <w:p w:rsidR="00B47592" w:rsidRDefault="004245EA">
      <w:pPr>
        <w:spacing w:before="120" w:after="120" w:line="360" w:lineRule="auto"/>
        <w:ind w:left="850" w:hanging="850"/>
        <w:rPr>
          <w:szCs w:val="24"/>
          <w:lang w:eastAsia="en-US"/>
        </w:rPr>
      </w:pPr>
      <w:r>
        <w:rPr>
          <w:b/>
          <w:i/>
          <w:szCs w:val="24"/>
          <w:lang w:eastAsia="en-US"/>
        </w:rPr>
        <w:t>4.</w:t>
      </w:r>
      <w:r>
        <w:rPr>
          <w:szCs w:val="24"/>
          <w:lang w:eastAsia="en-US"/>
        </w:rPr>
        <w:tab/>
      </w:r>
      <w:r>
        <w:rPr>
          <w:b/>
          <w:i/>
          <w:szCs w:val="24"/>
          <w:lang w:eastAsia="en-US"/>
        </w:rPr>
        <w:t xml:space="preserve">Komisia pred prijatím delegovaného aktu konzultuje s expertmi určenými jednotlivými členskými štátmi v súlade so zásadami stanovenými v </w:t>
      </w:r>
      <w:proofErr w:type="spellStart"/>
      <w:r>
        <w:rPr>
          <w:b/>
          <w:i/>
          <w:szCs w:val="24"/>
          <w:lang w:eastAsia="en-US"/>
        </w:rPr>
        <w:t>Medziinštitucionálnej</w:t>
      </w:r>
      <w:proofErr w:type="spellEnd"/>
      <w:r>
        <w:rPr>
          <w:b/>
          <w:i/>
          <w:szCs w:val="24"/>
          <w:lang w:eastAsia="en-US"/>
        </w:rPr>
        <w:t xml:space="preserve"> dohode z 13. apríla 2016 o lepšej tvorbe práva.</w:t>
      </w:r>
    </w:p>
    <w:p w:rsidR="00B47592" w:rsidRDefault="004245EA">
      <w:pPr>
        <w:spacing w:before="120" w:after="120" w:line="360" w:lineRule="auto"/>
        <w:ind w:left="850" w:hanging="850"/>
        <w:rPr>
          <w:szCs w:val="24"/>
          <w:lang w:eastAsia="en-US"/>
        </w:rPr>
      </w:pPr>
      <w:r>
        <w:rPr>
          <w:b/>
          <w:i/>
          <w:szCs w:val="24"/>
          <w:lang w:eastAsia="en-US"/>
        </w:rPr>
        <w:t>5.</w:t>
      </w:r>
      <w:r>
        <w:rPr>
          <w:szCs w:val="24"/>
          <w:lang w:eastAsia="en-US"/>
        </w:rPr>
        <w:tab/>
      </w:r>
      <w:r>
        <w:rPr>
          <w:b/>
          <w:i/>
          <w:szCs w:val="24"/>
          <w:lang w:eastAsia="en-US"/>
        </w:rPr>
        <w:t>Komisia oznamuje delegovaný akt hneď po jeho prijatí súčasne Európskemu parlamentu a Rade.</w:t>
      </w:r>
    </w:p>
    <w:p w:rsidR="00B47592" w:rsidRDefault="004245EA">
      <w:pPr>
        <w:spacing w:before="120" w:after="120" w:line="360" w:lineRule="auto"/>
        <w:ind w:left="850" w:hanging="850"/>
        <w:rPr>
          <w:b/>
          <w:szCs w:val="24"/>
          <w:lang w:eastAsia="en-US"/>
        </w:rPr>
      </w:pPr>
      <w:r>
        <w:rPr>
          <w:b/>
          <w:i/>
          <w:szCs w:val="24"/>
          <w:lang w:eastAsia="en-US"/>
        </w:rPr>
        <w:t>6.</w:t>
      </w:r>
      <w:r>
        <w:rPr>
          <w:szCs w:val="24"/>
          <w:lang w:eastAsia="en-US"/>
        </w:rPr>
        <w:tab/>
      </w:r>
      <w:r>
        <w:rPr>
          <w:b/>
          <w:i/>
          <w:szCs w:val="24"/>
          <w:lang w:eastAsia="en-US"/>
        </w:rPr>
        <w:t>Delegovaný akt prijatý podľa článku 33 ods. 4a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Pr>
          <w:b/>
          <w:szCs w:val="24"/>
          <w:lang w:eastAsia="en-US"/>
        </w:rPr>
        <w:t xml:space="preserve"> [PN 91]</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34</w:t>
      </w:r>
      <w:r>
        <w:rPr>
          <w:szCs w:val="24"/>
          <w:lang w:eastAsia="en-US"/>
        </w:rPr>
        <w:br/>
        <w:t>Postup výboru</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Komisii pomáha Výbor pre bezpečnosť na mori a pre zabránenie znečisťovania z lodí (COSS) zriadený nariadením Európskeho parlamentu a Rady (ES) č. 2099/2002</w:t>
      </w:r>
      <w:r>
        <w:rPr>
          <w:szCs w:val="24"/>
          <w:vertAlign w:val="superscript"/>
          <w:lang w:eastAsia="en-US"/>
        </w:rPr>
        <w:footnoteReference w:id="35"/>
      </w:r>
      <w:r>
        <w:rPr>
          <w:szCs w:val="24"/>
          <w:lang w:eastAsia="en-US"/>
        </w:rPr>
        <w:t>. Uvedený výbor je výborom v zmysle nariadenia (EÚ) č. 182/2011.</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Ak sa odkazuje na tento odsek, uplatňuje sa článok 5 nariadenia (EÚ) č. 182/2011.</w:t>
      </w:r>
    </w:p>
    <w:p w:rsidR="00B47592" w:rsidRDefault="004245EA">
      <w:pPr>
        <w:spacing w:before="120" w:after="120" w:line="360" w:lineRule="auto"/>
        <w:jc w:val="center"/>
        <w:rPr>
          <w:szCs w:val="24"/>
          <w:lang w:eastAsia="en-US"/>
        </w:rPr>
      </w:pPr>
      <w:r>
        <w:rPr>
          <w:szCs w:val="24"/>
          <w:lang w:eastAsia="en-US"/>
        </w:rPr>
        <w:t>Článok 35</w:t>
      </w:r>
      <w:r>
        <w:rPr>
          <w:szCs w:val="24"/>
          <w:lang w:eastAsia="en-US"/>
        </w:rPr>
        <w:br/>
        <w:t>Výsady a imunita</w:t>
      </w:r>
    </w:p>
    <w:p w:rsidR="00B47592" w:rsidRDefault="004245EA">
      <w:pPr>
        <w:spacing w:before="120" w:after="120" w:line="360" w:lineRule="auto"/>
        <w:rPr>
          <w:szCs w:val="24"/>
          <w:lang w:eastAsia="en-US"/>
        </w:rPr>
      </w:pPr>
      <w:r>
        <w:rPr>
          <w:szCs w:val="24"/>
          <w:lang w:eastAsia="en-US"/>
        </w:rPr>
        <w:t>Na agentúru a jej zamestnancov sa vzťahuje Protokol o výsadách a imunitách Európskej únie.</w:t>
      </w:r>
    </w:p>
    <w:p w:rsidR="00B47592" w:rsidRDefault="004245EA">
      <w:pPr>
        <w:spacing w:before="120" w:after="120" w:line="360" w:lineRule="auto"/>
        <w:jc w:val="center"/>
        <w:rPr>
          <w:szCs w:val="24"/>
          <w:lang w:eastAsia="en-US"/>
        </w:rPr>
      </w:pPr>
      <w:r>
        <w:rPr>
          <w:szCs w:val="24"/>
          <w:lang w:eastAsia="en-US"/>
        </w:rPr>
        <w:t>Článok 36</w:t>
      </w:r>
      <w:r>
        <w:rPr>
          <w:szCs w:val="24"/>
          <w:lang w:eastAsia="en-US"/>
        </w:rPr>
        <w:br/>
        <w:t>Jazykový režim</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Na agentúru sa vzťahujú ustanovenia nariadenia Rady č. 1</w:t>
      </w:r>
      <w:r>
        <w:rPr>
          <w:szCs w:val="24"/>
          <w:vertAlign w:val="superscript"/>
          <w:lang w:eastAsia="en-US"/>
        </w:rPr>
        <w:footnoteReference w:id="36"/>
      </w:r>
      <w:r>
        <w:rPr>
          <w:szCs w:val="24"/>
          <w:lang w:eastAsia="en-US"/>
        </w:rPr>
        <w:t>.</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Prekladateľské služby potrebné na fungovanie agentúry poskytuje Prekladateľské stredisko pre orgány Európskej únie.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37</w:t>
      </w:r>
      <w:r>
        <w:rPr>
          <w:szCs w:val="24"/>
          <w:lang w:eastAsia="en-US"/>
        </w:rPr>
        <w:br/>
        <w:t>Transparentnosť</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Na dokumenty agentúry sa uplatňuje nariadenie Európskeho parlamentu a Rady (ES) č. 1049/2001</w:t>
      </w:r>
      <w:r>
        <w:rPr>
          <w:szCs w:val="24"/>
          <w:vertAlign w:val="superscript"/>
          <w:lang w:eastAsia="en-US"/>
        </w:rPr>
        <w:footnoteReference w:id="37"/>
      </w:r>
      <w:r>
        <w:rPr>
          <w:szCs w:val="24"/>
          <w:lang w:eastAsia="en-US"/>
        </w:rPr>
        <w:t>.</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Podrobné pravidlá uplatňovania nariadenia (ES) č. 1049/2001 prijme správna rada do šiestich mesiacov odo dňa svojho prvého zasadnutia.</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Proti rozhodnutiam prijatým agentúrou podľa článku 8 nariadenia (ES) č. 1049/2001 možno za podmienok stanovených v článkoch 228 a 263 ZFEÚ podať sťažnosť ombudsmanovi alebo žalobu na Súdnom dvore Európskej únie.</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Na spracovanie osobných údajov agentúrou sa vzťahuje nariadenie Európskeho parlamentu a Rady (EÚ) 2018/1725</w:t>
      </w:r>
      <w:r>
        <w:rPr>
          <w:szCs w:val="24"/>
          <w:vertAlign w:val="superscript"/>
          <w:lang w:eastAsia="en-US"/>
        </w:rPr>
        <w:footnoteReference w:id="38"/>
      </w:r>
      <w:r>
        <w:rPr>
          <w:szCs w:val="24"/>
          <w:lang w:eastAsia="en-US"/>
        </w:rPr>
        <w:t>.</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38</w:t>
      </w:r>
      <w:r>
        <w:rPr>
          <w:szCs w:val="24"/>
          <w:lang w:eastAsia="en-US"/>
        </w:rPr>
        <w:br/>
        <w:t xml:space="preserve"> Boj proti podvodom</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Na účely uľahčenia boja proti podvodom, korupcii</w:t>
      </w:r>
      <w:r>
        <w:rPr>
          <w:b/>
          <w:i/>
          <w:szCs w:val="24"/>
          <w:lang w:eastAsia="en-US"/>
        </w:rPr>
        <w:t>, zneužívaniu funkcie</w:t>
      </w:r>
      <w:r>
        <w:rPr>
          <w:szCs w:val="24"/>
          <w:lang w:eastAsia="en-US"/>
        </w:rPr>
        <w:t xml:space="preserve"> a inému protiprávnemu konaniu podľa nariadenia (EÚ, </w:t>
      </w:r>
      <w:proofErr w:type="spellStart"/>
      <w:r>
        <w:rPr>
          <w:szCs w:val="24"/>
          <w:lang w:eastAsia="en-US"/>
        </w:rPr>
        <w:t>Euratom</w:t>
      </w:r>
      <w:proofErr w:type="spellEnd"/>
      <w:r>
        <w:rPr>
          <w:szCs w:val="24"/>
          <w:lang w:eastAsia="en-US"/>
        </w:rPr>
        <w:t>) č. 883/2013 agentúra prijme primerané ustanovenia platné pre všetkých zamestnancov agentúry.</w:t>
      </w:r>
      <w:r>
        <w:rPr>
          <w:b/>
          <w:szCs w:val="24"/>
          <w:lang w:eastAsia="en-US"/>
        </w:rPr>
        <w:t xml:space="preserve"> [PN 92]</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Európsky dvor audítorov má právomoc vykonávať na základe dokumentov a na mieste audit všetkých prijímateľov grantov, dodávateľov a subdodávateľov, ktorým agentúra poskytla finančné prostriedky Únie.</w:t>
      </w:r>
    </w:p>
    <w:p w:rsidR="00B47592" w:rsidRDefault="004245EA">
      <w:pPr>
        <w:spacing w:before="120" w:after="120" w:line="360" w:lineRule="auto"/>
        <w:ind w:left="850" w:hanging="850"/>
        <w:rPr>
          <w:b/>
          <w:szCs w:val="24"/>
          <w:lang w:eastAsia="en-US"/>
        </w:rPr>
      </w:pPr>
      <w:r>
        <w:rPr>
          <w:szCs w:val="24"/>
          <w:lang w:eastAsia="en-US"/>
        </w:rPr>
        <w:t>3.</w:t>
      </w:r>
      <w:r>
        <w:rPr>
          <w:szCs w:val="24"/>
          <w:lang w:eastAsia="en-US"/>
        </w:rPr>
        <w:tab/>
        <w:t xml:space="preserve">Úrad OLAF môže v súlade s ustanoveniami a postupmi podľa nariadenia (EÚ, </w:t>
      </w:r>
      <w:proofErr w:type="spellStart"/>
      <w:r>
        <w:rPr>
          <w:szCs w:val="24"/>
          <w:lang w:eastAsia="en-US"/>
        </w:rPr>
        <w:t>Euratom</w:t>
      </w:r>
      <w:proofErr w:type="spellEnd"/>
      <w:r>
        <w:rPr>
          <w:szCs w:val="24"/>
          <w:lang w:eastAsia="en-US"/>
        </w:rPr>
        <w:t>) č. 883/2013 vykonávať vyšetrovania vrátane kontrol a inšpekcií na mieste na účely zistenia toho, či v súvislosti s grantom alebo so zmluvou financovanou agentúrou nedošlo k podvodu, ku korupcii</w:t>
      </w:r>
      <w:r>
        <w:rPr>
          <w:b/>
          <w:i/>
          <w:szCs w:val="24"/>
          <w:lang w:eastAsia="en-US"/>
        </w:rPr>
        <w:t>, k zneužitiu funkcie</w:t>
      </w:r>
      <w:r>
        <w:rPr>
          <w:szCs w:val="24"/>
          <w:lang w:eastAsia="en-US"/>
        </w:rPr>
        <w:t xml:space="preserve"> alebo k akémukoľvek inému protiprávnemu konaniu poškodzujúcemu finančné záujmy Únie.</w:t>
      </w:r>
      <w:r>
        <w:rPr>
          <w:b/>
          <w:szCs w:val="24"/>
          <w:lang w:eastAsia="en-US"/>
        </w:rPr>
        <w:t xml:space="preserve"> [PN 93]</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4.</w:t>
      </w:r>
      <w:r>
        <w:rPr>
          <w:szCs w:val="24"/>
          <w:lang w:eastAsia="en-US"/>
        </w:rPr>
        <w:tab/>
        <w:t>Bez toho, aby boli dotknuté odseky 1, 2 a 3, platí, že dohody o spolupráci s tretími krajinami a medzinárodnými organizáciami, zmluvy agentúry, jej dohody o grante a rozhodnutia o grante musia obsahovať ustanovenia, ktorými sa Európskemu dvoru audítorov, úradu OLAF a Európskej prokuratúre výslovne udeľuje právo na vykonávanie takýchto auditov a vyšetrovaní v rámci ich príslušných právomocí.</w:t>
      </w:r>
    </w:p>
    <w:p w:rsidR="00B47592" w:rsidRDefault="004245EA">
      <w:pPr>
        <w:spacing w:before="120" w:after="120" w:line="360" w:lineRule="auto"/>
        <w:jc w:val="center"/>
        <w:rPr>
          <w:szCs w:val="24"/>
          <w:lang w:eastAsia="en-US"/>
        </w:rPr>
      </w:pPr>
      <w:r>
        <w:rPr>
          <w:szCs w:val="24"/>
          <w:lang w:eastAsia="en-US"/>
        </w:rPr>
        <w:t>Článok 39</w:t>
      </w:r>
      <w:r>
        <w:rPr>
          <w:szCs w:val="24"/>
          <w:lang w:eastAsia="en-US"/>
        </w:rPr>
        <w:br/>
        <w:t xml:space="preserve"> Bezpečnostné predpisy v oblasti ochrany utajovaných a citlivých neutajovaných skutočností</w:t>
      </w:r>
    </w:p>
    <w:p w:rsidR="00B47592" w:rsidRDefault="004245EA">
      <w:pPr>
        <w:spacing w:before="120" w:after="120" w:line="360" w:lineRule="auto"/>
        <w:rPr>
          <w:szCs w:val="24"/>
          <w:lang w:eastAsia="en-US"/>
        </w:rPr>
      </w:pPr>
      <w:r>
        <w:rPr>
          <w:szCs w:val="24"/>
          <w:lang w:eastAsia="en-US"/>
        </w:rPr>
        <w:t xml:space="preserve">Agentúra prijme vlastné bezpečnostné predpisy rovnocenné bezpečnostným predpisom Komisie na ochranu utajovaných skutočností Európskej únie (EUCI) a citlivých neutajovaných skutočností podľa rozhodnutí Komisie (EÚ, </w:t>
      </w:r>
      <w:proofErr w:type="spellStart"/>
      <w:r>
        <w:rPr>
          <w:szCs w:val="24"/>
          <w:lang w:eastAsia="en-US"/>
        </w:rPr>
        <w:t>Euratom</w:t>
      </w:r>
      <w:proofErr w:type="spellEnd"/>
      <w:r>
        <w:rPr>
          <w:szCs w:val="24"/>
          <w:lang w:eastAsia="en-US"/>
        </w:rPr>
        <w:t>) 2015/443</w:t>
      </w:r>
      <w:r>
        <w:rPr>
          <w:szCs w:val="24"/>
          <w:vertAlign w:val="superscript"/>
          <w:lang w:eastAsia="en-US"/>
        </w:rPr>
        <w:footnoteReference w:id="39"/>
      </w:r>
      <w:r>
        <w:rPr>
          <w:szCs w:val="24"/>
          <w:lang w:eastAsia="en-US"/>
        </w:rPr>
        <w:t xml:space="preserve"> a 2015/444</w:t>
      </w:r>
      <w:r>
        <w:rPr>
          <w:szCs w:val="24"/>
          <w:vertAlign w:val="superscript"/>
          <w:lang w:eastAsia="en-US"/>
        </w:rPr>
        <w:footnoteReference w:id="40"/>
      </w:r>
      <w:r>
        <w:rPr>
          <w:szCs w:val="24"/>
          <w:lang w:eastAsia="en-US"/>
        </w:rPr>
        <w:t>. Bezpečnostné predpisy agentúry zahŕňajú ustanovenia týkajúce sa výmeny, spracúvania a uchovávania takýchto skutočností.</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40</w:t>
      </w:r>
      <w:r>
        <w:rPr>
          <w:szCs w:val="24"/>
          <w:lang w:eastAsia="en-US"/>
        </w:rPr>
        <w:br/>
        <w:t>Zodpovednosť</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Zmluvná zodpovednosť agentúry sa riadi rozhodným právom pre príslušnú zmluvu.</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Súdny dvor Európskej únie má právomoc rozhodovať podľa akejkoľvek rozhodcovskej doložky uvedenej v zmluve, ktorú uzavrela agentúra.</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V prípade mimozmluvnej zodpovednosti agentúra v súlade so všeobecnými zásadami spoločnými pre právne poriadky členských štátov nahradí všetky škody spôsobené jej zložkami alebo jej zamestnancami pri plnení ich povinností.</w:t>
      </w:r>
    </w:p>
    <w:p w:rsidR="00B47592" w:rsidRDefault="004245EA">
      <w:pPr>
        <w:spacing w:before="120" w:after="120" w:line="360" w:lineRule="auto"/>
        <w:ind w:left="850" w:hanging="850"/>
        <w:rPr>
          <w:szCs w:val="24"/>
          <w:lang w:eastAsia="en-US"/>
        </w:rPr>
      </w:pPr>
      <w:r>
        <w:rPr>
          <w:szCs w:val="24"/>
          <w:lang w:eastAsia="en-US"/>
        </w:rPr>
        <w:t>4.</w:t>
      </w:r>
      <w:r>
        <w:rPr>
          <w:szCs w:val="24"/>
          <w:lang w:eastAsia="en-US"/>
        </w:rPr>
        <w:tab/>
        <w:t>Právomoc rozhodovať v sporoch o náhradu škody uvedených v odseku 3 má Súdny dvor Európskej únie.</w:t>
      </w:r>
    </w:p>
    <w:p w:rsidR="00B47592" w:rsidRDefault="004245EA">
      <w:pPr>
        <w:spacing w:before="120" w:after="120" w:line="360" w:lineRule="auto"/>
        <w:ind w:left="850" w:hanging="850"/>
        <w:rPr>
          <w:szCs w:val="24"/>
          <w:lang w:eastAsia="en-US"/>
        </w:rPr>
      </w:pPr>
      <w:r>
        <w:rPr>
          <w:szCs w:val="24"/>
          <w:lang w:eastAsia="en-US"/>
        </w:rPr>
        <w:t>5.</w:t>
      </w:r>
      <w:r>
        <w:rPr>
          <w:szCs w:val="24"/>
          <w:lang w:eastAsia="en-US"/>
        </w:rPr>
        <w:tab/>
        <w:t>Osobná zodpovednosť zamestnancov voči agentúre sa riadi ustanoveniami služobného poriadku alebo podmienkami zamestnávania, ktoré sa na nich vzťahujú.</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41</w:t>
      </w:r>
      <w:r>
        <w:rPr>
          <w:szCs w:val="24"/>
          <w:lang w:eastAsia="en-US"/>
        </w:rPr>
        <w:br/>
        <w:t>Hodnotenie a preskúmanie</w:t>
      </w:r>
    </w:p>
    <w:p w:rsidR="00B47592" w:rsidRDefault="004245EA">
      <w:pPr>
        <w:spacing w:before="120" w:after="120" w:line="360" w:lineRule="auto"/>
        <w:ind w:left="850" w:hanging="850"/>
        <w:rPr>
          <w:b/>
          <w:szCs w:val="24"/>
          <w:lang w:eastAsia="en-US"/>
        </w:rPr>
      </w:pPr>
      <w:r>
        <w:rPr>
          <w:szCs w:val="24"/>
          <w:lang w:eastAsia="en-US"/>
        </w:rPr>
        <w:t>1.</w:t>
      </w:r>
      <w:r>
        <w:rPr>
          <w:szCs w:val="24"/>
          <w:lang w:eastAsia="en-US"/>
        </w:rPr>
        <w:tab/>
        <w:t xml:space="preserve">Najneskôr do piatich rokov od [dátumu nadobudnutia účinnosti] a potom každých päť rokov Komisia vykoná hodnotenie na posúdenie najmä vplyvu, účinnosti </w:t>
      </w:r>
      <w:r>
        <w:rPr>
          <w:strike/>
          <w:szCs w:val="24"/>
          <w:lang w:eastAsia="en-US"/>
        </w:rPr>
        <w:t>a</w:t>
      </w:r>
      <w:r>
        <w:rPr>
          <w:b/>
          <w:i/>
          <w:szCs w:val="24"/>
          <w:lang w:eastAsia="en-US"/>
        </w:rPr>
        <w:t>,</w:t>
      </w:r>
      <w:r>
        <w:rPr>
          <w:szCs w:val="24"/>
          <w:lang w:eastAsia="en-US"/>
        </w:rPr>
        <w:t xml:space="preserve"> efektívnosti</w:t>
      </w:r>
      <w:r>
        <w:rPr>
          <w:b/>
          <w:i/>
          <w:szCs w:val="24"/>
          <w:lang w:eastAsia="en-US"/>
        </w:rPr>
        <w:t xml:space="preserve"> a analýzy nákladov a prínosov</w:t>
      </w:r>
      <w:r>
        <w:rPr>
          <w:szCs w:val="24"/>
          <w:lang w:eastAsia="en-US"/>
        </w:rPr>
        <w:t xml:space="preserve"> agentúry a jej pracovných postupov. V hodnotení sa zohľadní najmä prípadná potreba zmeniť mandát agentúry a finančné dôsledky každej takejto zmeny.</w:t>
      </w:r>
      <w:r>
        <w:rPr>
          <w:b/>
          <w:szCs w:val="24"/>
          <w:lang w:eastAsia="en-US"/>
        </w:rPr>
        <w:t xml:space="preserve"> [PN 94]</w:t>
      </w:r>
    </w:p>
    <w:p w:rsidR="00B47592" w:rsidRDefault="004245EA">
      <w:pPr>
        <w:spacing w:before="120" w:after="120" w:line="360" w:lineRule="auto"/>
        <w:ind w:left="850" w:hanging="850"/>
        <w:rPr>
          <w:szCs w:val="24"/>
          <w:lang w:eastAsia="en-US"/>
        </w:rPr>
      </w:pPr>
      <w:r>
        <w:rPr>
          <w:szCs w:val="24"/>
          <w:lang w:eastAsia="en-US"/>
        </w:rPr>
        <w:t>2.</w:t>
      </w:r>
      <w:r>
        <w:rPr>
          <w:szCs w:val="24"/>
          <w:lang w:eastAsia="en-US"/>
        </w:rPr>
        <w:tab/>
        <w:t>Hodnotiacu správu spolu s jej závermi predkladá Komisia Európskemu parlamentu, Rade a správnej rade. Zistenia vyplývajúce z hodnotenia sa zverejňujú.</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Pri príležitosti každého druhého hodnotenia sa posúdia aj výsledky dosiahnuté agentúrou vzhľadom na jej ciele, mandát a úlohy. Ak sa Komisia domnieva, že ďalšia existencia agentúry už nie je vzhľadom na jej stanovené ciele, mandát a úlohy odôvodnená, môže navrhnúť, aby sa toto nariadenie príslušným spôsobom zmenilo alebo aby sa zrušilo.</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42</w:t>
      </w:r>
      <w:r>
        <w:rPr>
          <w:szCs w:val="24"/>
          <w:lang w:eastAsia="en-US"/>
        </w:rPr>
        <w:br/>
        <w:t>Administratívne vyšetrovania európskym ombudsmanom</w:t>
      </w:r>
    </w:p>
    <w:p w:rsidR="00B47592" w:rsidRDefault="004245EA">
      <w:pPr>
        <w:spacing w:before="120" w:after="120" w:line="360" w:lineRule="auto"/>
        <w:rPr>
          <w:szCs w:val="24"/>
          <w:lang w:eastAsia="en-US"/>
        </w:rPr>
      </w:pPr>
      <w:r>
        <w:rPr>
          <w:szCs w:val="24"/>
          <w:lang w:eastAsia="en-US"/>
        </w:rPr>
        <w:t>Činnosti agentúry podliehajú vyšetrovaniam európskeho ombudsmana v súlade s článkom 228 ZFEÚ.</w:t>
      </w:r>
    </w:p>
    <w:p w:rsidR="00B47592" w:rsidRDefault="004245EA">
      <w:pPr>
        <w:spacing w:before="120" w:after="120" w:line="360" w:lineRule="auto"/>
        <w:jc w:val="center"/>
        <w:rPr>
          <w:szCs w:val="24"/>
          <w:lang w:eastAsia="en-US"/>
        </w:rPr>
      </w:pPr>
      <w:r>
        <w:rPr>
          <w:szCs w:val="24"/>
          <w:lang w:eastAsia="en-US"/>
        </w:rPr>
        <w:t>Článok 43</w:t>
      </w:r>
      <w:r>
        <w:rPr>
          <w:szCs w:val="24"/>
          <w:lang w:eastAsia="en-US"/>
        </w:rPr>
        <w:br/>
        <w:t>Prechodné ustanovenia</w:t>
      </w:r>
    </w:p>
    <w:p w:rsidR="00B47592" w:rsidRDefault="004245EA">
      <w:pPr>
        <w:spacing w:before="120" w:after="120" w:line="360" w:lineRule="auto"/>
        <w:ind w:left="850" w:hanging="850"/>
        <w:rPr>
          <w:szCs w:val="24"/>
          <w:lang w:eastAsia="en-US"/>
        </w:rPr>
      </w:pPr>
      <w:r>
        <w:rPr>
          <w:szCs w:val="24"/>
          <w:lang w:eastAsia="en-US"/>
        </w:rPr>
        <w:t>1.</w:t>
      </w:r>
      <w:r>
        <w:rPr>
          <w:szCs w:val="24"/>
          <w:lang w:eastAsia="en-US"/>
        </w:rPr>
        <w:tab/>
        <w:t>Odchylne od článku 15 tohto nariadenia zostanú členovia správnej rady vymenovaní na základe nariadenia (ES) č. 1406/2002 pred [dátumom nadobudnutia účinnosti] vo funkcii ako členovia správnej rady až do skončenia svojho funkčného obdobia bez toho, aby bolo dotknuté právo každého členského štátu vymenovať nového zástupcu.</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ind w:left="850" w:hanging="850"/>
        <w:rPr>
          <w:szCs w:val="24"/>
          <w:lang w:eastAsia="en-US"/>
        </w:rPr>
      </w:pPr>
      <w:r>
        <w:rPr>
          <w:szCs w:val="24"/>
          <w:lang w:eastAsia="en-US"/>
        </w:rPr>
        <w:lastRenderedPageBreak/>
        <w:t>2.</w:t>
      </w:r>
      <w:r>
        <w:rPr>
          <w:szCs w:val="24"/>
          <w:lang w:eastAsia="en-US"/>
        </w:rPr>
        <w:tab/>
        <w:t>Výkonný riaditeľ agentúry vymenovaný na základe článku 16 nariadenia (ES) č. 1406/2002 ostáva na pridelenej pozícii výkonného riaditeľa, pričom vykonáva úlohy a povinnosti stanovené v článku 23 tohto nariadenia. Ak sa pred nadobudnutím účinnosti tohto nariadenia prijme rozhodnutie o predĺžení mandátu výkonného riaditeľa v súlade s článkom 16 ods. 2 nariadenia (ES) č. 1406/2002, trvanie predĺženého mandátu je päť rokov. Ostatné podmienky jeho zmluvy zostávajú nezmenené.</w:t>
      </w:r>
    </w:p>
    <w:p w:rsidR="00B47592" w:rsidRDefault="004245EA">
      <w:pPr>
        <w:spacing w:before="120" w:after="120" w:line="360" w:lineRule="auto"/>
        <w:ind w:left="850" w:hanging="850"/>
        <w:rPr>
          <w:szCs w:val="24"/>
          <w:lang w:eastAsia="en-US"/>
        </w:rPr>
      </w:pPr>
      <w:r>
        <w:rPr>
          <w:szCs w:val="24"/>
          <w:lang w:eastAsia="en-US"/>
        </w:rPr>
        <w:t>3.</w:t>
      </w:r>
      <w:r>
        <w:rPr>
          <w:szCs w:val="24"/>
          <w:lang w:eastAsia="en-US"/>
        </w:rPr>
        <w:tab/>
        <w:t>Nadobudnutím účinnosti tohto nariadenia nie sú dotknuté žiadne pracovné zmluvy, ktoré sú v platnosti k [dátumu nadobudnutia účinnosti].</w:t>
      </w:r>
    </w:p>
    <w:p w:rsidR="00B47592" w:rsidRDefault="004245EA">
      <w:pPr>
        <w:spacing w:before="120" w:after="120" w:line="360" w:lineRule="auto"/>
        <w:jc w:val="center"/>
        <w:rPr>
          <w:szCs w:val="24"/>
          <w:lang w:eastAsia="en-US"/>
        </w:rPr>
      </w:pPr>
      <w:r>
        <w:rPr>
          <w:szCs w:val="24"/>
          <w:lang w:eastAsia="en-US"/>
        </w:rPr>
        <w:t>Článok 44</w:t>
      </w:r>
      <w:r>
        <w:rPr>
          <w:szCs w:val="24"/>
          <w:lang w:eastAsia="en-US"/>
        </w:rPr>
        <w:br/>
        <w:t>Zrušenie</w:t>
      </w:r>
    </w:p>
    <w:p w:rsidR="00B47592" w:rsidRDefault="004245EA">
      <w:pPr>
        <w:spacing w:before="120" w:after="120" w:line="360" w:lineRule="auto"/>
        <w:rPr>
          <w:szCs w:val="24"/>
          <w:lang w:eastAsia="en-US"/>
        </w:rPr>
      </w:pPr>
      <w:r>
        <w:rPr>
          <w:szCs w:val="24"/>
          <w:lang w:eastAsia="en-US"/>
        </w:rPr>
        <w:t>Nariadenie (ES) č. 1406/2002 sa zrušuje.</w:t>
      </w:r>
    </w:p>
    <w:p w:rsidR="00B47592" w:rsidRDefault="004245EA">
      <w:pPr>
        <w:widowControl/>
        <w:rPr>
          <w:szCs w:val="24"/>
          <w:lang w:eastAsia="en-US"/>
        </w:rPr>
      </w:pPr>
      <w:r>
        <w:rPr>
          <w:szCs w:val="24"/>
          <w:lang w:eastAsia="en-US"/>
        </w:rPr>
        <w:br w:type="page"/>
      </w:r>
    </w:p>
    <w:p w:rsidR="00B47592" w:rsidRDefault="004245EA">
      <w:pPr>
        <w:spacing w:before="120" w:after="120" w:line="360" w:lineRule="auto"/>
        <w:jc w:val="center"/>
        <w:rPr>
          <w:szCs w:val="24"/>
          <w:lang w:eastAsia="en-US"/>
        </w:rPr>
      </w:pPr>
      <w:r>
        <w:rPr>
          <w:szCs w:val="24"/>
          <w:lang w:eastAsia="en-US"/>
        </w:rPr>
        <w:lastRenderedPageBreak/>
        <w:t>Článok 45</w:t>
      </w:r>
      <w:r>
        <w:rPr>
          <w:szCs w:val="24"/>
          <w:lang w:eastAsia="en-US"/>
        </w:rPr>
        <w:br/>
        <w:t>Nadobudnutie účinnosti</w:t>
      </w:r>
    </w:p>
    <w:p w:rsidR="00B47592" w:rsidRDefault="004245EA">
      <w:pPr>
        <w:spacing w:before="120" w:after="120" w:line="360" w:lineRule="auto"/>
        <w:rPr>
          <w:szCs w:val="24"/>
          <w:lang w:eastAsia="en-US"/>
        </w:rPr>
      </w:pPr>
      <w:r>
        <w:rPr>
          <w:szCs w:val="24"/>
          <w:lang w:eastAsia="en-US"/>
        </w:rPr>
        <w:t xml:space="preserve">Toto nariadenie nadobúda účinnosť dvadsiatym dňom po jeho uverejnení v </w:t>
      </w:r>
      <w:bookmarkStart w:id="8" w:name="_GoBack"/>
      <w:r>
        <w:rPr>
          <w:i/>
          <w:szCs w:val="24"/>
          <w:lang w:eastAsia="en-US"/>
        </w:rPr>
        <w:t>Úradnom vestníku Európskej únie</w:t>
      </w:r>
      <w:bookmarkEnd w:id="8"/>
      <w:r>
        <w:rPr>
          <w:szCs w:val="24"/>
          <w:lang w:eastAsia="en-US"/>
        </w:rPr>
        <w:t>.</w:t>
      </w:r>
    </w:p>
    <w:p w:rsidR="00B47592" w:rsidRDefault="004245EA">
      <w:pPr>
        <w:spacing w:before="120" w:after="120" w:line="360" w:lineRule="auto"/>
        <w:rPr>
          <w:szCs w:val="24"/>
          <w:lang w:eastAsia="en-US"/>
        </w:rPr>
      </w:pPr>
      <w:r>
        <w:rPr>
          <w:szCs w:val="24"/>
          <w:lang w:eastAsia="en-US"/>
        </w:rPr>
        <w:t>Toto nariadenie je záväzné v celom rozsahu a priamo uplatniteľné vo všetkých členských štátoch.</w:t>
      </w:r>
    </w:p>
    <w:p w:rsidR="00B47592" w:rsidRDefault="004245EA">
      <w:pPr>
        <w:keepNext/>
        <w:widowControl/>
        <w:spacing w:before="120" w:line="360" w:lineRule="auto"/>
        <w:rPr>
          <w:szCs w:val="24"/>
          <w:lang w:eastAsia="en-US"/>
        </w:rPr>
      </w:pPr>
      <w:r>
        <w:rPr>
          <w:szCs w:val="24"/>
          <w:lang w:eastAsia="en-US"/>
        </w:rPr>
        <w:t xml:space="preserve">V </w:t>
      </w:r>
      <w:r w:rsidR="00B72819">
        <w:rPr>
          <w:szCs w:val="24"/>
          <w:lang w:eastAsia="en-US"/>
        </w:rPr>
        <w:t>…</w:t>
      </w:r>
    </w:p>
    <w:p w:rsidR="00B47592" w:rsidRDefault="004245EA">
      <w:pPr>
        <w:keepNext/>
        <w:widowControl/>
        <w:tabs>
          <w:tab w:val="left" w:pos="4252"/>
        </w:tabs>
        <w:spacing w:before="720" w:line="360" w:lineRule="auto"/>
        <w:jc w:val="both"/>
        <w:rPr>
          <w:i/>
          <w:szCs w:val="24"/>
          <w:lang w:eastAsia="en-US"/>
        </w:rPr>
      </w:pPr>
      <w:r>
        <w:rPr>
          <w:i/>
          <w:szCs w:val="24"/>
          <w:lang w:eastAsia="en-US"/>
        </w:rPr>
        <w:t>Za Európsky parlament</w:t>
      </w:r>
      <w:r>
        <w:rPr>
          <w:i/>
          <w:szCs w:val="24"/>
          <w:lang w:eastAsia="en-US"/>
        </w:rPr>
        <w:tab/>
        <w:t>Za Radu</w:t>
      </w:r>
    </w:p>
    <w:p w:rsidR="00B47592" w:rsidRDefault="004245EA">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B47592" w:rsidRDefault="00B47592"/>
    <w:sectPr w:rsidR="00B475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592" w:rsidRDefault="004245EA">
      <w:r>
        <w:separator/>
      </w:r>
    </w:p>
  </w:endnote>
  <w:endnote w:type="continuationSeparator" w:id="0">
    <w:p w:rsidR="00B47592" w:rsidRDefault="00424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592" w:rsidRDefault="004245EA">
      <w:r>
        <w:separator/>
      </w:r>
    </w:p>
  </w:footnote>
  <w:footnote w:type="continuationSeparator" w:id="0">
    <w:p w:rsidR="00B47592" w:rsidRDefault="004245EA">
      <w:r>
        <w:continuationSeparator/>
      </w:r>
    </w:p>
  </w:footnote>
  <w:footnote w:id="1">
    <w:p w:rsidR="00B47592" w:rsidRDefault="004245EA">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w:t>
      </w:r>
      <w:r>
        <w:rPr>
          <w:sz w:val="24"/>
          <w:lang w:val="fi-FI"/>
        </w:rPr>
        <w:t>C/2023/873, 8.12.2023, ELI: http://data.europa.eu/eli/C/2023/873/oj</w:t>
      </w:r>
      <w:r>
        <w:rPr>
          <w:sz w:val="24"/>
          <w:lang w:val="sk-SK"/>
        </w:rPr>
        <w:t>.</w:t>
      </w:r>
    </w:p>
  </w:footnote>
  <w:footnote w:id="2">
    <w:p w:rsidR="00B47592" w:rsidRDefault="004245EA">
      <w:pPr>
        <w:pStyle w:val="FootnoteTextForceStyle"/>
        <w:rPr>
          <w:lang w:val="sk-SK"/>
        </w:rPr>
      </w:pPr>
      <w:r>
        <w:rPr>
          <w:vertAlign w:val="superscript"/>
          <w:lang w:val="sk-SK"/>
        </w:rPr>
        <w:footnoteRef/>
      </w:r>
      <w:r>
        <w:rPr>
          <w:lang w:val="sk-SK"/>
        </w:rPr>
        <w:tab/>
        <w:t>Ú. v. EÚ C , , s. .</w:t>
      </w:r>
    </w:p>
  </w:footnote>
  <w:footnote w:id="3">
    <w:p w:rsidR="00B47592" w:rsidRDefault="004245EA">
      <w:pPr>
        <w:pStyle w:val="FootnoteTextForceStyle"/>
        <w:rPr>
          <w:lang w:val="sk-SK"/>
        </w:rPr>
      </w:pPr>
      <w:r>
        <w:rPr>
          <w:vertAlign w:val="superscript"/>
          <w:lang w:val="sk-SK"/>
        </w:rPr>
        <w:footnoteRef/>
      </w:r>
      <w:r>
        <w:rPr>
          <w:lang w:val="sk-SK"/>
        </w:rPr>
        <w:tab/>
        <w:t>Ú. v. EÚ C , , s. .</w:t>
      </w:r>
    </w:p>
  </w:footnote>
  <w:footnote w:id="4">
    <w:p w:rsidR="00B47592" w:rsidRDefault="004245EA">
      <w:pPr>
        <w:pStyle w:val="FootnoteTextForceStyle"/>
        <w:rPr>
          <w:lang w:val="sk-SK"/>
        </w:rPr>
      </w:pPr>
      <w:r>
        <w:rPr>
          <w:vertAlign w:val="superscript"/>
          <w:lang w:val="sk-SK"/>
        </w:rPr>
        <w:footnoteRef/>
      </w:r>
      <w:r>
        <w:rPr>
          <w:lang w:val="sk-SK"/>
        </w:rPr>
        <w:tab/>
        <w:t>Nariadenie Európskeho parlamentu a Rady (ES) č. 1406/2002 z 27. júna 2002, ktorým sa ustanovuje Európska námorná bezpečnostná agentúra (Ú. v. ES L 208, 5.8.2002, s. 1).</w:t>
      </w:r>
    </w:p>
  </w:footnote>
  <w:footnote w:id="5">
    <w:p w:rsidR="00B47592" w:rsidRDefault="004245EA">
      <w:pPr>
        <w:pStyle w:val="FootnoteTextForceStyle"/>
        <w:rPr>
          <w:lang w:val="sk-SK"/>
        </w:rPr>
      </w:pPr>
      <w:r>
        <w:rPr>
          <w:vertAlign w:val="superscript"/>
          <w:lang w:val="sk-SK"/>
        </w:rPr>
        <w:footnoteRef/>
      </w:r>
      <w:r>
        <w:rPr>
          <w:lang w:val="sk-SK"/>
        </w:rPr>
        <w:tab/>
        <w:t>Smernica Európskeho parlamentu a Rady 2005/35/ES zo 7. septembra 2005 o znečisťovaní mora z lodí a o zavedení sankcií vrátane trestných sankcií za trestné činy v oblasti znečistenia (Ú. v. EÚ L 255, 30.9.2005, s. 11).</w:t>
      </w:r>
    </w:p>
  </w:footnote>
  <w:footnote w:id="6">
    <w:p w:rsidR="00B47592" w:rsidRDefault="004245EA">
      <w:pPr>
        <w:pStyle w:val="FootnoteTextForceStyle"/>
        <w:rPr>
          <w:lang w:val="sk-SK"/>
        </w:rPr>
      </w:pPr>
      <w:r>
        <w:rPr>
          <w:vertAlign w:val="superscript"/>
          <w:lang w:val="sk-SK"/>
        </w:rPr>
        <w:footnoteRef/>
      </w:r>
      <w:r>
        <w:rPr>
          <w:lang w:val="sk-SK"/>
        </w:rPr>
        <w:tab/>
        <w:t>Smernica Európskeho parlamentu a Rady 2009/16/ES z 23. apríla 2009 o štátnej prístavnej kontrole (Ú. v. EÚ L 131, 28.5.2009, s. 57).</w:t>
      </w:r>
    </w:p>
  </w:footnote>
  <w:footnote w:id="7">
    <w:p w:rsidR="00B47592" w:rsidRDefault="004245EA">
      <w:pPr>
        <w:pStyle w:val="FootnoteTextForceStyle"/>
        <w:rPr>
          <w:lang w:val="sk-SK"/>
        </w:rPr>
      </w:pPr>
      <w:r>
        <w:rPr>
          <w:vertAlign w:val="superscript"/>
          <w:lang w:val="sk-SK"/>
        </w:rPr>
        <w:footnoteRef/>
      </w:r>
      <w:r>
        <w:rPr>
          <w:lang w:val="sk-SK"/>
        </w:rPr>
        <w:tab/>
        <w:t>Smernica Európskeho parlamentu a Rady 2009/18/ES z 23. apríla 2009, ktorou sa ustanovujú základné zásady upravujúce vyšetrovanie nehôd v sektore námornej dopravy a ktorou sa mení a dopĺňa smernica Rady 1999/35/ES a smernica Európskeho parlamentu a Rady 2002/59/ES (Ú. v. EÚ L 131, 28.5.2009, s. 114).</w:t>
      </w:r>
    </w:p>
  </w:footnote>
  <w:footnote w:id="8">
    <w:p w:rsidR="00B47592" w:rsidRDefault="004245EA">
      <w:pPr>
        <w:pStyle w:val="FootnoteTextForceStyle"/>
        <w:rPr>
          <w:lang w:val="sk-SK"/>
        </w:rPr>
      </w:pPr>
      <w:r>
        <w:rPr>
          <w:vertAlign w:val="superscript"/>
          <w:lang w:val="sk-SK"/>
        </w:rPr>
        <w:footnoteRef/>
      </w:r>
      <w:r>
        <w:rPr>
          <w:lang w:val="sk-SK"/>
        </w:rPr>
        <w:tab/>
        <w:t>Smernica Európskeho parlamentu a Rady 2009/21/ES z 23. apríla 2009 o plnení povinností vlajkového štátu (Ú. v. EÚ L 131, 28.5.2009, s. 132).</w:t>
      </w:r>
    </w:p>
  </w:footnote>
  <w:footnote w:id="9">
    <w:p w:rsidR="00B47592" w:rsidRDefault="004245EA">
      <w:pPr>
        <w:pStyle w:val="FootnoteTextForceStyle"/>
        <w:rPr>
          <w:lang w:val="sk-SK"/>
        </w:rPr>
      </w:pPr>
      <w:r>
        <w:rPr>
          <w:vertAlign w:val="superscript"/>
          <w:lang w:val="sk-SK"/>
        </w:rPr>
        <w:footnoteRef/>
      </w:r>
      <w:r>
        <w:rPr>
          <w:lang w:val="sk-SK"/>
        </w:rPr>
        <w:tab/>
        <w:t>https://european-union.europa.eu/system/files/2022-06/joint_statement_on_decentralised_agencies_en.pdf.</w:t>
      </w:r>
    </w:p>
  </w:footnote>
  <w:footnote w:id="10">
    <w:p w:rsidR="00B47592" w:rsidRDefault="004245EA">
      <w:pPr>
        <w:pStyle w:val="FootnoteTextForceStyle"/>
        <w:rPr>
          <w:lang w:val="sk-SK"/>
        </w:rPr>
      </w:pPr>
      <w:r>
        <w:rPr>
          <w:vertAlign w:val="superscript"/>
          <w:lang w:val="sk-SK"/>
        </w:rPr>
        <w:footnoteRef/>
      </w:r>
      <w:r>
        <w:rPr>
          <w:lang w:val="sk-SK"/>
        </w:rPr>
        <w:tab/>
        <w:t xml:space="preserve">Delegované nariadenie Komisie (EÚ) 2019/715 z 18. decembra 2018 o rámcovom nariadení o rozpočtových pravidlách pre subjekty zriadené podľa ZFEÚ a Zmluvy o </w:t>
      </w:r>
      <w:proofErr w:type="spellStart"/>
      <w:r>
        <w:rPr>
          <w:lang w:val="sk-SK"/>
        </w:rPr>
        <w:t>Euratome</w:t>
      </w:r>
      <w:proofErr w:type="spellEnd"/>
      <w:r>
        <w:rPr>
          <w:lang w:val="sk-SK"/>
        </w:rPr>
        <w:t xml:space="preserve"> a uvedené v článku 70 nariadenia Európskeho parlamentu a Rady (EÚ, </w:t>
      </w:r>
      <w:proofErr w:type="spellStart"/>
      <w:r>
        <w:rPr>
          <w:lang w:val="sk-SK"/>
        </w:rPr>
        <w:t>Euratom</w:t>
      </w:r>
      <w:proofErr w:type="spellEnd"/>
      <w:r>
        <w:rPr>
          <w:lang w:val="sk-SK"/>
        </w:rPr>
        <w:t>) 2018/1046 (Ú. v. EÚ L 122, 10.5.2019, s. 1).</w:t>
      </w:r>
    </w:p>
  </w:footnote>
  <w:footnote w:id="11">
    <w:p w:rsidR="00B47592" w:rsidRDefault="004245EA">
      <w:pPr>
        <w:pStyle w:val="FootnoteTextForceStyle"/>
        <w:rPr>
          <w:lang w:val="sk-SK"/>
        </w:rPr>
      </w:pPr>
      <w:r>
        <w:rPr>
          <w:vertAlign w:val="superscript"/>
          <w:lang w:val="sk-SK"/>
        </w:rPr>
        <w:footnoteRef/>
      </w:r>
      <w:r>
        <w:rPr>
          <w:lang w:val="sk-SK"/>
        </w:rPr>
        <w:tab/>
        <w:t>Smernica Európskeho parlamentu a Rady (EÚ) 2019/883 zo 17. apríla 2019 o prístavných zberných zariadeniach na vykladanie odpadu z lodí, ktorou sa mení smernica 2010/65/EÚ a zrušuje smernica 2000/59/ES (Ú. v. EÚ L 151, 7.6.2019, s. 116).</w:t>
      </w:r>
    </w:p>
  </w:footnote>
  <w:footnote w:id="12">
    <w:p w:rsidR="00B47592" w:rsidRDefault="004245EA">
      <w:pPr>
        <w:pStyle w:val="FootnoteTextForceStyle"/>
        <w:rPr>
          <w:lang w:val="sk-SK"/>
        </w:rPr>
      </w:pPr>
      <w:r>
        <w:rPr>
          <w:vertAlign w:val="superscript"/>
          <w:lang w:val="sk-SK"/>
        </w:rPr>
        <w:footnoteRef/>
      </w:r>
      <w:r>
        <w:rPr>
          <w:lang w:val="sk-SK"/>
        </w:rPr>
        <w:tab/>
        <w:t>Smernica Európskeho parlamentu a Rady 2008/56/ES zo 17. júna 2008, ktorou sa ustanovuje rámec pre činnosť Spoločenstva v oblasti morskej environmentálnej politiky (rámcová smernica o morskej stratégii) (Ú. v. EÚ L 164, 25.6.2008, s. 19).</w:t>
      </w:r>
    </w:p>
  </w:footnote>
  <w:footnote w:id="13">
    <w:p w:rsidR="00B47592" w:rsidRDefault="004245EA">
      <w:pPr>
        <w:pStyle w:val="FootnoteTextForceStyle"/>
        <w:rPr>
          <w:lang w:val="sk-SK"/>
        </w:rPr>
      </w:pPr>
      <w:r>
        <w:rPr>
          <w:vertAlign w:val="superscript"/>
          <w:lang w:val="sk-SK"/>
        </w:rPr>
        <w:footnoteRef/>
      </w:r>
      <w:r>
        <w:rPr>
          <w:lang w:val="sk-SK"/>
        </w:rPr>
        <w:tab/>
        <w:t>Smernica Európskeho parlamentu a Rady (EÚ) 2016/802 z 11. mája 2016 o znížení obsahu síry v niektorých kvapalných palivách (Ú. v. EÚ L 132, 21.5.2016, s. 58).</w:t>
      </w:r>
    </w:p>
  </w:footnote>
  <w:footnote w:id="14">
    <w:p w:rsidR="00B47592" w:rsidRDefault="004245EA">
      <w:pPr>
        <w:pStyle w:val="FootnoteTextForceStyle"/>
        <w:rPr>
          <w:lang w:val="sk-SK"/>
        </w:rPr>
      </w:pPr>
      <w:r>
        <w:rPr>
          <w:vertAlign w:val="superscript"/>
          <w:lang w:val="sk-SK"/>
        </w:rPr>
        <w:footnoteRef/>
      </w:r>
      <w:r>
        <w:rPr>
          <w:lang w:val="sk-SK"/>
        </w:rPr>
        <w:tab/>
        <w:t>Nariadenie Európskeho parlamentu a Rady (EÚ) 2015/757 z 29. apríla 2015 o monitorovaní, nahlasovaní a overovaní emisií oxidu uhličitého z námornej dopravy a o zmene smernice 2009/16/ES (Ú. v. EÚ L 123, 19.5.2015, s. 55).</w:t>
      </w:r>
    </w:p>
  </w:footnote>
  <w:footnote w:id="15">
    <w:p w:rsidR="00B47592" w:rsidRDefault="004245EA">
      <w:pPr>
        <w:pStyle w:val="FootnoteTextForceStyle"/>
        <w:rPr>
          <w:lang w:val="sk-SK"/>
        </w:rPr>
      </w:pPr>
      <w:r>
        <w:rPr>
          <w:vertAlign w:val="superscript"/>
          <w:lang w:val="sk-SK"/>
        </w:rPr>
        <w:footnoteRef/>
      </w:r>
      <w:r>
        <w:rPr>
          <w:lang w:val="sk-SK"/>
        </w:rPr>
        <w:tab/>
        <w:t>Smernica Európskeho parlamentu a Rady 2003/87/ES z 13. októbra 2003 o vytvorení systému obchodovania s emisnými kvótami skleníkových plynov v Únii a ktorou sa mení a dopĺňa smernica Rady 96/61/ES (Ú. v. EÚ L 275, 25.10.2003, s. 32).</w:t>
      </w:r>
    </w:p>
  </w:footnote>
  <w:footnote w:id="16">
    <w:p w:rsidR="00B47592" w:rsidRDefault="004245EA">
      <w:pPr>
        <w:pStyle w:val="FootnoteTextForceStyle"/>
        <w:rPr>
          <w:lang w:val="sk-SK"/>
        </w:rPr>
      </w:pPr>
      <w:r>
        <w:rPr>
          <w:vertAlign w:val="superscript"/>
          <w:lang w:val="sk-SK"/>
        </w:rPr>
        <w:footnoteRef/>
      </w:r>
      <w:r>
        <w:rPr>
          <w:lang w:val="sk-SK"/>
        </w:rPr>
        <w:tab/>
        <w:t>Nariadenie Európskeho parlamentu a Rady (ES) č. 725/2004 z 31. marca 2004 o zvýšení bezpečnosti lodí a prístavných zariadení (Ú. v. EÚ L 129, 29.4.2004, s. 6).</w:t>
      </w:r>
    </w:p>
  </w:footnote>
  <w:footnote w:id="17">
    <w:p w:rsidR="00B47592" w:rsidRDefault="004245EA">
      <w:pPr>
        <w:pStyle w:val="FootnoteTextForceStyle"/>
        <w:rPr>
          <w:lang w:val="sk-SK"/>
        </w:rPr>
      </w:pPr>
      <w:r>
        <w:rPr>
          <w:vertAlign w:val="superscript"/>
          <w:lang w:val="sk-SK"/>
        </w:rPr>
        <w:footnoteRef/>
      </w:r>
      <w:r>
        <w:rPr>
          <w:lang w:val="sk-SK"/>
        </w:rPr>
        <w:tab/>
        <w:t>Smernica Európskeho parlamentu a Rady 2002/59/ES z 27. júna 2002, ktorou sa zriaďuje monitorovací a informačný systém Spoločenstva pre lodnú dopravu a ktorou sa zrušuje smernica Rady 93/75/EHS (Ú. v. ES L 208, 5.8.2002, s. 10).</w:t>
      </w:r>
    </w:p>
  </w:footnote>
  <w:footnote w:id="18">
    <w:p w:rsidR="00B47592" w:rsidRDefault="004245EA">
      <w:pPr>
        <w:pStyle w:val="FootnoteTextForceStyle"/>
        <w:rPr>
          <w:lang w:val="sk-SK"/>
        </w:rPr>
      </w:pPr>
      <w:r>
        <w:rPr>
          <w:vertAlign w:val="superscript"/>
          <w:lang w:val="sk-SK"/>
        </w:rPr>
        <w:footnoteRef/>
      </w:r>
      <w:r>
        <w:rPr>
          <w:lang w:val="sk-SK"/>
        </w:rPr>
        <w:tab/>
        <w:t>Nariadenie Európskeho parlamentu a Rady (EÚ) 2019/1896 z 13. novembra 2019 o európskej pohraničnej a pobrežnej stráži a zrušení nariadení (EÚ) č. 1052/2013 a (EÚ) 2016/1624 (Ú. v. EÚ L 295, 14.11.2019, s. 1).</w:t>
      </w:r>
    </w:p>
  </w:footnote>
  <w:footnote w:id="19">
    <w:p w:rsidR="00B47592" w:rsidRDefault="004245EA">
      <w:pPr>
        <w:pStyle w:val="FootnoteTextForceStyle"/>
        <w:rPr>
          <w:lang w:val="sk-SK"/>
        </w:rPr>
      </w:pPr>
      <w:r>
        <w:rPr>
          <w:vertAlign w:val="superscript"/>
          <w:lang w:val="sk-SK"/>
        </w:rPr>
        <w:footnoteRef/>
      </w:r>
      <w:r>
        <w:rPr>
          <w:lang w:val="sk-SK"/>
        </w:rPr>
        <w:tab/>
        <w:t>Nariadenie Európskeho parlamentu a Rady (EÚ) 2019/473 z 19. marca 2019 o Európskej agentúre pre kontrolu rybárstva (Ú. v. EÚ L 83, 25.3.2019, s. 18).</w:t>
      </w:r>
    </w:p>
  </w:footnote>
  <w:footnote w:id="20">
    <w:p w:rsidR="00B47592" w:rsidRDefault="004245EA">
      <w:pPr>
        <w:pStyle w:val="FootnoteTextForceStyle"/>
        <w:rPr>
          <w:lang w:val="sk-SK"/>
        </w:rPr>
      </w:pPr>
      <w:r>
        <w:rPr>
          <w:vertAlign w:val="superscript"/>
          <w:lang w:val="sk-SK"/>
        </w:rPr>
        <w:footnoteRef/>
      </w:r>
      <w:r>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1">
    <w:p w:rsidR="00B47592" w:rsidRDefault="004245EA">
      <w:pPr>
        <w:pStyle w:val="FootnoteTextForceStyle"/>
        <w:rPr>
          <w:lang w:val="sk-SK"/>
        </w:rPr>
      </w:pPr>
      <w:r>
        <w:rPr>
          <w:vertAlign w:val="superscript"/>
          <w:lang w:val="sk-SK"/>
        </w:rPr>
        <w:footnoteRef/>
      </w:r>
      <w:r>
        <w:rPr>
          <w:lang w:val="sk-SK"/>
        </w:rPr>
        <w:tab/>
      </w:r>
      <w:r>
        <w:rPr>
          <w:b/>
          <w:i/>
          <w:lang w:val="sk-SK"/>
        </w:rPr>
        <w:t>Ú. v. EÚ L 123, 12.5.2016, s. 1.</w:t>
      </w:r>
    </w:p>
  </w:footnote>
  <w:footnote w:id="22">
    <w:p w:rsidR="00B47592" w:rsidRDefault="004245EA">
      <w:pPr>
        <w:pStyle w:val="FootnoteTextForceStyle"/>
        <w:rPr>
          <w:lang w:val="sk-SK"/>
        </w:rPr>
      </w:pPr>
      <w:r>
        <w:rPr>
          <w:vertAlign w:val="superscript"/>
          <w:lang w:val="sk-SK"/>
        </w:rPr>
        <w:footnoteRef/>
      </w:r>
      <w:r>
        <w:rPr>
          <w:lang w:val="sk-SK"/>
        </w:rPr>
        <w:tab/>
        <w:t xml:space="preserve">Nariadenie Európskeho parlamentu a Rady (EÚ, </w:t>
      </w:r>
      <w:proofErr w:type="spellStart"/>
      <w:r>
        <w:rPr>
          <w:lang w:val="sk-SK"/>
        </w:rPr>
        <w:t>Euratom</w:t>
      </w:r>
      <w:proofErr w:type="spellEnd"/>
      <w:r>
        <w:rPr>
          <w:lang w:val="sk-SK"/>
        </w:rPr>
        <w:t>) č. 883/2013 z 11. septembra 2013 o vyšetrovaniach vykonávaných Európskym úradom pre boj proti podvodom (OLAF), ktorým sa zrušuje nariadenie Európskeho parlamentu a Rady (ES) č. 1073/1999 a nariadenie Rady (</w:t>
      </w:r>
      <w:proofErr w:type="spellStart"/>
      <w:r>
        <w:rPr>
          <w:lang w:val="sk-SK"/>
        </w:rPr>
        <w:t>Euratom</w:t>
      </w:r>
      <w:proofErr w:type="spellEnd"/>
      <w:r>
        <w:rPr>
          <w:lang w:val="sk-SK"/>
        </w:rPr>
        <w:t>) č. 1074/1999 (Ú. v. EÚ L 248, 18.9.2013, s. 1).</w:t>
      </w:r>
    </w:p>
  </w:footnote>
  <w:footnote w:id="23">
    <w:p w:rsidR="00B47592" w:rsidRDefault="004245EA">
      <w:pPr>
        <w:pStyle w:val="FootnoteTextForceStyle"/>
        <w:rPr>
          <w:lang w:val="sk-SK"/>
        </w:rPr>
      </w:pPr>
      <w:r>
        <w:rPr>
          <w:vertAlign w:val="superscript"/>
          <w:lang w:val="sk-SK"/>
        </w:rPr>
        <w:footnoteRef/>
      </w:r>
      <w:r>
        <w:rPr>
          <w:lang w:val="sk-SK"/>
        </w:rPr>
        <w:tab/>
        <w:t>Ú. v. ES L 136, 31.5.1999, s. 15.</w:t>
      </w:r>
    </w:p>
  </w:footnote>
  <w:footnote w:id="24">
    <w:p w:rsidR="00B47592" w:rsidRDefault="004245EA">
      <w:pPr>
        <w:pStyle w:val="FootnoteTextForceStyle"/>
        <w:rPr>
          <w:lang w:val="sk-SK"/>
        </w:rPr>
      </w:pPr>
      <w:r>
        <w:rPr>
          <w:vertAlign w:val="superscript"/>
          <w:lang w:val="sk-SK"/>
        </w:rPr>
        <w:footnoteRef/>
      </w:r>
      <w:r>
        <w:rPr>
          <w:lang w:val="sk-SK"/>
        </w:rPr>
        <w:tab/>
        <w:t>Smernica Európskeho parlamentu a Rady 2009/45/ES zo 6. mája 2009 o bezpečnostných pravidlách a normách pre osobné lode (Ú. v. EÚ L 163, 25.6.2009, s. 1).</w:t>
      </w:r>
    </w:p>
  </w:footnote>
  <w:footnote w:id="25">
    <w:p w:rsidR="00B47592" w:rsidRDefault="004245EA">
      <w:pPr>
        <w:pStyle w:val="FootnoteTextForceStyle"/>
        <w:rPr>
          <w:lang w:val="sk-SK"/>
        </w:rPr>
      </w:pPr>
      <w:r>
        <w:rPr>
          <w:vertAlign w:val="superscript"/>
          <w:lang w:val="sk-SK"/>
        </w:rPr>
        <w:footnoteRef/>
      </w:r>
      <w:r>
        <w:rPr>
          <w:lang w:val="sk-SK"/>
        </w:rPr>
        <w:tab/>
        <w:t xml:space="preserve">Smernica Európskeho parlamentu a Rady (ES) č. 2003/25/ES zo 14. apríla 2003 o špecifických požiadavkách na stabilitu osobných lodí </w:t>
      </w:r>
      <w:proofErr w:type="spellStart"/>
      <w:r>
        <w:rPr>
          <w:lang w:val="sk-SK"/>
        </w:rPr>
        <w:t>ro-ro</w:t>
      </w:r>
      <w:proofErr w:type="spellEnd"/>
      <w:r>
        <w:rPr>
          <w:lang w:val="sk-SK"/>
        </w:rPr>
        <w:t xml:space="preserve"> (Ú. v. EÚ L 123, 17.5.2003, s. 22).</w:t>
      </w:r>
    </w:p>
  </w:footnote>
  <w:footnote w:id="26">
    <w:p w:rsidR="00B47592" w:rsidRDefault="004245EA">
      <w:pPr>
        <w:pStyle w:val="FootnoteTextForceStyle"/>
        <w:rPr>
          <w:lang w:val="sk-SK"/>
        </w:rPr>
      </w:pPr>
      <w:r>
        <w:rPr>
          <w:vertAlign w:val="superscript"/>
          <w:lang w:val="sk-SK"/>
        </w:rPr>
        <w:footnoteRef/>
      </w:r>
      <w:r>
        <w:rPr>
          <w:lang w:val="sk-SK"/>
        </w:rPr>
        <w:tab/>
        <w:t>Smernica Rady 98/41/ES z 18. júna 1998 o registrácii osôb na palubách osobných lodí plávajúcich do prístavov alebo z prístavov členských štátov Spoločenstva (Ú. v. ES L 188, 2.7.1998, s. 35).</w:t>
      </w:r>
    </w:p>
  </w:footnote>
  <w:footnote w:id="27">
    <w:p w:rsidR="00B47592" w:rsidRDefault="004245EA">
      <w:pPr>
        <w:pStyle w:val="FootnoteTextForceStyle"/>
        <w:rPr>
          <w:lang w:val="sk-SK"/>
        </w:rPr>
      </w:pPr>
      <w:r>
        <w:rPr>
          <w:vertAlign w:val="superscript"/>
          <w:lang w:val="sk-SK"/>
        </w:rPr>
        <w:footnoteRef/>
      </w:r>
      <w:r>
        <w:rPr>
          <w:lang w:val="sk-SK"/>
        </w:rPr>
        <w:tab/>
        <w:t>Nariadenie Európskeho parlamentu a Rady (ES) č. 391/2009 z 23. apríla 2009 o spoločných pravidlách a normách pre organizácie vykonávajúce inšpekcie a prehliadky lodí (Ú. v. EÚ L 131, 28.5.2009, s. 11).</w:t>
      </w:r>
    </w:p>
  </w:footnote>
  <w:footnote w:id="28">
    <w:p w:rsidR="00B47592" w:rsidRDefault="004245EA">
      <w:pPr>
        <w:pStyle w:val="FootnoteTextForceStyle"/>
        <w:rPr>
          <w:lang w:val="sk-SK"/>
        </w:rPr>
      </w:pPr>
      <w:r>
        <w:rPr>
          <w:vertAlign w:val="superscript"/>
          <w:lang w:val="sk-SK"/>
        </w:rPr>
        <w:footnoteRef/>
      </w:r>
      <w:r>
        <w:rPr>
          <w:lang w:val="sk-SK"/>
        </w:rPr>
        <w:tab/>
        <w:t>Smernica Európskeho parlamentu a Rady 2009/15/ES z 23. apríla 2009 o spoločných pravidlách a normách pre organizácie vykonávajúce inšpekcie a prehliadky lodí a pre príslušné činnosti námorných úradov (Ú. v. EÚ L 131, 28.5.2009, s. 47).</w:t>
      </w:r>
    </w:p>
  </w:footnote>
  <w:footnote w:id="29">
    <w:p w:rsidR="00B47592" w:rsidRDefault="004245EA">
      <w:pPr>
        <w:pStyle w:val="FootnoteTextForceStyle"/>
        <w:rPr>
          <w:lang w:val="sk-SK"/>
        </w:rPr>
      </w:pPr>
      <w:r>
        <w:rPr>
          <w:vertAlign w:val="superscript"/>
          <w:lang w:val="sk-SK"/>
        </w:rPr>
        <w:footnoteRef/>
      </w:r>
      <w:r>
        <w:rPr>
          <w:lang w:val="sk-SK"/>
        </w:rPr>
        <w:tab/>
        <w:t>Smernica Európskeho parlamentu a Rady 2014/90/EÚ z 23. júla 2014 o vybavení námorných lodí a o zrušení smernice Rady 96/98/ES (Ú. v. EÚ L 257, 28.8.2014, s. 146).</w:t>
      </w:r>
    </w:p>
  </w:footnote>
  <w:footnote w:id="30">
    <w:p w:rsidR="00B47592" w:rsidRDefault="004245EA">
      <w:pPr>
        <w:pStyle w:val="FootnoteTextForceStyle"/>
        <w:rPr>
          <w:lang w:val="sk-SK"/>
        </w:rPr>
      </w:pPr>
      <w:r>
        <w:rPr>
          <w:vertAlign w:val="superscript"/>
          <w:lang w:val="sk-SK"/>
        </w:rPr>
        <w:footnoteRef/>
      </w:r>
      <w:r>
        <w:rPr>
          <w:lang w:val="sk-SK"/>
        </w:rPr>
        <w:tab/>
        <w:t>Smernica Európskeho parlamentu a Rady (EÚ) 2022/993 z 8. júna 2022 o minimálnej úrovni prípravy námorníkov (Ú. v. EÚ L 169, 27.6.2022, s. 45).</w:t>
      </w:r>
    </w:p>
  </w:footnote>
  <w:footnote w:id="31">
    <w:p w:rsidR="00B47592" w:rsidRDefault="004245EA">
      <w:pPr>
        <w:pStyle w:val="FootnoteTextForceStyle"/>
        <w:rPr>
          <w:lang w:val="sk-SK"/>
        </w:rPr>
      </w:pPr>
      <w:r>
        <w:rPr>
          <w:vertAlign w:val="superscript"/>
          <w:lang w:val="sk-SK"/>
        </w:rPr>
        <w:footnoteRef/>
      </w:r>
      <w:r>
        <w:rPr>
          <w:lang w:val="sk-SK"/>
        </w:rPr>
        <w:tab/>
        <w:t>Rozhodnutie Európskeho parlamentu a Rady č. 1313/2013/EÚ zo 17. decembra 2013 o mechanizme Únie v oblasti civilnej ochrany (Ú. v. EÚ L 347, 20.12.2013, s. 924).</w:t>
      </w:r>
    </w:p>
  </w:footnote>
  <w:footnote w:id="32">
    <w:p w:rsidR="00B47592" w:rsidRDefault="004245EA">
      <w:pPr>
        <w:pStyle w:val="FootnoteTextForceStyle"/>
        <w:rPr>
          <w:lang w:val="sk-SK"/>
        </w:rPr>
      </w:pPr>
      <w:r>
        <w:rPr>
          <w:vertAlign w:val="superscript"/>
          <w:lang w:val="sk-SK"/>
        </w:rPr>
        <w:footnoteRef/>
      </w:r>
      <w:r>
        <w:rPr>
          <w:lang w:val="sk-SK"/>
        </w:rPr>
        <w:tab/>
        <w:t>Nariadenie Európskeho parlamentu a Rady (EÚ) č. 1257/2013 z 20. novembra 2013 o recyklácii lodí a o zmene nariadenia (ES) č. 1013/2006 a smernice 2009/16/ES (Ú. v. EÚ L 330, 10.12.2013, s. 1).</w:t>
      </w:r>
    </w:p>
  </w:footnote>
  <w:footnote w:id="33">
    <w:p w:rsidR="00B47592" w:rsidRDefault="004245EA">
      <w:pPr>
        <w:pStyle w:val="FootnoteTextForceStyle"/>
        <w:rPr>
          <w:lang w:val="sk-SK"/>
        </w:rPr>
      </w:pPr>
      <w:r>
        <w:rPr>
          <w:vertAlign w:val="superscript"/>
          <w:lang w:val="sk-SK"/>
        </w:rPr>
        <w:footnoteRef/>
      </w:r>
      <w:r>
        <w:rPr>
          <w:lang w:val="sk-SK"/>
        </w:rPr>
        <w:tab/>
        <w:t>Nariadenie Európskeho parlamentu a Rady (EÚ) 2019/1239 z 20. júna 2019, ktorým sa zriaďuje európske prostredie jednotnej námornej platformy a ktorým sa zrušuje smernica 2010/65/EÚ (Ú. v. EÚ L 198, 25.7.2019, s. 64).</w:t>
      </w:r>
    </w:p>
  </w:footnote>
  <w:footnote w:id="34">
    <w:p w:rsidR="00B47592" w:rsidRDefault="004245EA">
      <w:pPr>
        <w:pStyle w:val="FootnoteTextForceStyle"/>
        <w:rPr>
          <w:lang w:val="sk-SK"/>
        </w:rPr>
      </w:pPr>
      <w:r>
        <w:rPr>
          <w:vertAlign w:val="superscript"/>
          <w:lang w:val="sk-SK"/>
        </w:rPr>
        <w:footnoteRef/>
      </w:r>
      <w:r>
        <w:rPr>
          <w:lang w:val="sk-SK"/>
        </w:rPr>
        <w:tab/>
        <w:t xml:space="preserve">Nariadenie Rady (EHS, </w:t>
      </w:r>
      <w:proofErr w:type="spellStart"/>
      <w:r>
        <w:rPr>
          <w:lang w:val="sk-SK"/>
        </w:rPr>
        <w:t>Euratom</w:t>
      </w:r>
      <w:proofErr w:type="spellEnd"/>
      <w:r>
        <w:rPr>
          <w:lang w:val="sk-SK"/>
        </w:rPr>
        <w:t xml:space="preserve">, </w:t>
      </w:r>
      <w:proofErr w:type="spellStart"/>
      <w:r>
        <w:rPr>
          <w:lang w:val="sk-SK"/>
        </w:rPr>
        <w:t>ESUO</w:t>
      </w:r>
      <w:proofErr w:type="spellEnd"/>
      <w:r>
        <w:rPr>
          <w:lang w:val="sk-SK"/>
        </w:rPr>
        <w:t>) č. 259/68 z 29. februára 1968, ktorým sa ustanovuje Služobný poriadok úradníkov Európskych spoločenstiev a Podmienky zamestnávania ostatných zamestnancov Európskych spoločenstiev a prijímajú osobitné opatrenia dočasne uplatniteľné na úradníkov Komisie (Ú. v. ES L 56, 4.3.1968, s. 1).</w:t>
      </w:r>
    </w:p>
  </w:footnote>
  <w:footnote w:id="35">
    <w:p w:rsidR="00B47592" w:rsidRDefault="004245EA">
      <w:pPr>
        <w:pStyle w:val="FootnoteTextForceStyle"/>
        <w:rPr>
          <w:lang w:val="sk-SK"/>
        </w:rPr>
      </w:pPr>
      <w:r>
        <w:rPr>
          <w:vertAlign w:val="superscript"/>
          <w:lang w:val="sk-SK"/>
        </w:rPr>
        <w:footnoteRef/>
      </w:r>
      <w:r>
        <w:rPr>
          <w:lang w:val="sk-SK"/>
        </w:rPr>
        <w:tab/>
        <w:t>Nariadenie Európskeho parlamentu a Rady (ES) č. 2099/2002 z 5. novembra 2002, ktorým sa ustanovuje Výbor pre bezpečnosť na mori a pre zabránenie znečisťovania z lodí (COSS) a menia a dopĺňajú sa nariadenia o námornej bezpečnosti a zabránení znečisťovania z lodí (Ú. v. ES L 324, 29.11.2002, s. 1).</w:t>
      </w:r>
    </w:p>
  </w:footnote>
  <w:footnote w:id="36">
    <w:p w:rsidR="00B47592" w:rsidRDefault="004245EA">
      <w:pPr>
        <w:pStyle w:val="FootnoteTextForceStyle"/>
        <w:rPr>
          <w:lang w:val="sk-SK"/>
        </w:rPr>
      </w:pPr>
      <w:r>
        <w:rPr>
          <w:vertAlign w:val="superscript"/>
          <w:lang w:val="sk-SK"/>
        </w:rPr>
        <w:footnoteRef/>
      </w:r>
      <w:r>
        <w:rPr>
          <w:lang w:val="sk-SK"/>
        </w:rPr>
        <w:tab/>
        <w:t>Ú. v. ES 17, 6.10.1958, s. 385/58. Nariadenie naposledy zmenené nariadením (ES) č. 1791/2006 z 20. novembra 2006, ktorým sa z dôvodu pristúpenia Bulharska a Rumunska upravujú určité nariadenia a rozhodnutia.</w:t>
      </w:r>
    </w:p>
  </w:footnote>
  <w:footnote w:id="37">
    <w:p w:rsidR="00B47592" w:rsidRDefault="004245EA">
      <w:pPr>
        <w:pStyle w:val="FootnoteTextForceStyle"/>
        <w:rPr>
          <w:lang w:val="sk-SK"/>
        </w:rPr>
      </w:pPr>
      <w:r>
        <w:rPr>
          <w:vertAlign w:val="superscript"/>
          <w:lang w:val="sk-SK"/>
        </w:rPr>
        <w:footnoteRef/>
      </w:r>
      <w:r>
        <w:rPr>
          <w:lang w:val="sk-SK"/>
        </w:rPr>
        <w:tab/>
        <w:t>Nariadenie Európskeho parlamentu a Rady (ES) č. 1049/2001 z 30. mája 2001 o prístupe verejnosti k dokumentom Európskeho parlamentu, Rady a Komisie (Ú. v. ES L 145, 31.5.2001, s. 43).</w:t>
      </w:r>
    </w:p>
  </w:footnote>
  <w:footnote w:id="38">
    <w:p w:rsidR="00B47592" w:rsidRDefault="004245EA">
      <w:pPr>
        <w:pStyle w:val="FootnoteTextForceStyle"/>
        <w:rPr>
          <w:lang w:val="sk-SK"/>
        </w:rPr>
      </w:pPr>
      <w:r>
        <w:rPr>
          <w:vertAlign w:val="superscript"/>
          <w:lang w:val="sk-SK"/>
        </w:rPr>
        <w:footnoteRef/>
      </w:r>
      <w:r>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39">
    <w:p w:rsidR="00B47592" w:rsidRDefault="004245EA">
      <w:pPr>
        <w:pStyle w:val="FootnoteTextForceStyle"/>
        <w:rPr>
          <w:lang w:val="sk-SK"/>
        </w:rPr>
      </w:pPr>
      <w:r>
        <w:rPr>
          <w:vertAlign w:val="superscript"/>
          <w:lang w:val="sk-SK"/>
        </w:rPr>
        <w:footnoteRef/>
      </w:r>
      <w:r>
        <w:rPr>
          <w:lang w:val="sk-SK"/>
        </w:rPr>
        <w:tab/>
        <w:t xml:space="preserve">Rozhodnutie Komisie (EÚ, </w:t>
      </w:r>
      <w:proofErr w:type="spellStart"/>
      <w:r>
        <w:rPr>
          <w:lang w:val="sk-SK"/>
        </w:rPr>
        <w:t>Euratom</w:t>
      </w:r>
      <w:proofErr w:type="spellEnd"/>
      <w:r>
        <w:rPr>
          <w:lang w:val="sk-SK"/>
        </w:rPr>
        <w:t>) 2015/443 z 13. marca 2015 o bezpečnosti v Komisii (Ú. v. EÚ L 72, 17.3.2015, s. 41).</w:t>
      </w:r>
    </w:p>
  </w:footnote>
  <w:footnote w:id="40">
    <w:p w:rsidR="00B47592" w:rsidRDefault="004245EA">
      <w:pPr>
        <w:pStyle w:val="FootnoteTextForceStyle"/>
        <w:rPr>
          <w:lang w:val="sk-SK"/>
        </w:rPr>
      </w:pPr>
      <w:r>
        <w:rPr>
          <w:vertAlign w:val="superscript"/>
          <w:lang w:val="sk-SK"/>
        </w:rPr>
        <w:footnoteRef/>
      </w:r>
      <w:r>
        <w:rPr>
          <w:lang w:val="sk-SK"/>
        </w:rPr>
        <w:tab/>
        <w:t xml:space="preserve">Rozhodnutie Komisie (EÚ, </w:t>
      </w:r>
      <w:proofErr w:type="spellStart"/>
      <w:r>
        <w:rPr>
          <w:lang w:val="sk-SK"/>
        </w:rPr>
        <w:t>Euratom</w:t>
      </w:r>
      <w:proofErr w:type="spellEnd"/>
      <w:r>
        <w:rPr>
          <w:lang w:val="sk-SK"/>
        </w:rPr>
        <w:t>) 2015/444 z 13. marca 2015 o bezpečnostných predpisoch na ochranu utajovaných skutočností EÚ (Ú. v. EÚ L 72, 17.3.2015, s.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8F5E7EC0">
      <w:start w:val="1"/>
      <w:numFmt w:val="decimal"/>
      <w:lvlText w:val="%1."/>
      <w:lvlJc w:val="left"/>
      <w:pPr>
        <w:ind w:left="720" w:hanging="360"/>
      </w:pPr>
      <w:rPr>
        <w:rFonts w:hint="default"/>
      </w:rPr>
    </w:lvl>
    <w:lvl w:ilvl="1" w:tplc="FF4E0374" w:tentative="1">
      <w:start w:val="1"/>
      <w:numFmt w:val="lowerLetter"/>
      <w:lvlText w:val="%2."/>
      <w:lvlJc w:val="left"/>
      <w:pPr>
        <w:ind w:left="1440" w:hanging="360"/>
      </w:pPr>
    </w:lvl>
    <w:lvl w:ilvl="2" w:tplc="B42444D8" w:tentative="1">
      <w:start w:val="1"/>
      <w:numFmt w:val="lowerRoman"/>
      <w:lvlText w:val="%3."/>
      <w:lvlJc w:val="right"/>
      <w:pPr>
        <w:ind w:left="2160" w:hanging="180"/>
      </w:pPr>
    </w:lvl>
    <w:lvl w:ilvl="3" w:tplc="632AA0F4" w:tentative="1">
      <w:start w:val="1"/>
      <w:numFmt w:val="decimal"/>
      <w:lvlText w:val="%4."/>
      <w:lvlJc w:val="left"/>
      <w:pPr>
        <w:ind w:left="2880" w:hanging="360"/>
      </w:pPr>
    </w:lvl>
    <w:lvl w:ilvl="4" w:tplc="4970D9C6" w:tentative="1">
      <w:start w:val="1"/>
      <w:numFmt w:val="lowerLetter"/>
      <w:lvlText w:val="%5."/>
      <w:lvlJc w:val="left"/>
      <w:pPr>
        <w:ind w:left="3600" w:hanging="360"/>
      </w:pPr>
    </w:lvl>
    <w:lvl w:ilvl="5" w:tplc="417A63D6" w:tentative="1">
      <w:start w:val="1"/>
      <w:numFmt w:val="lowerRoman"/>
      <w:lvlText w:val="%6."/>
      <w:lvlJc w:val="right"/>
      <w:pPr>
        <w:ind w:left="4320" w:hanging="180"/>
      </w:pPr>
    </w:lvl>
    <w:lvl w:ilvl="6" w:tplc="8B3C0AA4" w:tentative="1">
      <w:start w:val="1"/>
      <w:numFmt w:val="decimal"/>
      <w:lvlText w:val="%7."/>
      <w:lvlJc w:val="left"/>
      <w:pPr>
        <w:ind w:left="5040" w:hanging="360"/>
      </w:pPr>
    </w:lvl>
    <w:lvl w:ilvl="7" w:tplc="B6FED89C" w:tentative="1">
      <w:start w:val="1"/>
      <w:numFmt w:val="lowerLetter"/>
      <w:lvlText w:val="%8."/>
      <w:lvlJc w:val="left"/>
      <w:pPr>
        <w:ind w:left="5760" w:hanging="360"/>
      </w:pPr>
    </w:lvl>
    <w:lvl w:ilvl="8" w:tplc="70D4FB90"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FE0236FE">
      <w:start w:val="1"/>
      <w:numFmt w:val="bullet"/>
      <w:lvlText w:val=""/>
      <w:lvlJc w:val="left"/>
      <w:pPr>
        <w:ind w:left="720" w:hanging="360"/>
      </w:pPr>
      <w:rPr>
        <w:rFonts w:ascii="Symbol" w:hAnsi="Symbol" w:hint="default"/>
      </w:rPr>
    </w:lvl>
    <w:lvl w:ilvl="1" w:tplc="2C7CEC0C" w:tentative="1">
      <w:start w:val="1"/>
      <w:numFmt w:val="bullet"/>
      <w:lvlText w:val="o"/>
      <w:lvlJc w:val="left"/>
      <w:pPr>
        <w:ind w:left="1440" w:hanging="360"/>
      </w:pPr>
      <w:rPr>
        <w:rFonts w:ascii="Courier New" w:hAnsi="Courier New" w:cs="Courier New" w:hint="default"/>
      </w:rPr>
    </w:lvl>
    <w:lvl w:ilvl="2" w:tplc="128AA582" w:tentative="1">
      <w:start w:val="1"/>
      <w:numFmt w:val="bullet"/>
      <w:lvlText w:val=""/>
      <w:lvlJc w:val="left"/>
      <w:pPr>
        <w:ind w:left="2160" w:hanging="360"/>
      </w:pPr>
      <w:rPr>
        <w:rFonts w:ascii="Wingdings" w:hAnsi="Wingdings" w:hint="default"/>
      </w:rPr>
    </w:lvl>
    <w:lvl w:ilvl="3" w:tplc="FF0054B4" w:tentative="1">
      <w:start w:val="1"/>
      <w:numFmt w:val="bullet"/>
      <w:lvlText w:val=""/>
      <w:lvlJc w:val="left"/>
      <w:pPr>
        <w:ind w:left="2880" w:hanging="360"/>
      </w:pPr>
      <w:rPr>
        <w:rFonts w:ascii="Symbol" w:hAnsi="Symbol" w:hint="default"/>
      </w:rPr>
    </w:lvl>
    <w:lvl w:ilvl="4" w:tplc="0F9E9550" w:tentative="1">
      <w:start w:val="1"/>
      <w:numFmt w:val="bullet"/>
      <w:lvlText w:val="o"/>
      <w:lvlJc w:val="left"/>
      <w:pPr>
        <w:ind w:left="3600" w:hanging="360"/>
      </w:pPr>
      <w:rPr>
        <w:rFonts w:ascii="Courier New" w:hAnsi="Courier New" w:cs="Courier New" w:hint="default"/>
      </w:rPr>
    </w:lvl>
    <w:lvl w:ilvl="5" w:tplc="A1E0A364" w:tentative="1">
      <w:start w:val="1"/>
      <w:numFmt w:val="bullet"/>
      <w:lvlText w:val=""/>
      <w:lvlJc w:val="left"/>
      <w:pPr>
        <w:ind w:left="4320" w:hanging="360"/>
      </w:pPr>
      <w:rPr>
        <w:rFonts w:ascii="Wingdings" w:hAnsi="Wingdings" w:hint="default"/>
      </w:rPr>
    </w:lvl>
    <w:lvl w:ilvl="6" w:tplc="DCAC3778" w:tentative="1">
      <w:start w:val="1"/>
      <w:numFmt w:val="bullet"/>
      <w:lvlText w:val=""/>
      <w:lvlJc w:val="left"/>
      <w:pPr>
        <w:ind w:left="5040" w:hanging="360"/>
      </w:pPr>
      <w:rPr>
        <w:rFonts w:ascii="Symbol" w:hAnsi="Symbol" w:hint="default"/>
      </w:rPr>
    </w:lvl>
    <w:lvl w:ilvl="7" w:tplc="742632B4" w:tentative="1">
      <w:start w:val="1"/>
      <w:numFmt w:val="bullet"/>
      <w:lvlText w:val="o"/>
      <w:lvlJc w:val="left"/>
      <w:pPr>
        <w:ind w:left="5760" w:hanging="360"/>
      </w:pPr>
      <w:rPr>
        <w:rFonts w:ascii="Courier New" w:hAnsi="Courier New" w:cs="Courier New" w:hint="default"/>
      </w:rPr>
    </w:lvl>
    <w:lvl w:ilvl="8" w:tplc="95DC7C1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74E0306A">
      <w:start w:val="1"/>
      <w:numFmt w:val="bullet"/>
      <w:lvlText w:val=""/>
      <w:lvlJc w:val="left"/>
      <w:pPr>
        <w:ind w:left="720" w:hanging="360"/>
      </w:pPr>
      <w:rPr>
        <w:rFonts w:ascii="Symbol" w:hAnsi="Symbol" w:hint="default"/>
      </w:rPr>
    </w:lvl>
    <w:lvl w:ilvl="1" w:tplc="DB782F42">
      <w:start w:val="1"/>
      <w:numFmt w:val="bullet"/>
      <w:lvlText w:val="o"/>
      <w:lvlJc w:val="left"/>
      <w:pPr>
        <w:ind w:left="1440" w:hanging="360"/>
      </w:pPr>
      <w:rPr>
        <w:rFonts w:ascii="Courier New" w:hAnsi="Courier New" w:cs="Courier New" w:hint="default"/>
      </w:rPr>
    </w:lvl>
    <w:lvl w:ilvl="2" w:tplc="3DE84F6E">
      <w:start w:val="1"/>
      <w:numFmt w:val="bullet"/>
      <w:lvlText w:val=""/>
      <w:lvlJc w:val="left"/>
      <w:pPr>
        <w:ind w:left="2160" w:hanging="360"/>
      </w:pPr>
      <w:rPr>
        <w:rFonts w:ascii="Wingdings" w:hAnsi="Wingdings" w:hint="default"/>
      </w:rPr>
    </w:lvl>
    <w:lvl w:ilvl="3" w:tplc="7E3AFAA8">
      <w:start w:val="1"/>
      <w:numFmt w:val="bullet"/>
      <w:lvlText w:val=""/>
      <w:lvlJc w:val="left"/>
      <w:pPr>
        <w:ind w:left="2880" w:hanging="360"/>
      </w:pPr>
      <w:rPr>
        <w:rFonts w:ascii="Symbol" w:hAnsi="Symbol" w:hint="default"/>
      </w:rPr>
    </w:lvl>
    <w:lvl w:ilvl="4" w:tplc="B6B00C68">
      <w:start w:val="1"/>
      <w:numFmt w:val="bullet"/>
      <w:lvlText w:val="o"/>
      <w:lvlJc w:val="left"/>
      <w:pPr>
        <w:ind w:left="3600" w:hanging="360"/>
      </w:pPr>
      <w:rPr>
        <w:rFonts w:ascii="Courier New" w:hAnsi="Courier New" w:cs="Courier New" w:hint="default"/>
      </w:rPr>
    </w:lvl>
    <w:lvl w:ilvl="5" w:tplc="4A04E07E">
      <w:start w:val="1"/>
      <w:numFmt w:val="bullet"/>
      <w:lvlText w:val=""/>
      <w:lvlJc w:val="left"/>
      <w:pPr>
        <w:ind w:left="4320" w:hanging="360"/>
      </w:pPr>
      <w:rPr>
        <w:rFonts w:ascii="Wingdings" w:hAnsi="Wingdings" w:hint="default"/>
      </w:rPr>
    </w:lvl>
    <w:lvl w:ilvl="6" w:tplc="029A4DDE">
      <w:start w:val="1"/>
      <w:numFmt w:val="bullet"/>
      <w:lvlText w:val=""/>
      <w:lvlJc w:val="left"/>
      <w:pPr>
        <w:ind w:left="5040" w:hanging="360"/>
      </w:pPr>
      <w:rPr>
        <w:rFonts w:ascii="Symbol" w:hAnsi="Symbol" w:hint="default"/>
      </w:rPr>
    </w:lvl>
    <w:lvl w:ilvl="7" w:tplc="8CF05EF0">
      <w:start w:val="1"/>
      <w:numFmt w:val="bullet"/>
      <w:lvlText w:val="o"/>
      <w:lvlJc w:val="left"/>
      <w:pPr>
        <w:ind w:left="5760" w:hanging="360"/>
      </w:pPr>
      <w:rPr>
        <w:rFonts w:ascii="Courier New" w:hAnsi="Courier New" w:cs="Courier New" w:hint="default"/>
      </w:rPr>
    </w:lvl>
    <w:lvl w:ilvl="8" w:tplc="8C9A89B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SK"/>
    <w:docVar w:name="dvnumam" w:val="187"/>
    <w:docVar w:name="dvpe" w:val="753.514"/>
    <w:docVar w:name="dvrapporteur" w:val="Spravodajkyňa: "/>
    <w:docVar w:name="dvstar" w:val="***I"/>
    <w:docVar w:name="dvtitre" w:val="Legislatívne uznesenie Európskeho parlamentu z xx. marca 2024 o návrhu nariadenia Európskeho parlamentu a Rady o Európskej námornej bezpečnostnej agentúre a o zrušení nariadenia (ES) č. 1406/2002(COM(2023)0269 – C9-0190/2023 – 2023/0163(COD))"/>
  </w:docVars>
  <w:rsids>
    <w:rsidRoot w:val="00B47592"/>
    <w:rsid w:val="001A11F5"/>
    <w:rsid w:val="00243D3D"/>
    <w:rsid w:val="003F7CBF"/>
    <w:rsid w:val="004245EA"/>
    <w:rsid w:val="0072381D"/>
    <w:rsid w:val="00B47592"/>
    <w:rsid w:val="00B7281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00CAD"/>
  <w15:chartTrackingRefBased/>
  <w15:docId w15:val="{82720405-F0E0-4B97-BE8E-9F335E16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locked/>
    <w:rPr>
      <w:b/>
      <w:sz w:val="24"/>
      <w:lang w:val="sk-SK"/>
    </w:rPr>
  </w:style>
  <w:style w:type="paragraph" w:customStyle="1" w:styleId="Normal12Italic">
    <w:name w:val="Normal12Italic"/>
    <w:basedOn w:val="Normal"/>
    <w:pPr>
      <w:spacing w:after="240"/>
    </w:pPr>
    <w:rPr>
      <w:i/>
      <w:noProof/>
    </w:rPr>
  </w:style>
  <w:style w:type="paragraph" w:customStyle="1" w:styleId="JustificationTitle">
    <w:name w:val="JustificationTitle"/>
    <w:basedOn w:val="Normal"/>
    <w:next w:val="Normal"/>
    <w:pPr>
      <w:keepNext/>
      <w:spacing w:before="240" w:after="240"/>
      <w:jc w:val="center"/>
    </w:pPr>
    <w:rPr>
      <w:i/>
      <w:noProof/>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customStyle="1" w:styleId="Normal12a">
    <w:name w:val="Normal12a"/>
    <w:basedOn w:val="Normal"/>
    <w:pPr>
      <w:spacing w:after="240"/>
    </w:pPr>
  </w:style>
  <w:style w:type="paragraph" w:customStyle="1" w:styleId="CoverDateNoRef">
    <w:name w:val="CoverDateNoRef"/>
    <w:basedOn w:val="Normal"/>
    <w:pPr>
      <w:spacing w:before="1560" w:after="1200"/>
    </w:pPr>
  </w:style>
  <w:style w:type="paragraph" w:styleId="PlainText">
    <w:name w:val="Plain Text"/>
    <w:basedOn w:val="Normal"/>
    <w:link w:val="PlainTextChar"/>
    <w:uiPriority w:val="99"/>
    <w:unhideWhenUsed/>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Pr>
      <w:rFonts w:ascii="Calibri" w:eastAsia="Calibri" w:hAnsi="Calibri"/>
      <w:sz w:val="22"/>
      <w:szCs w:val="21"/>
      <w:lang w:val="sk-SK" w:eastAsia="en-US"/>
    </w:rPr>
  </w:style>
  <w:style w:type="character" w:styleId="Hyperlink">
    <w:name w:val="Hyperlink"/>
    <w:basedOn w:val="DefaultParagraphFont"/>
    <w:unhideWhenUsed/>
    <w:rPr>
      <w:color w:val="0000FF"/>
      <w:u w:val="single"/>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character" w:styleId="Emphasis">
    <w:name w:val="Emphasis"/>
    <w:basedOn w:val="DefaultParagraphFont"/>
    <w:uiPriority w:val="20"/>
    <w:qFormat/>
    <w:rPr>
      <w:i/>
      <w:iCs/>
    </w:rPr>
  </w:style>
  <w:style w:type="paragraph" w:customStyle="1" w:styleId="Default">
    <w:name w:val="Default"/>
    <w:basedOn w:val="Normal"/>
    <w:pPr>
      <w:widowControl/>
      <w:autoSpaceDE w:val="0"/>
      <w:autoSpaceDN w:val="0"/>
    </w:pPr>
    <w:rPr>
      <w:rFonts w:eastAsiaTheme="minorHAnsi"/>
      <w:color w:val="000000"/>
      <w:szCs w:val="24"/>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pPr>
      <w:widowControl/>
      <w:ind w:left="720"/>
      <w:contextualSpacing/>
      <w:jc w:val="both"/>
    </w:pPr>
    <w:rPr>
      <w:rFonts w:eastAsia="Calibri"/>
      <w:szCs w:val="24"/>
      <w:lang w:eastAsia="en-US"/>
    </w:rPr>
  </w:style>
  <w:style w:type="paragraph" w:customStyle="1" w:styleId="Text1">
    <w:name w:val="Text 1"/>
    <w:basedOn w:val="Normal"/>
    <w:pPr>
      <w:widowControl/>
      <w:spacing w:before="120" w:after="120"/>
      <w:ind w:left="850"/>
      <w:jc w:val="both"/>
    </w:pPr>
    <w:rPr>
      <w:rFonts w:eastAsia="Calibri"/>
      <w:szCs w:val="22"/>
      <w:lang w:eastAsia="en-US"/>
    </w:rPr>
  </w:style>
  <w:style w:type="paragraph" w:styleId="Revision">
    <w:name w:val="Revision"/>
    <w:hidden/>
    <w:uiPriority w:val="99"/>
    <w:semiHidden/>
    <w:rPr>
      <w:sz w:val="24"/>
      <w:lang w:val="sk-SK"/>
    </w:rPr>
  </w:style>
  <w:style w:type="character" w:styleId="FollowedHyperlink">
    <w:name w:val="FollowedHyperlink"/>
    <w:basedOn w:val="DefaultParagraphFont"/>
    <w:uiPriority w:val="99"/>
    <w:unhideWhenUsed/>
    <w:rPr>
      <w:color w:val="954F72" w:themeColor="followedHyperlink"/>
      <w:u w:val="single"/>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paragraph" w:customStyle="1" w:styleId="FootnoteTextForceStyle">
    <w:name w:val="Footnote Text ForceStyle"/>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2C4DB-A4A6-4C18-8CB3-1684EDE4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14763</Words>
  <Characters>91196</Characters>
  <Application>Microsoft Office Word</Application>
  <DocSecurity>0</DocSecurity>
  <Lines>759</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2024-10-08T13:29:00Z</dcterms:created>
  <dcterms:modified xsi:type="dcterms:W3CDTF">2024-10-08T13:29:00Z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A9-0423/2023</vt:lpwstr>
  </property>
  <property fmtid="{D5CDD505-2E9C-101B-9397-08002B2CF9AE}" pid="4" name="&lt;Type&gt;">
    <vt:lpwstr>RR</vt:lpwstr>
  </property>
</Properties>
</file>