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2101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21017" w:rsidRDefault="00EB7A1F" w:rsidP="0010095E">
            <w:pPr>
              <w:pStyle w:val="EPName"/>
            </w:pPr>
            <w:r w:rsidRPr="00F21017">
              <w:t>Parlament Ewropew</w:t>
            </w:r>
          </w:p>
          <w:p w:rsidR="00751A4A" w:rsidRPr="00F2101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57C78">
              <w:t>2019</w:t>
            </w:r>
            <w:r w:rsidRPr="00F21017">
              <w:t>-</w:t>
            </w:r>
            <w:r w:rsidRPr="00B57C7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F21017" w:rsidRDefault="00187494" w:rsidP="0010095E">
            <w:pPr>
              <w:pStyle w:val="EPLogo"/>
            </w:pPr>
            <w:r w:rsidRPr="00F2101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21017" w:rsidRDefault="00D058B8" w:rsidP="004C5D52">
      <w:pPr>
        <w:pStyle w:val="LineTop"/>
      </w:pPr>
    </w:p>
    <w:p w:rsidR="00680577" w:rsidRPr="00F21017" w:rsidRDefault="00EB7A1F" w:rsidP="00680577">
      <w:pPr>
        <w:pStyle w:val="EPBodyTA1"/>
      </w:pPr>
      <w:r w:rsidRPr="00F21017">
        <w:t>TESTI ADOTTATI</w:t>
      </w:r>
    </w:p>
    <w:p w:rsidR="00D058B8" w:rsidRPr="00F21017" w:rsidRDefault="00D058B8" w:rsidP="00D058B8">
      <w:pPr>
        <w:pStyle w:val="LineBottom"/>
      </w:pPr>
    </w:p>
    <w:p w:rsidR="00EB7A1F" w:rsidRPr="00F21017" w:rsidRDefault="00EB7A1F" w:rsidP="00EB7A1F">
      <w:pPr>
        <w:pStyle w:val="ATHeading1"/>
      </w:pPr>
      <w:bookmarkStart w:id="0" w:name="TANumber"/>
      <w:r w:rsidRPr="00F21017">
        <w:t>P</w:t>
      </w:r>
      <w:r w:rsidRPr="00B57C78">
        <w:t>9</w:t>
      </w:r>
      <w:r w:rsidRPr="00F21017">
        <w:t>_TA(</w:t>
      </w:r>
      <w:r w:rsidRPr="00B57C78">
        <w:t>2024</w:t>
      </w:r>
      <w:r w:rsidRPr="00F21017">
        <w:t>)</w:t>
      </w:r>
      <w:r w:rsidRPr="00B57C78">
        <w:t>0</w:t>
      </w:r>
      <w:bookmarkEnd w:id="0"/>
      <w:r w:rsidR="00F21017" w:rsidRPr="00B57C78">
        <w:t>137</w:t>
      </w:r>
    </w:p>
    <w:p w:rsidR="00EB7A1F" w:rsidRPr="00F21017" w:rsidRDefault="00A95149" w:rsidP="00EB7A1F">
      <w:pPr>
        <w:pStyle w:val="ATHeading2"/>
      </w:pPr>
      <w:r w:rsidRPr="00F21017">
        <w:t>L-Att Ewropew dwar il-Libertà tal-Midja</w:t>
      </w:r>
    </w:p>
    <w:p w:rsidR="00EB7A1F" w:rsidRPr="00F21017" w:rsidRDefault="00EB7A1F" w:rsidP="00EB7A1F">
      <w:pPr>
        <w:rPr>
          <w:i/>
          <w:vanish/>
        </w:rPr>
      </w:pPr>
      <w:r w:rsidRPr="00F21017">
        <w:rPr>
          <w:i/>
        </w:rPr>
        <w:fldChar w:fldCharType="begin"/>
      </w:r>
      <w:r w:rsidRPr="00F21017">
        <w:rPr>
          <w:i/>
        </w:rPr>
        <w:instrText xml:space="preserve"> TC"(</w:instrText>
      </w:r>
      <w:bookmarkStart w:id="1" w:name="DocNumber"/>
      <w:r w:rsidRPr="00F21017">
        <w:rPr>
          <w:i/>
        </w:rPr>
        <w:instrText>A</w:instrText>
      </w:r>
      <w:r w:rsidRPr="00B57C78">
        <w:rPr>
          <w:i/>
        </w:rPr>
        <w:instrText>9</w:instrText>
      </w:r>
      <w:r w:rsidRPr="00F21017">
        <w:rPr>
          <w:i/>
        </w:rPr>
        <w:instrText>-</w:instrText>
      </w:r>
      <w:r w:rsidRPr="00B57C78">
        <w:rPr>
          <w:i/>
        </w:rPr>
        <w:instrText>0264</w:instrText>
      </w:r>
      <w:r w:rsidRPr="00F21017">
        <w:rPr>
          <w:i/>
        </w:rPr>
        <w:instrText>/</w:instrText>
      </w:r>
      <w:r w:rsidRPr="00B57C78">
        <w:rPr>
          <w:i/>
        </w:rPr>
        <w:instrText>2023</w:instrText>
      </w:r>
      <w:bookmarkEnd w:id="1"/>
      <w:r w:rsidRPr="00F21017">
        <w:rPr>
          <w:i/>
        </w:rPr>
        <w:instrText xml:space="preserve"> - Rapporteur: Sabine Verheyen)"\l</w:instrText>
      </w:r>
      <w:r w:rsidRPr="00B57C78">
        <w:rPr>
          <w:i/>
        </w:rPr>
        <w:instrText>3</w:instrText>
      </w:r>
      <w:r w:rsidRPr="00F21017">
        <w:rPr>
          <w:i/>
        </w:rPr>
        <w:instrText xml:space="preserve"> \n&gt; \* MERGEFORMAT </w:instrText>
      </w:r>
      <w:r w:rsidRPr="00F21017">
        <w:rPr>
          <w:i/>
        </w:rPr>
        <w:fldChar w:fldCharType="end"/>
      </w:r>
    </w:p>
    <w:p w:rsidR="00EB7A1F" w:rsidRPr="00F21017" w:rsidRDefault="00EB7A1F" w:rsidP="00EB7A1F">
      <w:pPr>
        <w:rPr>
          <w:vanish/>
        </w:rPr>
      </w:pPr>
      <w:bookmarkStart w:id="2" w:name="Commission"/>
      <w:r w:rsidRPr="00F21017">
        <w:rPr>
          <w:vanish/>
        </w:rPr>
        <w:t>Kumitat għall-Kultura u l-Edukazzjoni</w:t>
      </w:r>
      <w:bookmarkEnd w:id="2"/>
    </w:p>
    <w:p w:rsidR="00EB7A1F" w:rsidRPr="00F21017" w:rsidRDefault="00EB7A1F" w:rsidP="00EB7A1F">
      <w:pPr>
        <w:rPr>
          <w:vanish/>
        </w:rPr>
      </w:pPr>
      <w:bookmarkStart w:id="3" w:name="PE"/>
      <w:r w:rsidRPr="00F21017">
        <w:rPr>
          <w:vanish/>
        </w:rPr>
        <w:t>PE</w:t>
      </w:r>
      <w:r w:rsidRPr="00B57C78">
        <w:rPr>
          <w:vanish/>
        </w:rPr>
        <w:t>746</w:t>
      </w:r>
      <w:r w:rsidRPr="00F21017">
        <w:rPr>
          <w:vanish/>
        </w:rPr>
        <w:t>.</w:t>
      </w:r>
      <w:r w:rsidRPr="00B57C78">
        <w:rPr>
          <w:vanish/>
        </w:rPr>
        <w:t>655</w:t>
      </w:r>
      <w:bookmarkEnd w:id="3"/>
    </w:p>
    <w:p w:rsidR="00EB7A1F" w:rsidRPr="00F21017" w:rsidRDefault="00EB7A1F" w:rsidP="00EB7A1F">
      <w:pPr>
        <w:pStyle w:val="ATHeading3"/>
      </w:pPr>
      <w:bookmarkStart w:id="4" w:name="Sujet"/>
      <w:r w:rsidRPr="00F21017">
        <w:t>Riżoluzzjoni leġiżlattiva tal-Parlament Ewropew tat-</w:t>
      </w:r>
      <w:r w:rsidRPr="00B57C78">
        <w:t>13</w:t>
      </w:r>
      <w:r w:rsidRPr="00F21017">
        <w:t xml:space="preserve"> ta' Marzu </w:t>
      </w:r>
      <w:r w:rsidRPr="00B57C78">
        <w:t>2024</w:t>
      </w:r>
      <w:r w:rsidRPr="00F21017">
        <w:t xml:space="preserve"> dwar il-proposta għal regolament tal-Parlament Ewropew u tal-Kunsill li jistabbilixxi qafas komuni għas-servizzi tal-midja fis-suq intern (l-Att Ewropew dwar il-Libertà tal-Midja) u li jemenda d-Direttiva </w:t>
      </w:r>
      <w:r w:rsidRPr="00B57C78">
        <w:t>2010</w:t>
      </w:r>
      <w:r w:rsidRPr="00F21017">
        <w:t>/</w:t>
      </w:r>
      <w:r w:rsidRPr="00B57C78">
        <w:t>13</w:t>
      </w:r>
      <w:r w:rsidRPr="00F21017">
        <w:t>/UE</w:t>
      </w:r>
      <w:bookmarkEnd w:id="4"/>
      <w:r w:rsidRPr="00F21017">
        <w:t xml:space="preserve"> </w:t>
      </w:r>
      <w:bookmarkStart w:id="5" w:name="References"/>
      <w:r w:rsidRPr="00F21017">
        <w:t>(COM(</w:t>
      </w:r>
      <w:r w:rsidRPr="00B57C78">
        <w:t>2022</w:t>
      </w:r>
      <w:r w:rsidRPr="00F21017">
        <w:t>)</w:t>
      </w:r>
      <w:r w:rsidRPr="00B57C78">
        <w:t>0457</w:t>
      </w:r>
      <w:r w:rsidRPr="00F21017">
        <w:t xml:space="preserve"> – C</w:t>
      </w:r>
      <w:r w:rsidRPr="00B57C78">
        <w:t>9</w:t>
      </w:r>
      <w:r w:rsidRPr="00F21017">
        <w:t>-</w:t>
      </w:r>
      <w:r w:rsidRPr="00B57C78">
        <w:t>0309</w:t>
      </w:r>
      <w:r w:rsidRPr="00F21017">
        <w:t>/</w:t>
      </w:r>
      <w:r w:rsidRPr="00B57C78">
        <w:t>2022</w:t>
      </w:r>
      <w:r w:rsidRPr="00F21017">
        <w:t xml:space="preserve"> – </w:t>
      </w:r>
      <w:r w:rsidRPr="00B57C78">
        <w:t>2022</w:t>
      </w:r>
      <w:r w:rsidRPr="00F21017">
        <w:t>/</w:t>
      </w:r>
      <w:r w:rsidRPr="00B57C78">
        <w:t>0277</w:t>
      </w:r>
      <w:r w:rsidRPr="00F21017">
        <w:t>(COD))</w:t>
      </w:r>
      <w:bookmarkEnd w:id="5"/>
    </w:p>
    <w:p w:rsidR="00F61BC6" w:rsidRPr="00F21017" w:rsidRDefault="00F61BC6" w:rsidP="00F61BC6">
      <w:pPr>
        <w:pStyle w:val="NormalBold"/>
      </w:pPr>
      <w:bookmarkStart w:id="6" w:name="TextBodyBegin"/>
      <w:bookmarkEnd w:id="6"/>
      <w:r w:rsidRPr="00F21017">
        <w:t>(Proċedura leġiżlattiva ordinarja: l-ewwel qari)</w:t>
      </w:r>
    </w:p>
    <w:p w:rsidR="00F61BC6" w:rsidRPr="00F21017" w:rsidRDefault="00F61BC6" w:rsidP="00F61BC6">
      <w:pPr>
        <w:pStyle w:val="EPComma"/>
      </w:pPr>
      <w:r w:rsidRPr="00F21017">
        <w:rPr>
          <w:i/>
        </w:rPr>
        <w:t>Il-Parla</w:t>
      </w:r>
      <w:bookmarkStart w:id="7" w:name="_GoBack"/>
      <w:bookmarkEnd w:id="7"/>
      <w:r w:rsidRPr="00F21017">
        <w:rPr>
          <w:i/>
        </w:rPr>
        <w:t>ment Ewropew</w:t>
      </w:r>
      <w:r w:rsidRPr="00F21017">
        <w:t>,</w:t>
      </w:r>
    </w:p>
    <w:p w:rsidR="00F61BC6" w:rsidRPr="00F21017" w:rsidRDefault="00F61BC6" w:rsidP="00F61BC6">
      <w:pPr>
        <w:pStyle w:val="NormalHanging12a"/>
      </w:pPr>
      <w:r w:rsidRPr="00F21017">
        <w:t>–</w:t>
      </w:r>
      <w:r w:rsidRPr="00F21017">
        <w:tab/>
        <w:t>wara li kkunsidra l-proposta tal-Kummissjoni lill-Parlament Ewropew u lill-Kunsill (COM(</w:t>
      </w:r>
      <w:r w:rsidRPr="00B57C78">
        <w:t>2022</w:t>
      </w:r>
      <w:r w:rsidRPr="00F21017">
        <w:t>)</w:t>
      </w:r>
      <w:r w:rsidRPr="00B57C78">
        <w:t>0457</w:t>
      </w:r>
      <w:r w:rsidRPr="00F21017">
        <w:t>),</w:t>
      </w:r>
    </w:p>
    <w:p w:rsidR="00F61BC6" w:rsidRPr="00F21017" w:rsidRDefault="00F61BC6" w:rsidP="00F61BC6">
      <w:pPr>
        <w:pStyle w:val="NormalHanging12a"/>
      </w:pPr>
      <w:r w:rsidRPr="00F21017">
        <w:t>–</w:t>
      </w:r>
      <w:r w:rsidRPr="00F21017">
        <w:tab/>
        <w:t xml:space="preserve">wara li kkunsidra l-Artikolu </w:t>
      </w:r>
      <w:r w:rsidRPr="00B57C78">
        <w:t>294</w:t>
      </w:r>
      <w:r w:rsidRPr="00F21017">
        <w:t>(</w:t>
      </w:r>
      <w:r w:rsidRPr="00B57C78">
        <w:t>2</w:t>
      </w:r>
      <w:r w:rsidRPr="00F21017">
        <w:t xml:space="preserve">) u l-Artikolu </w:t>
      </w:r>
      <w:r w:rsidRPr="00B57C78">
        <w:t>114</w:t>
      </w:r>
      <w:r w:rsidRPr="00F21017">
        <w:t xml:space="preserve"> tat-Trattat dwar il-Funzjonament tal-Unjoni Ewropea, skont liema artikoli l-Kummissjoni ppreżentat il-proposta lill-Parlament (C</w:t>
      </w:r>
      <w:r w:rsidRPr="00B57C78">
        <w:t>9</w:t>
      </w:r>
      <w:r w:rsidRPr="00F21017">
        <w:noBreakHyphen/>
      </w:r>
      <w:r w:rsidRPr="00B57C78">
        <w:t>0309</w:t>
      </w:r>
      <w:r w:rsidRPr="00F21017">
        <w:t>/</w:t>
      </w:r>
      <w:r w:rsidRPr="00B57C78">
        <w:t>2022</w:t>
      </w:r>
      <w:r w:rsidRPr="00F21017">
        <w:t>),</w:t>
      </w:r>
    </w:p>
    <w:p w:rsidR="00F61BC6" w:rsidRPr="00F21017" w:rsidRDefault="00F61BC6" w:rsidP="00F61BC6">
      <w:pPr>
        <w:pStyle w:val="NormalHanging12a"/>
      </w:pPr>
      <w:r w:rsidRPr="00F21017">
        <w:t>–</w:t>
      </w:r>
      <w:r w:rsidRPr="00F21017">
        <w:tab/>
        <w:t xml:space="preserve">wara li kkunsidra l-Artikolu </w:t>
      </w:r>
      <w:r w:rsidRPr="00B57C78">
        <w:t>294</w:t>
      </w:r>
      <w:r w:rsidRPr="00F21017">
        <w:t>(</w:t>
      </w:r>
      <w:r w:rsidRPr="00B57C78">
        <w:t>3</w:t>
      </w:r>
      <w:r w:rsidRPr="00F21017">
        <w:t>) tat-Trattat dwar il-Funzjonament tal-Unjoni Ewropea,</w:t>
      </w:r>
    </w:p>
    <w:p w:rsidR="00F61BC6" w:rsidRPr="00F21017" w:rsidRDefault="00F61BC6" w:rsidP="00F61BC6">
      <w:pPr>
        <w:pStyle w:val="NormalHanging12a"/>
      </w:pPr>
      <w:r w:rsidRPr="00F21017">
        <w:t>–</w:t>
      </w:r>
      <w:r w:rsidRPr="00F21017">
        <w:tab/>
        <w:t xml:space="preserve">wara li kkunsidra l-opinjonijiet motivati mressqa, fi ħdan il-qafas tal-Protokoll Nru </w:t>
      </w:r>
      <w:r w:rsidRPr="00B57C78">
        <w:t>2</w:t>
      </w:r>
      <w:r w:rsidRPr="00F21017">
        <w:t xml:space="preserve"> dwar l-applikazzjoni tal-prinċipji ta’ sussidjarjetà u proporzjonalità, mill-Parlament Daniż, il-Bundesrat Ġermaniż, is-Senat Franċiż u l-Parlament Ungeriż, li jiddikjaraw li l-abbozz ta’ att leġislattiv ma jikkonformax mal-prinċipju ta’ sussidjarjetà,</w:t>
      </w:r>
    </w:p>
    <w:p w:rsidR="00F61BC6" w:rsidRPr="00F21017" w:rsidRDefault="00F61BC6" w:rsidP="00F61BC6">
      <w:pPr>
        <w:pStyle w:val="NormalHanging12a"/>
      </w:pPr>
      <w:r w:rsidRPr="00F21017">
        <w:t>–</w:t>
      </w:r>
      <w:r w:rsidRPr="00F21017">
        <w:tab/>
        <w:t>wara li kkunsidra l-opinjoni tal-Kumitat Ekonomiku u Soċjali Ewropew tal-</w:t>
      </w:r>
      <w:r w:rsidRPr="00B57C78">
        <w:t>14</w:t>
      </w:r>
      <w:r w:rsidRPr="00F21017">
        <w:t xml:space="preserve"> ta’ Diċembru </w:t>
      </w:r>
      <w:r w:rsidRPr="00B57C78">
        <w:t>2022</w:t>
      </w:r>
      <w:r w:rsidRPr="00F21017">
        <w:rPr>
          <w:rStyle w:val="FootnoteReference"/>
        </w:rPr>
        <w:footnoteReference w:id="1"/>
      </w:r>
      <w:r w:rsidRPr="00F21017">
        <w:t>,</w:t>
      </w:r>
    </w:p>
    <w:p w:rsidR="00F61BC6" w:rsidRPr="00F21017" w:rsidRDefault="00F61BC6" w:rsidP="00F61BC6">
      <w:pPr>
        <w:pStyle w:val="NormalHanging12a"/>
      </w:pPr>
      <w:r w:rsidRPr="00F21017">
        <w:t>–</w:t>
      </w:r>
      <w:r w:rsidRPr="00F21017">
        <w:tab/>
        <w:t>wara li kkunsidra l-opinjoni tal-Kumitat tar-Reġjuni tas-</w:t>
      </w:r>
      <w:r w:rsidRPr="00B57C78">
        <w:t>16</w:t>
      </w:r>
      <w:r w:rsidRPr="00F21017">
        <w:t xml:space="preserve"> ta’ Marzu </w:t>
      </w:r>
      <w:r w:rsidRPr="00B57C78">
        <w:t>2023</w:t>
      </w:r>
      <w:r w:rsidRPr="00F21017">
        <w:rPr>
          <w:rStyle w:val="FootnoteReference"/>
        </w:rPr>
        <w:footnoteReference w:id="2"/>
      </w:r>
      <w:r w:rsidRPr="00F21017">
        <w:t>,</w:t>
      </w:r>
    </w:p>
    <w:p w:rsidR="008E12F8" w:rsidRPr="00F21017" w:rsidRDefault="008E12F8" w:rsidP="00F61BC6">
      <w:pPr>
        <w:pStyle w:val="NormalHanging12a"/>
      </w:pPr>
      <w:r w:rsidRPr="00F21017">
        <w:t>–</w:t>
      </w:r>
      <w:r w:rsidRPr="00F21017">
        <w:tab/>
        <w:t xml:space="preserve">wara li kkunsidra l-ftehim provviżorju approvat mill-kumitat responsabbli skont l-Artikolu </w:t>
      </w:r>
      <w:r w:rsidRPr="00B57C78">
        <w:t>74</w:t>
      </w:r>
      <w:r w:rsidRPr="00F21017">
        <w:t>(</w:t>
      </w:r>
      <w:r w:rsidRPr="00B57C78">
        <w:t>4</w:t>
      </w:r>
      <w:r w:rsidRPr="00F21017">
        <w:t>) tar-Regoli ta' Proċedura tiegħu u l-impenn mogħti mir-rappreżentant tal-Kunsill permezz ta' ittra tad-</w:t>
      </w:r>
      <w:r w:rsidRPr="00B57C78">
        <w:t>19</w:t>
      </w:r>
      <w:r w:rsidRPr="00F21017">
        <w:t xml:space="preserve"> ta' Jannar </w:t>
      </w:r>
      <w:r w:rsidRPr="00B57C78">
        <w:t>2024</w:t>
      </w:r>
      <w:r w:rsidRPr="00F21017">
        <w:t xml:space="preserve"> li japprova l-pożizzjoni tal-Parlament, </w:t>
      </w:r>
      <w:r w:rsidRPr="00F21017">
        <w:lastRenderedPageBreak/>
        <w:t xml:space="preserve">skont l-Artikolu </w:t>
      </w:r>
      <w:r w:rsidRPr="00B57C78">
        <w:t>294</w:t>
      </w:r>
      <w:r w:rsidRPr="00F21017">
        <w:t>(</w:t>
      </w:r>
      <w:r w:rsidRPr="00B57C78">
        <w:t>4</w:t>
      </w:r>
      <w:r w:rsidRPr="00F21017">
        <w:t>) tal- it-Trattat dwar il-Funzjonament tal-Unjoni Ewropea,</w:t>
      </w:r>
    </w:p>
    <w:p w:rsidR="00F61BC6" w:rsidRPr="00F21017" w:rsidRDefault="00F61BC6" w:rsidP="00F61BC6">
      <w:pPr>
        <w:pStyle w:val="NormalHanging12a"/>
      </w:pPr>
      <w:r w:rsidRPr="00F21017">
        <w:t>–</w:t>
      </w:r>
      <w:r w:rsidRPr="00F21017">
        <w:tab/>
        <w:t xml:space="preserve">wara li kkunsidra l-Artikolu </w:t>
      </w:r>
      <w:r w:rsidRPr="00B57C78">
        <w:t>59</w:t>
      </w:r>
      <w:r w:rsidRPr="00F21017">
        <w:t xml:space="preserve"> tar-Regoli ta’ Proċedura tiegħu,</w:t>
      </w:r>
    </w:p>
    <w:p w:rsidR="00F61BC6" w:rsidRPr="00F21017" w:rsidRDefault="00F61BC6" w:rsidP="00F61BC6">
      <w:pPr>
        <w:pStyle w:val="NormalHanging12a"/>
      </w:pPr>
      <w:r w:rsidRPr="00F21017">
        <w:t>–</w:t>
      </w:r>
      <w:r w:rsidRPr="00F21017">
        <w:tab/>
        <w:t>wara li kkunsidra l-opinjonijiet tal-Kumitat għal-Libertajiet Ċivili, il-Ġustizzja u l-Intern u tal-Kumitat għas-Suq Intern u l-Ħarsien tal-Konsumatur,</w:t>
      </w:r>
    </w:p>
    <w:p w:rsidR="00F61BC6" w:rsidRPr="00F21017" w:rsidRDefault="00F61BC6" w:rsidP="00F61BC6">
      <w:pPr>
        <w:pStyle w:val="NormalHanging12a"/>
      </w:pPr>
      <w:r w:rsidRPr="00F21017">
        <w:t>–</w:t>
      </w:r>
      <w:r w:rsidRPr="00F21017">
        <w:tab/>
        <w:t>wara li kkunsidra r-rapport tal-Kumitat għall-Kultura u l-Edukazzjoni (A</w:t>
      </w:r>
      <w:r w:rsidRPr="00B57C78">
        <w:t>9</w:t>
      </w:r>
      <w:r w:rsidRPr="00F21017">
        <w:t>-</w:t>
      </w:r>
      <w:r w:rsidRPr="00B57C78">
        <w:t>0264</w:t>
      </w:r>
      <w:r w:rsidRPr="00F21017">
        <w:t>/</w:t>
      </w:r>
      <w:r w:rsidRPr="00B57C78">
        <w:t>2023</w:t>
      </w:r>
      <w:r w:rsidRPr="00F21017">
        <w:t>),</w:t>
      </w:r>
    </w:p>
    <w:p w:rsidR="00F61BC6" w:rsidRPr="00F21017" w:rsidRDefault="00F61BC6" w:rsidP="00F61BC6">
      <w:pPr>
        <w:pStyle w:val="NormalHanging12a"/>
      </w:pPr>
      <w:r w:rsidRPr="00B57C78">
        <w:t>1</w:t>
      </w:r>
      <w:r w:rsidRPr="00F21017">
        <w:t>.</w:t>
      </w:r>
      <w:r w:rsidRPr="00F21017">
        <w:tab/>
        <w:t>Jadotta l-pożizzjoni fl-ewwel qari li tidher hawn taħt</w:t>
      </w:r>
      <w:r w:rsidR="008E12F8" w:rsidRPr="00F21017">
        <w:rPr>
          <w:rStyle w:val="FootnoteReference"/>
        </w:rPr>
        <w:footnoteReference w:id="3"/>
      </w:r>
      <w:r w:rsidRPr="00F21017">
        <w:t>;</w:t>
      </w:r>
    </w:p>
    <w:p w:rsidR="00F61BC6" w:rsidRPr="00F21017" w:rsidRDefault="00F61BC6" w:rsidP="00F61BC6">
      <w:pPr>
        <w:pStyle w:val="NormalHanging12a"/>
      </w:pPr>
      <w:r w:rsidRPr="00B57C78">
        <w:t>2</w:t>
      </w:r>
      <w:r w:rsidRPr="00F21017">
        <w:t>.</w:t>
      </w:r>
      <w:r w:rsidRPr="00F21017">
        <w:tab/>
        <w:t>Jitlob lill-Kummissjoni terġa’ tirreferi l-kwistjoni lill-Parlament jekk tibdel il-proposta tagħha, temendaha b’mod sustanzjali jew ikollha l-ħsieb li temendaha b’mod sustanzjali;</w:t>
      </w:r>
    </w:p>
    <w:p w:rsidR="008E12F8" w:rsidRPr="00F21017" w:rsidRDefault="00F61BC6" w:rsidP="00F61BC6">
      <w:pPr>
        <w:pStyle w:val="NormalHanging12a"/>
        <w:sectPr w:rsidR="008E12F8" w:rsidRPr="00F21017" w:rsidSect="0043177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57C78">
        <w:t>3</w:t>
      </w:r>
      <w:r w:rsidRPr="00F21017">
        <w:t>.</w:t>
      </w:r>
      <w:r w:rsidRPr="00F21017">
        <w:tab/>
        <w:t>Jagħti istruzzjonijiet lill-President tiegħu biex tgħaddi l-pożizzjoni tal-Parlament lill-Kunsill u lill-Kummissjoni kif ukoll lill-parlamenti nazzjonali.</w:t>
      </w:r>
    </w:p>
    <w:p w:rsidR="008E12F8" w:rsidRPr="00F21017" w:rsidRDefault="008E12F8" w:rsidP="008E12F8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21017">
        <w:rPr>
          <w:rFonts w:eastAsia="Calibri"/>
          <w:b/>
          <w:bCs/>
          <w:color w:val="000000"/>
          <w:szCs w:val="24"/>
        </w:rPr>
        <w:lastRenderedPageBreak/>
        <w:t>P</w:t>
      </w:r>
      <w:r w:rsidRPr="00B57C78">
        <w:rPr>
          <w:rFonts w:eastAsia="Calibri"/>
          <w:b/>
          <w:bCs/>
          <w:color w:val="000000"/>
          <w:szCs w:val="24"/>
        </w:rPr>
        <w:t>9</w:t>
      </w:r>
      <w:r w:rsidRPr="00F21017">
        <w:rPr>
          <w:rFonts w:eastAsia="Calibri"/>
          <w:b/>
          <w:bCs/>
          <w:color w:val="000000"/>
          <w:szCs w:val="24"/>
        </w:rPr>
        <w:t>_TC</w:t>
      </w:r>
      <w:r w:rsidRPr="00B57C78">
        <w:rPr>
          <w:rFonts w:eastAsia="Calibri"/>
          <w:b/>
          <w:bCs/>
          <w:color w:val="000000"/>
          <w:szCs w:val="24"/>
        </w:rPr>
        <w:t>1</w:t>
      </w:r>
      <w:r w:rsidRPr="00F21017">
        <w:rPr>
          <w:rFonts w:eastAsia="Calibri"/>
          <w:b/>
          <w:bCs/>
          <w:color w:val="000000"/>
          <w:szCs w:val="24"/>
        </w:rPr>
        <w:t>-COD(</w:t>
      </w:r>
      <w:r w:rsidRPr="00B57C78">
        <w:rPr>
          <w:rFonts w:eastAsia="Calibri"/>
          <w:b/>
          <w:bCs/>
          <w:color w:val="000000"/>
          <w:szCs w:val="24"/>
        </w:rPr>
        <w:t>2022</w:t>
      </w:r>
      <w:r w:rsidRPr="00F21017">
        <w:rPr>
          <w:rFonts w:eastAsia="Calibri"/>
          <w:b/>
          <w:bCs/>
          <w:color w:val="000000"/>
          <w:szCs w:val="24"/>
        </w:rPr>
        <w:t>)</w:t>
      </w:r>
      <w:r w:rsidRPr="00B57C78">
        <w:rPr>
          <w:rFonts w:eastAsia="Calibri"/>
          <w:b/>
          <w:bCs/>
          <w:color w:val="000000"/>
          <w:szCs w:val="24"/>
        </w:rPr>
        <w:t>0277</w:t>
      </w:r>
    </w:p>
    <w:p w:rsidR="008E12F8" w:rsidRPr="00F21017" w:rsidRDefault="008E12F8" w:rsidP="008E12F8">
      <w:pPr>
        <w:spacing w:after="240"/>
        <w:rPr>
          <w:rFonts w:eastAsia="Calibri"/>
          <w:b/>
          <w:szCs w:val="22"/>
        </w:rPr>
      </w:pPr>
      <w:r w:rsidRPr="00F21017">
        <w:rPr>
          <w:rFonts w:eastAsia="Calibri"/>
          <w:b/>
          <w:bCs/>
        </w:rPr>
        <w:t>Pożizzjoni tal-Parlament Ewropew adottata fl-ewwel qari tat-</w:t>
      </w:r>
      <w:r w:rsidRPr="00B57C78">
        <w:rPr>
          <w:rFonts w:eastAsia="Calibri"/>
          <w:b/>
          <w:bCs/>
        </w:rPr>
        <w:t>13</w:t>
      </w:r>
      <w:r w:rsidRPr="00F21017">
        <w:rPr>
          <w:b/>
        </w:rPr>
        <w:t xml:space="preserve"> </w:t>
      </w:r>
      <w:r w:rsidRPr="00F21017">
        <w:rPr>
          <w:rFonts w:eastAsia="Calibri"/>
          <w:b/>
          <w:bCs/>
        </w:rPr>
        <w:t xml:space="preserve">ta' Marzu </w:t>
      </w:r>
      <w:r w:rsidRPr="00B57C78">
        <w:rPr>
          <w:rFonts w:eastAsia="Calibri"/>
          <w:b/>
          <w:bCs/>
        </w:rPr>
        <w:t>2024</w:t>
      </w:r>
      <w:r w:rsidRPr="00F21017">
        <w:rPr>
          <w:rFonts w:eastAsia="Calibri"/>
          <w:b/>
          <w:bCs/>
        </w:rPr>
        <w:t xml:space="preserve"> bil-ħsieb tal-adozzjoni tar-Regolament (UE) </w:t>
      </w:r>
      <w:r w:rsidRPr="00B57C78">
        <w:rPr>
          <w:rFonts w:eastAsia="Calibri"/>
          <w:b/>
          <w:bCs/>
        </w:rPr>
        <w:t>2024</w:t>
      </w:r>
      <w:r w:rsidRPr="00F21017">
        <w:rPr>
          <w:rFonts w:eastAsia="Calibri"/>
          <w:b/>
          <w:bCs/>
        </w:rPr>
        <w:t xml:space="preserve">/... </w:t>
      </w:r>
      <w:r w:rsidRPr="00F21017">
        <w:rPr>
          <w:b/>
          <w:color w:val="000000"/>
          <w:szCs w:val="22"/>
        </w:rPr>
        <w:t>tal-Parlament Ewropew u tal-Kunsill</w:t>
      </w:r>
      <w:r w:rsidRPr="00F21017">
        <w:rPr>
          <w:rFonts w:eastAsia="Calibri"/>
          <w:b/>
          <w:szCs w:val="22"/>
        </w:rPr>
        <w:t xml:space="preserve"> li jistabbilixxi qafas komuni għas-servizzi tal-media fis-suq intern u li jemenda d-Direttiva </w:t>
      </w:r>
      <w:r w:rsidRPr="00B57C78">
        <w:rPr>
          <w:rFonts w:eastAsia="Calibri"/>
          <w:b/>
          <w:szCs w:val="22"/>
        </w:rPr>
        <w:t>2010</w:t>
      </w:r>
      <w:r w:rsidRPr="00F21017">
        <w:rPr>
          <w:rFonts w:eastAsia="Calibri"/>
          <w:b/>
          <w:szCs w:val="22"/>
        </w:rPr>
        <w:t>/</w:t>
      </w:r>
      <w:r w:rsidRPr="00B57C78">
        <w:rPr>
          <w:rFonts w:eastAsia="Calibri"/>
          <w:b/>
          <w:szCs w:val="22"/>
        </w:rPr>
        <w:t>13</w:t>
      </w:r>
      <w:r w:rsidRPr="00F21017">
        <w:rPr>
          <w:rFonts w:eastAsia="Calibri"/>
          <w:b/>
          <w:szCs w:val="22"/>
        </w:rPr>
        <w:t>/UE (l-Att Ewropew dwar il-Libertà tal-Media)</w:t>
      </w:r>
    </w:p>
    <w:p w:rsidR="000C67FF" w:rsidRPr="000C67FF" w:rsidRDefault="000C67FF" w:rsidP="000C67FF">
      <w:pPr>
        <w:rPr>
          <w:i/>
        </w:rPr>
      </w:pPr>
      <w:r w:rsidRPr="000C67FF">
        <w:rPr>
          <w:i/>
        </w:rPr>
        <w:t xml:space="preserve">(Peress li ntlaħaq ftehim bejn il-Parlament u l-Kunsill, il-pożizzjoni tal-Parlament taqbel mal-att leġiżlattiv finali, ir-Regolament (UE) </w:t>
      </w:r>
      <w:r w:rsidRPr="000C67FF">
        <w:rPr>
          <w:i/>
        </w:rPr>
        <w:t>2024</w:t>
      </w:r>
      <w:r>
        <w:rPr>
          <w:i/>
        </w:rPr>
        <w:t>/1083</w:t>
      </w:r>
      <w:r w:rsidRPr="000C67FF">
        <w:rPr>
          <w:i/>
        </w:rPr>
        <w:t>.)</w:t>
      </w:r>
    </w:p>
    <w:p w:rsidR="00E365E1" w:rsidRPr="00431770" w:rsidRDefault="00E365E1" w:rsidP="00270C5B">
      <w:pPr>
        <w:widowControl/>
      </w:pPr>
    </w:p>
    <w:sectPr w:rsidR="00E365E1" w:rsidRPr="00431770" w:rsidSect="0043177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A1F" w:rsidRPr="00431770" w:rsidRDefault="00EB7A1F">
      <w:r w:rsidRPr="00431770">
        <w:separator/>
      </w:r>
    </w:p>
  </w:endnote>
  <w:endnote w:type="continuationSeparator" w:id="0">
    <w:p w:rsidR="00EB7A1F" w:rsidRPr="00431770" w:rsidRDefault="00EB7A1F">
      <w:r w:rsidRPr="004317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3177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3177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3177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A1F" w:rsidRPr="00431770" w:rsidRDefault="00EB7A1F">
      <w:r w:rsidRPr="00431770">
        <w:separator/>
      </w:r>
    </w:p>
  </w:footnote>
  <w:footnote w:type="continuationSeparator" w:id="0">
    <w:p w:rsidR="00EB7A1F" w:rsidRPr="00431770" w:rsidRDefault="00EB7A1F">
      <w:r w:rsidRPr="00431770">
        <w:continuationSeparator/>
      </w:r>
    </w:p>
  </w:footnote>
  <w:footnote w:id="1">
    <w:p w:rsidR="00F61BC6" w:rsidRPr="00F21017" w:rsidRDefault="00F61BC6" w:rsidP="008E12F8">
      <w:pPr>
        <w:pStyle w:val="FootnoteText"/>
        <w:ind w:left="709" w:hanging="709"/>
        <w:rPr>
          <w:sz w:val="24"/>
          <w:szCs w:val="24"/>
          <w:lang w:val="mt-MT"/>
        </w:rPr>
      </w:pPr>
      <w:r w:rsidRPr="00F21017">
        <w:rPr>
          <w:rStyle w:val="FootnoteReference"/>
          <w:sz w:val="24"/>
          <w:szCs w:val="24"/>
          <w:lang w:val="mt-MT"/>
        </w:rPr>
        <w:footnoteRef/>
      </w:r>
      <w:r w:rsidR="00431770" w:rsidRPr="00F21017">
        <w:rPr>
          <w:sz w:val="24"/>
          <w:szCs w:val="24"/>
          <w:lang w:val="mt-MT"/>
        </w:rPr>
        <w:t xml:space="preserve"> </w:t>
      </w:r>
      <w:r w:rsidR="00431770" w:rsidRPr="00F21017">
        <w:rPr>
          <w:sz w:val="24"/>
          <w:szCs w:val="24"/>
          <w:lang w:val="mt-MT"/>
        </w:rPr>
        <w:tab/>
      </w:r>
      <w:r w:rsidR="008E12F8" w:rsidRPr="00F21017">
        <w:rPr>
          <w:sz w:val="24"/>
          <w:szCs w:val="24"/>
          <w:lang w:val="mt-MT"/>
        </w:rPr>
        <w:t xml:space="preserve">ĠU C </w:t>
      </w:r>
      <w:r w:rsidR="008E12F8" w:rsidRPr="00B57C78">
        <w:rPr>
          <w:sz w:val="24"/>
          <w:szCs w:val="24"/>
          <w:lang w:val="mt-MT"/>
        </w:rPr>
        <w:t>100</w:t>
      </w:r>
      <w:r w:rsidR="008E12F8" w:rsidRPr="00F21017">
        <w:rPr>
          <w:sz w:val="24"/>
          <w:szCs w:val="24"/>
          <w:lang w:val="mt-MT"/>
        </w:rPr>
        <w:t xml:space="preserve">, </w:t>
      </w:r>
      <w:r w:rsidR="008E12F8" w:rsidRPr="00B57C78">
        <w:rPr>
          <w:sz w:val="24"/>
          <w:szCs w:val="24"/>
          <w:lang w:val="mt-MT"/>
        </w:rPr>
        <w:t>16</w:t>
      </w:r>
      <w:r w:rsidR="008E12F8" w:rsidRPr="00F21017">
        <w:rPr>
          <w:sz w:val="24"/>
          <w:szCs w:val="24"/>
          <w:lang w:val="mt-MT"/>
        </w:rPr>
        <w:t>.</w:t>
      </w:r>
      <w:r w:rsidR="008E12F8" w:rsidRPr="00B57C78">
        <w:rPr>
          <w:sz w:val="24"/>
          <w:szCs w:val="24"/>
          <w:lang w:val="mt-MT"/>
        </w:rPr>
        <w:t>3</w:t>
      </w:r>
      <w:r w:rsidR="008E12F8" w:rsidRPr="00F21017">
        <w:rPr>
          <w:sz w:val="24"/>
          <w:szCs w:val="24"/>
          <w:lang w:val="mt-MT"/>
        </w:rPr>
        <w:t>.</w:t>
      </w:r>
      <w:r w:rsidR="008E12F8" w:rsidRPr="00B57C78">
        <w:rPr>
          <w:sz w:val="24"/>
          <w:szCs w:val="24"/>
          <w:lang w:val="mt-MT"/>
        </w:rPr>
        <w:t>2023</w:t>
      </w:r>
      <w:r w:rsidR="008E12F8" w:rsidRPr="00F21017">
        <w:rPr>
          <w:sz w:val="24"/>
          <w:szCs w:val="24"/>
          <w:lang w:val="mt-MT"/>
        </w:rPr>
        <w:t xml:space="preserve">, p. </w:t>
      </w:r>
      <w:r w:rsidR="008E12F8" w:rsidRPr="00B57C78">
        <w:rPr>
          <w:sz w:val="24"/>
          <w:szCs w:val="24"/>
          <w:lang w:val="mt-MT"/>
        </w:rPr>
        <w:t>111</w:t>
      </w:r>
      <w:r w:rsidR="008E12F8" w:rsidRPr="00F21017">
        <w:rPr>
          <w:sz w:val="24"/>
          <w:szCs w:val="24"/>
          <w:lang w:val="mt-MT"/>
        </w:rPr>
        <w:t>.</w:t>
      </w:r>
    </w:p>
  </w:footnote>
  <w:footnote w:id="2">
    <w:p w:rsidR="00F61BC6" w:rsidRPr="00F21017" w:rsidRDefault="00F61BC6" w:rsidP="008E12F8">
      <w:pPr>
        <w:pStyle w:val="FootnoteText"/>
        <w:ind w:left="709" w:hanging="709"/>
        <w:rPr>
          <w:sz w:val="24"/>
          <w:szCs w:val="24"/>
          <w:lang w:val="mt-MT"/>
        </w:rPr>
      </w:pPr>
      <w:r w:rsidRPr="00F21017">
        <w:rPr>
          <w:rStyle w:val="FootnoteReference"/>
          <w:sz w:val="24"/>
          <w:szCs w:val="24"/>
          <w:lang w:val="mt-MT"/>
        </w:rPr>
        <w:footnoteRef/>
      </w:r>
      <w:r w:rsidR="00431770" w:rsidRPr="00F21017">
        <w:rPr>
          <w:sz w:val="24"/>
          <w:szCs w:val="24"/>
          <w:lang w:val="mt-MT"/>
        </w:rPr>
        <w:t xml:space="preserve"> </w:t>
      </w:r>
      <w:r w:rsidR="00431770" w:rsidRPr="00F21017">
        <w:rPr>
          <w:sz w:val="24"/>
          <w:szCs w:val="24"/>
          <w:lang w:val="mt-MT"/>
        </w:rPr>
        <w:tab/>
      </w:r>
      <w:r w:rsidR="00B663C5" w:rsidRPr="00F21017">
        <w:rPr>
          <w:sz w:val="24"/>
          <w:szCs w:val="24"/>
          <w:lang w:val="mt-MT"/>
        </w:rPr>
        <w:t xml:space="preserve">ĠU C </w:t>
      </w:r>
      <w:r w:rsidR="00B663C5" w:rsidRPr="00B57C78">
        <w:rPr>
          <w:sz w:val="24"/>
          <w:szCs w:val="24"/>
          <w:lang w:val="mt-MT"/>
        </w:rPr>
        <w:t>188</w:t>
      </w:r>
      <w:r w:rsidR="00B663C5" w:rsidRPr="00F21017">
        <w:rPr>
          <w:sz w:val="24"/>
          <w:szCs w:val="24"/>
          <w:lang w:val="mt-MT"/>
        </w:rPr>
        <w:t xml:space="preserve">, </w:t>
      </w:r>
      <w:r w:rsidR="00B663C5" w:rsidRPr="00B57C78">
        <w:rPr>
          <w:sz w:val="24"/>
          <w:szCs w:val="24"/>
          <w:lang w:val="mt-MT"/>
        </w:rPr>
        <w:t>30</w:t>
      </w:r>
      <w:r w:rsidR="00B663C5" w:rsidRPr="00F21017">
        <w:rPr>
          <w:sz w:val="24"/>
          <w:szCs w:val="24"/>
          <w:lang w:val="mt-MT"/>
        </w:rPr>
        <w:t>.</w:t>
      </w:r>
      <w:r w:rsidR="00B663C5" w:rsidRPr="00B57C78">
        <w:rPr>
          <w:sz w:val="24"/>
          <w:szCs w:val="24"/>
          <w:lang w:val="mt-MT"/>
        </w:rPr>
        <w:t>5</w:t>
      </w:r>
      <w:r w:rsidR="00B663C5" w:rsidRPr="00F21017">
        <w:rPr>
          <w:sz w:val="24"/>
          <w:szCs w:val="24"/>
          <w:lang w:val="mt-MT"/>
        </w:rPr>
        <w:t>.</w:t>
      </w:r>
      <w:r w:rsidR="00B663C5" w:rsidRPr="00B57C78">
        <w:rPr>
          <w:sz w:val="24"/>
          <w:szCs w:val="24"/>
          <w:lang w:val="mt-MT"/>
        </w:rPr>
        <w:t>2023</w:t>
      </w:r>
      <w:r w:rsidR="00B663C5" w:rsidRPr="00F21017">
        <w:rPr>
          <w:sz w:val="24"/>
          <w:szCs w:val="24"/>
          <w:lang w:val="mt-MT"/>
        </w:rPr>
        <w:t xml:space="preserve">, p. </w:t>
      </w:r>
      <w:r w:rsidR="00B663C5" w:rsidRPr="00B57C78">
        <w:rPr>
          <w:sz w:val="24"/>
          <w:szCs w:val="24"/>
          <w:lang w:val="mt-MT"/>
        </w:rPr>
        <w:t>79</w:t>
      </w:r>
      <w:r w:rsidRPr="00F21017">
        <w:rPr>
          <w:sz w:val="24"/>
          <w:szCs w:val="24"/>
          <w:lang w:val="mt-MT"/>
        </w:rPr>
        <w:t>.</w:t>
      </w:r>
    </w:p>
  </w:footnote>
  <w:footnote w:id="3">
    <w:p w:rsidR="008E12F8" w:rsidRPr="00F21017" w:rsidRDefault="008E12F8" w:rsidP="008E12F8">
      <w:pPr>
        <w:pStyle w:val="FootnoteText"/>
        <w:ind w:left="709" w:hanging="709"/>
        <w:rPr>
          <w:sz w:val="24"/>
          <w:szCs w:val="24"/>
          <w:lang w:val="mt-MT"/>
        </w:rPr>
      </w:pPr>
      <w:r w:rsidRPr="00F21017">
        <w:rPr>
          <w:rStyle w:val="FootnoteReference"/>
          <w:sz w:val="24"/>
          <w:szCs w:val="24"/>
        </w:rPr>
        <w:footnoteRef/>
      </w:r>
      <w:r w:rsidRPr="00F21017">
        <w:rPr>
          <w:sz w:val="24"/>
          <w:szCs w:val="24"/>
          <w:lang w:val="mt-MT"/>
        </w:rPr>
        <w:t xml:space="preserve"> </w:t>
      </w:r>
      <w:r w:rsidRPr="00F21017">
        <w:rPr>
          <w:sz w:val="24"/>
          <w:szCs w:val="24"/>
          <w:lang w:val="mt-MT"/>
        </w:rPr>
        <w:tab/>
        <w:t>Din il-pożizzjoni tissostitwixxi l-emendi adottati fit-</w:t>
      </w:r>
      <w:r w:rsidRPr="00B57C78">
        <w:rPr>
          <w:sz w:val="24"/>
          <w:szCs w:val="24"/>
          <w:lang w:val="mt-MT"/>
        </w:rPr>
        <w:t>3</w:t>
      </w:r>
      <w:r w:rsidRPr="00F21017">
        <w:rPr>
          <w:sz w:val="24"/>
          <w:szCs w:val="24"/>
          <w:lang w:val="mt-MT"/>
        </w:rPr>
        <w:t xml:space="preserve"> ta' Ottubru </w:t>
      </w:r>
      <w:r w:rsidRPr="00B57C78">
        <w:rPr>
          <w:sz w:val="24"/>
          <w:szCs w:val="24"/>
          <w:lang w:val="mt-MT"/>
        </w:rPr>
        <w:t>2023</w:t>
      </w:r>
      <w:r w:rsidRPr="00F21017">
        <w:rPr>
          <w:sz w:val="24"/>
          <w:szCs w:val="24"/>
          <w:lang w:val="mt-MT"/>
        </w:rPr>
        <w:t xml:space="preserve"> (Testi adottati, P</w:t>
      </w:r>
      <w:r w:rsidRPr="00B57C78">
        <w:rPr>
          <w:sz w:val="24"/>
          <w:szCs w:val="24"/>
          <w:lang w:val="mt-MT"/>
        </w:rPr>
        <w:t>9</w:t>
      </w:r>
      <w:r w:rsidRPr="00F21017">
        <w:rPr>
          <w:sz w:val="24"/>
          <w:szCs w:val="24"/>
          <w:lang w:val="mt-MT"/>
        </w:rPr>
        <w:t>_TA(</w:t>
      </w:r>
      <w:r w:rsidRPr="00B57C78">
        <w:rPr>
          <w:sz w:val="24"/>
          <w:szCs w:val="24"/>
          <w:lang w:val="mt-MT"/>
        </w:rPr>
        <w:t>2023</w:t>
      </w:r>
      <w:r w:rsidRPr="00F21017">
        <w:rPr>
          <w:sz w:val="24"/>
          <w:szCs w:val="24"/>
          <w:lang w:val="mt-MT"/>
        </w:rPr>
        <w:t>)</w:t>
      </w:r>
      <w:r w:rsidRPr="00B57C78">
        <w:rPr>
          <w:sz w:val="24"/>
          <w:szCs w:val="24"/>
          <w:lang w:val="mt-MT"/>
        </w:rPr>
        <w:t>0336</w:t>
      </w:r>
      <w:r w:rsidRPr="00F21017">
        <w:rPr>
          <w:sz w:val="24"/>
          <w:szCs w:val="24"/>
          <w:lang w:val="mt-M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3177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3177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3177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MT"/>
    <w:docVar w:name="dvnumam" w:val="725"/>
    <w:docVar w:name="dvpe" w:val="746.655"/>
    <w:docVar w:name="dvrapporteur" w:val="Rapporteur: "/>
    <w:docVar w:name="dvstar" w:val="***I"/>
    <w:docVar w:name="dvtitre" w:val="Riżoluzzjoni leġiżlattiva tal-Parlament Ewropew tat-13 ta' Marzu 2024 dwar il-proposta għal regolament tal-Parlament Ewropew u tal-Kunsill li jistabbilixxi qafas komuni għas-servizzi tal-midja fis-suq intern (l-Att Ewropew dwar il-Libertà tal-Midja) u li jemenda d-Direttiva 2010/13/UE(COM(2022)0457 – C9-0309/2022 – 2022/0277(COD))"/>
  </w:docVars>
  <w:rsids>
    <w:rsidRoot w:val="00EB7A1F"/>
    <w:rsid w:val="00002272"/>
    <w:rsid w:val="00064002"/>
    <w:rsid w:val="000677B9"/>
    <w:rsid w:val="000831BA"/>
    <w:rsid w:val="000A42CC"/>
    <w:rsid w:val="000C67FF"/>
    <w:rsid w:val="000E7DD9"/>
    <w:rsid w:val="0010095E"/>
    <w:rsid w:val="00125B37"/>
    <w:rsid w:val="00187494"/>
    <w:rsid w:val="001F32AE"/>
    <w:rsid w:val="00270C5B"/>
    <w:rsid w:val="002767FF"/>
    <w:rsid w:val="002B18FE"/>
    <w:rsid w:val="002B5493"/>
    <w:rsid w:val="00343214"/>
    <w:rsid w:val="00361C00"/>
    <w:rsid w:val="00395FA1"/>
    <w:rsid w:val="003E15D4"/>
    <w:rsid w:val="003E3F67"/>
    <w:rsid w:val="00411CCE"/>
    <w:rsid w:val="0041666E"/>
    <w:rsid w:val="00421060"/>
    <w:rsid w:val="0043177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E12F8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95149"/>
    <w:rsid w:val="00AB441E"/>
    <w:rsid w:val="00AB6293"/>
    <w:rsid w:val="00AE0928"/>
    <w:rsid w:val="00AF3B82"/>
    <w:rsid w:val="00B12E95"/>
    <w:rsid w:val="00B22876"/>
    <w:rsid w:val="00B558F0"/>
    <w:rsid w:val="00B57C78"/>
    <w:rsid w:val="00B663C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B7A1F"/>
    <w:rsid w:val="00ED169E"/>
    <w:rsid w:val="00ED4235"/>
    <w:rsid w:val="00F04346"/>
    <w:rsid w:val="00F075DC"/>
    <w:rsid w:val="00F149E9"/>
    <w:rsid w:val="00F21017"/>
    <w:rsid w:val="00F5134D"/>
    <w:rsid w:val="00F61BC6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AB775"/>
  <w15:chartTrackingRefBased/>
  <w15:docId w15:val="{E69C3D93-D2CA-4584-8491-5B02114D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annotation reference" w:qFormat="1"/>
    <w:lsdException w:name="end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61BC6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BC6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BC6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BC6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BC6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BC6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BC6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F61BC6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F61BC6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F61BC6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61BC6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61BC6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61BC6"/>
    <w:pPr>
      <w:spacing w:after="120"/>
    </w:pPr>
  </w:style>
  <w:style w:type="paragraph" w:customStyle="1" w:styleId="PageHeading">
    <w:name w:val="PageHeading"/>
    <w:basedOn w:val="Normal"/>
    <w:rsid w:val="00F61BC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61BC6"/>
    <w:rPr>
      <w:b/>
    </w:rPr>
  </w:style>
  <w:style w:type="paragraph" w:customStyle="1" w:styleId="NormalBold12a">
    <w:name w:val="NormalBold12a"/>
    <w:basedOn w:val="Normal"/>
    <w:rsid w:val="00F61BC6"/>
    <w:pPr>
      <w:spacing w:after="240"/>
    </w:pPr>
    <w:rPr>
      <w:b/>
    </w:rPr>
  </w:style>
  <w:style w:type="paragraph" w:customStyle="1" w:styleId="AmJustText">
    <w:name w:val="AmJustText"/>
    <w:basedOn w:val="Normal"/>
    <w:rsid w:val="00F61BC6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61BC6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61BC6"/>
    <w:pPr>
      <w:spacing w:after="480"/>
      <w:ind w:left="1417"/>
    </w:pPr>
  </w:style>
  <w:style w:type="paragraph" w:customStyle="1" w:styleId="CoverNormal">
    <w:name w:val="CoverNormal"/>
    <w:basedOn w:val="Normal"/>
    <w:rsid w:val="00F61BC6"/>
    <w:pPr>
      <w:ind w:left="1418"/>
    </w:pPr>
  </w:style>
  <w:style w:type="paragraph" w:customStyle="1" w:styleId="AmCrossRef">
    <w:name w:val="AmCrossRef"/>
    <w:basedOn w:val="Normal"/>
    <w:rsid w:val="00F61BC6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61BC6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61BC6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61BC6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61BC6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61BC6"/>
    <w:pPr>
      <w:spacing w:before="240" w:after="1200"/>
    </w:pPr>
  </w:style>
  <w:style w:type="paragraph" w:styleId="Header">
    <w:name w:val="header"/>
    <w:basedOn w:val="Normal"/>
    <w:link w:val="HeaderChar"/>
    <w:rsid w:val="00F61B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61BC6"/>
    <w:rPr>
      <w:sz w:val="24"/>
      <w:lang w:val="mt-MT"/>
    </w:rPr>
  </w:style>
  <w:style w:type="paragraph" w:customStyle="1" w:styleId="AmOrLang">
    <w:name w:val="AmOrLang"/>
    <w:basedOn w:val="Normal"/>
    <w:rsid w:val="00F61BC6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61BC6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F61BC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F61BC6"/>
    <w:pPr>
      <w:spacing w:before="240"/>
    </w:pPr>
    <w:rPr>
      <w:b/>
    </w:rPr>
  </w:style>
  <w:style w:type="paragraph" w:customStyle="1" w:styleId="EPBody">
    <w:name w:val="EPBody"/>
    <w:basedOn w:val="Normal"/>
    <w:rsid w:val="00F61BC6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61BC6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61BC6"/>
    <w:pPr>
      <w:spacing w:before="480" w:after="240"/>
    </w:pPr>
  </w:style>
  <w:style w:type="paragraph" w:customStyle="1" w:styleId="Lgendesigne">
    <w:name w:val="Légende signe"/>
    <w:basedOn w:val="Normal"/>
    <w:rsid w:val="00F61BC6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61BC6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F61BC6"/>
    <w:pPr>
      <w:ind w:left="0" w:firstLine="0"/>
    </w:pPr>
  </w:style>
  <w:style w:type="character" w:customStyle="1" w:styleId="NormalBoldChar">
    <w:name w:val="NormalBold Char"/>
    <w:basedOn w:val="DefaultParagraphFont"/>
    <w:link w:val="NormalBold"/>
    <w:locked/>
    <w:rsid w:val="00F61BC6"/>
    <w:rPr>
      <w:b/>
      <w:sz w:val="24"/>
      <w:lang w:val="mt-MT"/>
    </w:rPr>
  </w:style>
  <w:style w:type="character" w:customStyle="1" w:styleId="FooterChar">
    <w:name w:val="Footer Char"/>
    <w:basedOn w:val="DefaultParagraphFont"/>
    <w:link w:val="Footer"/>
    <w:uiPriority w:val="99"/>
    <w:rsid w:val="00F61BC6"/>
    <w:rPr>
      <w:sz w:val="22"/>
    </w:rPr>
  </w:style>
  <w:style w:type="paragraph" w:styleId="Footer">
    <w:name w:val="footer"/>
    <w:link w:val="FooterChar"/>
    <w:uiPriority w:val="99"/>
    <w:unhideWhenUsed/>
    <w:rsid w:val="00F61BC6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F61BC6"/>
    <w:rPr>
      <w:sz w:val="24"/>
      <w:lang w:val="mt-MT"/>
    </w:rPr>
  </w:style>
  <w:style w:type="character" w:customStyle="1" w:styleId="Normal12Char">
    <w:name w:val="Normal12 Char"/>
    <w:basedOn w:val="DefaultParagraphFont"/>
    <w:link w:val="Normal12"/>
    <w:locked/>
    <w:rsid w:val="00F61BC6"/>
    <w:rPr>
      <w:noProof/>
      <w:sz w:val="24"/>
    </w:rPr>
  </w:style>
  <w:style w:type="paragraph" w:customStyle="1" w:styleId="Normal12">
    <w:name w:val="Normal12"/>
    <w:basedOn w:val="Normal"/>
    <w:link w:val="Normal12Char"/>
    <w:rsid w:val="00F61BC6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F61BC6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F61BC6"/>
    <w:pPr>
      <w:spacing w:after="120"/>
    </w:pPr>
  </w:style>
  <w:style w:type="paragraph" w:customStyle="1" w:styleId="Normal12Italic">
    <w:name w:val="Normal12Italic"/>
    <w:basedOn w:val="Normal12"/>
    <w:rsid w:val="00F61BC6"/>
    <w:rPr>
      <w:i/>
    </w:rPr>
  </w:style>
  <w:style w:type="paragraph" w:customStyle="1" w:styleId="Footer2">
    <w:name w:val="Footer2"/>
    <w:basedOn w:val="Normal12"/>
    <w:rsid w:val="00F61BC6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F61BC6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F61BC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F61BC6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F61BC6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F61B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61BC6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qFormat/>
    <w:rsid w:val="00F61B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1BC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61BC6"/>
    <w:rPr>
      <w:lang w:val="mt-MT"/>
    </w:rPr>
  </w:style>
  <w:style w:type="paragraph" w:styleId="CommentSubject">
    <w:name w:val="annotation subject"/>
    <w:basedOn w:val="Normal"/>
    <w:next w:val="Normal"/>
    <w:link w:val="CommentSubjectChar"/>
    <w:uiPriority w:val="99"/>
    <w:unhideWhenUsed/>
    <w:rsid w:val="00F61BC6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61BC6"/>
    <w:rPr>
      <w:b/>
      <w:bCs/>
      <w:lang w:val="mt-MT"/>
    </w:rPr>
  </w:style>
  <w:style w:type="character" w:styleId="Hyperlink">
    <w:name w:val="Hyperlink"/>
    <w:uiPriority w:val="99"/>
    <w:rsid w:val="00F61BC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61BC6"/>
    <w:rPr>
      <w:i/>
      <w:iCs/>
    </w:rPr>
  </w:style>
  <w:style w:type="paragraph" w:customStyle="1" w:styleId="Normal1">
    <w:name w:val="Normal1"/>
    <w:basedOn w:val="Normal"/>
    <w:rsid w:val="00F61BC6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F61BC6"/>
  </w:style>
  <w:style w:type="character" w:styleId="FollowedHyperlink">
    <w:name w:val="FollowedHyperlink"/>
    <w:basedOn w:val="DefaultParagraphFont"/>
    <w:uiPriority w:val="99"/>
    <w:rsid w:val="00F61BC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61BC6"/>
    <w:rPr>
      <w:sz w:val="24"/>
      <w:lang w:val="mt-MT"/>
    </w:rPr>
  </w:style>
  <w:style w:type="character" w:customStyle="1" w:styleId="AmNumberTabsChar">
    <w:name w:val="AmNumberTabs Char"/>
    <w:basedOn w:val="DefaultParagraphFont"/>
    <w:link w:val="AmNumberTabs"/>
    <w:rsid w:val="00F61BC6"/>
    <w:rPr>
      <w:b/>
      <w:sz w:val="24"/>
      <w:lang w:val="mt-MT"/>
    </w:rPr>
  </w:style>
  <w:style w:type="character" w:customStyle="1" w:styleId="NormalBold12bChar">
    <w:name w:val="NormalBold12b Char"/>
    <w:basedOn w:val="AmNumberTabsChar"/>
    <w:link w:val="NormalBold12b"/>
    <w:rsid w:val="00F61BC6"/>
    <w:rPr>
      <w:b/>
      <w:sz w:val="24"/>
      <w:lang w:val="mt-MT"/>
    </w:rPr>
  </w:style>
  <w:style w:type="paragraph" w:customStyle="1" w:styleId="Normal12a">
    <w:name w:val="Normal12a"/>
    <w:basedOn w:val="Normal"/>
    <w:rsid w:val="00F61BC6"/>
    <w:pPr>
      <w:spacing w:after="240"/>
    </w:pPr>
  </w:style>
  <w:style w:type="paragraph" w:customStyle="1" w:styleId="PageHeadingNotTOC">
    <w:name w:val="PageHeadingNotTOC"/>
    <w:basedOn w:val="Normal"/>
    <w:rsid w:val="00F61BC6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F61BC6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F61BC6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F61BC6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F61BC6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F61BC6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61BC6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F61BC6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F61BC6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F61BC6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F61BC6"/>
    <w:pPr>
      <w:spacing w:before="240"/>
      <w:jc w:val="center"/>
    </w:pPr>
    <w:rPr>
      <w:i/>
    </w:rPr>
  </w:style>
  <w:style w:type="character" w:customStyle="1" w:styleId="Footer2Middle">
    <w:name w:val="Footer2Middle"/>
    <w:rsid w:val="00F61BC6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F61BC6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F61BC6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F61BC6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F61BC6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F61BC6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F61BC6"/>
    <w:rPr>
      <w:sz w:val="24"/>
      <w:lang w:val="mt-MT"/>
    </w:rPr>
  </w:style>
  <w:style w:type="paragraph" w:customStyle="1" w:styleId="Default">
    <w:name w:val="Default"/>
    <w:rsid w:val="00F61BC6"/>
    <w:pPr>
      <w:autoSpaceDE w:val="0"/>
      <w:autoSpaceDN w:val="0"/>
      <w:adjustRightInd w:val="0"/>
    </w:pPr>
    <w:rPr>
      <w:color w:val="000000"/>
      <w:sz w:val="24"/>
      <w:szCs w:val="24"/>
      <w:lang w:val="mt-MT"/>
    </w:rPr>
  </w:style>
  <w:style w:type="numbering" w:customStyle="1" w:styleId="NoList1">
    <w:name w:val="No List1"/>
    <w:next w:val="NoList"/>
    <w:uiPriority w:val="99"/>
    <w:semiHidden/>
    <w:unhideWhenUsed/>
    <w:rsid w:val="008E12F8"/>
  </w:style>
  <w:style w:type="paragraph" w:customStyle="1" w:styleId="TOC41">
    <w:name w:val="TOC 41"/>
    <w:basedOn w:val="Normal"/>
    <w:next w:val="Normal"/>
    <w:uiPriority w:val="39"/>
    <w:semiHidden/>
    <w:unhideWhenUsed/>
    <w:rsid w:val="008E12F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8E12F8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8E12F8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8E12F8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8E12F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8E12F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8E12F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8E12F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8E12F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8E12F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8E12F8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8E12F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8E12F8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8E12F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8E12F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8E12F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8E12F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8E12F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8E12F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8E12F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8E12F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8E12F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8E12F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8E12F8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8E12F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8E12F8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8E12F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8E12F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8E12F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8E12F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8E12F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8E12F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8E12F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8E12F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8E12F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8E12F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8E12F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8E12F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8E12F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8E12F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8E12F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8E12F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8E12F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8E12F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8E12F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8E12F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8E12F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8E12F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8E12F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8E12F8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8E12F8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8E12F8"/>
    <w:pPr>
      <w:widowControl/>
      <w:numPr>
        <w:numId w:val="5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8E12F8"/>
    <w:pPr>
      <w:widowControl/>
      <w:numPr>
        <w:numId w:val="6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8E12F8"/>
    <w:pPr>
      <w:widowControl/>
      <w:numPr>
        <w:numId w:val="7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8E12F8"/>
    <w:pPr>
      <w:widowControl/>
      <w:numPr>
        <w:numId w:val="8"/>
      </w:numPr>
      <w:tabs>
        <w:tab w:val="clear" w:pos="368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8E12F8"/>
    <w:pPr>
      <w:widowControl/>
      <w:numPr>
        <w:numId w:val="9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8E12F8"/>
    <w:pPr>
      <w:widowControl/>
      <w:numPr>
        <w:numId w:val="10"/>
      </w:numPr>
      <w:tabs>
        <w:tab w:val="clear" w:pos="4819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8E12F8"/>
    <w:pPr>
      <w:widowControl/>
      <w:numPr>
        <w:numId w:val="11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8E12F8"/>
    <w:pPr>
      <w:widowControl/>
      <w:numPr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8E12F8"/>
    <w:pPr>
      <w:widowControl/>
      <w:numPr>
        <w:ilvl w:val="1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8E12F8"/>
    <w:pPr>
      <w:widowControl/>
      <w:numPr>
        <w:ilvl w:val="2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8E12F8"/>
    <w:pPr>
      <w:widowControl/>
      <w:numPr>
        <w:ilvl w:val="3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8E12F8"/>
    <w:pPr>
      <w:widowControl/>
      <w:numPr>
        <w:ilvl w:val="4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8E12F8"/>
    <w:pPr>
      <w:widowControl/>
      <w:numPr>
        <w:ilvl w:val="5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8E12F8"/>
    <w:pPr>
      <w:widowControl/>
      <w:numPr>
        <w:ilvl w:val="6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8E12F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8E12F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8E12F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8E12F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8E12F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8E12F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8E12F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8E12F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8E12F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8E12F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8E12F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8E12F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8E12F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8E12F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8E12F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8E12F8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8E12F8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8E12F8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8E12F8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8E12F8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8E12F8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8E12F8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8E12F8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8E12F8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8E12F8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8E12F8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8E12F8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8E12F8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8E12F8"/>
    <w:pPr>
      <w:widowControl/>
      <w:numPr>
        <w:numId w:val="14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8E12F8"/>
    <w:pPr>
      <w:widowControl/>
      <w:numPr>
        <w:numId w:val="15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8E12F8"/>
    <w:pPr>
      <w:widowControl/>
      <w:numPr>
        <w:numId w:val="16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8E12F8"/>
    <w:pPr>
      <w:widowControl/>
      <w:numPr>
        <w:numId w:val="17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8E12F8"/>
    <w:pPr>
      <w:widowControl/>
      <w:numPr>
        <w:numId w:val="18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8E12F8"/>
    <w:pPr>
      <w:widowControl/>
      <w:numPr>
        <w:numId w:val="19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8E12F8"/>
    <w:pPr>
      <w:widowControl/>
      <w:numPr>
        <w:numId w:val="20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8E12F8"/>
    <w:pPr>
      <w:widowControl/>
      <w:numPr>
        <w:numId w:val="21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8E12F8"/>
    <w:pPr>
      <w:widowControl/>
      <w:numPr>
        <w:numId w:val="22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8E12F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8E12F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8E12F8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8E12F8"/>
    <w:pPr>
      <w:widowControl/>
      <w:numPr>
        <w:numId w:val="23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8E12F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8E12F8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8E12F8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8E12F8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8E12F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8E12F8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8E12F8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8E12F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8E12F8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8E12F8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8E12F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8E12F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8E12F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8E12F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8E12F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8E12F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8E12F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8E12F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8E12F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8E12F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8E12F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8E12F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8E12F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8E12F8"/>
    <w:pPr>
      <w:spacing w:before="240"/>
    </w:pPr>
  </w:style>
  <w:style w:type="paragraph" w:customStyle="1" w:styleId="Accordtitre">
    <w:name w:val="Accord titre"/>
    <w:basedOn w:val="Normal"/>
    <w:rsid w:val="008E12F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8E12F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8E12F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8E12F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8E12F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8E12F8"/>
    <w:pPr>
      <w:spacing w:after="240"/>
    </w:pPr>
  </w:style>
  <w:style w:type="paragraph" w:customStyle="1" w:styleId="Annexetitre">
    <w:name w:val="Annexe titre"/>
    <w:basedOn w:val="Normal"/>
    <w:next w:val="Normal"/>
    <w:rsid w:val="008E12F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8E12F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8E12F8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8E12F8"/>
    <w:rPr>
      <w:rFonts w:ascii="Times New Roman" w:hAnsi="Times New Roman" w:cs="Times New Roman"/>
      <w:sz w:val="20"/>
      <w:szCs w:val="20"/>
      <w:lang w:val="mt-MT"/>
    </w:rPr>
  </w:style>
  <w:style w:type="character" w:styleId="EndnoteReference">
    <w:name w:val="endnote reference"/>
    <w:basedOn w:val="DefaultParagraphFont"/>
    <w:uiPriority w:val="99"/>
    <w:unhideWhenUsed/>
    <w:rsid w:val="008E12F8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8E12F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8E12F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8E12F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8E12F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8E12F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8E12F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8E12F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8E12F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8E12F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8E12F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8E12F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8E12F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8E12F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8E12F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8E12F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8E12F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8E12F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8E12F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8E12F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8E12F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8E12F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8E12F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8E12F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8E12F8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8E12F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8E12F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8E12F8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8E12F8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8E12F8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8E12F8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8E12F8"/>
    <w:rPr>
      <w:color w:val="808080"/>
    </w:rPr>
  </w:style>
  <w:style w:type="paragraph" w:customStyle="1" w:styleId="SignaturePersonne">
    <w:name w:val="Signature Personne"/>
    <w:basedOn w:val="Normal"/>
    <w:rsid w:val="008E12F8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8E12F8"/>
    <w:pPr>
      <w:keepLines/>
      <w:widowControl w:val="0"/>
      <w:ind w:left="850" w:hanging="850"/>
    </w:pPr>
    <w:rPr>
      <w:sz w:val="24"/>
      <w:lang w:val="mt-MT" w:eastAsia="en-US"/>
    </w:rPr>
  </w:style>
  <w:style w:type="paragraph" w:customStyle="1" w:styleId="Rfrenceinstitutionnelle">
    <w:name w:val="Référence institutionnelle"/>
    <w:basedOn w:val="Normal"/>
    <w:next w:val="Normal"/>
    <w:rsid w:val="008E12F8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8E12F8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8E12F8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pj">
    <w:name w:val="p.j."/>
    <w:basedOn w:val="Normal"/>
    <w:link w:val="pjChar"/>
    <w:rsid w:val="008E12F8"/>
    <w:pPr>
      <w:spacing w:before="1200" w:after="120"/>
      <w:ind w:left="1440" w:hanging="1440"/>
    </w:pPr>
    <w:rPr>
      <w:rFonts w:eastAsia="Calibri"/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8E12F8"/>
    <w:rPr>
      <w:rFonts w:eastAsia="Calibri"/>
      <w:sz w:val="24"/>
      <w:szCs w:val="24"/>
      <w:lang w:val="mt-MT" w:eastAsia="en-US"/>
    </w:rPr>
  </w:style>
  <w:style w:type="paragraph" w:customStyle="1" w:styleId="nbbordered">
    <w:name w:val="nb bordered"/>
    <w:basedOn w:val="Normal"/>
    <w:link w:val="nbborderedChar"/>
    <w:rsid w:val="008E12F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8E12F8"/>
    <w:rPr>
      <w:rFonts w:eastAsia="Calibri"/>
      <w:b/>
      <w:sz w:val="24"/>
      <w:szCs w:val="24"/>
      <w:lang w:val="mt-MT" w:eastAsia="en-US"/>
    </w:rPr>
  </w:style>
  <w:style w:type="character" w:customStyle="1" w:styleId="HeaderCouncilChar">
    <w:name w:val="Header Council Char"/>
    <w:basedOn w:val="DefaultParagraphFont"/>
    <w:link w:val="HeaderCouncil"/>
    <w:rsid w:val="008E12F8"/>
    <w:rPr>
      <w:rFonts w:eastAsia="Calibri"/>
      <w:sz w:val="2"/>
      <w:szCs w:val="22"/>
      <w:lang w:val="mt-MT" w:eastAsia="en-US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8E12F8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12F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12F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rsid w:val="008E12F8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8E12F8"/>
    <w:rPr>
      <w:lang w:val="mt-MT"/>
    </w:rPr>
  </w:style>
  <w:style w:type="paragraph" w:styleId="ListParagraph">
    <w:name w:val="List Paragraph"/>
    <w:basedOn w:val="Normal"/>
    <w:uiPriority w:val="34"/>
    <w:qFormat/>
    <w:rsid w:val="008E1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FC93-BAB0-4492-A1B3-52AAA40F6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2024-06-19T12:19:00Z</dcterms:created>
  <dcterms:modified xsi:type="dcterms:W3CDTF">2024-06-19T12:19:00Z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