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0CE7" w:rsidRPr="00451E12" w14:paraId="15336299" w14:textId="77777777" w:rsidTr="00C771E0">
        <w:trPr>
          <w:trHeight w:hRule="exact" w:val="1418"/>
        </w:trPr>
        <w:tc>
          <w:tcPr>
            <w:tcW w:w="6804" w:type="dxa"/>
            <w:shd w:val="clear" w:color="auto" w:fill="auto"/>
            <w:vAlign w:val="center"/>
          </w:tcPr>
          <w:p w14:paraId="17BD8D85" w14:textId="77777777" w:rsidR="00BE0CE7" w:rsidRPr="00451E12" w:rsidRDefault="00BE0CE7" w:rsidP="00BE0CE7">
            <w:pPr>
              <w:widowControl w:val="0"/>
              <w:spacing w:before="80" w:after="80"/>
              <w:jc w:val="left"/>
              <w:rPr>
                <w:rFonts w:ascii="Arial Narrow" w:eastAsia="Times New Roman" w:hAnsi="Arial Narrow" w:cs="Arial"/>
                <w:b/>
                <w:sz w:val="32"/>
                <w:szCs w:val="22"/>
                <w:lang w:val="nl-NL" w:eastAsia="en-GB"/>
              </w:rPr>
            </w:pPr>
            <w:r w:rsidRPr="00451E12">
              <w:rPr>
                <w:rFonts w:ascii="Arial Narrow" w:eastAsia="Times New Roman" w:hAnsi="Arial Narrow" w:cs="Arial"/>
                <w:b/>
                <w:sz w:val="32"/>
                <w:szCs w:val="22"/>
                <w:lang w:val="nl-NL" w:eastAsia="en-GB"/>
              </w:rPr>
              <w:t>Europees Parlement</w:t>
            </w:r>
          </w:p>
          <w:p w14:paraId="5DEAE8F4" w14:textId="77777777" w:rsidR="00BE0CE7" w:rsidRPr="00451E12" w:rsidRDefault="00BE0CE7" w:rsidP="00BE0CE7">
            <w:pPr>
              <w:widowControl w:val="0"/>
              <w:spacing w:after="80"/>
              <w:jc w:val="left"/>
              <w:rPr>
                <w:rFonts w:ascii="Arial" w:eastAsia="Times New Roman" w:hAnsi="Arial" w:cs="Arial"/>
                <w:sz w:val="20"/>
                <w:szCs w:val="22"/>
                <w:lang w:val="nl-NL" w:eastAsia="en-GB"/>
              </w:rPr>
            </w:pPr>
            <w:r w:rsidRPr="00451E12">
              <w:rPr>
                <w:rFonts w:ascii="Arial" w:eastAsia="Times New Roman" w:hAnsi="Arial" w:cs="Arial"/>
                <w:sz w:val="20"/>
                <w:szCs w:val="22"/>
                <w:lang w:val="nl-NL" w:eastAsia="en-GB"/>
              </w:rPr>
              <w:t>2019-2024</w:t>
            </w:r>
          </w:p>
        </w:tc>
        <w:tc>
          <w:tcPr>
            <w:tcW w:w="2268" w:type="dxa"/>
            <w:shd w:val="clear" w:color="auto" w:fill="auto"/>
          </w:tcPr>
          <w:p w14:paraId="17F7B6FA" w14:textId="77777777" w:rsidR="00BE0CE7" w:rsidRPr="00451E12" w:rsidRDefault="00BE0CE7" w:rsidP="00BE0CE7">
            <w:pPr>
              <w:widowControl w:val="0"/>
              <w:jc w:val="right"/>
              <w:rPr>
                <w:rFonts w:eastAsia="Times New Roman"/>
                <w:szCs w:val="20"/>
                <w:lang w:val="nl-NL" w:eastAsia="en-GB"/>
              </w:rPr>
            </w:pPr>
            <w:r w:rsidRPr="00451E12">
              <w:rPr>
                <w:rFonts w:eastAsia="Times New Roman"/>
                <w:noProof/>
                <w:szCs w:val="20"/>
                <w:lang w:eastAsia="en-GB"/>
              </w:rPr>
              <w:drawing>
                <wp:inline distT="0" distB="0" distL="0" distR="0" wp14:anchorId="62C9E69F" wp14:editId="76A140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5A4FE3" w14:textId="77777777" w:rsidR="00BE0CE7" w:rsidRPr="00451E12" w:rsidRDefault="00BE0CE7" w:rsidP="00BE0CE7">
      <w:pPr>
        <w:widowControl w:val="0"/>
        <w:pBdr>
          <w:top w:val="single" w:sz="4" w:space="1" w:color="auto"/>
        </w:pBdr>
        <w:jc w:val="center"/>
        <w:rPr>
          <w:rFonts w:ascii="Arial" w:eastAsia="Times New Roman" w:hAnsi="Arial" w:cs="Arial"/>
          <w:sz w:val="16"/>
          <w:szCs w:val="16"/>
          <w:lang w:val="nl-NL" w:eastAsia="en-GB"/>
        </w:rPr>
      </w:pPr>
    </w:p>
    <w:p w14:paraId="76B79C2A" w14:textId="77777777" w:rsidR="00BE0CE7" w:rsidRPr="00451E12" w:rsidRDefault="00BE0CE7" w:rsidP="00BE0CE7">
      <w:pPr>
        <w:widowControl w:val="0"/>
        <w:jc w:val="center"/>
        <w:rPr>
          <w:rFonts w:ascii="Arial" w:eastAsia="Times New Roman" w:hAnsi="Arial" w:cs="Arial"/>
          <w:b/>
          <w:sz w:val="22"/>
          <w:szCs w:val="22"/>
          <w:lang w:val="nl-NL" w:eastAsia="en-GB"/>
        </w:rPr>
      </w:pPr>
      <w:r w:rsidRPr="00451E12">
        <w:rPr>
          <w:rFonts w:ascii="Arial" w:eastAsia="Times New Roman" w:hAnsi="Arial" w:cs="Arial"/>
          <w:b/>
          <w:sz w:val="22"/>
          <w:szCs w:val="22"/>
          <w:lang w:val="nl-NL" w:eastAsia="en-GB"/>
        </w:rPr>
        <w:t>AANGENOMEN TEKSTEN</w:t>
      </w:r>
    </w:p>
    <w:p w14:paraId="7CEEFC41" w14:textId="77777777" w:rsidR="00BE0CE7" w:rsidRPr="00451E12" w:rsidRDefault="00BE0CE7" w:rsidP="00BE0CE7">
      <w:pPr>
        <w:widowControl w:val="0"/>
        <w:pBdr>
          <w:bottom w:val="single" w:sz="4" w:space="1" w:color="auto"/>
        </w:pBdr>
        <w:spacing w:after="240"/>
        <w:jc w:val="center"/>
        <w:rPr>
          <w:rFonts w:ascii="Arial" w:eastAsia="Times New Roman" w:hAnsi="Arial" w:cs="Arial"/>
          <w:sz w:val="16"/>
          <w:szCs w:val="16"/>
          <w:lang w:val="nl-NL" w:eastAsia="en-GB"/>
        </w:rPr>
      </w:pPr>
    </w:p>
    <w:p w14:paraId="1589696C" w14:textId="77777777" w:rsidR="00451E12" w:rsidRPr="00E87C41" w:rsidRDefault="00BE0CE7" w:rsidP="00451E12">
      <w:pPr>
        <w:pStyle w:val="ATHeading1"/>
        <w:rPr>
          <w:lang w:val="nl-NL"/>
        </w:rPr>
      </w:pPr>
      <w:bookmarkStart w:id="0" w:name="TANumber"/>
      <w:r w:rsidRPr="00451E12">
        <w:rPr>
          <w:lang w:val="nl-NL"/>
        </w:rPr>
        <w:t>P9_</w:t>
      </w:r>
      <w:proofErr w:type="gramStart"/>
      <w:r w:rsidRPr="00451E12">
        <w:rPr>
          <w:lang w:val="nl-NL"/>
        </w:rPr>
        <w:t>TA(</w:t>
      </w:r>
      <w:proofErr w:type="gramEnd"/>
      <w:r w:rsidRPr="00451E12">
        <w:rPr>
          <w:lang w:val="nl-NL"/>
        </w:rPr>
        <w:t>2024)0</w:t>
      </w:r>
      <w:bookmarkEnd w:id="0"/>
      <w:r w:rsidRPr="00451E12">
        <w:rPr>
          <w:lang w:val="nl-NL"/>
        </w:rPr>
        <w:t>139</w:t>
      </w:r>
      <w:bookmarkStart w:id="1" w:name="title"/>
    </w:p>
    <w:p w14:paraId="17D0070C" w14:textId="7A32B24A" w:rsidR="00451E12" w:rsidRPr="00E87C41" w:rsidRDefault="00BE0CE7" w:rsidP="00881832">
      <w:pPr>
        <w:pStyle w:val="ATHeading2"/>
        <w:rPr>
          <w:lang w:val="nl-NL"/>
        </w:rPr>
      </w:pPr>
      <w:r w:rsidRPr="00451E12">
        <w:rPr>
          <w:lang w:val="nl-NL"/>
        </w:rPr>
        <w:t>Wijziging van Richtlijn betreffende alternatieve beslechting van consumentengeschillen</w:t>
      </w:r>
      <w:bookmarkEnd w:id="1"/>
    </w:p>
    <w:p w14:paraId="4D3CDED2" w14:textId="77777777" w:rsidR="00451E12" w:rsidRPr="00E87C41" w:rsidRDefault="00BE0CE7" w:rsidP="00451E12">
      <w:pPr>
        <w:rPr>
          <w:i/>
          <w:vanish/>
          <w:lang w:val="nl-NL"/>
        </w:rPr>
      </w:pPr>
      <w:r w:rsidRPr="00451E12">
        <w:rPr>
          <w:rFonts w:eastAsia="Times New Roman"/>
          <w:i/>
          <w:szCs w:val="20"/>
          <w:lang w:val="nl-NL" w:eastAsia="en-GB"/>
        </w:rPr>
        <w:fldChar w:fldCharType="begin"/>
      </w:r>
      <w:r w:rsidRPr="00451E12">
        <w:rPr>
          <w:rFonts w:eastAsia="Times New Roman"/>
          <w:i/>
          <w:szCs w:val="20"/>
          <w:lang w:val="nl-NL" w:eastAsia="en-GB"/>
        </w:rPr>
        <w:instrText xml:space="preserve"> TC"(</w:instrText>
      </w:r>
      <w:bookmarkStart w:id="2" w:name="DocNumber"/>
      <w:r w:rsidRPr="00451E12">
        <w:rPr>
          <w:rFonts w:eastAsia="Times New Roman"/>
          <w:i/>
          <w:szCs w:val="20"/>
          <w:lang w:val="nl-NL" w:eastAsia="en-GB"/>
        </w:rPr>
        <w:instrText>A9-0060/2024</w:instrText>
      </w:r>
      <w:bookmarkEnd w:id="2"/>
      <w:r w:rsidRPr="00451E12">
        <w:rPr>
          <w:rFonts w:eastAsia="Times New Roman"/>
          <w:i/>
          <w:szCs w:val="20"/>
          <w:lang w:val="nl-NL" w:eastAsia="en-GB"/>
        </w:rPr>
        <w:instrText xml:space="preserve"> - Rapporteur: Laura </w:instrText>
      </w:r>
      <w:proofErr w:type="spellStart"/>
      <w:r w:rsidRPr="00451E12">
        <w:rPr>
          <w:rFonts w:eastAsia="Times New Roman"/>
          <w:i/>
          <w:szCs w:val="20"/>
          <w:lang w:val="nl-NL" w:eastAsia="en-GB"/>
        </w:rPr>
        <w:instrText>Ballarín</w:instrText>
      </w:r>
      <w:proofErr w:type="spellEnd"/>
      <w:r w:rsidRPr="00451E12">
        <w:rPr>
          <w:rFonts w:eastAsia="Times New Roman"/>
          <w:i/>
          <w:szCs w:val="20"/>
          <w:lang w:val="nl-NL" w:eastAsia="en-GB"/>
        </w:rPr>
        <w:instrText xml:space="preserve"> </w:instrText>
      </w:r>
      <w:proofErr w:type="spellStart"/>
      <w:r w:rsidRPr="00451E12">
        <w:rPr>
          <w:rFonts w:eastAsia="Times New Roman"/>
          <w:i/>
          <w:szCs w:val="20"/>
          <w:lang w:val="nl-NL" w:eastAsia="en-GB"/>
        </w:rPr>
        <w:instrText>Cereza</w:instrText>
      </w:r>
      <w:proofErr w:type="spellEnd"/>
      <w:r w:rsidRPr="00451E12">
        <w:rPr>
          <w:rFonts w:eastAsia="Times New Roman"/>
          <w:i/>
          <w:szCs w:val="20"/>
          <w:lang w:val="nl-NL" w:eastAsia="en-GB"/>
        </w:rPr>
        <w:instrText xml:space="preserve">)"\l3 \n&gt; \* MERGEFORMAT </w:instrText>
      </w:r>
      <w:r w:rsidRPr="00451E12">
        <w:rPr>
          <w:rFonts w:eastAsia="Times New Roman"/>
          <w:i/>
          <w:szCs w:val="20"/>
          <w:lang w:val="nl-NL" w:eastAsia="en-GB"/>
        </w:rPr>
        <w:fldChar w:fldCharType="end"/>
      </w:r>
      <w:bookmarkStart w:id="3" w:name="Commission"/>
    </w:p>
    <w:p w14:paraId="32607E75" w14:textId="77777777" w:rsidR="00451E12" w:rsidRPr="00E87C41" w:rsidRDefault="00BE0CE7" w:rsidP="00451E12">
      <w:pPr>
        <w:rPr>
          <w:i/>
          <w:vanish/>
          <w:lang w:val="nl-NL"/>
        </w:rPr>
      </w:pPr>
      <w:r w:rsidRPr="00451E12">
        <w:rPr>
          <w:rFonts w:eastAsia="Times New Roman"/>
          <w:vanish/>
          <w:szCs w:val="20"/>
          <w:lang w:val="nl-NL" w:eastAsia="en-GB"/>
        </w:rPr>
        <w:t>Commissie interne markt en consumentenbescherming</w:t>
      </w:r>
      <w:bookmarkStart w:id="4" w:name="PE"/>
      <w:bookmarkEnd w:id="3"/>
    </w:p>
    <w:p w14:paraId="14508B8A" w14:textId="77777777" w:rsidR="00451E12" w:rsidRPr="00E87C41" w:rsidRDefault="00BE0CE7" w:rsidP="00451E12">
      <w:pPr>
        <w:rPr>
          <w:i/>
          <w:vanish/>
          <w:lang w:val="nl-NL"/>
        </w:rPr>
      </w:pPr>
      <w:r w:rsidRPr="00451E12">
        <w:rPr>
          <w:rFonts w:eastAsia="Times New Roman"/>
          <w:vanish/>
          <w:szCs w:val="20"/>
          <w:lang w:val="nl-NL" w:eastAsia="en-GB"/>
        </w:rPr>
        <w:t>PE757.840</w:t>
      </w:r>
      <w:bookmarkStart w:id="5" w:name="Sujet"/>
      <w:bookmarkEnd w:id="4"/>
    </w:p>
    <w:p w14:paraId="39475DE6" w14:textId="77777777" w:rsidR="00451E12" w:rsidRPr="00E87C41" w:rsidRDefault="00BE0CE7" w:rsidP="00451E12">
      <w:pPr>
        <w:pStyle w:val="ATHeading3"/>
        <w:rPr>
          <w:lang w:val="nl-NL"/>
        </w:rPr>
      </w:pPr>
      <w:r w:rsidRPr="00451E12">
        <w:rPr>
          <w:lang w:val="nl-NL"/>
        </w:rPr>
        <w:t>Wetgevingsresolutie van het Europees Parlement van 13 maart 2024 over het voorstel voor een richtlijn van het Europees Parlement en de Raad tot wijziging van Richtlijn 2013/11/EU betreffende alternatieve beslechting van consumentengeschillen, en van de Richtlijnen (EU) 2015/2302, (EU) 2019/2161 en (EU) 2020/1828</w:t>
      </w:r>
      <w:bookmarkEnd w:id="5"/>
      <w:r w:rsidRPr="00451E12">
        <w:rPr>
          <w:lang w:val="nl-NL"/>
        </w:rPr>
        <w:t xml:space="preserve"> </w:t>
      </w:r>
      <w:bookmarkStart w:id="6" w:name="References"/>
      <w:r w:rsidRPr="00451E12">
        <w:rPr>
          <w:lang w:val="nl-NL"/>
        </w:rPr>
        <w:t>(</w:t>
      </w:r>
      <w:proofErr w:type="gramStart"/>
      <w:r w:rsidRPr="00451E12">
        <w:rPr>
          <w:lang w:val="nl-NL"/>
        </w:rPr>
        <w:t>COM(</w:t>
      </w:r>
      <w:proofErr w:type="gramEnd"/>
      <w:r w:rsidRPr="00451E12">
        <w:rPr>
          <w:lang w:val="nl-NL"/>
        </w:rPr>
        <w:t>2023)0649 – C9-0384/2023 – 2023/0376(COD))</w:t>
      </w:r>
      <w:bookmarkStart w:id="7" w:name="TextBodyBegin"/>
      <w:bookmarkEnd w:id="6"/>
      <w:bookmarkEnd w:id="7"/>
    </w:p>
    <w:p w14:paraId="480E5C72" w14:textId="69FD5389" w:rsidR="00451E12" w:rsidRPr="00E87C41" w:rsidRDefault="00BE0CE7" w:rsidP="00451E12">
      <w:pPr>
        <w:pStyle w:val="NormalBold"/>
        <w:rPr>
          <w:lang w:val="nl-NL"/>
        </w:rPr>
      </w:pPr>
      <w:r w:rsidRPr="00451E12">
        <w:rPr>
          <w:lang w:val="nl-NL"/>
        </w:rPr>
        <w:t>(Gewone wetgevingsprocedure: eerste lezing)</w:t>
      </w:r>
    </w:p>
    <w:p w14:paraId="67C1AA98" w14:textId="3E6872F1" w:rsidR="00BE0CE7" w:rsidRPr="00451E12" w:rsidRDefault="00BE0CE7" w:rsidP="00451E12">
      <w:pPr>
        <w:widowControl w:val="0"/>
        <w:spacing w:before="480" w:after="240"/>
        <w:jc w:val="left"/>
        <w:rPr>
          <w:rFonts w:eastAsia="Times New Roman"/>
          <w:szCs w:val="20"/>
          <w:lang w:val="nl-NL" w:eastAsia="en-GB"/>
        </w:rPr>
      </w:pPr>
      <w:r w:rsidRPr="00451E12">
        <w:rPr>
          <w:rFonts w:eastAsia="Times New Roman"/>
          <w:i/>
          <w:iCs/>
          <w:szCs w:val="20"/>
          <w:lang w:val="nl-NL" w:eastAsia="en-GB"/>
        </w:rPr>
        <w:t>Het Europees Parlement</w:t>
      </w:r>
      <w:r w:rsidRPr="00451E12">
        <w:rPr>
          <w:rFonts w:eastAsia="Times New Roman"/>
          <w:szCs w:val="20"/>
          <w:lang w:val="nl-NL" w:eastAsia="en-GB"/>
        </w:rPr>
        <w:t>,</w:t>
      </w:r>
    </w:p>
    <w:p w14:paraId="0BBA6BD4"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het voorstel van de Commissie aan het Europees Parlement en de Raad (</w:t>
      </w:r>
      <w:proofErr w:type="gramStart"/>
      <w:r w:rsidRPr="00451E12">
        <w:rPr>
          <w:rFonts w:eastAsia="Times New Roman"/>
          <w:szCs w:val="20"/>
          <w:lang w:val="nl-NL" w:eastAsia="en-GB"/>
        </w:rPr>
        <w:t>COM(</w:t>
      </w:r>
      <w:proofErr w:type="gramEnd"/>
      <w:r w:rsidRPr="00451E12">
        <w:rPr>
          <w:rFonts w:eastAsia="Times New Roman"/>
          <w:szCs w:val="20"/>
          <w:lang w:val="nl-NL" w:eastAsia="en-GB"/>
        </w:rPr>
        <w:t>2023)0649),</w:t>
      </w:r>
    </w:p>
    <w:p w14:paraId="09C758FE"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artikel 294, lid 2, en artikel 114 van het Verdrag betreffende de werking van de Europese Unie, op grond waarvan het voorstel door de Commissie bij het Parlement is ingediend (C9</w:t>
      </w:r>
      <w:r w:rsidRPr="00451E12">
        <w:rPr>
          <w:rFonts w:eastAsia="Times New Roman"/>
          <w:szCs w:val="20"/>
          <w:lang w:val="nl-NL" w:eastAsia="en-GB"/>
        </w:rPr>
        <w:noBreakHyphen/>
        <w:t>0384/2023),</w:t>
      </w:r>
    </w:p>
    <w:p w14:paraId="3FADCBDC"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artikel 294, lid 3, van het Verdrag betreffende de werking van de Europese Unie,</w:t>
      </w:r>
    </w:p>
    <w:p w14:paraId="09728A9F"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het advies van het Europees Economisch en Sociaal Comité van 14 februari 2024</w:t>
      </w:r>
      <w:r w:rsidRPr="00451E12">
        <w:rPr>
          <w:rFonts w:eastAsia="Times New Roman"/>
          <w:szCs w:val="20"/>
          <w:vertAlign w:val="superscript"/>
          <w:lang w:val="nl-NL" w:eastAsia="en-GB"/>
        </w:rPr>
        <w:footnoteReference w:id="1"/>
      </w:r>
      <w:r w:rsidRPr="00451E12">
        <w:rPr>
          <w:rFonts w:eastAsia="Times New Roman"/>
          <w:szCs w:val="20"/>
          <w:lang w:val="nl-NL" w:eastAsia="en-GB"/>
        </w:rPr>
        <w:t>,</w:t>
      </w:r>
    </w:p>
    <w:p w14:paraId="0A3CA51F"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artikel 59 van zijn Reglement,</w:t>
      </w:r>
    </w:p>
    <w:p w14:paraId="539741F2"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het advies van de Commissie vervoer en toerisme,</w:t>
      </w:r>
    </w:p>
    <w:p w14:paraId="6CC9B6C8"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w:t>
      </w:r>
      <w:r w:rsidRPr="00451E12">
        <w:rPr>
          <w:rFonts w:eastAsia="Times New Roman"/>
          <w:szCs w:val="20"/>
          <w:lang w:val="nl-NL" w:eastAsia="en-GB"/>
        </w:rPr>
        <w:tab/>
        <w:t>gezien het verslag van de Commissie interne markt en consumentenbescherming (A9-0060/2024),</w:t>
      </w:r>
    </w:p>
    <w:p w14:paraId="1175F6A4"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1.</w:t>
      </w:r>
      <w:r w:rsidRPr="00451E12">
        <w:rPr>
          <w:rFonts w:eastAsia="Times New Roman"/>
          <w:szCs w:val="20"/>
          <w:lang w:val="nl-NL" w:eastAsia="en-GB"/>
        </w:rPr>
        <w:tab/>
        <w:t>stelt onderstaand standpunt in eerste lezing vast;</w:t>
      </w:r>
    </w:p>
    <w:p w14:paraId="7583BF47" w14:textId="77777777" w:rsidR="00BE0CE7" w:rsidRPr="00451E12"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2.</w:t>
      </w:r>
      <w:r w:rsidRPr="00451E12">
        <w:rPr>
          <w:rFonts w:eastAsia="Times New Roman"/>
          <w:szCs w:val="20"/>
          <w:lang w:val="nl-NL" w:eastAsia="en-GB"/>
        </w:rPr>
        <w:tab/>
        <w:t xml:space="preserve">verzoekt de Commissie om hernieuwde voorlegging aan het Parlement indien zij haar </w:t>
      </w:r>
      <w:r w:rsidRPr="00451E12">
        <w:rPr>
          <w:rFonts w:eastAsia="Times New Roman"/>
          <w:szCs w:val="20"/>
          <w:lang w:val="nl-NL" w:eastAsia="en-GB"/>
        </w:rPr>
        <w:lastRenderedPageBreak/>
        <w:t>voorstel vervangt, ingrijpend wijzigt of voornemens is het ingrijpend te wijzigen;</w:t>
      </w:r>
    </w:p>
    <w:p w14:paraId="5A4DEE7E" w14:textId="6A9B7E3F" w:rsidR="00BE0CE7" w:rsidRDefault="00BE0CE7" w:rsidP="00BE0CE7">
      <w:pPr>
        <w:widowControl w:val="0"/>
        <w:spacing w:after="240"/>
        <w:ind w:left="567" w:hanging="567"/>
        <w:jc w:val="left"/>
        <w:rPr>
          <w:rFonts w:eastAsia="Times New Roman"/>
          <w:szCs w:val="20"/>
          <w:lang w:val="nl-NL" w:eastAsia="en-GB"/>
        </w:rPr>
      </w:pPr>
      <w:r w:rsidRPr="00451E12">
        <w:rPr>
          <w:rFonts w:eastAsia="Times New Roman"/>
          <w:szCs w:val="20"/>
          <w:lang w:val="nl-NL" w:eastAsia="en-GB"/>
        </w:rPr>
        <w:t>3.</w:t>
      </w:r>
      <w:r w:rsidRPr="00451E12">
        <w:rPr>
          <w:rFonts w:eastAsia="Times New Roman"/>
          <w:szCs w:val="20"/>
          <w:lang w:val="nl-NL" w:eastAsia="en-GB"/>
        </w:rPr>
        <w:tab/>
        <w:t>verzoekt zijn Voorzitter het standpunt van het Parlement te doen toekomen aan de Raad en aan de Commissie alsmede aan de nationale parlementen.</w:t>
      </w:r>
    </w:p>
    <w:p w14:paraId="6A472C72" w14:textId="77777777" w:rsidR="00E87C41" w:rsidRPr="00451E12" w:rsidRDefault="00E87C41" w:rsidP="00BE0CE7">
      <w:pPr>
        <w:widowControl w:val="0"/>
        <w:spacing w:after="240"/>
        <w:ind w:left="567" w:hanging="567"/>
        <w:jc w:val="left"/>
        <w:rPr>
          <w:rFonts w:eastAsia="Times New Roman"/>
          <w:szCs w:val="20"/>
          <w:lang w:val="nl-NL" w:eastAsia="en-GB"/>
        </w:rPr>
        <w:sectPr w:rsidR="00E87C41" w:rsidRPr="00451E12">
          <w:footerReference w:type="even" r:id="rId7"/>
          <w:footerReference w:type="first" r:id="rId8"/>
          <w:pgSz w:w="11909" w:h="16834"/>
          <w:pgMar w:top="1134" w:right="1417" w:bottom="1417" w:left="1417" w:header="1134" w:footer="567" w:gutter="0"/>
          <w:cols w:space="720"/>
        </w:sectPr>
      </w:pPr>
    </w:p>
    <w:p w14:paraId="7AC34098" w14:textId="77777777" w:rsidR="00BE0CE7" w:rsidRPr="00451E12" w:rsidRDefault="00BE0CE7" w:rsidP="00BE0CE7">
      <w:pPr>
        <w:ind w:left="567" w:hanging="567"/>
        <w:jc w:val="left"/>
        <w:rPr>
          <w:b/>
          <w:lang w:val="nl-NL"/>
        </w:rPr>
      </w:pPr>
      <w:r w:rsidRPr="00451E12">
        <w:rPr>
          <w:b/>
          <w:lang w:val="nl-NL"/>
        </w:rPr>
        <w:lastRenderedPageBreak/>
        <w:t>P9_TC1-</w:t>
      </w:r>
      <w:proofErr w:type="gramStart"/>
      <w:r w:rsidRPr="00451E12">
        <w:rPr>
          <w:b/>
          <w:lang w:val="nl-NL"/>
        </w:rPr>
        <w:t>COD(</w:t>
      </w:r>
      <w:proofErr w:type="gramEnd"/>
      <w:r w:rsidRPr="00E87C41">
        <w:rPr>
          <w:b/>
          <w:bCs/>
          <w:lang w:val="nl-NL"/>
        </w:rPr>
        <w:t>2023)0376</w:t>
      </w:r>
    </w:p>
    <w:p w14:paraId="2F920BD8" w14:textId="77777777" w:rsidR="00BE0CE7" w:rsidRPr="00451E12" w:rsidRDefault="00BE0CE7" w:rsidP="00BE0CE7">
      <w:pPr>
        <w:spacing w:before="240"/>
        <w:jc w:val="left"/>
        <w:rPr>
          <w:b/>
          <w:lang w:val="nl-NL"/>
        </w:rPr>
      </w:pPr>
      <w:r w:rsidRPr="00451E12">
        <w:rPr>
          <w:b/>
          <w:lang w:val="nl-NL"/>
        </w:rPr>
        <w:t>Standpunt van het Europees Parlement in eerste lezing vastgesteld op 13 maart 2024 met het oog op de vaststelling van Richtlijn (EU) 2024/... van het Europees Parlement en de Raad tot wijziging van Richtlijn 2013/11/EU betreffende alternatieve beslechting van consumentengeschillen, en van de Richtlijnen (EU) 2015/2302, (EU) 2019/2161 en (EU) 2020/1828</w:t>
      </w:r>
    </w:p>
    <w:p w14:paraId="08B3150D" w14:textId="77777777" w:rsidR="00BE0CE7" w:rsidRPr="00451E12" w:rsidRDefault="00BE0CE7" w:rsidP="00BE0CE7">
      <w:pPr>
        <w:spacing w:before="360" w:after="240" w:line="360" w:lineRule="auto"/>
        <w:jc w:val="center"/>
        <w:rPr>
          <w:rFonts w:eastAsia="Times New Roman"/>
          <w:lang w:val="nl-NL"/>
        </w:rPr>
      </w:pPr>
      <w:r w:rsidRPr="00451E12">
        <w:rPr>
          <w:rFonts w:eastAsia="Times New Roman"/>
          <w:lang w:val="nl-NL"/>
        </w:rPr>
        <w:t xml:space="preserve">(Voor de </w:t>
      </w:r>
      <w:proofErr w:type="gramStart"/>
      <w:r w:rsidRPr="00451E12">
        <w:rPr>
          <w:rFonts w:eastAsia="Times New Roman"/>
          <w:lang w:val="nl-NL"/>
        </w:rPr>
        <w:t>EER</w:t>
      </w:r>
      <w:proofErr w:type="gramEnd"/>
      <w:r w:rsidRPr="00451E12">
        <w:rPr>
          <w:rFonts w:eastAsia="Times New Roman"/>
          <w:lang w:val="nl-NL"/>
        </w:rPr>
        <w:t xml:space="preserve"> relevante tekst)</w:t>
      </w:r>
    </w:p>
    <w:p w14:paraId="593B3E35" w14:textId="77777777" w:rsidR="00BE0CE7" w:rsidRPr="00451E12" w:rsidRDefault="00BE0CE7" w:rsidP="00BE0CE7">
      <w:pPr>
        <w:keepNext/>
        <w:widowControl w:val="0"/>
        <w:spacing w:before="600" w:after="120" w:line="360" w:lineRule="auto"/>
        <w:jc w:val="left"/>
        <w:rPr>
          <w:rFonts w:eastAsia="Times New Roman"/>
          <w:lang w:val="nl-NL"/>
        </w:rPr>
      </w:pPr>
      <w:r w:rsidRPr="00451E12">
        <w:rPr>
          <w:rFonts w:eastAsia="Times New Roman"/>
          <w:lang w:val="nl-NL"/>
        </w:rPr>
        <w:t>HET EUROPEES PARLEMENT EN DE RAAD VAN DE EUROPESE UNIE,</w:t>
      </w:r>
    </w:p>
    <w:p w14:paraId="50CE50B8" w14:textId="77777777"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t>Gezien het Verdrag betreffende de werking van de Europese Unie, en met name artikel 114,</w:t>
      </w:r>
    </w:p>
    <w:p w14:paraId="15FB780A" w14:textId="77777777"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t>Gezien het voorstel van de Europese Commissie,</w:t>
      </w:r>
    </w:p>
    <w:p w14:paraId="6B38DF43" w14:textId="77777777"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t>Na toezending van het ontwerp van wetgevingshandeling aan de nationale parlementen,</w:t>
      </w:r>
    </w:p>
    <w:p w14:paraId="7FDA000D" w14:textId="77777777"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t>Gezien het advies van het Europees Economisch en Sociaal Comité,</w:t>
      </w:r>
    </w:p>
    <w:p w14:paraId="6940F685" w14:textId="77777777"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t>Handelend volgens de gewone wetgevingsprocedure,</w:t>
      </w:r>
    </w:p>
    <w:p w14:paraId="74F75B3E" w14:textId="77777777" w:rsidR="00945499" w:rsidRPr="00451E12" w:rsidRDefault="00945499">
      <w:pPr>
        <w:jc w:val="left"/>
        <w:rPr>
          <w:rFonts w:eastAsia="Times New Roman"/>
          <w:szCs w:val="20"/>
          <w:lang w:val="nl-NL"/>
        </w:rPr>
      </w:pPr>
      <w:r w:rsidRPr="00451E12">
        <w:rPr>
          <w:rFonts w:eastAsia="Times New Roman"/>
          <w:szCs w:val="20"/>
          <w:lang w:val="nl-NL"/>
        </w:rPr>
        <w:br w:type="page"/>
      </w:r>
    </w:p>
    <w:p w14:paraId="7C3E39A2" w14:textId="4515EB79" w:rsidR="00BE0CE7" w:rsidRPr="00451E12" w:rsidRDefault="00BE0CE7" w:rsidP="00BE0CE7">
      <w:pPr>
        <w:widowControl w:val="0"/>
        <w:spacing w:before="120" w:after="120" w:line="360" w:lineRule="auto"/>
        <w:jc w:val="left"/>
        <w:rPr>
          <w:rFonts w:eastAsia="Times New Roman"/>
          <w:szCs w:val="20"/>
          <w:lang w:val="nl-NL"/>
        </w:rPr>
      </w:pPr>
      <w:r w:rsidRPr="00451E12">
        <w:rPr>
          <w:rFonts w:eastAsia="Times New Roman"/>
          <w:szCs w:val="20"/>
          <w:lang w:val="nl-NL"/>
        </w:rPr>
        <w:lastRenderedPageBreak/>
        <w:t>Overwegende hetgeen volgt:</w:t>
      </w:r>
    </w:p>
    <w:p w14:paraId="7A35FC93"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(1)</w:t>
      </w:r>
      <w:r w:rsidRPr="00451E12">
        <w:rPr>
          <w:rFonts w:eastAsia="Times New Roman"/>
          <w:lang w:val="nl-NL"/>
        </w:rPr>
        <w:tab/>
        <w:t>Richtlijn 2013/11/EU van het Europees Parlement en de Raad</w:t>
      </w:r>
      <w:r w:rsidRPr="00451E12">
        <w:rPr>
          <w:rFonts w:eastAsia="Times New Roman"/>
          <w:vertAlign w:val="superscript"/>
          <w:lang w:val="nl-NL"/>
        </w:rPr>
        <w:footnoteReference w:id="2"/>
      </w:r>
      <w:r w:rsidRPr="00451E12">
        <w:rPr>
          <w:rFonts w:eastAsia="Times New Roman"/>
          <w:lang w:val="nl-NL"/>
        </w:rPr>
        <w:t xml:space="preserve"> werd vastgesteld om ervoor te zorgen dat consumenten binnen de Unie toegang hebben tot hoogwaardige procedures voor alternatieve geschillenbeslechting (“ADR”) om contractuele geschillen op te lossen die voortvloeien uit de verkoop van goederen of het verlenen van diensten door ondernemers die in de Unie zijn gevestigd aan consumenten die in de Unie wonen. De richtlijn voorziet in de beschikbaarheid van ADR-procedures voor alle soorten binnenlandse en grensoverschrijdende consumentengeschillen binnen de Unie, waarbij ervoor wordt gezorgd dat ADR-procedures voldoen aan minimale kwaliteitsnormen. Van de lidstaten wordt gevraagd dat zij toezicht houden op de prestaties van ADR-entiteiten. Om de consument bewuster te maken en het gebruik van ADR te bevorderen, wordt in de verordening ook bepaald dat ondernemers hun consumenten moeten informeren over de mogelijkheid om hun geschil via ADR-procedures buitengerechtelijk te beslechten.</w:t>
      </w:r>
    </w:p>
    <w:p w14:paraId="19EDEE64" w14:textId="77777777" w:rsidR="00945499" w:rsidRPr="00451E12" w:rsidRDefault="00945499">
      <w:pPr>
        <w:jc w:val="left"/>
        <w:rPr>
          <w:rFonts w:eastAsia="Times New Roman"/>
          <w:lang w:val="nl-NL"/>
        </w:rPr>
      </w:pPr>
      <w:r w:rsidRPr="00451E12">
        <w:rPr>
          <w:rFonts w:eastAsia="Times New Roman"/>
          <w:lang w:val="nl-NL"/>
        </w:rPr>
        <w:br w:type="page"/>
      </w:r>
    </w:p>
    <w:p w14:paraId="04279602" w14:textId="50745501"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(2)</w:t>
      </w:r>
      <w:r w:rsidRPr="00451E12">
        <w:rPr>
          <w:rFonts w:eastAsia="Times New Roman"/>
          <w:lang w:val="nl-NL"/>
        </w:rPr>
        <w:tab/>
        <w:t>In 2019 heeft de Commissie een verslag vastgesteld over de uitvoering van Richtlijn 2013/11/EU en van Verordening (EU) nr. 524/2013 van het Europees Parlement en de Raad</w:t>
      </w:r>
      <w:r w:rsidRPr="00451E12">
        <w:rPr>
          <w:rFonts w:eastAsia="Times New Roman"/>
          <w:vertAlign w:val="superscript"/>
          <w:lang w:val="nl-NL"/>
        </w:rPr>
        <w:footnoteReference w:id="3"/>
      </w:r>
      <w:r w:rsidRPr="00451E12">
        <w:rPr>
          <w:rFonts w:eastAsia="Times New Roman"/>
          <w:lang w:val="nl-NL"/>
        </w:rPr>
        <w:t>, waaruit bleek dat Richtlijn 2013/11/EU heeft geleid tot een grotere dekking van consumentenmarkten door hoogwaardige ADR-entiteiten in de hele Unie. In het verslag werd echter ook vastgesteld dat het gebruik van ADR-procedures door consumenten en bedrijven in sommige sectoren en lidstaten achterbleef. Een van de redenen hiervoor was dat ondernemers en consumenten niet goed op de hoogte waren van dergelijke procedures in lidstaten waar zij nog maar kort geleden waren ingevoerd. Een andere reden was het gebrek aan vertrouwen van consumenten en ondernemers in niet-gereglementeerde ADR-entiteiten. Uit gegevens die begin 2022 door de nationale bevoegde autoriteiten zijn verstrekt, en uit de evaluatie van de uitvoering van Richtlijn 2013/11/EU in 2023, blijkt dat het gebruik van ADR-procedures relatief stabiel is gebleven (afgezien van een kleine toename van het aantal gevallen in verband met de COVID-19-pandemie). De meeste belanghebbenden die in het kader van die evaluatie werden geraadpleegd, hebben bevestigd dat het gebrek aan bewustzijn en inzicht in de ADR-procedures bij consumenten, de geringe betrokkenheid van ondernemers, hiaten in de ADR-dekking in bepaalde lidstaten, de hoge kosten en complexe nationale ADR-procedures en verschillen in de bevoegdheden van ADR-entiteiten vaak factoren zijn die het gebruik van ADR-procedures belemmeren. Grensoverschrijdende ADR kent nog meer belemmeringen, zoals de taal, een gebrek aan kennis van de toepasselijke wetgeving en specifieke toegangsproblemen voor kwetsbare consumenten.</w:t>
      </w:r>
    </w:p>
    <w:p w14:paraId="30392718" w14:textId="77777777" w:rsidR="00945499" w:rsidRPr="00451E12" w:rsidRDefault="00945499">
      <w:pPr>
        <w:jc w:val="left"/>
        <w:rPr>
          <w:rFonts w:eastAsia="Times New Roman"/>
          <w:b/>
          <w:i/>
          <w:lang w:val="nl-NL"/>
        </w:rPr>
      </w:pPr>
      <w:r w:rsidRPr="00451E12">
        <w:rPr>
          <w:rFonts w:eastAsia="Times New Roman"/>
          <w:b/>
          <w:i/>
          <w:lang w:val="nl-NL"/>
        </w:rPr>
        <w:br w:type="page"/>
      </w:r>
    </w:p>
    <w:p w14:paraId="7DB26EEA" w14:textId="6539F430"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(2 bis)</w:t>
      </w:r>
      <w:r w:rsidRPr="00451E12">
        <w:rPr>
          <w:rFonts w:eastAsia="Times New Roman"/>
          <w:b/>
          <w:i/>
          <w:lang w:val="nl-NL"/>
        </w:rPr>
        <w:tab/>
        <w:t>Teneinde het potentieel ervan ten volle te benutten en de belangen van de consument te behartigen, moet deze richtlijn de deelname van luchtvaartmaatschappijen die binnen het toepassingsgebied van Verordening (EG) nr. 261/2004 vallen verplicht stellen, mits dit de partijen niet belet hun recht op toegang tot de rechter uit te oefenen. Dit is het geval aangezien uit verscheidene studies is gebleken dat het aantal klachten in de vervoers- en de toeristische sector, en met name op het gebied van de rechten van luchtvaartpassagiers, groot is.</w:t>
      </w:r>
      <w:r w:rsidR="006556BD" w:rsidRPr="00451E12">
        <w:rPr>
          <w:rFonts w:eastAsia="Times New Roman"/>
          <w:b/>
          <w:lang w:val="nl-NL"/>
        </w:rPr>
        <w:t xml:space="preserve"> [Am. 1]</w:t>
      </w:r>
    </w:p>
    <w:p w14:paraId="4155FCF2" w14:textId="72A8DD9F"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t>(2 ter)</w:t>
      </w:r>
      <w:r w:rsidRPr="00451E12">
        <w:rPr>
          <w:rFonts w:eastAsia="Times New Roman"/>
          <w:b/>
          <w:i/>
          <w:lang w:val="nl-NL"/>
        </w:rPr>
        <w:tab/>
        <w:t>ADR-entiteiten moeten aan de bevoegde autoriteiten een lijst verstrekken van ondernemers die systematisch en zonder rechtvaardiging weigeren de uitkomst van ADR-procedures na te leven. Bovendien moeten de lidstaten ervoor zorgen dat ondernemers, indien zij niet aan de uitkomst van een ADR-procedure voldoen, verplicht zijn de andere partijen bij de ADR-procedure een schriftelijke toelichting te verstrekken.</w:t>
      </w:r>
      <w:r w:rsidR="006556BD" w:rsidRPr="00451E12">
        <w:rPr>
          <w:rFonts w:eastAsia="Times New Roman"/>
          <w:b/>
          <w:lang w:val="nl-NL"/>
        </w:rPr>
        <w:t xml:space="preserve"> [Am. 2]</w:t>
      </w:r>
    </w:p>
    <w:p w14:paraId="09507884" w14:textId="77777777" w:rsidR="00945499" w:rsidRPr="00451E12" w:rsidRDefault="00945499">
      <w:pPr>
        <w:jc w:val="left"/>
        <w:rPr>
          <w:rFonts w:eastAsia="Times New Roman"/>
          <w:lang w:val="nl-NL"/>
        </w:rPr>
      </w:pPr>
      <w:r w:rsidRPr="00451E12">
        <w:rPr>
          <w:rFonts w:eastAsia="Times New Roman"/>
          <w:lang w:val="nl-NL"/>
        </w:rPr>
        <w:br w:type="page"/>
      </w:r>
    </w:p>
    <w:p w14:paraId="1AD5A629" w14:textId="44F2D332"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lastRenderedPageBreak/>
        <w:t>(3)</w:t>
      </w:r>
      <w:r w:rsidRPr="00451E12">
        <w:rPr>
          <w:rFonts w:eastAsia="Times New Roman"/>
          <w:lang w:val="nl-NL"/>
        </w:rPr>
        <w:tab/>
        <w:t>Aangezien ten minste twee op de vijf onlinetransacties van consumenten die in de Unie wonen, plaatsvinden met ondernemers die in derde landen zijn gevestigd, moet het toepassingsgebied van Richtlijn 2013/11/EU worden uitgebreid, zodat ondernemers uit derde landen die bereid zijn deel te nemen aan een ADR-procedure, dit kunnen doen. Consumenten die in de Unie wonen, mogen geen belemmeringen ondervinden bij het beslechten van geschillen met ondernemers, ongeacht waar deze gevestigd zijn, indien de ondernemers ermee instemmen een ADR-procedure te volgen via een in een lidstaat gevestigde ADR-entiteit.</w:t>
      </w:r>
      <w:r w:rsidRPr="00451E12">
        <w:rPr>
          <w:rFonts w:eastAsia="Times New Roman"/>
          <w:b/>
          <w:i/>
          <w:lang w:val="nl-NL"/>
        </w:rPr>
        <w:t xml:space="preserve"> Overeenkomstig het toepasselijke Unierecht moet de consument een procedure kunnen beginnen in de lidstaat waar hij of zij woonachtig is. Het mag niet mogelijk zijn gebruik te maken van ADR-procedures in een lidstaat waar de consument niet woonachtig is en de ondernemer ook niet is gevestigd.</w:t>
      </w:r>
      <w:r w:rsidR="006556BD" w:rsidRPr="00451E12">
        <w:rPr>
          <w:rFonts w:eastAsia="Times New Roman"/>
          <w:b/>
          <w:lang w:val="nl-NL"/>
        </w:rPr>
        <w:t xml:space="preserve"> [Am. 3]</w:t>
      </w:r>
    </w:p>
    <w:p w14:paraId="080C3EFC" w14:textId="77777777" w:rsidR="00945499" w:rsidRPr="00451E12" w:rsidRDefault="00945499">
      <w:pPr>
        <w:jc w:val="left"/>
        <w:rPr>
          <w:rFonts w:eastAsia="Times New Roman"/>
          <w:lang w:val="nl-NL"/>
        </w:rPr>
      </w:pPr>
      <w:r w:rsidRPr="00451E12">
        <w:rPr>
          <w:rFonts w:eastAsia="Times New Roman"/>
          <w:lang w:val="nl-NL"/>
        </w:rPr>
        <w:br w:type="page"/>
      </w:r>
    </w:p>
    <w:p w14:paraId="115428FF" w14:textId="491D87DF"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lastRenderedPageBreak/>
        <w:t>(4)</w:t>
      </w:r>
      <w:r w:rsidRPr="00451E12">
        <w:rPr>
          <w:rFonts w:eastAsia="Times New Roman"/>
          <w:lang w:val="nl-NL"/>
        </w:rPr>
        <w:tab/>
        <w:t xml:space="preserve">De complexiteit van consumentengeschillen is aanzienlijk toegenomen sinds de goedkeuring van Richtlijn 2013/11/EU. De digitalisering van goederen en diensten, het toenemende belang van e-commerce en digitale reclame bij de totstandkoming van consumentenovereenkomsten hebben geleid tot een toename van het aantal consumenten dat wordt blootgesteld aan misleidende online-informatie en manipulatieve interfaces die hen beletten weloverwogen aankoopbeslissingen te nemen. Daarom moet worden verduidelijkt dat contractuele geschillen die voortvloeien uit de verkoop van goederen of diensten ook digitale inhoud en digitale diensten omvatten, en moet het toepassingsgebied van Richtlijn 2013/11/EU worden uitgebreid, zodat consumenten ook verhaal kunnen halen voor praktijken die hen in een precontractuele fase schade berokkenen, </w:t>
      </w:r>
      <w:r w:rsidRPr="00451E12">
        <w:rPr>
          <w:rFonts w:eastAsia="Times New Roman"/>
          <w:strike/>
          <w:lang w:val="nl-NL"/>
        </w:rPr>
        <w:t xml:space="preserve">ongeacht </w:t>
      </w:r>
      <w:proofErr w:type="spellStart"/>
      <w:r w:rsidRPr="00451E12">
        <w:rPr>
          <w:rFonts w:eastAsia="Times New Roman"/>
          <w:strike/>
          <w:lang w:val="nl-NL"/>
        </w:rPr>
        <w:t>of</w:t>
      </w:r>
      <w:r w:rsidRPr="00451E12">
        <w:rPr>
          <w:rFonts w:eastAsia="Times New Roman"/>
          <w:b/>
          <w:i/>
          <w:lang w:val="nl-NL"/>
        </w:rPr>
        <w:t>mits</w:t>
      </w:r>
      <w:proofErr w:type="spellEnd"/>
      <w:r w:rsidRPr="00451E12">
        <w:rPr>
          <w:rFonts w:eastAsia="Times New Roman"/>
          <w:lang w:val="nl-NL"/>
        </w:rPr>
        <w:t xml:space="preserve"> zij later door een overeenkomst gebonden worden</w:t>
      </w:r>
      <w:r w:rsidRPr="00451E12">
        <w:rPr>
          <w:rFonts w:eastAsia="Times New Roman"/>
          <w:b/>
          <w:i/>
          <w:lang w:val="nl-NL"/>
        </w:rPr>
        <w:t>, of in een postcontractuele fase</w:t>
      </w:r>
      <w:r w:rsidRPr="00451E12">
        <w:rPr>
          <w:rFonts w:eastAsia="Times New Roman"/>
          <w:lang w:val="nl-NL"/>
        </w:rPr>
        <w:t>.</w:t>
      </w:r>
      <w:r w:rsidR="006556BD" w:rsidRPr="00451E12">
        <w:rPr>
          <w:rFonts w:eastAsia="Times New Roman"/>
          <w:b/>
          <w:lang w:val="nl-NL"/>
        </w:rPr>
        <w:t xml:space="preserve"> [Am. 4]</w:t>
      </w:r>
    </w:p>
    <w:p w14:paraId="150E3C46" w14:textId="77777777" w:rsidR="00945499" w:rsidRPr="00451E12" w:rsidRDefault="00945499">
      <w:pPr>
        <w:jc w:val="left"/>
        <w:rPr>
          <w:rFonts w:eastAsia="Times New Roman"/>
          <w:lang w:val="nl-NL"/>
        </w:rPr>
      </w:pPr>
      <w:r w:rsidRPr="00451E12">
        <w:rPr>
          <w:rFonts w:eastAsia="Times New Roman"/>
          <w:lang w:val="nl-NL"/>
        </w:rPr>
        <w:br w:type="page"/>
      </w:r>
    </w:p>
    <w:p w14:paraId="64B577A8" w14:textId="2B39D651"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lastRenderedPageBreak/>
        <w:t>(5)</w:t>
      </w:r>
      <w:r w:rsidRPr="00451E12">
        <w:rPr>
          <w:rFonts w:eastAsia="Times New Roman"/>
          <w:lang w:val="nl-NL"/>
        </w:rPr>
        <w:tab/>
        <w:t>Bovendien moet Richtlijn 2013/11/EU ook betrekking hebben op consumentenrechten die voortvloeien uit de wetgeving van de Unie die de betrekkingen regelt tussen consumenten en ondernemers wanneer er geen contractuele relatie bestaat, met betrekking tot het recht op toegang tot en betaling voor goederen en diensten zonder discriminatie op grond van nationaliteit, woonplaats of vestiging, zoals bepaald in de artikelen 4 en 5 van Verordening (EU) 2018/302 van het Europees Parlement en de Raad</w:t>
      </w:r>
      <w:r w:rsidRPr="00451E12">
        <w:rPr>
          <w:rFonts w:eastAsia="Times New Roman"/>
          <w:vertAlign w:val="superscript"/>
          <w:lang w:val="nl-NL"/>
        </w:rPr>
        <w:footnoteReference w:id="4"/>
      </w:r>
      <w:r w:rsidRPr="00451E12">
        <w:rPr>
          <w:rFonts w:eastAsia="Times New Roman"/>
          <w:b/>
          <w:i/>
          <w:lang w:val="nl-NL"/>
        </w:rPr>
        <w:t>, of op enige in artikel 21 van het Handvest van de grondrechten van de Europese Unie genoemde grond</w:t>
      </w:r>
      <w:r w:rsidRPr="00451E12">
        <w:rPr>
          <w:rFonts w:eastAsia="Times New Roman"/>
          <w:lang w:val="nl-NL"/>
        </w:rPr>
        <w:t>; het recht om bankrekeningen te openen en over te stappen, zoals bepaald in de artikelen 9, 10, 11 en 16 van Richtlijn 2014/92/EU van het Europees Parlement en de Raad</w:t>
      </w:r>
      <w:r w:rsidRPr="00451E12">
        <w:rPr>
          <w:rFonts w:eastAsia="Times New Roman"/>
          <w:vertAlign w:val="superscript"/>
          <w:lang w:val="nl-NL"/>
        </w:rPr>
        <w:footnoteReference w:id="5"/>
      </w:r>
      <w:r w:rsidRPr="00451E12">
        <w:rPr>
          <w:rFonts w:eastAsia="Times New Roman"/>
          <w:lang w:val="nl-NL"/>
        </w:rPr>
        <w:t xml:space="preserve">, en om niet te worden gediscrimineerd, zoals bepaald in artikel 15 van die richtlijn; het recht om transparante informatie te ontvangen over </w:t>
      </w:r>
      <w:proofErr w:type="spellStart"/>
      <w:r w:rsidRPr="00451E12">
        <w:rPr>
          <w:rFonts w:eastAsia="Times New Roman"/>
          <w:lang w:val="nl-NL"/>
        </w:rPr>
        <w:t>retailvoorwaarden</w:t>
      </w:r>
      <w:proofErr w:type="spellEnd"/>
      <w:r w:rsidRPr="00451E12">
        <w:rPr>
          <w:rFonts w:eastAsia="Times New Roman"/>
          <w:lang w:val="nl-NL"/>
        </w:rPr>
        <w:t xml:space="preserve"> voor </w:t>
      </w:r>
      <w:proofErr w:type="spellStart"/>
      <w:r w:rsidRPr="00451E12">
        <w:rPr>
          <w:rFonts w:eastAsia="Times New Roman"/>
          <w:lang w:val="nl-NL"/>
        </w:rPr>
        <w:t>roamingoproepen</w:t>
      </w:r>
      <w:proofErr w:type="spellEnd"/>
      <w:r w:rsidRPr="00451E12">
        <w:rPr>
          <w:rFonts w:eastAsia="Times New Roman"/>
          <w:lang w:val="nl-NL"/>
        </w:rPr>
        <w:t xml:space="preserve"> en sms-berichten, zoals bepaald in de artikelen 13, 14 en 15 van Verordening (EU) 2022/612 van het Europees Parlement en de Raad</w:t>
      </w:r>
      <w:r w:rsidRPr="00451E12">
        <w:rPr>
          <w:rFonts w:eastAsia="Times New Roman"/>
          <w:vertAlign w:val="superscript"/>
          <w:lang w:val="nl-NL"/>
        </w:rPr>
        <w:footnoteReference w:id="6"/>
      </w:r>
      <w:r w:rsidRPr="00451E12">
        <w:rPr>
          <w:rFonts w:eastAsia="Times New Roman"/>
          <w:lang w:val="nl-NL"/>
        </w:rPr>
        <w:t>, en het recht op transparantie over passagiers- en luchttarieven zoals bedoeld in artikel 23 van Verordening (EG) nr. 1008/2008 van het Europees Parlement en de Raad</w:t>
      </w:r>
      <w:r w:rsidRPr="00451E12">
        <w:rPr>
          <w:rFonts w:eastAsia="Times New Roman"/>
          <w:vertAlign w:val="superscript"/>
          <w:lang w:val="nl-NL"/>
        </w:rPr>
        <w:footnoteReference w:id="7"/>
      </w:r>
      <w:r w:rsidRPr="00451E12">
        <w:rPr>
          <w:rFonts w:eastAsia="Times New Roman"/>
          <w:lang w:val="nl-NL"/>
        </w:rPr>
        <w:t>. Daarom moet worden bepaald dat geschillen die ontstaan met betrekking tot dergelijke categorieën consumentenrechten kunnen worden behandeld in het kader van ADR-procedures.</w:t>
      </w:r>
      <w:r w:rsidR="006556BD" w:rsidRPr="00451E12">
        <w:rPr>
          <w:rFonts w:eastAsia="Times New Roman"/>
          <w:b/>
          <w:lang w:val="nl-NL"/>
        </w:rPr>
        <w:t xml:space="preserve"> [Am. 5]</w:t>
      </w:r>
    </w:p>
    <w:p w14:paraId="30D671BB" w14:textId="77777777" w:rsidR="00945499" w:rsidRPr="00451E12" w:rsidRDefault="00945499">
      <w:pPr>
        <w:jc w:val="left"/>
        <w:rPr>
          <w:rFonts w:eastAsia="Times New Roman"/>
          <w:b/>
          <w:i/>
          <w:lang w:val="nl-NL"/>
        </w:rPr>
      </w:pPr>
      <w:r w:rsidRPr="00451E12">
        <w:rPr>
          <w:rFonts w:eastAsia="Times New Roman"/>
          <w:b/>
          <w:i/>
          <w:lang w:val="nl-NL"/>
        </w:rPr>
        <w:br w:type="page"/>
      </w:r>
    </w:p>
    <w:p w14:paraId="20BC4AA4" w14:textId="3D62AE9C"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(5 bis)</w:t>
      </w:r>
      <w:r w:rsidRPr="00451E12">
        <w:rPr>
          <w:rFonts w:eastAsia="Times New Roman"/>
          <w:b/>
          <w:i/>
          <w:lang w:val="nl-NL"/>
        </w:rPr>
        <w:tab/>
        <w:t xml:space="preserve">De lidstaten moeten de aanbeveling van de Commissie van 17 oktober 2023 betreffende kwaliteitseisen voor geschillenbeslechtingsprocedures die worden aangeboden door onlinemarktplaatsen en </w:t>
      </w:r>
      <w:proofErr w:type="spellStart"/>
      <w:r w:rsidRPr="00451E12">
        <w:rPr>
          <w:rFonts w:eastAsia="Times New Roman"/>
          <w:b/>
          <w:i/>
          <w:lang w:val="nl-NL"/>
        </w:rPr>
        <w:t>uniale</w:t>
      </w:r>
      <w:proofErr w:type="spellEnd"/>
      <w:r w:rsidRPr="00451E12">
        <w:rPr>
          <w:rFonts w:eastAsia="Times New Roman"/>
          <w:b/>
          <w:i/>
          <w:lang w:val="nl-NL"/>
        </w:rPr>
        <w:t xml:space="preserve"> ondernemersorganisaties in acht nemen. De Commissie moet ertoe worden aangemoedigd in aanvulling op deze richtlijn een verordening vast te stellen betreffende kwaliteitseisen voor geschillenbeslechtingsprocedures die worden aangeboden door onlinemarktplaatsen en </w:t>
      </w:r>
      <w:proofErr w:type="spellStart"/>
      <w:r w:rsidRPr="00451E12">
        <w:rPr>
          <w:rFonts w:eastAsia="Times New Roman"/>
          <w:b/>
          <w:i/>
          <w:lang w:val="nl-NL"/>
        </w:rPr>
        <w:t>uniale</w:t>
      </w:r>
      <w:proofErr w:type="spellEnd"/>
      <w:r w:rsidRPr="00451E12">
        <w:rPr>
          <w:rFonts w:eastAsia="Times New Roman"/>
          <w:b/>
          <w:i/>
          <w:lang w:val="nl-NL"/>
        </w:rPr>
        <w:t xml:space="preserve"> ondernemersorganisaties.</w:t>
      </w:r>
      <w:r w:rsidR="006556BD" w:rsidRPr="00451E12">
        <w:rPr>
          <w:rFonts w:eastAsia="Times New Roman"/>
          <w:b/>
          <w:lang w:val="nl-NL"/>
        </w:rPr>
        <w:t xml:space="preserve"> [Am. 6]</w:t>
      </w:r>
    </w:p>
    <w:p w14:paraId="72882A8D"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(6)</w:t>
      </w:r>
      <w:r w:rsidRPr="00451E12">
        <w:rPr>
          <w:rFonts w:eastAsia="Times New Roman"/>
          <w:lang w:val="nl-NL"/>
        </w:rPr>
        <w:tab/>
        <w:t>De lidstaten moeten het recht hebben om ADR-procedures ook toe te passen op geschillen die verband houden met andere niet-contractuele rechten die voortvloeien uit het Unierecht, waaronder rechten die voortvloeien uit de artikelen 101 en 102 VWEU of de rechten van gebruikers zoals vastgelegd in Verordening (EU) 2022/1925 van het Europees Parlement en de Raad</w:t>
      </w:r>
      <w:r w:rsidRPr="00451E12">
        <w:rPr>
          <w:rFonts w:eastAsia="Times New Roman"/>
          <w:vertAlign w:val="superscript"/>
          <w:lang w:val="nl-NL"/>
        </w:rPr>
        <w:footnoteReference w:id="8"/>
      </w:r>
      <w:r w:rsidRPr="00451E12">
        <w:rPr>
          <w:rFonts w:eastAsia="Times New Roman"/>
          <w:lang w:val="nl-NL"/>
        </w:rPr>
        <w:t>. Dit laat de handhaving van die regels door de overheid onverlet.</w:t>
      </w:r>
    </w:p>
    <w:p w14:paraId="6CD54D2B"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(7)</w:t>
      </w:r>
      <w:r w:rsidRPr="00451E12">
        <w:rPr>
          <w:rFonts w:eastAsia="Times New Roman"/>
          <w:lang w:val="nl-NL"/>
        </w:rPr>
        <w:tab/>
        <w:t>Wanneer een geschil ontstaat tussen een aanbieder van een onlineplatform en een gebruiker van die dienst over het modereren van illegale of schadelijke content door die aanbieder, geldt artikel 21 (Buitengerechtelijke geschillenbeslechting) van Verordening (EU) 2022/2065 van het Europees Parlement en de Raad</w:t>
      </w:r>
      <w:r w:rsidRPr="00451E12">
        <w:rPr>
          <w:rFonts w:eastAsia="Times New Roman"/>
          <w:vertAlign w:val="superscript"/>
          <w:lang w:val="nl-NL"/>
        </w:rPr>
        <w:footnoteReference w:id="9"/>
      </w:r>
      <w:r w:rsidRPr="00451E12">
        <w:rPr>
          <w:rFonts w:eastAsia="Times New Roman"/>
          <w:lang w:val="nl-NL"/>
        </w:rPr>
        <w:t>, overeenkomstig artikel 2, punt 4, van die verordening, aangezien daarin specifieke regels voor dergelijke geschillen zijn vastgesteld.</w:t>
      </w:r>
    </w:p>
    <w:p w14:paraId="03733366" w14:textId="77777777" w:rsidR="00945499" w:rsidRPr="00451E12" w:rsidRDefault="00945499">
      <w:pPr>
        <w:jc w:val="left"/>
        <w:rPr>
          <w:rFonts w:eastAsia="Times New Roman"/>
          <w:lang w:val="nl-NL"/>
        </w:rPr>
      </w:pPr>
      <w:r w:rsidRPr="00451E12">
        <w:rPr>
          <w:rFonts w:eastAsia="Times New Roman"/>
          <w:lang w:val="nl-NL"/>
        </w:rPr>
        <w:br w:type="page"/>
      </w:r>
    </w:p>
    <w:p w14:paraId="4DFE64D4" w14:textId="2DD5F05F"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(8)</w:t>
      </w:r>
      <w:r w:rsidRPr="00451E12">
        <w:rPr>
          <w:rFonts w:eastAsia="Times New Roman"/>
          <w:lang w:val="nl-NL"/>
        </w:rPr>
        <w:tab/>
        <w:t>De definities van “binnenlands geschil” en “grensoverschrijdend geschil” moeten dienovereenkomstig worden aangepast om rekening te houden met de uitbreiding van het toepassingsgebied van Richtlijn 2013/11/EU.</w:t>
      </w:r>
    </w:p>
    <w:p w14:paraId="336EFCBF"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(9)</w:t>
      </w:r>
      <w:r w:rsidRPr="00451E12">
        <w:rPr>
          <w:rFonts w:eastAsia="Times New Roman"/>
          <w:lang w:val="nl-NL"/>
        </w:rPr>
        <w:tab/>
        <w:t>Om ervoor te zorgen dat ADR-procedures geschikt zijn voor het digitale tijdperk waarin communicatie online plaatsvindt, ook in een grensoverschrijdende context, is het noodzakelijk om te zorgen voor snelle en eerlijke processen voor alle consumenten. De lidstaten moeten ervoor zorgen dat op hun grondgebied gevestigde ADR-entiteiten de bevoegdheid hebben om procedures voor geschillenbeslechting aan te bieden in geschillen tussen ondernemers die buiten de Unie zijn gevestigd en consumenten die op hun grondgebied wonen.</w:t>
      </w:r>
    </w:p>
    <w:p w14:paraId="43E2FC29" w14:textId="25431879"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(10)</w:t>
      </w:r>
      <w:r w:rsidRPr="00451E12">
        <w:rPr>
          <w:rFonts w:eastAsia="Times New Roman"/>
          <w:lang w:val="nl-NL"/>
        </w:rPr>
        <w:tab/>
        <w:t>De lidstaten moeten ervoor zorgen dat ADR de consument in staat stelt om op verzoek ook offline ADR-procedures te starten en te volgen. Er moet ook voor worden gezorgd dat wanneer digitale hulpmiddelen worden aangeboden, deze door alle consumenten kunnen worden gebruikt, inclusief kwetsbare consumenten of personen met verschillende niveaus van digitale geletterdheid. De lidstaten moeten ervoor zorgen dat de partijen bij het geschil</w:t>
      </w:r>
      <w:r w:rsidRPr="00451E12">
        <w:rPr>
          <w:rFonts w:eastAsia="Times New Roman"/>
          <w:strike/>
          <w:lang w:val="nl-NL"/>
        </w:rPr>
        <w:t xml:space="preserve"> op verzoek altijd</w:t>
      </w:r>
      <w:r w:rsidRPr="00451E12">
        <w:rPr>
          <w:rFonts w:eastAsia="Times New Roman"/>
          <w:b/>
          <w:i/>
          <w:lang w:val="nl-NL"/>
        </w:rPr>
        <w:t>, met name consumenten,</w:t>
      </w:r>
      <w:r w:rsidRPr="00451E12">
        <w:rPr>
          <w:rFonts w:eastAsia="Times New Roman"/>
          <w:lang w:val="nl-NL"/>
        </w:rPr>
        <w:t xml:space="preserve"> toegang hebben tot een beoordeling van geautomatiseerde procedures door een natuurlijke persoon</w:t>
      </w:r>
      <w:r w:rsidRPr="00451E12">
        <w:rPr>
          <w:rFonts w:eastAsia="Times New Roman"/>
          <w:b/>
          <w:i/>
          <w:lang w:val="nl-NL"/>
        </w:rPr>
        <w:t>, die onafhankelijk en onpartijdig moet zijn</w:t>
      </w:r>
      <w:r w:rsidRPr="00451E12">
        <w:rPr>
          <w:rFonts w:eastAsia="Times New Roman"/>
          <w:lang w:val="nl-NL"/>
        </w:rPr>
        <w:t>.</w:t>
      </w:r>
      <w:r w:rsidR="006556BD" w:rsidRPr="00451E12">
        <w:rPr>
          <w:rFonts w:eastAsia="Times New Roman"/>
          <w:b/>
          <w:lang w:val="nl-NL"/>
        </w:rPr>
        <w:t xml:space="preserve"> [Am. 7]</w:t>
      </w:r>
    </w:p>
    <w:p w14:paraId="69D69533" w14:textId="77777777" w:rsidR="00945499" w:rsidRPr="00451E12" w:rsidRDefault="00945499">
      <w:pPr>
        <w:jc w:val="left"/>
        <w:rPr>
          <w:rFonts w:eastAsia="Times New Roman"/>
          <w:b/>
          <w:i/>
          <w:lang w:val="nl-NL"/>
        </w:rPr>
      </w:pPr>
      <w:r w:rsidRPr="00451E12">
        <w:rPr>
          <w:rFonts w:eastAsia="Times New Roman"/>
          <w:b/>
          <w:i/>
          <w:lang w:val="nl-NL"/>
        </w:rPr>
        <w:br w:type="page"/>
      </w:r>
    </w:p>
    <w:p w14:paraId="75F08363" w14:textId="46443BBB"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(10 bis)</w:t>
      </w:r>
      <w:r w:rsidRPr="00451E12">
        <w:rPr>
          <w:rFonts w:eastAsia="Times New Roman"/>
          <w:b/>
          <w:i/>
          <w:lang w:val="nl-NL"/>
        </w:rPr>
        <w:tab/>
        <w:t>Om het vertrouwen van consumenten en ondernemers in ADR-procedures te versterken en hun deelname eraan te verbeteren, is het van het allergrootste belang ervoor te zorgen dat de werking en het werk van ADR-entiteiten van goede kwaliteit zijn. Derhalve moeten de deskundigheid en kennis van het personeel van de ADR-entiteit geregeld worden bijgespijkerd. ADR-entiteiten zien er dan ook op toe dat met ADR-procedures belaste natuurlijke personen regelmatig worden opgeleid om ervoor te zorgen dat hun kennis doorlopend wordt geactualiseerd.</w:t>
      </w:r>
      <w:r w:rsidR="006556BD" w:rsidRPr="00451E12">
        <w:rPr>
          <w:rFonts w:eastAsia="Times New Roman"/>
          <w:b/>
          <w:lang w:val="nl-NL"/>
        </w:rPr>
        <w:t xml:space="preserve"> [Am. 8]</w:t>
      </w:r>
    </w:p>
    <w:p w14:paraId="26ED6CA5" w14:textId="6D87E5CD"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(11)</w:t>
      </w:r>
      <w:r w:rsidRPr="00451E12">
        <w:rPr>
          <w:rFonts w:eastAsia="Times New Roman"/>
          <w:lang w:val="nl-NL"/>
        </w:rPr>
        <w:tab/>
        <w:t xml:space="preserve">De lidstaten moeten ADR-entiteiten ook </w:t>
      </w:r>
      <w:r w:rsidRPr="00451E12">
        <w:rPr>
          <w:rFonts w:eastAsia="Times New Roman"/>
          <w:strike/>
          <w:lang w:val="nl-NL"/>
        </w:rPr>
        <w:t xml:space="preserve">in staat </w:t>
      </w:r>
      <w:proofErr w:type="spellStart"/>
      <w:r w:rsidRPr="00451E12">
        <w:rPr>
          <w:rFonts w:eastAsia="Times New Roman"/>
          <w:strike/>
          <w:lang w:val="nl-NL"/>
        </w:rPr>
        <w:t>stellen</w:t>
      </w:r>
      <w:r w:rsidRPr="00451E12">
        <w:rPr>
          <w:rFonts w:eastAsia="Times New Roman"/>
          <w:b/>
          <w:i/>
          <w:lang w:val="nl-NL"/>
        </w:rPr>
        <w:t>van</w:t>
      </w:r>
      <w:proofErr w:type="spellEnd"/>
      <w:r w:rsidRPr="00451E12">
        <w:rPr>
          <w:rFonts w:eastAsia="Times New Roman"/>
          <w:b/>
          <w:i/>
          <w:lang w:val="nl-NL"/>
        </w:rPr>
        <w:t xml:space="preserve"> voldoende kennis voorzien om</w:t>
      </w:r>
      <w:r w:rsidRPr="00451E12">
        <w:rPr>
          <w:rFonts w:eastAsia="Times New Roman"/>
          <w:lang w:val="nl-NL"/>
        </w:rPr>
        <w:t xml:space="preserve"> soortgelijke zaken tegen een specifieke ondernemer te bundelen, </w:t>
      </w:r>
      <w:r w:rsidRPr="00451E12">
        <w:rPr>
          <w:rFonts w:eastAsia="Times New Roman"/>
          <w:b/>
          <w:i/>
          <w:lang w:val="nl-NL"/>
        </w:rPr>
        <w:t xml:space="preserve">indien de met ADR-procedures belaste natuurlijke personen over voldoende kennis en expertise beschikken om de zaak te behandelen. Dit zou </w:t>
      </w:r>
      <w:proofErr w:type="spellStart"/>
      <w:r w:rsidRPr="00451E12">
        <w:rPr>
          <w:rFonts w:eastAsia="Times New Roman"/>
          <w:b/>
          <w:i/>
          <w:lang w:val="nl-NL"/>
        </w:rPr>
        <w:t>helpen</w:t>
      </w:r>
      <w:r w:rsidRPr="00451E12">
        <w:rPr>
          <w:rFonts w:eastAsia="Times New Roman"/>
          <w:strike/>
          <w:lang w:val="nl-NL"/>
        </w:rPr>
        <w:t>om</w:t>
      </w:r>
      <w:proofErr w:type="spellEnd"/>
      <w:r w:rsidRPr="00451E12">
        <w:rPr>
          <w:rFonts w:eastAsia="Times New Roman"/>
          <w:strike/>
          <w:lang w:val="nl-NL"/>
        </w:rPr>
        <w:t xml:space="preserve"> te</w:t>
      </w:r>
      <w:r w:rsidRPr="00451E12">
        <w:rPr>
          <w:rFonts w:eastAsia="Times New Roman"/>
          <w:lang w:val="nl-NL"/>
        </w:rPr>
        <w:t xml:space="preserve"> zorgen voor een consistent ADR-resultaat voor consumenten die het slachtoffer zijn van dezelfde illegale praktijk, en de procedure kostenefficiënter </w:t>
      </w:r>
      <w:proofErr w:type="spellStart"/>
      <w:r w:rsidRPr="00451E12">
        <w:rPr>
          <w:rFonts w:eastAsia="Times New Roman"/>
          <w:strike/>
          <w:lang w:val="nl-NL"/>
        </w:rPr>
        <w:t>te</w:t>
      </w:r>
      <w:r w:rsidRPr="00451E12">
        <w:rPr>
          <w:rFonts w:eastAsia="Times New Roman"/>
          <w:b/>
          <w:i/>
          <w:lang w:val="nl-NL"/>
        </w:rPr>
        <w:t>helpen</w:t>
      </w:r>
      <w:proofErr w:type="spellEnd"/>
      <w:r w:rsidRPr="00451E12">
        <w:rPr>
          <w:rFonts w:eastAsia="Times New Roman"/>
          <w:lang w:val="nl-NL"/>
        </w:rPr>
        <w:t xml:space="preserve"> maken voor ADR-entiteiten en voor ondernemers. Consumenten moeten hierover worden geïnformeerd en moeten de mogelijkheid krijgen om te weigeren dat hun geschil wordt gebundeld.</w:t>
      </w:r>
      <w:r w:rsidR="006556BD" w:rsidRPr="00451E12">
        <w:rPr>
          <w:rFonts w:eastAsia="Times New Roman"/>
          <w:b/>
          <w:lang w:val="nl-NL"/>
        </w:rPr>
        <w:t xml:space="preserve"> [Am. 9]</w:t>
      </w:r>
    </w:p>
    <w:p w14:paraId="2E0A1BD2" w14:textId="77777777" w:rsidR="00945499" w:rsidRPr="00451E12" w:rsidRDefault="00945499">
      <w:pPr>
        <w:jc w:val="left"/>
        <w:rPr>
          <w:rFonts w:eastAsia="Times New Roman"/>
          <w:lang w:val="nl-NL"/>
        </w:rPr>
      </w:pPr>
      <w:r w:rsidRPr="00451E12">
        <w:rPr>
          <w:rFonts w:eastAsia="Times New Roman"/>
          <w:lang w:val="nl-NL"/>
        </w:rPr>
        <w:br w:type="page"/>
      </w:r>
    </w:p>
    <w:p w14:paraId="7D6DBD32" w14:textId="6826A80E"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(12)</w:t>
      </w:r>
      <w:r w:rsidRPr="00451E12">
        <w:rPr>
          <w:rFonts w:eastAsia="Times New Roman"/>
          <w:lang w:val="nl-NL"/>
        </w:rPr>
        <w:tab/>
        <w:t>De lidstaten moeten ook beletten dat er onevenredige voorschriften worden ingevoerd met betrekking tot de redenen die een ADR-entiteit kan aanvoeren om de behandeling van een geschil te weigeren, zoals de verplichting om het escalatiesysteem van het bedrijf te gebruiken na een eerste negatief contact met de klachtenbehandelingsdienst, of de verplichting om te bewijzen dat er contact is opgenomen met een specifiek onderdeel van de klantenservice van een bedrijf.</w:t>
      </w:r>
    </w:p>
    <w:p w14:paraId="76001D66" w14:textId="36CCE5A4"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(13)</w:t>
      </w:r>
      <w:r w:rsidRPr="00451E12">
        <w:rPr>
          <w:rFonts w:eastAsia="Times New Roman"/>
          <w:lang w:val="nl-NL"/>
        </w:rPr>
        <w:tab/>
        <w:t xml:space="preserve">Op grond van Richtlijn 2013/11/EU kunnen de lidstaten nationale wetgeving invoeren om de deelname van ondernemers aan ADR verplicht te stellen in sectoren die zij daarvoor geschikt achten, naast sectorspecifieke wetgeving van de Unie die voorziet in de verplichte deelname van ondernemers aan ADR. Om de deelname van ondernemers aan de ADR-procedures aan te moedigen en eerlijke en snelle ADR-procedures te garanderen, moet van ondernemers worden verlangd dat zij, met name in gevallen waarin hun deelname niet verplicht is, binnen een bepaalde termijn </w:t>
      </w:r>
      <w:r w:rsidRPr="00451E12">
        <w:rPr>
          <w:rFonts w:eastAsia="Times New Roman"/>
          <w:b/>
          <w:i/>
          <w:lang w:val="nl-NL"/>
        </w:rPr>
        <w:t xml:space="preserve">van ten hoogste 15 werkdagen </w:t>
      </w:r>
      <w:r w:rsidRPr="00451E12">
        <w:rPr>
          <w:rFonts w:eastAsia="Times New Roman"/>
          <w:lang w:val="nl-NL"/>
        </w:rPr>
        <w:t>reageren op vragen van ADR-entiteiten over de vraag of zij van plan zijn deel te nemen aan de voorgestelde procedure.</w:t>
      </w:r>
      <w:r w:rsidRPr="00451E12">
        <w:rPr>
          <w:rFonts w:eastAsia="Times New Roman"/>
          <w:b/>
          <w:i/>
          <w:lang w:val="nl-NL"/>
        </w:rPr>
        <w:t xml:space="preserve"> Voor complexe geschillen of onder uitzonderlijke omstandigheden, zoals een drukke periode of een externe crisis, kan de termijn worden verlengd.</w:t>
      </w:r>
      <w:r w:rsidR="006556BD" w:rsidRPr="00451E12">
        <w:rPr>
          <w:rFonts w:eastAsia="Times New Roman"/>
          <w:b/>
          <w:lang w:val="nl-NL"/>
        </w:rPr>
        <w:t xml:space="preserve"> [Am. 10]</w:t>
      </w:r>
    </w:p>
    <w:p w14:paraId="4C7E1FF5" w14:textId="77777777" w:rsidR="00945499" w:rsidRPr="00451E12" w:rsidRDefault="00945499">
      <w:pPr>
        <w:jc w:val="left"/>
        <w:rPr>
          <w:rFonts w:eastAsia="Times New Roman"/>
          <w:b/>
          <w:i/>
          <w:lang w:val="nl-NL"/>
        </w:rPr>
      </w:pPr>
      <w:r w:rsidRPr="00451E12">
        <w:rPr>
          <w:rFonts w:eastAsia="Times New Roman"/>
          <w:b/>
          <w:i/>
          <w:lang w:val="nl-NL"/>
        </w:rPr>
        <w:br w:type="page"/>
      </w:r>
    </w:p>
    <w:p w14:paraId="7D74C42B" w14:textId="7D1289EB"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(13 bis)</w:t>
      </w:r>
      <w:r w:rsidRPr="00451E12">
        <w:rPr>
          <w:rFonts w:eastAsia="Times New Roman"/>
          <w:b/>
          <w:i/>
          <w:lang w:val="nl-NL"/>
        </w:rPr>
        <w:tab/>
        <w:t>Om ervoor te zorgen dat consumenten in hun contacten met alle soorten ADR-entiteiten, waaronder ADR-entiteiten waarbij de met geschillenbeslechting belaste natuurlijke personen uitsluitend in dienst zijn of uitsluitend een vergoeding ontvangen van de individuele ondernemer, ook wel “interne” ADR-entiteiten genoemd, kunnen rekenen op volledige onafhankelijkheid en onpartijdigheid, zoals bepaald in deze richtlijn, mogen die ADR-entiteiten alleen toegang hebben tot gegevens die strikt verband houden met de zaak en die uitdrukkelijk door de ondernemer of de consument zijn verstrekt.</w:t>
      </w:r>
      <w:r w:rsidR="006556BD" w:rsidRPr="00451E12">
        <w:rPr>
          <w:rFonts w:eastAsia="Times New Roman"/>
          <w:b/>
          <w:lang w:val="nl-NL"/>
        </w:rPr>
        <w:t xml:space="preserve"> [Am. 11]</w:t>
      </w:r>
    </w:p>
    <w:p w14:paraId="0396980A" w14:textId="294BBA14"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strike/>
          <w:lang w:val="nl-NL"/>
        </w:rPr>
        <w:t>(14)</w:t>
      </w:r>
      <w:r w:rsidRPr="00451E12">
        <w:rPr>
          <w:rFonts w:eastAsia="Times New Roman"/>
          <w:lang w:val="nl-NL"/>
        </w:rPr>
        <w:tab/>
      </w:r>
      <w:r w:rsidRPr="00451E12">
        <w:rPr>
          <w:rFonts w:eastAsia="Times New Roman"/>
          <w:strike/>
          <w:lang w:val="nl-NL"/>
        </w:rPr>
        <w:t>Om de informatie- en rapportagevereisten te verminderen en kosten te besparen voor ADR-entiteiten, nationale bevoegde autoriteiten en ondernemers, moeten de rapportage- en informatievereisten worden vereenvoudigd en moet de hoeveelheid informatie die door ADR-entiteiten aan de bevoegde autoriteiten wordt verstrekt, worden verminderd.</w:t>
      </w:r>
      <w:r w:rsidR="006556BD" w:rsidRPr="00451E12">
        <w:rPr>
          <w:rFonts w:eastAsia="Times New Roman"/>
          <w:b/>
          <w:lang w:val="nl-NL"/>
        </w:rPr>
        <w:t xml:space="preserve"> [Am. 12]</w:t>
      </w:r>
    </w:p>
    <w:p w14:paraId="2460D82D" w14:textId="77777777" w:rsidR="00945499" w:rsidRPr="00451E12" w:rsidRDefault="00945499">
      <w:pPr>
        <w:jc w:val="left"/>
        <w:rPr>
          <w:rFonts w:eastAsia="Times New Roman"/>
          <w:b/>
          <w:i/>
          <w:lang w:val="nl-NL"/>
        </w:rPr>
      </w:pPr>
      <w:r w:rsidRPr="00451E12">
        <w:rPr>
          <w:rFonts w:eastAsia="Times New Roman"/>
          <w:b/>
          <w:i/>
          <w:lang w:val="nl-NL"/>
        </w:rPr>
        <w:br w:type="page"/>
      </w:r>
    </w:p>
    <w:p w14:paraId="43537932" w14:textId="7BB07DB0"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(14 bis)</w:t>
      </w:r>
      <w:r w:rsidRPr="00451E12">
        <w:rPr>
          <w:rFonts w:eastAsia="Times New Roman"/>
          <w:b/>
          <w:i/>
          <w:lang w:val="nl-NL"/>
        </w:rPr>
        <w:tab/>
        <w:t>ADR-procedures moeten voor de consument bij voorkeur kosteloos zijn. Ingeval er kosten in rekening worden gebracht, mogen die kosten een geringe vergoeding niet te boven gaan. Bovendien moeten die kosten kunnen worden terugbetaald teneinde de toegankelijkheid en aantrekkelijkheid van ADR-procedures voor consumenten te vergroten. Het is zaak te verduidelijken dat die terugbetaling moet worden uitgevoerd door de lidstaten, in volledige overeenstemming met de beginselen van subsidiariteit en evenredigheid, en niet door andere entiteiten, zoals de wederpartij bij de ADR-procedure.</w:t>
      </w:r>
      <w:r w:rsidR="006556BD" w:rsidRPr="00451E12">
        <w:rPr>
          <w:rFonts w:eastAsia="Times New Roman"/>
          <w:b/>
          <w:lang w:val="nl-NL"/>
        </w:rPr>
        <w:t xml:space="preserve"> [Am. 13]</w:t>
      </w:r>
    </w:p>
    <w:p w14:paraId="745D4A87" w14:textId="06BEA013"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t>(14 ter)</w:t>
      </w:r>
      <w:r w:rsidRPr="00451E12">
        <w:rPr>
          <w:rFonts w:eastAsia="Times New Roman"/>
          <w:b/>
          <w:i/>
          <w:lang w:val="nl-NL"/>
        </w:rPr>
        <w:tab/>
        <w:t>In tal van lidstaten zijn consumenten nog steeds onvoldoende geïnformeerd over het bestaan van ADR-entiteiten en de diensten die zij aanbieden. Teneinde de consument bewuster te maken van ADR-entiteiten en ondernemers die deelnemen aan ADR-procedures, moeten ondernemers ADR-informatie op een duidelijke, prominente, begrijpelijke en gemakkelijk toegankelijke manier verstrekken. Wanneer de ondernemer een website heeft, moet hij de informatie daarop presenteren. Ondernemers moeten die informatie ook verstrekken in hun algemene voorwaarden en op de door hen verstuurde facturen. Om de communicatie te vergemakkelijken, moeten ondernemers een e-mailadres beschikbaar stellen om consumenten in staat te stellen om contact met hen op te nemen, ook voor ADR-procedures.</w:t>
      </w:r>
      <w:r w:rsidR="006556BD" w:rsidRPr="00451E12">
        <w:rPr>
          <w:rFonts w:eastAsia="Times New Roman"/>
          <w:b/>
          <w:lang w:val="nl-NL"/>
        </w:rPr>
        <w:t xml:space="preserve"> [Am. 14]</w:t>
      </w:r>
    </w:p>
    <w:p w14:paraId="10639D33" w14:textId="77777777" w:rsidR="00945499" w:rsidRPr="00451E12" w:rsidRDefault="00945499">
      <w:pPr>
        <w:jc w:val="left"/>
        <w:rPr>
          <w:rFonts w:eastAsia="Times New Roman"/>
          <w:b/>
          <w:i/>
          <w:lang w:val="nl-NL"/>
        </w:rPr>
      </w:pPr>
      <w:r w:rsidRPr="00451E12">
        <w:rPr>
          <w:rFonts w:eastAsia="Times New Roman"/>
          <w:b/>
          <w:i/>
          <w:lang w:val="nl-NL"/>
        </w:rPr>
        <w:br w:type="page"/>
      </w:r>
    </w:p>
    <w:p w14:paraId="3A01154E" w14:textId="4C3A4EDC"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 xml:space="preserve">(14 </w:t>
      </w:r>
      <w:proofErr w:type="spellStart"/>
      <w:r w:rsidRPr="00451E12">
        <w:rPr>
          <w:rFonts w:eastAsia="Times New Roman"/>
          <w:b/>
          <w:i/>
          <w:lang w:val="nl-NL"/>
        </w:rPr>
        <w:t>quater</w:t>
      </w:r>
      <w:proofErr w:type="spellEnd"/>
      <w:r w:rsidRPr="00451E12">
        <w:rPr>
          <w:rFonts w:eastAsia="Times New Roman"/>
          <w:b/>
          <w:i/>
          <w:lang w:val="nl-NL"/>
        </w:rPr>
        <w:t>)</w:t>
      </w:r>
      <w:r w:rsidRPr="00451E12">
        <w:rPr>
          <w:rFonts w:eastAsia="Times New Roman"/>
          <w:b/>
          <w:i/>
          <w:lang w:val="nl-NL"/>
        </w:rPr>
        <w:tab/>
        <w:t>Een vlotte samenwerking tussen de verschillende actoren die betrokken zijn bij de handhaving van de consumentenrechten is van cruciaal belang om de algehele consistentie en samenhang van het systeem voor de handhaving van de consumentenwetgeving te waarborgen. In gevallen waarin een oneerlijke handelspraktijk onder de aandacht van ADR-entiteiten is gebracht, moeten die entiteiten verslag uitbrengen aan hun nationale bevoegde autoriteiten of consumentenorganisatie indien zij geloofwaardige gronden hebben voor het vermoeden dat er sprake is geweest van een oneerlijke handelspraktijk en een oneerlijk beding.</w:t>
      </w:r>
      <w:r w:rsidR="006556BD" w:rsidRPr="00451E12">
        <w:rPr>
          <w:rFonts w:eastAsia="Times New Roman"/>
          <w:b/>
          <w:lang w:val="nl-NL"/>
        </w:rPr>
        <w:t xml:space="preserve"> [Am. 15]</w:t>
      </w:r>
    </w:p>
    <w:p w14:paraId="569B1957" w14:textId="7D22583B"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(15)</w:t>
      </w:r>
      <w:r w:rsidRPr="00451E12">
        <w:rPr>
          <w:rFonts w:eastAsia="Times New Roman"/>
          <w:lang w:val="nl-NL"/>
        </w:rPr>
        <w:tab/>
        <w:t>Om consumenten en ondernemers in grensoverschrijdende geschillen effectief bij te staan, is het noodzakelijk ervoor te zorgen dat de lidstaten ADR-contactpunten oprichten met duidelijk omschreven taken. Europese consumentencentra (“</w:t>
      </w:r>
      <w:proofErr w:type="spellStart"/>
      <w:r w:rsidRPr="00451E12">
        <w:rPr>
          <w:rFonts w:eastAsia="Times New Roman"/>
          <w:lang w:val="nl-NL"/>
        </w:rPr>
        <w:t>ECC’s</w:t>
      </w:r>
      <w:proofErr w:type="spellEnd"/>
      <w:r w:rsidRPr="00451E12">
        <w:rPr>
          <w:rFonts w:eastAsia="Times New Roman"/>
          <w:lang w:val="nl-NL"/>
        </w:rPr>
        <w:t xml:space="preserve">”) zijn bij uitstek geschikt om dergelijke taken uit te voeren, aangezien zij gespecialiseerd zijn in het bijstaan van consumenten bij problemen met hun grensoverschrijdende aankopen, maar de lidstaten moeten ook andere instanties met relevante expertise kunnen kiezen. De </w:t>
      </w:r>
      <w:r w:rsidRPr="00451E12">
        <w:rPr>
          <w:rFonts w:eastAsia="Times New Roman"/>
          <w:b/>
          <w:i/>
          <w:lang w:val="nl-NL"/>
        </w:rPr>
        <w:t xml:space="preserve">lidstaten moeten de </w:t>
      </w:r>
      <w:r w:rsidRPr="00451E12">
        <w:rPr>
          <w:rFonts w:eastAsia="Times New Roman"/>
          <w:lang w:val="nl-NL"/>
        </w:rPr>
        <w:t xml:space="preserve">aangewezen ADR-contactpunten </w:t>
      </w:r>
      <w:r w:rsidRPr="00451E12">
        <w:rPr>
          <w:rFonts w:eastAsia="Times New Roman"/>
          <w:strike/>
          <w:lang w:val="nl-NL"/>
        </w:rPr>
        <w:t xml:space="preserve">moeten </w:t>
      </w:r>
      <w:r w:rsidRPr="00451E12">
        <w:rPr>
          <w:rFonts w:eastAsia="Times New Roman"/>
          <w:lang w:val="nl-NL"/>
        </w:rPr>
        <w:t xml:space="preserve">aan de Commissie </w:t>
      </w:r>
      <w:r w:rsidRPr="00451E12">
        <w:rPr>
          <w:rFonts w:eastAsia="Times New Roman"/>
          <w:strike/>
          <w:lang w:val="nl-NL"/>
        </w:rPr>
        <w:t xml:space="preserve">worden </w:t>
      </w:r>
      <w:proofErr w:type="spellStart"/>
      <w:r w:rsidRPr="00451E12">
        <w:rPr>
          <w:rFonts w:eastAsia="Times New Roman"/>
          <w:strike/>
          <w:lang w:val="nl-NL"/>
        </w:rPr>
        <w:t>doorgegeven</w:t>
      </w:r>
      <w:r w:rsidRPr="00451E12">
        <w:rPr>
          <w:rFonts w:eastAsia="Times New Roman"/>
          <w:b/>
          <w:i/>
          <w:lang w:val="nl-NL"/>
        </w:rPr>
        <w:t>doorgeven</w:t>
      </w:r>
      <w:proofErr w:type="spellEnd"/>
      <w:r w:rsidRPr="00451E12">
        <w:rPr>
          <w:rFonts w:eastAsia="Times New Roman"/>
          <w:b/>
          <w:i/>
          <w:lang w:val="nl-NL"/>
        </w:rPr>
        <w:t xml:space="preserve"> en erop toezien dat deze over toereikende budgettaire en personele middelen beschikken. Consumenten moeten het recht hebben om een grensoverschrijdende ADR-procedure uit te voeren in een officiële taal van de lidstaat waar zij woonachtig zijn.</w:t>
      </w:r>
      <w:r w:rsidR="006556BD" w:rsidRPr="00451E12">
        <w:rPr>
          <w:rFonts w:eastAsia="Times New Roman"/>
          <w:b/>
          <w:lang w:val="nl-NL"/>
        </w:rPr>
        <w:t xml:space="preserve"> [Am. 16]</w:t>
      </w:r>
    </w:p>
    <w:p w14:paraId="04BC9CBA" w14:textId="77777777" w:rsidR="00945499" w:rsidRPr="00451E12" w:rsidRDefault="00945499">
      <w:pPr>
        <w:jc w:val="left"/>
        <w:rPr>
          <w:rFonts w:eastAsia="Times New Roman"/>
          <w:b/>
          <w:i/>
          <w:lang w:val="nl-NL"/>
        </w:rPr>
      </w:pPr>
      <w:r w:rsidRPr="00451E12">
        <w:rPr>
          <w:rFonts w:eastAsia="Times New Roman"/>
          <w:b/>
          <w:i/>
          <w:lang w:val="nl-NL"/>
        </w:rPr>
        <w:br w:type="page"/>
      </w:r>
    </w:p>
    <w:p w14:paraId="17280DCD" w14:textId="33A22C32"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(15 bis)</w:t>
      </w:r>
      <w:r w:rsidRPr="00451E12">
        <w:rPr>
          <w:rFonts w:eastAsia="Times New Roman"/>
          <w:b/>
          <w:i/>
          <w:lang w:val="nl-NL"/>
        </w:rPr>
        <w:tab/>
        <w:t>Om de billijkheid van de procedures te waarborgen, moeten consumenten die betrokken zijn bij grensoverschrijdende geschillen contact opnemen met het ADR-contactpunt als bepaald door de plaats waar de consument woonachtig is, teneinde willekeurige keuze van ADR-contactpunten, hetzij gemakshalve hetzij met het oog op een voordelige uitkomst, te ontmoedigen.</w:t>
      </w:r>
      <w:r w:rsidR="006556BD" w:rsidRPr="00451E12">
        <w:rPr>
          <w:rFonts w:eastAsia="Times New Roman"/>
          <w:b/>
          <w:lang w:val="nl-NL"/>
        </w:rPr>
        <w:t xml:space="preserve"> [Am. 17]</w:t>
      </w:r>
    </w:p>
    <w:p w14:paraId="76A63A3A" w14:textId="4C6B7189"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t>(15 ter)</w:t>
      </w:r>
      <w:r w:rsidRPr="00451E12">
        <w:rPr>
          <w:rFonts w:eastAsia="Times New Roman"/>
          <w:b/>
          <w:i/>
          <w:lang w:val="nl-NL"/>
        </w:rPr>
        <w:tab/>
        <w:t>Bij grensoverschrijdende geschillen moeten ADR-entiteiten het Unierecht als uitgangspunt nemen om de geschillen te beslechten. Niettemin moeten ADR-entiteiten, bij zowel binnenlandse als grensoverschrijdende geschillen, altijd de vormen van genoegdoening in acht nemen die op grond van het Unierecht en toepasselijk nationaal recht worden verschaft.</w:t>
      </w:r>
      <w:r w:rsidR="006556BD" w:rsidRPr="00451E12">
        <w:rPr>
          <w:rFonts w:eastAsia="Times New Roman"/>
          <w:b/>
          <w:lang w:val="nl-NL"/>
        </w:rPr>
        <w:t xml:space="preserve"> [Am. 18]</w:t>
      </w:r>
    </w:p>
    <w:p w14:paraId="6214AB38" w14:textId="3DA798ED"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(16)</w:t>
      </w:r>
      <w:r w:rsidRPr="00451E12">
        <w:rPr>
          <w:rFonts w:eastAsia="Times New Roman"/>
          <w:lang w:val="nl-NL"/>
        </w:rPr>
        <w:tab/>
        <w:t>Hoewel het de bedoeling is dat ADR-procedures eenvoudig zijn, kunnen consumenten tijdens ADR-procedures worden bijgestaan door een derde partij van hun keuze. De lidstaten moeten ervoor zorgen dat dergelijke bijstand te goeder trouw en in volledige transparantie wordt verleend om een eerlijke procedure mogelijk te maken, met name wat betreft de mogelijke vergoedingen die in ruil voor de bijstand worden gevraagd.</w:t>
      </w:r>
      <w:r w:rsidRPr="00451E12">
        <w:rPr>
          <w:rFonts w:eastAsia="Times New Roman"/>
          <w:b/>
          <w:i/>
          <w:lang w:val="nl-NL"/>
        </w:rPr>
        <w:t xml:space="preserve"> Daarnaast worden de lidstaten aangemoedigd de voordelen van ADR-systemen voor consumenten uit te breiden tot micro-ondernemingen en zelfstandigen om ervoor te zorgen dat dergelijke bedrijven toegang hebben tot goedkope en hoogwaardige systemen voor alternatieve geschillenbeslechting om contractuele geschillen op te lossen.</w:t>
      </w:r>
      <w:r w:rsidR="006556BD" w:rsidRPr="00451E12">
        <w:rPr>
          <w:rFonts w:eastAsia="Times New Roman"/>
          <w:b/>
          <w:lang w:val="nl-NL"/>
        </w:rPr>
        <w:t xml:space="preserve"> [Am. 19]</w:t>
      </w:r>
    </w:p>
    <w:p w14:paraId="58AFCEBD" w14:textId="77777777" w:rsidR="00945499" w:rsidRPr="00451E12" w:rsidRDefault="00945499">
      <w:pPr>
        <w:jc w:val="left"/>
        <w:rPr>
          <w:rFonts w:eastAsia="Times New Roman"/>
          <w:b/>
          <w:i/>
          <w:lang w:val="nl-NL"/>
        </w:rPr>
      </w:pPr>
      <w:r w:rsidRPr="00451E12">
        <w:rPr>
          <w:rFonts w:eastAsia="Times New Roman"/>
          <w:b/>
          <w:i/>
          <w:lang w:val="nl-NL"/>
        </w:rPr>
        <w:br w:type="page"/>
      </w:r>
    </w:p>
    <w:p w14:paraId="4DF96FC4" w14:textId="7CD5F082"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(16 bis)</w:t>
      </w:r>
      <w:r w:rsidRPr="00451E12">
        <w:rPr>
          <w:rFonts w:eastAsia="Times New Roman"/>
          <w:b/>
          <w:i/>
          <w:lang w:val="nl-NL"/>
        </w:rPr>
        <w:tab/>
        <w:t>Niet alle ADR-entiteiten beschikken over de deskundigheid om niet-contractuele aangelegenheden, met name oneerlijke handelspraktijken en oneerlijke bedingen, te behandelen. Derhalve moeten de procedures van de ADR-entiteiten op dit gebied beperkt blijven tot oneerlijke handelspraktijken en oneerlijke bedingen die personen aanbelangen, en dus alleen zaken bestrijken waarbij de consument rechtstreeks schade of verlies van materiële of immateriële aard heeft geleden. Daarnaast mogen alleen ADR-entiteiten die aantoonbaar over deskundigheid beschikken op het desbetreffende gebied, waarbij de bewuste economische sector in zijn geheel wordt bestreken, zoals een sectoraal ombudsman, de bevoegdheid krijgen om dergelijke procedures in behandeling te nemen. ADR-entiteiten kunnen ervoor kiezen van strenge wettelijke voorschriften af te wijken om hun beslissingen op billijkheidsbeginselen te baseren. Dit betekent dat ADR-entiteiten kunnen kiezen voor oplossingen die, naar hun oordeel, overeenstemmen met een idee van wat in bepaalde omstandigheden moreel of ethisch juist is, en daarbij de letter van de wet niet strikt volgen. De toepassing van billijkheidsbeginselen is echter uit den boze wanneer het gaat om oneerlijke handelspraktijken, waarbij het niet mogelijk is compromissen te sluiten of over de uitkomsten te onderhandelen aangezien de openbare orde en de grondbeginselen van de consumentenbescherming in het geding zijn.</w:t>
      </w:r>
      <w:r w:rsidR="006556BD" w:rsidRPr="00451E12">
        <w:rPr>
          <w:rFonts w:eastAsia="Times New Roman"/>
          <w:b/>
          <w:lang w:val="nl-NL"/>
        </w:rPr>
        <w:t xml:space="preserve"> [Am. 20]</w:t>
      </w:r>
    </w:p>
    <w:p w14:paraId="36E3A158" w14:textId="77777777" w:rsidR="00945499" w:rsidRPr="00451E12" w:rsidRDefault="00945499">
      <w:pPr>
        <w:jc w:val="left"/>
        <w:rPr>
          <w:rFonts w:eastAsia="Times New Roman"/>
          <w:b/>
          <w:i/>
          <w:lang w:val="nl-NL"/>
        </w:rPr>
      </w:pPr>
      <w:r w:rsidRPr="00451E12">
        <w:rPr>
          <w:rFonts w:eastAsia="Times New Roman"/>
          <w:b/>
          <w:i/>
          <w:lang w:val="nl-NL"/>
        </w:rPr>
        <w:br w:type="page"/>
      </w:r>
    </w:p>
    <w:p w14:paraId="754185AC" w14:textId="45ACD184"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b/>
          <w:i/>
          <w:lang w:val="nl-NL"/>
        </w:rPr>
        <w:lastRenderedPageBreak/>
        <w:t>(16 ter)</w:t>
      </w:r>
      <w:r w:rsidRPr="00451E12">
        <w:rPr>
          <w:rFonts w:eastAsia="Times New Roman"/>
          <w:b/>
          <w:i/>
          <w:lang w:val="nl-NL"/>
        </w:rPr>
        <w:tab/>
        <w:t>De middelen die consumenten- en ondernemersorganisaties gebruiken om de lijst van ADR-entiteiten van de Commissie openbaar te maken, kunnen relevante uitzendingen over consumentenbescherming en -rechten omvatten.</w:t>
      </w:r>
      <w:r w:rsidR="006556BD" w:rsidRPr="00451E12">
        <w:rPr>
          <w:rFonts w:eastAsia="Times New Roman"/>
          <w:b/>
          <w:lang w:val="nl-NL"/>
        </w:rPr>
        <w:t xml:space="preserve"> [Am. 21]</w:t>
      </w:r>
    </w:p>
    <w:p w14:paraId="6DB1FEA8" w14:textId="4D5A1E5B"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lang w:val="nl-NL"/>
        </w:rPr>
        <w:t>(17)</w:t>
      </w:r>
      <w:r w:rsidRPr="00451E12">
        <w:rPr>
          <w:rFonts w:eastAsia="Times New Roman"/>
          <w:lang w:val="nl-NL"/>
        </w:rPr>
        <w:tab/>
        <w:t>Om ervoor te zorgen dat consumenten gemakkelijk een geschikte ADR-entiteit kunnen vinden, met name in een grensoverschrijdende context, moet de Commissie een digitaal interactief instrument ontwikkelen en onderhouden dat informatie verstrekt over de belangrijkste kenmerken van ADR-entiteiten</w:t>
      </w:r>
      <w:r w:rsidRPr="00451E12">
        <w:rPr>
          <w:rFonts w:eastAsia="Times New Roman"/>
          <w:b/>
          <w:i/>
          <w:lang w:val="nl-NL"/>
        </w:rPr>
        <w:t>, naast praktische informatie over de wijze waarop men gebruik kan maken van ADR-procedures in een grensoverschrijdende context,</w:t>
      </w:r>
      <w:r w:rsidRPr="00451E12">
        <w:rPr>
          <w:rFonts w:eastAsia="Times New Roman"/>
          <w:lang w:val="nl-NL"/>
        </w:rPr>
        <w:t xml:space="preserve"> en links naar de webpagina’s van de ADR-entiteiten, zoals die aan haar zijn doorgegeven</w:t>
      </w:r>
      <w:r w:rsidRPr="00451E12">
        <w:rPr>
          <w:rFonts w:eastAsia="Times New Roman"/>
          <w:b/>
          <w:i/>
          <w:lang w:val="nl-NL"/>
        </w:rPr>
        <w:t>, waardoor consumenten kunnen worden doorgestuurd naar een bevoegde instantie om hun geschillen te beslechten</w:t>
      </w:r>
      <w:r w:rsidRPr="00451E12">
        <w:rPr>
          <w:rFonts w:eastAsia="Times New Roman"/>
          <w:lang w:val="nl-NL"/>
        </w:rPr>
        <w:t>.</w:t>
      </w:r>
      <w:r w:rsidRPr="00451E12">
        <w:rPr>
          <w:rFonts w:eastAsia="Times New Roman"/>
          <w:b/>
          <w:i/>
          <w:lang w:val="nl-NL"/>
        </w:rPr>
        <w:t xml:space="preserve"> In voorkomend geval moet de Commissie zorgen voor coördinatie tussen dit digitaal interactief instrument en andere digitale instrumenten van de EU en de lidstaten.</w:t>
      </w:r>
      <w:r w:rsidR="006556BD" w:rsidRPr="00451E12">
        <w:rPr>
          <w:rFonts w:eastAsia="Times New Roman"/>
          <w:b/>
          <w:lang w:val="nl-NL"/>
        </w:rPr>
        <w:t xml:space="preserve"> [Am. 22]</w:t>
      </w:r>
    </w:p>
    <w:p w14:paraId="608377E1"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(18)</w:t>
      </w:r>
      <w:r w:rsidRPr="00451E12">
        <w:rPr>
          <w:rFonts w:eastAsia="Times New Roman"/>
          <w:lang w:val="nl-NL"/>
        </w:rPr>
        <w:tab/>
        <w:t>Daarom moet Richtlijn 2013/11/EU dienovereenkomstig worden gewijzigd.</w:t>
      </w:r>
    </w:p>
    <w:p w14:paraId="2E9ACE87"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(19)</w:t>
      </w:r>
      <w:r w:rsidRPr="00451E12">
        <w:rPr>
          <w:rFonts w:eastAsia="Times New Roman"/>
          <w:lang w:val="nl-NL"/>
        </w:rPr>
        <w:tab/>
        <w:t>Aangezien Verordening (EU) nr. 524/2013 bij een afzonderlijk besluit moet worden ingetrokken, moeten ook de Richtlijnen (EU) 2015/2302</w:t>
      </w:r>
      <w:r w:rsidRPr="00451E12">
        <w:rPr>
          <w:rFonts w:eastAsia="Times New Roman"/>
          <w:vertAlign w:val="superscript"/>
          <w:lang w:val="nl-NL"/>
        </w:rPr>
        <w:footnoteReference w:id="10"/>
      </w:r>
      <w:r w:rsidRPr="00451E12">
        <w:rPr>
          <w:rFonts w:eastAsia="Times New Roman"/>
          <w:lang w:val="nl-NL"/>
        </w:rPr>
        <w:t>, (EU) 2019/2161</w:t>
      </w:r>
      <w:r w:rsidRPr="00451E12">
        <w:rPr>
          <w:rFonts w:eastAsia="Times New Roman"/>
          <w:vertAlign w:val="superscript"/>
          <w:lang w:val="nl-NL"/>
        </w:rPr>
        <w:footnoteReference w:id="11"/>
      </w:r>
      <w:r w:rsidRPr="00451E12">
        <w:rPr>
          <w:rFonts w:eastAsia="Times New Roman"/>
          <w:lang w:val="nl-NL"/>
        </w:rPr>
        <w:t xml:space="preserve"> en (EU) 2020/1828</w:t>
      </w:r>
      <w:r w:rsidRPr="00451E12">
        <w:rPr>
          <w:rFonts w:eastAsia="Times New Roman"/>
          <w:vertAlign w:val="superscript"/>
          <w:lang w:val="nl-NL"/>
        </w:rPr>
        <w:footnoteReference w:id="12"/>
      </w:r>
      <w:r w:rsidRPr="00451E12">
        <w:rPr>
          <w:rFonts w:eastAsia="Times New Roman"/>
          <w:lang w:val="nl-NL"/>
        </w:rPr>
        <w:t xml:space="preserve"> van het Europees Parlement en de Raad worden gewijzigd, als gevolg van die intrekking,</w:t>
      </w:r>
    </w:p>
    <w:p w14:paraId="03F1D814" w14:textId="77777777" w:rsidR="00BE0CE7" w:rsidRPr="00451E12" w:rsidRDefault="00BE0CE7" w:rsidP="00BE0CE7">
      <w:pPr>
        <w:keepNext/>
        <w:spacing w:before="120" w:after="120" w:line="360" w:lineRule="auto"/>
        <w:jc w:val="left"/>
        <w:rPr>
          <w:rFonts w:eastAsia="Times New Roman"/>
          <w:lang w:val="nl-NL"/>
        </w:rPr>
      </w:pPr>
      <w:r w:rsidRPr="00451E12">
        <w:rPr>
          <w:rFonts w:eastAsia="Times New Roman"/>
          <w:lang w:val="nl-NL"/>
        </w:rPr>
        <w:t>HEBBEN DE VOLGENDE RICHTLIJN VASTGESTELD:</w:t>
      </w:r>
    </w:p>
    <w:p w14:paraId="12EA2EC7" w14:textId="77777777" w:rsidR="00945499" w:rsidRPr="00451E12" w:rsidRDefault="00945499">
      <w:pPr>
        <w:jc w:val="left"/>
        <w:rPr>
          <w:rFonts w:eastAsia="Times New Roman"/>
          <w:lang w:val="nl-NL"/>
        </w:rPr>
      </w:pPr>
      <w:r w:rsidRPr="00451E12">
        <w:rPr>
          <w:rFonts w:eastAsia="Times New Roman"/>
          <w:lang w:val="nl-NL"/>
        </w:rPr>
        <w:br w:type="page"/>
      </w:r>
    </w:p>
    <w:p w14:paraId="6FFB323B" w14:textId="55B16E88"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lastRenderedPageBreak/>
        <w:t>Artikel 1</w:t>
      </w:r>
      <w:r w:rsidRPr="00451E12">
        <w:rPr>
          <w:rFonts w:eastAsia="Times New Roman"/>
          <w:lang w:val="nl-NL"/>
        </w:rPr>
        <w:br/>
        <w:t>Wijzigingen van Richtlijn 2013/11/EU</w:t>
      </w:r>
    </w:p>
    <w:p w14:paraId="12C2FFC4" w14:textId="77777777" w:rsidR="00BE0CE7" w:rsidRPr="00451E12" w:rsidRDefault="00BE0CE7" w:rsidP="00BE0CE7">
      <w:pPr>
        <w:widowControl w:val="0"/>
        <w:spacing w:before="120" w:after="120" w:line="360" w:lineRule="auto"/>
        <w:jc w:val="left"/>
        <w:rPr>
          <w:rFonts w:eastAsia="Times New Roman"/>
          <w:lang w:val="nl-NL"/>
        </w:rPr>
      </w:pPr>
      <w:r w:rsidRPr="00451E12">
        <w:rPr>
          <w:rFonts w:eastAsia="Times New Roman"/>
          <w:lang w:val="nl-NL"/>
        </w:rPr>
        <w:t>Richtlijn 2013/11/EU wordt als volgt gewijzigd:</w:t>
      </w:r>
    </w:p>
    <w:p w14:paraId="5DDABF45" w14:textId="7FBE5E71"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t>-1)</w:t>
      </w:r>
      <w:r w:rsidRPr="00451E12">
        <w:rPr>
          <w:rFonts w:eastAsia="Times New Roman"/>
          <w:lang w:val="nl-NL"/>
        </w:rPr>
        <w:tab/>
      </w:r>
      <w:r w:rsidR="001222F7" w:rsidRPr="00451E12">
        <w:rPr>
          <w:rFonts w:eastAsia="Times New Roman"/>
          <w:b/>
          <w:i/>
          <w:lang w:val="nl-NL"/>
        </w:rPr>
        <w:t>a</w:t>
      </w:r>
      <w:r w:rsidRPr="00451E12">
        <w:rPr>
          <w:rFonts w:eastAsia="Times New Roman"/>
          <w:b/>
          <w:i/>
          <w:lang w:val="nl-NL"/>
        </w:rPr>
        <w:t>rtikel 1 wordt vervangen door:</w:t>
      </w:r>
    </w:p>
    <w:p w14:paraId="2BE89555" w14:textId="32725A86" w:rsidR="00BE0CE7" w:rsidRPr="00451E12" w:rsidRDefault="00BE0CE7" w:rsidP="00BE0CE7">
      <w:pPr>
        <w:widowControl w:val="0"/>
        <w:spacing w:before="120" w:after="120" w:line="360" w:lineRule="auto"/>
        <w:ind w:left="850"/>
        <w:jc w:val="left"/>
        <w:rPr>
          <w:rFonts w:eastAsia="Times New Roman"/>
          <w:b/>
          <w:i/>
          <w:lang w:val="nl-NL"/>
        </w:rPr>
      </w:pPr>
      <w:r w:rsidRPr="00451E12">
        <w:rPr>
          <w:rFonts w:eastAsia="Times New Roman"/>
          <w:b/>
          <w:i/>
          <w:lang w:val="nl-NL"/>
        </w:rPr>
        <w:t>“Artikel 1</w:t>
      </w:r>
      <w:r w:rsidRPr="00451E12">
        <w:rPr>
          <w:rFonts w:eastAsia="Times New Roman"/>
          <w:b/>
          <w:i/>
          <w:lang w:val="nl-NL"/>
        </w:rPr>
        <w:br/>
        <w:t>Onderwerp</w:t>
      </w:r>
    </w:p>
    <w:p w14:paraId="14B59A80" w14:textId="77777777" w:rsidR="00BE0CE7" w:rsidRPr="00451E12" w:rsidRDefault="00BE0CE7" w:rsidP="00BE0CE7">
      <w:pPr>
        <w:widowControl w:val="0"/>
        <w:spacing w:before="120" w:after="120" w:line="360" w:lineRule="auto"/>
        <w:ind w:left="850"/>
        <w:jc w:val="left"/>
        <w:rPr>
          <w:rFonts w:eastAsia="Times New Roman"/>
          <w:b/>
          <w:i/>
          <w:lang w:val="nl-NL"/>
        </w:rPr>
      </w:pPr>
      <w:r w:rsidRPr="00451E12">
        <w:rPr>
          <w:rFonts w:eastAsia="Times New Roman"/>
          <w:b/>
          <w:i/>
          <w:lang w:val="nl-NL"/>
        </w:rPr>
        <w:t>Het doel van deze richtlijn is door de verwezenlijking van een hoog niveau van consumentenbescherming bij te dragen tot de goede werking van de interne markt, door te verzekeren dat consumenten op vrijwillige basis klachten tegen ondernemers kunnen voorleggen aan entiteiten die onafhankelijke, onpartijdige, transparante, doeltreffende, snelle en billijke procedures voor alternatieve geschillenbeslechting aanbieden.</w:t>
      </w:r>
    </w:p>
    <w:p w14:paraId="15F4D1F5" w14:textId="77777777"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b/>
          <w:i/>
          <w:lang w:val="nl-NL"/>
        </w:rPr>
        <w:t>Luchtvaartmaatschappijen die binnen het toepassingsgebied van Verordening (EG) nr. 261/2004 vallen, zijn verplicht deel te nemen aan ADR-procedures, onverminderd het recht van de partijen op toegang tot de rechter.</w:t>
      </w:r>
    </w:p>
    <w:p w14:paraId="6C2752FB" w14:textId="774C5759" w:rsidR="00BE0CE7" w:rsidRPr="00451E12" w:rsidRDefault="00BE0CE7" w:rsidP="00BE0CE7">
      <w:pPr>
        <w:widowControl w:val="0"/>
        <w:spacing w:before="120" w:after="120" w:line="360" w:lineRule="auto"/>
        <w:ind w:left="850"/>
        <w:jc w:val="left"/>
        <w:rPr>
          <w:rFonts w:eastAsia="Times New Roman"/>
          <w:b/>
          <w:lang w:val="nl-NL"/>
        </w:rPr>
      </w:pPr>
      <w:r w:rsidRPr="00451E12">
        <w:rPr>
          <w:rFonts w:eastAsia="Times New Roman"/>
          <w:b/>
          <w:i/>
          <w:lang w:val="nl-NL"/>
        </w:rPr>
        <w:t>Deze richtlijn doet geen afbreuk aan nationale wetgeving die de deelname aan dergelijke procedures in andere economische sectoren dan in de tweede alinea worden vermeld verplicht stelt, mits die wetgeving de partijen niet belet hun rechtop toegang tot de rechter uit te oefenen.”.</w:t>
      </w:r>
      <w:r w:rsidR="006556BD" w:rsidRPr="00451E12">
        <w:rPr>
          <w:rFonts w:eastAsia="Times New Roman"/>
          <w:b/>
          <w:lang w:val="nl-NL"/>
        </w:rPr>
        <w:t xml:space="preserve"> [Am. 23]</w:t>
      </w:r>
    </w:p>
    <w:p w14:paraId="57FE13F2" w14:textId="77777777" w:rsidR="00945499" w:rsidRPr="00451E12" w:rsidRDefault="00945499">
      <w:pPr>
        <w:jc w:val="left"/>
        <w:rPr>
          <w:rFonts w:eastAsia="Times New Roman"/>
          <w:lang w:val="nl-NL"/>
        </w:rPr>
      </w:pPr>
      <w:r w:rsidRPr="00451E12">
        <w:rPr>
          <w:rFonts w:eastAsia="Times New Roman"/>
          <w:lang w:val="nl-NL"/>
        </w:rPr>
        <w:br w:type="page"/>
      </w:r>
    </w:p>
    <w:p w14:paraId="3BA7631E" w14:textId="5CECF75C"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1.</w:t>
      </w:r>
      <w:r w:rsidRPr="00451E12">
        <w:rPr>
          <w:rFonts w:eastAsia="Times New Roman"/>
          <w:lang w:val="nl-NL"/>
        </w:rPr>
        <w:tab/>
      </w:r>
      <w:r w:rsidR="001222F7" w:rsidRPr="00451E12">
        <w:rPr>
          <w:rFonts w:eastAsia="Times New Roman"/>
          <w:lang w:val="nl-NL"/>
        </w:rPr>
        <w:t>i</w:t>
      </w:r>
      <w:r w:rsidRPr="00451E12">
        <w:rPr>
          <w:rFonts w:eastAsia="Times New Roman"/>
          <w:lang w:val="nl-NL"/>
        </w:rPr>
        <w:t>n artikel 2 wordt lid 1 vervangen door:</w:t>
      </w:r>
    </w:p>
    <w:p w14:paraId="1F923A29"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“1.</w:t>
      </w:r>
      <w:r w:rsidRPr="00451E12">
        <w:rPr>
          <w:rFonts w:eastAsia="Times New Roman"/>
          <w:lang w:val="nl-NL"/>
        </w:rPr>
        <w:tab/>
        <w:t>Deze richtlijn is van toepassing op procedures voor de buitengerechtelijke beslechting van geschillen tussen een in de Unie woonachtige consument en een ondernemer die goederen of diensten, waaronder digitale inhoud en digitale diensten, aanbiedt aan die consument, door tussenkomst van een ADR-entiteit die een oplossing voorstelt of oplegt, of die de partijen bijeenbrengt teneinde een minnelijke schikking te vergemakkelijken, met betrekking tot het volgende:</w:t>
      </w:r>
    </w:p>
    <w:p w14:paraId="47CDFC94" w14:textId="3AC3F893"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a)</w:t>
      </w:r>
      <w:r w:rsidRPr="00451E12">
        <w:rPr>
          <w:rFonts w:eastAsia="Times New Roman"/>
          <w:lang w:val="nl-NL"/>
        </w:rPr>
        <w:tab/>
        <w:t xml:space="preserve">contractuele verbintenissen die voortvloeien uit verkoopovereenkomsten, met inbegrip van de levering van digitale inhoud, of </w:t>
      </w:r>
      <w:proofErr w:type="gramStart"/>
      <w:r w:rsidRPr="00451E12">
        <w:rPr>
          <w:rFonts w:eastAsia="Times New Roman"/>
          <w:lang w:val="nl-NL"/>
        </w:rPr>
        <w:t>dienstenovereenkomsten</w:t>
      </w:r>
      <w:r w:rsidRPr="00451E12">
        <w:rPr>
          <w:rFonts w:eastAsia="Times New Roman"/>
          <w:strike/>
          <w:lang w:val="nl-NL"/>
        </w:rPr>
        <w:t>;</w:t>
      </w:r>
      <w:r w:rsidRPr="00451E12">
        <w:rPr>
          <w:rFonts w:eastAsia="Times New Roman"/>
          <w:b/>
          <w:i/>
          <w:lang w:val="nl-NL"/>
        </w:rPr>
        <w:t>,</w:t>
      </w:r>
      <w:proofErr w:type="gramEnd"/>
      <w:r w:rsidRPr="00451E12">
        <w:rPr>
          <w:rFonts w:eastAsia="Times New Roman"/>
          <w:b/>
          <w:i/>
          <w:lang w:val="nl-NL"/>
        </w:rPr>
        <w:t xml:space="preserve"> waaronder precontractuele en postcontractuele verbintenissen en in het bijzonder met betrekking tot:</w:t>
      </w:r>
    </w:p>
    <w:p w14:paraId="445F90C2" w14:textId="77777777" w:rsidR="00BE0CE7" w:rsidRPr="00451E12" w:rsidRDefault="00BE0CE7" w:rsidP="00BE0CE7">
      <w:pPr>
        <w:widowControl w:val="0"/>
        <w:spacing w:before="120" w:after="120" w:line="360" w:lineRule="auto"/>
        <w:ind w:left="2548" w:hanging="566"/>
        <w:jc w:val="left"/>
        <w:rPr>
          <w:rFonts w:eastAsia="Times New Roman"/>
          <w:lang w:val="nl-NL"/>
        </w:rPr>
      </w:pPr>
      <w:r w:rsidRPr="00451E12">
        <w:rPr>
          <w:rFonts w:eastAsia="Times New Roman"/>
          <w:b/>
          <w:i/>
          <w:lang w:val="nl-NL"/>
        </w:rPr>
        <w:t>i)</w:t>
      </w:r>
      <w:r w:rsidRPr="00451E12">
        <w:rPr>
          <w:rFonts w:eastAsia="Times New Roman"/>
          <w:lang w:val="nl-NL"/>
        </w:rPr>
        <w:tab/>
      </w:r>
      <w:r w:rsidRPr="00451E12">
        <w:rPr>
          <w:rFonts w:eastAsia="Times New Roman"/>
          <w:b/>
          <w:i/>
          <w:lang w:val="nl-NL"/>
        </w:rPr>
        <w:t>oneerlijke handelspraktijken en oneerlijke bedingen;</w:t>
      </w:r>
    </w:p>
    <w:p w14:paraId="214137E6" w14:textId="77777777" w:rsidR="00BE0CE7" w:rsidRPr="00451E12" w:rsidRDefault="00BE0CE7" w:rsidP="00BE0CE7">
      <w:pPr>
        <w:widowControl w:val="0"/>
        <w:spacing w:before="120" w:after="120" w:line="360" w:lineRule="auto"/>
        <w:ind w:left="2548" w:hanging="566"/>
        <w:jc w:val="left"/>
        <w:rPr>
          <w:rFonts w:eastAsia="Times New Roman"/>
          <w:lang w:val="nl-NL"/>
        </w:rPr>
      </w:pPr>
      <w:r w:rsidRPr="00451E12">
        <w:rPr>
          <w:rFonts w:eastAsia="Times New Roman"/>
          <w:b/>
          <w:i/>
          <w:lang w:val="nl-NL"/>
        </w:rPr>
        <w:t>ii)</w:t>
      </w:r>
      <w:r w:rsidRPr="00451E12">
        <w:rPr>
          <w:rFonts w:eastAsia="Times New Roman"/>
          <w:lang w:val="nl-NL"/>
        </w:rPr>
        <w:tab/>
      </w:r>
      <w:r w:rsidRPr="00451E12">
        <w:rPr>
          <w:rFonts w:eastAsia="Times New Roman"/>
          <w:b/>
          <w:i/>
          <w:lang w:val="nl-NL"/>
        </w:rPr>
        <w:t>verplicht te verstrekken precontractuele informatie;</w:t>
      </w:r>
    </w:p>
    <w:p w14:paraId="5E0A28BA" w14:textId="77777777" w:rsidR="00BE0CE7" w:rsidRPr="00451E12" w:rsidRDefault="00BE0CE7" w:rsidP="00BE0CE7">
      <w:pPr>
        <w:widowControl w:val="0"/>
        <w:spacing w:before="120" w:after="120" w:line="360" w:lineRule="auto"/>
        <w:ind w:left="2548" w:hanging="566"/>
        <w:jc w:val="left"/>
        <w:rPr>
          <w:rFonts w:eastAsia="Times New Roman"/>
          <w:lang w:val="nl-NL"/>
        </w:rPr>
      </w:pPr>
      <w:r w:rsidRPr="00451E12">
        <w:rPr>
          <w:rFonts w:eastAsia="Times New Roman"/>
          <w:b/>
          <w:i/>
          <w:lang w:val="nl-NL"/>
        </w:rPr>
        <w:t>iii)</w:t>
      </w:r>
      <w:r w:rsidRPr="00451E12">
        <w:rPr>
          <w:rFonts w:eastAsia="Times New Roman"/>
          <w:lang w:val="nl-NL"/>
        </w:rPr>
        <w:tab/>
      </w:r>
      <w:r w:rsidRPr="00451E12">
        <w:rPr>
          <w:rFonts w:eastAsia="Times New Roman"/>
          <w:b/>
          <w:i/>
          <w:lang w:val="nl-NL"/>
        </w:rPr>
        <w:t>passagiers- en reizigersrechten;</w:t>
      </w:r>
    </w:p>
    <w:p w14:paraId="46C94DEC" w14:textId="77777777" w:rsidR="00BE0CE7" w:rsidRPr="00451E12" w:rsidRDefault="00BE0CE7" w:rsidP="00BE0CE7">
      <w:pPr>
        <w:widowControl w:val="0"/>
        <w:spacing w:before="120" w:after="120" w:line="360" w:lineRule="auto"/>
        <w:ind w:left="2548" w:hanging="566"/>
        <w:jc w:val="left"/>
        <w:rPr>
          <w:rFonts w:eastAsia="Times New Roman"/>
          <w:lang w:val="nl-NL"/>
        </w:rPr>
      </w:pPr>
      <w:r w:rsidRPr="00451E12">
        <w:rPr>
          <w:rFonts w:eastAsia="Times New Roman"/>
          <w:b/>
          <w:i/>
          <w:lang w:val="nl-NL"/>
        </w:rPr>
        <w:t>iv)</w:t>
      </w:r>
      <w:r w:rsidRPr="00451E12">
        <w:rPr>
          <w:rFonts w:eastAsia="Times New Roman"/>
          <w:lang w:val="nl-NL"/>
        </w:rPr>
        <w:tab/>
      </w:r>
      <w:r w:rsidRPr="00451E12">
        <w:rPr>
          <w:rFonts w:eastAsia="Times New Roman"/>
          <w:b/>
          <w:i/>
          <w:lang w:val="nl-NL"/>
        </w:rPr>
        <w:t>vormen van genoegdoening in geval van gebrek aan overeenstemming van de producten en digitale inhoud; en</w:t>
      </w:r>
    </w:p>
    <w:p w14:paraId="33BF3538" w14:textId="5E6DFD03"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b/>
          <w:i/>
          <w:lang w:val="nl-NL"/>
        </w:rPr>
        <w:t>v)</w:t>
      </w:r>
      <w:r w:rsidRPr="00451E12">
        <w:rPr>
          <w:rFonts w:eastAsia="Times New Roman"/>
          <w:lang w:val="nl-NL"/>
        </w:rPr>
        <w:tab/>
      </w:r>
      <w:r w:rsidRPr="00451E12">
        <w:rPr>
          <w:rFonts w:eastAsia="Times New Roman"/>
          <w:b/>
          <w:i/>
          <w:lang w:val="nl-NL"/>
        </w:rPr>
        <w:t>toegankelijkheid van de leveringen</w:t>
      </w:r>
      <w:r w:rsidR="00C579A9" w:rsidRPr="00451E12">
        <w:rPr>
          <w:rFonts w:eastAsia="Times New Roman"/>
          <w:b/>
          <w:i/>
          <w:lang w:val="nl-NL"/>
        </w:rPr>
        <w:t>;</w:t>
      </w:r>
      <w:r w:rsidR="006556BD" w:rsidRPr="00451E12">
        <w:rPr>
          <w:rFonts w:eastAsia="Times New Roman"/>
          <w:b/>
          <w:lang w:val="nl-NL"/>
        </w:rPr>
        <w:t xml:space="preserve"> [Am. 24]</w:t>
      </w:r>
    </w:p>
    <w:p w14:paraId="1FFB18F5" w14:textId="77777777" w:rsidR="00945499" w:rsidRPr="00451E12" w:rsidRDefault="00945499">
      <w:pPr>
        <w:jc w:val="left"/>
        <w:rPr>
          <w:rFonts w:eastAsia="Times New Roman"/>
          <w:lang w:val="nl-NL"/>
        </w:rPr>
      </w:pPr>
      <w:r w:rsidRPr="00451E12">
        <w:rPr>
          <w:rFonts w:eastAsia="Times New Roman"/>
          <w:lang w:val="nl-NL"/>
        </w:rPr>
        <w:br w:type="page"/>
      </w:r>
    </w:p>
    <w:p w14:paraId="4969810E" w14:textId="01EF1FDA"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lastRenderedPageBreak/>
        <w:t>(b)</w:t>
      </w:r>
      <w:r w:rsidRPr="00451E12">
        <w:rPr>
          <w:rFonts w:eastAsia="Times New Roman"/>
          <w:lang w:val="nl-NL"/>
        </w:rPr>
        <w:tab/>
        <w:t>consumentenrechten die van toepassing zijn op niet-contractuele</w:t>
      </w:r>
      <w:r w:rsidRPr="00451E12">
        <w:rPr>
          <w:rFonts w:eastAsia="Times New Roman"/>
          <w:strike/>
          <w:lang w:val="nl-NL"/>
        </w:rPr>
        <w:t xml:space="preserve"> en precontractuele</w:t>
      </w:r>
      <w:r w:rsidRPr="00451E12">
        <w:rPr>
          <w:rFonts w:eastAsia="Times New Roman"/>
          <w:lang w:val="nl-NL"/>
        </w:rPr>
        <w:t xml:space="preserve"> situaties en die voortvloeien uit de wetgeving van de Unie inzake:</w:t>
      </w:r>
      <w:r w:rsidR="006556BD" w:rsidRPr="00451E12">
        <w:rPr>
          <w:rFonts w:eastAsia="Times New Roman"/>
          <w:b/>
          <w:lang w:val="nl-NL"/>
        </w:rPr>
        <w:t xml:space="preserve"> [Am. 25]</w:t>
      </w:r>
    </w:p>
    <w:p w14:paraId="6F88DC83" w14:textId="29F88D4A"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lang w:val="nl-NL"/>
        </w:rPr>
        <w:t>i)</w:t>
      </w:r>
      <w:r w:rsidRPr="00451E12">
        <w:rPr>
          <w:rFonts w:eastAsia="Times New Roman"/>
          <w:lang w:val="nl-NL"/>
        </w:rPr>
        <w:tab/>
      </w:r>
      <w:r w:rsidRPr="00451E12">
        <w:rPr>
          <w:rFonts w:eastAsia="Times New Roman"/>
          <w:strike/>
          <w:lang w:val="nl-NL"/>
        </w:rPr>
        <w:t>oneerlijke handelspraktijken en oneerlijke bedingen</w:t>
      </w:r>
      <w:r w:rsidRPr="00451E12">
        <w:rPr>
          <w:rFonts w:eastAsia="Times New Roman"/>
          <w:b/>
          <w:i/>
          <w:lang w:val="nl-NL"/>
        </w:rPr>
        <w:t>non-discriminatie op grond van nationaliteit of woonplaats</w:t>
      </w:r>
      <w:r w:rsidRPr="00451E12">
        <w:rPr>
          <w:rFonts w:eastAsia="Times New Roman"/>
          <w:lang w:val="nl-NL"/>
        </w:rPr>
        <w:t>;</w:t>
      </w:r>
      <w:r w:rsidR="006556BD" w:rsidRPr="00451E12">
        <w:rPr>
          <w:rFonts w:eastAsia="Times New Roman"/>
          <w:b/>
          <w:lang w:val="nl-NL"/>
        </w:rPr>
        <w:t xml:space="preserve"> [Am. 26]</w:t>
      </w:r>
    </w:p>
    <w:p w14:paraId="7080730A" w14:textId="2B317E56"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lang w:val="nl-NL"/>
        </w:rPr>
        <w:t>ii)</w:t>
      </w:r>
      <w:r w:rsidRPr="00451E12">
        <w:rPr>
          <w:rFonts w:eastAsia="Times New Roman"/>
          <w:lang w:val="nl-NL"/>
        </w:rPr>
        <w:tab/>
      </w:r>
      <w:r w:rsidRPr="00451E12">
        <w:rPr>
          <w:rFonts w:eastAsia="Times New Roman"/>
          <w:strike/>
          <w:lang w:val="nl-NL"/>
        </w:rPr>
        <w:t>verplicht te verstrekken precontractuele informatie</w:t>
      </w:r>
      <w:r w:rsidRPr="00451E12">
        <w:rPr>
          <w:rFonts w:eastAsia="Times New Roman"/>
          <w:b/>
          <w:i/>
          <w:lang w:val="nl-NL"/>
        </w:rPr>
        <w:t>toegankelijkheid van de leveringen</w:t>
      </w:r>
      <w:r w:rsidRPr="00451E12">
        <w:rPr>
          <w:rFonts w:eastAsia="Times New Roman"/>
          <w:lang w:val="nl-NL"/>
        </w:rPr>
        <w:t>;</w:t>
      </w:r>
      <w:r w:rsidR="006556BD" w:rsidRPr="00451E12">
        <w:rPr>
          <w:rFonts w:eastAsia="Times New Roman"/>
          <w:b/>
          <w:lang w:val="nl-NL"/>
        </w:rPr>
        <w:t xml:space="preserve"> [Am. 27]</w:t>
      </w:r>
    </w:p>
    <w:p w14:paraId="0ACA44BE" w14:textId="143219D1"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lang w:val="nl-NL"/>
        </w:rPr>
        <w:t>iii)</w:t>
      </w:r>
      <w:r w:rsidRPr="00451E12">
        <w:rPr>
          <w:rFonts w:eastAsia="Times New Roman"/>
          <w:lang w:val="nl-NL"/>
        </w:rPr>
        <w:tab/>
      </w:r>
      <w:r w:rsidRPr="00451E12">
        <w:rPr>
          <w:rFonts w:eastAsia="Times New Roman"/>
          <w:strike/>
          <w:lang w:val="nl-NL"/>
        </w:rPr>
        <w:t xml:space="preserve">non-discriminatie op grond van nationaliteit of </w:t>
      </w:r>
      <w:proofErr w:type="spellStart"/>
      <w:r w:rsidRPr="00451E12">
        <w:rPr>
          <w:rFonts w:eastAsia="Times New Roman"/>
          <w:strike/>
          <w:lang w:val="nl-NL"/>
        </w:rPr>
        <w:t>woonplaats</w:t>
      </w:r>
      <w:r w:rsidRPr="00451E12">
        <w:rPr>
          <w:rFonts w:eastAsia="Times New Roman"/>
          <w:b/>
          <w:i/>
          <w:lang w:val="nl-NL"/>
        </w:rPr>
        <w:t>het</w:t>
      </w:r>
      <w:proofErr w:type="spellEnd"/>
      <w:r w:rsidRPr="00451E12">
        <w:rPr>
          <w:rFonts w:eastAsia="Times New Roman"/>
          <w:b/>
          <w:i/>
          <w:lang w:val="nl-NL"/>
        </w:rPr>
        <w:t xml:space="preserve"> recht om naar een andere aanbieder over te stappen</w:t>
      </w:r>
      <w:r w:rsidRPr="00451E12">
        <w:rPr>
          <w:rFonts w:eastAsia="Times New Roman"/>
          <w:lang w:val="nl-NL"/>
        </w:rPr>
        <w:t>;</w:t>
      </w:r>
      <w:r w:rsidRPr="00451E12">
        <w:rPr>
          <w:rFonts w:eastAsia="Times New Roman"/>
          <w:b/>
          <w:i/>
          <w:lang w:val="nl-NL"/>
        </w:rPr>
        <w:t xml:space="preserve"> en</w:t>
      </w:r>
      <w:r w:rsidR="006556BD" w:rsidRPr="00451E12">
        <w:rPr>
          <w:rFonts w:eastAsia="Times New Roman"/>
          <w:b/>
          <w:lang w:val="nl-NL"/>
        </w:rPr>
        <w:t xml:space="preserve"> [Am. 28]</w:t>
      </w:r>
    </w:p>
    <w:p w14:paraId="0CBBD51D" w14:textId="77777777" w:rsidR="00BE0CE7" w:rsidRPr="00451E12" w:rsidRDefault="00BE0CE7" w:rsidP="00BE0CE7">
      <w:pPr>
        <w:widowControl w:val="0"/>
        <w:spacing w:before="120" w:after="120" w:line="360" w:lineRule="auto"/>
        <w:ind w:left="2548" w:hanging="566"/>
        <w:jc w:val="left"/>
        <w:rPr>
          <w:rFonts w:eastAsia="Times New Roman"/>
          <w:lang w:val="nl-NL"/>
        </w:rPr>
      </w:pPr>
      <w:r w:rsidRPr="00451E12">
        <w:rPr>
          <w:rFonts w:eastAsia="Times New Roman"/>
          <w:lang w:val="nl-NL"/>
        </w:rPr>
        <w:t>iv)</w:t>
      </w:r>
      <w:r w:rsidRPr="00451E12">
        <w:rPr>
          <w:rFonts w:eastAsia="Times New Roman"/>
          <w:lang w:val="nl-NL"/>
        </w:rPr>
        <w:tab/>
      </w:r>
      <w:r w:rsidRPr="00451E12">
        <w:rPr>
          <w:rFonts w:eastAsia="Times New Roman"/>
          <w:strike/>
          <w:lang w:val="nl-NL"/>
        </w:rPr>
        <w:t xml:space="preserve">toegankelijkheid van de dienstverrichting en </w:t>
      </w:r>
      <w:proofErr w:type="spellStart"/>
      <w:proofErr w:type="gramStart"/>
      <w:r w:rsidRPr="00451E12">
        <w:rPr>
          <w:rFonts w:eastAsia="Times New Roman"/>
          <w:strike/>
          <w:lang w:val="nl-NL"/>
        </w:rPr>
        <w:t>levering;</w:t>
      </w:r>
      <w:r w:rsidRPr="00451E12">
        <w:rPr>
          <w:rFonts w:eastAsia="Times New Roman"/>
          <w:b/>
          <w:i/>
          <w:lang w:val="nl-NL"/>
        </w:rPr>
        <w:t>oneerlijke</w:t>
      </w:r>
      <w:proofErr w:type="spellEnd"/>
      <w:proofErr w:type="gramEnd"/>
      <w:r w:rsidRPr="00451E12">
        <w:rPr>
          <w:rFonts w:eastAsia="Times New Roman"/>
          <w:b/>
          <w:i/>
          <w:lang w:val="nl-NL"/>
        </w:rPr>
        <w:t xml:space="preserve"> handelspraktijken die niet onder punt a), i), vallen mits:</w:t>
      </w:r>
    </w:p>
    <w:p w14:paraId="1CEB73D5" w14:textId="77777777" w:rsidR="00BE0CE7" w:rsidRPr="00451E12" w:rsidRDefault="00BE0CE7" w:rsidP="00BE0CE7">
      <w:pPr>
        <w:widowControl w:val="0"/>
        <w:spacing w:before="120" w:after="120" w:line="360" w:lineRule="auto"/>
        <w:ind w:left="3114" w:hanging="566"/>
        <w:jc w:val="left"/>
        <w:rPr>
          <w:rFonts w:eastAsia="Times New Roman"/>
          <w:lang w:val="nl-NL"/>
        </w:rPr>
      </w:pPr>
      <w:r w:rsidRPr="00451E12">
        <w:rPr>
          <w:rFonts w:eastAsia="Times New Roman"/>
          <w:b/>
          <w:i/>
          <w:lang w:val="nl-NL"/>
        </w:rPr>
        <w:t>1)</w:t>
      </w:r>
      <w:r w:rsidRPr="00451E12">
        <w:rPr>
          <w:rFonts w:eastAsia="Times New Roman"/>
          <w:lang w:val="nl-NL"/>
        </w:rPr>
        <w:tab/>
      </w:r>
      <w:r w:rsidRPr="00451E12">
        <w:rPr>
          <w:rFonts w:eastAsia="Times New Roman"/>
          <w:b/>
          <w:i/>
          <w:lang w:val="nl-NL"/>
        </w:rPr>
        <w:t>de ADR-entiteit een entiteit met sectorale dekking is die over de nodige kennis van oneerlijke handelspraktijken beschikt;</w:t>
      </w:r>
    </w:p>
    <w:p w14:paraId="0FC771FF" w14:textId="77777777" w:rsidR="00BE0CE7" w:rsidRPr="00451E12" w:rsidRDefault="00BE0CE7" w:rsidP="00BE0CE7">
      <w:pPr>
        <w:widowControl w:val="0"/>
        <w:spacing w:before="120" w:after="120" w:line="360" w:lineRule="auto"/>
        <w:ind w:left="3114" w:hanging="566"/>
        <w:jc w:val="left"/>
        <w:rPr>
          <w:rFonts w:eastAsia="Times New Roman"/>
          <w:lang w:val="nl-NL"/>
        </w:rPr>
      </w:pPr>
      <w:r w:rsidRPr="00451E12">
        <w:rPr>
          <w:rFonts w:eastAsia="Times New Roman"/>
          <w:b/>
          <w:i/>
          <w:lang w:val="nl-NL"/>
        </w:rPr>
        <w:t>2)</w:t>
      </w:r>
      <w:r w:rsidRPr="00451E12">
        <w:rPr>
          <w:rFonts w:eastAsia="Times New Roman"/>
          <w:lang w:val="nl-NL"/>
        </w:rPr>
        <w:tab/>
      </w:r>
      <w:r w:rsidRPr="00451E12">
        <w:rPr>
          <w:rFonts w:eastAsia="Times New Roman"/>
          <w:b/>
          <w:i/>
          <w:lang w:val="nl-NL"/>
        </w:rPr>
        <w:t>de ADR-entiteit over toereikende middelen en financiering beschikt;</w:t>
      </w:r>
    </w:p>
    <w:p w14:paraId="716CFF47" w14:textId="77777777" w:rsidR="00BE0CE7" w:rsidRPr="00451E12" w:rsidRDefault="00BE0CE7" w:rsidP="00BE0CE7">
      <w:pPr>
        <w:widowControl w:val="0"/>
        <w:spacing w:before="120" w:after="120" w:line="360" w:lineRule="auto"/>
        <w:ind w:left="3114" w:hanging="566"/>
        <w:jc w:val="left"/>
        <w:rPr>
          <w:rFonts w:eastAsia="Times New Roman"/>
          <w:lang w:val="nl-NL"/>
        </w:rPr>
      </w:pPr>
      <w:r w:rsidRPr="00451E12">
        <w:rPr>
          <w:rFonts w:eastAsia="Times New Roman"/>
          <w:b/>
          <w:i/>
          <w:lang w:val="nl-NL"/>
        </w:rPr>
        <w:t>3)</w:t>
      </w:r>
      <w:r w:rsidRPr="00451E12">
        <w:rPr>
          <w:rFonts w:eastAsia="Times New Roman"/>
          <w:lang w:val="nl-NL"/>
        </w:rPr>
        <w:tab/>
      </w:r>
      <w:r w:rsidRPr="00451E12">
        <w:rPr>
          <w:rFonts w:eastAsia="Times New Roman"/>
          <w:b/>
          <w:i/>
          <w:lang w:val="nl-NL"/>
        </w:rPr>
        <w:t>de consument als gevolg van de oneerlijke praktijk materiële of immateriële schade heeft geleden; en</w:t>
      </w:r>
    </w:p>
    <w:p w14:paraId="7D8A371B" w14:textId="5087E017" w:rsidR="00BE0CE7" w:rsidRPr="00451E12" w:rsidRDefault="00BE0CE7" w:rsidP="00BE0CE7">
      <w:pPr>
        <w:widowControl w:val="0"/>
        <w:spacing w:before="120" w:after="120" w:line="360" w:lineRule="auto"/>
        <w:ind w:left="3114" w:hanging="566"/>
        <w:jc w:val="left"/>
        <w:rPr>
          <w:rFonts w:eastAsia="Times New Roman"/>
          <w:b/>
          <w:lang w:val="nl-NL"/>
        </w:rPr>
      </w:pPr>
      <w:r w:rsidRPr="00451E12">
        <w:rPr>
          <w:rFonts w:eastAsia="Times New Roman"/>
          <w:b/>
          <w:i/>
          <w:lang w:val="nl-NL"/>
        </w:rPr>
        <w:t>4)</w:t>
      </w:r>
      <w:r w:rsidRPr="00451E12">
        <w:rPr>
          <w:rFonts w:eastAsia="Times New Roman"/>
          <w:lang w:val="nl-NL"/>
        </w:rPr>
        <w:tab/>
      </w:r>
      <w:r w:rsidRPr="00451E12">
        <w:rPr>
          <w:rFonts w:eastAsia="Times New Roman"/>
          <w:b/>
          <w:i/>
          <w:lang w:val="nl-NL"/>
        </w:rPr>
        <w:t>de entiteit zich bij het aanpakken van oneerlijke handelspraktijken laat leiden door toepasselijk recht.</w:t>
      </w:r>
      <w:r w:rsidR="006556BD" w:rsidRPr="00451E12">
        <w:rPr>
          <w:rFonts w:eastAsia="Times New Roman"/>
          <w:b/>
          <w:lang w:val="nl-NL"/>
        </w:rPr>
        <w:t xml:space="preserve"> [Am. 29]</w:t>
      </w:r>
    </w:p>
    <w:p w14:paraId="38C3424D" w14:textId="77777777" w:rsidR="00945499" w:rsidRPr="00451E12" w:rsidRDefault="00945499">
      <w:pPr>
        <w:jc w:val="left"/>
        <w:rPr>
          <w:rFonts w:eastAsia="Times New Roman"/>
          <w:strike/>
          <w:lang w:val="nl-NL"/>
        </w:rPr>
      </w:pPr>
      <w:r w:rsidRPr="00451E12">
        <w:rPr>
          <w:rFonts w:eastAsia="Times New Roman"/>
          <w:strike/>
          <w:lang w:val="nl-NL"/>
        </w:rPr>
        <w:br w:type="page"/>
      </w:r>
    </w:p>
    <w:p w14:paraId="3A7111CD" w14:textId="7C72ECB4"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strike/>
          <w:lang w:val="nl-NL"/>
        </w:rPr>
        <w:lastRenderedPageBreak/>
        <w:t>v)</w:t>
      </w:r>
      <w:r w:rsidRPr="00451E12">
        <w:rPr>
          <w:rFonts w:eastAsia="Times New Roman"/>
          <w:lang w:val="nl-NL"/>
        </w:rPr>
        <w:tab/>
      </w:r>
      <w:r w:rsidRPr="00451E12">
        <w:rPr>
          <w:rFonts w:eastAsia="Times New Roman"/>
          <w:strike/>
          <w:lang w:val="nl-NL"/>
        </w:rPr>
        <w:t>vormen van genoegdoening in geval van gebrek aan overeenstemming van de producten en digitale inhoud;</w:t>
      </w:r>
      <w:r w:rsidR="006556BD" w:rsidRPr="00451E12">
        <w:rPr>
          <w:rFonts w:eastAsia="Times New Roman"/>
          <w:b/>
          <w:strike/>
          <w:lang w:val="nl-NL"/>
        </w:rPr>
        <w:t xml:space="preserve"> </w:t>
      </w:r>
      <w:r w:rsidR="006556BD" w:rsidRPr="00451E12">
        <w:rPr>
          <w:rFonts w:eastAsia="Times New Roman"/>
          <w:b/>
          <w:lang w:val="nl-NL"/>
        </w:rPr>
        <w:t>[Am. 30]</w:t>
      </w:r>
    </w:p>
    <w:p w14:paraId="1EC4BD37" w14:textId="52171B8F" w:rsidR="00BE0CE7" w:rsidRPr="00451E12" w:rsidRDefault="00BE0CE7" w:rsidP="00BE0CE7">
      <w:pPr>
        <w:widowControl w:val="0"/>
        <w:spacing w:before="120" w:after="120" w:line="360" w:lineRule="auto"/>
        <w:ind w:left="2548" w:hanging="566"/>
        <w:jc w:val="left"/>
        <w:rPr>
          <w:rFonts w:eastAsia="Times New Roman"/>
          <w:b/>
          <w:lang w:val="nl-NL"/>
        </w:rPr>
      </w:pPr>
      <w:r w:rsidRPr="00451E12">
        <w:rPr>
          <w:rFonts w:eastAsia="Times New Roman"/>
          <w:strike/>
          <w:lang w:val="nl-NL"/>
        </w:rPr>
        <w:t>vi)</w:t>
      </w:r>
      <w:r w:rsidRPr="00451E12">
        <w:rPr>
          <w:rFonts w:eastAsia="Times New Roman"/>
          <w:lang w:val="nl-NL"/>
        </w:rPr>
        <w:tab/>
      </w:r>
      <w:r w:rsidRPr="00451E12">
        <w:rPr>
          <w:rFonts w:eastAsia="Times New Roman"/>
          <w:strike/>
          <w:lang w:val="nl-NL"/>
        </w:rPr>
        <w:t>het recht om naar een andere aanbieder over te stappen; en</w:t>
      </w:r>
      <w:r w:rsidR="006556BD" w:rsidRPr="00451E12">
        <w:rPr>
          <w:rFonts w:eastAsia="Times New Roman"/>
          <w:b/>
          <w:strike/>
          <w:lang w:val="nl-NL"/>
        </w:rPr>
        <w:t xml:space="preserve"> </w:t>
      </w:r>
      <w:r w:rsidR="006556BD" w:rsidRPr="00451E12">
        <w:rPr>
          <w:rFonts w:eastAsia="Times New Roman"/>
          <w:b/>
          <w:lang w:val="nl-NL"/>
        </w:rPr>
        <w:t>[Am. 31]</w:t>
      </w:r>
    </w:p>
    <w:p w14:paraId="7C9BB55A" w14:textId="261BC756" w:rsidR="00BE0CE7" w:rsidRPr="00E87C41" w:rsidRDefault="00BE0CE7" w:rsidP="00BE0CE7">
      <w:pPr>
        <w:widowControl w:val="0"/>
        <w:spacing w:before="120" w:after="120" w:line="360" w:lineRule="auto"/>
        <w:ind w:left="2548" w:hanging="566"/>
        <w:jc w:val="left"/>
        <w:rPr>
          <w:rFonts w:eastAsia="Times New Roman"/>
          <w:b/>
          <w:lang w:val="de-DE"/>
        </w:rPr>
      </w:pPr>
      <w:r w:rsidRPr="00E87C41">
        <w:rPr>
          <w:rFonts w:eastAsia="Times New Roman"/>
          <w:strike/>
          <w:lang w:val="de-DE"/>
        </w:rPr>
        <w:t>vii)</w:t>
      </w:r>
      <w:r w:rsidRPr="00E87C41">
        <w:rPr>
          <w:rFonts w:eastAsia="Times New Roman"/>
          <w:lang w:val="de-DE"/>
        </w:rPr>
        <w:tab/>
      </w:r>
      <w:proofErr w:type="spellStart"/>
      <w:r w:rsidRPr="00E87C41">
        <w:rPr>
          <w:rFonts w:eastAsia="Times New Roman"/>
          <w:strike/>
          <w:lang w:val="de-DE"/>
        </w:rPr>
        <w:t>passagiers</w:t>
      </w:r>
      <w:proofErr w:type="spellEnd"/>
      <w:r w:rsidRPr="00E87C41">
        <w:rPr>
          <w:rFonts w:eastAsia="Times New Roman"/>
          <w:strike/>
          <w:lang w:val="de-DE"/>
        </w:rPr>
        <w:t xml:space="preserve">- en </w:t>
      </w:r>
      <w:proofErr w:type="spellStart"/>
      <w:r w:rsidRPr="00E87C41">
        <w:rPr>
          <w:rFonts w:eastAsia="Times New Roman"/>
          <w:strike/>
          <w:lang w:val="de-DE"/>
        </w:rPr>
        <w:t>reizigersrechten</w:t>
      </w:r>
      <w:proofErr w:type="spellEnd"/>
      <w:r w:rsidRPr="00E87C41">
        <w:rPr>
          <w:rFonts w:eastAsia="Times New Roman"/>
          <w:strike/>
          <w:lang w:val="de-DE"/>
        </w:rPr>
        <w:t>.</w:t>
      </w:r>
      <w:r w:rsidR="006556BD" w:rsidRPr="00E87C41">
        <w:rPr>
          <w:rFonts w:eastAsia="Times New Roman"/>
          <w:b/>
          <w:strike/>
          <w:lang w:val="de-DE"/>
        </w:rPr>
        <w:t xml:space="preserve"> </w:t>
      </w:r>
      <w:r w:rsidR="006556BD" w:rsidRPr="00E87C41">
        <w:rPr>
          <w:rFonts w:eastAsia="Times New Roman"/>
          <w:b/>
          <w:lang w:val="de-DE"/>
        </w:rPr>
        <w:t>[Am. 32]</w:t>
      </w:r>
    </w:p>
    <w:p w14:paraId="7C893DBF" w14:textId="334D864F" w:rsidR="00BE0CE7" w:rsidRPr="00451E12" w:rsidRDefault="00BE0CE7" w:rsidP="00BE0CE7">
      <w:pPr>
        <w:widowControl w:val="0"/>
        <w:spacing w:before="120" w:after="120" w:line="360" w:lineRule="auto"/>
        <w:ind w:left="1416"/>
        <w:jc w:val="left"/>
        <w:rPr>
          <w:rFonts w:eastAsia="Times New Roman"/>
          <w:lang w:val="nl-NL"/>
        </w:rPr>
      </w:pPr>
      <w:r w:rsidRPr="00451E12">
        <w:rPr>
          <w:rFonts w:eastAsia="Times New Roman"/>
          <w:lang w:val="nl-NL"/>
        </w:rPr>
        <w:t>De lidstaten kunnen de in deze richtlijn beschreven ADR-procedures ook toepassen op andere categorieën geschillen dan de in punt b) genoemde.”</w:t>
      </w:r>
      <w:r w:rsidR="00C579A9" w:rsidRPr="00451E12">
        <w:rPr>
          <w:rFonts w:eastAsia="Times New Roman"/>
          <w:lang w:val="nl-NL"/>
        </w:rPr>
        <w:t>.</w:t>
      </w:r>
    </w:p>
    <w:p w14:paraId="3812B290" w14:textId="1D4FF49F"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2.</w:t>
      </w:r>
      <w:r w:rsidRPr="00451E12">
        <w:rPr>
          <w:rFonts w:eastAsia="Times New Roman"/>
          <w:lang w:val="nl-NL"/>
        </w:rPr>
        <w:tab/>
      </w:r>
      <w:r w:rsidR="001222F7" w:rsidRPr="00451E12">
        <w:rPr>
          <w:rFonts w:eastAsia="Times New Roman"/>
          <w:lang w:val="nl-NL"/>
        </w:rPr>
        <w:t>i</w:t>
      </w:r>
      <w:r w:rsidRPr="00451E12">
        <w:rPr>
          <w:rFonts w:eastAsia="Times New Roman"/>
          <w:lang w:val="nl-NL"/>
        </w:rPr>
        <w:t>n artikel 4, lid 1, worden de punten e) en f) vervangen door:</w:t>
      </w:r>
    </w:p>
    <w:p w14:paraId="405900A0"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w:t>
      </w:r>
      <w:proofErr w:type="gramStart"/>
      <w:r w:rsidRPr="00451E12">
        <w:rPr>
          <w:rFonts w:eastAsia="Times New Roman"/>
          <w:lang w:val="nl-NL"/>
        </w:rPr>
        <w:t>e</w:t>
      </w:r>
      <w:proofErr w:type="gramEnd"/>
      <w:r w:rsidRPr="00451E12">
        <w:rPr>
          <w:rFonts w:eastAsia="Times New Roman"/>
          <w:lang w:val="nl-NL"/>
        </w:rPr>
        <w:t>)</w:t>
      </w:r>
      <w:r w:rsidRPr="00451E12">
        <w:rPr>
          <w:rFonts w:eastAsia="Times New Roman"/>
          <w:lang w:val="nl-NL"/>
        </w:rPr>
        <w:tab/>
        <w:t>“binnenlands geschil”: een geschil tussen een consument en een ondernemer dat verband houdt met contractuele verplichtingen en/of consumentenrechten die in het Unierecht zijn vastgelegd, zoals bedoeld in artikel 2, lid 1, wanneer de consument woonachtig is in dezelfde lidstaat als die waar de ondernemer is gevestigd;</w:t>
      </w:r>
    </w:p>
    <w:p w14:paraId="3179CA73" w14:textId="20CF1AF3"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f)</w:t>
      </w:r>
      <w:r w:rsidRPr="00451E12">
        <w:rPr>
          <w:rFonts w:eastAsia="Times New Roman"/>
          <w:lang w:val="nl-NL"/>
        </w:rPr>
        <w:tab/>
        <w:t>“grensoverschrijdend geschil”: een geschil tussen een consument en een ondernemer dat verband houdt met contractuele verplichtingen en/of consumentenrechten die in het Unierecht zijn vastgelegd, zoals bedoeld in artikel 2, lid 1, wanneer de consument woonachtig is in een andere lidstaat dan waar de ondernemer is gevestigd, of wanneer de consument woonachtig is in een lidstaat en de ondernemer buiten de Unie is gevestigd;”</w:t>
      </w:r>
      <w:r w:rsidR="00C579A9" w:rsidRPr="00451E12">
        <w:rPr>
          <w:rFonts w:eastAsia="Times New Roman"/>
          <w:lang w:val="nl-NL"/>
        </w:rPr>
        <w:t>.</w:t>
      </w:r>
    </w:p>
    <w:p w14:paraId="08CE45B9" w14:textId="77777777" w:rsidR="00945499" w:rsidRPr="00451E12" w:rsidRDefault="00945499">
      <w:pPr>
        <w:jc w:val="left"/>
        <w:rPr>
          <w:rFonts w:eastAsia="Times New Roman"/>
          <w:b/>
          <w:i/>
          <w:lang w:val="nl-NL"/>
        </w:rPr>
      </w:pPr>
      <w:r w:rsidRPr="00451E12">
        <w:rPr>
          <w:rFonts w:eastAsia="Times New Roman"/>
          <w:b/>
          <w:i/>
          <w:lang w:val="nl-NL"/>
        </w:rPr>
        <w:br w:type="page"/>
      </w:r>
    </w:p>
    <w:p w14:paraId="28586CD4" w14:textId="7BF06214"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2 bis.</w:t>
      </w:r>
      <w:r w:rsidRPr="00451E12">
        <w:rPr>
          <w:rFonts w:eastAsia="Times New Roman"/>
          <w:b/>
          <w:i/>
          <w:lang w:val="nl-NL"/>
        </w:rPr>
        <w:tab/>
      </w:r>
      <w:proofErr w:type="gramStart"/>
      <w:r w:rsidR="001222F7" w:rsidRPr="00451E12">
        <w:rPr>
          <w:rFonts w:eastAsia="Times New Roman"/>
          <w:b/>
          <w:i/>
          <w:lang w:val="nl-NL"/>
        </w:rPr>
        <w:t>i</w:t>
      </w:r>
      <w:r w:rsidRPr="00451E12">
        <w:rPr>
          <w:rFonts w:eastAsia="Times New Roman"/>
          <w:b/>
          <w:i/>
          <w:lang w:val="nl-NL"/>
        </w:rPr>
        <w:t>n</w:t>
      </w:r>
      <w:proofErr w:type="gramEnd"/>
      <w:r w:rsidRPr="00451E12">
        <w:rPr>
          <w:rFonts w:eastAsia="Times New Roman"/>
          <w:b/>
          <w:i/>
          <w:lang w:val="nl-NL"/>
        </w:rPr>
        <w:t xml:space="preserve"> artikel 4 wordt het volgende punt ingevoegd:</w:t>
      </w:r>
    </w:p>
    <w:p w14:paraId="6353CCB1" w14:textId="44C906CF"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w:t>
      </w:r>
      <w:proofErr w:type="gramStart"/>
      <w:r w:rsidRPr="00451E12">
        <w:rPr>
          <w:rFonts w:eastAsia="Times New Roman"/>
          <w:b/>
          <w:i/>
          <w:lang w:val="nl-NL"/>
        </w:rPr>
        <w:t>f</w:t>
      </w:r>
      <w:proofErr w:type="gramEnd"/>
      <w:r w:rsidRPr="00451E12">
        <w:rPr>
          <w:rFonts w:eastAsia="Times New Roman"/>
          <w:b/>
          <w:i/>
          <w:lang w:val="nl-NL"/>
        </w:rPr>
        <w:t xml:space="preserve"> bis)</w:t>
      </w:r>
      <w:r w:rsidRPr="00451E12">
        <w:rPr>
          <w:rFonts w:eastAsia="Times New Roman"/>
          <w:b/>
          <w:i/>
          <w:lang w:val="nl-NL"/>
        </w:rPr>
        <w:tab/>
        <w:t>“oneerlijke handelspraktijk”: elke misleidende handelspraktijk in de zin van bijlage I van Richtlijn 2005/29/EG;”.</w:t>
      </w:r>
      <w:r w:rsidR="00C579A9" w:rsidRPr="00451E12">
        <w:rPr>
          <w:rFonts w:eastAsia="Times New Roman"/>
          <w:b/>
          <w:lang w:val="nl-NL"/>
        </w:rPr>
        <w:t xml:space="preserve"> [Am. 33]</w:t>
      </w:r>
    </w:p>
    <w:p w14:paraId="20E08DAD" w14:textId="327E2958"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3.</w:t>
      </w:r>
      <w:r w:rsidRPr="00451E12">
        <w:rPr>
          <w:rFonts w:eastAsia="Times New Roman"/>
          <w:lang w:val="nl-NL"/>
        </w:rPr>
        <w:tab/>
      </w:r>
      <w:r w:rsidR="001222F7" w:rsidRPr="00451E12">
        <w:rPr>
          <w:rFonts w:eastAsia="Times New Roman"/>
          <w:lang w:val="nl-NL"/>
        </w:rPr>
        <w:t>a</w:t>
      </w:r>
      <w:r w:rsidRPr="00451E12">
        <w:rPr>
          <w:rFonts w:eastAsia="Times New Roman"/>
          <w:lang w:val="nl-NL"/>
        </w:rPr>
        <w:t>rtikel 5 wordt als volgt gewijzigd:</w:t>
      </w:r>
    </w:p>
    <w:p w14:paraId="61A7E47C"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(a)</w:t>
      </w:r>
      <w:r w:rsidRPr="00451E12">
        <w:rPr>
          <w:rFonts w:eastAsia="Times New Roman"/>
          <w:lang w:val="nl-NL"/>
        </w:rPr>
        <w:tab/>
        <w:t>lid 1 wordt vervangen door:</w:t>
      </w:r>
    </w:p>
    <w:p w14:paraId="00F5638F" w14:textId="630DC930"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t>“1.</w:t>
      </w:r>
      <w:r w:rsidRPr="00451E12">
        <w:rPr>
          <w:rFonts w:eastAsia="Times New Roman"/>
          <w:lang w:val="nl-NL"/>
        </w:rPr>
        <w:tab/>
        <w:t>De lidstaten bevorderen dat consumenten toegang hebben tot ADR-procedures en zien erop toe dat onder deze richtlijn vallende geschillen waarbij een op hun grondgebied gevestigde ondernemer betrokken is, of een ondernemer die niet in een lidstaat is gevestigd, maar goederen of diensten, met inbegrip van digitale inhoud en digitale diensten, aanbiedt aan consumenten die op hun grondgebied wonen, kunnen worden voorgelegd aan een ADR-entiteit die voldoet aan de vereisten van deze richtlijn.</w:t>
      </w:r>
      <w:r w:rsidRPr="00451E12">
        <w:rPr>
          <w:rFonts w:eastAsia="Times New Roman"/>
          <w:b/>
          <w:i/>
          <w:lang w:val="nl-NL"/>
        </w:rPr>
        <w:t xml:space="preserve"> De lidstaten kunnen de toegang voor zelfstandigen of micro-ondernemingen tot ADR-procedures bevorderen.</w:t>
      </w:r>
      <w:r w:rsidRPr="00451E12">
        <w:rPr>
          <w:rFonts w:eastAsia="Times New Roman"/>
          <w:lang w:val="nl-NL"/>
        </w:rPr>
        <w:t>”</w:t>
      </w:r>
      <w:r w:rsidR="00A40495" w:rsidRPr="00451E12">
        <w:rPr>
          <w:rFonts w:eastAsia="Times New Roman"/>
          <w:lang w:val="nl-NL"/>
        </w:rPr>
        <w:t>.</w:t>
      </w:r>
      <w:r w:rsidR="00C579A9" w:rsidRPr="00451E12">
        <w:rPr>
          <w:rFonts w:eastAsia="Times New Roman"/>
          <w:b/>
          <w:lang w:val="nl-NL"/>
        </w:rPr>
        <w:t xml:space="preserve"> [Am. 34]</w:t>
      </w:r>
    </w:p>
    <w:p w14:paraId="2439D17A" w14:textId="77777777" w:rsidR="00945499" w:rsidRPr="00451E12" w:rsidRDefault="00945499">
      <w:pPr>
        <w:jc w:val="left"/>
        <w:rPr>
          <w:rFonts w:eastAsia="Times New Roman"/>
          <w:lang w:val="nl-NL"/>
        </w:rPr>
      </w:pPr>
      <w:r w:rsidRPr="00451E12">
        <w:rPr>
          <w:rFonts w:eastAsia="Times New Roman"/>
          <w:lang w:val="nl-NL"/>
        </w:rPr>
        <w:br w:type="page"/>
      </w:r>
    </w:p>
    <w:p w14:paraId="60F917C0" w14:textId="6C556CBF"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lastRenderedPageBreak/>
        <w:t>(b)</w:t>
      </w:r>
      <w:r w:rsidRPr="00451E12">
        <w:rPr>
          <w:rFonts w:eastAsia="Times New Roman"/>
          <w:lang w:val="nl-NL"/>
        </w:rPr>
        <w:tab/>
        <w:t>in lid 2 worden de punten a) tot en met d) vervangen door:</w:t>
      </w:r>
    </w:p>
    <w:p w14:paraId="4F11006F" w14:textId="11E3BCCA"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t>“</w:t>
      </w:r>
      <w:r w:rsidRPr="00451E12">
        <w:rPr>
          <w:rFonts w:eastAsia="Times New Roman"/>
          <w:b/>
          <w:i/>
          <w:lang w:val="nl-NL"/>
        </w:rPr>
        <w:t>-a)</w:t>
      </w:r>
      <w:r w:rsidRPr="00451E12">
        <w:rPr>
          <w:rFonts w:eastAsia="Times New Roman"/>
          <w:lang w:val="nl-NL"/>
        </w:rPr>
        <w:tab/>
      </w:r>
      <w:r w:rsidRPr="00451E12">
        <w:rPr>
          <w:rFonts w:eastAsia="Times New Roman"/>
          <w:b/>
          <w:i/>
          <w:lang w:val="nl-NL"/>
        </w:rPr>
        <w:t>een geactualiseerde website onderhouden die de partijen gemakkelijk toegang biedt tot informatie betreffende de ADR-procedure;</w:t>
      </w:r>
      <w:r w:rsidR="00C579A9" w:rsidRPr="00451E12">
        <w:rPr>
          <w:rFonts w:eastAsia="Times New Roman"/>
          <w:b/>
          <w:lang w:val="nl-NL"/>
        </w:rPr>
        <w:t xml:space="preserve"> [Am. 35]</w:t>
      </w:r>
    </w:p>
    <w:p w14:paraId="5A4A85E7"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a)</w:t>
      </w:r>
      <w:r w:rsidRPr="00451E12">
        <w:rPr>
          <w:rFonts w:eastAsia="Times New Roman"/>
          <w:lang w:val="nl-NL"/>
        </w:rPr>
        <w:tab/>
        <w:t>ervoor zorgen dat consumenten klachten en de vereiste ondersteunende documenten online en op een traceerbare manier kunnen indienen en ervoor zorgen dat consumenten deze documenten op verzoek ook in niet-digitale vorm kunnen indienen en inzien;</w:t>
      </w:r>
    </w:p>
    <w:p w14:paraId="77FFD81D" w14:textId="7678AA25" w:rsidR="00BE0CE7" w:rsidRPr="00451E12" w:rsidRDefault="00BE0CE7" w:rsidP="00BE0CE7">
      <w:pPr>
        <w:widowControl w:val="0"/>
        <w:spacing w:before="120" w:after="120" w:line="360" w:lineRule="auto"/>
        <w:ind w:left="1982" w:hanging="566"/>
        <w:jc w:val="left"/>
        <w:rPr>
          <w:rFonts w:eastAsia="Times New Roman"/>
          <w:b/>
          <w:lang w:val="nl-NL"/>
        </w:rPr>
      </w:pPr>
      <w:proofErr w:type="gramStart"/>
      <w:r w:rsidRPr="00451E12">
        <w:rPr>
          <w:rFonts w:eastAsia="Times New Roman"/>
          <w:b/>
          <w:i/>
          <w:lang w:val="nl-NL"/>
        </w:rPr>
        <w:t>a</w:t>
      </w:r>
      <w:proofErr w:type="gramEnd"/>
      <w:r w:rsidRPr="00451E12">
        <w:rPr>
          <w:rFonts w:eastAsia="Times New Roman"/>
          <w:b/>
          <w:i/>
          <w:lang w:val="nl-NL"/>
        </w:rPr>
        <w:t xml:space="preserve"> bis)</w:t>
      </w:r>
      <w:r w:rsidRPr="00451E12">
        <w:rPr>
          <w:rFonts w:eastAsia="Times New Roman"/>
          <w:b/>
          <w:i/>
          <w:lang w:val="nl-NL"/>
        </w:rPr>
        <w:tab/>
        <w:t>ervoor zorgen dat consumenten klachten kunnen indienen in de lidstaat waar zij woonachtig zijn;</w:t>
      </w:r>
      <w:r w:rsidR="00C579A9" w:rsidRPr="00451E12">
        <w:rPr>
          <w:rFonts w:eastAsia="Times New Roman"/>
          <w:b/>
          <w:lang w:val="nl-NL"/>
        </w:rPr>
        <w:t xml:space="preserve"> [Am. 36]</w:t>
      </w:r>
    </w:p>
    <w:p w14:paraId="2D12D1A3"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b)</w:t>
      </w:r>
      <w:r w:rsidRPr="00451E12">
        <w:rPr>
          <w:rFonts w:eastAsia="Times New Roman"/>
          <w:lang w:val="nl-NL"/>
        </w:rPr>
        <w:tab/>
        <w:t>digitale ADR-procedures aanbieden via gemakkelijk toegankelijke en inclusieve instrumenten;</w:t>
      </w:r>
    </w:p>
    <w:p w14:paraId="460132DB" w14:textId="0754EE39"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t>c)</w:t>
      </w:r>
      <w:r w:rsidRPr="00451E12">
        <w:rPr>
          <w:rFonts w:eastAsia="Times New Roman"/>
          <w:lang w:val="nl-NL"/>
        </w:rPr>
        <w:tab/>
      </w:r>
      <w:r w:rsidRPr="00451E12">
        <w:rPr>
          <w:rFonts w:eastAsia="Times New Roman"/>
          <w:strike/>
          <w:lang w:val="nl-NL"/>
        </w:rPr>
        <w:t xml:space="preserve">de partijen bij het geschil het recht verlenen om te verzoeken dat de uitkomst van de ADR-procedure door een natuurlijke persoon wordt beoordeeld </w:t>
      </w:r>
      <w:r w:rsidRPr="00451E12">
        <w:rPr>
          <w:rFonts w:eastAsia="Times New Roman"/>
          <w:lang w:val="nl-NL"/>
        </w:rPr>
        <w:t>als de procedure op geautomatiseerde wijze werd uitgevoerd</w:t>
      </w:r>
      <w:r w:rsidRPr="00451E12">
        <w:rPr>
          <w:rFonts w:eastAsia="Times New Roman"/>
          <w:b/>
          <w:i/>
          <w:lang w:val="nl-NL"/>
        </w:rPr>
        <w:t>, ervoor zorgen dat de partijen bij het geschil toegang hebben tot een beoordeling door een natuurlijke persoon, die onafhankelijk en onpartijdig is</w:t>
      </w:r>
      <w:r w:rsidRPr="00451E12">
        <w:rPr>
          <w:rFonts w:eastAsia="Times New Roman"/>
          <w:lang w:val="nl-NL"/>
        </w:rPr>
        <w:t>;</w:t>
      </w:r>
      <w:r w:rsidR="00C579A9" w:rsidRPr="00451E12">
        <w:rPr>
          <w:rFonts w:eastAsia="Times New Roman"/>
          <w:b/>
          <w:lang w:val="nl-NL"/>
        </w:rPr>
        <w:t xml:space="preserve"> [Am. 37]</w:t>
      </w:r>
    </w:p>
    <w:p w14:paraId="1FE79A32" w14:textId="77777777" w:rsidR="00945499" w:rsidRPr="00451E12" w:rsidRDefault="00945499">
      <w:pPr>
        <w:jc w:val="left"/>
        <w:rPr>
          <w:rFonts w:eastAsia="Times New Roman"/>
          <w:lang w:val="nl-NL"/>
        </w:rPr>
      </w:pPr>
      <w:r w:rsidRPr="00451E12">
        <w:rPr>
          <w:rFonts w:eastAsia="Times New Roman"/>
          <w:lang w:val="nl-NL"/>
        </w:rPr>
        <w:br w:type="page"/>
      </w:r>
    </w:p>
    <w:p w14:paraId="3708D0D4" w14:textId="072643DC"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lastRenderedPageBreak/>
        <w:t>d)</w:t>
      </w:r>
      <w:r w:rsidRPr="00451E12">
        <w:rPr>
          <w:rFonts w:eastAsia="Times New Roman"/>
          <w:lang w:val="nl-NL"/>
        </w:rPr>
        <w:tab/>
        <w:t xml:space="preserve">soortgelijke zaken tegen één specifieke ondernemer in één procedure kunnen bundelen, op voorwaarde dat de betrokken consument wordt geïnformeerd en </w:t>
      </w:r>
      <w:r w:rsidRPr="00451E12">
        <w:rPr>
          <w:rFonts w:eastAsia="Times New Roman"/>
          <w:strike/>
          <w:lang w:val="nl-NL"/>
        </w:rPr>
        <w:t xml:space="preserve">daar geen bezwaar tegen </w:t>
      </w:r>
      <w:proofErr w:type="spellStart"/>
      <w:proofErr w:type="gramStart"/>
      <w:r w:rsidRPr="00451E12">
        <w:rPr>
          <w:rFonts w:eastAsia="Times New Roman"/>
          <w:strike/>
          <w:lang w:val="nl-NL"/>
        </w:rPr>
        <w:t>maakt;</w:t>
      </w:r>
      <w:r w:rsidRPr="00451E12">
        <w:rPr>
          <w:rFonts w:eastAsia="Times New Roman"/>
          <w:b/>
          <w:i/>
          <w:lang w:val="nl-NL"/>
        </w:rPr>
        <w:t>uitdrukkelijk</w:t>
      </w:r>
      <w:proofErr w:type="spellEnd"/>
      <w:proofErr w:type="gramEnd"/>
      <w:r w:rsidRPr="00451E12">
        <w:rPr>
          <w:rFonts w:eastAsia="Times New Roman"/>
          <w:b/>
          <w:i/>
          <w:lang w:val="nl-NL"/>
        </w:rPr>
        <w:t xml:space="preserve"> met die bundeling instemt en dat de met de ADR-procedures belaste natuurlijke personen, overeenkomstig artikel 6, over voldoende kennis beschikken om de zaak te behandelen</w:t>
      </w:r>
      <w:r w:rsidRPr="00451E12">
        <w:rPr>
          <w:rFonts w:eastAsia="Times New Roman"/>
          <w:lang w:val="nl-NL"/>
        </w:rPr>
        <w:t>;”</w:t>
      </w:r>
      <w:r w:rsidR="00C579A9" w:rsidRPr="00451E12">
        <w:rPr>
          <w:rFonts w:eastAsia="Times New Roman"/>
          <w:b/>
          <w:lang w:val="nl-NL"/>
        </w:rPr>
        <w:t xml:space="preserve"> [Am. 38]</w:t>
      </w:r>
    </w:p>
    <w:p w14:paraId="6840239D"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(c)</w:t>
      </w:r>
      <w:r w:rsidRPr="00451E12">
        <w:rPr>
          <w:rFonts w:eastAsia="Times New Roman"/>
          <w:lang w:val="nl-NL"/>
        </w:rPr>
        <w:tab/>
        <w:t>in lid 4 wordt punt a) vervangen door:</w:t>
      </w:r>
    </w:p>
    <w:p w14:paraId="7FA32CA0"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w:t>
      </w:r>
      <w:proofErr w:type="gramStart"/>
      <w:r w:rsidRPr="00451E12">
        <w:rPr>
          <w:rFonts w:eastAsia="Times New Roman"/>
          <w:lang w:val="nl-NL"/>
        </w:rPr>
        <w:t>a</w:t>
      </w:r>
      <w:proofErr w:type="gramEnd"/>
      <w:r w:rsidRPr="00451E12">
        <w:rPr>
          <w:rFonts w:eastAsia="Times New Roman"/>
          <w:lang w:val="nl-NL"/>
        </w:rPr>
        <w:t>)</w:t>
      </w:r>
      <w:r w:rsidRPr="00451E12">
        <w:rPr>
          <w:rFonts w:eastAsia="Times New Roman"/>
          <w:lang w:val="nl-NL"/>
        </w:rPr>
        <w:tab/>
        <w:t>de consument heeft niet geprobeerd contact op te nemen met de betrokken ondernemer om de klacht te bespreken en te trachten het probleem in eerste instantie rechtstreeks met de ondernemer op te lossen, zonder onevenredige voorschriften op te leggen over de vorm van dergelijke contacten;”</w:t>
      </w:r>
    </w:p>
    <w:p w14:paraId="6278C329" w14:textId="77777777" w:rsidR="00945499" w:rsidRPr="00451E12" w:rsidRDefault="00945499">
      <w:pPr>
        <w:jc w:val="left"/>
        <w:rPr>
          <w:rFonts w:eastAsia="Times New Roman"/>
          <w:lang w:val="nl-NL"/>
        </w:rPr>
      </w:pPr>
      <w:r w:rsidRPr="00451E12">
        <w:rPr>
          <w:rFonts w:eastAsia="Times New Roman"/>
          <w:lang w:val="nl-NL"/>
        </w:rPr>
        <w:br w:type="page"/>
      </w:r>
    </w:p>
    <w:p w14:paraId="31F3FA3A" w14:textId="1313322E"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lastRenderedPageBreak/>
        <w:t>(d)</w:t>
      </w:r>
      <w:r w:rsidRPr="00451E12">
        <w:rPr>
          <w:rFonts w:eastAsia="Times New Roman"/>
          <w:lang w:val="nl-NL"/>
        </w:rPr>
        <w:tab/>
        <w:t>het volgende lid 8 wordt toegevoegd:</w:t>
      </w:r>
    </w:p>
    <w:p w14:paraId="77D33F89" w14:textId="16A3B463"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t>“8.</w:t>
      </w:r>
      <w:r w:rsidRPr="00451E12">
        <w:rPr>
          <w:rFonts w:eastAsia="Times New Roman"/>
          <w:lang w:val="nl-NL"/>
        </w:rPr>
        <w:tab/>
        <w:t xml:space="preserve">De lidstaten zorgen ervoor dat op hun grondgebied gevestigde ondernemers met wie contact wordt opgenomen door een ADR-entiteit uit hun </w:t>
      </w:r>
      <w:r w:rsidRPr="00451E12">
        <w:rPr>
          <w:rFonts w:eastAsia="Times New Roman"/>
          <w:strike/>
          <w:lang w:val="nl-NL"/>
        </w:rPr>
        <w:t xml:space="preserve">land of </w:t>
      </w:r>
      <w:proofErr w:type="spellStart"/>
      <w:r w:rsidRPr="00451E12">
        <w:rPr>
          <w:rFonts w:eastAsia="Times New Roman"/>
          <w:strike/>
          <w:lang w:val="nl-NL"/>
        </w:rPr>
        <w:t>uit</w:t>
      </w:r>
      <w:r w:rsidRPr="00451E12">
        <w:rPr>
          <w:rFonts w:eastAsia="Times New Roman"/>
          <w:b/>
          <w:i/>
          <w:lang w:val="nl-NL"/>
        </w:rPr>
        <w:t>eigen</w:t>
      </w:r>
      <w:proofErr w:type="spellEnd"/>
      <w:r w:rsidRPr="00451E12">
        <w:rPr>
          <w:rFonts w:eastAsia="Times New Roman"/>
          <w:b/>
          <w:i/>
          <w:lang w:val="nl-NL"/>
        </w:rPr>
        <w:t xml:space="preserve"> of</w:t>
      </w:r>
      <w:r w:rsidRPr="00451E12">
        <w:rPr>
          <w:rFonts w:eastAsia="Times New Roman"/>
          <w:lang w:val="nl-NL"/>
        </w:rPr>
        <w:t xml:space="preserve"> een andere lidstaat, die ADR-entiteit ervan op de hoogte brengen of zij al dan niet instemmen met deelname aan de voorgestelde procedure en binnen een redelijke termijn van maximaal </w:t>
      </w:r>
      <w:r w:rsidRPr="00451E12">
        <w:rPr>
          <w:rFonts w:eastAsia="Times New Roman"/>
          <w:strike/>
          <w:lang w:val="nl-NL"/>
        </w:rPr>
        <w:t>twintig</w:t>
      </w:r>
      <w:r w:rsidRPr="00451E12">
        <w:rPr>
          <w:rFonts w:eastAsia="Times New Roman"/>
          <w:b/>
          <w:i/>
          <w:lang w:val="nl-NL"/>
        </w:rPr>
        <w:t>15</w:t>
      </w:r>
      <w:r w:rsidRPr="00451E12">
        <w:rPr>
          <w:rFonts w:eastAsia="Times New Roman"/>
          <w:lang w:val="nl-NL"/>
        </w:rPr>
        <w:t xml:space="preserve"> werkdagen antwoorden.</w:t>
      </w:r>
      <w:r w:rsidRPr="00451E12">
        <w:rPr>
          <w:rFonts w:eastAsia="Times New Roman"/>
          <w:b/>
          <w:i/>
          <w:lang w:val="nl-NL"/>
        </w:rPr>
        <w:t xml:space="preserve"> Voor complexe geschillen of onder uitzonderlijke omstandigheden, zoals een drukke periode of een externe crisis, kan de termijn echter tot ten hoogste twintig werkdagen worden verlengd</w:t>
      </w:r>
      <w:r w:rsidRPr="00451E12">
        <w:rPr>
          <w:rFonts w:eastAsia="Times New Roman"/>
          <w:lang w:val="nl-NL"/>
        </w:rPr>
        <w:t>.”</w:t>
      </w:r>
      <w:r w:rsidR="00A40495" w:rsidRPr="00451E12">
        <w:rPr>
          <w:rFonts w:eastAsia="Times New Roman"/>
          <w:lang w:val="nl-NL"/>
        </w:rPr>
        <w:t>.</w:t>
      </w:r>
      <w:r w:rsidR="00C579A9" w:rsidRPr="00451E12">
        <w:rPr>
          <w:rFonts w:eastAsia="Times New Roman"/>
          <w:b/>
          <w:lang w:val="nl-NL"/>
        </w:rPr>
        <w:t xml:space="preserve"> [Am. 39]</w:t>
      </w:r>
    </w:p>
    <w:p w14:paraId="3965D524" w14:textId="77777777" w:rsidR="00945499" w:rsidRPr="00451E12" w:rsidRDefault="00945499">
      <w:pPr>
        <w:jc w:val="left"/>
        <w:rPr>
          <w:rFonts w:eastAsia="Times New Roman"/>
          <w:b/>
          <w:i/>
          <w:lang w:val="nl-NL"/>
        </w:rPr>
      </w:pPr>
      <w:r w:rsidRPr="00451E12">
        <w:rPr>
          <w:rFonts w:eastAsia="Times New Roman"/>
          <w:b/>
          <w:i/>
          <w:lang w:val="nl-NL"/>
        </w:rPr>
        <w:br w:type="page"/>
      </w:r>
    </w:p>
    <w:p w14:paraId="7E395B02" w14:textId="07762D00"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3 bis.</w:t>
      </w:r>
      <w:r w:rsidRPr="00451E12">
        <w:rPr>
          <w:rFonts w:eastAsia="Times New Roman"/>
          <w:b/>
          <w:i/>
          <w:lang w:val="nl-NL"/>
        </w:rPr>
        <w:tab/>
      </w:r>
      <w:proofErr w:type="gramStart"/>
      <w:r w:rsidR="001222F7" w:rsidRPr="00451E12">
        <w:rPr>
          <w:rFonts w:eastAsia="Times New Roman"/>
          <w:b/>
          <w:i/>
          <w:lang w:val="nl-NL"/>
        </w:rPr>
        <w:t>a</w:t>
      </w:r>
      <w:r w:rsidRPr="00451E12">
        <w:rPr>
          <w:rFonts w:eastAsia="Times New Roman"/>
          <w:b/>
          <w:i/>
          <w:lang w:val="nl-NL"/>
        </w:rPr>
        <w:t>rtikel</w:t>
      </w:r>
      <w:proofErr w:type="gramEnd"/>
      <w:r w:rsidRPr="00451E12">
        <w:rPr>
          <w:rFonts w:eastAsia="Times New Roman"/>
          <w:b/>
          <w:i/>
          <w:lang w:val="nl-NL"/>
        </w:rPr>
        <w:t xml:space="preserve"> 6 wordt als volgt gewijzigd:</w:t>
      </w:r>
    </w:p>
    <w:p w14:paraId="79655FD2"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a)</w:t>
      </w:r>
      <w:r w:rsidRPr="00451E12">
        <w:rPr>
          <w:rFonts w:eastAsia="Times New Roman"/>
          <w:lang w:val="nl-NL"/>
        </w:rPr>
        <w:tab/>
      </w:r>
      <w:r w:rsidRPr="00451E12">
        <w:rPr>
          <w:rFonts w:eastAsia="Times New Roman"/>
          <w:b/>
          <w:i/>
          <w:lang w:val="nl-NL"/>
        </w:rPr>
        <w:t>in lid 1 wordt punt a) vervangen door:</w:t>
      </w:r>
    </w:p>
    <w:p w14:paraId="411A047C" w14:textId="731C4943"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w:t>
      </w:r>
      <w:proofErr w:type="gramStart"/>
      <w:r w:rsidRPr="00451E12">
        <w:rPr>
          <w:rFonts w:eastAsia="Times New Roman"/>
          <w:b/>
          <w:i/>
          <w:lang w:val="nl-NL"/>
        </w:rPr>
        <w:t>a</w:t>
      </w:r>
      <w:proofErr w:type="gramEnd"/>
      <w:r w:rsidRPr="00451E12">
        <w:rPr>
          <w:rFonts w:eastAsia="Times New Roman"/>
          <w:b/>
          <w:i/>
          <w:lang w:val="nl-NL"/>
        </w:rPr>
        <w:t>)</w:t>
      </w:r>
      <w:r w:rsidRPr="00451E12">
        <w:rPr>
          <w:rFonts w:eastAsia="Times New Roman"/>
          <w:lang w:val="nl-NL"/>
        </w:rPr>
        <w:tab/>
      </w:r>
      <w:r w:rsidRPr="00451E12">
        <w:rPr>
          <w:rFonts w:eastAsia="Times New Roman"/>
          <w:b/>
          <w:i/>
          <w:lang w:val="nl-NL"/>
        </w:rPr>
        <w:t>“over de noodzakelijke kennis en vaardigheden op het gebied van alternatieve of gerechtelijke beslechting van consumentengeschillen beschikken, alsmede over een algemeen begrip van het recht, en, bij het behandelen van grensoverschrijdende zaken, van het internationaal privaatrecht;”;</w:t>
      </w:r>
    </w:p>
    <w:p w14:paraId="1E2AD301"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b)</w:t>
      </w:r>
      <w:r w:rsidRPr="00451E12">
        <w:rPr>
          <w:rFonts w:eastAsia="Times New Roman"/>
          <w:lang w:val="nl-NL"/>
        </w:rPr>
        <w:tab/>
      </w:r>
      <w:r w:rsidRPr="00451E12">
        <w:rPr>
          <w:rFonts w:eastAsia="Times New Roman"/>
          <w:b/>
          <w:i/>
          <w:lang w:val="nl-NL"/>
        </w:rPr>
        <w:t>in lid 3 wordt het volgende punt ingevoegd:</w:t>
      </w:r>
    </w:p>
    <w:p w14:paraId="6BED8B8D" w14:textId="7FD79349"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b/>
          <w:i/>
          <w:lang w:val="nl-NL"/>
        </w:rPr>
        <w:t>“</w:t>
      </w:r>
      <w:proofErr w:type="gramStart"/>
      <w:r w:rsidRPr="00451E12">
        <w:rPr>
          <w:rFonts w:eastAsia="Times New Roman"/>
          <w:b/>
          <w:i/>
          <w:lang w:val="nl-NL"/>
        </w:rPr>
        <w:t>a</w:t>
      </w:r>
      <w:proofErr w:type="gramEnd"/>
      <w:r w:rsidRPr="00451E12">
        <w:rPr>
          <w:rFonts w:eastAsia="Times New Roman"/>
          <w:b/>
          <w:i/>
          <w:lang w:val="nl-NL"/>
        </w:rPr>
        <w:t xml:space="preserve"> bis)</w:t>
      </w:r>
      <w:r w:rsidR="001222F7" w:rsidRPr="00451E12">
        <w:rPr>
          <w:rFonts w:eastAsia="Times New Roman"/>
          <w:b/>
          <w:i/>
          <w:lang w:val="nl-NL"/>
        </w:rPr>
        <w:tab/>
      </w:r>
      <w:r w:rsidRPr="00451E12">
        <w:rPr>
          <w:rFonts w:eastAsia="Times New Roman"/>
          <w:b/>
          <w:i/>
          <w:lang w:val="nl-NL"/>
        </w:rPr>
        <w:t>indien een geschil door een ADR-entiteit wordt behandeld en de met de geschillenbeslechting belaste natuurlijke personen uitsluitend in dienst zijn of uitsluitend een vergoeding ontvangen van de individuele ondernemer, heeft de ADR-entiteit alleen toegang tot gegevens die strikt verband houden met de zaak en uitdrukkelijk door de ondernemer of de consument zijn verstrekt;”;</w:t>
      </w:r>
    </w:p>
    <w:p w14:paraId="130F9749"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c)</w:t>
      </w:r>
      <w:r w:rsidRPr="00451E12">
        <w:rPr>
          <w:rFonts w:eastAsia="Times New Roman"/>
          <w:lang w:val="nl-NL"/>
        </w:rPr>
        <w:tab/>
      </w:r>
      <w:r w:rsidRPr="00451E12">
        <w:rPr>
          <w:rFonts w:eastAsia="Times New Roman"/>
          <w:b/>
          <w:i/>
          <w:lang w:val="nl-NL"/>
        </w:rPr>
        <w:t>lid 6 wordt vervangen door:</w:t>
      </w:r>
    </w:p>
    <w:p w14:paraId="582B971F" w14:textId="0C3A41D9" w:rsidR="00BE0CE7" w:rsidRPr="00451E12" w:rsidRDefault="00BE0CE7" w:rsidP="00BE0CE7">
      <w:pPr>
        <w:widowControl w:val="0"/>
        <w:spacing w:before="120" w:after="120" w:line="360" w:lineRule="auto"/>
        <w:ind w:left="1982" w:hanging="566"/>
        <w:jc w:val="left"/>
        <w:rPr>
          <w:rFonts w:eastAsia="Times New Roman"/>
          <w:b/>
          <w:lang w:val="nl-NL"/>
        </w:rPr>
      </w:pPr>
      <w:r w:rsidRPr="00451E12">
        <w:rPr>
          <w:rFonts w:eastAsia="Times New Roman"/>
          <w:lang w:val="nl-NL"/>
        </w:rPr>
        <w:t>“</w:t>
      </w:r>
      <w:r w:rsidR="00945499" w:rsidRPr="00451E12">
        <w:rPr>
          <w:rFonts w:eastAsia="Times New Roman"/>
          <w:b/>
          <w:i/>
          <w:lang w:val="nl-NL"/>
        </w:rPr>
        <w:t>6</w:t>
      </w:r>
      <w:r w:rsidRPr="00451E12">
        <w:rPr>
          <w:rFonts w:eastAsia="Times New Roman"/>
          <w:b/>
          <w:i/>
          <w:lang w:val="nl-NL"/>
        </w:rPr>
        <w:t>.</w:t>
      </w:r>
      <w:r w:rsidRPr="00451E12">
        <w:rPr>
          <w:rFonts w:eastAsia="Times New Roman"/>
          <w:lang w:val="nl-NL"/>
        </w:rPr>
        <w:tab/>
      </w:r>
      <w:r w:rsidRPr="00451E12">
        <w:rPr>
          <w:rFonts w:eastAsia="Times New Roman"/>
          <w:b/>
          <w:i/>
          <w:lang w:val="nl-NL"/>
        </w:rPr>
        <w:t>Voor de toepassing van lid 1, onder a), zorgen de lidstaten ervoor dat ADR-entiteiten in een regelmatige opleiding voor de met de ADR belaste natuurlijke personen voorzien, met name op het gebied van het consumentenrecht en andere relevante sectorale wetgeving. De bevoegde autoriteiten houden toezicht op de opleidingsprogramma’s van de ADR-entiteiten op basis van de overeenkomstig artikel 19, lid 3, onder g), verstrekte informatie.”.</w:t>
      </w:r>
      <w:r w:rsidR="00C579A9" w:rsidRPr="00451E12">
        <w:rPr>
          <w:rFonts w:eastAsia="Times New Roman"/>
          <w:b/>
          <w:lang w:val="nl-NL"/>
        </w:rPr>
        <w:t xml:space="preserve"> [Am. 40]</w:t>
      </w:r>
    </w:p>
    <w:p w14:paraId="3CC024AB" w14:textId="77777777" w:rsidR="00945499" w:rsidRPr="00451E12" w:rsidRDefault="00945499">
      <w:pPr>
        <w:jc w:val="left"/>
        <w:rPr>
          <w:rFonts w:eastAsia="Times New Roman"/>
          <w:lang w:val="nl-NL"/>
        </w:rPr>
      </w:pPr>
      <w:r w:rsidRPr="00451E12">
        <w:rPr>
          <w:rFonts w:eastAsia="Times New Roman"/>
          <w:lang w:val="nl-NL"/>
        </w:rPr>
        <w:br w:type="page"/>
      </w:r>
    </w:p>
    <w:p w14:paraId="1B5164AB" w14:textId="01AEFAB5"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4.</w:t>
      </w:r>
      <w:r w:rsidRPr="00451E12">
        <w:rPr>
          <w:rFonts w:eastAsia="Times New Roman"/>
          <w:lang w:val="nl-NL"/>
        </w:rPr>
        <w:tab/>
      </w:r>
      <w:r w:rsidR="001222F7" w:rsidRPr="00451E12">
        <w:rPr>
          <w:rFonts w:eastAsia="Times New Roman"/>
          <w:lang w:val="nl-NL"/>
        </w:rPr>
        <w:t>a</w:t>
      </w:r>
      <w:r w:rsidRPr="00451E12">
        <w:rPr>
          <w:rFonts w:eastAsia="Times New Roman"/>
          <w:lang w:val="nl-NL"/>
        </w:rPr>
        <w:t>rtikel 7, lid 2, wordt als volgt gewijzigd:</w:t>
      </w:r>
    </w:p>
    <w:p w14:paraId="1C8FB6E2"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(a)</w:t>
      </w:r>
      <w:r w:rsidRPr="00451E12">
        <w:rPr>
          <w:rFonts w:eastAsia="Times New Roman"/>
          <w:lang w:val="nl-NL"/>
        </w:rPr>
        <w:tab/>
        <w:t>in de inleiding wordt de eerste zin vervangen door:</w:t>
      </w:r>
    </w:p>
    <w:p w14:paraId="5067CFDF" w14:textId="4B64DEEB" w:rsidR="00BE0CE7" w:rsidRPr="00451E12" w:rsidRDefault="00BE0CE7" w:rsidP="00BE0CE7">
      <w:pPr>
        <w:widowControl w:val="0"/>
        <w:spacing w:before="120" w:after="120" w:line="360" w:lineRule="auto"/>
        <w:ind w:left="1416"/>
        <w:jc w:val="left"/>
        <w:rPr>
          <w:rFonts w:eastAsia="Times New Roman"/>
          <w:lang w:val="nl-NL"/>
        </w:rPr>
      </w:pPr>
      <w:r w:rsidRPr="00451E12">
        <w:rPr>
          <w:rFonts w:eastAsia="Times New Roman"/>
          <w:lang w:val="nl-NL"/>
        </w:rPr>
        <w:t>“De lidstaten zorgen ervoor dat de ADR-entiteiten op hun website, op een duurzame gegevensdrager indien daarom wordt verzocht, en op elke andere wijze die zij geschikt achten, tweejaarlijkse activiteitenverslagen voor het publiek toegankelijk maken.”</w:t>
      </w:r>
      <w:r w:rsidR="00451E12" w:rsidRPr="00451E12">
        <w:rPr>
          <w:rFonts w:eastAsia="Times New Roman"/>
          <w:lang w:val="nl-NL"/>
        </w:rPr>
        <w:t>.</w:t>
      </w:r>
    </w:p>
    <w:p w14:paraId="399E7AB3" w14:textId="7A6F2FC7"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strike/>
          <w:lang w:val="nl-NL"/>
        </w:rPr>
        <w:t>(b)</w:t>
      </w:r>
      <w:r w:rsidRPr="00451E12">
        <w:rPr>
          <w:rFonts w:eastAsia="Times New Roman"/>
          <w:lang w:val="nl-NL"/>
        </w:rPr>
        <w:tab/>
      </w:r>
      <w:r w:rsidRPr="00451E12">
        <w:rPr>
          <w:rFonts w:eastAsia="Times New Roman"/>
          <w:strike/>
          <w:lang w:val="nl-NL"/>
        </w:rPr>
        <w:t>punt h) wordt geschrapt.</w:t>
      </w:r>
      <w:r w:rsidR="00C579A9" w:rsidRPr="00451E12">
        <w:rPr>
          <w:rFonts w:eastAsia="Times New Roman"/>
          <w:b/>
          <w:lang w:val="nl-NL"/>
        </w:rPr>
        <w:t xml:space="preserve"> [Am. 41]</w:t>
      </w:r>
    </w:p>
    <w:p w14:paraId="0FD5F2F5" w14:textId="6AADE4C4"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t>4 bis.</w:t>
      </w:r>
      <w:r w:rsidRPr="00451E12">
        <w:rPr>
          <w:rFonts w:eastAsia="Times New Roman"/>
          <w:b/>
          <w:i/>
          <w:lang w:val="nl-NL"/>
        </w:rPr>
        <w:tab/>
      </w:r>
      <w:proofErr w:type="gramStart"/>
      <w:r w:rsidR="001222F7" w:rsidRPr="00451E12">
        <w:rPr>
          <w:rFonts w:eastAsia="Times New Roman"/>
          <w:b/>
          <w:i/>
          <w:lang w:val="nl-NL"/>
        </w:rPr>
        <w:t>a</w:t>
      </w:r>
      <w:r w:rsidRPr="00451E12">
        <w:rPr>
          <w:rFonts w:eastAsia="Times New Roman"/>
          <w:b/>
          <w:i/>
          <w:lang w:val="nl-NL"/>
        </w:rPr>
        <w:t>rtikel</w:t>
      </w:r>
      <w:proofErr w:type="gramEnd"/>
      <w:r w:rsidRPr="00451E12">
        <w:rPr>
          <w:rFonts w:eastAsia="Times New Roman"/>
          <w:b/>
          <w:i/>
          <w:lang w:val="nl-NL"/>
        </w:rPr>
        <w:t xml:space="preserve"> 8 wordt als volgt gewijzigd:</w:t>
      </w:r>
    </w:p>
    <w:p w14:paraId="1DD650E3"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a)</w:t>
      </w:r>
      <w:r w:rsidRPr="00451E12">
        <w:rPr>
          <w:rFonts w:eastAsia="Times New Roman"/>
          <w:lang w:val="nl-NL"/>
        </w:rPr>
        <w:tab/>
      </w:r>
      <w:r w:rsidRPr="00451E12">
        <w:rPr>
          <w:rFonts w:eastAsia="Times New Roman"/>
          <w:b/>
          <w:i/>
          <w:lang w:val="nl-NL"/>
        </w:rPr>
        <w:t>punt c) wordt vervangen door:</w:t>
      </w:r>
    </w:p>
    <w:p w14:paraId="41E9CA90" w14:textId="4E7AB8F8"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b/>
          <w:i/>
          <w:lang w:val="nl-NL"/>
        </w:rPr>
        <w:t>“</w:t>
      </w:r>
      <w:proofErr w:type="gramStart"/>
      <w:r w:rsidRPr="00451E12">
        <w:rPr>
          <w:rFonts w:eastAsia="Times New Roman"/>
          <w:b/>
          <w:i/>
          <w:lang w:val="nl-NL"/>
        </w:rPr>
        <w:t>c</w:t>
      </w:r>
      <w:proofErr w:type="gramEnd"/>
      <w:r w:rsidR="00114AF3" w:rsidRPr="00451E12">
        <w:rPr>
          <w:rFonts w:eastAsia="Times New Roman"/>
          <w:b/>
          <w:i/>
          <w:lang w:val="nl-NL"/>
        </w:rPr>
        <w:t>)</w:t>
      </w:r>
      <w:r w:rsidR="00114AF3" w:rsidRPr="00451E12">
        <w:rPr>
          <w:rFonts w:eastAsia="Times New Roman"/>
          <w:b/>
          <w:i/>
          <w:lang w:val="nl-NL"/>
        </w:rPr>
        <w:tab/>
      </w:r>
      <w:r w:rsidRPr="00451E12">
        <w:rPr>
          <w:rFonts w:eastAsia="Times New Roman"/>
          <w:b/>
          <w:i/>
          <w:lang w:val="nl-NL"/>
        </w:rPr>
        <w:t>de ADR-procedure is voor consumenten kosteloos of tegen een geringe vergoeding beschikbaar en, ingeval consumenten om een geringe vergoeding wordt gevraagd, wordt deze vergoeding terugbetaald door de nationale autoriteiten wanneer het geschil is beslecht;”;</w:t>
      </w:r>
    </w:p>
    <w:p w14:paraId="410CD5B2"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b)</w:t>
      </w:r>
      <w:r w:rsidRPr="00451E12">
        <w:rPr>
          <w:rFonts w:eastAsia="Times New Roman"/>
          <w:lang w:val="nl-NL"/>
        </w:rPr>
        <w:tab/>
      </w:r>
      <w:r w:rsidRPr="00451E12">
        <w:rPr>
          <w:rFonts w:eastAsia="Times New Roman"/>
          <w:b/>
          <w:i/>
          <w:lang w:val="nl-NL"/>
        </w:rPr>
        <w:t>het volgende punt wordt ingevoegd:</w:t>
      </w:r>
    </w:p>
    <w:p w14:paraId="246EF046" w14:textId="2D4F5105" w:rsidR="00BE0CE7" w:rsidRPr="00451E12" w:rsidRDefault="00A40495" w:rsidP="00BE0CE7">
      <w:pPr>
        <w:widowControl w:val="0"/>
        <w:spacing w:before="120" w:after="120" w:line="360" w:lineRule="auto"/>
        <w:ind w:left="1982" w:hanging="566"/>
        <w:jc w:val="left"/>
        <w:rPr>
          <w:rFonts w:eastAsia="Times New Roman"/>
          <w:b/>
          <w:lang w:val="nl-NL"/>
        </w:rPr>
      </w:pPr>
      <w:r w:rsidRPr="00451E12">
        <w:rPr>
          <w:rFonts w:eastAsia="Times New Roman"/>
          <w:b/>
          <w:i/>
          <w:lang w:val="nl-NL"/>
        </w:rPr>
        <w:t>“</w:t>
      </w:r>
      <w:proofErr w:type="gramStart"/>
      <w:r w:rsidRPr="00451E12">
        <w:rPr>
          <w:rFonts w:eastAsia="Times New Roman"/>
          <w:b/>
          <w:i/>
          <w:lang w:val="nl-NL"/>
        </w:rPr>
        <w:t>d</w:t>
      </w:r>
      <w:proofErr w:type="gramEnd"/>
      <w:r w:rsidRPr="00451E12">
        <w:rPr>
          <w:rFonts w:eastAsia="Times New Roman"/>
          <w:b/>
          <w:i/>
          <w:lang w:val="nl-NL"/>
        </w:rPr>
        <w:t xml:space="preserve"> bis)</w:t>
      </w:r>
      <w:r w:rsidRPr="00451E12">
        <w:rPr>
          <w:rFonts w:eastAsia="Times New Roman"/>
          <w:b/>
          <w:i/>
          <w:lang w:val="nl-NL"/>
        </w:rPr>
        <w:tab/>
      </w:r>
      <w:r w:rsidR="00BE0CE7" w:rsidRPr="00451E12">
        <w:rPr>
          <w:rFonts w:eastAsia="Times New Roman"/>
          <w:b/>
          <w:i/>
          <w:lang w:val="nl-NL"/>
        </w:rPr>
        <w:t>op verzoek van de consument hebben de partijen toegang tot de procedure waarbij de mogelijkheid bestaat een fysieke bijeenkomst te houden;”</w:t>
      </w:r>
      <w:r w:rsidRPr="00451E12">
        <w:rPr>
          <w:rFonts w:eastAsia="Times New Roman"/>
          <w:b/>
          <w:i/>
          <w:lang w:val="nl-NL"/>
        </w:rPr>
        <w:t>.</w:t>
      </w:r>
      <w:r w:rsidR="00C579A9" w:rsidRPr="00451E12">
        <w:rPr>
          <w:rFonts w:eastAsia="Times New Roman"/>
          <w:b/>
          <w:lang w:val="nl-NL"/>
        </w:rPr>
        <w:t xml:space="preserve"> [Am. 42]</w:t>
      </w:r>
    </w:p>
    <w:p w14:paraId="148136D0" w14:textId="77777777" w:rsidR="00945499" w:rsidRPr="00451E12" w:rsidRDefault="00945499">
      <w:pPr>
        <w:jc w:val="left"/>
        <w:rPr>
          <w:rFonts w:eastAsia="Times New Roman"/>
          <w:b/>
          <w:i/>
          <w:lang w:val="nl-NL"/>
        </w:rPr>
      </w:pPr>
      <w:r w:rsidRPr="00451E12">
        <w:rPr>
          <w:rFonts w:eastAsia="Times New Roman"/>
          <w:b/>
          <w:i/>
          <w:lang w:val="nl-NL"/>
        </w:rPr>
        <w:br w:type="page"/>
      </w:r>
    </w:p>
    <w:p w14:paraId="4F046267" w14:textId="02ADB783"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4 ter.</w:t>
      </w:r>
      <w:r w:rsidRPr="00451E12">
        <w:rPr>
          <w:rFonts w:eastAsia="Times New Roman"/>
          <w:b/>
          <w:i/>
          <w:lang w:val="nl-NL"/>
        </w:rPr>
        <w:tab/>
      </w:r>
      <w:proofErr w:type="gramStart"/>
      <w:r w:rsidR="001222F7" w:rsidRPr="00451E12">
        <w:rPr>
          <w:rFonts w:eastAsia="Times New Roman"/>
          <w:b/>
          <w:i/>
          <w:lang w:val="nl-NL"/>
        </w:rPr>
        <w:t>h</w:t>
      </w:r>
      <w:r w:rsidRPr="00451E12">
        <w:rPr>
          <w:rFonts w:eastAsia="Times New Roman"/>
          <w:b/>
          <w:i/>
          <w:lang w:val="nl-NL"/>
        </w:rPr>
        <w:t>et</w:t>
      </w:r>
      <w:proofErr w:type="gramEnd"/>
      <w:r w:rsidRPr="00451E12">
        <w:rPr>
          <w:rFonts w:eastAsia="Times New Roman"/>
          <w:b/>
          <w:i/>
          <w:lang w:val="nl-NL"/>
        </w:rPr>
        <w:t xml:space="preserve"> volgende artikel wordt ingevoegd:</w:t>
      </w:r>
    </w:p>
    <w:p w14:paraId="763FF35D" w14:textId="0C55561C"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b/>
          <w:i/>
          <w:lang w:val="nl-NL"/>
        </w:rPr>
        <w:t>“Artikel 11 bis</w:t>
      </w:r>
    </w:p>
    <w:p w14:paraId="0E6830D9" w14:textId="70697FB5" w:rsidR="00BE0CE7" w:rsidRPr="00451E12" w:rsidRDefault="00BE0CE7" w:rsidP="00BE0CE7">
      <w:pPr>
        <w:widowControl w:val="0"/>
        <w:spacing w:before="120" w:after="120" w:line="360" w:lineRule="auto"/>
        <w:ind w:left="850"/>
        <w:jc w:val="left"/>
        <w:rPr>
          <w:rFonts w:eastAsia="Times New Roman"/>
          <w:b/>
          <w:lang w:val="nl-NL"/>
        </w:rPr>
      </w:pPr>
      <w:r w:rsidRPr="00451E12">
        <w:rPr>
          <w:rFonts w:eastAsia="Times New Roman"/>
          <w:b/>
          <w:i/>
          <w:lang w:val="nl-NL"/>
        </w:rPr>
        <w:t>De lidstaten zorgen ervoor dat ondernemers, wanneer zij niet aan de uitkomst van een ADR-procedure voldoen, ongeacht of de uitkomst van die procedure bindend is, verplicht zijn de andere partijen bij de ADR-procedure een schriftelijke toelichting te verstrekken.”.</w:t>
      </w:r>
      <w:r w:rsidR="00C579A9" w:rsidRPr="00451E12">
        <w:rPr>
          <w:rFonts w:eastAsia="Times New Roman"/>
          <w:b/>
          <w:lang w:val="nl-NL"/>
        </w:rPr>
        <w:t xml:space="preserve"> [Am. 43]</w:t>
      </w:r>
    </w:p>
    <w:p w14:paraId="4E26A443" w14:textId="23178E71"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5.</w:t>
      </w:r>
      <w:r w:rsidRPr="00451E12">
        <w:rPr>
          <w:rFonts w:eastAsia="Times New Roman"/>
          <w:lang w:val="nl-NL"/>
        </w:rPr>
        <w:tab/>
      </w:r>
      <w:r w:rsidR="001222F7" w:rsidRPr="00451E12">
        <w:rPr>
          <w:rFonts w:eastAsia="Times New Roman"/>
          <w:lang w:val="nl-NL"/>
        </w:rPr>
        <w:t>i</w:t>
      </w:r>
      <w:r w:rsidRPr="00451E12">
        <w:rPr>
          <w:rFonts w:eastAsia="Times New Roman"/>
          <w:lang w:val="nl-NL"/>
        </w:rPr>
        <w:t xml:space="preserve">n artikel 13 wordt lid </w:t>
      </w:r>
      <w:r w:rsidRPr="00451E12">
        <w:rPr>
          <w:rFonts w:eastAsia="Times New Roman"/>
          <w:strike/>
          <w:lang w:val="nl-NL"/>
        </w:rPr>
        <w:t>3 geschrapt.</w:t>
      </w:r>
      <w:r w:rsidRPr="00451E12">
        <w:rPr>
          <w:rFonts w:eastAsia="Times New Roman"/>
          <w:b/>
          <w:i/>
          <w:lang w:val="nl-NL"/>
        </w:rPr>
        <w:t>2 vervangen door:</w:t>
      </w:r>
    </w:p>
    <w:p w14:paraId="3B78775B" w14:textId="684207B2" w:rsidR="00BE0CE7" w:rsidRPr="00451E12" w:rsidRDefault="00A40495"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“2.</w:t>
      </w:r>
      <w:r w:rsidRPr="00451E12">
        <w:rPr>
          <w:rFonts w:eastAsia="Times New Roman"/>
          <w:b/>
          <w:i/>
          <w:lang w:val="nl-NL"/>
        </w:rPr>
        <w:tab/>
      </w:r>
      <w:r w:rsidR="00BE0CE7" w:rsidRPr="00451E12">
        <w:rPr>
          <w:rFonts w:eastAsia="Times New Roman"/>
          <w:b/>
          <w:i/>
          <w:lang w:val="nl-NL"/>
        </w:rPr>
        <w:t>De in lid 1 bedoelde informatie wordt verstrekt:</w:t>
      </w:r>
    </w:p>
    <w:p w14:paraId="1787AFCF"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b/>
          <w:i/>
          <w:lang w:val="nl-NL"/>
        </w:rPr>
        <w:t>a)</w:t>
      </w:r>
      <w:r w:rsidRPr="00451E12">
        <w:rPr>
          <w:rFonts w:eastAsia="Times New Roman"/>
          <w:lang w:val="nl-NL"/>
        </w:rPr>
        <w:tab/>
      </w:r>
      <w:r w:rsidRPr="00451E12">
        <w:rPr>
          <w:rFonts w:eastAsia="Times New Roman"/>
          <w:b/>
          <w:i/>
          <w:lang w:val="nl-NL"/>
        </w:rPr>
        <w:t>op duidelijke, prominente, begrijpelijke en gemakkelijk toegankelijke wijze op de website van de ondernemers, indien voorhanden;</w:t>
      </w:r>
    </w:p>
    <w:p w14:paraId="4B705231"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b/>
          <w:i/>
          <w:lang w:val="nl-NL"/>
        </w:rPr>
        <w:t>b)</w:t>
      </w:r>
      <w:r w:rsidRPr="00451E12">
        <w:rPr>
          <w:rFonts w:eastAsia="Times New Roman"/>
          <w:lang w:val="nl-NL"/>
        </w:rPr>
        <w:tab/>
      </w:r>
      <w:r w:rsidRPr="00451E12">
        <w:rPr>
          <w:rFonts w:eastAsia="Times New Roman"/>
          <w:b/>
          <w:i/>
          <w:lang w:val="nl-NL"/>
        </w:rPr>
        <w:t>in de algemene voorwaarden van tussen de ondernemer en een consument gesloten verkoop- of dienstenovereenkomsten; en</w:t>
      </w:r>
    </w:p>
    <w:p w14:paraId="2F0E1245"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b/>
          <w:i/>
          <w:lang w:val="nl-NL"/>
        </w:rPr>
        <w:t>c)</w:t>
      </w:r>
      <w:r w:rsidRPr="00451E12">
        <w:rPr>
          <w:rFonts w:eastAsia="Times New Roman"/>
          <w:lang w:val="nl-NL"/>
        </w:rPr>
        <w:tab/>
      </w:r>
      <w:r w:rsidRPr="00451E12">
        <w:rPr>
          <w:rFonts w:eastAsia="Times New Roman"/>
          <w:b/>
          <w:i/>
          <w:lang w:val="nl-NL"/>
        </w:rPr>
        <w:t>op de door de ondernemer verstuurde facturen.</w:t>
      </w:r>
    </w:p>
    <w:p w14:paraId="49DFAD31" w14:textId="203A4DAC" w:rsidR="00BE0CE7" w:rsidRPr="00451E12" w:rsidRDefault="00A40495"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2 bis.</w:t>
      </w:r>
      <w:r w:rsidRPr="00451E12">
        <w:rPr>
          <w:rFonts w:eastAsia="Times New Roman"/>
          <w:b/>
          <w:i/>
          <w:lang w:val="nl-NL"/>
        </w:rPr>
        <w:tab/>
      </w:r>
      <w:r w:rsidR="00BE0CE7" w:rsidRPr="00451E12">
        <w:rPr>
          <w:rFonts w:eastAsia="Times New Roman"/>
          <w:b/>
          <w:i/>
          <w:lang w:val="nl-NL"/>
        </w:rPr>
        <w:t>Ondernemers stellen een e-mailadres beschikbaar om consumenten in staat te stellen contact met hen op te nemen, ook louter voor ADR-procedures.”.</w:t>
      </w:r>
      <w:r w:rsidR="00C579A9" w:rsidRPr="00451E12">
        <w:rPr>
          <w:rFonts w:eastAsia="Times New Roman"/>
          <w:b/>
          <w:lang w:val="nl-NL"/>
        </w:rPr>
        <w:t xml:space="preserve"> [Am. 44]</w:t>
      </w:r>
    </w:p>
    <w:p w14:paraId="4604F352" w14:textId="77777777" w:rsidR="00945499" w:rsidRPr="00451E12" w:rsidRDefault="00945499">
      <w:pPr>
        <w:jc w:val="left"/>
        <w:rPr>
          <w:rFonts w:eastAsia="Times New Roman"/>
          <w:lang w:val="nl-NL"/>
        </w:rPr>
      </w:pPr>
      <w:r w:rsidRPr="00451E12">
        <w:rPr>
          <w:rFonts w:eastAsia="Times New Roman"/>
          <w:lang w:val="nl-NL"/>
        </w:rPr>
        <w:br w:type="page"/>
      </w:r>
    </w:p>
    <w:p w14:paraId="25041F9F" w14:textId="420E1922"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6.</w:t>
      </w:r>
      <w:r w:rsidRPr="00451E12">
        <w:rPr>
          <w:rFonts w:eastAsia="Times New Roman"/>
          <w:lang w:val="nl-NL"/>
        </w:rPr>
        <w:tab/>
      </w:r>
      <w:r w:rsidR="001222F7" w:rsidRPr="00451E12">
        <w:rPr>
          <w:rFonts w:eastAsia="Times New Roman"/>
          <w:lang w:val="nl-NL"/>
        </w:rPr>
        <w:t>a</w:t>
      </w:r>
      <w:r w:rsidRPr="00451E12">
        <w:rPr>
          <w:rFonts w:eastAsia="Times New Roman"/>
          <w:lang w:val="nl-NL"/>
        </w:rPr>
        <w:t>rtikel 14 wordt vervangen door:</w:t>
      </w:r>
    </w:p>
    <w:p w14:paraId="2A3DE30A" w14:textId="77777777"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lang w:val="nl-NL"/>
        </w:rPr>
        <w:t>“Artikel 14</w:t>
      </w:r>
    </w:p>
    <w:p w14:paraId="233BCD07" w14:textId="77777777"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lang w:val="nl-NL"/>
        </w:rPr>
        <w:t>Bijstand aan consumenten</w:t>
      </w:r>
    </w:p>
    <w:p w14:paraId="48354994"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1.</w:t>
      </w:r>
      <w:r w:rsidRPr="00451E12">
        <w:rPr>
          <w:rFonts w:eastAsia="Times New Roman"/>
          <w:lang w:val="nl-NL"/>
        </w:rPr>
        <w:tab/>
        <w:t>De lidstaten zorgen ervoor dat consumenten en ondernemers met betrekking tot grensoverschrijdende geschillen geholpen kunnen worden om toegang te verkrijgen tot de ADR-entiteit of -entiteiten die bevoegd is of zijn ter zake van hun grensoverschrijdend geschil.</w:t>
      </w:r>
    </w:p>
    <w:p w14:paraId="3F5489E8" w14:textId="26595074"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1 bis.</w:t>
      </w:r>
      <w:r w:rsidRPr="00451E12">
        <w:rPr>
          <w:rFonts w:eastAsia="Times New Roman"/>
          <w:b/>
          <w:i/>
          <w:lang w:val="nl-NL"/>
        </w:rPr>
        <w:tab/>
        <w:t>De lidstaten zien erop toe dat consumenten grensoverschrijdende ADR-procedures kunnen uitvoeren in een officiële taal van de lidstaat waar zij woonachtig zijn.</w:t>
      </w:r>
      <w:r w:rsidR="00C579A9" w:rsidRPr="00451E12">
        <w:rPr>
          <w:rFonts w:eastAsia="Times New Roman"/>
          <w:b/>
          <w:lang w:val="nl-NL"/>
        </w:rPr>
        <w:t xml:space="preserve"> [Am. 45]</w:t>
      </w:r>
    </w:p>
    <w:p w14:paraId="293B6CA3" w14:textId="6D869859"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lang w:val="nl-NL"/>
        </w:rPr>
        <w:t>2.</w:t>
      </w:r>
      <w:r w:rsidRPr="00451E12">
        <w:rPr>
          <w:rFonts w:eastAsia="Times New Roman"/>
          <w:lang w:val="nl-NL"/>
        </w:rPr>
        <w:tab/>
        <w:t>Elke lidstaat wijst een ADR-contactpunt aan dat verantwoordelijk is voor de in lid 1 bedoelde taak. Elke lidstaat deelt de naam en contactgegevens van zijn ADR-contactpunt mee aan de Commissie. De lidstaten dragen de verantwoordelijkheid voor de ADR-contactpunten over aan hun centrum dat bij het netwerk van Europese consumentencentra is aangesloten of</w:t>
      </w:r>
      <w:r w:rsidRPr="00451E12">
        <w:rPr>
          <w:rFonts w:eastAsia="Times New Roman"/>
          <w:strike/>
          <w:lang w:val="nl-NL"/>
        </w:rPr>
        <w:t>, indien dit niet mogelijk is,</w:t>
      </w:r>
      <w:r w:rsidRPr="00451E12">
        <w:rPr>
          <w:rFonts w:eastAsia="Times New Roman"/>
          <w:lang w:val="nl-NL"/>
        </w:rPr>
        <w:t xml:space="preserve"> aan een consumentenvereniging of een andere instantie die zich met consumentenbescherming bezighoudt</w:t>
      </w:r>
      <w:r w:rsidRPr="00451E12">
        <w:rPr>
          <w:rFonts w:eastAsia="Times New Roman"/>
          <w:b/>
          <w:i/>
          <w:lang w:val="nl-NL"/>
        </w:rPr>
        <w:t>, en zien erop toe dat deze over voldoende budgettaire en personele middelen beschikken</w:t>
      </w:r>
      <w:r w:rsidRPr="00451E12">
        <w:rPr>
          <w:rFonts w:eastAsia="Times New Roman"/>
          <w:lang w:val="nl-NL"/>
        </w:rPr>
        <w:t>.</w:t>
      </w:r>
      <w:r w:rsidR="00C579A9" w:rsidRPr="00451E12">
        <w:rPr>
          <w:rFonts w:eastAsia="Times New Roman"/>
          <w:b/>
          <w:lang w:val="nl-NL"/>
        </w:rPr>
        <w:t xml:space="preserve"> [Am. 46]</w:t>
      </w:r>
    </w:p>
    <w:p w14:paraId="1DD667BF" w14:textId="77777777" w:rsidR="00945499" w:rsidRPr="00451E12" w:rsidRDefault="00945499" w:rsidP="00A40495">
      <w:pPr>
        <w:ind w:left="1418" w:hanging="567"/>
        <w:jc w:val="left"/>
        <w:rPr>
          <w:rFonts w:eastAsia="Times New Roman"/>
          <w:b/>
          <w:i/>
          <w:lang w:val="nl-NL"/>
        </w:rPr>
      </w:pPr>
      <w:r w:rsidRPr="00451E12">
        <w:rPr>
          <w:rFonts w:eastAsia="Times New Roman"/>
          <w:b/>
          <w:i/>
          <w:lang w:val="nl-NL"/>
        </w:rPr>
        <w:br w:type="page"/>
      </w:r>
    </w:p>
    <w:p w14:paraId="67C37D82" w14:textId="0FB78CCE"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lastRenderedPageBreak/>
        <w:t>2 bis.</w:t>
      </w:r>
      <w:r w:rsidRPr="00451E12">
        <w:rPr>
          <w:rFonts w:eastAsia="Times New Roman"/>
          <w:b/>
          <w:i/>
          <w:lang w:val="nl-NL"/>
        </w:rPr>
        <w:tab/>
        <w:t>Consumenten en ondernemers die betrokken zijn bij grensoverschrijdende geschillen maken gebruik van het ADR-contactpunt dat is aangewezen op basis van de woonplaats van de consument en van de ADR-entiteit van de lidstaat waar hij of zij woonachtig is.</w:t>
      </w:r>
      <w:r w:rsidR="00C579A9" w:rsidRPr="00451E12">
        <w:rPr>
          <w:rFonts w:eastAsia="Times New Roman"/>
          <w:b/>
          <w:lang w:val="nl-NL"/>
        </w:rPr>
        <w:t xml:space="preserve"> [Am. 47]</w:t>
      </w:r>
    </w:p>
    <w:p w14:paraId="51B2CB54"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3.</w:t>
      </w:r>
      <w:r w:rsidRPr="00451E12">
        <w:rPr>
          <w:rFonts w:eastAsia="Times New Roman"/>
          <w:lang w:val="nl-NL"/>
        </w:rPr>
        <w:tab/>
        <w:t>De ADR-contactpunten vergemakkelijken de communicatie tussen partijen en de bevoegde ADR-entiteit, hetgeen met name kan omvatten:</w:t>
      </w:r>
    </w:p>
    <w:p w14:paraId="532F2CF5"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(a)</w:t>
      </w:r>
      <w:r w:rsidRPr="00451E12">
        <w:rPr>
          <w:rFonts w:eastAsia="Times New Roman"/>
          <w:lang w:val="nl-NL"/>
        </w:rPr>
        <w:tab/>
        <w:t>het verlenen van bijstand bij het indienen van de klacht en in voorkomend geval van ter zake dienende documenten;</w:t>
      </w:r>
    </w:p>
    <w:p w14:paraId="53DC8BDE" w14:textId="611669B0" w:rsidR="00BE0CE7" w:rsidRPr="00451E12" w:rsidRDefault="00BE0CE7" w:rsidP="00BE0CE7">
      <w:pPr>
        <w:widowControl w:val="0"/>
        <w:spacing w:before="120" w:after="120" w:line="360" w:lineRule="auto"/>
        <w:ind w:left="1982" w:hanging="566"/>
        <w:jc w:val="left"/>
        <w:rPr>
          <w:rFonts w:eastAsia="Times New Roman"/>
          <w:b/>
          <w:lang w:val="nl-NL"/>
        </w:rPr>
      </w:pPr>
      <w:proofErr w:type="gramStart"/>
      <w:r w:rsidRPr="00451E12">
        <w:rPr>
          <w:rFonts w:eastAsia="Times New Roman"/>
          <w:b/>
          <w:i/>
          <w:lang w:val="nl-NL"/>
        </w:rPr>
        <w:t>a</w:t>
      </w:r>
      <w:proofErr w:type="gramEnd"/>
      <w:r w:rsidRPr="00451E12">
        <w:rPr>
          <w:rFonts w:eastAsia="Times New Roman"/>
          <w:b/>
          <w:i/>
          <w:lang w:val="nl-NL"/>
        </w:rPr>
        <w:t xml:space="preserve"> bis)</w:t>
      </w:r>
      <w:r w:rsidRPr="00451E12">
        <w:rPr>
          <w:rFonts w:eastAsia="Times New Roman"/>
          <w:b/>
          <w:i/>
          <w:lang w:val="nl-NL"/>
        </w:rPr>
        <w:tab/>
        <w:t>het verlenen van bijstand aan de partijen en ADR-entiteiten, in voorkomend geval, bij het vertalen van informatie, documenten en procedurevoorschriften;</w:t>
      </w:r>
      <w:r w:rsidR="00C579A9" w:rsidRPr="00451E12">
        <w:rPr>
          <w:rFonts w:eastAsia="Times New Roman"/>
          <w:b/>
          <w:lang w:val="nl-NL"/>
        </w:rPr>
        <w:t xml:space="preserve"> [Am. 48]</w:t>
      </w:r>
    </w:p>
    <w:p w14:paraId="4EEEADD2"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(b)</w:t>
      </w:r>
      <w:r w:rsidRPr="00451E12">
        <w:rPr>
          <w:rFonts w:eastAsia="Times New Roman"/>
          <w:lang w:val="nl-NL"/>
        </w:rPr>
        <w:tab/>
        <w:t>het verstrekken van algemene informatie over consumentenrechten in de EU aan de partijen en ADR-entiteiten;</w:t>
      </w:r>
    </w:p>
    <w:p w14:paraId="358F39E4" w14:textId="2773E1C4" w:rsidR="00BE0CE7" w:rsidRPr="00451E12" w:rsidRDefault="00BE0CE7" w:rsidP="00BE0CE7">
      <w:pPr>
        <w:widowControl w:val="0"/>
        <w:spacing w:before="120" w:after="120" w:line="360" w:lineRule="auto"/>
        <w:ind w:left="1982" w:hanging="566"/>
        <w:jc w:val="left"/>
        <w:rPr>
          <w:rFonts w:eastAsia="Times New Roman"/>
          <w:b/>
          <w:lang w:val="nl-NL"/>
        </w:rPr>
      </w:pPr>
      <w:proofErr w:type="gramStart"/>
      <w:r w:rsidRPr="00451E12">
        <w:rPr>
          <w:rFonts w:eastAsia="Times New Roman"/>
          <w:b/>
          <w:i/>
          <w:lang w:val="nl-NL"/>
        </w:rPr>
        <w:t>b</w:t>
      </w:r>
      <w:proofErr w:type="gramEnd"/>
      <w:r w:rsidRPr="00451E12">
        <w:rPr>
          <w:rFonts w:eastAsia="Times New Roman"/>
          <w:b/>
          <w:i/>
          <w:lang w:val="nl-NL"/>
        </w:rPr>
        <w:t xml:space="preserve"> bis)</w:t>
      </w:r>
      <w:r w:rsidRPr="00451E12">
        <w:rPr>
          <w:rFonts w:eastAsia="Times New Roman"/>
          <w:b/>
          <w:i/>
          <w:lang w:val="nl-NL"/>
        </w:rPr>
        <w:tab/>
        <w:t>het verstrekken van ter zake doende informatie over het consumentenrecht van de lidstaat aan de partijen en ADR-entiteiten;</w:t>
      </w:r>
      <w:r w:rsidR="00C579A9" w:rsidRPr="00451E12">
        <w:rPr>
          <w:rFonts w:eastAsia="Times New Roman"/>
          <w:b/>
          <w:lang w:val="nl-NL"/>
        </w:rPr>
        <w:t xml:space="preserve"> [Am. 49]</w:t>
      </w:r>
    </w:p>
    <w:p w14:paraId="2FA12C36" w14:textId="77777777" w:rsidR="00945499" w:rsidRPr="00451E12" w:rsidRDefault="00945499">
      <w:pPr>
        <w:jc w:val="left"/>
        <w:rPr>
          <w:rFonts w:eastAsia="Times New Roman"/>
          <w:lang w:val="nl-NL"/>
        </w:rPr>
      </w:pPr>
      <w:r w:rsidRPr="00451E12">
        <w:rPr>
          <w:rFonts w:eastAsia="Times New Roman"/>
          <w:lang w:val="nl-NL"/>
        </w:rPr>
        <w:br w:type="page"/>
      </w:r>
    </w:p>
    <w:p w14:paraId="52ACA92F" w14:textId="4556D7CA"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lastRenderedPageBreak/>
        <w:t>(c)</w:t>
      </w:r>
      <w:r w:rsidRPr="00451E12">
        <w:rPr>
          <w:rFonts w:eastAsia="Times New Roman"/>
          <w:lang w:val="nl-NL"/>
        </w:rPr>
        <w:tab/>
        <w:t>het verstrekken van toelichtingen aan de partijen over de door de specifieke ADR-entiteiten toegepaste procedurevoorschriften;</w:t>
      </w:r>
    </w:p>
    <w:p w14:paraId="44E3433F" w14:textId="77777777"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(d)</w:t>
      </w:r>
      <w:r w:rsidRPr="00451E12">
        <w:rPr>
          <w:rFonts w:eastAsia="Times New Roman"/>
          <w:lang w:val="nl-NL"/>
        </w:rPr>
        <w:tab/>
        <w:t>het informeren van de indiener van de klacht omtrent andere verhaalmogelijkheden wanneer een geschil niet via een ADR-procedure kan worden beslecht.</w:t>
      </w:r>
    </w:p>
    <w:p w14:paraId="5D979330"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4.</w:t>
      </w:r>
      <w:r w:rsidRPr="00451E12">
        <w:rPr>
          <w:rFonts w:eastAsia="Times New Roman"/>
          <w:lang w:val="nl-NL"/>
        </w:rPr>
        <w:tab/>
        <w:t>De lidstaten kunnen ADR-contactpunten het recht verlenen om consumenten en ondernemers de in dit artikel bedoelde bijstand te verlenen bij toegang tot ADR-entiteiten, ook met betrekking tot binnenlandse geschillen.</w:t>
      </w:r>
    </w:p>
    <w:p w14:paraId="1AF68755" w14:textId="6CD8952D"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5.</w:t>
      </w:r>
      <w:r w:rsidRPr="00451E12">
        <w:rPr>
          <w:rFonts w:eastAsia="Times New Roman"/>
          <w:lang w:val="nl-NL"/>
        </w:rPr>
        <w:tab/>
        <w:t>De lidstaten zorgen ervoor dat alle actoren die consumenten bijstaan bij grensoverschrijdende of binnenlandse geschillen, te goeder trouw handelen om de partijen bij het geschil in staat te stellen een minnelijke schikking te treffen en in volledige transparantie relevante informatie aan consumenten verstrekken, waaronder informatie over procedurevoorschriften en eventuele toepasselijke vergoedingen.”</w:t>
      </w:r>
      <w:r w:rsidR="00A40495" w:rsidRPr="00451E12">
        <w:rPr>
          <w:rFonts w:eastAsia="Times New Roman"/>
          <w:lang w:val="nl-NL"/>
        </w:rPr>
        <w:t>.</w:t>
      </w:r>
    </w:p>
    <w:p w14:paraId="437EFF13" w14:textId="77777777" w:rsidR="00945499" w:rsidRPr="00451E12" w:rsidRDefault="00945499">
      <w:pPr>
        <w:jc w:val="left"/>
        <w:rPr>
          <w:rFonts w:eastAsia="Times New Roman"/>
          <w:b/>
          <w:i/>
          <w:lang w:val="nl-NL"/>
        </w:rPr>
      </w:pPr>
      <w:r w:rsidRPr="00451E12">
        <w:rPr>
          <w:rFonts w:eastAsia="Times New Roman"/>
          <w:b/>
          <w:i/>
          <w:lang w:val="nl-NL"/>
        </w:rPr>
        <w:br w:type="page"/>
      </w:r>
    </w:p>
    <w:p w14:paraId="7EB29B1F" w14:textId="1DD48DCC"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6 bis.</w:t>
      </w:r>
      <w:r w:rsidRPr="00451E12">
        <w:rPr>
          <w:rFonts w:eastAsia="Times New Roman"/>
          <w:b/>
          <w:i/>
          <w:lang w:val="nl-NL"/>
        </w:rPr>
        <w:tab/>
      </w:r>
      <w:proofErr w:type="gramStart"/>
      <w:r w:rsidR="00A40495" w:rsidRPr="00451E12">
        <w:rPr>
          <w:rFonts w:eastAsia="Times New Roman"/>
          <w:b/>
          <w:i/>
          <w:lang w:val="nl-NL"/>
        </w:rPr>
        <w:t>i</w:t>
      </w:r>
      <w:r w:rsidRPr="00451E12">
        <w:rPr>
          <w:rFonts w:eastAsia="Times New Roman"/>
          <w:b/>
          <w:i/>
          <w:lang w:val="nl-NL"/>
        </w:rPr>
        <w:t>n</w:t>
      </w:r>
      <w:proofErr w:type="gramEnd"/>
      <w:r w:rsidRPr="00451E12">
        <w:rPr>
          <w:rFonts w:eastAsia="Times New Roman"/>
          <w:b/>
          <w:i/>
          <w:lang w:val="nl-NL"/>
        </w:rPr>
        <w:t xml:space="preserve"> artikel 15 wordt lid 2 vervangen door:</w:t>
      </w:r>
    </w:p>
    <w:p w14:paraId="24F5ECE6" w14:textId="24EB2688" w:rsidR="00BE0CE7" w:rsidRPr="00451E12" w:rsidRDefault="00A40495"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“2.</w:t>
      </w:r>
      <w:r w:rsidRPr="00451E12">
        <w:rPr>
          <w:rFonts w:eastAsia="Times New Roman"/>
          <w:b/>
          <w:i/>
          <w:lang w:val="nl-NL"/>
        </w:rPr>
        <w:tab/>
      </w:r>
      <w:r w:rsidR="00BE0CE7" w:rsidRPr="00451E12">
        <w:rPr>
          <w:rFonts w:eastAsia="Times New Roman"/>
          <w:b/>
          <w:i/>
          <w:lang w:val="nl-NL"/>
        </w:rPr>
        <w:t>De lidstaten zien erop toe dat de betrokken consumenten- en bedrijfsorganisaties de in artikel 20, lid 4, bedoelde lijst van ADR-entiteiten op hun websites, in hun brochures en op elke andere wijze die zij passend achten voor het publiek toegankelijk maken.”</w:t>
      </w:r>
      <w:r w:rsidR="00E86638" w:rsidRPr="00451E12">
        <w:rPr>
          <w:rFonts w:eastAsia="Times New Roman"/>
          <w:b/>
          <w:i/>
          <w:lang w:val="nl-NL"/>
        </w:rPr>
        <w:t>.</w:t>
      </w:r>
      <w:r w:rsidR="00C579A9" w:rsidRPr="00451E12">
        <w:rPr>
          <w:rFonts w:eastAsia="Times New Roman"/>
          <w:b/>
          <w:lang w:val="nl-NL"/>
        </w:rPr>
        <w:t xml:space="preserve"> [Am. 50]</w:t>
      </w:r>
    </w:p>
    <w:p w14:paraId="098DF81E" w14:textId="4C738DC6"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t>6 ter.</w:t>
      </w:r>
      <w:r w:rsidRPr="00451E12">
        <w:rPr>
          <w:rFonts w:eastAsia="Times New Roman"/>
          <w:b/>
          <w:i/>
          <w:lang w:val="nl-NL"/>
        </w:rPr>
        <w:tab/>
      </w:r>
      <w:proofErr w:type="gramStart"/>
      <w:r w:rsidR="00E86638" w:rsidRPr="00451E12">
        <w:rPr>
          <w:rFonts w:eastAsia="Times New Roman"/>
          <w:b/>
          <w:i/>
          <w:lang w:val="nl-NL"/>
        </w:rPr>
        <w:t>i</w:t>
      </w:r>
      <w:r w:rsidRPr="00451E12">
        <w:rPr>
          <w:rFonts w:eastAsia="Times New Roman"/>
          <w:b/>
          <w:i/>
          <w:lang w:val="nl-NL"/>
        </w:rPr>
        <w:t>n</w:t>
      </w:r>
      <w:proofErr w:type="gramEnd"/>
      <w:r w:rsidRPr="00451E12">
        <w:rPr>
          <w:rFonts w:eastAsia="Times New Roman"/>
          <w:b/>
          <w:i/>
          <w:lang w:val="nl-NL"/>
        </w:rPr>
        <w:t xml:space="preserve"> artikel 17 wordt lid 2 vervangen door:</w:t>
      </w:r>
    </w:p>
    <w:p w14:paraId="26745218" w14:textId="3C50AEBE" w:rsidR="00BE0CE7" w:rsidRPr="00451E12" w:rsidRDefault="00E86638"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“2.</w:t>
      </w:r>
      <w:r w:rsidRPr="00451E12">
        <w:rPr>
          <w:rFonts w:eastAsia="Times New Roman"/>
          <w:b/>
          <w:i/>
          <w:lang w:val="nl-NL"/>
        </w:rPr>
        <w:tab/>
      </w:r>
      <w:r w:rsidR="00BE0CE7" w:rsidRPr="00451E12">
        <w:rPr>
          <w:rFonts w:eastAsia="Times New Roman"/>
          <w:b/>
          <w:i/>
          <w:lang w:val="nl-NL"/>
        </w:rPr>
        <w:t>Deze samenwerking omvat in het bijzonder de uitwisseling van gegevens over praktijken in specifieke bedrijfssectoren waarover er herhaaldelijk klachten van consumenten zijn binnengekomen. Daarnaast omvat deze samenwerking een verplichting voor ADR-entiteiten om consumenten door te verwijzen naar de in lid 1 bedoelde nationale autoriteiten wanneer zij oneerlijke handelspraktijken melden. Voorts omvat deze samenwerking in voorkomend geval een verplichting voor ADR-entiteiten om oneerlijke handelspraktijken en oneerlijke voorwaarden aan die nationale autoriteiten te melden wanneer zij daar kennis van krijgen. Zij omvat tevens de terbeschikkingstelling door die nationale instanties aan de ADR-entiteiten van technische evaluaties en informatie, wanneer die voor de afhandeling van individuele geschillen noodzakelijk zijn en zij reeds beschikbaar zijn.”</w:t>
      </w:r>
      <w:r w:rsidR="008E1E2A" w:rsidRPr="00451E12">
        <w:rPr>
          <w:rFonts w:eastAsia="Times New Roman"/>
          <w:b/>
          <w:i/>
          <w:lang w:val="nl-NL"/>
        </w:rPr>
        <w:t>.</w:t>
      </w:r>
      <w:r w:rsidR="00C579A9" w:rsidRPr="00451E12">
        <w:rPr>
          <w:rFonts w:eastAsia="Times New Roman"/>
          <w:b/>
          <w:lang w:val="nl-NL"/>
        </w:rPr>
        <w:t xml:space="preserve"> [Am. 51]</w:t>
      </w:r>
    </w:p>
    <w:p w14:paraId="4584743B" w14:textId="77777777" w:rsidR="00945499" w:rsidRPr="00451E12" w:rsidRDefault="00945499">
      <w:pPr>
        <w:jc w:val="left"/>
        <w:rPr>
          <w:rFonts w:eastAsia="Times New Roman"/>
          <w:b/>
          <w:i/>
          <w:lang w:val="nl-NL"/>
        </w:rPr>
      </w:pPr>
      <w:r w:rsidRPr="00451E12">
        <w:rPr>
          <w:rFonts w:eastAsia="Times New Roman"/>
          <w:b/>
          <w:i/>
          <w:lang w:val="nl-NL"/>
        </w:rPr>
        <w:br w:type="page"/>
      </w:r>
    </w:p>
    <w:p w14:paraId="577E293A" w14:textId="6912E288"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 xml:space="preserve">6 </w:t>
      </w:r>
      <w:proofErr w:type="spellStart"/>
      <w:r w:rsidRPr="00451E12">
        <w:rPr>
          <w:rFonts w:eastAsia="Times New Roman"/>
          <w:b/>
          <w:i/>
          <w:lang w:val="nl-NL"/>
        </w:rPr>
        <w:t>quater</w:t>
      </w:r>
      <w:proofErr w:type="spellEnd"/>
      <w:r w:rsidRPr="00451E12">
        <w:rPr>
          <w:rFonts w:eastAsia="Times New Roman"/>
          <w:b/>
          <w:i/>
          <w:lang w:val="nl-NL"/>
        </w:rPr>
        <w:t>.</w:t>
      </w:r>
      <w:r w:rsidRPr="00451E12">
        <w:rPr>
          <w:rFonts w:eastAsia="Times New Roman"/>
          <w:b/>
          <w:i/>
          <w:lang w:val="nl-NL"/>
        </w:rPr>
        <w:tab/>
      </w:r>
      <w:proofErr w:type="gramStart"/>
      <w:r w:rsidR="008E1E2A" w:rsidRPr="00451E12">
        <w:rPr>
          <w:rFonts w:eastAsia="Times New Roman"/>
          <w:b/>
          <w:i/>
          <w:lang w:val="nl-NL"/>
        </w:rPr>
        <w:t>a</w:t>
      </w:r>
      <w:r w:rsidRPr="00451E12">
        <w:rPr>
          <w:rFonts w:eastAsia="Times New Roman"/>
          <w:b/>
          <w:i/>
          <w:lang w:val="nl-NL"/>
        </w:rPr>
        <w:t>an</w:t>
      </w:r>
      <w:proofErr w:type="gramEnd"/>
      <w:r w:rsidRPr="00451E12">
        <w:rPr>
          <w:rFonts w:eastAsia="Times New Roman"/>
          <w:b/>
          <w:i/>
          <w:lang w:val="nl-NL"/>
        </w:rPr>
        <w:t xml:space="preserve"> artikel 17 wordt het volgende lid 5 toegevoegd:</w:t>
      </w:r>
    </w:p>
    <w:p w14:paraId="1E006CFD" w14:textId="77581099" w:rsidR="00BE0CE7" w:rsidRPr="00451E12" w:rsidRDefault="008E1E2A"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“5.</w:t>
      </w:r>
      <w:r w:rsidRPr="00451E12">
        <w:rPr>
          <w:rFonts w:eastAsia="Times New Roman"/>
          <w:b/>
          <w:i/>
          <w:lang w:val="nl-NL"/>
        </w:rPr>
        <w:tab/>
      </w:r>
      <w:r w:rsidR="00BE0CE7" w:rsidRPr="00451E12">
        <w:rPr>
          <w:rFonts w:eastAsia="Times New Roman"/>
          <w:b/>
          <w:i/>
          <w:lang w:val="nl-NL"/>
        </w:rPr>
        <w:t>Wanneer een oneerlijke handelspraktijk door een consument onder de aandacht van de ADR-entiteit wordt gebracht, is het vertrouwelijkheidsbeginsel niet van toepassing. Indien er geloofwaardige gronden zijn voor het vermoeden dat zich een dergelijke praktijk heeft voorgedaan, stelt de ADR-entiteit de nationale bevoegde autoriteit daarvan in kennis en houdt zij deze zo nodig van de uitkomst van het geschil op de hoogte.”</w:t>
      </w:r>
      <w:r w:rsidRPr="00451E12">
        <w:rPr>
          <w:rFonts w:eastAsia="Times New Roman"/>
          <w:b/>
          <w:i/>
          <w:lang w:val="nl-NL"/>
        </w:rPr>
        <w:t>.</w:t>
      </w:r>
      <w:r w:rsidR="00C579A9" w:rsidRPr="00451E12">
        <w:rPr>
          <w:rFonts w:eastAsia="Times New Roman"/>
          <w:b/>
          <w:lang w:val="nl-NL"/>
        </w:rPr>
        <w:t xml:space="preserve"> [Am. 52]</w:t>
      </w:r>
    </w:p>
    <w:p w14:paraId="1554AAEE" w14:textId="77777777" w:rsidR="00945499" w:rsidRPr="00451E12" w:rsidRDefault="00945499">
      <w:pPr>
        <w:jc w:val="left"/>
        <w:rPr>
          <w:rFonts w:eastAsia="Times New Roman"/>
          <w:b/>
          <w:i/>
          <w:lang w:val="nl-NL"/>
        </w:rPr>
      </w:pPr>
      <w:r w:rsidRPr="00451E12">
        <w:rPr>
          <w:rFonts w:eastAsia="Times New Roman"/>
          <w:b/>
          <w:i/>
          <w:lang w:val="nl-NL"/>
        </w:rPr>
        <w:br w:type="page"/>
      </w:r>
    </w:p>
    <w:p w14:paraId="1161F45D" w14:textId="74E957CB"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 xml:space="preserve">6 </w:t>
      </w:r>
      <w:proofErr w:type="spellStart"/>
      <w:r w:rsidRPr="00451E12">
        <w:rPr>
          <w:rFonts w:eastAsia="Times New Roman"/>
          <w:b/>
          <w:i/>
          <w:lang w:val="nl-NL"/>
        </w:rPr>
        <w:t>quinquies</w:t>
      </w:r>
      <w:proofErr w:type="spellEnd"/>
      <w:r w:rsidRPr="00451E12">
        <w:rPr>
          <w:rFonts w:eastAsia="Times New Roman"/>
          <w:b/>
          <w:i/>
          <w:lang w:val="nl-NL"/>
        </w:rPr>
        <w:t>.</w:t>
      </w:r>
      <w:r w:rsidRPr="00451E12">
        <w:rPr>
          <w:rFonts w:eastAsia="Times New Roman"/>
          <w:b/>
          <w:i/>
          <w:lang w:val="nl-NL"/>
        </w:rPr>
        <w:tab/>
      </w:r>
      <w:proofErr w:type="gramStart"/>
      <w:r w:rsidR="001222F7" w:rsidRPr="00451E12">
        <w:rPr>
          <w:rFonts w:eastAsia="Times New Roman"/>
          <w:b/>
          <w:i/>
          <w:lang w:val="nl-NL"/>
        </w:rPr>
        <w:t>i</w:t>
      </w:r>
      <w:r w:rsidRPr="00451E12">
        <w:rPr>
          <w:rFonts w:eastAsia="Times New Roman"/>
          <w:b/>
          <w:i/>
          <w:lang w:val="nl-NL"/>
        </w:rPr>
        <w:t>n</w:t>
      </w:r>
      <w:proofErr w:type="gramEnd"/>
      <w:r w:rsidRPr="00451E12">
        <w:rPr>
          <w:rFonts w:eastAsia="Times New Roman"/>
          <w:b/>
          <w:i/>
          <w:lang w:val="nl-NL"/>
        </w:rPr>
        <w:t xml:space="preserve"> artikel 18 wordt lid 1 vervangen door:</w:t>
      </w:r>
    </w:p>
    <w:p w14:paraId="75E84E14" w14:textId="66783AB7" w:rsidR="00BE0CE7" w:rsidRPr="00451E12" w:rsidRDefault="00BE0CE7" w:rsidP="00BE0CE7">
      <w:pPr>
        <w:widowControl w:val="0"/>
        <w:spacing w:before="120" w:after="120" w:line="360" w:lineRule="auto"/>
        <w:ind w:left="1416" w:hanging="566"/>
        <w:jc w:val="left"/>
        <w:rPr>
          <w:rFonts w:eastAsia="Times New Roman"/>
          <w:b/>
          <w:lang w:val="nl-NL"/>
        </w:rPr>
      </w:pPr>
      <w:r w:rsidRPr="00451E12">
        <w:rPr>
          <w:rFonts w:eastAsia="Times New Roman"/>
          <w:lang w:val="nl-NL"/>
        </w:rPr>
        <w:t>“</w:t>
      </w:r>
      <w:r w:rsidRPr="00451E12">
        <w:rPr>
          <w:rFonts w:eastAsia="Times New Roman"/>
          <w:b/>
          <w:i/>
          <w:lang w:val="nl-NL"/>
        </w:rPr>
        <w:t>1.</w:t>
      </w:r>
      <w:r w:rsidRPr="00451E12">
        <w:rPr>
          <w:rFonts w:eastAsia="Times New Roman"/>
          <w:lang w:val="nl-NL"/>
        </w:rPr>
        <w:tab/>
      </w:r>
      <w:r w:rsidRPr="00451E12">
        <w:rPr>
          <w:rFonts w:eastAsia="Times New Roman"/>
          <w:b/>
          <w:i/>
          <w:lang w:val="nl-NL"/>
        </w:rPr>
        <w:t>Elke lidstaat wijst een bevoegde autoriteit aan die belast is met de uitvoering van de in de artikelen 19 en 20 vermelde taken. De lidstaten zorgen ervoor dat hun bevoegde autoriteiten beschikken over de financiële en andere middelen, zoals afdoende bekwaam personeel, deskundigheid, procedures en andere regelingen die zij nodig hebben om hun taken naar behoren te kunnen vervullen. De natuurlijke personen die voor de bevoegde autoriteiten werken, moeten onpartijdig en onafhankelijk zijn van de ADR-entiteiten waarop zij toezicht uitoefenen. Elke lidstaat kan meerdere bevoegde autoriteiten aanwijzen. Als een lidstaat dat doet, bepaalt hij welke van de aangewezen bevoegde autoriteiten als enig contactpunt van de Commissie fungeert. Elke lidstaat deelt de Commissie mee welke bevoegde autoriteit of, in voorkomend geval, welke bevoegde autoriteiten, met inbegrip van het enig contactpunt, zij heeft aangewezen.”</w:t>
      </w:r>
      <w:r w:rsidR="001222F7" w:rsidRPr="00451E12">
        <w:rPr>
          <w:rFonts w:eastAsia="Times New Roman"/>
          <w:b/>
          <w:i/>
          <w:lang w:val="nl-NL"/>
        </w:rPr>
        <w:t>.</w:t>
      </w:r>
      <w:r w:rsidR="00C579A9" w:rsidRPr="00451E12">
        <w:rPr>
          <w:rFonts w:eastAsia="Times New Roman"/>
          <w:b/>
          <w:lang w:val="nl-NL"/>
        </w:rPr>
        <w:t xml:space="preserve"> [Am. 53]</w:t>
      </w:r>
    </w:p>
    <w:p w14:paraId="6C083B3E" w14:textId="10BBFF9D" w:rsidR="00BE0CE7" w:rsidRPr="00451E12" w:rsidRDefault="001222F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t xml:space="preserve">6 </w:t>
      </w:r>
      <w:proofErr w:type="spellStart"/>
      <w:r w:rsidRPr="00451E12">
        <w:rPr>
          <w:rFonts w:eastAsia="Times New Roman"/>
          <w:b/>
          <w:i/>
          <w:lang w:val="nl-NL"/>
        </w:rPr>
        <w:t>sexies</w:t>
      </w:r>
      <w:proofErr w:type="spellEnd"/>
      <w:r w:rsidR="00881832">
        <w:rPr>
          <w:rFonts w:eastAsia="Times New Roman"/>
          <w:b/>
          <w:i/>
          <w:lang w:val="nl-NL"/>
        </w:rPr>
        <w:t>.</w:t>
      </w:r>
      <w:bookmarkStart w:id="8" w:name="_GoBack"/>
      <w:bookmarkEnd w:id="8"/>
      <w:r w:rsidRPr="00451E12">
        <w:rPr>
          <w:rFonts w:eastAsia="Times New Roman"/>
          <w:b/>
          <w:i/>
          <w:lang w:val="nl-NL"/>
        </w:rPr>
        <w:tab/>
      </w:r>
      <w:r w:rsidRPr="00451E12">
        <w:rPr>
          <w:rFonts w:eastAsia="Times New Roman"/>
          <w:b/>
          <w:i/>
          <w:lang w:val="nl-NL"/>
        </w:rPr>
        <w:tab/>
        <w:t>i</w:t>
      </w:r>
      <w:r w:rsidR="00BE0CE7" w:rsidRPr="00451E12">
        <w:rPr>
          <w:rFonts w:eastAsia="Times New Roman"/>
          <w:b/>
          <w:i/>
          <w:lang w:val="nl-NL"/>
        </w:rPr>
        <w:t>n artikel 19, lid 3, wordt punt d) vervangen door:</w:t>
      </w:r>
    </w:p>
    <w:p w14:paraId="12D59B9C" w14:textId="0991D88D" w:rsidR="00BE0CE7" w:rsidRPr="00451E12" w:rsidRDefault="001222F7" w:rsidP="00BE0CE7">
      <w:pPr>
        <w:widowControl w:val="0"/>
        <w:spacing w:before="120" w:after="120" w:line="360" w:lineRule="auto"/>
        <w:ind w:left="1416" w:hanging="566"/>
        <w:jc w:val="left"/>
        <w:rPr>
          <w:rFonts w:eastAsia="Times New Roman"/>
          <w:b/>
          <w:lang w:val="nl-NL"/>
        </w:rPr>
      </w:pPr>
      <w:r w:rsidRPr="00451E12">
        <w:rPr>
          <w:rFonts w:eastAsia="Times New Roman"/>
          <w:b/>
          <w:i/>
          <w:lang w:val="nl-NL"/>
        </w:rPr>
        <w:t>“</w:t>
      </w:r>
      <w:proofErr w:type="gramStart"/>
      <w:r w:rsidRPr="00451E12">
        <w:rPr>
          <w:rFonts w:eastAsia="Times New Roman"/>
          <w:b/>
          <w:i/>
          <w:lang w:val="nl-NL"/>
        </w:rPr>
        <w:t>d</w:t>
      </w:r>
      <w:proofErr w:type="gramEnd"/>
      <w:r w:rsidRPr="00451E12">
        <w:rPr>
          <w:rFonts w:eastAsia="Times New Roman"/>
          <w:b/>
          <w:i/>
          <w:lang w:val="nl-NL"/>
        </w:rPr>
        <w:t>)</w:t>
      </w:r>
      <w:r w:rsidRPr="00451E12">
        <w:rPr>
          <w:rFonts w:eastAsia="Times New Roman"/>
          <w:b/>
          <w:i/>
          <w:lang w:val="nl-NL"/>
        </w:rPr>
        <w:tab/>
      </w:r>
      <w:r w:rsidR="00BE0CE7" w:rsidRPr="00451E12">
        <w:rPr>
          <w:rFonts w:eastAsia="Times New Roman"/>
          <w:b/>
          <w:i/>
          <w:lang w:val="nl-NL"/>
        </w:rPr>
        <w:t>voor zover bekend, het percentage gevallen waarin de uitkomsten van de ADR-procedures zijn nageleefd en de ondernemers die systematisch en zonder rechtvaardiging weigeren de uitkomst van ADR-procedures na te leven;”.</w:t>
      </w:r>
      <w:r w:rsidR="00C579A9" w:rsidRPr="00451E12">
        <w:rPr>
          <w:rFonts w:eastAsia="Times New Roman"/>
          <w:b/>
          <w:lang w:val="nl-NL"/>
        </w:rPr>
        <w:t xml:space="preserve"> [Am. 54]</w:t>
      </w:r>
    </w:p>
    <w:p w14:paraId="44859E14" w14:textId="77777777" w:rsidR="00945499" w:rsidRPr="00451E12" w:rsidRDefault="00945499">
      <w:pPr>
        <w:jc w:val="left"/>
        <w:rPr>
          <w:rFonts w:eastAsia="Times New Roman"/>
          <w:strike/>
          <w:lang w:val="nl-NL"/>
        </w:rPr>
      </w:pPr>
      <w:r w:rsidRPr="00451E12">
        <w:rPr>
          <w:rFonts w:eastAsia="Times New Roman"/>
          <w:strike/>
          <w:lang w:val="nl-NL"/>
        </w:rPr>
        <w:br w:type="page"/>
      </w:r>
    </w:p>
    <w:p w14:paraId="27BF5A4F" w14:textId="05E062A5" w:rsidR="00BE0CE7" w:rsidRPr="00451E12" w:rsidRDefault="00BE0CE7" w:rsidP="00BE0CE7">
      <w:pPr>
        <w:widowControl w:val="0"/>
        <w:spacing w:before="120" w:after="120" w:line="360" w:lineRule="auto"/>
        <w:ind w:left="850" w:hanging="850"/>
        <w:jc w:val="left"/>
        <w:rPr>
          <w:rFonts w:eastAsia="Times New Roman"/>
          <w:b/>
          <w:lang w:val="nl-NL"/>
        </w:rPr>
      </w:pPr>
      <w:r w:rsidRPr="00451E12">
        <w:rPr>
          <w:rFonts w:eastAsia="Times New Roman"/>
          <w:strike/>
          <w:lang w:val="nl-NL"/>
        </w:rPr>
        <w:lastRenderedPageBreak/>
        <w:t>7.</w:t>
      </w:r>
      <w:r w:rsidRPr="00451E12">
        <w:rPr>
          <w:rFonts w:eastAsia="Times New Roman"/>
          <w:lang w:val="nl-NL"/>
        </w:rPr>
        <w:tab/>
      </w:r>
      <w:r w:rsidRPr="00451E12">
        <w:rPr>
          <w:rFonts w:eastAsia="Times New Roman"/>
          <w:strike/>
          <w:lang w:val="nl-NL"/>
        </w:rPr>
        <w:t>In artikel 19 worden in lid 3 de punten f), g) en h) geschrapt.</w:t>
      </w:r>
      <w:r w:rsidR="00C579A9" w:rsidRPr="00451E12">
        <w:rPr>
          <w:rFonts w:eastAsia="Times New Roman"/>
          <w:b/>
          <w:lang w:val="nl-NL"/>
        </w:rPr>
        <w:t xml:space="preserve"> [Am. 55]</w:t>
      </w:r>
    </w:p>
    <w:p w14:paraId="72F849BC" w14:textId="79341D99"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8.</w:t>
      </w:r>
      <w:r w:rsidRPr="00451E12">
        <w:rPr>
          <w:rFonts w:eastAsia="Times New Roman"/>
          <w:lang w:val="nl-NL"/>
        </w:rPr>
        <w:tab/>
      </w:r>
      <w:r w:rsidRPr="00451E12">
        <w:rPr>
          <w:rFonts w:eastAsia="Times New Roman"/>
          <w:strike/>
          <w:lang w:val="nl-NL"/>
        </w:rPr>
        <w:t xml:space="preserve">Aan </w:t>
      </w:r>
      <w:r w:rsidR="001222F7" w:rsidRPr="00451E12">
        <w:rPr>
          <w:rFonts w:eastAsia="Times New Roman"/>
          <w:lang w:val="nl-NL"/>
        </w:rPr>
        <w:t>a</w:t>
      </w:r>
      <w:r w:rsidRPr="00451E12">
        <w:rPr>
          <w:rFonts w:eastAsia="Times New Roman"/>
          <w:lang w:val="nl-NL"/>
        </w:rPr>
        <w:t xml:space="preserve">rtikel 20 wordt </w:t>
      </w:r>
      <w:r w:rsidRPr="00451E12">
        <w:rPr>
          <w:rFonts w:eastAsia="Times New Roman"/>
          <w:strike/>
          <w:lang w:val="nl-NL"/>
        </w:rPr>
        <w:t xml:space="preserve">het volgende lid </w:t>
      </w:r>
      <w:proofErr w:type="spellStart"/>
      <w:r w:rsidRPr="00451E12">
        <w:rPr>
          <w:rFonts w:eastAsia="Times New Roman"/>
          <w:strike/>
          <w:lang w:val="nl-NL"/>
        </w:rPr>
        <w:t>toegevoegd</w:t>
      </w:r>
      <w:r w:rsidRPr="00451E12">
        <w:rPr>
          <w:rFonts w:eastAsia="Times New Roman"/>
          <w:b/>
          <w:i/>
          <w:lang w:val="nl-NL"/>
        </w:rPr>
        <w:t>als</w:t>
      </w:r>
      <w:proofErr w:type="spellEnd"/>
      <w:r w:rsidRPr="00451E12">
        <w:rPr>
          <w:rFonts w:eastAsia="Times New Roman"/>
          <w:b/>
          <w:i/>
          <w:lang w:val="nl-NL"/>
        </w:rPr>
        <w:t xml:space="preserve"> volgt gewijzigd</w:t>
      </w:r>
      <w:r w:rsidRPr="00451E12">
        <w:rPr>
          <w:rFonts w:eastAsia="Times New Roman"/>
          <w:lang w:val="nl-NL"/>
        </w:rPr>
        <w:t>:</w:t>
      </w:r>
    </w:p>
    <w:p w14:paraId="3A31A49D"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a)</w:t>
      </w:r>
      <w:r w:rsidRPr="00451E12">
        <w:rPr>
          <w:rFonts w:eastAsia="Times New Roman"/>
          <w:lang w:val="nl-NL"/>
        </w:rPr>
        <w:tab/>
      </w:r>
      <w:r w:rsidRPr="00451E12">
        <w:rPr>
          <w:rFonts w:eastAsia="Times New Roman"/>
          <w:b/>
          <w:i/>
          <w:lang w:val="nl-NL"/>
        </w:rPr>
        <w:t>in lid 2 wordt na de tweede alinea de volgende alinea ingevoegd:</w:t>
      </w:r>
    </w:p>
    <w:p w14:paraId="1D84E37E" w14:textId="12AE4F49" w:rsidR="00BE0CE7" w:rsidRPr="00451E12" w:rsidRDefault="00BE0CE7" w:rsidP="00BE0CE7">
      <w:pPr>
        <w:widowControl w:val="0"/>
        <w:spacing w:before="120" w:after="120" w:line="360" w:lineRule="auto"/>
        <w:ind w:left="1416"/>
        <w:jc w:val="left"/>
        <w:rPr>
          <w:rFonts w:eastAsia="Times New Roman"/>
          <w:lang w:val="nl-NL"/>
        </w:rPr>
      </w:pPr>
      <w:r w:rsidRPr="00451E12">
        <w:rPr>
          <w:rFonts w:eastAsia="Times New Roman"/>
          <w:b/>
          <w:i/>
          <w:lang w:val="nl-NL"/>
        </w:rPr>
        <w:t>“De bevoegde autoriteiten voeren geregeld controles uit van de werking en activiteiten van de ADR-entiteiten om toezicht te houden op de naleving van de vereisten van deze richtlijn.”;</w:t>
      </w:r>
    </w:p>
    <w:p w14:paraId="0E18250E" w14:textId="77777777"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b/>
          <w:i/>
          <w:lang w:val="nl-NL"/>
        </w:rPr>
        <w:t>b)</w:t>
      </w:r>
      <w:r w:rsidRPr="00451E12">
        <w:rPr>
          <w:rFonts w:eastAsia="Times New Roman"/>
          <w:lang w:val="nl-NL"/>
        </w:rPr>
        <w:tab/>
        <w:t>de volgende alinea wordt toegevoegd:</w:t>
      </w:r>
    </w:p>
    <w:p w14:paraId="4F523A1D" w14:textId="4B48C43D" w:rsidR="00BE0CE7" w:rsidRPr="00451E12" w:rsidRDefault="00BE0CE7" w:rsidP="00BE0CE7">
      <w:pPr>
        <w:widowControl w:val="0"/>
        <w:spacing w:before="120" w:after="120" w:line="360" w:lineRule="auto"/>
        <w:ind w:left="1982" w:hanging="566"/>
        <w:jc w:val="left"/>
        <w:rPr>
          <w:rFonts w:eastAsia="Times New Roman"/>
          <w:lang w:val="nl-NL"/>
        </w:rPr>
      </w:pPr>
      <w:r w:rsidRPr="00451E12">
        <w:rPr>
          <w:rFonts w:eastAsia="Times New Roman"/>
          <w:lang w:val="nl-NL"/>
        </w:rPr>
        <w:t>“8.</w:t>
      </w:r>
      <w:r w:rsidRPr="00451E12">
        <w:rPr>
          <w:rFonts w:eastAsia="Times New Roman"/>
          <w:lang w:val="nl-NL"/>
        </w:rPr>
        <w:tab/>
        <w:t>De Commissie ontwikkelt en onderhoudt een</w:t>
      </w:r>
      <w:r w:rsidRPr="00451E12">
        <w:rPr>
          <w:rFonts w:eastAsia="Times New Roman"/>
          <w:b/>
          <w:i/>
          <w:lang w:val="nl-NL"/>
        </w:rPr>
        <w:t xml:space="preserve"> gebruiksvriendelijk</w:t>
      </w:r>
      <w:r w:rsidRPr="00451E12">
        <w:rPr>
          <w:rFonts w:eastAsia="Times New Roman"/>
          <w:lang w:val="nl-NL"/>
        </w:rPr>
        <w:t xml:space="preserve"> digitaal interactief instrument dat algemene informatie verstrekt over de verhaalmogelijkheden van consumenten</w:t>
      </w:r>
      <w:r w:rsidRPr="00451E12">
        <w:rPr>
          <w:rFonts w:eastAsia="Times New Roman"/>
          <w:b/>
          <w:i/>
          <w:lang w:val="nl-NL"/>
        </w:rPr>
        <w:t>, naast praktische informatie over de wijze waarop consumenten gebruik kunnen maken van ADR-procedures in een grensoverschrijdende context,</w:t>
      </w:r>
      <w:r w:rsidRPr="00451E12">
        <w:rPr>
          <w:rFonts w:eastAsia="Times New Roman"/>
          <w:lang w:val="nl-NL"/>
        </w:rPr>
        <w:t xml:space="preserve"> en links bevat naar de webpagina’s van de ADR-entiteiten die overeenkomstig lid 2 van dit artikel aan haar zijn doorgegeven</w:t>
      </w:r>
      <w:r w:rsidRPr="00451E12">
        <w:rPr>
          <w:rFonts w:eastAsia="Times New Roman"/>
          <w:b/>
          <w:i/>
          <w:lang w:val="nl-NL"/>
        </w:rPr>
        <w:t>, waarbij consumenten worden doorgeleid naar een bevoegde instantie om hun geschillen te beslechten</w:t>
      </w:r>
      <w:r w:rsidRPr="00451E12">
        <w:rPr>
          <w:rFonts w:eastAsia="Times New Roman"/>
          <w:lang w:val="nl-NL"/>
        </w:rPr>
        <w:t>.</w:t>
      </w:r>
    </w:p>
    <w:p w14:paraId="208C54F0" w14:textId="057F1CBE" w:rsidR="00BE0CE7" w:rsidRPr="00451E12" w:rsidRDefault="00BE0CE7" w:rsidP="001222F7">
      <w:pPr>
        <w:widowControl w:val="0"/>
        <w:spacing w:before="120" w:after="120" w:line="360" w:lineRule="auto"/>
        <w:ind w:left="1982" w:firstLine="3"/>
        <w:jc w:val="left"/>
        <w:rPr>
          <w:rFonts w:eastAsia="Times New Roman"/>
          <w:b/>
          <w:lang w:val="nl-NL"/>
        </w:rPr>
      </w:pPr>
      <w:r w:rsidRPr="00451E12">
        <w:rPr>
          <w:rFonts w:eastAsia="Times New Roman"/>
          <w:b/>
          <w:i/>
          <w:lang w:val="nl-NL"/>
        </w:rPr>
        <w:t>Indien op nationaal niveau vergelijkbare digitale instrumenten voorhanden zijn, moet hierin een link worden aangeboden naar het digitale instrument van de Commissie, om consumenten met een grensoverschrijdend probleem te informeren.”</w:t>
      </w:r>
      <w:r w:rsidR="001222F7" w:rsidRPr="00451E12">
        <w:rPr>
          <w:rFonts w:eastAsia="Times New Roman"/>
          <w:b/>
          <w:i/>
          <w:lang w:val="nl-NL"/>
        </w:rPr>
        <w:t>.</w:t>
      </w:r>
      <w:r w:rsidR="00C579A9" w:rsidRPr="00451E12">
        <w:rPr>
          <w:rFonts w:eastAsia="Times New Roman"/>
          <w:b/>
          <w:lang w:val="nl-NL"/>
        </w:rPr>
        <w:t xml:space="preserve"> [Am. 56]</w:t>
      </w:r>
    </w:p>
    <w:p w14:paraId="1E5E4312" w14:textId="77777777" w:rsidR="00945499" w:rsidRPr="00451E12" w:rsidRDefault="00945499">
      <w:pPr>
        <w:jc w:val="left"/>
        <w:rPr>
          <w:rFonts w:eastAsia="Times New Roman"/>
          <w:b/>
          <w:i/>
          <w:lang w:val="nl-NL"/>
        </w:rPr>
      </w:pPr>
      <w:r w:rsidRPr="00451E12">
        <w:rPr>
          <w:rFonts w:eastAsia="Times New Roman"/>
          <w:b/>
          <w:i/>
          <w:lang w:val="nl-NL"/>
        </w:rPr>
        <w:br w:type="page"/>
      </w:r>
    </w:p>
    <w:p w14:paraId="42A32BF7" w14:textId="76665046"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b/>
          <w:i/>
          <w:lang w:val="nl-NL"/>
        </w:rPr>
        <w:lastRenderedPageBreak/>
        <w:t>8 bis.</w:t>
      </w:r>
      <w:r w:rsidRPr="00451E12">
        <w:rPr>
          <w:rFonts w:eastAsia="Times New Roman"/>
          <w:b/>
          <w:i/>
          <w:lang w:val="nl-NL"/>
        </w:rPr>
        <w:tab/>
      </w:r>
      <w:proofErr w:type="gramStart"/>
      <w:r w:rsidR="001222F7" w:rsidRPr="00451E12">
        <w:rPr>
          <w:rFonts w:eastAsia="Times New Roman"/>
          <w:b/>
          <w:i/>
          <w:lang w:val="nl-NL"/>
        </w:rPr>
        <w:t>a</w:t>
      </w:r>
      <w:r w:rsidRPr="00451E12">
        <w:rPr>
          <w:rFonts w:eastAsia="Times New Roman"/>
          <w:b/>
          <w:i/>
          <w:lang w:val="nl-NL"/>
        </w:rPr>
        <w:t>rtikel</w:t>
      </w:r>
      <w:proofErr w:type="gramEnd"/>
      <w:r w:rsidRPr="00451E12">
        <w:rPr>
          <w:rFonts w:eastAsia="Times New Roman"/>
          <w:b/>
          <w:i/>
          <w:lang w:val="nl-NL"/>
        </w:rPr>
        <w:t xml:space="preserve"> 21 wordt vervangen door:</w:t>
      </w:r>
    </w:p>
    <w:p w14:paraId="08DA8617" w14:textId="069C3A39" w:rsidR="00BE0CE7" w:rsidRPr="00451E12" w:rsidRDefault="00BE0CE7" w:rsidP="00BE0CE7">
      <w:pPr>
        <w:widowControl w:val="0"/>
        <w:spacing w:before="120" w:after="120" w:line="360" w:lineRule="auto"/>
        <w:ind w:left="850"/>
        <w:jc w:val="left"/>
        <w:rPr>
          <w:rFonts w:eastAsia="Times New Roman"/>
          <w:b/>
          <w:i/>
          <w:lang w:val="nl-NL"/>
        </w:rPr>
      </w:pPr>
      <w:r w:rsidRPr="00451E12">
        <w:rPr>
          <w:rFonts w:eastAsia="Times New Roman"/>
          <w:lang w:val="nl-NL"/>
        </w:rPr>
        <w:t>“</w:t>
      </w:r>
      <w:r w:rsidR="006837F3" w:rsidRPr="00451E12">
        <w:rPr>
          <w:rFonts w:eastAsia="Times New Roman"/>
          <w:b/>
          <w:i/>
          <w:lang w:val="nl-NL"/>
        </w:rPr>
        <w:t>Artikel 21</w:t>
      </w:r>
      <w:r w:rsidRPr="00451E12">
        <w:rPr>
          <w:rFonts w:eastAsia="Times New Roman"/>
          <w:b/>
          <w:i/>
          <w:lang w:val="nl-NL"/>
        </w:rPr>
        <w:br/>
        <w:t>Sancties</w:t>
      </w:r>
    </w:p>
    <w:p w14:paraId="4256CE49" w14:textId="1AE03CCC" w:rsidR="00BE0CE7" w:rsidRPr="00451E12" w:rsidRDefault="00BE0CE7" w:rsidP="00BE0CE7">
      <w:pPr>
        <w:widowControl w:val="0"/>
        <w:spacing w:before="120" w:after="120" w:line="360" w:lineRule="auto"/>
        <w:ind w:left="850"/>
        <w:jc w:val="left"/>
        <w:rPr>
          <w:rFonts w:eastAsia="Times New Roman"/>
          <w:b/>
          <w:lang w:val="nl-NL"/>
        </w:rPr>
      </w:pPr>
      <w:r w:rsidRPr="00451E12">
        <w:rPr>
          <w:rFonts w:eastAsia="Times New Roman"/>
          <w:b/>
          <w:i/>
          <w:lang w:val="nl-NL"/>
        </w:rPr>
        <w:t>De lidstaten stellen regels vast voor de sancties die van toepassing zijn op inbreuken op krachtens deze richtlijn, en met name artikel 5, lid 8, en artikel 13, vastgestelde nationale bepalingen en nemen alle nodige maatregelen om ervoor te zorgen dat deze worden toegepast. De sancties moeten doeltreffend, evenredig en afschrikkend zijn.”</w:t>
      </w:r>
      <w:r w:rsidR="00C579A9" w:rsidRPr="00451E12">
        <w:rPr>
          <w:rFonts w:eastAsia="Times New Roman"/>
          <w:b/>
          <w:lang w:val="nl-NL"/>
        </w:rPr>
        <w:t xml:space="preserve"> [Am. 57]</w:t>
      </w:r>
    </w:p>
    <w:p w14:paraId="1734ADA0" w14:textId="05D26293"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9.</w:t>
      </w:r>
      <w:r w:rsidRPr="00451E12">
        <w:rPr>
          <w:rFonts w:eastAsia="Times New Roman"/>
          <w:lang w:val="nl-NL"/>
        </w:rPr>
        <w:tab/>
      </w:r>
      <w:r w:rsidR="001222F7" w:rsidRPr="00451E12">
        <w:rPr>
          <w:rFonts w:eastAsia="Times New Roman"/>
          <w:lang w:val="nl-NL"/>
        </w:rPr>
        <w:t>a</w:t>
      </w:r>
      <w:r w:rsidRPr="00451E12">
        <w:rPr>
          <w:rFonts w:eastAsia="Times New Roman"/>
          <w:lang w:val="nl-NL"/>
        </w:rPr>
        <w:t>an artikel 24 wordt het volgende lid 4 toegevoegd:</w:t>
      </w:r>
    </w:p>
    <w:p w14:paraId="260C4B13" w14:textId="50BC55EE" w:rsidR="00945499" w:rsidRPr="00451E12" w:rsidRDefault="00BE0CE7" w:rsidP="001222F7">
      <w:pPr>
        <w:widowControl w:val="0"/>
        <w:spacing w:before="120" w:after="120" w:line="360" w:lineRule="auto"/>
        <w:ind w:left="1416" w:hanging="566"/>
        <w:jc w:val="left"/>
        <w:rPr>
          <w:rFonts w:eastAsia="Times New Roman"/>
          <w:lang w:val="nl-NL"/>
        </w:rPr>
      </w:pPr>
      <w:r w:rsidRPr="00451E12">
        <w:rPr>
          <w:rFonts w:eastAsia="Times New Roman"/>
          <w:lang w:val="nl-NL"/>
        </w:rPr>
        <w:t>“4.</w:t>
      </w:r>
      <w:r w:rsidRPr="00451E12">
        <w:rPr>
          <w:rFonts w:eastAsia="Times New Roman"/>
          <w:lang w:val="nl-NL"/>
        </w:rPr>
        <w:tab/>
        <w:t>Uiterlijk op [datum invullen] delen de lidstaten de Commissie de namen en contactgegevens mede van de overeenkomstig artikel 14, lid 2, aangewezen ADR-contactpunten.”</w:t>
      </w:r>
      <w:r w:rsidR="00945499" w:rsidRPr="00451E12">
        <w:rPr>
          <w:rFonts w:eastAsia="Times New Roman"/>
          <w:lang w:val="nl-NL"/>
        </w:rPr>
        <w:br w:type="page"/>
      </w:r>
    </w:p>
    <w:p w14:paraId="17DD97C2" w14:textId="213FC243"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lastRenderedPageBreak/>
        <w:t>Artikel 2</w:t>
      </w:r>
      <w:r w:rsidRPr="00451E12">
        <w:rPr>
          <w:rFonts w:eastAsia="Times New Roman"/>
          <w:lang w:val="nl-NL"/>
        </w:rPr>
        <w:br/>
        <w:t>Wijziging van Richtlijn (EU) 2015/2302</w:t>
      </w:r>
    </w:p>
    <w:p w14:paraId="2B13B14A" w14:textId="1284B82B"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In artikel 7, lid 2, van Richtlijn (EU) 2015/2302 wordt punt g) vervangen door:</w:t>
      </w:r>
    </w:p>
    <w:p w14:paraId="2D85261F" w14:textId="14F48DD5"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w:t>
      </w:r>
      <w:proofErr w:type="gramStart"/>
      <w:r w:rsidRPr="00451E12">
        <w:rPr>
          <w:rFonts w:eastAsia="Times New Roman"/>
          <w:lang w:val="nl-NL"/>
        </w:rPr>
        <w:t>g</w:t>
      </w:r>
      <w:proofErr w:type="gramEnd"/>
      <w:r w:rsidRPr="00451E12">
        <w:rPr>
          <w:rFonts w:eastAsia="Times New Roman"/>
          <w:lang w:val="nl-NL"/>
        </w:rPr>
        <w:t>)</w:t>
      </w:r>
      <w:r w:rsidRPr="00451E12">
        <w:rPr>
          <w:rFonts w:eastAsia="Times New Roman"/>
          <w:lang w:val="nl-NL"/>
        </w:rPr>
        <w:tab/>
        <w:t>informatie over beschikbare interne procedures voor klachtenafhandeling en over alternatieve geschillenbeslechtingsmechanismen (“ADR”) overeenkomstig Richtlijn 2013/11/EU van het Europees Parlement en de Raad, en in voorkomend geval, over de ADR-entiteit waaronder de handelaar valt;”</w:t>
      </w:r>
      <w:r w:rsidR="001222F7" w:rsidRPr="00451E12">
        <w:rPr>
          <w:rFonts w:eastAsia="Times New Roman"/>
          <w:lang w:val="nl-NL"/>
        </w:rPr>
        <w:t>.</w:t>
      </w:r>
    </w:p>
    <w:p w14:paraId="68143C9D" w14:textId="77777777"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t>Artikel 3</w:t>
      </w:r>
      <w:r w:rsidRPr="00451E12">
        <w:rPr>
          <w:rFonts w:eastAsia="Times New Roman"/>
          <w:lang w:val="nl-NL"/>
        </w:rPr>
        <w:br/>
        <w:t>Wijziging van Richtlijn (EU) 2019/2161</w:t>
      </w:r>
    </w:p>
    <w:p w14:paraId="6B664C91" w14:textId="17E86A3D"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In artikel 5 van Richtlijn (EU) 2019/2161, wordt punt b) vervangen door:</w:t>
      </w:r>
    </w:p>
    <w:p w14:paraId="4E944857" w14:textId="4BED2A00" w:rsidR="00BE0CE7" w:rsidRPr="00451E12" w:rsidRDefault="00BE0CE7" w:rsidP="00BE0CE7">
      <w:pPr>
        <w:widowControl w:val="0"/>
        <w:spacing w:before="120" w:after="120" w:line="360" w:lineRule="auto"/>
        <w:ind w:left="1416" w:hanging="566"/>
        <w:jc w:val="left"/>
        <w:rPr>
          <w:rFonts w:eastAsia="Times New Roman"/>
          <w:lang w:val="nl-NL"/>
        </w:rPr>
      </w:pPr>
      <w:r w:rsidRPr="00451E12">
        <w:rPr>
          <w:rFonts w:eastAsia="Times New Roman"/>
          <w:lang w:val="nl-NL"/>
        </w:rPr>
        <w:t>“</w:t>
      </w:r>
      <w:proofErr w:type="gramStart"/>
      <w:r w:rsidRPr="00451E12">
        <w:rPr>
          <w:rFonts w:eastAsia="Times New Roman"/>
          <w:lang w:val="nl-NL"/>
        </w:rPr>
        <w:t>b</w:t>
      </w:r>
      <w:proofErr w:type="gramEnd"/>
      <w:r w:rsidRPr="00451E12">
        <w:rPr>
          <w:rFonts w:eastAsia="Times New Roman"/>
          <w:lang w:val="nl-NL"/>
        </w:rPr>
        <w:t>)</w:t>
      </w:r>
      <w:r w:rsidRPr="00451E12">
        <w:rPr>
          <w:rFonts w:eastAsia="Times New Roman"/>
          <w:lang w:val="nl-NL"/>
        </w:rPr>
        <w:tab/>
        <w:t>een klacht in te dienen bij het bevoegde centrum van het netwerk van Europese consumentencentra, afhankelijk van de betrokken partijen.”</w:t>
      </w:r>
      <w:r w:rsidR="001222F7" w:rsidRPr="00451E12">
        <w:rPr>
          <w:rFonts w:eastAsia="Times New Roman"/>
          <w:lang w:val="nl-NL"/>
        </w:rPr>
        <w:t>.</w:t>
      </w:r>
    </w:p>
    <w:p w14:paraId="29A82093" w14:textId="77777777"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t>Artikel 4</w:t>
      </w:r>
      <w:r w:rsidRPr="00451E12">
        <w:rPr>
          <w:rFonts w:eastAsia="Times New Roman"/>
          <w:lang w:val="nl-NL"/>
        </w:rPr>
        <w:br/>
        <w:t>Wijziging van Richtlijn (EU) 2020/1828</w:t>
      </w:r>
    </w:p>
    <w:p w14:paraId="31F6819E" w14:textId="77777777" w:rsidR="00BE0CE7" w:rsidRPr="00451E12" w:rsidRDefault="00BE0CE7" w:rsidP="00BE0CE7">
      <w:pPr>
        <w:widowControl w:val="0"/>
        <w:spacing w:before="120" w:after="120" w:line="360" w:lineRule="auto"/>
        <w:jc w:val="left"/>
        <w:rPr>
          <w:rFonts w:eastAsia="Times New Roman"/>
          <w:lang w:val="nl-NL"/>
        </w:rPr>
      </w:pPr>
      <w:r w:rsidRPr="00451E12">
        <w:rPr>
          <w:rFonts w:eastAsia="Times New Roman"/>
          <w:lang w:val="nl-NL"/>
        </w:rPr>
        <w:t>In bijlage I bij Richtlijn (EU) 2020/1828 wordt punt 44 geschrapt.</w:t>
      </w:r>
    </w:p>
    <w:p w14:paraId="2940FAE0" w14:textId="77777777" w:rsidR="00945499" w:rsidRPr="00451E12" w:rsidRDefault="00945499">
      <w:pPr>
        <w:jc w:val="left"/>
        <w:rPr>
          <w:rFonts w:eastAsia="Times New Roman"/>
          <w:lang w:val="nl-NL"/>
        </w:rPr>
      </w:pPr>
      <w:r w:rsidRPr="00451E12">
        <w:rPr>
          <w:rFonts w:eastAsia="Times New Roman"/>
          <w:lang w:val="nl-NL"/>
        </w:rPr>
        <w:br w:type="page"/>
      </w:r>
    </w:p>
    <w:p w14:paraId="58D7588C" w14:textId="40A8DD5C"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lastRenderedPageBreak/>
        <w:t>Artikel 5</w:t>
      </w:r>
      <w:r w:rsidRPr="00451E12">
        <w:rPr>
          <w:rFonts w:eastAsia="Times New Roman"/>
          <w:lang w:val="nl-NL"/>
        </w:rPr>
        <w:br/>
        <w:t>Omzetting</w:t>
      </w:r>
    </w:p>
    <w:p w14:paraId="586CDE01"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1.</w:t>
      </w:r>
      <w:r w:rsidRPr="00451E12">
        <w:rPr>
          <w:rFonts w:eastAsia="Times New Roman"/>
          <w:lang w:val="nl-NL"/>
        </w:rPr>
        <w:tab/>
        <w:t>De lidstaten dienen uiterlijk op [datum invullen – 1 jaar na inwerkingtreding] de nodige bepalingen vast te stellen en bekend te maken om aan artikel 1 van deze richtlijn te voldoen. Zij stellen de Commissie daarvan onmiddellijk in kennis.</w:t>
      </w:r>
    </w:p>
    <w:p w14:paraId="638DC2D3" w14:textId="77777777"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lang w:val="nl-NL"/>
        </w:rPr>
        <w:t>Zij passen die bepalingen toe met ingang van [datum].</w:t>
      </w:r>
    </w:p>
    <w:p w14:paraId="5077F929"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2.</w:t>
      </w:r>
      <w:r w:rsidRPr="00451E12">
        <w:rPr>
          <w:rFonts w:eastAsia="Times New Roman"/>
          <w:lang w:val="nl-NL"/>
        </w:rPr>
        <w:tab/>
        <w:t>De lidstaten dienen uiterlijk op [datum invullen – 1 jaar na inwerkingtreding van Richtlijn xx/.... [</w:t>
      </w:r>
      <w:proofErr w:type="gramStart"/>
      <w:r w:rsidRPr="00451E12">
        <w:rPr>
          <w:rFonts w:eastAsia="Times New Roman"/>
          <w:lang w:val="nl-NL"/>
        </w:rPr>
        <w:t>het</w:t>
      </w:r>
      <w:proofErr w:type="gramEnd"/>
      <w:r w:rsidRPr="00451E12">
        <w:rPr>
          <w:rFonts w:eastAsia="Times New Roman"/>
          <w:lang w:val="nl-NL"/>
        </w:rPr>
        <w:t xml:space="preserve"> voorstel voor een verordening van het Europees Parlement en de Raad tot intrekking van Richtlijn (EU) nr. 524/2013 betreffende onlinebeslechting van consumentengeschillen]] de nodige bepalingen vast te stellen en bekend te maken om aan de artikelen 2, 3 en 4 van deze richtlijn te voldoen. Zij stellen de Commissie daarvan onverwijld in kennis.</w:t>
      </w:r>
    </w:p>
    <w:p w14:paraId="259E71F0" w14:textId="77777777" w:rsidR="00BE0CE7" w:rsidRPr="00451E12" w:rsidRDefault="00BE0CE7" w:rsidP="00BE0CE7">
      <w:pPr>
        <w:widowControl w:val="0"/>
        <w:spacing w:before="120" w:after="120" w:line="360" w:lineRule="auto"/>
        <w:ind w:left="850"/>
        <w:jc w:val="left"/>
        <w:rPr>
          <w:rFonts w:eastAsia="Times New Roman"/>
          <w:lang w:val="nl-NL"/>
        </w:rPr>
      </w:pPr>
      <w:r w:rsidRPr="00451E12">
        <w:rPr>
          <w:rFonts w:eastAsia="Times New Roman"/>
          <w:lang w:val="nl-NL"/>
        </w:rPr>
        <w:t>Zij passen die bepalingen toe met ingang van [datum].</w:t>
      </w:r>
    </w:p>
    <w:p w14:paraId="4A85C812" w14:textId="77777777"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t>3.</w:t>
      </w:r>
      <w:r w:rsidRPr="00451E12">
        <w:rPr>
          <w:rFonts w:eastAsia="Times New Roman"/>
          <w:lang w:val="nl-NL"/>
        </w:rPr>
        <w:tab/>
        <w:t>Wanneer de lidstaten die in de leden 1 en 2 bedoelde bepalingen aannemen, wordt in de bepalingen zelf of bij de officiële bekendmaking daarvan naar deze richtlijn verwezen. De regels voor die verwijzing worden vastgesteld door de lidstaten.</w:t>
      </w:r>
    </w:p>
    <w:p w14:paraId="3CDB2D29" w14:textId="77777777" w:rsidR="00945499" w:rsidRPr="00451E12" w:rsidRDefault="00945499">
      <w:pPr>
        <w:jc w:val="left"/>
        <w:rPr>
          <w:rFonts w:eastAsia="Times New Roman"/>
          <w:lang w:val="nl-NL"/>
        </w:rPr>
      </w:pPr>
      <w:r w:rsidRPr="00451E12">
        <w:rPr>
          <w:rFonts w:eastAsia="Times New Roman"/>
          <w:lang w:val="nl-NL"/>
        </w:rPr>
        <w:br w:type="page"/>
      </w:r>
    </w:p>
    <w:p w14:paraId="09594A1C" w14:textId="3CE51ECB" w:rsidR="00BE0CE7" w:rsidRPr="00451E12" w:rsidRDefault="00BE0CE7" w:rsidP="00BE0CE7">
      <w:pPr>
        <w:widowControl w:val="0"/>
        <w:spacing w:before="120" w:after="120" w:line="360" w:lineRule="auto"/>
        <w:ind w:left="850" w:hanging="850"/>
        <w:jc w:val="left"/>
        <w:rPr>
          <w:rFonts w:eastAsia="Times New Roman"/>
          <w:lang w:val="nl-NL"/>
        </w:rPr>
      </w:pPr>
      <w:r w:rsidRPr="00451E12">
        <w:rPr>
          <w:rFonts w:eastAsia="Times New Roman"/>
          <w:lang w:val="nl-NL"/>
        </w:rPr>
        <w:lastRenderedPageBreak/>
        <w:t>4.</w:t>
      </w:r>
      <w:r w:rsidRPr="00451E12">
        <w:rPr>
          <w:rFonts w:eastAsia="Times New Roman"/>
          <w:lang w:val="nl-NL"/>
        </w:rPr>
        <w:tab/>
        <w:t>De lidstaten delen de Commissie de tekst van de belangrijkste bepalingen van intern recht mee die zij op het onder deze richtlijn vallende gebied vaststellen.</w:t>
      </w:r>
    </w:p>
    <w:p w14:paraId="417CD968" w14:textId="77777777"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t>Artikel 6</w:t>
      </w:r>
      <w:r w:rsidRPr="00451E12">
        <w:rPr>
          <w:rFonts w:eastAsia="Times New Roman"/>
          <w:lang w:val="nl-NL"/>
        </w:rPr>
        <w:br/>
        <w:t>Inwerkingtreding</w:t>
      </w:r>
    </w:p>
    <w:p w14:paraId="6DAD3E53" w14:textId="77777777" w:rsidR="00BE0CE7" w:rsidRPr="00451E12" w:rsidRDefault="00BE0CE7" w:rsidP="00BE0CE7">
      <w:pPr>
        <w:widowControl w:val="0"/>
        <w:spacing w:before="120" w:after="120" w:line="360" w:lineRule="auto"/>
        <w:jc w:val="left"/>
        <w:rPr>
          <w:rFonts w:eastAsia="Times New Roman"/>
          <w:lang w:val="nl-NL"/>
        </w:rPr>
      </w:pPr>
      <w:r w:rsidRPr="00451E12">
        <w:rPr>
          <w:rFonts w:eastAsia="Times New Roman"/>
          <w:lang w:val="nl-NL"/>
        </w:rPr>
        <w:t xml:space="preserve">Deze richtlijn treedt in werking op de twintigste dag na die van de bekendmaking ervan in het </w:t>
      </w:r>
      <w:r w:rsidRPr="00E87C41">
        <w:rPr>
          <w:rFonts w:eastAsia="Times New Roman"/>
          <w:i/>
          <w:lang w:val="nl-NL"/>
        </w:rPr>
        <w:t>Publicatieblad van de Europese Unie</w:t>
      </w:r>
      <w:r w:rsidRPr="00451E12">
        <w:rPr>
          <w:rFonts w:eastAsia="Times New Roman"/>
          <w:lang w:val="nl-NL"/>
        </w:rPr>
        <w:t>.</w:t>
      </w:r>
    </w:p>
    <w:p w14:paraId="2A3CE44C" w14:textId="77777777" w:rsidR="00BE0CE7" w:rsidRPr="00451E12" w:rsidRDefault="00BE0CE7" w:rsidP="00BE0CE7">
      <w:pPr>
        <w:widowControl w:val="0"/>
        <w:spacing w:before="120" w:after="120" w:line="360" w:lineRule="auto"/>
        <w:jc w:val="center"/>
        <w:rPr>
          <w:rFonts w:eastAsia="Times New Roman"/>
          <w:lang w:val="nl-NL"/>
        </w:rPr>
      </w:pPr>
      <w:r w:rsidRPr="00451E12">
        <w:rPr>
          <w:rFonts w:eastAsia="Times New Roman"/>
          <w:lang w:val="nl-NL"/>
        </w:rPr>
        <w:t>Artikel 7</w:t>
      </w:r>
      <w:r w:rsidRPr="00451E12">
        <w:rPr>
          <w:rFonts w:eastAsia="Times New Roman"/>
          <w:lang w:val="nl-NL"/>
        </w:rPr>
        <w:br/>
      </w:r>
      <w:proofErr w:type="spellStart"/>
      <w:r w:rsidRPr="00451E12">
        <w:rPr>
          <w:rFonts w:eastAsia="Times New Roman"/>
          <w:lang w:val="nl-NL"/>
        </w:rPr>
        <w:t>Adressaten</w:t>
      </w:r>
      <w:proofErr w:type="spellEnd"/>
    </w:p>
    <w:p w14:paraId="7D0F120B" w14:textId="77777777" w:rsidR="00BE0CE7" w:rsidRPr="00451E12" w:rsidRDefault="00BE0CE7" w:rsidP="00BE0CE7">
      <w:pPr>
        <w:widowControl w:val="0"/>
        <w:spacing w:before="120" w:after="120" w:line="360" w:lineRule="auto"/>
        <w:jc w:val="left"/>
        <w:rPr>
          <w:rFonts w:eastAsia="Times New Roman"/>
          <w:lang w:val="nl-NL"/>
        </w:rPr>
      </w:pPr>
      <w:r w:rsidRPr="00451E12">
        <w:rPr>
          <w:rFonts w:eastAsia="Times New Roman"/>
          <w:lang w:val="nl-NL"/>
        </w:rPr>
        <w:t>Deze richtlijn is gericht tot de lidstaten.</w:t>
      </w:r>
    </w:p>
    <w:p w14:paraId="4634396A" w14:textId="74CB1313" w:rsidR="00BE0CE7" w:rsidRPr="00451E12" w:rsidRDefault="00BE0CE7" w:rsidP="00BE0CE7">
      <w:pPr>
        <w:keepNext/>
        <w:spacing w:before="120" w:line="360" w:lineRule="auto"/>
        <w:jc w:val="left"/>
        <w:rPr>
          <w:rFonts w:eastAsia="Times New Roman"/>
          <w:lang w:val="nl-NL"/>
        </w:rPr>
      </w:pPr>
      <w:r w:rsidRPr="00451E12">
        <w:rPr>
          <w:rFonts w:eastAsia="Times New Roman"/>
          <w:lang w:val="nl-NL"/>
        </w:rPr>
        <w:t xml:space="preserve">Gedaan te </w:t>
      </w:r>
      <w:r w:rsidR="00E87C41">
        <w:rPr>
          <w:rFonts w:eastAsia="Times New Roman"/>
          <w:lang w:val="nl-NL"/>
        </w:rPr>
        <w:t>…</w:t>
      </w:r>
      <w:r w:rsidRPr="00451E12">
        <w:rPr>
          <w:rFonts w:eastAsia="Times New Roman"/>
          <w:lang w:val="nl-NL"/>
        </w:rPr>
        <w:t>,</w:t>
      </w:r>
    </w:p>
    <w:p w14:paraId="5C8B7671" w14:textId="77777777" w:rsidR="00BE0CE7" w:rsidRPr="00451E12" w:rsidRDefault="00BE0CE7" w:rsidP="00BE0CE7">
      <w:pPr>
        <w:keepNext/>
        <w:tabs>
          <w:tab w:val="left" w:pos="4252"/>
        </w:tabs>
        <w:spacing w:before="720" w:after="100" w:line="360" w:lineRule="auto"/>
        <w:rPr>
          <w:rFonts w:eastAsia="Times New Roman"/>
          <w:i/>
          <w:lang w:val="nl-NL"/>
        </w:rPr>
      </w:pPr>
      <w:r w:rsidRPr="00451E12">
        <w:rPr>
          <w:rFonts w:eastAsia="Times New Roman"/>
          <w:i/>
          <w:lang w:val="nl-NL"/>
        </w:rPr>
        <w:t>Voor het Europees Parlement</w:t>
      </w:r>
      <w:r w:rsidRPr="00451E12">
        <w:rPr>
          <w:rFonts w:eastAsia="Times New Roman"/>
          <w:i/>
          <w:lang w:val="nl-NL"/>
        </w:rPr>
        <w:tab/>
        <w:t>Voor de Raad</w:t>
      </w:r>
    </w:p>
    <w:p w14:paraId="0B1A6152" w14:textId="3D850C75" w:rsidR="008765BE" w:rsidRPr="00451E12" w:rsidRDefault="00BE0CE7" w:rsidP="00E87C41">
      <w:pPr>
        <w:tabs>
          <w:tab w:val="left" w:pos="4252"/>
        </w:tabs>
        <w:spacing w:line="360" w:lineRule="auto"/>
        <w:jc w:val="left"/>
        <w:rPr>
          <w:lang w:val="nl-NL"/>
        </w:rPr>
      </w:pPr>
      <w:r w:rsidRPr="00451E12">
        <w:rPr>
          <w:rFonts w:eastAsia="Times New Roman"/>
          <w:i/>
          <w:lang w:val="nl-NL"/>
        </w:rPr>
        <w:t>De voorzitter</w:t>
      </w:r>
      <w:r w:rsidRPr="00451E12">
        <w:rPr>
          <w:rFonts w:eastAsia="Times New Roman"/>
          <w:i/>
          <w:lang w:val="nl-NL"/>
        </w:rPr>
        <w:tab/>
        <w:t>De voorzitter</w:t>
      </w:r>
    </w:p>
    <w:sectPr w:rsidR="008765BE" w:rsidRPr="00451E12">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7EA83" w14:textId="77777777" w:rsidR="00BE0CE7" w:rsidRDefault="00BE0CE7" w:rsidP="00BE0CE7">
      <w:r>
        <w:separator/>
      </w:r>
    </w:p>
  </w:endnote>
  <w:endnote w:type="continuationSeparator" w:id="0">
    <w:p w14:paraId="6F54EE71" w14:textId="77777777" w:rsidR="00BE0CE7" w:rsidRDefault="00BE0CE7" w:rsidP="00BE0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E539" w14:textId="77777777" w:rsidR="00740288" w:rsidRDefault="006837F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7162" w14:textId="77777777" w:rsidR="00740288" w:rsidRDefault="006837F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36F7A" w14:textId="77777777" w:rsidR="00BE0CE7" w:rsidRDefault="00BE0CE7" w:rsidP="00BE0CE7">
      <w:r>
        <w:separator/>
      </w:r>
    </w:p>
  </w:footnote>
  <w:footnote w:type="continuationSeparator" w:id="0">
    <w:p w14:paraId="2A31F807" w14:textId="77777777" w:rsidR="00BE0CE7" w:rsidRDefault="00BE0CE7" w:rsidP="00BE0CE7">
      <w:r>
        <w:continuationSeparator/>
      </w:r>
    </w:p>
  </w:footnote>
  <w:footnote w:id="1">
    <w:p w14:paraId="5ED06DA1" w14:textId="77777777" w:rsidR="00BE0CE7" w:rsidRPr="00BE0CE7" w:rsidRDefault="00BE0CE7" w:rsidP="00BE0CE7">
      <w:pPr>
        <w:pStyle w:val="FootnoteText"/>
        <w:ind w:left="567" w:hanging="567"/>
        <w:rPr>
          <w:sz w:val="24"/>
          <w:lang w:val="nl-NL"/>
        </w:rPr>
      </w:pPr>
      <w:r w:rsidRPr="00BE0CE7">
        <w:rPr>
          <w:rStyle w:val="FootnoteReference"/>
          <w:lang w:val="nl-NL"/>
        </w:rPr>
        <w:footnoteRef/>
      </w:r>
      <w:r w:rsidRPr="00BE0CE7">
        <w:rPr>
          <w:sz w:val="24"/>
          <w:lang w:val="nl-NL"/>
        </w:rPr>
        <w:tab/>
        <w:t>Nog niet bekendgemaakt in het Publicatieblad.</w:t>
      </w:r>
    </w:p>
  </w:footnote>
  <w:footnote w:id="2">
    <w:p w14:paraId="7D0A9B6B"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Richtlijn 2013/11/EU van het Europees Parlement en de Raad van 21 mei 2013 betreffende alternatieve beslechting van consumentengeschillen en tot wijziging van Verordening (EG) nr. 2006/2004 en Richtlijn 2009/22/EG (PB L 165 van 18.6.2013, blz. 63).</w:t>
      </w:r>
    </w:p>
  </w:footnote>
  <w:footnote w:id="3">
    <w:p w14:paraId="1AF94139"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Verordening (EU) nr. 524/2013 van het Europees Parlement en de Raad van 21 mei 2013 betreffende onlinebeslechting van consumentengeschillen en tot wijziging van Verordening (EG) nr. 2006/2004 en Richtlijn 2009/22/EG (PB L 165 van 18.6.2013, blz. 1).</w:t>
      </w:r>
    </w:p>
  </w:footnote>
  <w:footnote w:id="4">
    <w:p w14:paraId="6747EA2B"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 xml:space="preserve">Verordening (EU) 2018/302 van het Europees Parlement en de Raad van 28 februari 2018 inzake de aanpak van ongerechtvaardigde </w:t>
      </w:r>
      <w:proofErr w:type="spellStart"/>
      <w:r w:rsidRPr="00BE0CE7">
        <w:rPr>
          <w:lang w:val="nl-NL"/>
        </w:rPr>
        <w:t>geoblocking</w:t>
      </w:r>
      <w:proofErr w:type="spellEnd"/>
      <w:r w:rsidRPr="00BE0CE7">
        <w:rPr>
          <w:lang w:val="nl-NL"/>
        </w:rPr>
        <w:t xml:space="preserve"> en andere vormen van discriminatie van klanten op grond van nationaliteit, verblijfplaats of plaats van vestiging in de interne markt, en tot wijziging van Verordeningen (EG) nr. 2006/2004 en (EU) 2017/2394 en Richtlijn 2009/22/EG (PB L 60I van 2.3.2018, blz. 1).</w:t>
      </w:r>
    </w:p>
  </w:footnote>
  <w:footnote w:id="5">
    <w:p w14:paraId="4CEF51E1"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Richtlijn 2014/92/EU van het Europees Parlement en de Raad van 23 juli 2014 betreffende de vergelijkbaarheid van de in verband met betaalrekeningen aangerekende vergoedingen, het overstappen naar een andere betaalrekening en de toegang tot betaalrekeningen met basisfuncties (PB L 257 van 28.8.2014, blz. 214).</w:t>
      </w:r>
    </w:p>
  </w:footnote>
  <w:footnote w:id="6">
    <w:p w14:paraId="142511E9"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 xml:space="preserve">Verordening (EU) 2022/612 van het Europees Parlement en de Raad van 6 april 2022 betreffende </w:t>
      </w:r>
      <w:proofErr w:type="spellStart"/>
      <w:r w:rsidRPr="00BE0CE7">
        <w:rPr>
          <w:lang w:val="nl-NL"/>
        </w:rPr>
        <w:t>roaming</w:t>
      </w:r>
      <w:proofErr w:type="spellEnd"/>
      <w:r w:rsidRPr="00BE0CE7">
        <w:rPr>
          <w:lang w:val="nl-NL"/>
        </w:rPr>
        <w:t xml:space="preserve"> op openbare </w:t>
      </w:r>
      <w:proofErr w:type="spellStart"/>
      <w:r w:rsidRPr="00BE0CE7">
        <w:rPr>
          <w:lang w:val="nl-NL"/>
        </w:rPr>
        <w:t>mobielecommunicatienetwerken</w:t>
      </w:r>
      <w:proofErr w:type="spellEnd"/>
      <w:r w:rsidRPr="00BE0CE7">
        <w:rPr>
          <w:lang w:val="nl-NL"/>
        </w:rPr>
        <w:t xml:space="preserve"> binnen de Unie (PB L 115 van 13.4.2022, blz. 1).</w:t>
      </w:r>
    </w:p>
  </w:footnote>
  <w:footnote w:id="7">
    <w:p w14:paraId="6D2CE412"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Verordening (EG) nr. 1008/2008 van het Europees Parlement en de Raad van 24 september 2008 inzake gemeenschappelijke regels voor de exploitatie van luchtdiensten in de Gemeenschap (PB L 293 van 31.10.2008, blz. 3).</w:t>
      </w:r>
    </w:p>
  </w:footnote>
  <w:footnote w:id="8">
    <w:p w14:paraId="6E366ADE"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Verordening (EU) 2022/1925 van het Europees Parlement en de Raad van 14 september 2022 over betwistbare en eerlijke markten in de digitale sector, en tot wijziging van Richtlijnen (EU) 2019/1937 en (EU) 2020/1828 (</w:t>
      </w:r>
      <w:proofErr w:type="spellStart"/>
      <w:r w:rsidRPr="00BE0CE7">
        <w:rPr>
          <w:lang w:val="nl-NL"/>
        </w:rPr>
        <w:t>digitalemarktenverordening</w:t>
      </w:r>
      <w:proofErr w:type="spellEnd"/>
      <w:r w:rsidRPr="00BE0CE7">
        <w:rPr>
          <w:lang w:val="nl-NL"/>
        </w:rPr>
        <w:t>) (PB L 265 van 12.10.2022, blz. 1).</w:t>
      </w:r>
    </w:p>
  </w:footnote>
  <w:footnote w:id="9">
    <w:p w14:paraId="38AEA8E1"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Verordening (EU) 2022/2065 van het Europees Parlement en de Raad van 19 oktober 2022 betreffende een eengemaakte markt voor digitale diensten en tot wijziging van Richtlijn 2000/31/EG (</w:t>
      </w:r>
      <w:proofErr w:type="spellStart"/>
      <w:r w:rsidRPr="00BE0CE7">
        <w:rPr>
          <w:lang w:val="nl-NL"/>
        </w:rPr>
        <w:t>digitaledienstenverordening</w:t>
      </w:r>
      <w:proofErr w:type="spellEnd"/>
      <w:r w:rsidRPr="00BE0CE7">
        <w:rPr>
          <w:lang w:val="nl-NL"/>
        </w:rPr>
        <w:t>) (PB L 277 van 27.10.2022, blz. 1).</w:t>
      </w:r>
    </w:p>
  </w:footnote>
  <w:footnote w:id="10">
    <w:p w14:paraId="1F919EAD"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Richtlijn (EU) 2015/2302 van het Europees Parlement en de Raad van 25 november 2015 betreffende pakketreizen en gekoppelde reisarrangementen, houdende wijziging van Verordening (EG) nr. 2006/2004 en van Richtlijn 2011/83/EU van het Europees Parlement en de Raad, en tot intrekking van Richtlijn 90/314/EEG van de Raad (PB L 326 van 11.12.2015, blz. 1).</w:t>
      </w:r>
    </w:p>
  </w:footnote>
  <w:footnote w:id="11">
    <w:p w14:paraId="30810BA5"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Richtlijn (EU) 2019/2161 van het Europees Parlement en de Raad van 27 november 2019 tot wijziging van Richtlijn 93/13/EEG van de Raad en Richtlijnen 98/6/EG, 2005/29/EG en 2011/83/EU van het Europees Parlement en de Raad wat betreft betere handhaving en modernisering van de regels voor consumentenbescherming in de Unie (PB L 328 van 18.12.2019, blz. 7).</w:t>
      </w:r>
    </w:p>
  </w:footnote>
  <w:footnote w:id="12">
    <w:p w14:paraId="61A886A4" w14:textId="77777777" w:rsidR="00BE0CE7" w:rsidRPr="00BE0CE7" w:rsidRDefault="00BE0CE7" w:rsidP="00BE0CE7">
      <w:pPr>
        <w:pStyle w:val="FootnoteTextForceStyle"/>
        <w:rPr>
          <w:lang w:val="nl-NL"/>
        </w:rPr>
      </w:pPr>
      <w:r w:rsidRPr="00BE0CE7">
        <w:rPr>
          <w:vertAlign w:val="superscript"/>
          <w:lang w:val="nl-NL"/>
        </w:rPr>
        <w:footnoteRef/>
      </w:r>
      <w:r w:rsidRPr="00BE0CE7">
        <w:rPr>
          <w:lang w:val="nl-NL"/>
        </w:rPr>
        <w:tab/>
        <w:t>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 (PB L 135 van 23.5.2023, blz.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659"/>
    <w:rsid w:val="00114AF3"/>
    <w:rsid w:val="00115AA4"/>
    <w:rsid w:val="001222F7"/>
    <w:rsid w:val="00144E90"/>
    <w:rsid w:val="00302AB8"/>
    <w:rsid w:val="00451E12"/>
    <w:rsid w:val="005762E3"/>
    <w:rsid w:val="005A1659"/>
    <w:rsid w:val="006556BD"/>
    <w:rsid w:val="006837F3"/>
    <w:rsid w:val="008765BE"/>
    <w:rsid w:val="00881832"/>
    <w:rsid w:val="008E1E2A"/>
    <w:rsid w:val="00945499"/>
    <w:rsid w:val="00A40495"/>
    <w:rsid w:val="00BE0CE7"/>
    <w:rsid w:val="00C579A9"/>
    <w:rsid w:val="00E86638"/>
    <w:rsid w:val="00E87C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22928"/>
  <w15:chartTrackingRefBased/>
  <w15:docId w15:val="{D74BB923-0E69-415B-9A9A-2A2B245E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FootnoteTextForceStyle">
    <w:name w:val="Footnote Text ForceStyle"/>
    <w:rsid w:val="00BE0CE7"/>
    <w:pPr>
      <w:keepLines/>
      <w:widowControl w:val="0"/>
      <w:ind w:left="850" w:hanging="850"/>
    </w:pPr>
    <w:rPr>
      <w:rFonts w:ascii="Times New Roman" w:eastAsia="Times New Roman" w:hAnsi="Times New Roman"/>
      <w:sz w:val="24"/>
      <w:szCs w:val="20"/>
    </w:rPr>
  </w:style>
  <w:style w:type="character" w:customStyle="1" w:styleId="Footer2">
    <w:name w:val="Footer2"/>
    <w:rsid w:val="00BE0CE7"/>
    <w:rPr>
      <w:rFonts w:ascii="Arial" w:hAnsi="Arial"/>
      <w:b/>
      <w:sz w:val="48"/>
    </w:rPr>
  </w:style>
  <w:style w:type="paragraph" w:customStyle="1" w:styleId="Footer1">
    <w:name w:val="Footer1"/>
    <w:basedOn w:val="Normal"/>
    <w:rsid w:val="00BE0CE7"/>
    <w:pPr>
      <w:tabs>
        <w:tab w:val="center" w:pos="4150"/>
        <w:tab w:val="right" w:pos="8306"/>
        <w:tab w:val="right" w:pos="9638"/>
      </w:tabs>
      <w:spacing w:line="360" w:lineRule="auto"/>
      <w:jc w:val="left"/>
    </w:pPr>
    <w:rPr>
      <w:rFonts w:eastAsia="Times New Roman"/>
    </w:rPr>
  </w:style>
  <w:style w:type="paragraph" w:styleId="BalloonText">
    <w:name w:val="Balloon Text"/>
    <w:basedOn w:val="Normal"/>
    <w:link w:val="BalloonTextChar"/>
    <w:uiPriority w:val="99"/>
    <w:semiHidden/>
    <w:unhideWhenUsed/>
    <w:rsid w:val="00BE0C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CE7"/>
    <w:rPr>
      <w:rFonts w:ascii="Segoe UI" w:hAnsi="Segoe UI" w:cs="Segoe UI"/>
      <w:sz w:val="18"/>
      <w:szCs w:val="18"/>
    </w:rPr>
  </w:style>
  <w:style w:type="paragraph" w:styleId="FootnoteText">
    <w:name w:val="footnote text"/>
    <w:basedOn w:val="Normal"/>
    <w:link w:val="FootnoteTextChar"/>
    <w:uiPriority w:val="99"/>
    <w:semiHidden/>
    <w:unhideWhenUsed/>
    <w:rsid w:val="00BE0CE7"/>
    <w:rPr>
      <w:sz w:val="20"/>
      <w:szCs w:val="20"/>
    </w:rPr>
  </w:style>
  <w:style w:type="character" w:customStyle="1" w:styleId="FootnoteTextChar">
    <w:name w:val="Footnote Text Char"/>
    <w:basedOn w:val="DefaultParagraphFont"/>
    <w:link w:val="FootnoteText"/>
    <w:uiPriority w:val="99"/>
    <w:semiHidden/>
    <w:rsid w:val="00BE0CE7"/>
    <w:rPr>
      <w:rFonts w:ascii="Times New Roman" w:hAnsi="Times New Roman"/>
      <w:sz w:val="20"/>
      <w:szCs w:val="20"/>
    </w:rPr>
  </w:style>
  <w:style w:type="character" w:styleId="FootnoteReference">
    <w:name w:val="footnote reference"/>
    <w:rsid w:val="00BE0CE7"/>
    <w:rPr>
      <w:b w:val="0"/>
      <w:vertAlign w:val="superscript"/>
    </w:rPr>
  </w:style>
  <w:style w:type="paragraph" w:styleId="Header">
    <w:name w:val="header"/>
    <w:basedOn w:val="Normal"/>
    <w:link w:val="HeaderChar"/>
    <w:uiPriority w:val="99"/>
    <w:unhideWhenUsed/>
    <w:rsid w:val="00BE0CE7"/>
    <w:pPr>
      <w:tabs>
        <w:tab w:val="center" w:pos="4513"/>
        <w:tab w:val="right" w:pos="9026"/>
      </w:tabs>
    </w:pPr>
  </w:style>
  <w:style w:type="character" w:customStyle="1" w:styleId="HeaderChar">
    <w:name w:val="Header Char"/>
    <w:basedOn w:val="DefaultParagraphFont"/>
    <w:link w:val="Header"/>
    <w:uiPriority w:val="99"/>
    <w:rsid w:val="00BE0CE7"/>
    <w:rPr>
      <w:rFonts w:ascii="Times New Roman" w:hAnsi="Times New Roman"/>
      <w:sz w:val="24"/>
      <w:szCs w:val="24"/>
    </w:rPr>
  </w:style>
  <w:style w:type="character" w:styleId="CommentReference">
    <w:name w:val="annotation reference"/>
    <w:basedOn w:val="DefaultParagraphFont"/>
    <w:uiPriority w:val="99"/>
    <w:semiHidden/>
    <w:unhideWhenUsed/>
    <w:rsid w:val="00114AF3"/>
    <w:rPr>
      <w:sz w:val="16"/>
      <w:szCs w:val="16"/>
    </w:rPr>
  </w:style>
  <w:style w:type="paragraph" w:styleId="CommentText">
    <w:name w:val="annotation text"/>
    <w:basedOn w:val="Normal"/>
    <w:link w:val="CommentTextChar"/>
    <w:uiPriority w:val="99"/>
    <w:semiHidden/>
    <w:unhideWhenUsed/>
    <w:rsid w:val="00114AF3"/>
    <w:rPr>
      <w:sz w:val="20"/>
      <w:szCs w:val="20"/>
    </w:rPr>
  </w:style>
  <w:style w:type="character" w:customStyle="1" w:styleId="CommentTextChar">
    <w:name w:val="Comment Text Char"/>
    <w:basedOn w:val="DefaultParagraphFont"/>
    <w:link w:val="CommentText"/>
    <w:uiPriority w:val="99"/>
    <w:semiHidden/>
    <w:rsid w:val="00114AF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14AF3"/>
    <w:rPr>
      <w:b/>
      <w:bCs/>
    </w:rPr>
  </w:style>
  <w:style w:type="character" w:customStyle="1" w:styleId="CommentSubjectChar">
    <w:name w:val="Comment Subject Char"/>
    <w:basedOn w:val="CommentTextChar"/>
    <w:link w:val="CommentSubject"/>
    <w:uiPriority w:val="99"/>
    <w:semiHidden/>
    <w:rsid w:val="00114AF3"/>
    <w:rPr>
      <w:rFonts w:ascii="Times New Roman" w:hAnsi="Times New Roman"/>
      <w:b/>
      <w:bCs/>
      <w:sz w:val="20"/>
      <w:szCs w:val="20"/>
    </w:rPr>
  </w:style>
  <w:style w:type="paragraph" w:customStyle="1" w:styleId="ATHeading2">
    <w:name w:val="AT Heading 2"/>
    <w:basedOn w:val="Normal"/>
    <w:next w:val="Normal"/>
    <w:rsid w:val="00451E1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451E12"/>
    <w:pPr>
      <w:keepNext/>
      <w:keepLines/>
      <w:spacing w:before="120" w:after="120"/>
      <w:jc w:val="left"/>
      <w:outlineLvl w:val="2"/>
    </w:pPr>
    <w:rPr>
      <w:rFonts w:eastAsia="Times New Roman"/>
      <w:b/>
      <w:szCs w:val="20"/>
      <w:lang w:eastAsia="fr-FR"/>
    </w:rPr>
  </w:style>
  <w:style w:type="paragraph" w:customStyle="1" w:styleId="ATHeading1">
    <w:name w:val="AT Heading 1"/>
    <w:basedOn w:val="Normal"/>
    <w:next w:val="Normal"/>
    <w:rsid w:val="00451E12"/>
    <w:pPr>
      <w:keepNext/>
      <w:keepLines/>
      <w:spacing w:before="480" w:after="120"/>
      <w:jc w:val="left"/>
      <w:outlineLvl w:val="0"/>
    </w:pPr>
    <w:rPr>
      <w:rFonts w:eastAsia="Times New Roman"/>
      <w:b/>
      <w:sz w:val="28"/>
      <w:szCs w:val="20"/>
      <w:lang w:eastAsia="fr-FR"/>
    </w:rPr>
  </w:style>
  <w:style w:type="paragraph" w:customStyle="1" w:styleId="NormalBold">
    <w:name w:val="NormalBold"/>
    <w:basedOn w:val="Normal"/>
    <w:link w:val="NormalBoldChar"/>
    <w:rsid w:val="00451E12"/>
    <w:pPr>
      <w:widowControl w:val="0"/>
      <w:jc w:val="left"/>
    </w:pPr>
    <w:rPr>
      <w:rFonts w:eastAsia="Times New Roman"/>
      <w:b/>
      <w:szCs w:val="20"/>
      <w:lang w:val="da-DK" w:eastAsia="en-GB"/>
    </w:rPr>
  </w:style>
  <w:style w:type="character" w:customStyle="1" w:styleId="NormalBoldChar">
    <w:name w:val="NormalBold Char"/>
    <w:basedOn w:val="DefaultParagraphFont"/>
    <w:link w:val="NormalBold"/>
    <w:locked/>
    <w:rsid w:val="00451E12"/>
    <w:rPr>
      <w:rFonts w:ascii="Times New Roman" w:eastAsia="Times New Roman" w:hAnsi="Times New Roman"/>
      <w:b/>
      <w:sz w:val="24"/>
      <w:szCs w:val="20"/>
      <w:lang w:val="da-DK"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6577</Words>
  <Characters>37493</Characters>
  <Application>Microsoft Office Word</Application>
  <DocSecurity>4</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43983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GOROPECNIK Tina</cp:lastModifiedBy>
  <cp:revision>2</cp:revision>
  <dcterms:created xsi:type="dcterms:W3CDTF">2024-11-29T12:16:00Z</dcterms:created>
  <dcterms:modified xsi:type="dcterms:W3CDTF">2024-11-29T12:16:00Z</dcterms:modified>
</cp:coreProperties>
</file>