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5483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54832" w:rsidRDefault="002E6D2D" w:rsidP="0010095E">
            <w:pPr>
              <w:pStyle w:val="EPName"/>
            </w:pPr>
            <w:r w:rsidRPr="00454832">
              <w:t>Parlament Europejski</w:t>
            </w:r>
          </w:p>
          <w:p w:rsidR="00751A4A" w:rsidRPr="0045483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5483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54832" w:rsidRDefault="00187494" w:rsidP="0010095E">
            <w:pPr>
              <w:pStyle w:val="EPLogo"/>
            </w:pPr>
            <w:r w:rsidRPr="0045483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54832" w:rsidRDefault="00D058B8" w:rsidP="004C5D52">
      <w:pPr>
        <w:pStyle w:val="LineTop"/>
      </w:pPr>
    </w:p>
    <w:p w:rsidR="00680577" w:rsidRPr="00454832" w:rsidRDefault="002E6D2D" w:rsidP="00680577">
      <w:pPr>
        <w:pStyle w:val="EPBodyTA1"/>
      </w:pPr>
      <w:r w:rsidRPr="00454832">
        <w:t>TEKSTY PRZYJĘTE</w:t>
      </w:r>
    </w:p>
    <w:p w:rsidR="00D058B8" w:rsidRPr="00454832" w:rsidRDefault="00D058B8" w:rsidP="00D058B8">
      <w:pPr>
        <w:pStyle w:val="LineBottom"/>
      </w:pPr>
    </w:p>
    <w:p w:rsidR="002E6D2D" w:rsidRPr="00454832" w:rsidRDefault="002E6D2D" w:rsidP="002E6D2D">
      <w:pPr>
        <w:pStyle w:val="ATHeading1"/>
      </w:pPr>
      <w:bookmarkStart w:id="0" w:name="TANumber"/>
      <w:proofErr w:type="spellStart"/>
      <w:r w:rsidRPr="00454832">
        <w:t>P9_TA</w:t>
      </w:r>
      <w:proofErr w:type="spellEnd"/>
      <w:r w:rsidRPr="00454832">
        <w:t>(2024)0</w:t>
      </w:r>
      <w:bookmarkEnd w:id="0"/>
      <w:r w:rsidR="007D26C8">
        <w:t>139</w:t>
      </w:r>
    </w:p>
    <w:p w:rsidR="002E6D2D" w:rsidRPr="00454832" w:rsidRDefault="002E6D2D" w:rsidP="002E6D2D">
      <w:pPr>
        <w:pStyle w:val="ATHeading2"/>
      </w:pPr>
      <w:bookmarkStart w:id="1" w:name="title"/>
      <w:r w:rsidRPr="00454832">
        <w:t>Zmiana dyrektywy w sprawie alternatywnych metod rozstrzygania sporów konsumenckich</w:t>
      </w:r>
      <w:bookmarkEnd w:id="1"/>
    </w:p>
    <w:p w:rsidR="002E6D2D" w:rsidRPr="00454832" w:rsidRDefault="002E6D2D" w:rsidP="002E6D2D">
      <w:pPr>
        <w:rPr>
          <w:i/>
          <w:vanish/>
        </w:rPr>
      </w:pPr>
      <w:r w:rsidRPr="00454832">
        <w:rPr>
          <w:i/>
        </w:rPr>
        <w:fldChar w:fldCharType="begin"/>
      </w:r>
      <w:r w:rsidRPr="00454832">
        <w:rPr>
          <w:i/>
        </w:rPr>
        <w:instrText xml:space="preserve"> TC"(</w:instrText>
      </w:r>
      <w:bookmarkStart w:id="2" w:name="DocNumber"/>
      <w:proofErr w:type="spellStart"/>
      <w:r w:rsidRPr="00454832">
        <w:rPr>
          <w:i/>
        </w:rPr>
        <w:instrText>A9</w:instrText>
      </w:r>
      <w:proofErr w:type="spellEnd"/>
      <w:r w:rsidRPr="00454832">
        <w:rPr>
          <w:i/>
        </w:rPr>
        <w:instrText>-0060/2024</w:instrText>
      </w:r>
      <w:bookmarkEnd w:id="2"/>
      <w:r w:rsidRPr="00454832">
        <w:rPr>
          <w:i/>
        </w:rPr>
        <w:instrText xml:space="preserve"> - Sprawozdawca: Laura </w:instrText>
      </w:r>
      <w:proofErr w:type="spellStart"/>
      <w:r w:rsidRPr="00454832">
        <w:rPr>
          <w:i/>
        </w:rPr>
        <w:instrText>Ballarín</w:instrText>
      </w:r>
      <w:proofErr w:type="spellEnd"/>
      <w:r w:rsidRPr="00454832">
        <w:rPr>
          <w:i/>
        </w:rPr>
        <w:instrText xml:space="preserve"> </w:instrText>
      </w:r>
      <w:proofErr w:type="spellStart"/>
      <w:r w:rsidRPr="00454832">
        <w:rPr>
          <w:i/>
        </w:rPr>
        <w:instrText>Cereza</w:instrText>
      </w:r>
      <w:proofErr w:type="spellEnd"/>
      <w:proofErr w:type="gramStart"/>
      <w:r w:rsidRPr="00454832">
        <w:rPr>
          <w:i/>
        </w:rPr>
        <w:instrText>)"\</w:instrText>
      </w:r>
      <w:proofErr w:type="spellStart"/>
      <w:r w:rsidRPr="00454832">
        <w:rPr>
          <w:i/>
        </w:rPr>
        <w:instrText>l</w:instrText>
      </w:r>
      <w:proofErr w:type="gramEnd"/>
      <w:r w:rsidRPr="00454832">
        <w:rPr>
          <w:i/>
        </w:rPr>
        <w:instrText>3</w:instrText>
      </w:r>
      <w:proofErr w:type="spellEnd"/>
      <w:r w:rsidRPr="00454832">
        <w:rPr>
          <w:i/>
        </w:rPr>
        <w:instrText xml:space="preserve"> \n&gt; \* </w:instrText>
      </w:r>
      <w:proofErr w:type="spellStart"/>
      <w:r w:rsidRPr="00454832">
        <w:rPr>
          <w:i/>
        </w:rPr>
        <w:instrText>MERGEFORMAT</w:instrText>
      </w:r>
      <w:proofErr w:type="spellEnd"/>
      <w:r w:rsidRPr="00454832">
        <w:rPr>
          <w:i/>
        </w:rPr>
        <w:instrText xml:space="preserve"> </w:instrText>
      </w:r>
      <w:r w:rsidRPr="00454832">
        <w:rPr>
          <w:i/>
        </w:rPr>
        <w:fldChar w:fldCharType="end"/>
      </w:r>
    </w:p>
    <w:p w:rsidR="002E6D2D" w:rsidRPr="00454832" w:rsidRDefault="002E6D2D" w:rsidP="002E6D2D">
      <w:pPr>
        <w:rPr>
          <w:vanish/>
        </w:rPr>
      </w:pPr>
      <w:bookmarkStart w:id="3" w:name="Commission"/>
      <w:r w:rsidRPr="00454832">
        <w:rPr>
          <w:vanish/>
        </w:rPr>
        <w:t>Komisja Rynku Wewnętrznego i Ochrony Konsumentów</w:t>
      </w:r>
      <w:bookmarkEnd w:id="3"/>
    </w:p>
    <w:p w:rsidR="002E6D2D" w:rsidRPr="00454832" w:rsidRDefault="002E6D2D" w:rsidP="002E6D2D">
      <w:pPr>
        <w:rPr>
          <w:vanish/>
        </w:rPr>
      </w:pPr>
      <w:bookmarkStart w:id="4" w:name="PE"/>
      <w:proofErr w:type="spellStart"/>
      <w:r w:rsidRPr="00454832">
        <w:rPr>
          <w:vanish/>
        </w:rPr>
        <w:t>PE757.840</w:t>
      </w:r>
      <w:bookmarkEnd w:id="4"/>
      <w:proofErr w:type="spellEnd"/>
    </w:p>
    <w:p w:rsidR="002E6D2D" w:rsidRPr="00454832" w:rsidRDefault="002E6D2D" w:rsidP="002E6D2D">
      <w:pPr>
        <w:pStyle w:val="ATHeading3"/>
      </w:pPr>
      <w:bookmarkStart w:id="5" w:name="Sujet"/>
      <w:r w:rsidRPr="00454832">
        <w:t xml:space="preserve">Rezolucja ustawodawcza Parlamentu Europejskiego z dnia </w:t>
      </w:r>
      <w:r w:rsidR="001A4C4E">
        <w:t>13 marca</w:t>
      </w:r>
      <w:r w:rsidRPr="00454832">
        <w:t xml:space="preserve"> 2024 r. w sprawie wniosku dotyczącego dyrektywy Parlamentu Europejskiego i Rady zmieniającej dyrektywę 2013/11/UE w sprawie alternatywnych metod rozstrzygania sporów konsumenckich oraz dyrektywy (UE) 2015/2302, (UE) 2019/2161 i (UE) 2020/1828</w:t>
      </w:r>
      <w:bookmarkEnd w:id="5"/>
      <w:r w:rsidRPr="00454832">
        <w:t xml:space="preserve"> </w:t>
      </w:r>
      <w:bookmarkStart w:id="6" w:name="References"/>
      <w:r w:rsidRPr="00454832">
        <w:t>(COM</w:t>
      </w:r>
      <w:proofErr w:type="gramStart"/>
      <w:r w:rsidRPr="00454832">
        <w:t xml:space="preserve">(2023)0649 – </w:t>
      </w:r>
      <w:proofErr w:type="spellStart"/>
      <w:r w:rsidRPr="00454832">
        <w:t>C</w:t>
      </w:r>
      <w:proofErr w:type="gramEnd"/>
      <w:r w:rsidRPr="00454832">
        <w:t>9</w:t>
      </w:r>
      <w:proofErr w:type="spellEnd"/>
      <w:r w:rsidRPr="00454832">
        <w:t>-0384/2023 – 2023/0376(COD))</w:t>
      </w:r>
      <w:bookmarkEnd w:id="6"/>
    </w:p>
    <w:p w:rsidR="00EC625E" w:rsidRPr="00454832" w:rsidRDefault="00EC625E" w:rsidP="00EC625E">
      <w:pPr>
        <w:pStyle w:val="NormalBold"/>
      </w:pPr>
      <w:bookmarkStart w:id="7" w:name="TextBodyBegin"/>
      <w:bookmarkEnd w:id="7"/>
      <w:r w:rsidRPr="00454832">
        <w:t>(Zwykła procedura ustawodawcza: pierwsze czytanie)</w:t>
      </w:r>
    </w:p>
    <w:p w:rsidR="00EC625E" w:rsidRPr="00454832" w:rsidRDefault="00EC625E" w:rsidP="00EC625E">
      <w:pPr>
        <w:pStyle w:val="EPComma"/>
      </w:pPr>
      <w:r w:rsidRPr="00454832">
        <w:rPr>
          <w:i/>
        </w:rPr>
        <w:t>Parlament Europejski</w:t>
      </w:r>
      <w:r w:rsidRPr="00454832">
        <w:t>,</w:t>
      </w:r>
    </w:p>
    <w:p w:rsidR="00EC625E" w:rsidRPr="00454832" w:rsidRDefault="00EC625E" w:rsidP="00EC625E">
      <w:pPr>
        <w:pStyle w:val="NormalHanging12a"/>
      </w:pPr>
      <w:r w:rsidRPr="00454832">
        <w:t>–</w:t>
      </w:r>
      <w:r w:rsidRPr="00454832">
        <w:tab/>
        <w:t>uwzględniając wniosek Komisji przedstawiony Parlamentowi Europejskiemu i Radzie (COM(2023)0649),</w:t>
      </w:r>
    </w:p>
    <w:p w:rsidR="00EC625E" w:rsidRPr="00454832" w:rsidRDefault="00EC625E" w:rsidP="00EC625E">
      <w:pPr>
        <w:pStyle w:val="NormalHanging12a"/>
      </w:pPr>
      <w:r w:rsidRPr="00454832">
        <w:t>–</w:t>
      </w:r>
      <w:r w:rsidRPr="00454832">
        <w:tab/>
        <w:t xml:space="preserve">uwzględniając art. 294 ust. 2 i art. 114 Traktatu o funkcjonowaniu Unii Europejskiej, </w:t>
      </w:r>
      <w:proofErr w:type="gramStart"/>
      <w:r w:rsidRPr="00454832">
        <w:t>zgodnie</w:t>
      </w:r>
      <w:proofErr w:type="gramEnd"/>
      <w:r w:rsidRPr="00454832">
        <w:t xml:space="preserve"> z którymi wniosek został przedstawiony Parlamentowi przez Komisję (</w:t>
      </w:r>
      <w:proofErr w:type="spellStart"/>
      <w:r w:rsidRPr="00454832">
        <w:t>C9</w:t>
      </w:r>
      <w:proofErr w:type="spellEnd"/>
      <w:r w:rsidRPr="00454832">
        <w:noBreakHyphen/>
        <w:t>0384/2023),</w:t>
      </w:r>
    </w:p>
    <w:p w:rsidR="00EC625E" w:rsidRPr="00454832" w:rsidRDefault="00EC625E" w:rsidP="00EC625E">
      <w:pPr>
        <w:pStyle w:val="NormalHanging12a"/>
      </w:pPr>
      <w:r w:rsidRPr="00454832">
        <w:t>–</w:t>
      </w:r>
      <w:r w:rsidRPr="00454832">
        <w:tab/>
        <w:t>uwzględniając art. 294 ust. 3 Traktatu o funkcjonowaniu Unii Europejskiej,</w:t>
      </w:r>
    </w:p>
    <w:p w:rsidR="00EC625E" w:rsidRPr="00454832" w:rsidRDefault="00EC625E" w:rsidP="00EC625E">
      <w:pPr>
        <w:pStyle w:val="NormalHanging12a"/>
      </w:pPr>
      <w:r w:rsidRPr="00454832">
        <w:t>–</w:t>
      </w:r>
      <w:r w:rsidRPr="00454832">
        <w:tab/>
        <w:t>uwzględniając opinię Europejskiego Komitetu Ekonomiczno-Społecznego z 14 lutego 2024 r.</w:t>
      </w:r>
      <w:r w:rsidRPr="00454832">
        <w:rPr>
          <w:rStyle w:val="FootnoteReference"/>
        </w:rPr>
        <w:footnoteReference w:id="1"/>
      </w:r>
      <w:r w:rsidRPr="00454832">
        <w:t>,</w:t>
      </w:r>
    </w:p>
    <w:p w:rsidR="00EC625E" w:rsidRPr="00454832" w:rsidRDefault="00EC625E" w:rsidP="00EC625E">
      <w:pPr>
        <w:pStyle w:val="NormalHanging12a"/>
      </w:pPr>
      <w:r w:rsidRPr="00454832">
        <w:t>–</w:t>
      </w:r>
      <w:r w:rsidRPr="00454832">
        <w:tab/>
        <w:t>uwzględniając art. 59 Regulaminu,</w:t>
      </w:r>
    </w:p>
    <w:p w:rsidR="00EC625E" w:rsidRPr="00454832" w:rsidRDefault="00EC625E" w:rsidP="00EC625E">
      <w:pPr>
        <w:pStyle w:val="NormalHanging12a"/>
      </w:pPr>
      <w:r w:rsidRPr="00454832">
        <w:t>–</w:t>
      </w:r>
      <w:r w:rsidRPr="00454832">
        <w:tab/>
        <w:t>uwzględniając opinię Komisji Transportu i Turystyki,</w:t>
      </w:r>
    </w:p>
    <w:p w:rsidR="00EC625E" w:rsidRPr="00454832" w:rsidRDefault="00EC625E" w:rsidP="00EC625E">
      <w:pPr>
        <w:pStyle w:val="NormalHanging12a"/>
      </w:pPr>
      <w:r w:rsidRPr="00454832">
        <w:t>–</w:t>
      </w:r>
      <w:r w:rsidRPr="00454832">
        <w:tab/>
        <w:t>uwzględniając sprawozdanie Komisji Rynku Wewnętrznego i Ochrony Konsumentów (</w:t>
      </w:r>
      <w:proofErr w:type="spellStart"/>
      <w:r w:rsidRPr="00454832">
        <w:t>A9</w:t>
      </w:r>
      <w:proofErr w:type="spellEnd"/>
      <w:r w:rsidRPr="00454832">
        <w:t>-0060/2024),</w:t>
      </w:r>
    </w:p>
    <w:p w:rsidR="00EC625E" w:rsidRPr="00454832" w:rsidRDefault="00EC625E" w:rsidP="00EC625E">
      <w:pPr>
        <w:pStyle w:val="NormalHanging12a"/>
      </w:pPr>
      <w:r w:rsidRPr="00454832">
        <w:t>1.</w:t>
      </w:r>
      <w:r w:rsidRPr="00454832">
        <w:tab/>
      </w:r>
      <w:proofErr w:type="gramStart"/>
      <w:r w:rsidRPr="00454832">
        <w:t>przyjmuje</w:t>
      </w:r>
      <w:proofErr w:type="gramEnd"/>
      <w:r w:rsidRPr="00454832">
        <w:t xml:space="preserve"> poniższe stanowisko w pierwszym czytaniu;</w:t>
      </w:r>
    </w:p>
    <w:p w:rsidR="00EC625E" w:rsidRPr="00454832" w:rsidRDefault="00EC625E" w:rsidP="00EC625E">
      <w:pPr>
        <w:pStyle w:val="NormalHanging12a"/>
      </w:pPr>
      <w:r w:rsidRPr="00454832">
        <w:t>2.</w:t>
      </w:r>
      <w:r w:rsidRPr="00454832">
        <w:tab/>
      </w:r>
      <w:proofErr w:type="gramStart"/>
      <w:r w:rsidRPr="00454832">
        <w:t>zwraca</w:t>
      </w:r>
      <w:proofErr w:type="gramEnd"/>
      <w:r w:rsidRPr="00454832">
        <w:t xml:space="preserve"> się do Komisji o ponowne przekazanie mu sprawy, jeśli zastąpi ona pierwotny </w:t>
      </w:r>
      <w:r w:rsidRPr="00454832">
        <w:lastRenderedPageBreak/>
        <w:t>wniosek, wprowadzi w nim istotne zmiany lub planuje ich wprowadzenie;</w:t>
      </w:r>
    </w:p>
    <w:p w:rsidR="003B0738" w:rsidRDefault="00EC625E" w:rsidP="00EC625E">
      <w:pPr>
        <w:pStyle w:val="NormalHanging12a"/>
      </w:pPr>
      <w:r w:rsidRPr="00454832">
        <w:t>3.</w:t>
      </w:r>
      <w:r w:rsidRPr="00454832">
        <w:tab/>
        <w:t>zobowiązuje swoją przewodniczącą do przekazania stanowiska Parlamentu Radzie</w:t>
      </w:r>
      <w:proofErr w:type="gramStart"/>
      <w:r w:rsidRPr="00454832">
        <w:t>, Komisji</w:t>
      </w:r>
      <w:proofErr w:type="gramEnd"/>
      <w:r w:rsidRPr="00454832">
        <w:t xml:space="preserve"> i parlamentom narodowym.</w:t>
      </w:r>
    </w:p>
    <w:p w:rsidR="00FA7F6A" w:rsidRDefault="00FA7F6A" w:rsidP="00EC625E">
      <w:pPr>
        <w:pStyle w:val="NormalHanging12a"/>
        <w:sectPr w:rsidR="00FA7F6A" w:rsidSect="0045483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B0738" w:rsidRPr="00FA7F6A" w:rsidRDefault="003B0738" w:rsidP="003B073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proofErr w:type="spellStart"/>
      <w:r w:rsidRPr="00FA7F6A">
        <w:rPr>
          <w:rFonts w:eastAsia="Calibri"/>
          <w:b/>
          <w:bCs/>
          <w:color w:val="000000"/>
        </w:rPr>
        <w:lastRenderedPageBreak/>
        <w:t>P9_TC1</w:t>
      </w:r>
      <w:proofErr w:type="spellEnd"/>
      <w:r w:rsidRPr="00FA7F6A">
        <w:rPr>
          <w:rFonts w:eastAsia="Calibri"/>
          <w:b/>
          <w:bCs/>
          <w:color w:val="000000"/>
        </w:rPr>
        <w:t>-COD(2023)0376</w:t>
      </w:r>
    </w:p>
    <w:p w:rsidR="003B0738" w:rsidRPr="003B0738" w:rsidRDefault="003B0738" w:rsidP="003B0738">
      <w:pPr>
        <w:pStyle w:val="Typedudocument"/>
        <w:spacing w:line="240" w:lineRule="auto"/>
        <w:jc w:val="left"/>
        <w:rPr>
          <w:lang w:val="pl-PL"/>
        </w:rPr>
      </w:pPr>
      <w:r w:rsidRPr="003B0738">
        <w:rPr>
          <w:rFonts w:eastAsia="Calibri"/>
          <w:bCs/>
          <w:lang w:val="pl-PL" w:eastAsia="en-GB"/>
        </w:rPr>
        <w:t xml:space="preserve">Stanowisko Parlamentu Europejskiego przyjęte w pierwszym czytaniu w dniu </w:t>
      </w:r>
      <w:r>
        <w:rPr>
          <w:rFonts w:eastAsia="Calibri"/>
          <w:bCs/>
          <w:lang w:val="pl-PL" w:eastAsia="en-GB"/>
        </w:rPr>
        <w:t>13 marca</w:t>
      </w:r>
      <w:r w:rsidRPr="003B0738">
        <w:rPr>
          <w:rFonts w:eastAsia="Calibri"/>
          <w:bCs/>
          <w:lang w:val="pl-PL" w:eastAsia="en-GB"/>
        </w:rPr>
        <w:t xml:space="preserve"> 2024 r. w celu przyjęcia dyrektywy Parlamentu Europejskiego i Rady (UE) 2024/... </w:t>
      </w:r>
      <w:proofErr w:type="gramStart"/>
      <w:r>
        <w:rPr>
          <w:lang w:val="pl-PL"/>
        </w:rPr>
        <w:t>zmieniającej</w:t>
      </w:r>
      <w:proofErr w:type="gramEnd"/>
      <w:r w:rsidRPr="003B0738">
        <w:rPr>
          <w:lang w:val="pl-PL"/>
        </w:rPr>
        <w:t xml:space="preserve"> dyrektywę 2013/11/UE w sprawie alternatywnych metod rozstrzygania sporów konsumenckich oraz dyrektywy (UE) 2015/2302, (UE) 2019/2161 i (UE) 2020/1828</w:t>
      </w:r>
    </w:p>
    <w:p w:rsidR="003B0738" w:rsidRPr="00FA7F6A" w:rsidRDefault="003B0738" w:rsidP="003B0738">
      <w:pPr>
        <w:pStyle w:val="IntrtEEE"/>
        <w:rPr>
          <w:lang w:val="pl-PL"/>
        </w:rPr>
      </w:pPr>
      <w:r w:rsidRPr="00FA7F6A">
        <w:rPr>
          <w:lang w:val="pl-PL"/>
        </w:rPr>
        <w:t>(</w:t>
      </w:r>
      <w:proofErr w:type="spellStart"/>
      <w:r w:rsidRPr="00FA7F6A">
        <w:rPr>
          <w:lang w:val="pl-PL"/>
        </w:rPr>
        <w:t>Text</w:t>
      </w:r>
      <w:proofErr w:type="spellEnd"/>
      <w:r w:rsidRPr="00FA7F6A">
        <w:rPr>
          <w:lang w:val="pl-PL"/>
        </w:rPr>
        <w:t xml:space="preserve"> with </w:t>
      </w:r>
      <w:proofErr w:type="spellStart"/>
      <w:r w:rsidRPr="00FA7F6A">
        <w:rPr>
          <w:lang w:val="pl-PL"/>
        </w:rPr>
        <w:t>EEA</w:t>
      </w:r>
      <w:proofErr w:type="spellEnd"/>
      <w:r w:rsidRPr="00FA7F6A">
        <w:rPr>
          <w:lang w:val="pl-PL"/>
        </w:rPr>
        <w:t xml:space="preserve"> </w:t>
      </w:r>
      <w:proofErr w:type="spellStart"/>
      <w:r w:rsidRPr="00FA7F6A">
        <w:rPr>
          <w:lang w:val="pl-PL"/>
        </w:rPr>
        <w:t>relevance</w:t>
      </w:r>
      <w:proofErr w:type="spellEnd"/>
      <w:r w:rsidRPr="00FA7F6A">
        <w:rPr>
          <w:lang w:val="pl-PL"/>
        </w:rPr>
        <w:t>)</w:t>
      </w:r>
    </w:p>
    <w:p w:rsidR="003B0738" w:rsidRPr="003B0738" w:rsidRDefault="003B0738" w:rsidP="003B0738">
      <w:pPr>
        <w:keepNext/>
        <w:spacing w:before="600" w:after="120" w:line="360" w:lineRule="auto"/>
        <w:rPr>
          <w:szCs w:val="24"/>
          <w:lang w:eastAsia="en-US"/>
        </w:rPr>
      </w:pPr>
      <w:r w:rsidRPr="003B0738">
        <w:rPr>
          <w:szCs w:val="24"/>
          <w:lang w:eastAsia="en-US"/>
        </w:rPr>
        <w:t>PARLAMENT EUROPEJSKI I RADA UNII EUROPEJSKIEJ,</w:t>
      </w:r>
    </w:p>
    <w:p w:rsidR="003B0738" w:rsidRPr="003B0738" w:rsidRDefault="003B0738" w:rsidP="003B0738">
      <w:pPr>
        <w:spacing w:before="120" w:after="120" w:line="360" w:lineRule="auto"/>
        <w:rPr>
          <w:lang w:eastAsia="en-US"/>
        </w:rPr>
      </w:pPr>
      <w:proofErr w:type="gramStart"/>
      <w:r w:rsidRPr="003B0738">
        <w:rPr>
          <w:lang w:eastAsia="en-US"/>
        </w:rPr>
        <w:t>uwzględniając</w:t>
      </w:r>
      <w:proofErr w:type="gramEnd"/>
      <w:r w:rsidRPr="003B0738">
        <w:rPr>
          <w:lang w:eastAsia="en-US"/>
        </w:rPr>
        <w:t xml:space="preserve"> Traktat o funkcjonowaniu Unii Europejskiej, w szczególności jego art. 114,</w:t>
      </w:r>
    </w:p>
    <w:p w:rsidR="003B0738" w:rsidRPr="003B0738" w:rsidRDefault="003B0738" w:rsidP="003B0738">
      <w:pPr>
        <w:spacing w:before="120" w:after="120" w:line="360" w:lineRule="auto"/>
        <w:rPr>
          <w:lang w:eastAsia="en-US"/>
        </w:rPr>
      </w:pPr>
      <w:proofErr w:type="gramStart"/>
      <w:r w:rsidRPr="003B0738">
        <w:rPr>
          <w:lang w:eastAsia="en-US"/>
        </w:rPr>
        <w:t>uwzględniając</w:t>
      </w:r>
      <w:proofErr w:type="gramEnd"/>
      <w:r w:rsidRPr="003B0738">
        <w:rPr>
          <w:lang w:eastAsia="en-US"/>
        </w:rPr>
        <w:t xml:space="preserve"> wniosek Komisji Europejskiej,</w:t>
      </w:r>
    </w:p>
    <w:p w:rsidR="003B0738" w:rsidRPr="003B0738" w:rsidRDefault="003B0738" w:rsidP="003B0738">
      <w:pPr>
        <w:spacing w:before="120" w:after="120" w:line="360" w:lineRule="auto"/>
        <w:rPr>
          <w:lang w:eastAsia="en-US"/>
        </w:rPr>
      </w:pPr>
      <w:proofErr w:type="gramStart"/>
      <w:r w:rsidRPr="003B0738">
        <w:rPr>
          <w:lang w:eastAsia="en-US"/>
        </w:rPr>
        <w:t>po</w:t>
      </w:r>
      <w:proofErr w:type="gramEnd"/>
      <w:r w:rsidRPr="003B0738">
        <w:rPr>
          <w:lang w:eastAsia="en-US"/>
        </w:rPr>
        <w:t xml:space="preserve"> przekazaniu projektu aktu ustawodawczego parlamentom narodowym,</w:t>
      </w:r>
    </w:p>
    <w:p w:rsidR="003B0738" w:rsidRPr="003B0738" w:rsidRDefault="003B0738" w:rsidP="003B0738">
      <w:pPr>
        <w:spacing w:before="120" w:after="120" w:line="360" w:lineRule="auto"/>
        <w:rPr>
          <w:lang w:eastAsia="en-US"/>
        </w:rPr>
      </w:pPr>
      <w:proofErr w:type="gramStart"/>
      <w:r w:rsidRPr="003B0738">
        <w:rPr>
          <w:lang w:eastAsia="en-US"/>
        </w:rPr>
        <w:t>uwzględniając</w:t>
      </w:r>
      <w:proofErr w:type="gramEnd"/>
      <w:r w:rsidRPr="003B0738">
        <w:rPr>
          <w:lang w:eastAsia="en-US"/>
        </w:rPr>
        <w:t xml:space="preserve"> opinię Europejskiego Komitetu Ekonomiczno-Społecznego,</w:t>
      </w:r>
    </w:p>
    <w:p w:rsidR="003B0738" w:rsidRPr="003B0738" w:rsidRDefault="003B0738" w:rsidP="003B0738">
      <w:pPr>
        <w:spacing w:before="120" w:after="120" w:line="360" w:lineRule="auto"/>
        <w:rPr>
          <w:lang w:eastAsia="en-US"/>
        </w:rPr>
      </w:pPr>
      <w:proofErr w:type="gramStart"/>
      <w:r w:rsidRPr="003B0738">
        <w:rPr>
          <w:lang w:eastAsia="en-US"/>
        </w:rPr>
        <w:t>stanowiąc</w:t>
      </w:r>
      <w:proofErr w:type="gramEnd"/>
      <w:r w:rsidRPr="003B0738">
        <w:rPr>
          <w:lang w:eastAsia="en-US"/>
        </w:rPr>
        <w:t xml:space="preserve"> zgodnie ze zwykłą procedurą ustawodawczą,</w:t>
      </w:r>
    </w:p>
    <w:p w:rsidR="003B0738" w:rsidRDefault="003B0738">
      <w:pPr>
        <w:widowControl/>
        <w:rPr>
          <w:lang w:eastAsia="en-US"/>
        </w:rPr>
      </w:pPr>
      <w:r>
        <w:rPr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rPr>
          <w:lang w:eastAsia="en-US"/>
        </w:rPr>
      </w:pPr>
      <w:proofErr w:type="gramStart"/>
      <w:r w:rsidRPr="003B0738">
        <w:rPr>
          <w:lang w:eastAsia="en-US"/>
        </w:rPr>
        <w:lastRenderedPageBreak/>
        <w:t>a</w:t>
      </w:r>
      <w:proofErr w:type="gramEnd"/>
      <w:r w:rsidRPr="003B0738">
        <w:rPr>
          <w:lang w:eastAsia="en-US"/>
        </w:rPr>
        <w:t xml:space="preserve"> także mając na uwadze, co następuje: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3B0738">
        <w:rPr>
          <w:szCs w:val="24"/>
          <w:lang w:eastAsia="en-US"/>
        </w:rPr>
        <w:t>(1)</w:t>
      </w:r>
      <w:r w:rsidRPr="003B0738">
        <w:rPr>
          <w:szCs w:val="24"/>
          <w:lang w:eastAsia="en-US"/>
        </w:rPr>
        <w:tab/>
        <w:t>Dyrektywę</w:t>
      </w:r>
      <w:proofErr w:type="gramEnd"/>
      <w:r w:rsidRPr="003B0738">
        <w:rPr>
          <w:szCs w:val="24"/>
          <w:lang w:eastAsia="en-US"/>
        </w:rPr>
        <w:t xml:space="preserve"> Parlamentu Europejskiego i Rady 2013/11/UE</w:t>
      </w:r>
      <w:r w:rsidRPr="003B0738">
        <w:rPr>
          <w:szCs w:val="24"/>
          <w:vertAlign w:val="superscript"/>
          <w:lang w:val="en-GB" w:eastAsia="en-US"/>
        </w:rPr>
        <w:footnoteReference w:id="2"/>
      </w:r>
      <w:r w:rsidRPr="003B0738">
        <w:rPr>
          <w:szCs w:val="24"/>
          <w:lang w:eastAsia="en-US"/>
        </w:rPr>
        <w:t xml:space="preserve"> przyjęto w celu zapewnienia konsumentom w Unii dostępu do wysokiej jakości alternatywnych metod rozstrzygania sporów („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”) umożliwiających rozstrzyganie sporów dotyczących umów sprzedaży towarów lub umów o świadczenie usług zawartych między przedsiębiorcami mającymi siedzibę w Unii a konsumentami zamieszkałymi w Unii. W dyrektywie tej przewidziano dostępność postępowań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dla wszystkich rodzajów krajowych i transgranicznych sporów konsumenckich w Unii, przy zapewnieniu minimalnych norm jakości postępowań ADR. Dyrektywa zobowiązuje państwa członkowskie do monitorowania działalności podmiotów ADR. Aby zwiększyć świadomość konsumentów i promować stosowanie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>, w dyrektywie przewidziano również, że przedsiębiorcy powinni być zobowiązani do informowania konsumentów o możliwości pozasądowego rozstrzygania sporów w drodze postępowań ADR.</w:t>
      </w:r>
    </w:p>
    <w:p w:rsidR="003B0738" w:rsidRDefault="003B0738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3B0738">
        <w:rPr>
          <w:szCs w:val="24"/>
          <w:lang w:eastAsia="en-US"/>
        </w:rPr>
        <w:lastRenderedPageBreak/>
        <w:t>(2)</w:t>
      </w:r>
      <w:r w:rsidRPr="003B0738">
        <w:rPr>
          <w:szCs w:val="24"/>
          <w:lang w:eastAsia="en-US"/>
        </w:rPr>
        <w:tab/>
        <w:t>W</w:t>
      </w:r>
      <w:proofErr w:type="gramEnd"/>
      <w:r w:rsidRPr="003B0738">
        <w:rPr>
          <w:szCs w:val="24"/>
          <w:lang w:eastAsia="en-US"/>
        </w:rPr>
        <w:t xml:space="preserve"> 2019 r. Komisja przyjęła sprawozdanie z wdrożenia dyrektywy 2013/11/UE i rozporządzenia Parlamentu Europejskiego i Rady (UE) nr 524/2013</w:t>
      </w:r>
      <w:r w:rsidRPr="003B0738">
        <w:rPr>
          <w:szCs w:val="24"/>
          <w:vertAlign w:val="superscript"/>
          <w:lang w:val="en-GB" w:eastAsia="en-US"/>
        </w:rPr>
        <w:footnoteReference w:id="3"/>
      </w:r>
      <w:r w:rsidRPr="003B0738">
        <w:rPr>
          <w:szCs w:val="24"/>
          <w:lang w:eastAsia="en-US"/>
        </w:rPr>
        <w:t xml:space="preserve">, w którym stwierdzono, że dzięki dyrektywie 2013/11/UE wzrosła obecność wysokiej jakości podmiotów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na rynkach konsumenckich w całej Unii. W sprawozdaniu stwierdzono jednak również, że w niektórych sektorach i państwach członkowskich niewielu konsumentów i niewiele przedsiębiorstw korzysta z postępowań ADR. Jedną z przyczyn tego stanu rzeczy był niski poziom świadomości przedsiębiorców i konsumentów na temat takich postępowań w państwach członkowskich, w których dopiero niedawno je wprowadzono. Innym powodem był brak zaufania konsumentów i przedsiębiorców do nieregulowanych podmiotów ADR. Dane przekazane na początku 2022 r. przez właściwe organy krajowe oraz ocena wdrożenia dyrektywy 2013/11/UE przeprowadzona w 2023 r. wskazują na to, że poziom korzystania z postępowań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pozostał stosunkowo stabilny (poza niewielkim wzrostem liczby spraw związanych z pandemią </w:t>
      </w:r>
      <w:proofErr w:type="spellStart"/>
      <w:r w:rsidRPr="003B0738">
        <w:rPr>
          <w:szCs w:val="24"/>
          <w:lang w:eastAsia="en-US"/>
        </w:rPr>
        <w:t>COVID</w:t>
      </w:r>
      <w:proofErr w:type="spellEnd"/>
      <w:r w:rsidRPr="003B0738">
        <w:rPr>
          <w:szCs w:val="24"/>
          <w:lang w:eastAsia="en-US"/>
        </w:rPr>
        <w:t xml:space="preserve">-19). Większość zainteresowanych stron, z którymi skonsultowano się w kontekście tej oceny, potwierdziła, że korzystanie z postępowań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najczęściej utrudniają: brak wiedzy o postępowaniach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i zrozumienia ich przez konsumentów, niski poziom zaangażowania przedsiębiorców, luki w zasięgu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w niektórych państwach członkowskich, wysokie koszty i złożoność krajowych postępowań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oraz różnice w kompetencjach podmiotów ADR. W transgranicznym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istnieją dodatkowe bariery, takie jak brak znajomości języka i prawa mającego zastosowanie, a także szczególne trudności w dostępie dla konsumentów podatnych na zagrożenia.</w:t>
      </w:r>
    </w:p>
    <w:p w:rsidR="003B0738" w:rsidRDefault="003B0738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lastRenderedPageBreak/>
        <w:t>(</w:t>
      </w:r>
      <w:proofErr w:type="spellStart"/>
      <w:r w:rsidRPr="003B0738">
        <w:rPr>
          <w:b/>
          <w:i/>
          <w:szCs w:val="24"/>
          <w:lang w:eastAsia="en-US"/>
        </w:rPr>
        <w:t>2a</w:t>
      </w:r>
      <w:proofErr w:type="spellEnd"/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Aby</w:t>
      </w:r>
      <w:proofErr w:type="gramEnd"/>
      <w:r w:rsidRPr="003B0738">
        <w:rPr>
          <w:b/>
          <w:i/>
          <w:szCs w:val="24"/>
          <w:lang w:eastAsia="en-US"/>
        </w:rPr>
        <w:t xml:space="preserve"> w pełni wykorzystać swój potencjał i zapewnić korzyści konsumentom, niniejsza dyrektywa powinna nakładać obowiązek udziału na przewoźników lotniczych objętych rozporządzeniem (WE) nr 261/2004, pod warunkiem że nie uniemożliwia to stronom korzystania z przysługującego im prawa dostępu do systemu sądowego. Tak jest, ponieważ w szeregu badań zwrócono uwagę na dużą liczbę skarg konsumentów w sektorze transportu i turystyki, zwłaszcza w dziedzinie praw pasażerów linii lotniczych.</w:t>
      </w:r>
      <w:r>
        <w:rPr>
          <w:b/>
          <w:szCs w:val="24"/>
          <w:lang w:eastAsia="en-US"/>
        </w:rPr>
        <w:t xml:space="preserve"> [Popr. 1]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(</w:t>
      </w:r>
      <w:proofErr w:type="spellStart"/>
      <w:r w:rsidRPr="003B0738">
        <w:rPr>
          <w:b/>
          <w:i/>
          <w:szCs w:val="24"/>
          <w:lang w:eastAsia="en-US"/>
        </w:rPr>
        <w:t>2b</w:t>
      </w:r>
      <w:proofErr w:type="spellEnd"/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Podmioty</w:t>
      </w:r>
      <w:proofErr w:type="gramEnd"/>
      <w:r w:rsidRPr="003B0738">
        <w:rPr>
          <w:b/>
          <w:i/>
          <w:szCs w:val="24"/>
          <w:lang w:eastAsia="en-US"/>
        </w:rPr>
        <w:t xml:space="preserve">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powinny podawać właściwym organom wykaz przedsiębiorców, którzy systematycznie i w sposób nieuzasadniony odmawiają zastosowania się do wyników postępowań ADR. Ponadto państwa członkowskie powinny zapewnić, aby w przypadku gdy przedsiębiorcy nie stosują się do wyniku postępowania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, byli oni zobowiązani do przedstawienia innym stronom postępowania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pisemnego wyjaśnienia.</w:t>
      </w:r>
      <w:r>
        <w:rPr>
          <w:b/>
          <w:szCs w:val="24"/>
          <w:lang w:eastAsia="en-US"/>
        </w:rPr>
        <w:t xml:space="preserve"> [Popr. 2]</w:t>
      </w:r>
    </w:p>
    <w:p w:rsidR="003B0738" w:rsidRDefault="003B0738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3B0738">
        <w:rPr>
          <w:szCs w:val="24"/>
          <w:lang w:eastAsia="en-US"/>
        </w:rPr>
        <w:lastRenderedPageBreak/>
        <w:t>(3)</w:t>
      </w:r>
      <w:r w:rsidRPr="003B0738">
        <w:rPr>
          <w:szCs w:val="24"/>
          <w:lang w:eastAsia="en-US"/>
        </w:rPr>
        <w:tab/>
        <w:t>Zważywszy</w:t>
      </w:r>
      <w:proofErr w:type="gramEnd"/>
      <w:r w:rsidRPr="003B0738">
        <w:rPr>
          <w:szCs w:val="24"/>
          <w:lang w:eastAsia="en-US"/>
        </w:rPr>
        <w:t xml:space="preserve">, że co najmniej dwie piąte transakcji internetowych dokonywanych przez konsumentów zamieszkałych w Unii jest zawieranych z przedsiębiorcami mającymi siedzibę w państwach trzecich, należy rozszerzyć zakres dyrektywy 2013/11/UE, aby umożliwić udział w postępowaniach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zainteresowanym przedsiębiorcom z państw trzecich. Żadne przeszkody proceduralne nie powinny utrudniać konsumentom zamieszkałym w Unii rozstrzygania sporów z przedsiębiorcami, niezależnie od ich siedziby, zgadzającymi się na skorzystanie z postępowania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za pośrednictwem podmiotu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mającego siedzibę w państwie członkowskim.</w:t>
      </w:r>
      <w:r w:rsidRPr="003B0738">
        <w:rPr>
          <w:b/>
          <w:i/>
          <w:szCs w:val="24"/>
          <w:lang w:eastAsia="en-US"/>
        </w:rPr>
        <w:t xml:space="preserve"> Zgodnie z obowiązującym prawem Unii konsument powinien mieć możliwość wszczęcia postępowania w państwie członkowskim, w którym zamieszkuje. Nie powinien być możliwy dostęp do postępowań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w państwie członkowskim, w którym nie zamieszkuje konsument, ani w którym nie ma siedziby przedsiębiorca.</w:t>
      </w:r>
      <w:r>
        <w:rPr>
          <w:b/>
          <w:szCs w:val="24"/>
          <w:lang w:eastAsia="en-US"/>
        </w:rPr>
        <w:t xml:space="preserve"> [Popr. 3]</w:t>
      </w:r>
    </w:p>
    <w:p w:rsidR="003B0738" w:rsidRDefault="003B0738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3B0738">
        <w:rPr>
          <w:szCs w:val="24"/>
          <w:lang w:eastAsia="en-US"/>
        </w:rPr>
        <w:lastRenderedPageBreak/>
        <w:t>(4)</w:t>
      </w:r>
      <w:r w:rsidRPr="003B0738">
        <w:rPr>
          <w:szCs w:val="24"/>
          <w:lang w:eastAsia="en-US"/>
        </w:rPr>
        <w:tab/>
        <w:t>O</w:t>
      </w:r>
      <w:r>
        <w:rPr>
          <w:szCs w:val="24"/>
          <w:lang w:eastAsia="en-US"/>
        </w:rPr>
        <w:t>d</w:t>
      </w:r>
      <w:proofErr w:type="gramEnd"/>
      <w:r>
        <w:rPr>
          <w:szCs w:val="24"/>
          <w:lang w:eastAsia="en-US"/>
        </w:rPr>
        <w:t xml:space="preserve"> czasu przyjęcia dyrektywy 2013/11</w:t>
      </w:r>
      <w:r w:rsidRPr="003B0738">
        <w:rPr>
          <w:szCs w:val="24"/>
          <w:lang w:eastAsia="en-US"/>
        </w:rPr>
        <w:t>/UE złożoność sporów konsumenckich znacznie wzrosła. Cyfryzacja towarów i usług oraz rosnące znaczenie handlu elektronicznego i reklamy cyfrowej dla umów konsumenckich doprowadziły do wzrostu liczby konsumentów narażonych na wprowadzające w błąd informacje online i zwodnicze interfejsy uniemożliwiające im podejmowanie świadomych decyzji o zakupie. Konieczne jest zatem doprecyzowanie, że spory wynikłe w związku z umową sprzedaży towarów lub umową o świadczenie usług mogą dotyczyć także treści i usług cyfrowych, oraz rozszerzenie zakresu stosowania dyrektywy 201</w:t>
      </w:r>
      <w:r>
        <w:rPr>
          <w:szCs w:val="24"/>
          <w:lang w:eastAsia="en-US"/>
        </w:rPr>
        <w:t>3</w:t>
      </w:r>
      <w:r w:rsidRPr="003B0738">
        <w:rPr>
          <w:szCs w:val="24"/>
          <w:lang w:eastAsia="en-US"/>
        </w:rPr>
        <w:t>/1</w:t>
      </w:r>
      <w:r>
        <w:rPr>
          <w:szCs w:val="24"/>
          <w:lang w:eastAsia="en-US"/>
        </w:rPr>
        <w:t>1</w:t>
      </w:r>
      <w:r w:rsidRPr="003B0738">
        <w:rPr>
          <w:szCs w:val="24"/>
          <w:lang w:eastAsia="en-US"/>
        </w:rPr>
        <w:t xml:space="preserve">/UE, aby oprócz rozstrzygania sporów umownych, konsumenci mogli również dochodzić roszczeń z tytułu szkodzących im praktyk </w:t>
      </w:r>
      <w:proofErr w:type="spellStart"/>
      <w:r w:rsidRPr="003B0738">
        <w:rPr>
          <w:szCs w:val="24"/>
          <w:lang w:eastAsia="en-US"/>
        </w:rPr>
        <w:t>przedumownych</w:t>
      </w:r>
      <w:proofErr w:type="spellEnd"/>
      <w:r w:rsidRPr="003B0738">
        <w:rPr>
          <w:szCs w:val="24"/>
          <w:lang w:eastAsia="en-US"/>
        </w:rPr>
        <w:t xml:space="preserve">, </w:t>
      </w:r>
      <w:r w:rsidRPr="003B0738">
        <w:rPr>
          <w:strike/>
          <w:szCs w:val="24"/>
          <w:lang w:eastAsia="en-US"/>
        </w:rPr>
        <w:t xml:space="preserve">niezależnie od tego, </w:t>
      </w:r>
      <w:proofErr w:type="spellStart"/>
      <w:r w:rsidRPr="003B0738">
        <w:rPr>
          <w:strike/>
          <w:szCs w:val="24"/>
          <w:lang w:eastAsia="en-US"/>
        </w:rPr>
        <w:t>czy</w:t>
      </w:r>
      <w:r w:rsidRPr="003B0738">
        <w:rPr>
          <w:b/>
          <w:i/>
          <w:szCs w:val="24"/>
          <w:lang w:eastAsia="en-US"/>
        </w:rPr>
        <w:t>pod</w:t>
      </w:r>
      <w:proofErr w:type="spellEnd"/>
      <w:r w:rsidRPr="003B0738">
        <w:rPr>
          <w:b/>
          <w:i/>
          <w:szCs w:val="24"/>
          <w:lang w:eastAsia="en-US"/>
        </w:rPr>
        <w:t xml:space="preserve"> warunkiem że</w:t>
      </w:r>
      <w:r w:rsidRPr="003B0738">
        <w:rPr>
          <w:szCs w:val="24"/>
          <w:lang w:eastAsia="en-US"/>
        </w:rPr>
        <w:t xml:space="preserve"> później związali się umową</w:t>
      </w:r>
      <w:r w:rsidRPr="003B0738">
        <w:rPr>
          <w:b/>
          <w:i/>
          <w:szCs w:val="24"/>
          <w:lang w:eastAsia="en-US"/>
        </w:rPr>
        <w:t>, lub na etapie po zawarciu umowy</w:t>
      </w:r>
      <w:r w:rsidRPr="003B0738">
        <w:rPr>
          <w:szCs w:val="24"/>
          <w:lang w:eastAsia="en-US"/>
        </w:rPr>
        <w:t>.</w:t>
      </w:r>
      <w:r>
        <w:rPr>
          <w:b/>
          <w:szCs w:val="24"/>
          <w:lang w:eastAsia="en-US"/>
        </w:rPr>
        <w:t xml:space="preserve"> [Popr. 4]</w:t>
      </w:r>
    </w:p>
    <w:p w:rsidR="003B0738" w:rsidRDefault="003B0738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>
        <w:rPr>
          <w:szCs w:val="24"/>
          <w:lang w:eastAsia="en-US"/>
        </w:rPr>
        <w:lastRenderedPageBreak/>
        <w:t>(5)</w:t>
      </w:r>
      <w:r>
        <w:rPr>
          <w:szCs w:val="24"/>
          <w:lang w:eastAsia="en-US"/>
        </w:rPr>
        <w:tab/>
        <w:t>Ponadto</w:t>
      </w:r>
      <w:proofErr w:type="gramEnd"/>
      <w:r>
        <w:rPr>
          <w:szCs w:val="24"/>
          <w:lang w:eastAsia="en-US"/>
        </w:rPr>
        <w:t xml:space="preserve"> dyrektywa 2013</w:t>
      </w:r>
      <w:r w:rsidRPr="003B0738">
        <w:rPr>
          <w:szCs w:val="24"/>
          <w:lang w:eastAsia="en-US"/>
        </w:rPr>
        <w:t>/1</w:t>
      </w:r>
      <w:r>
        <w:rPr>
          <w:szCs w:val="24"/>
          <w:lang w:eastAsia="en-US"/>
        </w:rPr>
        <w:t>1</w:t>
      </w:r>
      <w:r w:rsidRPr="003B0738">
        <w:rPr>
          <w:szCs w:val="24"/>
          <w:lang w:eastAsia="en-US"/>
        </w:rPr>
        <w:t>/UE powinna również obejmować prawa konsumentów wynikające z przepisów Unii regulujących relacje między konsumentami a przedsiębiorcami w sytuacjach, gdy nie ma między nimi relacji o charakterze umownym, w odniesieniu do prawa dostępu do towarów i usług i płatności za towary i usługi bez dyskryminacji ze względu na obywatelstwo, miejsce zamieszkania lub siedzibę, jak określono w art. 4 i 5 rozporządzenia Parlamentu Europejskiego i Rady (UE) 2018/302</w:t>
      </w:r>
      <w:r w:rsidRPr="003B0738">
        <w:rPr>
          <w:szCs w:val="24"/>
          <w:vertAlign w:val="superscript"/>
          <w:lang w:val="en-GB" w:eastAsia="en-US"/>
        </w:rPr>
        <w:footnoteReference w:id="4"/>
      </w:r>
      <w:r w:rsidRPr="003B0738">
        <w:rPr>
          <w:b/>
          <w:i/>
          <w:szCs w:val="24"/>
          <w:lang w:eastAsia="en-US"/>
        </w:rPr>
        <w:t>, lub z jakiejkolwiek przyczyny, o której mowa w art. 21 Karty praw podstawowych Unii Europejskiej</w:t>
      </w:r>
      <w:r w:rsidRPr="003B0738">
        <w:rPr>
          <w:szCs w:val="24"/>
          <w:lang w:eastAsia="en-US"/>
        </w:rPr>
        <w:t>; w odniesieniu do prawa do otwarcia i przenoszenia rachunków bankowych, jak określono w art. 9, 10, 11 i 16 dyrektywy Parlamentu Europejskiego i Rady 2014/92/UE</w:t>
      </w:r>
      <w:r w:rsidRPr="003B0738">
        <w:rPr>
          <w:szCs w:val="24"/>
          <w:vertAlign w:val="superscript"/>
          <w:lang w:val="en-GB" w:eastAsia="en-US"/>
        </w:rPr>
        <w:footnoteReference w:id="5"/>
      </w:r>
      <w:r w:rsidRPr="003B0738">
        <w:rPr>
          <w:szCs w:val="24"/>
          <w:lang w:eastAsia="en-US"/>
        </w:rPr>
        <w:t xml:space="preserve">, oraz prawa do niedyskryminacji, jak określono w art. 15 tej dyrektywy; w odniesieniu do prawa do uzyskania przejrzystych informacji o warunkach detalicznych rozmów i wiadomości SMS w </w:t>
      </w:r>
      <w:proofErr w:type="spellStart"/>
      <w:r w:rsidRPr="003B0738">
        <w:rPr>
          <w:szCs w:val="24"/>
          <w:lang w:eastAsia="en-US"/>
        </w:rPr>
        <w:t>roamingu</w:t>
      </w:r>
      <w:proofErr w:type="spellEnd"/>
      <w:r w:rsidRPr="003B0738">
        <w:rPr>
          <w:szCs w:val="24"/>
          <w:lang w:eastAsia="en-US"/>
        </w:rPr>
        <w:t>, jak określono w art. 13, 14 i 15 rozporządzenia Parlamentu Europejskiego i Rady (UE) 2022/612</w:t>
      </w:r>
      <w:r w:rsidRPr="003B0738">
        <w:rPr>
          <w:szCs w:val="24"/>
          <w:vertAlign w:val="superscript"/>
          <w:lang w:val="en-GB" w:eastAsia="en-US"/>
        </w:rPr>
        <w:footnoteReference w:id="6"/>
      </w:r>
      <w:r w:rsidRPr="003B0738">
        <w:rPr>
          <w:szCs w:val="24"/>
          <w:lang w:eastAsia="en-US"/>
        </w:rPr>
        <w:t xml:space="preserve"> oraz w odniesieniu do przejrzystości cen w taryfach i stawkach lotniczych, jak określono w art. 23 rozporządzenia Parlamentu Europejskiego i Rady (WE) nr 1008/2008</w:t>
      </w:r>
      <w:r w:rsidRPr="003B0738">
        <w:rPr>
          <w:szCs w:val="24"/>
          <w:vertAlign w:val="superscript"/>
          <w:lang w:val="en-GB" w:eastAsia="en-US"/>
        </w:rPr>
        <w:footnoteReference w:id="7"/>
      </w:r>
      <w:r w:rsidRPr="003B0738">
        <w:rPr>
          <w:szCs w:val="24"/>
          <w:lang w:eastAsia="en-US"/>
        </w:rPr>
        <w:t xml:space="preserve">. Należy zatem przewidzieć możliwość rozstrzygania w postępowaniach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sporów dotyczących tych kategorii praw konsumentów.</w:t>
      </w:r>
      <w:r>
        <w:rPr>
          <w:b/>
          <w:szCs w:val="24"/>
          <w:lang w:eastAsia="en-US"/>
        </w:rPr>
        <w:t xml:space="preserve"> [Popr. 5]</w:t>
      </w:r>
    </w:p>
    <w:p w:rsidR="003B0738" w:rsidRDefault="003B0738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lastRenderedPageBreak/>
        <w:t>(</w:t>
      </w:r>
      <w:proofErr w:type="spellStart"/>
      <w:r w:rsidRPr="003B0738">
        <w:rPr>
          <w:b/>
          <w:i/>
          <w:szCs w:val="24"/>
          <w:lang w:eastAsia="en-US"/>
        </w:rPr>
        <w:t>5a</w:t>
      </w:r>
      <w:proofErr w:type="spellEnd"/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Państwa</w:t>
      </w:r>
      <w:proofErr w:type="gramEnd"/>
      <w:r w:rsidRPr="003B0738">
        <w:rPr>
          <w:b/>
          <w:i/>
          <w:szCs w:val="24"/>
          <w:lang w:eastAsia="en-US"/>
        </w:rPr>
        <w:t xml:space="preserve"> członkowskie powinny wziąć pod uwagę zalecenie Komisji z 17 października 2023 r. w sprawie wymogów jakościowych dotyczących postępowań w zakresie rozstrzygania sporów oferowanych przez internetowe platformy handlowe i unijne stowarzyszenia handlowe. Należy zachęcać Komisję do uzupełnienia niniejszej dyrektywy rozporządzeniem w sprawie wymogów jakościowych dotyczących postępowań w zakresie rozstrzygania sporów oferowanych przez internetowe platformy handlowe i unijne stowarzyszenia handlowe.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3B0738">
        <w:rPr>
          <w:szCs w:val="24"/>
          <w:lang w:eastAsia="en-US"/>
        </w:rPr>
        <w:t>(6)</w:t>
      </w:r>
      <w:r w:rsidRPr="003B0738">
        <w:rPr>
          <w:szCs w:val="24"/>
          <w:lang w:eastAsia="en-US"/>
        </w:rPr>
        <w:tab/>
        <w:t>Państwa</w:t>
      </w:r>
      <w:proofErr w:type="gramEnd"/>
      <w:r w:rsidRPr="003B0738">
        <w:rPr>
          <w:szCs w:val="24"/>
          <w:lang w:eastAsia="en-US"/>
        </w:rPr>
        <w:t xml:space="preserve"> członkowskie powinny mieć prawo do stosowania postępowań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również w sporach dotyczących innych praw pozaumownych wynikających z prawa Unii, w tym praw wynikających z art. 101 i 102 </w:t>
      </w:r>
      <w:proofErr w:type="spellStart"/>
      <w:r w:rsidRPr="003B0738">
        <w:rPr>
          <w:szCs w:val="24"/>
          <w:lang w:eastAsia="en-US"/>
        </w:rPr>
        <w:t>TFUE</w:t>
      </w:r>
      <w:proofErr w:type="spellEnd"/>
      <w:r w:rsidRPr="003B0738">
        <w:rPr>
          <w:szCs w:val="24"/>
          <w:lang w:eastAsia="en-US"/>
        </w:rPr>
        <w:t xml:space="preserve"> lub praw użytkowników przewidzianych w rozporządzeniu Parlamentu Europejskiego i Rady (UE) 2022/1925</w:t>
      </w:r>
      <w:r w:rsidRPr="003B0738">
        <w:rPr>
          <w:szCs w:val="24"/>
          <w:vertAlign w:val="superscript"/>
          <w:lang w:val="en-GB" w:eastAsia="en-US"/>
        </w:rPr>
        <w:footnoteReference w:id="8"/>
      </w:r>
      <w:r w:rsidRPr="003B0738">
        <w:rPr>
          <w:szCs w:val="24"/>
          <w:lang w:eastAsia="en-US"/>
        </w:rPr>
        <w:t>. Pozostaje to bez uszczerbku dla egzekwowania tych przepisów na drodze publicznoprawnej.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3B0738">
        <w:rPr>
          <w:szCs w:val="24"/>
          <w:lang w:eastAsia="en-US"/>
        </w:rPr>
        <w:t>(7)</w:t>
      </w:r>
      <w:r w:rsidRPr="003B0738">
        <w:rPr>
          <w:szCs w:val="24"/>
          <w:lang w:eastAsia="en-US"/>
        </w:rPr>
        <w:tab/>
        <w:t>W</w:t>
      </w:r>
      <w:proofErr w:type="gramEnd"/>
      <w:r w:rsidRPr="003B0738">
        <w:rPr>
          <w:szCs w:val="24"/>
          <w:lang w:eastAsia="en-US"/>
        </w:rPr>
        <w:t xml:space="preserve"> przypadku powstania sporu między dostawcą platformy internetowej a odbiorcą tej usługi w związku z działaniami tego dostawcy polegającymi na moderowaniu nielegalnych lub szkodliwych treści na jego platformie, do tego sporu zastosowanie ma art. 21 rozporządzenia Parlamentu Europejskiego i Rady (UE) 2022/2065</w:t>
      </w:r>
      <w:r w:rsidRPr="003B0738">
        <w:rPr>
          <w:szCs w:val="24"/>
          <w:vertAlign w:val="superscript"/>
          <w:lang w:val="en-GB" w:eastAsia="en-US"/>
        </w:rPr>
        <w:footnoteReference w:id="9"/>
      </w:r>
      <w:r w:rsidRPr="003B0738">
        <w:rPr>
          <w:szCs w:val="24"/>
          <w:lang w:eastAsia="en-US"/>
        </w:rPr>
        <w:t xml:space="preserve"> w sprawie pozasądowego rozstrzygania sporów, zgodnie z art. 2 ust. 4 tego rozporządzenia, ponieważ przepis ten określa bardziej szczegółowe zasady dotyczące takich sporów.</w:t>
      </w:r>
    </w:p>
    <w:p w:rsidR="003B0738" w:rsidRDefault="003B0738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3B0738">
        <w:rPr>
          <w:szCs w:val="24"/>
          <w:lang w:eastAsia="en-US"/>
        </w:rPr>
        <w:lastRenderedPageBreak/>
        <w:t>(8)</w:t>
      </w:r>
      <w:r w:rsidRPr="003B0738">
        <w:rPr>
          <w:szCs w:val="24"/>
          <w:lang w:eastAsia="en-US"/>
        </w:rPr>
        <w:tab/>
        <w:t>Należy</w:t>
      </w:r>
      <w:proofErr w:type="gramEnd"/>
      <w:r w:rsidRPr="003B0738">
        <w:rPr>
          <w:szCs w:val="24"/>
          <w:lang w:eastAsia="en-US"/>
        </w:rPr>
        <w:t xml:space="preserve"> odpowiednio dostosować definicje „sporu krajowego” i „sporu transgranicznego”, aby odzwierciedlały one rozszerzenie zakresu dyrektywy 2013/11/UE.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3B0738">
        <w:rPr>
          <w:szCs w:val="24"/>
          <w:lang w:eastAsia="en-US"/>
        </w:rPr>
        <w:t>(9)</w:t>
      </w:r>
      <w:r w:rsidRPr="003B0738">
        <w:rPr>
          <w:szCs w:val="24"/>
          <w:lang w:eastAsia="en-US"/>
        </w:rPr>
        <w:tab/>
        <w:t>Aby</w:t>
      </w:r>
      <w:proofErr w:type="gramEnd"/>
      <w:r w:rsidRPr="003B0738">
        <w:rPr>
          <w:szCs w:val="24"/>
          <w:lang w:eastAsia="en-US"/>
        </w:rPr>
        <w:t xml:space="preserve"> zapewnić odpowiednie dostosowanie postępowań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do epoki cyfrowej, w której komunikacja odbywa się online, również w kontekście transgranicznym, konieczne jest zapewnienie wszystkim konsumentom szybkich i uczciwych procedur. Państwa członkowskie powinny zapewnić, aby podmioty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mające siedzibę na ich terytorium miały kompetencje do prowadzenia postępowań w zakresie rozstrzygania sporów między przedsiębiorcami mającymi siedzibę poza Unią a konsumentami zamieszkałymi na terytorium tych państw członkowskich.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3B0738">
        <w:rPr>
          <w:szCs w:val="24"/>
          <w:lang w:eastAsia="en-US"/>
        </w:rPr>
        <w:t>(10)</w:t>
      </w:r>
      <w:r w:rsidRPr="003B0738">
        <w:rPr>
          <w:szCs w:val="24"/>
          <w:lang w:eastAsia="en-US"/>
        </w:rPr>
        <w:tab/>
        <w:t>Państwa</w:t>
      </w:r>
      <w:proofErr w:type="gramEnd"/>
      <w:r w:rsidRPr="003B0738">
        <w:rPr>
          <w:szCs w:val="24"/>
          <w:lang w:eastAsia="en-US"/>
        </w:rPr>
        <w:t xml:space="preserve"> członkowskie powinny zapewnić, aby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umożliwiały konsumentowi inicjowanie i śledzenie postępowań również offline, jeżeli zostanie wyrażone takie zapotrzebowanie. Należy również zapewnić, aby w przypadku udostępnienia narzędzi cyfrowych mogli z nich korzystać wszyscy konsumenci, w tym konsumenci podatni na zagrożenia i osoby o różnym poziomie umiejętności cyfrowych. Państwa członkowskie powinny zapewnić, aby </w:t>
      </w:r>
      <w:r w:rsidRPr="003B0738">
        <w:rPr>
          <w:strike/>
          <w:szCs w:val="24"/>
          <w:lang w:eastAsia="en-US"/>
        </w:rPr>
        <w:t>zawsze – na żądanie – możliwy był</w:t>
      </w:r>
      <w:r w:rsidRPr="003B0738">
        <w:rPr>
          <w:szCs w:val="24"/>
          <w:lang w:eastAsia="en-US"/>
        </w:rPr>
        <w:t xml:space="preserve"> </w:t>
      </w:r>
      <w:r w:rsidRPr="00454832">
        <w:rPr>
          <w:b/>
          <w:i/>
        </w:rPr>
        <w:t>strony sporu, w szczególności konsumenci, mieli</w:t>
      </w:r>
      <w:r>
        <w:rPr>
          <w:b/>
          <w:i/>
        </w:rPr>
        <w:t xml:space="preserve"> </w:t>
      </w:r>
      <w:r w:rsidRPr="003B0738">
        <w:rPr>
          <w:szCs w:val="24"/>
          <w:lang w:eastAsia="en-US"/>
        </w:rPr>
        <w:t>dostęp do kontroli zautomatyzowanych procedur przez osobę fizyczną</w:t>
      </w:r>
      <w:r w:rsidRPr="00454832">
        <w:rPr>
          <w:b/>
          <w:i/>
        </w:rPr>
        <w:t>, która powinna być niezależna i bezstronna</w:t>
      </w:r>
      <w:r w:rsidRPr="003B0738">
        <w:rPr>
          <w:szCs w:val="24"/>
          <w:lang w:eastAsia="en-US"/>
        </w:rPr>
        <w:t>.</w:t>
      </w:r>
      <w:r>
        <w:rPr>
          <w:b/>
          <w:szCs w:val="24"/>
          <w:lang w:eastAsia="en-US"/>
        </w:rPr>
        <w:t xml:space="preserve"> [Popr. 7]</w:t>
      </w:r>
    </w:p>
    <w:p w:rsidR="003B0738" w:rsidRDefault="003B0738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lastRenderedPageBreak/>
        <w:t>(</w:t>
      </w:r>
      <w:proofErr w:type="spellStart"/>
      <w:r w:rsidRPr="003B0738">
        <w:rPr>
          <w:b/>
          <w:i/>
          <w:szCs w:val="24"/>
          <w:lang w:eastAsia="en-US"/>
        </w:rPr>
        <w:t>10a</w:t>
      </w:r>
      <w:proofErr w:type="spellEnd"/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Państwa</w:t>
      </w:r>
      <w:proofErr w:type="gramEnd"/>
      <w:r w:rsidRPr="003B0738">
        <w:rPr>
          <w:b/>
          <w:i/>
          <w:szCs w:val="24"/>
          <w:lang w:eastAsia="en-US"/>
        </w:rPr>
        <w:t xml:space="preserve"> członkowskie powinny zapewnić, aby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umożliwiały konsumentowi inicjowanie i śledzenie postępowań również offline, jeżeli zostanie wyrażone takie zapotrzebowanie. Należy również zapewnić, aby w przypadku udostępnienia narzędzi cyfrowych mogli z nich korzystać wszyscy konsumenci, w tym konsumenci podatni na zagrożenia i osoby o różnym poziomie umiejętności cyfrowych. Państwa członkowskie powinny zapewnić, aby strony sporu, w szczególności konsumenci, mieli dostęp do kontroli zautomatyzowanych procedur przez osobę fizyczną, która powinna być niezależna i bezstronna.</w:t>
      </w:r>
      <w:r>
        <w:rPr>
          <w:b/>
          <w:szCs w:val="24"/>
          <w:lang w:eastAsia="en-US"/>
        </w:rPr>
        <w:t xml:space="preserve"> [Popr. 8]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3B0738">
        <w:rPr>
          <w:szCs w:val="24"/>
          <w:lang w:eastAsia="en-US"/>
        </w:rPr>
        <w:t>(11)</w:t>
      </w:r>
      <w:r w:rsidRPr="003B0738">
        <w:rPr>
          <w:szCs w:val="24"/>
          <w:lang w:eastAsia="en-US"/>
        </w:rPr>
        <w:tab/>
        <w:t>Państwa</w:t>
      </w:r>
      <w:proofErr w:type="gramEnd"/>
      <w:r w:rsidRPr="003B0738">
        <w:rPr>
          <w:szCs w:val="24"/>
          <w:lang w:eastAsia="en-US"/>
        </w:rPr>
        <w:t xml:space="preserve"> członkowskie powinny również </w:t>
      </w:r>
      <w:proofErr w:type="spellStart"/>
      <w:r w:rsidRPr="003B0738">
        <w:rPr>
          <w:strike/>
          <w:szCs w:val="24"/>
          <w:lang w:eastAsia="en-US"/>
        </w:rPr>
        <w:t>umożliwić</w:t>
      </w:r>
      <w:r w:rsidRPr="003B0738">
        <w:rPr>
          <w:b/>
          <w:i/>
          <w:szCs w:val="24"/>
          <w:lang w:eastAsia="en-US"/>
        </w:rPr>
        <w:t>zapewniać</w:t>
      </w:r>
      <w:proofErr w:type="spellEnd"/>
      <w:r w:rsidRPr="003B0738">
        <w:rPr>
          <w:szCs w:val="24"/>
          <w:lang w:eastAsia="en-US"/>
        </w:rPr>
        <w:t xml:space="preserve"> podmiotom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</w:t>
      </w:r>
      <w:r w:rsidRPr="003B0738">
        <w:rPr>
          <w:strike/>
          <w:szCs w:val="24"/>
          <w:lang w:eastAsia="en-US"/>
        </w:rPr>
        <w:t xml:space="preserve">łączenie podobnych </w:t>
      </w:r>
      <w:proofErr w:type="spellStart"/>
      <w:r w:rsidRPr="003B0738">
        <w:rPr>
          <w:strike/>
          <w:szCs w:val="24"/>
          <w:lang w:eastAsia="en-US"/>
        </w:rPr>
        <w:t>spraw</w:t>
      </w:r>
      <w:r w:rsidRPr="003B0738">
        <w:rPr>
          <w:b/>
          <w:i/>
          <w:szCs w:val="24"/>
          <w:lang w:eastAsia="en-US"/>
        </w:rPr>
        <w:t>wystarczającą</w:t>
      </w:r>
      <w:proofErr w:type="spellEnd"/>
      <w:r w:rsidRPr="003B0738">
        <w:rPr>
          <w:b/>
          <w:i/>
          <w:szCs w:val="24"/>
          <w:lang w:eastAsia="en-US"/>
        </w:rPr>
        <w:t xml:space="preserve"> wiedzę, aby mogły one łączyć podobne sprawy</w:t>
      </w:r>
      <w:r w:rsidRPr="003B0738">
        <w:rPr>
          <w:szCs w:val="24"/>
          <w:lang w:eastAsia="en-US"/>
        </w:rPr>
        <w:t xml:space="preserve"> przeciwko jednemu przedsiębiorcy, </w:t>
      </w:r>
      <w:r w:rsidRPr="003B0738">
        <w:rPr>
          <w:strike/>
          <w:szCs w:val="24"/>
          <w:lang w:eastAsia="en-US"/>
        </w:rPr>
        <w:t xml:space="preserve">tak </w:t>
      </w:r>
      <w:proofErr w:type="spellStart"/>
      <w:r w:rsidRPr="003B0738">
        <w:rPr>
          <w:strike/>
          <w:szCs w:val="24"/>
          <w:lang w:eastAsia="en-US"/>
        </w:rPr>
        <w:t>aby</w:t>
      </w:r>
      <w:r w:rsidRPr="003B0738">
        <w:rPr>
          <w:b/>
          <w:i/>
          <w:szCs w:val="24"/>
          <w:lang w:eastAsia="en-US"/>
        </w:rPr>
        <w:t>ponieważ</w:t>
      </w:r>
      <w:proofErr w:type="spellEnd"/>
      <w:r w:rsidRPr="003B0738">
        <w:rPr>
          <w:b/>
          <w:i/>
          <w:szCs w:val="24"/>
          <w:lang w:eastAsia="en-US"/>
        </w:rPr>
        <w:t xml:space="preserve"> osoby fizyczne odpowiedzialne za postępowania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dysponowałyby wystarczającą wiedzą i wiedzą fachową, aby zająć się daną sprawą. Pomogłoby to </w:t>
      </w:r>
      <w:proofErr w:type="spellStart"/>
      <w:r w:rsidRPr="003B0738">
        <w:rPr>
          <w:b/>
          <w:i/>
          <w:szCs w:val="24"/>
          <w:lang w:eastAsia="en-US"/>
        </w:rPr>
        <w:t>uspójnić</w:t>
      </w:r>
      <w:proofErr w:type="spellEnd"/>
      <w:r w:rsidRPr="003B0738">
        <w:rPr>
          <w:szCs w:val="24"/>
          <w:lang w:eastAsia="en-US"/>
        </w:rPr>
        <w:t xml:space="preserve"> wyniki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trike/>
          <w:szCs w:val="24"/>
          <w:lang w:eastAsia="en-US"/>
        </w:rPr>
        <w:t xml:space="preserve"> były spójniejsze</w:t>
      </w:r>
      <w:r w:rsidRPr="003B0738">
        <w:rPr>
          <w:szCs w:val="24"/>
          <w:lang w:eastAsia="en-US"/>
        </w:rPr>
        <w:t xml:space="preserve"> wobec konsumentów objętych tą samą nielegalną praktyką oraz </w:t>
      </w:r>
      <w:r w:rsidRPr="003B0738">
        <w:rPr>
          <w:b/>
          <w:i/>
          <w:szCs w:val="24"/>
          <w:lang w:eastAsia="en-US"/>
        </w:rPr>
        <w:t xml:space="preserve">uczynić je </w:t>
      </w:r>
      <w:r w:rsidRPr="003B0738">
        <w:rPr>
          <w:szCs w:val="24"/>
          <w:lang w:eastAsia="en-US"/>
        </w:rPr>
        <w:t xml:space="preserve">bardziej </w:t>
      </w:r>
      <w:proofErr w:type="spellStart"/>
      <w:r w:rsidRPr="003B0738">
        <w:rPr>
          <w:strike/>
          <w:szCs w:val="24"/>
          <w:lang w:eastAsia="en-US"/>
        </w:rPr>
        <w:t>efektywne</w:t>
      </w:r>
      <w:r w:rsidRPr="003B0738">
        <w:rPr>
          <w:b/>
          <w:i/>
          <w:szCs w:val="24"/>
          <w:lang w:eastAsia="en-US"/>
        </w:rPr>
        <w:t>efektywnymi</w:t>
      </w:r>
      <w:proofErr w:type="spellEnd"/>
      <w:r w:rsidRPr="003B0738">
        <w:rPr>
          <w:szCs w:val="24"/>
          <w:lang w:eastAsia="en-US"/>
        </w:rPr>
        <w:t xml:space="preserve"> kosztowo dla podmiotów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i przedsiębiorców. Konsumentów należy o tym odpowiednio informować i umożliwić im odmowę połączenia ich sporu z innymi.</w:t>
      </w:r>
      <w:r>
        <w:rPr>
          <w:b/>
          <w:szCs w:val="24"/>
          <w:lang w:eastAsia="en-US"/>
        </w:rPr>
        <w:t xml:space="preserve"> [Popr. 9]</w:t>
      </w:r>
    </w:p>
    <w:p w:rsidR="003B0738" w:rsidRDefault="003B0738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3B0738">
        <w:rPr>
          <w:szCs w:val="24"/>
          <w:lang w:eastAsia="en-US"/>
        </w:rPr>
        <w:lastRenderedPageBreak/>
        <w:t>(12)</w:t>
      </w:r>
      <w:r w:rsidRPr="003B0738">
        <w:rPr>
          <w:szCs w:val="24"/>
          <w:lang w:eastAsia="en-US"/>
        </w:rPr>
        <w:tab/>
        <w:t>Państwa</w:t>
      </w:r>
      <w:proofErr w:type="gramEnd"/>
      <w:r w:rsidRPr="003B0738">
        <w:rPr>
          <w:szCs w:val="24"/>
          <w:lang w:eastAsia="en-US"/>
        </w:rPr>
        <w:t xml:space="preserve"> członkowskie nie powinny również zezwalać na wprowadzanie nieproporcjonalnych zasad co do powodów, na które podmiot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może się powołać w celu odmowy rozpatrzenia sporu, takich jak obowiązek, aby po pierwszym negatywnym kontakcie z działem skarg skorzystać z systemu kaskadowego w przedsiębiorstwie lub obowiązek, aby wykazać, że skontaktowano się z konkretnym działem serwisu posprzedażnego przedsiębiorstwa.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3B0738">
        <w:rPr>
          <w:szCs w:val="24"/>
          <w:lang w:eastAsia="en-US"/>
        </w:rPr>
        <w:t>(13)</w:t>
      </w:r>
      <w:r w:rsidRPr="003B0738">
        <w:rPr>
          <w:szCs w:val="24"/>
          <w:lang w:eastAsia="en-US"/>
        </w:rPr>
        <w:tab/>
        <w:t>Zgodnie</w:t>
      </w:r>
      <w:proofErr w:type="gramEnd"/>
      <w:r w:rsidRPr="003B0738">
        <w:rPr>
          <w:szCs w:val="24"/>
          <w:lang w:eastAsia="en-US"/>
        </w:rPr>
        <w:t xml:space="preserve"> z dyrektywą 2013/11/UE państwa członkowskie mogą – oprócz sektorowych przepisów unijnych, które przewidują obowiązkowy udział przedsiębiorców w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– wprowadzić przepisy krajowe, na mocy których udział przedsiębiorcy w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byłby obowiązkowy w sektorach uznanych za odpowiednie. Aby zachęcać przedsiębiorców do udziału w postępowaniach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oraz zapewnić terminowy i sprawny przebieg tych postępowań, od przedsiębiorców należy wymagać udzielenia w określonym terminie</w:t>
      </w:r>
      <w:r w:rsidRPr="003B0738">
        <w:rPr>
          <w:b/>
          <w:i/>
          <w:szCs w:val="24"/>
          <w:lang w:eastAsia="en-US"/>
        </w:rPr>
        <w:t>, który nie powinien przekraczać 15 dni roboczych,</w:t>
      </w:r>
      <w:r w:rsidRPr="003B0738">
        <w:rPr>
          <w:szCs w:val="24"/>
          <w:lang w:eastAsia="en-US"/>
        </w:rPr>
        <w:t xml:space="preserve"> odpowiedzi na pytanie podmiotów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>, czy zamierzają wziąć udział w proponowanym postępowaniu, zwłaszcza jeśli ich udział nie jest obowiązkowy.</w:t>
      </w:r>
      <w:r w:rsidRPr="003B0738">
        <w:rPr>
          <w:b/>
          <w:i/>
          <w:szCs w:val="24"/>
          <w:lang w:eastAsia="en-US"/>
        </w:rPr>
        <w:t xml:space="preserve"> W przypadku złożonych sporów lub w wyniku wyjątkowych okoliczności, takich jak okres wzmożonej aktywności lub kryzys zewnętrzny, można uzyskać przedłużenie tego terminu.</w:t>
      </w:r>
      <w:r>
        <w:rPr>
          <w:b/>
          <w:szCs w:val="24"/>
          <w:lang w:eastAsia="en-US"/>
        </w:rPr>
        <w:t xml:space="preserve"> [Popr. 10]</w:t>
      </w:r>
    </w:p>
    <w:p w:rsidR="003B0738" w:rsidRDefault="003B0738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lastRenderedPageBreak/>
        <w:t>(</w:t>
      </w:r>
      <w:proofErr w:type="spellStart"/>
      <w:r w:rsidRPr="003B0738">
        <w:rPr>
          <w:b/>
          <w:i/>
          <w:szCs w:val="24"/>
          <w:lang w:eastAsia="en-US"/>
        </w:rPr>
        <w:t>13a</w:t>
      </w:r>
      <w:proofErr w:type="spellEnd"/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Aby</w:t>
      </w:r>
      <w:proofErr w:type="gramEnd"/>
      <w:r w:rsidRPr="003B0738">
        <w:rPr>
          <w:b/>
          <w:i/>
          <w:szCs w:val="24"/>
          <w:lang w:eastAsia="en-US"/>
        </w:rPr>
        <w:t xml:space="preserve"> konsumenci mogli oczekiwać pełnej niezależności i bezstronności, jak przewidziano w niniejszej dyrektywie, w kontaktach ze wszystkimi rodzajami podmiotów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, w tym z podmiotami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, w przypadku gdy osoby fizyczne odpowiedzialne za rozstrzyganie sporów są zatrudnione lub wynagradzane wyłącznie przez indywidualnego przedsiębiorcę, również powszechnie zwanymi „wewnętrznymi” podmiotami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, takie podmioty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powinny mieć dostęp wyłącznie do danych ściśle związanych ze sprawą i specjalnie w tym celu dostarczonych przez przedsiębiorcę lub konsumenta.</w:t>
      </w:r>
      <w:r>
        <w:rPr>
          <w:b/>
          <w:szCs w:val="24"/>
          <w:lang w:eastAsia="en-US"/>
        </w:rPr>
        <w:t xml:space="preserve"> [Popr. 11]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3B0738">
        <w:rPr>
          <w:strike/>
          <w:szCs w:val="24"/>
          <w:lang w:eastAsia="en-US"/>
        </w:rPr>
        <w:t>(14)</w:t>
      </w:r>
      <w:r w:rsidRPr="003B0738">
        <w:rPr>
          <w:szCs w:val="24"/>
          <w:lang w:eastAsia="en-US"/>
        </w:rPr>
        <w:tab/>
      </w:r>
      <w:r w:rsidRPr="003B0738">
        <w:rPr>
          <w:strike/>
          <w:szCs w:val="24"/>
          <w:lang w:eastAsia="en-US"/>
        </w:rPr>
        <w:t>Aby</w:t>
      </w:r>
      <w:proofErr w:type="gramEnd"/>
      <w:r w:rsidRPr="003B0738">
        <w:rPr>
          <w:strike/>
          <w:szCs w:val="24"/>
          <w:lang w:eastAsia="en-US"/>
        </w:rPr>
        <w:t xml:space="preserve"> ograniczyć wymogi w zakresie informacji i sprawozdawczości oraz ograniczyć koszty ponoszone przez podmioty </w:t>
      </w:r>
      <w:proofErr w:type="spellStart"/>
      <w:r w:rsidRPr="003B0738">
        <w:rPr>
          <w:strike/>
          <w:szCs w:val="24"/>
          <w:lang w:eastAsia="en-US"/>
        </w:rPr>
        <w:t>ADR</w:t>
      </w:r>
      <w:proofErr w:type="spellEnd"/>
      <w:r w:rsidRPr="003B0738">
        <w:rPr>
          <w:strike/>
          <w:szCs w:val="24"/>
          <w:lang w:eastAsia="en-US"/>
        </w:rPr>
        <w:t>, właściwe organy krajowe i przedsiębiorców, należy uprościć wymogi w zakresie sprawozdawczości i informacji oraz zmniejszyć ilość informacji przekazywanych właściwym organom przez podmioty ADR.</w:t>
      </w:r>
      <w:r>
        <w:rPr>
          <w:b/>
          <w:szCs w:val="24"/>
          <w:lang w:eastAsia="en-US"/>
        </w:rPr>
        <w:t xml:space="preserve"> [Popr. 12]</w:t>
      </w:r>
    </w:p>
    <w:p w:rsidR="003B0738" w:rsidRDefault="003B0738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lastRenderedPageBreak/>
        <w:t>(</w:t>
      </w:r>
      <w:proofErr w:type="spellStart"/>
      <w:r w:rsidRPr="003B0738">
        <w:rPr>
          <w:b/>
          <w:i/>
          <w:szCs w:val="24"/>
          <w:lang w:eastAsia="en-US"/>
        </w:rPr>
        <w:t>14a</w:t>
      </w:r>
      <w:proofErr w:type="spellEnd"/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Postępowania</w:t>
      </w:r>
      <w:proofErr w:type="gramEnd"/>
      <w:r w:rsidRPr="003B0738">
        <w:rPr>
          <w:b/>
          <w:i/>
          <w:szCs w:val="24"/>
          <w:lang w:eastAsia="en-US"/>
        </w:rPr>
        <w:t xml:space="preserve">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powinny być raczej nieodpłatne dla konsumenta. W przypadku zastosowania kosztów, nie powinny one przekraczać opłaty o nieznacznej wysokości. Ponadto, aby zwiększyć dostępność i atrakcyjność postępowań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dla konsumentów, opłaty te powinny podlegać zwrotowi. Należy wyjaśnić, że taki zwrot powinien być dokonywany przez państwa członkowskie, w pełnej zgodności z zasadami pomocniczości i proporcjonalności, a nie przez inne podmioty, takie jak druga strona postępowania ADR.</w:t>
      </w:r>
      <w:r>
        <w:rPr>
          <w:b/>
          <w:szCs w:val="24"/>
          <w:lang w:eastAsia="en-US"/>
        </w:rPr>
        <w:t xml:space="preserve"> [Popr. 13]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(</w:t>
      </w:r>
      <w:proofErr w:type="spellStart"/>
      <w:r w:rsidRPr="003B0738">
        <w:rPr>
          <w:b/>
          <w:i/>
          <w:szCs w:val="24"/>
          <w:lang w:eastAsia="en-US"/>
        </w:rPr>
        <w:t>14b</w:t>
      </w:r>
      <w:proofErr w:type="spellEnd"/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W</w:t>
      </w:r>
      <w:proofErr w:type="gramEnd"/>
      <w:r w:rsidRPr="003B0738">
        <w:rPr>
          <w:b/>
          <w:i/>
          <w:szCs w:val="24"/>
          <w:lang w:eastAsia="en-US"/>
        </w:rPr>
        <w:t xml:space="preserve"> wielu państwach członkowskich konsumenci nadal nie są wystarczająco informowani o istnieniu podmiotów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i usługach przez nie oferowanych. Aby zwiększyć świadomość konsumentów na temat podmiotów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i przedsiębiorców uczestniczących w postępowaniach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, przedsiębiorcy powinni przekazywać informacje na temat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w jasny, widoczny, zrozumiały i łatwo dostępny sposób. Jeżeli przedsiębiorca posiada stronę internetową, powinien podawać na niej odnośne informacje. Przedsiębiorcy powinni również przekazywać takie informacje w warunkach ogólnych oraz na wystawionych przez siebie fakturach. Aby ułatwić komunikację, przedsiębiorcy powinni udostępnić konsumentom adres e-mail, w tym do celów postępowań ADR.</w:t>
      </w:r>
      <w:r>
        <w:rPr>
          <w:b/>
          <w:szCs w:val="24"/>
          <w:lang w:eastAsia="en-US"/>
        </w:rPr>
        <w:t xml:space="preserve"> [Popr. 14]</w:t>
      </w:r>
    </w:p>
    <w:p w:rsidR="003B0738" w:rsidRDefault="003B0738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lastRenderedPageBreak/>
        <w:t>(</w:t>
      </w:r>
      <w:proofErr w:type="spellStart"/>
      <w:r w:rsidRPr="003B0738">
        <w:rPr>
          <w:b/>
          <w:i/>
          <w:szCs w:val="24"/>
          <w:lang w:eastAsia="en-US"/>
        </w:rPr>
        <w:t>14c</w:t>
      </w:r>
      <w:proofErr w:type="spellEnd"/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Sprawna</w:t>
      </w:r>
      <w:proofErr w:type="gramEnd"/>
      <w:r w:rsidRPr="003B0738">
        <w:rPr>
          <w:b/>
          <w:i/>
          <w:szCs w:val="24"/>
          <w:lang w:eastAsia="en-US"/>
        </w:rPr>
        <w:t xml:space="preserve"> współpraca między różnymi podmiotami zaangażowanymi w egzekwowanie praw konsumentów ma kluczowe znaczenie dla zapewnienia ogólnej zgodności i spójności systemu egzekwowania przepisów konsumenckich. W przypadkach gdy podmioty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zostały poinformowane o nieuczciwej praktyce handlowej, podmioty te powinny zgłosić swoim właściwym organom krajowym lub organizacji konsumenckiej czy mają wiarygodne powody, by podejrzewać, że miała miejsce nieuczciwa praktyka handlowa i nieuczciwe warunki handlowe.</w:t>
      </w:r>
      <w:r>
        <w:rPr>
          <w:b/>
          <w:szCs w:val="24"/>
          <w:lang w:eastAsia="en-US"/>
        </w:rPr>
        <w:t xml:space="preserve"> [Popr. 15]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3B0738">
        <w:rPr>
          <w:szCs w:val="24"/>
          <w:lang w:eastAsia="en-US"/>
        </w:rPr>
        <w:t>(15)</w:t>
      </w:r>
      <w:r w:rsidRPr="003B0738">
        <w:rPr>
          <w:szCs w:val="24"/>
          <w:lang w:eastAsia="en-US"/>
        </w:rPr>
        <w:tab/>
        <w:t>Aby</w:t>
      </w:r>
      <w:proofErr w:type="gramEnd"/>
      <w:r w:rsidRPr="003B0738">
        <w:rPr>
          <w:szCs w:val="24"/>
          <w:lang w:eastAsia="en-US"/>
        </w:rPr>
        <w:t xml:space="preserve"> pomoc konsumentom i przedsiębiorcom w sporach transgranicznych była skuteczna, konieczne jest zapewnienie, aby państwa członkowskie utworzyły punkty kontaktowe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o jasno określonych zadaniach. Europejskie Centra Konsumenckie („</w:t>
      </w:r>
      <w:proofErr w:type="spellStart"/>
      <w:r w:rsidRPr="003B0738">
        <w:rPr>
          <w:szCs w:val="24"/>
          <w:lang w:eastAsia="en-US"/>
        </w:rPr>
        <w:t>ECC</w:t>
      </w:r>
      <w:proofErr w:type="spellEnd"/>
      <w:r w:rsidRPr="003B0738">
        <w:rPr>
          <w:szCs w:val="24"/>
          <w:lang w:eastAsia="en-US"/>
        </w:rPr>
        <w:t xml:space="preserve">”) są dobrze przygotowane do wykonywania takich zadań, ponieważ specjalizują się w udzielaniu konsumentom pomocy w kwestiach związanych z transgranicznymi zakupami, ale państwa członkowskie powinny mieć możliwość wskazania do tych celów innych organów posiadających odpowiednią wiedzę fachową. </w:t>
      </w:r>
      <w:proofErr w:type="spellStart"/>
      <w:r w:rsidRPr="003B0738">
        <w:rPr>
          <w:strike/>
          <w:szCs w:val="24"/>
          <w:lang w:eastAsia="en-US"/>
        </w:rPr>
        <w:t>Informacje</w:t>
      </w:r>
      <w:r w:rsidRPr="003B0738">
        <w:rPr>
          <w:b/>
          <w:i/>
          <w:szCs w:val="24"/>
          <w:lang w:eastAsia="en-US"/>
        </w:rPr>
        <w:t>Państwa</w:t>
      </w:r>
      <w:proofErr w:type="spellEnd"/>
      <w:r w:rsidRPr="003B0738">
        <w:rPr>
          <w:b/>
          <w:i/>
          <w:szCs w:val="24"/>
          <w:lang w:eastAsia="en-US"/>
        </w:rPr>
        <w:t xml:space="preserve"> członkowskie powinny informować Komisję</w:t>
      </w:r>
      <w:r w:rsidRPr="003B0738">
        <w:rPr>
          <w:szCs w:val="24"/>
          <w:lang w:eastAsia="en-US"/>
        </w:rPr>
        <w:t xml:space="preserve"> o tych wyznaczonych punktach kontaktowych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</w:t>
      </w:r>
      <w:r w:rsidRPr="003B0738">
        <w:rPr>
          <w:strike/>
          <w:szCs w:val="24"/>
          <w:lang w:eastAsia="en-US"/>
        </w:rPr>
        <w:t xml:space="preserve">powinny być przekazywane </w:t>
      </w:r>
      <w:proofErr w:type="spellStart"/>
      <w:r w:rsidRPr="003B0738">
        <w:rPr>
          <w:strike/>
          <w:szCs w:val="24"/>
          <w:lang w:eastAsia="en-US"/>
        </w:rPr>
        <w:t>Komisji</w:t>
      </w:r>
      <w:r w:rsidRPr="003B0738">
        <w:rPr>
          <w:b/>
          <w:i/>
          <w:szCs w:val="24"/>
          <w:lang w:eastAsia="en-US"/>
        </w:rPr>
        <w:t>oraz</w:t>
      </w:r>
      <w:proofErr w:type="spellEnd"/>
      <w:r w:rsidRPr="003B0738">
        <w:rPr>
          <w:b/>
          <w:i/>
          <w:szCs w:val="24"/>
          <w:lang w:eastAsia="en-US"/>
        </w:rPr>
        <w:t xml:space="preserve"> dopilnować, by miały one dostateczne zasoby finansowe i ludzkie</w:t>
      </w:r>
      <w:r w:rsidRPr="003B0738">
        <w:rPr>
          <w:szCs w:val="24"/>
          <w:lang w:eastAsia="en-US"/>
        </w:rPr>
        <w:t>.</w:t>
      </w:r>
      <w:r w:rsidRPr="003B0738">
        <w:rPr>
          <w:b/>
          <w:i/>
          <w:szCs w:val="24"/>
          <w:lang w:eastAsia="en-US"/>
        </w:rPr>
        <w:t xml:space="preserve"> Konsumenci powinni móc przeprowadzać transgraniczne postępowanie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w języku urzędowym państwa członkowskiego, w którym mieszkają.</w:t>
      </w:r>
      <w:r>
        <w:rPr>
          <w:b/>
          <w:szCs w:val="24"/>
          <w:lang w:eastAsia="en-US"/>
        </w:rPr>
        <w:t xml:space="preserve"> [Popr. 16]</w:t>
      </w:r>
    </w:p>
    <w:p w:rsidR="003B0738" w:rsidRDefault="003B0738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lastRenderedPageBreak/>
        <w:t>(</w:t>
      </w:r>
      <w:proofErr w:type="spellStart"/>
      <w:r w:rsidRPr="003B0738">
        <w:rPr>
          <w:b/>
          <w:i/>
          <w:szCs w:val="24"/>
          <w:lang w:eastAsia="en-US"/>
        </w:rPr>
        <w:t>15a</w:t>
      </w:r>
      <w:proofErr w:type="spellEnd"/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Aby</w:t>
      </w:r>
      <w:proofErr w:type="gramEnd"/>
      <w:r w:rsidRPr="003B0738">
        <w:rPr>
          <w:b/>
          <w:i/>
          <w:szCs w:val="24"/>
          <w:lang w:eastAsia="en-US"/>
        </w:rPr>
        <w:t xml:space="preserve"> zapewnić sprawiedliwość proceduralną, konsumenci zaangażowani w spory transgraniczne powinni korzystać z punktu kontaktowego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określonego na podstawie miejsca zamieszkania konsumenta, by w ten sposób zniechęcić do selektywnego wyboru punktów kontaktowych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ze względu na wygodę lub korzystne wyniki.</w:t>
      </w:r>
      <w:r>
        <w:rPr>
          <w:b/>
          <w:szCs w:val="24"/>
          <w:lang w:eastAsia="en-US"/>
        </w:rPr>
        <w:t xml:space="preserve"> [Popr. 17]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(</w:t>
      </w:r>
      <w:proofErr w:type="spellStart"/>
      <w:r w:rsidRPr="003B0738">
        <w:rPr>
          <w:b/>
          <w:i/>
          <w:szCs w:val="24"/>
          <w:lang w:eastAsia="en-US"/>
        </w:rPr>
        <w:t>15b</w:t>
      </w:r>
      <w:proofErr w:type="spellEnd"/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Jako</w:t>
      </w:r>
      <w:proofErr w:type="gramEnd"/>
      <w:r w:rsidRPr="003B0738">
        <w:rPr>
          <w:b/>
          <w:i/>
          <w:szCs w:val="24"/>
          <w:lang w:eastAsia="en-US"/>
        </w:rPr>
        <w:t xml:space="preserve"> punkt odniesienia przy rozstrzyganiu sporów transgranicznych podmioty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powinny stosować prawo Unii. Niemniej jednak zarówno w sporach krajowych, jak i transgranicznych, podmioty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powinny zawsze brać pod uwagę środki zaradcze dostępne w Unii oraz mające zastosowanie prawo krajowe.</w:t>
      </w:r>
      <w:r>
        <w:rPr>
          <w:b/>
          <w:szCs w:val="24"/>
          <w:lang w:eastAsia="en-US"/>
        </w:rPr>
        <w:t xml:space="preserve"> [Popr. 18]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3B0738">
        <w:rPr>
          <w:szCs w:val="24"/>
          <w:lang w:eastAsia="en-US"/>
        </w:rPr>
        <w:t>(16)</w:t>
      </w:r>
      <w:r w:rsidRPr="003B0738">
        <w:rPr>
          <w:szCs w:val="24"/>
          <w:lang w:eastAsia="en-US"/>
        </w:rPr>
        <w:tab/>
        <w:t>Pomimo</w:t>
      </w:r>
      <w:proofErr w:type="gramEnd"/>
      <w:r w:rsidRPr="003B0738">
        <w:rPr>
          <w:szCs w:val="24"/>
          <w:lang w:eastAsia="en-US"/>
        </w:rPr>
        <w:t xml:space="preserve"> tego, że postępowania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mają być proste, konsumenci mogą korzystać w ich trakcie z pomocy wybranej przez siebie osoby trzeciej. Państwa członkowskie powinny zapewnić, aby pomocy takiej udzielano w dobrej wierze, przy zachowaniu uczciwości i pełnej przejrzystości procedury, w szczególności w odniesieniu do ewentualnych opłat za taką pomoc.</w:t>
      </w:r>
      <w:r w:rsidRPr="003B0738">
        <w:rPr>
          <w:b/>
          <w:i/>
          <w:szCs w:val="24"/>
          <w:lang w:eastAsia="en-US"/>
        </w:rPr>
        <w:t xml:space="preserve"> Ponadto zachęca się państwa członkowskie do rozszerzenia korzyści płynących z konsumenckich systemów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na mikroprzedsiębiorstwa i osoby samozatrudnione, aby zapewnić takim przedsiębiorcom dostęp do tanich i wysokiej jakości alternatywnych systemów rozstrzygania sporów w celu rozstrzygania sporów umownych.</w:t>
      </w:r>
      <w:r>
        <w:rPr>
          <w:b/>
          <w:szCs w:val="24"/>
          <w:lang w:eastAsia="en-US"/>
        </w:rPr>
        <w:t xml:space="preserve"> [Popr. 19]</w:t>
      </w:r>
    </w:p>
    <w:p w:rsidR="003B0738" w:rsidRDefault="003B0738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lastRenderedPageBreak/>
        <w:t>(</w:t>
      </w:r>
      <w:proofErr w:type="spellStart"/>
      <w:r w:rsidRPr="003B0738">
        <w:rPr>
          <w:b/>
          <w:i/>
          <w:szCs w:val="24"/>
          <w:lang w:eastAsia="en-US"/>
        </w:rPr>
        <w:t>16a</w:t>
      </w:r>
      <w:proofErr w:type="spellEnd"/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Nie</w:t>
      </w:r>
      <w:proofErr w:type="gramEnd"/>
      <w:r w:rsidRPr="003B0738">
        <w:rPr>
          <w:b/>
          <w:i/>
          <w:szCs w:val="24"/>
          <w:lang w:eastAsia="en-US"/>
        </w:rPr>
        <w:t xml:space="preserve"> wszystkie podmioty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posiadają wiedzę fachową, aby zajmować się kwestiami pozaumownymi, w szczególności nieuczciwymi praktykami i warunkami handlowymi. Dlatego postępowania podmiotów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w tej dziedzinie powinny ograniczać się do nieuczciwych praktyk handlowych i warunków umownych o zakresie podmiotowym, a zatem obejmować wyłącznie sprawy, w których szkodę lub stratę, materialną lub niematerialną, poniósł bezpośrednio konsument. Ponadto tylko podmioty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, które mogą wykazać się niezbędną wiedzą fachową w danej dziedzinie, obejmującą cały dany sektor gospodarki, takie jak sektorowy rzecznik praw obywatelskich, powinny być uprawnione do prowadzenia takich postępowań. Podmioty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czasami decydują się na odejście od rygorystycznych przepisów prawnych, aby oprzeć swoje decyzje na zasadach równości. Oznacza to, że podmioty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mogą wybierać rozwiązania, które w ich ocenie są zgodne z poczuciem tego, co jest moralnie lub etycznie słuszne w danej sytuacji, odbiegając od ścisłego przestrzegania przepisów prawnych. Nie powinno być jednak dopuszczalne stosowanie zasad sprawiedliwości w odniesieniu do nieuczciwych praktyk handlowych, które nie są przedmiotem kompromisu lub mediacji, ponieważ dotyczą porządku publicznego i podstaw ochrony konsumentów.</w:t>
      </w:r>
      <w:r>
        <w:rPr>
          <w:b/>
          <w:szCs w:val="24"/>
          <w:lang w:eastAsia="en-US"/>
        </w:rPr>
        <w:t xml:space="preserve"> [Popr. 20]</w:t>
      </w:r>
    </w:p>
    <w:p w:rsidR="003B0738" w:rsidRDefault="003B0738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lastRenderedPageBreak/>
        <w:t>(</w:t>
      </w:r>
      <w:proofErr w:type="spellStart"/>
      <w:r w:rsidRPr="003B0738">
        <w:rPr>
          <w:b/>
          <w:i/>
          <w:szCs w:val="24"/>
          <w:lang w:eastAsia="en-US"/>
        </w:rPr>
        <w:t>16b</w:t>
      </w:r>
      <w:proofErr w:type="spellEnd"/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Środki</w:t>
      </w:r>
      <w:proofErr w:type="gramEnd"/>
      <w:r w:rsidRPr="003B0738">
        <w:rPr>
          <w:b/>
          <w:i/>
          <w:szCs w:val="24"/>
          <w:lang w:eastAsia="en-US"/>
        </w:rPr>
        <w:t xml:space="preserve"> wykorzystywane przez organizacje konsumenckie i stowarzyszenia branżowe w celu publicznego udostępnienia opracowanego przez Komisję wykazu podmiotów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mogą obejmować transmisje telewizyjne dotyczące ochrony konsumentów i praw konsumentów.</w:t>
      </w:r>
      <w:r>
        <w:rPr>
          <w:b/>
          <w:szCs w:val="24"/>
          <w:lang w:eastAsia="en-US"/>
        </w:rPr>
        <w:t xml:space="preserve"> [Popr. 21]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3B0738">
        <w:rPr>
          <w:szCs w:val="24"/>
          <w:lang w:eastAsia="en-US"/>
        </w:rPr>
        <w:t>(17)</w:t>
      </w:r>
      <w:r w:rsidRPr="003B0738">
        <w:rPr>
          <w:szCs w:val="24"/>
          <w:lang w:eastAsia="en-US"/>
        </w:rPr>
        <w:tab/>
        <w:t>Aby</w:t>
      </w:r>
      <w:proofErr w:type="gramEnd"/>
      <w:r w:rsidRPr="003B0738">
        <w:rPr>
          <w:szCs w:val="24"/>
          <w:lang w:eastAsia="en-US"/>
        </w:rPr>
        <w:t xml:space="preserve"> zapewnić konsumentom możliwość łatwego wyszukania odpowiedniego podmiotu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, zwłaszcza w kontekście transgranicznym, Komisja powinna opracować i utrzymywać interaktywne narzędzie cyfrowe, umożliwiające znalezienie najważniejszych informacji o podmiotach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, praktycznych informacji o tym, jak korzystać z postępowań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w kontekście transgranicznym,</w:t>
      </w:r>
      <w:r w:rsidRPr="003B0738">
        <w:rPr>
          <w:szCs w:val="24"/>
          <w:lang w:eastAsia="en-US"/>
        </w:rPr>
        <w:t xml:space="preserve"> oraz linków do stron internetowych tych podmiotów, zgłoszonych Komisji</w:t>
      </w:r>
      <w:r w:rsidRPr="003B0738">
        <w:rPr>
          <w:b/>
          <w:i/>
          <w:szCs w:val="24"/>
          <w:lang w:eastAsia="en-US"/>
        </w:rPr>
        <w:t>, umożliwiając kierowanie konsumentów do właściwego organu rozstrzygania sporów</w:t>
      </w:r>
      <w:r w:rsidRPr="003B0738">
        <w:rPr>
          <w:szCs w:val="24"/>
          <w:lang w:eastAsia="en-US"/>
        </w:rPr>
        <w:t>.</w:t>
      </w:r>
      <w:r w:rsidRPr="003B0738">
        <w:rPr>
          <w:b/>
          <w:i/>
          <w:szCs w:val="24"/>
          <w:lang w:eastAsia="en-US"/>
        </w:rPr>
        <w:t xml:space="preserve"> Komisja powinna zapewnić, w stosownych przypadkach, koordynację między tym interaktywnym narzędziem cyfrowym a innymi unijnymi i krajowymi narzędziami cyfrowymi.</w:t>
      </w:r>
      <w:r>
        <w:rPr>
          <w:b/>
          <w:szCs w:val="24"/>
          <w:lang w:eastAsia="en-US"/>
        </w:rPr>
        <w:t xml:space="preserve"> [Popr. 22]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3B0738">
        <w:rPr>
          <w:szCs w:val="24"/>
          <w:lang w:eastAsia="en-US"/>
        </w:rPr>
        <w:t>(18)</w:t>
      </w:r>
      <w:r w:rsidRPr="003B0738">
        <w:rPr>
          <w:szCs w:val="24"/>
          <w:lang w:eastAsia="en-US"/>
        </w:rPr>
        <w:tab/>
        <w:t>Należy</w:t>
      </w:r>
      <w:proofErr w:type="gramEnd"/>
      <w:r w:rsidRPr="003B0738">
        <w:rPr>
          <w:szCs w:val="24"/>
          <w:lang w:eastAsia="en-US"/>
        </w:rPr>
        <w:t xml:space="preserve"> zatem odpowiednio zmienić dyrektywę 2013/11/UE.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3B0738">
        <w:rPr>
          <w:szCs w:val="24"/>
          <w:lang w:eastAsia="en-US"/>
        </w:rPr>
        <w:t>(19)</w:t>
      </w:r>
      <w:r w:rsidRPr="003B0738">
        <w:rPr>
          <w:szCs w:val="24"/>
          <w:lang w:eastAsia="en-US"/>
        </w:rPr>
        <w:tab/>
        <w:t>Zważywszy</w:t>
      </w:r>
      <w:proofErr w:type="gramEnd"/>
      <w:r w:rsidRPr="003B0738">
        <w:rPr>
          <w:szCs w:val="24"/>
          <w:lang w:eastAsia="en-US"/>
        </w:rPr>
        <w:t>, że rozporządzenie (UE) nr 524/2013 ma zostać uchylone odrębnym aktem, w związku z tym uchyleniem konieczna jest również zmiana dyrektyw Parlamentu Europejskiego i Rady (UE) 2015/2302</w:t>
      </w:r>
      <w:r w:rsidRPr="003B0738">
        <w:rPr>
          <w:szCs w:val="24"/>
          <w:vertAlign w:val="superscript"/>
          <w:lang w:val="en-GB" w:eastAsia="en-US"/>
        </w:rPr>
        <w:footnoteReference w:id="10"/>
      </w:r>
      <w:r w:rsidRPr="003B0738">
        <w:rPr>
          <w:szCs w:val="24"/>
          <w:lang w:eastAsia="en-US"/>
        </w:rPr>
        <w:t>, (UE) 2019/2161</w:t>
      </w:r>
      <w:r w:rsidRPr="003B0738">
        <w:rPr>
          <w:szCs w:val="24"/>
          <w:vertAlign w:val="superscript"/>
          <w:lang w:val="en-GB" w:eastAsia="en-US"/>
        </w:rPr>
        <w:footnoteReference w:id="11"/>
      </w:r>
      <w:r w:rsidRPr="003B0738">
        <w:rPr>
          <w:szCs w:val="24"/>
          <w:lang w:eastAsia="en-US"/>
        </w:rPr>
        <w:t xml:space="preserve"> i (UE) 2020/1828</w:t>
      </w:r>
      <w:r w:rsidRPr="003B0738">
        <w:rPr>
          <w:szCs w:val="24"/>
          <w:vertAlign w:val="superscript"/>
          <w:lang w:val="en-GB" w:eastAsia="en-US"/>
        </w:rPr>
        <w:footnoteReference w:id="12"/>
      </w:r>
      <w:r w:rsidRPr="003B0738">
        <w:rPr>
          <w:szCs w:val="24"/>
          <w:lang w:eastAsia="en-US"/>
        </w:rPr>
        <w:t>,</w:t>
      </w:r>
    </w:p>
    <w:p w:rsidR="003B0738" w:rsidRPr="003B0738" w:rsidRDefault="003B0738" w:rsidP="003B0738">
      <w:pPr>
        <w:keepNext/>
        <w:widowControl/>
        <w:spacing w:before="120" w:after="120" w:line="360" w:lineRule="auto"/>
        <w:rPr>
          <w:szCs w:val="24"/>
          <w:lang w:eastAsia="en-US"/>
        </w:rPr>
      </w:pPr>
      <w:r w:rsidRPr="003B0738">
        <w:rPr>
          <w:szCs w:val="24"/>
          <w:lang w:eastAsia="en-US"/>
        </w:rPr>
        <w:t>PRZYJMUJĄ NINIEJSZĄ DYREKTYWĘ:</w:t>
      </w:r>
    </w:p>
    <w:p w:rsidR="003B0738" w:rsidRDefault="003B0738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jc w:val="center"/>
        <w:rPr>
          <w:szCs w:val="24"/>
          <w:lang w:eastAsia="en-US"/>
        </w:rPr>
      </w:pPr>
      <w:r w:rsidRPr="003B0738">
        <w:rPr>
          <w:szCs w:val="24"/>
          <w:lang w:eastAsia="en-US"/>
        </w:rPr>
        <w:lastRenderedPageBreak/>
        <w:t>Artykuł 1</w:t>
      </w:r>
      <w:r w:rsidRPr="003B0738">
        <w:rPr>
          <w:szCs w:val="24"/>
          <w:lang w:eastAsia="en-US"/>
        </w:rPr>
        <w:br/>
        <w:t>Zmiany w dyrektywie 2013/11/UE</w:t>
      </w:r>
    </w:p>
    <w:p w:rsidR="003B0738" w:rsidRPr="003B0738" w:rsidRDefault="003B0738" w:rsidP="003B0738">
      <w:pPr>
        <w:spacing w:before="120" w:after="120" w:line="360" w:lineRule="auto"/>
        <w:rPr>
          <w:szCs w:val="24"/>
          <w:lang w:eastAsia="en-US"/>
        </w:rPr>
      </w:pPr>
      <w:r w:rsidRPr="003B0738">
        <w:rPr>
          <w:szCs w:val="24"/>
          <w:lang w:eastAsia="en-US"/>
        </w:rPr>
        <w:t>W dyrektywie 2013/11/UE wprowadza się następujące zmiany: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-</w:t>
      </w:r>
      <w:proofErr w:type="gramStart"/>
      <w:r w:rsidRPr="003B0738">
        <w:rPr>
          <w:b/>
          <w:i/>
          <w:szCs w:val="24"/>
          <w:lang w:eastAsia="en-US"/>
        </w:rPr>
        <w:t>1)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Art</w:t>
      </w:r>
      <w:proofErr w:type="gramEnd"/>
      <w:r w:rsidRPr="003B0738">
        <w:rPr>
          <w:b/>
          <w:i/>
          <w:szCs w:val="24"/>
          <w:lang w:eastAsia="en-US"/>
        </w:rPr>
        <w:t>. 1 otrzymuje brzmienie:</w:t>
      </w:r>
    </w:p>
    <w:p w:rsidR="003B0738" w:rsidRPr="003B0738" w:rsidRDefault="003B0738" w:rsidP="003B0738">
      <w:pPr>
        <w:spacing w:before="120" w:after="120" w:line="360" w:lineRule="auto"/>
        <w:ind w:left="850"/>
        <w:rPr>
          <w:szCs w:val="24"/>
          <w:lang w:eastAsia="en-US"/>
        </w:rPr>
      </w:pPr>
      <w:r w:rsidRPr="003B0738">
        <w:rPr>
          <w:szCs w:val="24"/>
          <w:lang w:eastAsia="en-US"/>
        </w:rPr>
        <w:t>„</w:t>
      </w:r>
      <w:proofErr w:type="spellStart"/>
      <w:r w:rsidRPr="003B0738">
        <w:rPr>
          <w:b/>
          <w:i/>
          <w:szCs w:val="24"/>
          <w:lang w:eastAsia="en-US"/>
        </w:rPr>
        <w:t>Article</w:t>
      </w:r>
      <w:proofErr w:type="spellEnd"/>
      <w:r>
        <w:rPr>
          <w:b/>
          <w:i/>
          <w:szCs w:val="24"/>
          <w:lang w:eastAsia="en-US"/>
        </w:rPr>
        <w:t xml:space="preserve"> 1</w:t>
      </w:r>
      <w:r w:rsidRPr="003B0738">
        <w:rPr>
          <w:szCs w:val="24"/>
          <w:lang w:eastAsia="en-US"/>
        </w:rPr>
        <w:br/>
      </w:r>
      <w:r w:rsidRPr="003B0738">
        <w:rPr>
          <w:b/>
          <w:i/>
          <w:szCs w:val="24"/>
          <w:lang w:eastAsia="en-US"/>
        </w:rPr>
        <w:t>Przedmiot</w:t>
      </w:r>
    </w:p>
    <w:p w:rsidR="003B0738" w:rsidRPr="003B0738" w:rsidRDefault="003B0738" w:rsidP="003B0738">
      <w:pPr>
        <w:spacing w:before="120" w:after="120" w:line="360" w:lineRule="auto"/>
        <w:ind w:left="850"/>
        <w:rPr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Celem niniejszej dyrektywy jest – poprzez osiągnięcie wysokiego poziomu ochrony konsumentów – przyczynianie się do należytego funkcjonowania rynku wewnętrznego dzięki zapewnieniu konsumentom możliwości dobrowolnego składania skarg na działania przedsiębiorców do podmiotów oferujących niezależne, bezstronne, przejrzyste, skuteczne, szybkie i uczciwe alternatywne metody rozstrzygania sporów.</w:t>
      </w:r>
    </w:p>
    <w:p w:rsidR="003B0738" w:rsidRPr="003B0738" w:rsidRDefault="003B0738" w:rsidP="003B0738">
      <w:pPr>
        <w:spacing w:before="120" w:after="120" w:line="360" w:lineRule="auto"/>
        <w:ind w:left="850"/>
        <w:rPr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 xml:space="preserve">Udział przewoźników lotniczych objętych zakresem rozporządzenia (WE) nr 261/2004 w postępowaniach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jest obowiązkowy, z zastrzeżeniem prawa stron do dostępu do systemu sądowego.</w:t>
      </w:r>
    </w:p>
    <w:p w:rsidR="003B0738" w:rsidRPr="003B0738" w:rsidRDefault="003B0738" w:rsidP="003B0738">
      <w:pPr>
        <w:spacing w:before="120" w:after="120" w:line="360" w:lineRule="auto"/>
        <w:ind w:left="850"/>
        <w:rPr>
          <w:b/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Niniejsza dyrektywa pozostaje bez uszczerbku dla ustawodawstwa krajowego nakładającego obowiązek uczestnictwa w takich postępowaniach w sektorach gospodarczych innych niż te, o których mowa w akapicie drugim, pod warunkiem że ustawodawstwo to nie uniemożliwia stronom korzystania z przysługującego im prawa dostępu do systemu sądowego.”.</w:t>
      </w:r>
      <w:r>
        <w:rPr>
          <w:b/>
          <w:szCs w:val="24"/>
          <w:lang w:eastAsia="en-US"/>
        </w:rPr>
        <w:t xml:space="preserve"> [Popr. 23]</w:t>
      </w:r>
    </w:p>
    <w:p w:rsidR="003B0738" w:rsidRDefault="003B0738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0738">
        <w:rPr>
          <w:szCs w:val="24"/>
          <w:lang w:eastAsia="en-US"/>
        </w:rPr>
        <w:lastRenderedPageBreak/>
        <w:t>1.</w:t>
      </w:r>
      <w:r w:rsidRPr="003B0738">
        <w:rPr>
          <w:szCs w:val="24"/>
          <w:lang w:eastAsia="en-US"/>
        </w:rPr>
        <w:tab/>
      </w:r>
      <w:proofErr w:type="gramStart"/>
      <w:r w:rsidRPr="003B0738">
        <w:rPr>
          <w:szCs w:val="24"/>
          <w:lang w:eastAsia="en-US"/>
        </w:rPr>
        <w:t>art</w:t>
      </w:r>
      <w:proofErr w:type="gramEnd"/>
      <w:r w:rsidRPr="003B0738">
        <w:rPr>
          <w:szCs w:val="24"/>
          <w:lang w:eastAsia="en-US"/>
        </w:rPr>
        <w:t>. 2 ust. 1 otrzymuje brzmienie: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t>„1.</w:t>
      </w:r>
      <w:r w:rsidRPr="003B0738">
        <w:rPr>
          <w:szCs w:val="24"/>
          <w:lang w:eastAsia="en-US"/>
        </w:rPr>
        <w:tab/>
        <w:t xml:space="preserve">Niniejsza dyrektywa ma zastosowanie do postępowań mających na celu pozasądowe rozstrzygnięcie sporów między konsumentami zamieszkałymi w Unii a przedsiębiorcami oferującymi tym konsumentom towary lub usługi, w tym treści i usługi cyfrowe, poprzez interwencję podmiotu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>, który proponuje lub narzuca rozwiązanie bądź doprowadza do spotkania stron w celu ułatwienia polubownego rozstrzygnięcia dotyczącego jednej z następujących kwestii:</w:t>
      </w:r>
    </w:p>
    <w:p w:rsidR="003B0738" w:rsidRPr="003B0738" w:rsidRDefault="003B0738" w:rsidP="003B0738">
      <w:pPr>
        <w:spacing w:before="120" w:after="120" w:line="360" w:lineRule="auto"/>
        <w:ind w:left="1982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t>a</w:t>
      </w:r>
      <w:proofErr w:type="gramStart"/>
      <w:r w:rsidRPr="003B0738">
        <w:rPr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  <w:t>zobowiązania</w:t>
      </w:r>
      <w:proofErr w:type="gramEnd"/>
      <w:r w:rsidRPr="003B0738">
        <w:rPr>
          <w:szCs w:val="24"/>
          <w:lang w:eastAsia="en-US"/>
        </w:rPr>
        <w:t xml:space="preserve"> umowne wynikające z umów sprzedaży, w tym umów o dostarczanie treści cyfrowych, lub z umów o świadczenie usług</w:t>
      </w:r>
      <w:r w:rsidRPr="003B0738">
        <w:rPr>
          <w:strike/>
          <w:szCs w:val="24"/>
          <w:lang w:eastAsia="en-US"/>
        </w:rPr>
        <w:t>;</w:t>
      </w:r>
      <w:r w:rsidRPr="003B0738">
        <w:rPr>
          <w:b/>
          <w:i/>
          <w:szCs w:val="24"/>
          <w:lang w:eastAsia="en-US"/>
        </w:rPr>
        <w:t xml:space="preserve">, w tym zobowiązania </w:t>
      </w:r>
      <w:proofErr w:type="spellStart"/>
      <w:r w:rsidRPr="003B0738">
        <w:rPr>
          <w:b/>
          <w:i/>
          <w:szCs w:val="24"/>
          <w:lang w:eastAsia="en-US"/>
        </w:rPr>
        <w:t>przedumowne</w:t>
      </w:r>
      <w:proofErr w:type="spellEnd"/>
      <w:r w:rsidRPr="003B0738">
        <w:rPr>
          <w:b/>
          <w:i/>
          <w:szCs w:val="24"/>
          <w:lang w:eastAsia="en-US"/>
        </w:rPr>
        <w:t xml:space="preserve"> i </w:t>
      </w:r>
      <w:proofErr w:type="spellStart"/>
      <w:r w:rsidRPr="003B0738">
        <w:rPr>
          <w:b/>
          <w:i/>
          <w:szCs w:val="24"/>
          <w:lang w:eastAsia="en-US"/>
        </w:rPr>
        <w:t>poumowne</w:t>
      </w:r>
      <w:proofErr w:type="spellEnd"/>
      <w:r w:rsidRPr="003B0738">
        <w:rPr>
          <w:b/>
          <w:i/>
          <w:szCs w:val="24"/>
          <w:lang w:eastAsia="en-US"/>
        </w:rPr>
        <w:t>, w szczególności w odniesieniu do:</w:t>
      </w:r>
    </w:p>
    <w:p w:rsidR="003B0738" w:rsidRPr="003B0738" w:rsidRDefault="003B0738" w:rsidP="003B0738">
      <w:pPr>
        <w:spacing w:before="120" w:after="120" w:line="360" w:lineRule="auto"/>
        <w:ind w:left="2548" w:hanging="566"/>
        <w:rPr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(i</w:t>
      </w:r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nieuczciwych</w:t>
      </w:r>
      <w:proofErr w:type="gramEnd"/>
      <w:r w:rsidRPr="003B0738">
        <w:rPr>
          <w:b/>
          <w:i/>
          <w:szCs w:val="24"/>
          <w:lang w:eastAsia="en-US"/>
        </w:rPr>
        <w:t xml:space="preserve"> praktyk i warunków handlowych;</w:t>
      </w:r>
    </w:p>
    <w:p w:rsidR="003B0738" w:rsidRPr="003B0738" w:rsidRDefault="003B0738" w:rsidP="003B0738">
      <w:pPr>
        <w:spacing w:before="120" w:after="120" w:line="360" w:lineRule="auto"/>
        <w:ind w:left="2548" w:hanging="566"/>
        <w:rPr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(ii</w:t>
      </w:r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obowiązkowych</w:t>
      </w:r>
      <w:proofErr w:type="gramEnd"/>
      <w:r w:rsidRPr="003B0738">
        <w:rPr>
          <w:b/>
          <w:i/>
          <w:szCs w:val="24"/>
          <w:lang w:eastAsia="en-US"/>
        </w:rPr>
        <w:t xml:space="preserve"> informacji udzielanych przed zawarciem umowy;</w:t>
      </w:r>
    </w:p>
    <w:p w:rsidR="003B0738" w:rsidRPr="003B0738" w:rsidRDefault="003B0738" w:rsidP="003B0738">
      <w:pPr>
        <w:spacing w:before="120" w:after="120" w:line="360" w:lineRule="auto"/>
        <w:ind w:left="2548" w:hanging="566"/>
        <w:rPr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(iii</w:t>
      </w:r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praw</w:t>
      </w:r>
      <w:proofErr w:type="gramEnd"/>
      <w:r w:rsidRPr="003B0738">
        <w:rPr>
          <w:b/>
          <w:i/>
          <w:szCs w:val="24"/>
          <w:lang w:eastAsia="en-US"/>
        </w:rPr>
        <w:t xml:space="preserve"> pasażerów i podróżnych;</w:t>
      </w:r>
    </w:p>
    <w:p w:rsidR="003B0738" w:rsidRPr="003B0738" w:rsidRDefault="003B0738" w:rsidP="003B0738">
      <w:pPr>
        <w:spacing w:before="120" w:after="120" w:line="360" w:lineRule="auto"/>
        <w:ind w:left="2548" w:hanging="566"/>
        <w:rPr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(iv</w:t>
      </w:r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środków</w:t>
      </w:r>
      <w:proofErr w:type="gramEnd"/>
      <w:r w:rsidRPr="003B0738">
        <w:rPr>
          <w:b/>
          <w:i/>
          <w:szCs w:val="24"/>
          <w:lang w:eastAsia="en-US"/>
        </w:rPr>
        <w:t xml:space="preserve"> ochrony prawnej w przypadku niezgodności produktów i treści cyfrowych; oraz</w:t>
      </w:r>
    </w:p>
    <w:p w:rsidR="003B0738" w:rsidRPr="003B0738" w:rsidRDefault="003B0738" w:rsidP="003B0738">
      <w:pPr>
        <w:spacing w:before="120" w:after="120" w:line="360" w:lineRule="auto"/>
        <w:ind w:left="2548" w:hanging="566"/>
        <w:rPr>
          <w:b/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(v</w:t>
      </w:r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dostępu</w:t>
      </w:r>
      <w:proofErr w:type="gramEnd"/>
      <w:r w:rsidRPr="003B0738">
        <w:rPr>
          <w:b/>
          <w:i/>
          <w:szCs w:val="24"/>
          <w:lang w:eastAsia="en-US"/>
        </w:rPr>
        <w:t xml:space="preserve"> do dostaw.</w:t>
      </w:r>
      <w:r w:rsidR="00097552">
        <w:rPr>
          <w:b/>
          <w:szCs w:val="24"/>
          <w:lang w:eastAsia="en-US"/>
        </w:rPr>
        <w:t xml:space="preserve"> [Popr. 24]</w:t>
      </w:r>
    </w:p>
    <w:p w:rsidR="00097552" w:rsidRDefault="00097552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1982" w:hanging="566"/>
        <w:rPr>
          <w:b/>
          <w:szCs w:val="24"/>
          <w:lang w:eastAsia="en-US"/>
        </w:rPr>
      </w:pPr>
      <w:r w:rsidRPr="003B0738">
        <w:rPr>
          <w:szCs w:val="24"/>
          <w:lang w:eastAsia="en-US"/>
        </w:rPr>
        <w:lastRenderedPageBreak/>
        <w:t>b</w:t>
      </w:r>
      <w:proofErr w:type="gramStart"/>
      <w:r w:rsidRPr="003B0738">
        <w:rPr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  <w:t>prawa</w:t>
      </w:r>
      <w:proofErr w:type="gramEnd"/>
      <w:r w:rsidRPr="003B0738">
        <w:rPr>
          <w:szCs w:val="24"/>
          <w:lang w:eastAsia="en-US"/>
        </w:rPr>
        <w:t xml:space="preserve"> konsumentów mające zastosowanie w sytuacjach pozaumownych </w:t>
      </w:r>
      <w:r w:rsidRPr="003B0738">
        <w:rPr>
          <w:strike/>
          <w:szCs w:val="24"/>
          <w:lang w:eastAsia="en-US"/>
        </w:rPr>
        <w:t xml:space="preserve">i </w:t>
      </w:r>
      <w:proofErr w:type="spellStart"/>
      <w:r w:rsidRPr="003B0738">
        <w:rPr>
          <w:strike/>
          <w:szCs w:val="24"/>
          <w:lang w:eastAsia="en-US"/>
        </w:rPr>
        <w:t>przedumownych</w:t>
      </w:r>
      <w:proofErr w:type="spellEnd"/>
      <w:r w:rsidRPr="003B0738">
        <w:rPr>
          <w:strike/>
          <w:szCs w:val="24"/>
          <w:lang w:eastAsia="en-US"/>
        </w:rPr>
        <w:t xml:space="preserve"> </w:t>
      </w:r>
      <w:r w:rsidRPr="003B0738">
        <w:rPr>
          <w:szCs w:val="24"/>
          <w:lang w:eastAsia="en-US"/>
        </w:rPr>
        <w:t>oraz przewidziane w prawie Unii dotyczące:</w:t>
      </w:r>
      <w:r w:rsidR="00097552">
        <w:rPr>
          <w:b/>
          <w:szCs w:val="24"/>
          <w:lang w:eastAsia="en-US"/>
        </w:rPr>
        <w:t xml:space="preserve"> [Popr. 25]</w:t>
      </w:r>
    </w:p>
    <w:p w:rsidR="003B0738" w:rsidRPr="003B0738" w:rsidRDefault="003B0738" w:rsidP="003B0738">
      <w:pPr>
        <w:spacing w:before="120" w:after="120" w:line="360" w:lineRule="auto"/>
        <w:ind w:left="2548" w:hanging="566"/>
        <w:rPr>
          <w:b/>
          <w:szCs w:val="24"/>
          <w:lang w:eastAsia="en-US"/>
        </w:rPr>
      </w:pPr>
      <w:r w:rsidRPr="003B0738">
        <w:rPr>
          <w:szCs w:val="24"/>
          <w:lang w:eastAsia="en-US"/>
        </w:rPr>
        <w:t>(i</w:t>
      </w:r>
      <w:proofErr w:type="gramStart"/>
      <w:r w:rsidRPr="003B0738">
        <w:rPr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strike/>
          <w:szCs w:val="24"/>
          <w:lang w:eastAsia="en-US"/>
        </w:rPr>
        <w:t>nieuczciwych</w:t>
      </w:r>
      <w:proofErr w:type="gramEnd"/>
      <w:r w:rsidRPr="003B0738">
        <w:rPr>
          <w:strike/>
          <w:szCs w:val="24"/>
          <w:lang w:eastAsia="en-US"/>
        </w:rPr>
        <w:t xml:space="preserve"> praktyk i warunków </w:t>
      </w:r>
      <w:proofErr w:type="spellStart"/>
      <w:r w:rsidRPr="003B0738">
        <w:rPr>
          <w:strike/>
          <w:szCs w:val="24"/>
          <w:lang w:eastAsia="en-US"/>
        </w:rPr>
        <w:t>handlowych</w:t>
      </w:r>
      <w:r w:rsidRPr="003B0738">
        <w:rPr>
          <w:b/>
          <w:i/>
          <w:szCs w:val="24"/>
          <w:lang w:eastAsia="en-US"/>
        </w:rPr>
        <w:t>niedyskryminacji</w:t>
      </w:r>
      <w:proofErr w:type="spellEnd"/>
      <w:r w:rsidRPr="003B0738">
        <w:rPr>
          <w:b/>
          <w:i/>
          <w:szCs w:val="24"/>
          <w:lang w:eastAsia="en-US"/>
        </w:rPr>
        <w:t xml:space="preserve"> ze względu na obywatelstwo lub miejsce zamieszkania</w:t>
      </w:r>
      <w:r w:rsidRPr="003B0738">
        <w:rPr>
          <w:szCs w:val="24"/>
          <w:lang w:eastAsia="en-US"/>
        </w:rPr>
        <w:t>,</w:t>
      </w:r>
      <w:r w:rsidR="00097552">
        <w:rPr>
          <w:b/>
          <w:szCs w:val="24"/>
          <w:lang w:eastAsia="en-US"/>
        </w:rPr>
        <w:t xml:space="preserve"> [Popr. 26]</w:t>
      </w:r>
    </w:p>
    <w:p w:rsidR="003B0738" w:rsidRPr="003B0738" w:rsidRDefault="003B0738" w:rsidP="003B0738">
      <w:pPr>
        <w:spacing w:before="120" w:after="120" w:line="360" w:lineRule="auto"/>
        <w:ind w:left="2548" w:hanging="566"/>
        <w:rPr>
          <w:b/>
          <w:szCs w:val="24"/>
          <w:lang w:eastAsia="en-US"/>
        </w:rPr>
      </w:pPr>
      <w:r w:rsidRPr="003B0738">
        <w:rPr>
          <w:szCs w:val="24"/>
          <w:lang w:eastAsia="en-US"/>
        </w:rPr>
        <w:t>(ii</w:t>
      </w:r>
      <w:proofErr w:type="gramStart"/>
      <w:r w:rsidRPr="003B0738">
        <w:rPr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strike/>
          <w:szCs w:val="24"/>
          <w:lang w:eastAsia="en-US"/>
        </w:rPr>
        <w:t>informacji</w:t>
      </w:r>
      <w:proofErr w:type="gramEnd"/>
      <w:r w:rsidRPr="003B0738">
        <w:rPr>
          <w:strike/>
          <w:szCs w:val="24"/>
          <w:lang w:eastAsia="en-US"/>
        </w:rPr>
        <w:t xml:space="preserve"> obowiązkowo udzielanych przed zawarciem </w:t>
      </w:r>
      <w:proofErr w:type="spellStart"/>
      <w:r w:rsidRPr="003B0738">
        <w:rPr>
          <w:strike/>
          <w:szCs w:val="24"/>
          <w:lang w:eastAsia="en-US"/>
        </w:rPr>
        <w:t>umowy,</w:t>
      </w:r>
      <w:r w:rsidRPr="003B0738">
        <w:rPr>
          <w:b/>
          <w:i/>
          <w:szCs w:val="24"/>
          <w:lang w:eastAsia="en-US"/>
        </w:rPr>
        <w:t>dostępu</w:t>
      </w:r>
      <w:proofErr w:type="spellEnd"/>
      <w:r w:rsidRPr="003B0738">
        <w:rPr>
          <w:b/>
          <w:i/>
          <w:szCs w:val="24"/>
          <w:lang w:eastAsia="en-US"/>
        </w:rPr>
        <w:t xml:space="preserve"> do usług;</w:t>
      </w:r>
      <w:r w:rsidR="00097552">
        <w:rPr>
          <w:b/>
          <w:szCs w:val="24"/>
          <w:lang w:eastAsia="en-US"/>
        </w:rPr>
        <w:t xml:space="preserve"> [Popr. 27]</w:t>
      </w:r>
    </w:p>
    <w:p w:rsidR="003B0738" w:rsidRPr="003B0738" w:rsidRDefault="003B0738" w:rsidP="003B0738">
      <w:pPr>
        <w:spacing w:before="120" w:after="120" w:line="360" w:lineRule="auto"/>
        <w:ind w:left="2548" w:hanging="566"/>
        <w:rPr>
          <w:b/>
          <w:szCs w:val="24"/>
          <w:lang w:eastAsia="en-US"/>
        </w:rPr>
      </w:pPr>
      <w:r w:rsidRPr="003B0738">
        <w:rPr>
          <w:szCs w:val="24"/>
          <w:lang w:eastAsia="en-US"/>
        </w:rPr>
        <w:t>(iii</w:t>
      </w:r>
      <w:proofErr w:type="gramStart"/>
      <w:r w:rsidRPr="003B0738">
        <w:rPr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strike/>
          <w:szCs w:val="24"/>
          <w:lang w:eastAsia="en-US"/>
        </w:rPr>
        <w:t>niedyskryminacji</w:t>
      </w:r>
      <w:proofErr w:type="gramEnd"/>
      <w:r w:rsidRPr="003B0738">
        <w:rPr>
          <w:strike/>
          <w:szCs w:val="24"/>
          <w:lang w:eastAsia="en-US"/>
        </w:rPr>
        <w:t xml:space="preserve"> ze względu na obywatelstwo lub miejsce </w:t>
      </w:r>
      <w:proofErr w:type="spellStart"/>
      <w:r w:rsidRPr="003B0738">
        <w:rPr>
          <w:strike/>
          <w:szCs w:val="24"/>
          <w:lang w:eastAsia="en-US"/>
        </w:rPr>
        <w:t>zamieszkania,</w:t>
      </w:r>
      <w:r w:rsidRPr="003B0738">
        <w:rPr>
          <w:b/>
          <w:i/>
          <w:szCs w:val="24"/>
          <w:lang w:eastAsia="en-US"/>
        </w:rPr>
        <w:t>prawa</w:t>
      </w:r>
      <w:proofErr w:type="spellEnd"/>
      <w:r w:rsidRPr="003B0738">
        <w:rPr>
          <w:b/>
          <w:i/>
          <w:szCs w:val="24"/>
          <w:lang w:eastAsia="en-US"/>
        </w:rPr>
        <w:t xml:space="preserve"> do zmiany dostawcy; oraz</w:t>
      </w:r>
      <w:r w:rsidR="00097552">
        <w:rPr>
          <w:b/>
          <w:szCs w:val="24"/>
          <w:lang w:eastAsia="en-US"/>
        </w:rPr>
        <w:t xml:space="preserve"> [Popr. 28]</w:t>
      </w:r>
    </w:p>
    <w:p w:rsidR="003B0738" w:rsidRPr="003B0738" w:rsidRDefault="003B0738" w:rsidP="003B0738">
      <w:pPr>
        <w:spacing w:before="120" w:after="120" w:line="360" w:lineRule="auto"/>
        <w:ind w:left="2548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t>(iv</w:t>
      </w:r>
      <w:proofErr w:type="gramStart"/>
      <w:r w:rsidRPr="003B0738">
        <w:rPr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  <w:t>dostępu</w:t>
      </w:r>
      <w:proofErr w:type="gramEnd"/>
      <w:r w:rsidRPr="003B0738">
        <w:rPr>
          <w:szCs w:val="24"/>
          <w:lang w:eastAsia="en-US"/>
        </w:rPr>
        <w:t xml:space="preserve"> do usług i </w:t>
      </w:r>
      <w:proofErr w:type="spellStart"/>
      <w:r w:rsidRPr="003B0738">
        <w:rPr>
          <w:szCs w:val="24"/>
          <w:lang w:eastAsia="en-US"/>
        </w:rPr>
        <w:t>dostaw,</w:t>
      </w:r>
      <w:r w:rsidRPr="003B0738">
        <w:rPr>
          <w:b/>
          <w:i/>
          <w:szCs w:val="24"/>
          <w:lang w:eastAsia="en-US"/>
        </w:rPr>
        <w:t>nieuczciwych</w:t>
      </w:r>
      <w:proofErr w:type="spellEnd"/>
      <w:r w:rsidRPr="003B0738">
        <w:rPr>
          <w:b/>
          <w:i/>
          <w:szCs w:val="24"/>
          <w:lang w:eastAsia="en-US"/>
        </w:rPr>
        <w:t xml:space="preserve"> praktyk handlowych nieobjętych lit. a) </w:t>
      </w:r>
      <w:proofErr w:type="spellStart"/>
      <w:r w:rsidRPr="003B0738">
        <w:rPr>
          <w:b/>
          <w:i/>
          <w:szCs w:val="24"/>
          <w:lang w:eastAsia="en-US"/>
        </w:rPr>
        <w:t>ppkt</w:t>
      </w:r>
      <w:proofErr w:type="spellEnd"/>
      <w:r w:rsidRPr="003B0738">
        <w:rPr>
          <w:b/>
          <w:i/>
          <w:szCs w:val="24"/>
          <w:lang w:eastAsia="en-US"/>
        </w:rPr>
        <w:t xml:space="preserve"> (i), pod warunkiem że:</w:t>
      </w:r>
    </w:p>
    <w:p w:rsidR="003B0738" w:rsidRPr="003B0738" w:rsidRDefault="003B0738" w:rsidP="003B0738">
      <w:pPr>
        <w:spacing w:before="120" w:after="120" w:line="360" w:lineRule="auto"/>
        <w:ind w:left="3114" w:hanging="566"/>
        <w:rPr>
          <w:szCs w:val="24"/>
          <w:lang w:eastAsia="en-US"/>
        </w:rPr>
      </w:pPr>
      <w:proofErr w:type="gramStart"/>
      <w:r w:rsidRPr="003B0738">
        <w:rPr>
          <w:b/>
          <w:i/>
          <w:szCs w:val="24"/>
          <w:lang w:eastAsia="en-US"/>
        </w:rPr>
        <w:t>1)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podmiot</w:t>
      </w:r>
      <w:proofErr w:type="gramEnd"/>
      <w:r w:rsidRPr="003B0738">
        <w:rPr>
          <w:b/>
          <w:i/>
          <w:szCs w:val="24"/>
          <w:lang w:eastAsia="en-US"/>
        </w:rPr>
        <w:t xml:space="preserve">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jest podmiotem o zasięgu sektorowym i posiada niezbędną wiedzę na temat nieuczciwych praktyk handlowych;</w:t>
      </w:r>
    </w:p>
    <w:p w:rsidR="003B0738" w:rsidRPr="003B0738" w:rsidRDefault="003B0738" w:rsidP="003B0738">
      <w:pPr>
        <w:spacing w:before="120" w:after="120" w:line="360" w:lineRule="auto"/>
        <w:ind w:left="3114" w:hanging="566"/>
        <w:rPr>
          <w:szCs w:val="24"/>
          <w:lang w:eastAsia="en-US"/>
        </w:rPr>
      </w:pPr>
      <w:proofErr w:type="gramStart"/>
      <w:r w:rsidRPr="003B0738">
        <w:rPr>
          <w:b/>
          <w:i/>
          <w:szCs w:val="24"/>
          <w:lang w:eastAsia="en-US"/>
        </w:rPr>
        <w:t>2)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podmiot</w:t>
      </w:r>
      <w:proofErr w:type="gramEnd"/>
      <w:r w:rsidRPr="003B0738">
        <w:rPr>
          <w:b/>
          <w:i/>
          <w:szCs w:val="24"/>
          <w:lang w:eastAsia="en-US"/>
        </w:rPr>
        <w:t xml:space="preserve">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dysponuje odpowiednimi zasobami i finansowaniem;</w:t>
      </w:r>
    </w:p>
    <w:p w:rsidR="003B0738" w:rsidRPr="003B0738" w:rsidRDefault="003B0738" w:rsidP="003B0738">
      <w:pPr>
        <w:spacing w:before="120" w:after="120" w:line="360" w:lineRule="auto"/>
        <w:ind w:left="3114" w:hanging="566"/>
        <w:rPr>
          <w:szCs w:val="24"/>
          <w:lang w:eastAsia="en-US"/>
        </w:rPr>
      </w:pPr>
      <w:proofErr w:type="gramStart"/>
      <w:r w:rsidRPr="003B0738">
        <w:rPr>
          <w:b/>
          <w:i/>
          <w:szCs w:val="24"/>
          <w:lang w:eastAsia="en-US"/>
        </w:rPr>
        <w:t>3)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nieuczciwa</w:t>
      </w:r>
      <w:proofErr w:type="gramEnd"/>
      <w:r w:rsidRPr="003B0738">
        <w:rPr>
          <w:b/>
          <w:i/>
          <w:szCs w:val="24"/>
          <w:lang w:eastAsia="en-US"/>
        </w:rPr>
        <w:t xml:space="preserve"> praktyka skutkowała poniesieniem przez konsumenta szkody materialnej lub niematerialnej; oraz</w:t>
      </w:r>
    </w:p>
    <w:p w:rsidR="003B0738" w:rsidRPr="003B0738" w:rsidRDefault="003B0738" w:rsidP="003B0738">
      <w:pPr>
        <w:spacing w:before="120" w:after="120" w:line="360" w:lineRule="auto"/>
        <w:ind w:left="3114" w:hanging="566"/>
        <w:rPr>
          <w:b/>
          <w:szCs w:val="24"/>
          <w:lang w:eastAsia="en-US"/>
        </w:rPr>
      </w:pPr>
      <w:proofErr w:type="gramStart"/>
      <w:r w:rsidRPr="003B0738">
        <w:rPr>
          <w:b/>
          <w:i/>
          <w:szCs w:val="24"/>
          <w:lang w:eastAsia="en-US"/>
        </w:rPr>
        <w:t>4)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w</w:t>
      </w:r>
      <w:proofErr w:type="gramEnd"/>
      <w:r w:rsidRPr="003B0738">
        <w:rPr>
          <w:b/>
          <w:i/>
          <w:szCs w:val="24"/>
          <w:lang w:eastAsia="en-US"/>
        </w:rPr>
        <w:t xml:space="preserve"> przypadku nieuczciwych praktyk handlowych podmiot stosuje prawo właściwe;</w:t>
      </w:r>
      <w:r w:rsidR="00097552">
        <w:rPr>
          <w:b/>
          <w:szCs w:val="24"/>
          <w:lang w:eastAsia="en-US"/>
        </w:rPr>
        <w:t xml:space="preserve"> [Popr. 29]</w:t>
      </w:r>
    </w:p>
    <w:p w:rsidR="00097552" w:rsidRDefault="00097552">
      <w:pPr>
        <w:widowControl/>
        <w:rPr>
          <w:strike/>
          <w:szCs w:val="24"/>
          <w:lang w:eastAsia="en-US"/>
        </w:rPr>
      </w:pPr>
      <w:r>
        <w:rPr>
          <w:strike/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2548" w:hanging="566"/>
        <w:rPr>
          <w:b/>
          <w:szCs w:val="24"/>
          <w:lang w:eastAsia="en-US"/>
        </w:rPr>
      </w:pPr>
      <w:r w:rsidRPr="003B0738">
        <w:rPr>
          <w:strike/>
          <w:szCs w:val="24"/>
          <w:lang w:eastAsia="en-US"/>
        </w:rPr>
        <w:lastRenderedPageBreak/>
        <w:t>(v</w:t>
      </w:r>
      <w:proofErr w:type="gramStart"/>
      <w:r w:rsidRPr="003B0738">
        <w:rPr>
          <w:strike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strike/>
          <w:szCs w:val="24"/>
          <w:lang w:eastAsia="en-US"/>
        </w:rPr>
        <w:t>środków</w:t>
      </w:r>
      <w:proofErr w:type="gramEnd"/>
      <w:r w:rsidRPr="003B0738">
        <w:rPr>
          <w:strike/>
          <w:szCs w:val="24"/>
          <w:lang w:eastAsia="en-US"/>
        </w:rPr>
        <w:t xml:space="preserve"> ochrony prawnej w przypadku niezgodności produktów i treści cyfrowych,</w:t>
      </w:r>
      <w:r w:rsidR="00097552">
        <w:rPr>
          <w:b/>
          <w:szCs w:val="24"/>
          <w:lang w:eastAsia="en-US"/>
        </w:rPr>
        <w:t xml:space="preserve"> [Popr. 30]</w:t>
      </w:r>
    </w:p>
    <w:p w:rsidR="003B0738" w:rsidRPr="003B0738" w:rsidRDefault="003B0738" w:rsidP="003B0738">
      <w:pPr>
        <w:spacing w:before="120" w:after="120" w:line="360" w:lineRule="auto"/>
        <w:ind w:left="2548" w:hanging="566"/>
        <w:rPr>
          <w:b/>
          <w:szCs w:val="24"/>
          <w:lang w:eastAsia="en-US"/>
        </w:rPr>
      </w:pPr>
      <w:r w:rsidRPr="003B0738">
        <w:rPr>
          <w:strike/>
          <w:szCs w:val="24"/>
          <w:lang w:eastAsia="en-US"/>
        </w:rPr>
        <w:t>(vi</w:t>
      </w:r>
      <w:proofErr w:type="gramStart"/>
      <w:r w:rsidRPr="003B0738">
        <w:rPr>
          <w:strike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strike/>
          <w:szCs w:val="24"/>
          <w:lang w:eastAsia="en-US"/>
        </w:rPr>
        <w:t>prawa</w:t>
      </w:r>
      <w:proofErr w:type="gramEnd"/>
      <w:r w:rsidRPr="003B0738">
        <w:rPr>
          <w:strike/>
          <w:szCs w:val="24"/>
          <w:lang w:eastAsia="en-US"/>
        </w:rPr>
        <w:t xml:space="preserve"> do zmiany dostawcy oraz</w:t>
      </w:r>
      <w:r w:rsidR="00097552">
        <w:rPr>
          <w:b/>
          <w:szCs w:val="24"/>
          <w:lang w:eastAsia="en-US"/>
        </w:rPr>
        <w:t xml:space="preserve"> [Popr. 31]</w:t>
      </w:r>
    </w:p>
    <w:p w:rsidR="003B0738" w:rsidRPr="003B0738" w:rsidRDefault="003B0738" w:rsidP="003B0738">
      <w:pPr>
        <w:spacing w:before="120" w:after="120" w:line="360" w:lineRule="auto"/>
        <w:ind w:left="2548" w:hanging="566"/>
        <w:rPr>
          <w:b/>
          <w:szCs w:val="24"/>
          <w:lang w:eastAsia="en-US"/>
        </w:rPr>
      </w:pPr>
      <w:r w:rsidRPr="003B0738">
        <w:rPr>
          <w:strike/>
          <w:szCs w:val="24"/>
          <w:lang w:eastAsia="en-US"/>
        </w:rPr>
        <w:t>(vii</w:t>
      </w:r>
      <w:proofErr w:type="gramStart"/>
      <w:r w:rsidRPr="003B0738">
        <w:rPr>
          <w:strike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strike/>
          <w:szCs w:val="24"/>
          <w:lang w:eastAsia="en-US"/>
        </w:rPr>
        <w:t>praw</w:t>
      </w:r>
      <w:proofErr w:type="gramEnd"/>
      <w:r w:rsidRPr="003B0738">
        <w:rPr>
          <w:strike/>
          <w:szCs w:val="24"/>
          <w:lang w:eastAsia="en-US"/>
        </w:rPr>
        <w:t xml:space="preserve"> pasażerów i podróżnych.</w:t>
      </w:r>
      <w:r w:rsidR="00097552">
        <w:rPr>
          <w:b/>
          <w:szCs w:val="24"/>
          <w:lang w:eastAsia="en-US"/>
        </w:rPr>
        <w:t xml:space="preserve"> [Popr. 32]</w:t>
      </w:r>
    </w:p>
    <w:p w:rsidR="003B0738" w:rsidRPr="003B0738" w:rsidRDefault="003B0738" w:rsidP="003B0738">
      <w:pPr>
        <w:spacing w:before="120" w:after="120" w:line="360" w:lineRule="auto"/>
        <w:ind w:left="1416"/>
        <w:rPr>
          <w:szCs w:val="24"/>
          <w:lang w:eastAsia="en-US"/>
        </w:rPr>
      </w:pPr>
      <w:r w:rsidRPr="003B0738">
        <w:rPr>
          <w:szCs w:val="24"/>
          <w:lang w:eastAsia="en-US"/>
        </w:rPr>
        <w:t xml:space="preserve">Państwa członkowskie mogą zastosować postępowania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określone w niniejszej dyrektywie również do kategorii sporów innych niż wymienion</w:t>
      </w:r>
      <w:r w:rsidR="00097552">
        <w:rPr>
          <w:szCs w:val="24"/>
          <w:lang w:eastAsia="en-US"/>
        </w:rPr>
        <w:t>e w akapicie pierwszym lit. b).</w:t>
      </w:r>
      <w:r w:rsidRPr="003B0738">
        <w:rPr>
          <w:szCs w:val="24"/>
          <w:lang w:eastAsia="en-US"/>
        </w:rPr>
        <w:t>”</w:t>
      </w:r>
      <w:r w:rsidR="00097552">
        <w:rPr>
          <w:szCs w:val="24"/>
          <w:lang w:eastAsia="en-US"/>
        </w:rPr>
        <w:t>.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0738">
        <w:rPr>
          <w:szCs w:val="24"/>
          <w:lang w:eastAsia="en-US"/>
        </w:rPr>
        <w:t>2.</w:t>
      </w:r>
      <w:r w:rsidRPr="003B0738">
        <w:rPr>
          <w:szCs w:val="24"/>
          <w:lang w:eastAsia="en-US"/>
        </w:rPr>
        <w:tab/>
      </w:r>
      <w:proofErr w:type="gramStart"/>
      <w:r w:rsidRPr="003B0738">
        <w:rPr>
          <w:szCs w:val="24"/>
          <w:lang w:eastAsia="en-US"/>
        </w:rPr>
        <w:t>art</w:t>
      </w:r>
      <w:proofErr w:type="gramEnd"/>
      <w:r w:rsidRPr="003B0738">
        <w:rPr>
          <w:szCs w:val="24"/>
          <w:lang w:eastAsia="en-US"/>
        </w:rPr>
        <w:t>. 4 ust. 1 lit. e) i f) otrzymują brzmienie: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t>„e</w:t>
      </w:r>
      <w:proofErr w:type="gramStart"/>
      <w:r w:rsidRPr="003B0738">
        <w:rPr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  <w:t>»spór</w:t>
      </w:r>
      <w:proofErr w:type="gramEnd"/>
      <w:r w:rsidRPr="003B0738">
        <w:rPr>
          <w:szCs w:val="24"/>
          <w:lang w:eastAsia="en-US"/>
        </w:rPr>
        <w:t xml:space="preserve"> krajowy« oznacza spór między konsumentem a przedsiębiorcą, dotyczący zobowiązań umownych lub praw konsumentów przewidzianych w prawie Unii, o czym mowa w art. 2 ust. 1, w przypadku gdy konsument zamieszkuje w tym samym państwie członkowskim, w którym przedsiębiorca ma siedzibę;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t>f</w:t>
      </w:r>
      <w:proofErr w:type="gramStart"/>
      <w:r w:rsidRPr="003B0738">
        <w:rPr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  <w:t>»spór</w:t>
      </w:r>
      <w:proofErr w:type="gramEnd"/>
      <w:r w:rsidRPr="003B0738">
        <w:rPr>
          <w:szCs w:val="24"/>
          <w:lang w:eastAsia="en-US"/>
        </w:rPr>
        <w:t xml:space="preserve"> transgraniczny« oznacza spór między konsumentem a przedsiębiorcą, dotyczący zobowiązań umownych lub praw konsumentów przewidzianych w aktach Unii, o czym mowa w art. 2 ust. 1, w przypadku gdy konsument zamieszkuje w państwie członkowskim innym niż państwo członkowskie, w którym przedsiębiorca ma siedzibę, lub w przypadku gdy konsument zamieszkuje w państwie członkowskim, a przed</w:t>
      </w:r>
      <w:r w:rsidR="00097552">
        <w:rPr>
          <w:szCs w:val="24"/>
          <w:lang w:eastAsia="en-US"/>
        </w:rPr>
        <w:t>siębiorca ma siedzibę poza Unią</w:t>
      </w:r>
      <w:r w:rsidRPr="003B0738">
        <w:rPr>
          <w:szCs w:val="24"/>
          <w:lang w:eastAsia="en-US"/>
        </w:rPr>
        <w:t>;”</w:t>
      </w:r>
      <w:r w:rsidR="00097552">
        <w:rPr>
          <w:szCs w:val="24"/>
          <w:lang w:eastAsia="en-US"/>
        </w:rPr>
        <w:t>.</w:t>
      </w:r>
    </w:p>
    <w:p w:rsidR="00097552" w:rsidRDefault="00097552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spellStart"/>
      <w:r w:rsidRPr="003B0738">
        <w:rPr>
          <w:b/>
          <w:i/>
          <w:szCs w:val="24"/>
          <w:lang w:eastAsia="en-US"/>
        </w:rPr>
        <w:lastRenderedPageBreak/>
        <w:t>2a</w:t>
      </w:r>
      <w:proofErr w:type="spellEnd"/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w</w:t>
      </w:r>
      <w:proofErr w:type="gramEnd"/>
      <w:r w:rsidRPr="003B0738">
        <w:rPr>
          <w:b/>
          <w:i/>
          <w:szCs w:val="24"/>
          <w:lang w:eastAsia="en-US"/>
        </w:rPr>
        <w:t xml:space="preserve"> art. 4 dodaje się ustęp w brzmieniu: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3B0738">
        <w:rPr>
          <w:szCs w:val="24"/>
          <w:lang w:eastAsia="en-US"/>
        </w:rPr>
        <w:t>„</w:t>
      </w:r>
      <w:r w:rsidRPr="003B0738">
        <w:rPr>
          <w:b/>
          <w:i/>
          <w:szCs w:val="24"/>
          <w:lang w:eastAsia="en-US"/>
        </w:rPr>
        <w:t>a</w:t>
      </w:r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„nieuczciwa</w:t>
      </w:r>
      <w:proofErr w:type="gramEnd"/>
      <w:r w:rsidRPr="003B0738">
        <w:rPr>
          <w:b/>
          <w:i/>
          <w:szCs w:val="24"/>
          <w:lang w:eastAsia="en-US"/>
        </w:rPr>
        <w:t xml:space="preserve"> praktyka handlowa” oznacza każdą wprowadzającą w błąd praktykę handlową w rozumieniu załącznika I do dyrektywy 2005/29/WE.</w:t>
      </w:r>
      <w:r w:rsidRPr="003B0738">
        <w:rPr>
          <w:szCs w:val="24"/>
          <w:lang w:eastAsia="en-US"/>
        </w:rPr>
        <w:t>”</w:t>
      </w:r>
      <w:r w:rsidR="00097552">
        <w:rPr>
          <w:b/>
          <w:szCs w:val="24"/>
          <w:lang w:eastAsia="en-US"/>
        </w:rPr>
        <w:t xml:space="preserve"> [Popr. 33]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0738">
        <w:rPr>
          <w:szCs w:val="24"/>
          <w:lang w:eastAsia="en-US"/>
        </w:rPr>
        <w:t>3.</w:t>
      </w:r>
      <w:r w:rsidRPr="003B0738">
        <w:rPr>
          <w:szCs w:val="24"/>
          <w:lang w:eastAsia="en-US"/>
        </w:rPr>
        <w:tab/>
      </w:r>
      <w:proofErr w:type="gramStart"/>
      <w:r w:rsidRPr="003B0738">
        <w:rPr>
          <w:szCs w:val="24"/>
          <w:lang w:eastAsia="en-US"/>
        </w:rPr>
        <w:t>w</w:t>
      </w:r>
      <w:proofErr w:type="gramEnd"/>
      <w:r w:rsidRPr="003B0738">
        <w:rPr>
          <w:szCs w:val="24"/>
          <w:lang w:eastAsia="en-US"/>
        </w:rPr>
        <w:t xml:space="preserve"> art. 5 wprowadza się następujące zmiany: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t>a</w:t>
      </w:r>
      <w:proofErr w:type="gramStart"/>
      <w:r w:rsidRPr="003B0738">
        <w:rPr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  <w:t>ust</w:t>
      </w:r>
      <w:proofErr w:type="gramEnd"/>
      <w:r w:rsidRPr="003B0738">
        <w:rPr>
          <w:szCs w:val="24"/>
          <w:lang w:eastAsia="en-US"/>
        </w:rPr>
        <w:t>. 1 otrzymuje brzmienie:</w:t>
      </w:r>
    </w:p>
    <w:p w:rsidR="003B0738" w:rsidRPr="003B0738" w:rsidRDefault="003B0738" w:rsidP="003B0738">
      <w:pPr>
        <w:spacing w:before="120" w:after="120" w:line="360" w:lineRule="auto"/>
        <w:ind w:left="1982" w:hanging="566"/>
        <w:rPr>
          <w:b/>
          <w:szCs w:val="24"/>
          <w:lang w:eastAsia="en-US"/>
        </w:rPr>
      </w:pPr>
      <w:r w:rsidRPr="003B0738">
        <w:rPr>
          <w:szCs w:val="24"/>
          <w:lang w:eastAsia="en-US"/>
        </w:rPr>
        <w:t>„1.</w:t>
      </w:r>
      <w:r w:rsidRPr="003B0738">
        <w:rPr>
          <w:szCs w:val="24"/>
          <w:lang w:eastAsia="en-US"/>
        </w:rPr>
        <w:tab/>
        <w:t xml:space="preserve">  Państwa członkowskie ułatwiają konsumentom dostęp do postępowań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i zapewniają możliwość poddania sporów objętych niniejszą dyrektywą i dotyczących przedsiębiorcy mającego siedzibę na ich terytoriach lub przedsiębiorcy niemającego siedziby na terytorium żadnego państwa członkowskiego, ale oferującego towary lub usługi, w tym treści i usługi cyfrowe, konsumentom zamieszkałym na ich terytorium, pod rozstrzygnięcie podmiotowi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>, które spełnia wymogi określone w niniejszej dyrektywie.</w:t>
      </w:r>
      <w:r w:rsidRPr="003B0738">
        <w:rPr>
          <w:strike/>
          <w:szCs w:val="24"/>
          <w:lang w:eastAsia="en-US"/>
        </w:rPr>
        <w:t>;</w:t>
      </w:r>
      <w:r w:rsidRPr="003B0738">
        <w:rPr>
          <w:b/>
          <w:i/>
          <w:szCs w:val="24"/>
          <w:lang w:eastAsia="en-US"/>
        </w:rPr>
        <w:t xml:space="preserve"> Państwa członkowskie mogą ułatwiać osobom prowadzącym działalność na własny rachunek lub mikroprzedsiębiorstwom dostęp do postępowań ADR.</w:t>
      </w:r>
      <w:r w:rsidRPr="003B0738">
        <w:rPr>
          <w:szCs w:val="24"/>
          <w:lang w:eastAsia="en-US"/>
        </w:rPr>
        <w:t>”</w:t>
      </w:r>
      <w:r w:rsidR="00097552">
        <w:rPr>
          <w:b/>
          <w:szCs w:val="24"/>
          <w:lang w:eastAsia="en-US"/>
        </w:rPr>
        <w:t xml:space="preserve"> [Popr. 34]</w:t>
      </w:r>
    </w:p>
    <w:p w:rsidR="00097552" w:rsidRDefault="00097552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lastRenderedPageBreak/>
        <w:t>b</w:t>
      </w:r>
      <w:proofErr w:type="gramStart"/>
      <w:r w:rsidRPr="003B0738">
        <w:rPr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  <w:t>ust</w:t>
      </w:r>
      <w:proofErr w:type="gramEnd"/>
      <w:r w:rsidRPr="003B0738">
        <w:rPr>
          <w:szCs w:val="24"/>
          <w:lang w:eastAsia="en-US"/>
        </w:rPr>
        <w:t>. 2 lit. a)–d) otrzymują brzmienie:</w:t>
      </w:r>
    </w:p>
    <w:p w:rsidR="003B0738" w:rsidRPr="003B0738" w:rsidRDefault="003B0738" w:rsidP="003B0738">
      <w:pPr>
        <w:spacing w:before="120" w:after="120" w:line="360" w:lineRule="auto"/>
        <w:ind w:left="1982" w:hanging="566"/>
        <w:rPr>
          <w:b/>
          <w:szCs w:val="24"/>
          <w:lang w:eastAsia="en-US"/>
        </w:rPr>
      </w:pPr>
      <w:r w:rsidRPr="003B0738">
        <w:rPr>
          <w:szCs w:val="24"/>
          <w:lang w:eastAsia="en-US"/>
        </w:rPr>
        <w:t>„</w:t>
      </w:r>
      <w:r w:rsidRPr="003B0738">
        <w:rPr>
          <w:b/>
          <w:i/>
          <w:szCs w:val="24"/>
          <w:lang w:eastAsia="en-US"/>
        </w:rPr>
        <w:t>-a</w:t>
      </w:r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prowadziły</w:t>
      </w:r>
      <w:proofErr w:type="gramEnd"/>
      <w:r w:rsidRPr="003B0738">
        <w:rPr>
          <w:b/>
          <w:i/>
          <w:szCs w:val="24"/>
          <w:lang w:eastAsia="en-US"/>
        </w:rPr>
        <w:t xml:space="preserve"> aktualną stronę internetową umożliwiającą stronom łatwy dostęp do informacji dotyczących postępowań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>;</w:t>
      </w:r>
      <w:r w:rsidR="00097552">
        <w:rPr>
          <w:b/>
          <w:szCs w:val="24"/>
          <w:lang w:eastAsia="en-US"/>
        </w:rPr>
        <w:t xml:space="preserve"> [Popr. 35]</w:t>
      </w:r>
    </w:p>
    <w:p w:rsidR="003B0738" w:rsidRPr="003B0738" w:rsidRDefault="00097552" w:rsidP="003B0738">
      <w:pPr>
        <w:spacing w:before="120" w:after="120" w:line="360" w:lineRule="auto"/>
        <w:ind w:left="1982" w:hanging="566"/>
        <w:rPr>
          <w:szCs w:val="24"/>
          <w:lang w:eastAsia="en-US"/>
        </w:rPr>
      </w:pPr>
      <w:r w:rsidRPr="00097552">
        <w:rPr>
          <w:szCs w:val="24"/>
          <w:lang w:eastAsia="en-US"/>
        </w:rPr>
        <w:t>a</w:t>
      </w:r>
      <w:proofErr w:type="gramStart"/>
      <w:r w:rsidR="003B0738" w:rsidRPr="003B0738">
        <w:rPr>
          <w:szCs w:val="24"/>
          <w:lang w:eastAsia="en-US"/>
        </w:rPr>
        <w:t>)</w:t>
      </w:r>
      <w:r w:rsidR="003B0738" w:rsidRPr="003B0738">
        <w:rPr>
          <w:szCs w:val="24"/>
          <w:lang w:eastAsia="en-US"/>
        </w:rPr>
        <w:tab/>
        <w:t>zapewniały</w:t>
      </w:r>
      <w:proofErr w:type="gramEnd"/>
      <w:r w:rsidR="003B0738" w:rsidRPr="003B0738">
        <w:rPr>
          <w:szCs w:val="24"/>
          <w:lang w:eastAsia="en-US"/>
        </w:rPr>
        <w:t xml:space="preserve"> konsumentom możliwość składania skarg i wymaganych dokumentów towarzyszących przez </w:t>
      </w:r>
      <w:proofErr w:type="spellStart"/>
      <w:r w:rsidR="003B0738" w:rsidRPr="003B0738">
        <w:rPr>
          <w:szCs w:val="24"/>
          <w:lang w:eastAsia="en-US"/>
        </w:rPr>
        <w:t>internet</w:t>
      </w:r>
      <w:proofErr w:type="spellEnd"/>
      <w:r w:rsidR="003B0738" w:rsidRPr="003B0738">
        <w:rPr>
          <w:szCs w:val="24"/>
          <w:lang w:eastAsia="en-US"/>
        </w:rPr>
        <w:t xml:space="preserve"> w sposób umożliwiający ich śledzenie oraz – na żądanie – zapewniały konsumentom możliwość składania tych dokumentów i dostępu do nich w formacie </w:t>
      </w:r>
      <w:proofErr w:type="spellStart"/>
      <w:r w:rsidR="003B0738" w:rsidRPr="003B0738">
        <w:rPr>
          <w:szCs w:val="24"/>
          <w:lang w:eastAsia="en-US"/>
        </w:rPr>
        <w:t>niecyfrowym</w:t>
      </w:r>
      <w:proofErr w:type="spellEnd"/>
      <w:r w:rsidR="003B0738" w:rsidRPr="003B0738">
        <w:rPr>
          <w:szCs w:val="24"/>
          <w:lang w:eastAsia="en-US"/>
        </w:rPr>
        <w:t>;</w:t>
      </w:r>
    </w:p>
    <w:p w:rsidR="003B0738" w:rsidRPr="003B0738" w:rsidRDefault="00097552" w:rsidP="003B0738">
      <w:pPr>
        <w:spacing w:before="120" w:after="120" w:line="360" w:lineRule="auto"/>
        <w:ind w:left="1982" w:hanging="566"/>
        <w:rPr>
          <w:b/>
          <w:szCs w:val="24"/>
          <w:lang w:eastAsia="en-US"/>
        </w:rPr>
      </w:pPr>
      <w:r>
        <w:rPr>
          <w:b/>
          <w:i/>
          <w:szCs w:val="24"/>
          <w:lang w:eastAsia="en-US"/>
        </w:rPr>
        <w:t>aa</w:t>
      </w:r>
      <w:proofErr w:type="gramStart"/>
      <w:r w:rsidR="003B0738" w:rsidRPr="003B0738">
        <w:rPr>
          <w:b/>
          <w:i/>
          <w:szCs w:val="24"/>
          <w:lang w:eastAsia="en-US"/>
        </w:rPr>
        <w:t>)</w:t>
      </w:r>
      <w:r w:rsidR="003B0738" w:rsidRPr="003B0738">
        <w:rPr>
          <w:szCs w:val="24"/>
          <w:lang w:eastAsia="en-US"/>
        </w:rPr>
        <w:tab/>
      </w:r>
      <w:r w:rsidR="003B0738" w:rsidRPr="003B0738">
        <w:rPr>
          <w:b/>
          <w:i/>
          <w:szCs w:val="24"/>
          <w:lang w:eastAsia="en-US"/>
        </w:rPr>
        <w:t>zapewniały</w:t>
      </w:r>
      <w:proofErr w:type="gramEnd"/>
      <w:r w:rsidR="003B0738" w:rsidRPr="003B0738">
        <w:rPr>
          <w:b/>
          <w:i/>
          <w:szCs w:val="24"/>
          <w:lang w:eastAsia="en-US"/>
        </w:rPr>
        <w:t xml:space="preserve"> konsumentom możliwość składania skarg w państwie, w którym mieszkają;</w:t>
      </w:r>
      <w:r>
        <w:rPr>
          <w:b/>
          <w:szCs w:val="24"/>
          <w:lang w:eastAsia="en-US"/>
        </w:rPr>
        <w:t xml:space="preserve"> [Popr. 36]</w:t>
      </w:r>
    </w:p>
    <w:p w:rsidR="003B0738" w:rsidRPr="003B0738" w:rsidRDefault="00097552" w:rsidP="003B0738">
      <w:pPr>
        <w:spacing w:before="120" w:after="120" w:line="360" w:lineRule="auto"/>
        <w:ind w:left="1982" w:hanging="566"/>
        <w:rPr>
          <w:szCs w:val="24"/>
          <w:lang w:eastAsia="en-US"/>
        </w:rPr>
      </w:pPr>
      <w:r w:rsidRPr="00097552">
        <w:rPr>
          <w:szCs w:val="24"/>
          <w:lang w:eastAsia="en-US"/>
        </w:rPr>
        <w:t>b</w:t>
      </w:r>
      <w:proofErr w:type="gramStart"/>
      <w:r w:rsidR="003B0738" w:rsidRPr="003B0738">
        <w:rPr>
          <w:szCs w:val="24"/>
          <w:lang w:eastAsia="en-US"/>
        </w:rPr>
        <w:t>)</w:t>
      </w:r>
      <w:r w:rsidR="003B0738" w:rsidRPr="003B0738">
        <w:rPr>
          <w:szCs w:val="24"/>
          <w:lang w:eastAsia="en-US"/>
        </w:rPr>
        <w:tab/>
        <w:t>oferowały</w:t>
      </w:r>
      <w:proofErr w:type="gramEnd"/>
      <w:r w:rsidR="003B0738" w:rsidRPr="003B0738">
        <w:rPr>
          <w:szCs w:val="24"/>
          <w:lang w:eastAsia="en-US"/>
        </w:rPr>
        <w:t xml:space="preserve"> cyfrowe postępowania </w:t>
      </w:r>
      <w:proofErr w:type="spellStart"/>
      <w:r w:rsidR="003B0738" w:rsidRPr="003B0738">
        <w:rPr>
          <w:szCs w:val="24"/>
          <w:lang w:eastAsia="en-US"/>
        </w:rPr>
        <w:t>ADR</w:t>
      </w:r>
      <w:proofErr w:type="spellEnd"/>
      <w:r w:rsidR="003B0738" w:rsidRPr="003B0738">
        <w:rPr>
          <w:szCs w:val="24"/>
          <w:lang w:eastAsia="en-US"/>
        </w:rPr>
        <w:t xml:space="preserve"> z wykorzystaniem łatwo dostępnych i </w:t>
      </w:r>
      <w:proofErr w:type="spellStart"/>
      <w:r w:rsidR="003B0738" w:rsidRPr="003B0738">
        <w:rPr>
          <w:szCs w:val="24"/>
          <w:lang w:eastAsia="en-US"/>
        </w:rPr>
        <w:t>inkluzywnych</w:t>
      </w:r>
      <w:proofErr w:type="spellEnd"/>
      <w:r w:rsidR="003B0738" w:rsidRPr="003B0738">
        <w:rPr>
          <w:szCs w:val="24"/>
          <w:lang w:eastAsia="en-US"/>
        </w:rPr>
        <w:t xml:space="preserve"> narzędzi;</w:t>
      </w:r>
    </w:p>
    <w:p w:rsidR="003B0738" w:rsidRPr="003B0738" w:rsidRDefault="00097552" w:rsidP="003B0738">
      <w:pPr>
        <w:spacing w:before="120" w:after="120" w:line="360" w:lineRule="auto"/>
        <w:ind w:left="1982" w:hanging="566"/>
        <w:rPr>
          <w:b/>
          <w:szCs w:val="24"/>
          <w:lang w:eastAsia="en-US"/>
        </w:rPr>
      </w:pPr>
      <w:r>
        <w:rPr>
          <w:szCs w:val="24"/>
          <w:lang w:eastAsia="en-US"/>
        </w:rPr>
        <w:t>c</w:t>
      </w:r>
      <w:proofErr w:type="gramStart"/>
      <w:r w:rsidR="003B0738" w:rsidRPr="003B0738">
        <w:rPr>
          <w:szCs w:val="24"/>
          <w:lang w:eastAsia="en-US"/>
        </w:rPr>
        <w:t>)</w:t>
      </w:r>
      <w:r w:rsidR="003B0738" w:rsidRPr="003B0738">
        <w:rPr>
          <w:szCs w:val="24"/>
          <w:lang w:eastAsia="en-US"/>
        </w:rPr>
        <w:tab/>
      </w:r>
      <w:proofErr w:type="spellStart"/>
      <w:r w:rsidR="003B0738" w:rsidRPr="003B0738">
        <w:rPr>
          <w:strike/>
          <w:szCs w:val="24"/>
          <w:lang w:eastAsia="en-US"/>
        </w:rPr>
        <w:t>przyznawały</w:t>
      </w:r>
      <w:r w:rsidR="003B0738" w:rsidRPr="003B0738">
        <w:rPr>
          <w:b/>
          <w:i/>
          <w:szCs w:val="24"/>
          <w:lang w:eastAsia="en-US"/>
        </w:rPr>
        <w:t>zapewniały</w:t>
      </w:r>
      <w:proofErr w:type="spellEnd"/>
      <w:proofErr w:type="gramEnd"/>
      <w:r w:rsidR="003B0738" w:rsidRPr="003B0738">
        <w:rPr>
          <w:szCs w:val="24"/>
          <w:lang w:eastAsia="en-US"/>
        </w:rPr>
        <w:t xml:space="preserve"> stronom sporu </w:t>
      </w:r>
      <w:r w:rsidR="003B0738" w:rsidRPr="003B0738">
        <w:rPr>
          <w:strike/>
          <w:szCs w:val="24"/>
          <w:lang w:eastAsia="en-US"/>
        </w:rPr>
        <w:t xml:space="preserve">prawo do wystąpienia z wnioskiem o kontrolę wyniku postępowania </w:t>
      </w:r>
      <w:proofErr w:type="spellStart"/>
      <w:r w:rsidR="003B0738" w:rsidRPr="003B0738">
        <w:rPr>
          <w:strike/>
          <w:szCs w:val="24"/>
          <w:lang w:eastAsia="en-US"/>
        </w:rPr>
        <w:t>ADR</w:t>
      </w:r>
      <w:r w:rsidR="003B0738" w:rsidRPr="003B0738">
        <w:rPr>
          <w:b/>
          <w:i/>
          <w:szCs w:val="24"/>
          <w:lang w:eastAsia="en-US"/>
        </w:rPr>
        <w:t>dostęp</w:t>
      </w:r>
      <w:proofErr w:type="spellEnd"/>
      <w:r w:rsidR="003B0738" w:rsidRPr="003B0738">
        <w:rPr>
          <w:b/>
          <w:i/>
          <w:szCs w:val="24"/>
          <w:lang w:eastAsia="en-US"/>
        </w:rPr>
        <w:t xml:space="preserve"> do kontroli</w:t>
      </w:r>
      <w:r w:rsidR="003B0738" w:rsidRPr="003B0738">
        <w:rPr>
          <w:szCs w:val="24"/>
          <w:lang w:eastAsia="en-US"/>
        </w:rPr>
        <w:t xml:space="preserve"> przez osobę fizyczną</w:t>
      </w:r>
      <w:r w:rsidR="003B0738" w:rsidRPr="003B0738">
        <w:rPr>
          <w:b/>
          <w:i/>
          <w:szCs w:val="24"/>
          <w:lang w:eastAsia="en-US"/>
        </w:rPr>
        <w:t>, która jest niezależna i bezstronna</w:t>
      </w:r>
      <w:r w:rsidR="003B0738" w:rsidRPr="003B0738">
        <w:rPr>
          <w:szCs w:val="24"/>
          <w:lang w:eastAsia="en-US"/>
        </w:rPr>
        <w:t>, jeżeli postępowanie przeprowadzono w sposób zautomatyzowany;</w:t>
      </w:r>
      <w:r>
        <w:rPr>
          <w:b/>
          <w:szCs w:val="24"/>
          <w:lang w:eastAsia="en-US"/>
        </w:rPr>
        <w:t xml:space="preserve"> [Popr. 37]</w:t>
      </w:r>
    </w:p>
    <w:p w:rsidR="00097552" w:rsidRDefault="00097552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3B0738" w:rsidRPr="003B0738" w:rsidRDefault="00097552" w:rsidP="003B0738">
      <w:pPr>
        <w:spacing w:before="120" w:after="120" w:line="360" w:lineRule="auto"/>
        <w:ind w:left="1982" w:hanging="566"/>
        <w:rPr>
          <w:b/>
          <w:szCs w:val="24"/>
          <w:lang w:eastAsia="en-US"/>
        </w:rPr>
      </w:pPr>
      <w:r>
        <w:rPr>
          <w:szCs w:val="24"/>
          <w:lang w:eastAsia="en-US"/>
        </w:rPr>
        <w:lastRenderedPageBreak/>
        <w:t>d</w:t>
      </w:r>
      <w:proofErr w:type="gramStart"/>
      <w:r w:rsidR="003B0738" w:rsidRPr="003B0738">
        <w:rPr>
          <w:szCs w:val="24"/>
          <w:lang w:eastAsia="en-US"/>
        </w:rPr>
        <w:t>)</w:t>
      </w:r>
      <w:r w:rsidR="003B0738" w:rsidRPr="003B0738">
        <w:rPr>
          <w:szCs w:val="24"/>
          <w:lang w:eastAsia="en-US"/>
        </w:rPr>
        <w:tab/>
        <w:t>mogły</w:t>
      </w:r>
      <w:proofErr w:type="gramEnd"/>
      <w:r w:rsidR="003B0738" w:rsidRPr="003B0738">
        <w:rPr>
          <w:szCs w:val="24"/>
          <w:lang w:eastAsia="en-US"/>
        </w:rPr>
        <w:t xml:space="preserve"> łączyć podobne sprawy przeciwko temu samemu przedsiębiorcy w ramach jednego postępowania, pod warunkiem że zainteresowany konsument zostanie o tym poinformowany i </w:t>
      </w:r>
      <w:r w:rsidR="003B0738" w:rsidRPr="003B0738">
        <w:rPr>
          <w:strike/>
          <w:szCs w:val="24"/>
          <w:lang w:eastAsia="en-US"/>
        </w:rPr>
        <w:t>nie</w:t>
      </w:r>
      <w:r w:rsidR="003B0738" w:rsidRPr="003B0738">
        <w:rPr>
          <w:b/>
          <w:i/>
          <w:szCs w:val="24"/>
          <w:lang w:eastAsia="en-US"/>
        </w:rPr>
        <w:t>wyraźnie</w:t>
      </w:r>
      <w:r w:rsidR="003B0738" w:rsidRPr="003B0738">
        <w:rPr>
          <w:szCs w:val="24"/>
          <w:lang w:eastAsia="en-US"/>
        </w:rPr>
        <w:t xml:space="preserve"> wyrazi </w:t>
      </w:r>
      <w:proofErr w:type="spellStart"/>
      <w:r w:rsidR="003B0738" w:rsidRPr="003B0738">
        <w:rPr>
          <w:strike/>
          <w:szCs w:val="24"/>
          <w:lang w:eastAsia="en-US"/>
        </w:rPr>
        <w:t>sprzeciwu;</w:t>
      </w:r>
      <w:r w:rsidR="003B0738" w:rsidRPr="003B0738">
        <w:rPr>
          <w:b/>
          <w:i/>
          <w:szCs w:val="24"/>
          <w:lang w:eastAsia="en-US"/>
        </w:rPr>
        <w:t>zgodę</w:t>
      </w:r>
      <w:proofErr w:type="spellEnd"/>
      <w:r w:rsidR="003B0738" w:rsidRPr="003B0738">
        <w:rPr>
          <w:b/>
          <w:i/>
          <w:szCs w:val="24"/>
          <w:lang w:eastAsia="en-US"/>
        </w:rPr>
        <w:t xml:space="preserve"> na takie łączenie oraz że zgodnie z art. 6 osoby fizyczne odpowiedzialne za postępowanie </w:t>
      </w:r>
      <w:proofErr w:type="spellStart"/>
      <w:r w:rsidR="003B0738" w:rsidRPr="003B0738">
        <w:rPr>
          <w:b/>
          <w:i/>
          <w:szCs w:val="24"/>
          <w:lang w:eastAsia="en-US"/>
        </w:rPr>
        <w:t>ADR</w:t>
      </w:r>
      <w:proofErr w:type="spellEnd"/>
      <w:r w:rsidR="003B0738" w:rsidRPr="003B0738">
        <w:rPr>
          <w:b/>
          <w:i/>
          <w:szCs w:val="24"/>
          <w:lang w:eastAsia="en-US"/>
        </w:rPr>
        <w:t xml:space="preserve"> dysponują wystarczającą wiedzą, aby zająć się daną sprawą</w:t>
      </w:r>
      <w:r w:rsidR="003B0738" w:rsidRPr="003B0738">
        <w:rPr>
          <w:szCs w:val="24"/>
          <w:lang w:eastAsia="en-US"/>
        </w:rPr>
        <w:t>;”</w:t>
      </w:r>
      <w:r>
        <w:rPr>
          <w:szCs w:val="24"/>
          <w:lang w:eastAsia="en-US"/>
        </w:rPr>
        <w:t>;</w:t>
      </w:r>
      <w:r>
        <w:rPr>
          <w:b/>
          <w:szCs w:val="24"/>
          <w:lang w:eastAsia="en-US"/>
        </w:rPr>
        <w:t xml:space="preserve"> [Popr. 38]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t>c</w:t>
      </w:r>
      <w:proofErr w:type="gramStart"/>
      <w:r w:rsidRPr="003B0738">
        <w:rPr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  <w:t>ust</w:t>
      </w:r>
      <w:proofErr w:type="gramEnd"/>
      <w:r w:rsidRPr="003B0738">
        <w:rPr>
          <w:szCs w:val="24"/>
          <w:lang w:eastAsia="en-US"/>
        </w:rPr>
        <w:t>. 4 lit. a) otrzymuje brzmienie:</w:t>
      </w:r>
    </w:p>
    <w:p w:rsidR="003B0738" w:rsidRPr="003B0738" w:rsidRDefault="003B0738" w:rsidP="003B0738">
      <w:pPr>
        <w:spacing w:before="120" w:after="120" w:line="360" w:lineRule="auto"/>
        <w:ind w:left="1982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t>„a</w:t>
      </w:r>
      <w:proofErr w:type="gramStart"/>
      <w:r w:rsidRPr="003B0738">
        <w:rPr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  <w:t>konsument</w:t>
      </w:r>
      <w:proofErr w:type="gramEnd"/>
      <w:r w:rsidRPr="003B0738">
        <w:rPr>
          <w:szCs w:val="24"/>
          <w:lang w:eastAsia="en-US"/>
        </w:rPr>
        <w:t xml:space="preserve"> nie podjął próby skontaktowania się z danym przedsiębiorcą, aby omówić swoją skargę i rozwiązać problem bezpośrednio z przedsiębiorcą, bez wprowadzania nieproporcjonalnych zasad doty</w:t>
      </w:r>
      <w:r w:rsidR="00097552">
        <w:rPr>
          <w:szCs w:val="24"/>
          <w:lang w:eastAsia="en-US"/>
        </w:rPr>
        <w:t>czących formy takiego kontaktu;</w:t>
      </w:r>
      <w:r w:rsidRPr="003B0738">
        <w:rPr>
          <w:szCs w:val="24"/>
          <w:lang w:eastAsia="en-US"/>
        </w:rPr>
        <w:t>”</w:t>
      </w:r>
    </w:p>
    <w:p w:rsidR="00097552" w:rsidRDefault="00097552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lastRenderedPageBreak/>
        <w:t>d</w:t>
      </w:r>
      <w:proofErr w:type="gramStart"/>
      <w:r w:rsidRPr="003B0738">
        <w:rPr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  <w:t>dodaje</w:t>
      </w:r>
      <w:proofErr w:type="gramEnd"/>
      <w:r w:rsidRPr="003B0738">
        <w:rPr>
          <w:szCs w:val="24"/>
          <w:lang w:eastAsia="en-US"/>
        </w:rPr>
        <w:t xml:space="preserve"> się ust. 8 w brzmieniu:</w:t>
      </w:r>
    </w:p>
    <w:p w:rsidR="003B0738" w:rsidRPr="003B0738" w:rsidRDefault="003B0738" w:rsidP="003B0738">
      <w:pPr>
        <w:spacing w:before="120" w:after="120" w:line="360" w:lineRule="auto"/>
        <w:ind w:left="1982" w:hanging="566"/>
        <w:rPr>
          <w:b/>
          <w:szCs w:val="24"/>
          <w:lang w:eastAsia="en-US"/>
        </w:rPr>
      </w:pPr>
      <w:r w:rsidRPr="003B0738">
        <w:rPr>
          <w:szCs w:val="24"/>
          <w:lang w:eastAsia="en-US"/>
        </w:rPr>
        <w:t>„8.</w:t>
      </w:r>
      <w:r w:rsidRPr="003B0738">
        <w:rPr>
          <w:szCs w:val="24"/>
          <w:lang w:eastAsia="en-US"/>
        </w:rPr>
        <w:tab/>
        <w:t xml:space="preserve">Państwa członkowskie zapewniają, aby przedsiębiorcy mający siedzibę na ich terytorium, z którymi kontaktuje się podmiot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z </w:t>
      </w:r>
      <w:r w:rsidRPr="003B0738">
        <w:rPr>
          <w:strike/>
          <w:szCs w:val="24"/>
          <w:lang w:eastAsia="en-US"/>
        </w:rPr>
        <w:t xml:space="preserve">tego </w:t>
      </w:r>
      <w:proofErr w:type="spellStart"/>
      <w:r w:rsidRPr="003B0738">
        <w:rPr>
          <w:strike/>
          <w:szCs w:val="24"/>
          <w:lang w:eastAsia="en-US"/>
        </w:rPr>
        <w:t>lub</w:t>
      </w:r>
      <w:r w:rsidRPr="003B0738">
        <w:rPr>
          <w:b/>
          <w:i/>
          <w:szCs w:val="24"/>
          <w:lang w:eastAsia="en-US"/>
        </w:rPr>
        <w:t>ich</w:t>
      </w:r>
      <w:proofErr w:type="spellEnd"/>
      <w:r w:rsidRPr="003B0738">
        <w:rPr>
          <w:b/>
          <w:i/>
          <w:szCs w:val="24"/>
          <w:lang w:eastAsia="en-US"/>
        </w:rPr>
        <w:t xml:space="preserve"> własnego państwa członkowskiego lub z</w:t>
      </w:r>
      <w:r w:rsidRPr="003B0738">
        <w:rPr>
          <w:szCs w:val="24"/>
          <w:lang w:eastAsia="en-US"/>
        </w:rPr>
        <w:t xml:space="preserve"> innego państwa członkowskiego, informowali ten podmiot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o tym, czy zgadzają się na udział w proponowanym postępowaniu, oraz udzielali odpowiedzi w rozsądnym terminie nieprzekraczającym </w:t>
      </w:r>
      <w:r w:rsidRPr="003B0738">
        <w:rPr>
          <w:b/>
          <w:i/>
          <w:szCs w:val="24"/>
          <w:lang w:eastAsia="en-US"/>
        </w:rPr>
        <w:t xml:space="preserve">15 dni roboczych. Można jednak uzyskać przedłużenie tego terminu do maksymalnie </w:t>
      </w:r>
      <w:r w:rsidRPr="003B0738">
        <w:rPr>
          <w:szCs w:val="24"/>
          <w:lang w:eastAsia="en-US"/>
        </w:rPr>
        <w:t>20 dni roboczych</w:t>
      </w:r>
      <w:r w:rsidRPr="003B0738">
        <w:rPr>
          <w:b/>
          <w:i/>
          <w:szCs w:val="24"/>
          <w:lang w:eastAsia="en-US"/>
        </w:rPr>
        <w:t xml:space="preserve"> w przypadku złożonych sporów lub w wyniku wyjątkowych okoliczności, takich jak okres wzmożonej aktywności lub kryzys zewnętrzny</w:t>
      </w:r>
      <w:r w:rsidRPr="003B0738">
        <w:rPr>
          <w:szCs w:val="24"/>
          <w:lang w:eastAsia="en-US"/>
        </w:rPr>
        <w:t>.”</w:t>
      </w:r>
      <w:r w:rsidR="00097552">
        <w:rPr>
          <w:szCs w:val="24"/>
          <w:lang w:eastAsia="en-US"/>
        </w:rPr>
        <w:t>.</w:t>
      </w:r>
      <w:r w:rsidR="00097552">
        <w:rPr>
          <w:b/>
          <w:szCs w:val="24"/>
          <w:lang w:eastAsia="en-US"/>
        </w:rPr>
        <w:t xml:space="preserve"> [Popr. 39]</w:t>
      </w:r>
    </w:p>
    <w:p w:rsidR="00097552" w:rsidRDefault="00097552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spellStart"/>
      <w:r w:rsidRPr="003B0738">
        <w:rPr>
          <w:b/>
          <w:i/>
          <w:szCs w:val="24"/>
          <w:lang w:eastAsia="en-US"/>
        </w:rPr>
        <w:lastRenderedPageBreak/>
        <w:t>3a</w:t>
      </w:r>
      <w:proofErr w:type="spellEnd"/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w</w:t>
      </w:r>
      <w:proofErr w:type="gramEnd"/>
      <w:r w:rsidRPr="003B0738">
        <w:rPr>
          <w:b/>
          <w:i/>
          <w:szCs w:val="24"/>
          <w:lang w:eastAsia="en-US"/>
        </w:rPr>
        <w:t xml:space="preserve"> art. 6 wprowadza się następujące zmiany: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a</w:t>
      </w:r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ust</w:t>
      </w:r>
      <w:proofErr w:type="gramEnd"/>
      <w:r w:rsidRPr="003B0738">
        <w:rPr>
          <w:b/>
          <w:i/>
          <w:szCs w:val="24"/>
          <w:lang w:eastAsia="en-US"/>
        </w:rPr>
        <w:t>. 1 lit. a) otrzymuje brzmienie:</w:t>
      </w:r>
    </w:p>
    <w:p w:rsidR="003B0738" w:rsidRPr="003B0738" w:rsidRDefault="003B0738" w:rsidP="003B0738">
      <w:pPr>
        <w:spacing w:before="120" w:after="120" w:line="360" w:lineRule="auto"/>
        <w:ind w:left="1982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t>„</w:t>
      </w:r>
      <w:r w:rsidRPr="003B0738">
        <w:rPr>
          <w:b/>
          <w:i/>
          <w:szCs w:val="24"/>
          <w:lang w:eastAsia="en-US"/>
        </w:rPr>
        <w:t>a</w:t>
      </w:r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miały</w:t>
      </w:r>
      <w:proofErr w:type="gramEnd"/>
      <w:r w:rsidRPr="003B0738">
        <w:rPr>
          <w:b/>
          <w:i/>
          <w:szCs w:val="24"/>
          <w:lang w:eastAsia="en-US"/>
        </w:rPr>
        <w:t xml:space="preserve"> konieczną wiedzę i umiejętności w dziedzinie alternatywnego lub sądowego rozstrzygania sporów konsumenckich, jak również ogólną znajomość </w:t>
      </w:r>
      <w:proofErr w:type="spellStart"/>
      <w:r w:rsidRPr="003B0738">
        <w:rPr>
          <w:b/>
          <w:i/>
          <w:szCs w:val="24"/>
          <w:lang w:eastAsia="en-US"/>
        </w:rPr>
        <w:t>prawa,w</w:t>
      </w:r>
      <w:proofErr w:type="spellEnd"/>
      <w:r w:rsidRPr="003B0738">
        <w:rPr>
          <w:b/>
          <w:i/>
          <w:szCs w:val="24"/>
          <w:lang w:eastAsia="en-US"/>
        </w:rPr>
        <w:t xml:space="preserve"> tym w razie rozpatrywania spraw transgranicznych – w zakresie prawa prywatnego międzynarodowego;</w:t>
      </w:r>
      <w:r w:rsidRPr="003B0738">
        <w:rPr>
          <w:szCs w:val="24"/>
          <w:lang w:eastAsia="en-US"/>
        </w:rPr>
        <w:t>”</w:t>
      </w:r>
      <w:r w:rsidR="00097552" w:rsidRPr="00097552">
        <w:rPr>
          <w:b/>
          <w:i/>
          <w:szCs w:val="24"/>
          <w:lang w:eastAsia="en-US"/>
        </w:rPr>
        <w:t>;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b</w:t>
      </w:r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w</w:t>
      </w:r>
      <w:proofErr w:type="gramEnd"/>
      <w:r w:rsidRPr="003B0738">
        <w:rPr>
          <w:b/>
          <w:i/>
          <w:szCs w:val="24"/>
          <w:lang w:eastAsia="en-US"/>
        </w:rPr>
        <w:t xml:space="preserve"> ust. 3 dodaje się następującą literę:</w:t>
      </w:r>
    </w:p>
    <w:p w:rsidR="003B0738" w:rsidRPr="003B0738" w:rsidRDefault="003B0738" w:rsidP="003B0738">
      <w:pPr>
        <w:spacing w:before="120" w:after="120" w:line="360" w:lineRule="auto"/>
        <w:ind w:left="1982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t>„</w:t>
      </w:r>
      <w:r w:rsidRPr="003B0738">
        <w:rPr>
          <w:b/>
          <w:i/>
          <w:szCs w:val="24"/>
          <w:lang w:eastAsia="en-US"/>
        </w:rPr>
        <w:t>a</w:t>
      </w:r>
      <w:r w:rsidR="00097552">
        <w:rPr>
          <w:b/>
          <w:i/>
          <w:szCs w:val="24"/>
          <w:lang w:eastAsia="en-US"/>
        </w:rPr>
        <w:t>a</w:t>
      </w:r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w</w:t>
      </w:r>
      <w:proofErr w:type="gramEnd"/>
      <w:r w:rsidRPr="003B0738">
        <w:rPr>
          <w:b/>
          <w:i/>
          <w:szCs w:val="24"/>
          <w:lang w:eastAsia="en-US"/>
        </w:rPr>
        <w:t xml:space="preserve"> przypadku gdy spór jest rozpatrywany przez podmiot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, a osoby fizyczne odpowiedzialne za rozstrzyganie sporów są zatrudnione lub wynagradzane wyłącznie przez indywidualnego przedsiębiorcę, podmiot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ma dostęp wyłącznie do danych ściśle związanych ze sprawą i specjalnie dostarczonych przez przedsiębiorcę lub konsumenta;</w:t>
      </w:r>
      <w:r w:rsidRPr="003B0738">
        <w:rPr>
          <w:szCs w:val="24"/>
          <w:lang w:eastAsia="en-US"/>
        </w:rPr>
        <w:t>”</w:t>
      </w:r>
      <w:r w:rsidR="00097552" w:rsidRPr="00097552">
        <w:rPr>
          <w:b/>
          <w:i/>
          <w:szCs w:val="24"/>
          <w:lang w:eastAsia="en-US"/>
        </w:rPr>
        <w:t>;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c</w:t>
      </w:r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ust</w:t>
      </w:r>
      <w:proofErr w:type="gramEnd"/>
      <w:r w:rsidRPr="003B0738">
        <w:rPr>
          <w:b/>
          <w:i/>
          <w:szCs w:val="24"/>
          <w:lang w:eastAsia="en-US"/>
        </w:rPr>
        <w:t>. 6 otrzymuje brzmienie:</w:t>
      </w:r>
    </w:p>
    <w:p w:rsidR="003B0738" w:rsidRPr="003B0738" w:rsidRDefault="003B0738" w:rsidP="003B0738">
      <w:pPr>
        <w:spacing w:before="120" w:after="120" w:line="360" w:lineRule="auto"/>
        <w:ind w:left="1982" w:hanging="566"/>
        <w:rPr>
          <w:b/>
          <w:szCs w:val="24"/>
          <w:lang w:eastAsia="en-US"/>
        </w:rPr>
      </w:pPr>
      <w:r w:rsidRPr="003B0738">
        <w:rPr>
          <w:szCs w:val="24"/>
          <w:lang w:eastAsia="en-US"/>
        </w:rPr>
        <w:t>„</w:t>
      </w:r>
      <w:r w:rsidRPr="003B0738">
        <w:rPr>
          <w:b/>
          <w:i/>
          <w:szCs w:val="24"/>
          <w:lang w:eastAsia="en-US"/>
        </w:rPr>
        <w:t>1.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 xml:space="preserve">Do celów ust. 1 lit. a) państwa członkowskie dopilnowują, aby podmioty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prowadziły regularne szkolenia dla osób fizycznych odpowiadających za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>, w szczególności w dziedzinie prawa konsumenckiego i innych odnośnych przepisów sektorowych. Właściwe organy, na podstawie informacji otrzymanych zgodnie z art. 19 ust. 3 lit. g), monitorują programy szkoleniowe tworzone przez podmioty ADR.</w:t>
      </w:r>
      <w:r w:rsidRPr="003B0738">
        <w:rPr>
          <w:szCs w:val="24"/>
          <w:lang w:eastAsia="en-US"/>
        </w:rPr>
        <w:t>”</w:t>
      </w:r>
      <w:r w:rsidR="00097552">
        <w:rPr>
          <w:b/>
          <w:szCs w:val="24"/>
          <w:lang w:eastAsia="en-US"/>
        </w:rPr>
        <w:t xml:space="preserve"> [Popr. 40]</w:t>
      </w:r>
    </w:p>
    <w:p w:rsidR="00097552" w:rsidRDefault="00097552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0738">
        <w:rPr>
          <w:szCs w:val="24"/>
          <w:lang w:eastAsia="en-US"/>
        </w:rPr>
        <w:lastRenderedPageBreak/>
        <w:t>4.</w:t>
      </w:r>
      <w:r w:rsidRPr="003B0738">
        <w:rPr>
          <w:szCs w:val="24"/>
          <w:lang w:eastAsia="en-US"/>
        </w:rPr>
        <w:tab/>
      </w:r>
      <w:proofErr w:type="gramStart"/>
      <w:r w:rsidRPr="003B0738">
        <w:rPr>
          <w:szCs w:val="24"/>
          <w:lang w:eastAsia="en-US"/>
        </w:rPr>
        <w:t>w</w:t>
      </w:r>
      <w:proofErr w:type="gramEnd"/>
      <w:r w:rsidRPr="003B0738">
        <w:rPr>
          <w:szCs w:val="24"/>
          <w:lang w:eastAsia="en-US"/>
        </w:rPr>
        <w:t xml:space="preserve"> art. 7 ust. 2 wprowadza się następujące zmiany: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t>a</w:t>
      </w:r>
      <w:proofErr w:type="gramStart"/>
      <w:r w:rsidRPr="003B0738">
        <w:rPr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  <w:t>formuła</w:t>
      </w:r>
      <w:proofErr w:type="gramEnd"/>
      <w:r w:rsidRPr="003B0738">
        <w:rPr>
          <w:szCs w:val="24"/>
          <w:lang w:eastAsia="en-US"/>
        </w:rPr>
        <w:t xml:space="preserve"> wprowadzająca, zdanie pierwsze otrzymuje brzmienie:</w:t>
      </w:r>
    </w:p>
    <w:p w:rsidR="003B0738" w:rsidRPr="003B0738" w:rsidRDefault="003B0738" w:rsidP="003B0738">
      <w:pPr>
        <w:spacing w:before="120" w:after="120" w:line="360" w:lineRule="auto"/>
        <w:ind w:left="1416"/>
        <w:rPr>
          <w:szCs w:val="24"/>
          <w:lang w:eastAsia="en-US"/>
        </w:rPr>
      </w:pPr>
      <w:r w:rsidRPr="003B0738">
        <w:rPr>
          <w:szCs w:val="24"/>
          <w:lang w:eastAsia="en-US"/>
        </w:rPr>
        <w:t xml:space="preserve">„Państwa członkowskie zapewniają, by podmioty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udostępniały publicznie na swoich stronach internetowych, na wniosek na trwałym nośniku, oraz za pomocą wszelkich innych środków, które uznają za stosowne, dwuletnie sprawozdania z działalności.;”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3B0738">
        <w:rPr>
          <w:strike/>
          <w:szCs w:val="24"/>
          <w:lang w:eastAsia="en-US"/>
        </w:rPr>
        <w:t>b</w:t>
      </w:r>
      <w:proofErr w:type="gramStart"/>
      <w:r w:rsidRPr="003B0738">
        <w:rPr>
          <w:strike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strike/>
          <w:szCs w:val="24"/>
          <w:lang w:eastAsia="en-US"/>
        </w:rPr>
        <w:t>uchyla</w:t>
      </w:r>
      <w:proofErr w:type="gramEnd"/>
      <w:r w:rsidRPr="003B0738">
        <w:rPr>
          <w:strike/>
          <w:szCs w:val="24"/>
          <w:lang w:eastAsia="en-US"/>
        </w:rPr>
        <w:t xml:space="preserve"> się lit. h);</w:t>
      </w:r>
      <w:r w:rsidR="00097552">
        <w:rPr>
          <w:b/>
          <w:szCs w:val="24"/>
          <w:lang w:eastAsia="en-US"/>
        </w:rPr>
        <w:t xml:space="preserve"> [Popr. 41]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spellStart"/>
      <w:r w:rsidRPr="003B0738">
        <w:rPr>
          <w:b/>
          <w:i/>
          <w:szCs w:val="24"/>
          <w:lang w:eastAsia="en-US"/>
        </w:rPr>
        <w:t>4a</w:t>
      </w:r>
      <w:proofErr w:type="spellEnd"/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w</w:t>
      </w:r>
      <w:proofErr w:type="gramEnd"/>
      <w:r w:rsidRPr="003B0738">
        <w:rPr>
          <w:b/>
          <w:i/>
          <w:szCs w:val="24"/>
          <w:lang w:eastAsia="en-US"/>
        </w:rPr>
        <w:t xml:space="preserve"> art. 8 wprowadza się następujące zmiany: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a</w:t>
      </w:r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lit</w:t>
      </w:r>
      <w:proofErr w:type="gramEnd"/>
      <w:r w:rsidRPr="003B0738">
        <w:rPr>
          <w:b/>
          <w:i/>
          <w:szCs w:val="24"/>
          <w:lang w:eastAsia="en-US"/>
        </w:rPr>
        <w:t>. c) otrzymuje brzmienie:</w:t>
      </w:r>
    </w:p>
    <w:p w:rsidR="003B0738" w:rsidRPr="003B0738" w:rsidRDefault="003B0738" w:rsidP="003B0738">
      <w:pPr>
        <w:spacing w:before="120" w:after="120" w:line="360" w:lineRule="auto"/>
        <w:ind w:left="1982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t>„</w:t>
      </w:r>
      <w:r w:rsidR="00097552">
        <w:rPr>
          <w:b/>
          <w:i/>
          <w:szCs w:val="24"/>
          <w:lang w:eastAsia="en-US"/>
        </w:rPr>
        <w:t>c</w:t>
      </w:r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postępowanie</w:t>
      </w:r>
      <w:proofErr w:type="gramEnd"/>
      <w:r w:rsidRPr="003B0738">
        <w:rPr>
          <w:b/>
          <w:i/>
          <w:szCs w:val="24"/>
          <w:lang w:eastAsia="en-US"/>
        </w:rPr>
        <w:t xml:space="preserve">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jest dla konsumentów nieodpłatne lub dostępne za opłatą o nieznacznej wysokości iw przypadku obciążenia konsumentów opłatą o nieznacznej wysokości, opłata podlega zwrotowi przez organy krajowe po rozstrzygnięciu sporu;</w:t>
      </w:r>
      <w:r w:rsidRPr="003B0738">
        <w:rPr>
          <w:szCs w:val="24"/>
          <w:lang w:eastAsia="en-US"/>
        </w:rPr>
        <w:t>”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b</w:t>
      </w:r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dodaje</w:t>
      </w:r>
      <w:proofErr w:type="gramEnd"/>
      <w:r w:rsidRPr="003B0738">
        <w:rPr>
          <w:b/>
          <w:i/>
          <w:szCs w:val="24"/>
          <w:lang w:eastAsia="en-US"/>
        </w:rPr>
        <w:t xml:space="preserve"> się punkt w brzmieniu:</w:t>
      </w:r>
    </w:p>
    <w:p w:rsidR="003B0738" w:rsidRPr="003B0738" w:rsidRDefault="003B0738" w:rsidP="003B0738">
      <w:pPr>
        <w:spacing w:before="120" w:after="120" w:line="360" w:lineRule="auto"/>
        <w:ind w:left="1982" w:hanging="566"/>
        <w:rPr>
          <w:b/>
          <w:szCs w:val="24"/>
          <w:lang w:eastAsia="en-US"/>
        </w:rPr>
      </w:pPr>
      <w:r w:rsidRPr="003B0738">
        <w:rPr>
          <w:szCs w:val="24"/>
          <w:lang w:eastAsia="en-US"/>
        </w:rPr>
        <w:t>„</w:t>
      </w:r>
      <w:r w:rsidR="00097552">
        <w:rPr>
          <w:szCs w:val="24"/>
          <w:lang w:eastAsia="en-US"/>
        </w:rPr>
        <w:t>d</w:t>
      </w:r>
      <w:r w:rsidRPr="003B0738">
        <w:rPr>
          <w:b/>
          <w:i/>
          <w:szCs w:val="24"/>
          <w:lang w:eastAsia="en-US"/>
        </w:rPr>
        <w:t>a</w:t>
      </w:r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na</w:t>
      </w:r>
      <w:proofErr w:type="gramEnd"/>
      <w:r w:rsidRPr="003B0738">
        <w:rPr>
          <w:b/>
          <w:i/>
          <w:szCs w:val="24"/>
          <w:lang w:eastAsia="en-US"/>
        </w:rPr>
        <w:t xml:space="preserve"> wniosek konsumenta strony mają dostęp do postępowania z możliwością zorganizowania fizycznego spotkania;</w:t>
      </w:r>
      <w:r w:rsidRPr="003B0738">
        <w:rPr>
          <w:szCs w:val="24"/>
          <w:lang w:eastAsia="en-US"/>
        </w:rPr>
        <w:t>”</w:t>
      </w:r>
      <w:r w:rsidR="00097552">
        <w:rPr>
          <w:b/>
          <w:szCs w:val="24"/>
          <w:lang w:eastAsia="en-US"/>
        </w:rPr>
        <w:t xml:space="preserve"> [Popr. 42]</w:t>
      </w:r>
    </w:p>
    <w:p w:rsidR="00097552" w:rsidRDefault="00097552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spellStart"/>
      <w:r w:rsidRPr="003B0738">
        <w:rPr>
          <w:b/>
          <w:i/>
          <w:szCs w:val="24"/>
          <w:lang w:eastAsia="en-US"/>
        </w:rPr>
        <w:lastRenderedPageBreak/>
        <w:t>4b</w:t>
      </w:r>
      <w:proofErr w:type="spellEnd"/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dodaje</w:t>
      </w:r>
      <w:proofErr w:type="gramEnd"/>
      <w:r w:rsidRPr="003B0738">
        <w:rPr>
          <w:b/>
          <w:i/>
          <w:szCs w:val="24"/>
          <w:lang w:eastAsia="en-US"/>
        </w:rPr>
        <w:t xml:space="preserve"> się artykuł w brzmieniu:</w:t>
      </w:r>
    </w:p>
    <w:p w:rsidR="003B0738" w:rsidRPr="003B0738" w:rsidRDefault="003B0738" w:rsidP="003B0738">
      <w:pPr>
        <w:spacing w:before="120" w:after="120" w:line="360" w:lineRule="auto"/>
        <w:ind w:left="850"/>
        <w:rPr>
          <w:b/>
          <w:szCs w:val="24"/>
          <w:lang w:eastAsia="en-US"/>
        </w:rPr>
      </w:pPr>
      <w:r w:rsidRPr="003B0738">
        <w:rPr>
          <w:szCs w:val="24"/>
          <w:lang w:eastAsia="en-US"/>
        </w:rPr>
        <w:t>„</w:t>
      </w:r>
      <w:r w:rsidR="00097552" w:rsidRPr="00097552">
        <w:rPr>
          <w:b/>
          <w:i/>
          <w:szCs w:val="24"/>
          <w:lang w:eastAsia="en-US"/>
        </w:rPr>
        <w:t xml:space="preserve">Artykuł </w:t>
      </w:r>
      <w:proofErr w:type="spellStart"/>
      <w:r w:rsidR="00097552" w:rsidRPr="00097552">
        <w:rPr>
          <w:b/>
          <w:i/>
          <w:szCs w:val="24"/>
          <w:lang w:eastAsia="en-US"/>
        </w:rPr>
        <w:t>1</w:t>
      </w:r>
      <w:r w:rsidR="00097552">
        <w:rPr>
          <w:b/>
          <w:i/>
          <w:szCs w:val="24"/>
          <w:lang w:eastAsia="en-US"/>
        </w:rPr>
        <w:t>1a</w:t>
      </w:r>
      <w:proofErr w:type="spellEnd"/>
      <w:r w:rsidRPr="003B0738">
        <w:rPr>
          <w:szCs w:val="24"/>
          <w:lang w:eastAsia="en-US"/>
        </w:rPr>
        <w:br/>
      </w:r>
      <w:r w:rsidRPr="003B0738">
        <w:rPr>
          <w:b/>
          <w:i/>
          <w:szCs w:val="24"/>
          <w:lang w:eastAsia="en-US"/>
        </w:rPr>
        <w:t xml:space="preserve">Państwa członkowskie zapewniają, aby w przypadku gdy przedsiębiorcy nie stosują się do wyniku postępowania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, niezależnie od tego, czy wynik tego postępowania jest wiążący, byli oni zobowiązani do przedstawienia innym stronom postępowania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pisemnego wyjaśnienia.”</w:t>
      </w:r>
      <w:r w:rsidR="00097552" w:rsidRPr="00097552">
        <w:rPr>
          <w:b/>
          <w:i/>
          <w:szCs w:val="24"/>
          <w:lang w:eastAsia="en-US"/>
        </w:rPr>
        <w:t>.</w:t>
      </w:r>
      <w:r w:rsidR="00097552">
        <w:rPr>
          <w:b/>
          <w:szCs w:val="24"/>
          <w:lang w:eastAsia="en-US"/>
        </w:rPr>
        <w:t xml:space="preserve"> [Popr. 43]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0738">
        <w:rPr>
          <w:szCs w:val="24"/>
          <w:lang w:eastAsia="en-US"/>
        </w:rPr>
        <w:t>5.</w:t>
      </w:r>
      <w:r w:rsidRPr="003B0738">
        <w:rPr>
          <w:szCs w:val="24"/>
          <w:lang w:eastAsia="en-US"/>
        </w:rPr>
        <w:tab/>
      </w:r>
      <w:r w:rsidRPr="003B0738">
        <w:rPr>
          <w:strike/>
          <w:szCs w:val="24"/>
          <w:lang w:eastAsia="en-US"/>
        </w:rPr>
        <w:t xml:space="preserve">uchyla się </w:t>
      </w:r>
      <w:r w:rsidRPr="003B0738">
        <w:rPr>
          <w:szCs w:val="24"/>
          <w:lang w:eastAsia="en-US"/>
        </w:rPr>
        <w:t>art. 13 ust</w:t>
      </w:r>
      <w:proofErr w:type="gramStart"/>
      <w:r w:rsidRPr="003B0738">
        <w:rPr>
          <w:szCs w:val="24"/>
          <w:lang w:eastAsia="en-US"/>
        </w:rPr>
        <w:t xml:space="preserve">. </w:t>
      </w:r>
      <w:r w:rsidRPr="003B0738">
        <w:rPr>
          <w:strike/>
          <w:szCs w:val="24"/>
          <w:lang w:eastAsia="en-US"/>
        </w:rPr>
        <w:t>3;</w:t>
      </w:r>
      <w:r w:rsidRPr="003B0738">
        <w:rPr>
          <w:b/>
          <w:i/>
          <w:szCs w:val="24"/>
          <w:lang w:eastAsia="en-US"/>
        </w:rPr>
        <w:t>2 otrzymuje</w:t>
      </w:r>
      <w:proofErr w:type="gramEnd"/>
      <w:r w:rsidRPr="003B0738">
        <w:rPr>
          <w:b/>
          <w:i/>
          <w:szCs w:val="24"/>
          <w:lang w:eastAsia="en-US"/>
        </w:rPr>
        <w:t xml:space="preserve"> brzmienie: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t>„</w:t>
      </w:r>
      <w:r w:rsidR="00097552">
        <w:rPr>
          <w:b/>
          <w:i/>
          <w:szCs w:val="24"/>
          <w:lang w:eastAsia="en-US"/>
        </w:rPr>
        <w:t>2</w:t>
      </w:r>
      <w:r w:rsidRPr="003B0738">
        <w:rPr>
          <w:b/>
          <w:i/>
          <w:szCs w:val="24"/>
          <w:lang w:eastAsia="en-US"/>
        </w:rPr>
        <w:t>.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 xml:space="preserve"> Informacje, o których mowa w ust. 1, należy udostępniać:</w:t>
      </w:r>
    </w:p>
    <w:p w:rsidR="003B0738" w:rsidRPr="003B0738" w:rsidRDefault="003B0738" w:rsidP="003B0738">
      <w:pPr>
        <w:spacing w:before="120" w:after="120" w:line="360" w:lineRule="auto"/>
        <w:ind w:left="1982" w:hanging="566"/>
        <w:rPr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a</w:t>
      </w:r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na</w:t>
      </w:r>
      <w:proofErr w:type="gramEnd"/>
      <w:r w:rsidRPr="003B0738">
        <w:rPr>
          <w:b/>
          <w:i/>
          <w:szCs w:val="24"/>
          <w:lang w:eastAsia="en-US"/>
        </w:rPr>
        <w:t xml:space="preserve"> stronie internetowej przedsiębiorcy, jeśli taka strona istnieje, w jasny, widoczny, zrozumiały i łatwo dostępny sposób.</w:t>
      </w:r>
    </w:p>
    <w:p w:rsidR="003B0738" w:rsidRPr="003B0738" w:rsidRDefault="003B0738" w:rsidP="003B0738">
      <w:pPr>
        <w:spacing w:before="120" w:after="120" w:line="360" w:lineRule="auto"/>
        <w:ind w:left="1982" w:hanging="566"/>
        <w:rPr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b</w:t>
      </w:r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w</w:t>
      </w:r>
      <w:proofErr w:type="gramEnd"/>
      <w:r w:rsidRPr="003B0738">
        <w:rPr>
          <w:b/>
          <w:i/>
          <w:szCs w:val="24"/>
          <w:lang w:eastAsia="en-US"/>
        </w:rPr>
        <w:t xml:space="preserve"> ogólnych warunkach umów sprzedaży lub umów świadczenia usług między przedsiębiorcą a konsumentem; oraz</w:t>
      </w:r>
    </w:p>
    <w:p w:rsidR="003B0738" w:rsidRPr="003B0738" w:rsidRDefault="003B0738" w:rsidP="003B0738">
      <w:pPr>
        <w:spacing w:before="120" w:after="120" w:line="360" w:lineRule="auto"/>
        <w:ind w:left="1982" w:hanging="566"/>
        <w:rPr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c</w:t>
      </w:r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na</w:t>
      </w:r>
      <w:proofErr w:type="gramEnd"/>
      <w:r w:rsidRPr="003B0738">
        <w:rPr>
          <w:b/>
          <w:i/>
          <w:szCs w:val="24"/>
          <w:lang w:eastAsia="en-US"/>
        </w:rPr>
        <w:t xml:space="preserve"> fakturach wystawionych przez przedsiębiorcę.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proofErr w:type="spellStart"/>
      <w:r w:rsidRPr="003B0738">
        <w:rPr>
          <w:b/>
          <w:i/>
          <w:szCs w:val="24"/>
          <w:lang w:eastAsia="en-US"/>
        </w:rPr>
        <w:t>2</w:t>
      </w:r>
      <w:r w:rsidR="00097552">
        <w:rPr>
          <w:b/>
          <w:i/>
          <w:szCs w:val="24"/>
          <w:lang w:eastAsia="en-US"/>
        </w:rPr>
        <w:t>a</w:t>
      </w:r>
      <w:proofErr w:type="spellEnd"/>
      <w:r w:rsidRPr="003B0738">
        <w:rPr>
          <w:b/>
          <w:i/>
          <w:szCs w:val="24"/>
          <w:lang w:eastAsia="en-US"/>
        </w:rPr>
        <w:t>.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Przedsiębiorcy udostępniają konsumentom adres e-mail, w tym wyłącznie do celów postępowań ADR.”</w:t>
      </w:r>
      <w:r w:rsidR="00097552" w:rsidRPr="00097552">
        <w:rPr>
          <w:b/>
          <w:i/>
          <w:szCs w:val="24"/>
          <w:lang w:eastAsia="en-US"/>
        </w:rPr>
        <w:t>.</w:t>
      </w:r>
      <w:r w:rsidR="00097552">
        <w:rPr>
          <w:b/>
          <w:szCs w:val="24"/>
          <w:lang w:eastAsia="en-US"/>
        </w:rPr>
        <w:t xml:space="preserve"> [Popr. 44]</w:t>
      </w:r>
    </w:p>
    <w:p w:rsidR="00097552" w:rsidRDefault="00097552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0738">
        <w:rPr>
          <w:szCs w:val="24"/>
          <w:lang w:eastAsia="en-US"/>
        </w:rPr>
        <w:lastRenderedPageBreak/>
        <w:t>6.</w:t>
      </w:r>
      <w:r w:rsidRPr="003B0738">
        <w:rPr>
          <w:szCs w:val="24"/>
          <w:lang w:eastAsia="en-US"/>
        </w:rPr>
        <w:tab/>
      </w:r>
      <w:proofErr w:type="gramStart"/>
      <w:r w:rsidRPr="003B0738">
        <w:rPr>
          <w:szCs w:val="24"/>
          <w:lang w:eastAsia="en-US"/>
        </w:rPr>
        <w:t>art</w:t>
      </w:r>
      <w:proofErr w:type="gramEnd"/>
      <w:r w:rsidRPr="003B0738">
        <w:rPr>
          <w:szCs w:val="24"/>
          <w:lang w:eastAsia="en-US"/>
        </w:rPr>
        <w:t>. 14 otrzymuje brzmienie:</w:t>
      </w:r>
    </w:p>
    <w:p w:rsidR="003B0738" w:rsidRPr="003B0738" w:rsidRDefault="003B0738" w:rsidP="003B0738">
      <w:pPr>
        <w:spacing w:before="120" w:after="120" w:line="360" w:lineRule="auto"/>
        <w:ind w:left="850"/>
        <w:rPr>
          <w:szCs w:val="24"/>
          <w:lang w:eastAsia="en-US"/>
        </w:rPr>
      </w:pPr>
      <w:r w:rsidRPr="003B0738">
        <w:rPr>
          <w:szCs w:val="24"/>
          <w:lang w:eastAsia="en-US"/>
        </w:rPr>
        <w:t>„Artykuł 14</w:t>
      </w:r>
    </w:p>
    <w:p w:rsidR="003B0738" w:rsidRPr="003B0738" w:rsidRDefault="003B0738" w:rsidP="003B0738">
      <w:pPr>
        <w:spacing w:before="120" w:after="120" w:line="360" w:lineRule="auto"/>
        <w:ind w:left="850"/>
        <w:rPr>
          <w:szCs w:val="24"/>
          <w:lang w:eastAsia="en-US"/>
        </w:rPr>
      </w:pPr>
      <w:r w:rsidRPr="003B0738">
        <w:rPr>
          <w:szCs w:val="24"/>
          <w:lang w:eastAsia="en-US"/>
        </w:rPr>
        <w:t>Pomoc konsumentom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t>1.</w:t>
      </w:r>
      <w:r w:rsidRPr="003B0738">
        <w:rPr>
          <w:szCs w:val="24"/>
          <w:lang w:eastAsia="en-US"/>
        </w:rPr>
        <w:tab/>
        <w:t xml:space="preserve">Państwa członkowskie zapewniają, aby w odniesieniu do sporów transgranicznych konsumenci i przedsiębiorcy mogli uzyskać pomoc w dostępie do podmiotu lub podmiotów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właściwych do rozstrzygnięcia ich sporu transgranicznego.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szCs w:val="24"/>
          <w:lang w:eastAsia="en-US"/>
        </w:rPr>
      </w:pPr>
      <w:proofErr w:type="spellStart"/>
      <w:r w:rsidRPr="003B0738">
        <w:rPr>
          <w:b/>
          <w:i/>
          <w:szCs w:val="24"/>
          <w:lang w:eastAsia="en-US"/>
        </w:rPr>
        <w:t>1a</w:t>
      </w:r>
      <w:proofErr w:type="spellEnd"/>
      <w:r w:rsidRPr="003B0738">
        <w:rPr>
          <w:b/>
          <w:i/>
          <w:szCs w:val="24"/>
          <w:lang w:eastAsia="en-US"/>
        </w:rPr>
        <w:t>.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 xml:space="preserve">Państwa członkowskie zapewniają konsumentom możliwość prowadzenia transgranicznych postępowań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w języku urzędowym państwa członkowskiego, w którym mieszkają.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3B0738">
        <w:rPr>
          <w:szCs w:val="24"/>
          <w:lang w:eastAsia="en-US"/>
        </w:rPr>
        <w:t>2.</w:t>
      </w:r>
      <w:r w:rsidRPr="003B0738">
        <w:rPr>
          <w:szCs w:val="24"/>
          <w:lang w:eastAsia="en-US"/>
        </w:rPr>
        <w:tab/>
        <w:t xml:space="preserve">Każde państwo członkowskie wyznacza punkt kontaktowy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odpowiedzialny za zadanie, o którym mowa w ust. 1. Każde państwo członkowskie przekazuje Komisji nazwę i dane kontaktowe swojego punktu kontaktowego ADR. Państwa członkowskie powierzają odpowiedzialność za prowadzenie punktów kontaktowych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swojemu centrum należącemu do Sieci Europejskich Centrów Konsumenckich </w:t>
      </w:r>
      <w:r w:rsidRPr="003B0738">
        <w:rPr>
          <w:strike/>
          <w:szCs w:val="24"/>
          <w:lang w:eastAsia="en-US"/>
        </w:rPr>
        <w:t xml:space="preserve">lub, jeżeli nie jest to możliwe, </w:t>
      </w:r>
      <w:r w:rsidRPr="003B0738">
        <w:rPr>
          <w:szCs w:val="24"/>
          <w:lang w:eastAsia="en-US"/>
        </w:rPr>
        <w:t>organizacjom konsumenckim lub innemu organowi zajmującemu się ochroną konsumentów</w:t>
      </w:r>
      <w:r w:rsidRPr="003B0738">
        <w:rPr>
          <w:b/>
          <w:i/>
          <w:szCs w:val="24"/>
          <w:lang w:eastAsia="en-US"/>
        </w:rPr>
        <w:t xml:space="preserve"> oraz dopilnowują, by mieli oni dostateczne zasoby finansowe i ludzkie</w:t>
      </w:r>
      <w:r w:rsidRPr="003B0738">
        <w:rPr>
          <w:szCs w:val="24"/>
          <w:lang w:eastAsia="en-US"/>
        </w:rPr>
        <w:t>.</w:t>
      </w:r>
      <w:r w:rsidR="00097552">
        <w:rPr>
          <w:b/>
          <w:szCs w:val="24"/>
          <w:lang w:eastAsia="en-US"/>
        </w:rPr>
        <w:t xml:space="preserve"> [Popr. 46]</w:t>
      </w:r>
    </w:p>
    <w:p w:rsidR="00097552" w:rsidRDefault="00097552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proofErr w:type="spellStart"/>
      <w:r w:rsidRPr="003B0738">
        <w:rPr>
          <w:b/>
          <w:i/>
          <w:szCs w:val="24"/>
          <w:lang w:eastAsia="en-US"/>
        </w:rPr>
        <w:lastRenderedPageBreak/>
        <w:t>2a</w:t>
      </w:r>
      <w:proofErr w:type="spellEnd"/>
      <w:r w:rsidRPr="003B0738">
        <w:rPr>
          <w:b/>
          <w:i/>
          <w:szCs w:val="24"/>
          <w:lang w:eastAsia="en-US"/>
        </w:rPr>
        <w:t>.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 xml:space="preserve">Konsumenci i przedsiębiorcy uczestniczący w sporach transgranicznych korzystają z punktu kontaktowego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wyznaczonego w oparciu o miejsce zamieszkania konsumenta i podmiot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państwa członkowskiego, w którym konsument ma miejsce zamieszkania.</w:t>
      </w:r>
      <w:r w:rsidR="00097552">
        <w:rPr>
          <w:b/>
          <w:szCs w:val="24"/>
          <w:lang w:eastAsia="en-US"/>
        </w:rPr>
        <w:t xml:space="preserve"> [Popr. 47]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t>3.</w:t>
      </w:r>
      <w:r w:rsidRPr="003B0738">
        <w:rPr>
          <w:szCs w:val="24"/>
          <w:lang w:eastAsia="en-US"/>
        </w:rPr>
        <w:tab/>
        <w:t xml:space="preserve">Punkty kontaktowe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ułatwiają komunikację między stronami a właściwym podmiotem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>, co może polegać w szczególności:</w:t>
      </w:r>
    </w:p>
    <w:p w:rsidR="003B0738" w:rsidRPr="003B0738" w:rsidRDefault="003B0738" w:rsidP="003B0738">
      <w:pPr>
        <w:spacing w:before="120" w:after="120" w:line="360" w:lineRule="auto"/>
        <w:ind w:left="1982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t>a</w:t>
      </w:r>
      <w:proofErr w:type="gramStart"/>
      <w:r w:rsidRPr="003B0738">
        <w:rPr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  <w:t>na</w:t>
      </w:r>
      <w:proofErr w:type="gramEnd"/>
      <w:r w:rsidRPr="003B0738">
        <w:rPr>
          <w:szCs w:val="24"/>
          <w:lang w:eastAsia="en-US"/>
        </w:rPr>
        <w:t xml:space="preserve"> pomocy w składaniu skarg i, w stosownych przypadkach, odpowiedniej dokumentacji;</w:t>
      </w:r>
    </w:p>
    <w:p w:rsidR="003B0738" w:rsidRPr="003B0738" w:rsidRDefault="003B0738" w:rsidP="003B0738">
      <w:pPr>
        <w:spacing w:before="120" w:after="120" w:line="360" w:lineRule="auto"/>
        <w:ind w:left="1982" w:hanging="566"/>
        <w:rPr>
          <w:b/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aa</w:t>
      </w:r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na</w:t>
      </w:r>
      <w:proofErr w:type="gramEnd"/>
      <w:r w:rsidRPr="003B0738">
        <w:rPr>
          <w:b/>
          <w:i/>
          <w:szCs w:val="24"/>
          <w:lang w:eastAsia="en-US"/>
        </w:rPr>
        <w:t xml:space="preserve"> pomocy stronom i podmiotom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>, w stosownych przypadkach, w tłumaczeniu informacji, dokumentacji lub przepisów proceduralnych;</w:t>
      </w:r>
      <w:r w:rsidR="00097552">
        <w:rPr>
          <w:b/>
          <w:szCs w:val="24"/>
          <w:lang w:eastAsia="en-US"/>
        </w:rPr>
        <w:t xml:space="preserve"> [Popr. 48]</w:t>
      </w:r>
    </w:p>
    <w:p w:rsidR="003B0738" w:rsidRPr="003B0738" w:rsidRDefault="003B0738" w:rsidP="003B0738">
      <w:pPr>
        <w:spacing w:before="120" w:after="120" w:line="360" w:lineRule="auto"/>
        <w:ind w:left="1982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t>b</w:t>
      </w:r>
      <w:proofErr w:type="gramStart"/>
      <w:r w:rsidRPr="003B0738">
        <w:rPr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  <w:t>na</w:t>
      </w:r>
      <w:proofErr w:type="gramEnd"/>
      <w:r w:rsidRPr="003B0738">
        <w:rPr>
          <w:szCs w:val="24"/>
          <w:lang w:eastAsia="en-US"/>
        </w:rPr>
        <w:t xml:space="preserve"> przekazywaniu stronom i podmiotom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ogólnych informacji o prawach konsumentów w UE;</w:t>
      </w:r>
    </w:p>
    <w:p w:rsidR="003B0738" w:rsidRPr="003B0738" w:rsidRDefault="003B0738" w:rsidP="003B0738">
      <w:pPr>
        <w:spacing w:before="120" w:after="120" w:line="360" w:lineRule="auto"/>
        <w:ind w:left="1982" w:hanging="566"/>
        <w:rPr>
          <w:b/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ba</w:t>
      </w:r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na</w:t>
      </w:r>
      <w:proofErr w:type="gramEnd"/>
      <w:r w:rsidRPr="003B0738">
        <w:rPr>
          <w:b/>
          <w:i/>
          <w:szCs w:val="24"/>
          <w:lang w:eastAsia="en-US"/>
        </w:rPr>
        <w:t xml:space="preserve"> przekazywaniu stronom i podmiotom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odpowiednich informacji o prawie ochrony konsumentów państwa członkowskiego;</w:t>
      </w:r>
      <w:r w:rsidR="00097552">
        <w:rPr>
          <w:b/>
          <w:szCs w:val="24"/>
          <w:lang w:eastAsia="en-US"/>
        </w:rPr>
        <w:t xml:space="preserve"> [Popr. 49]</w:t>
      </w:r>
    </w:p>
    <w:p w:rsidR="00097552" w:rsidRDefault="00097552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1982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lastRenderedPageBreak/>
        <w:t>c</w:t>
      </w:r>
      <w:proofErr w:type="gramStart"/>
      <w:r w:rsidRPr="003B0738">
        <w:rPr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  <w:t>na</w:t>
      </w:r>
      <w:proofErr w:type="gramEnd"/>
      <w:r w:rsidRPr="003B0738">
        <w:rPr>
          <w:szCs w:val="24"/>
          <w:lang w:eastAsia="en-US"/>
        </w:rPr>
        <w:t xml:space="preserve"> dostarczaniu stronom wyjaśnień na temat przepisów proceduralnych stosowanych przez odpowiednie podmioty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>;</w:t>
      </w:r>
    </w:p>
    <w:p w:rsidR="003B0738" w:rsidRPr="003B0738" w:rsidRDefault="003B0738" w:rsidP="003B0738">
      <w:pPr>
        <w:spacing w:before="120" w:after="120" w:line="360" w:lineRule="auto"/>
        <w:ind w:left="1982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t>d</w:t>
      </w:r>
      <w:proofErr w:type="gramStart"/>
      <w:r w:rsidRPr="003B0738">
        <w:rPr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  <w:t>na</w:t>
      </w:r>
      <w:proofErr w:type="gramEnd"/>
      <w:r w:rsidRPr="003B0738">
        <w:rPr>
          <w:szCs w:val="24"/>
          <w:lang w:eastAsia="en-US"/>
        </w:rPr>
        <w:t xml:space="preserve"> informowaniu strony skarżącej o innych sposobach dochodzenia roszczeń, w przypadku gdy sporu nie można rozstrzygnąć w postępowaniu ADR.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t>4.</w:t>
      </w:r>
      <w:r w:rsidRPr="003B0738">
        <w:rPr>
          <w:szCs w:val="24"/>
          <w:lang w:eastAsia="en-US"/>
        </w:rPr>
        <w:tab/>
        <w:t xml:space="preserve">Państwa członkowskie mogą przyznać punktom kontaktowym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prawo do udzielania konsumentom i przedsiębiorcom pomocy w dostępie do podmiotów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>, o której mowa w niniejszym artykule, również w odniesieniu do sporów krajowych.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t>5.</w:t>
      </w:r>
      <w:r w:rsidRPr="003B0738">
        <w:rPr>
          <w:szCs w:val="24"/>
          <w:lang w:eastAsia="en-US"/>
        </w:rPr>
        <w:tab/>
        <w:t>Państwa członkowskie zapewniają, aby wszelkie podmioty pomagające konsumentom w sporach transgranicznych lub krajowych działały w dobrej wierze, aby umożliwić stronom polubowne rozstrzygnięcie sporu i zachować pełną przejrzystość przy dostarczaniu konsumentom istotnych informacji, w tym informacji dotyczących przepisów proceduralnych i wszelki</w:t>
      </w:r>
      <w:r w:rsidR="00097552">
        <w:rPr>
          <w:szCs w:val="24"/>
          <w:lang w:eastAsia="en-US"/>
        </w:rPr>
        <w:t>ch mających zastosowanie opłat.</w:t>
      </w:r>
      <w:r w:rsidRPr="003B0738">
        <w:rPr>
          <w:szCs w:val="24"/>
          <w:lang w:eastAsia="en-US"/>
        </w:rPr>
        <w:t>”</w:t>
      </w:r>
      <w:r w:rsidR="00097552">
        <w:rPr>
          <w:szCs w:val="24"/>
          <w:lang w:eastAsia="en-US"/>
        </w:rPr>
        <w:t>.</w:t>
      </w:r>
    </w:p>
    <w:p w:rsidR="00097552" w:rsidRDefault="00097552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spellStart"/>
      <w:r w:rsidRPr="003B0738">
        <w:rPr>
          <w:b/>
          <w:i/>
          <w:szCs w:val="24"/>
          <w:lang w:eastAsia="en-US"/>
        </w:rPr>
        <w:lastRenderedPageBreak/>
        <w:t>6a</w:t>
      </w:r>
      <w:proofErr w:type="spellEnd"/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art</w:t>
      </w:r>
      <w:proofErr w:type="gramEnd"/>
      <w:r w:rsidRPr="003B0738">
        <w:rPr>
          <w:b/>
          <w:i/>
          <w:szCs w:val="24"/>
          <w:lang w:eastAsia="en-US"/>
        </w:rPr>
        <w:t>. 15 ust. 2 otrzymuje brzmienie: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3B0738">
        <w:rPr>
          <w:szCs w:val="24"/>
          <w:lang w:eastAsia="en-US"/>
        </w:rPr>
        <w:t>„</w:t>
      </w:r>
      <w:r w:rsidRPr="003B0738">
        <w:rPr>
          <w:b/>
          <w:i/>
          <w:szCs w:val="24"/>
          <w:lang w:eastAsia="en-US"/>
        </w:rPr>
        <w:t>1.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 xml:space="preserve">Państwa członkowskie dopilnowują, by stosowne organizacje konsumenckie i stowarzyszenia przedsiębiorców udostępniały do publicznej wiadomości na swoich stronach internetowych i w broszurach oraz za pomocą wszelkich innych metod, które uznają za stosowne, wykaz podmiotów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>, o którym mowa w art. 20 ust. 4.”</w:t>
      </w:r>
      <w:r w:rsidR="00097552" w:rsidRPr="00097552">
        <w:rPr>
          <w:b/>
          <w:i/>
          <w:szCs w:val="24"/>
          <w:lang w:eastAsia="en-US"/>
        </w:rPr>
        <w:t>.</w:t>
      </w:r>
      <w:r w:rsidR="00097552">
        <w:rPr>
          <w:b/>
          <w:szCs w:val="24"/>
          <w:lang w:eastAsia="en-US"/>
        </w:rPr>
        <w:t xml:space="preserve"> [Popr. 50]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spellStart"/>
      <w:r w:rsidRPr="003B0738">
        <w:rPr>
          <w:b/>
          <w:i/>
          <w:szCs w:val="24"/>
          <w:lang w:eastAsia="en-US"/>
        </w:rPr>
        <w:t>6b</w:t>
      </w:r>
      <w:proofErr w:type="spellEnd"/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art</w:t>
      </w:r>
      <w:proofErr w:type="gramEnd"/>
      <w:r w:rsidRPr="003B0738">
        <w:rPr>
          <w:b/>
          <w:i/>
          <w:szCs w:val="24"/>
          <w:lang w:eastAsia="en-US"/>
        </w:rPr>
        <w:t>. 17 ust. 2 otrzymuje brzmienie: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3B0738">
        <w:rPr>
          <w:szCs w:val="24"/>
          <w:lang w:eastAsia="en-US"/>
        </w:rPr>
        <w:t>„</w:t>
      </w:r>
      <w:r w:rsidRPr="003B0738">
        <w:rPr>
          <w:b/>
          <w:i/>
          <w:szCs w:val="24"/>
          <w:lang w:eastAsia="en-US"/>
        </w:rPr>
        <w:t>1.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 xml:space="preserve">Współpraca ta obejmuje w szczególności wymianę informacji o praktykach w konkretnych sektorach gospodarki, na które konsumenci wielokrotnie składali skargi. W stosownych przypadkach obejmuje ona również zobowiązanie podmiotów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do kierowania konsumentów do organów krajowych, o których mowa w ust. 1, w każdym przypadku gdy zgłaszają oni nieuczciwe praktyki handlowe. Ponadto w stosownych przypadkach obejmuje ona również obowiązek zgłaszania przez podmioty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tym organom krajowym nieuczciwych praktyk handlowych i warunków, gdy tylko dowiedzą się o nich. Obejmuje ona także dokonywanie oceny merytorycznej oraz przekazywanie informacji przez takie organy krajowe podmiotom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>, jeśli taka ocena lub informacje są niezbędne do rozpatrywania poszczególnych sporów i są już dostępne.”</w:t>
      </w:r>
      <w:r w:rsidR="00097552" w:rsidRPr="00097552">
        <w:rPr>
          <w:b/>
          <w:i/>
          <w:szCs w:val="24"/>
          <w:lang w:eastAsia="en-US"/>
        </w:rPr>
        <w:t>.</w:t>
      </w:r>
      <w:r w:rsidR="00097552">
        <w:rPr>
          <w:b/>
          <w:szCs w:val="24"/>
          <w:lang w:eastAsia="en-US"/>
        </w:rPr>
        <w:t xml:space="preserve"> [Popr. 51]</w:t>
      </w:r>
    </w:p>
    <w:p w:rsidR="00097552" w:rsidRDefault="00097552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spellStart"/>
      <w:r w:rsidRPr="003B0738">
        <w:rPr>
          <w:b/>
          <w:i/>
          <w:szCs w:val="24"/>
          <w:lang w:eastAsia="en-US"/>
        </w:rPr>
        <w:lastRenderedPageBreak/>
        <w:t>6c</w:t>
      </w:r>
      <w:proofErr w:type="spellEnd"/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w</w:t>
      </w:r>
      <w:proofErr w:type="gramEnd"/>
      <w:r w:rsidRPr="003B0738">
        <w:rPr>
          <w:b/>
          <w:i/>
          <w:szCs w:val="24"/>
          <w:lang w:eastAsia="en-US"/>
        </w:rPr>
        <w:t xml:space="preserve"> art. 17 dodaje się ust. 5 w brzmieniu: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„</w:t>
      </w:r>
      <w:r w:rsidR="00097552">
        <w:rPr>
          <w:b/>
          <w:i/>
          <w:szCs w:val="24"/>
          <w:lang w:eastAsia="en-US"/>
        </w:rPr>
        <w:t>5</w:t>
      </w:r>
      <w:r w:rsidRPr="003B0738">
        <w:rPr>
          <w:b/>
          <w:i/>
          <w:szCs w:val="24"/>
          <w:lang w:eastAsia="en-US"/>
        </w:rPr>
        <w:t>.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 xml:space="preserve">W przypadku gdy konsument zwraca uwagę podmiotu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na nieuczciwą praktykę handlową, zasada poufności nie ma zastosowania. Jeżeli istnieją wiarygodne powody, by podejrzewać, że taka praktyka miała miejsce, podmiot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informuje o tym właściwy organ krajowy i, w stosownych przypadkach, informuje go o wyniku sporu.”</w:t>
      </w:r>
      <w:r w:rsidR="00097552" w:rsidRPr="00097552">
        <w:rPr>
          <w:b/>
          <w:i/>
          <w:szCs w:val="24"/>
          <w:lang w:eastAsia="en-US"/>
        </w:rPr>
        <w:t>.</w:t>
      </w:r>
      <w:r w:rsidR="00097552">
        <w:rPr>
          <w:b/>
          <w:szCs w:val="24"/>
          <w:lang w:eastAsia="en-US"/>
        </w:rPr>
        <w:t xml:space="preserve"> [Popr. 52]</w:t>
      </w:r>
    </w:p>
    <w:p w:rsidR="00097552" w:rsidRDefault="00097552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spellStart"/>
      <w:r w:rsidRPr="003B0738">
        <w:rPr>
          <w:b/>
          <w:i/>
          <w:szCs w:val="24"/>
          <w:lang w:eastAsia="en-US"/>
        </w:rPr>
        <w:lastRenderedPageBreak/>
        <w:t>6d</w:t>
      </w:r>
      <w:proofErr w:type="spellEnd"/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art</w:t>
      </w:r>
      <w:proofErr w:type="gramEnd"/>
      <w:r w:rsidRPr="003B0738">
        <w:rPr>
          <w:b/>
          <w:i/>
          <w:szCs w:val="24"/>
          <w:lang w:eastAsia="en-US"/>
        </w:rPr>
        <w:t>. 18 ust. 1 otrzymuje brzmienie: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„1.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 xml:space="preserve">Każde państwo członkowskie wyznacza właściwy organ, który będzie pełnił funkcje określone w art. 19 i 20. Państwa członkowskie dopilnowują, aby ich właściwe organy posiadały konieczne zasoby, w tym wystarczające zasoby budżetowe i innego rodzaju zasoby, takie jak odpowiednia liczba kompetentnych pracowników, a także wiedzę fachową, procedury i inne ustalenia do celów odpowiedniego wykonywania obowiązków. Osoby fizyczne pracujące dla właściwych organów powinny być bezstronne i niezależne od podmiotów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>, nad którymi sprawują nadzór. Każde państwo członkowskie może wyznaczyć więcej niż jeden właściwy organ. Jeżeli państwo członkowskie wyznacza więcej niż jeden organ, określa również, który z właściwych organów będzie punktem kontaktowym z Komisją. Każde państwo członkowskie przekazuje Komisji informacje o właściwym organie lub – w stosownych przypadkach – właściwych organach, w tym o punkcie kontaktowym.”</w:t>
      </w:r>
      <w:r w:rsidR="00097552">
        <w:rPr>
          <w:b/>
          <w:i/>
          <w:szCs w:val="24"/>
          <w:lang w:eastAsia="en-US"/>
        </w:rPr>
        <w:t>.</w:t>
      </w:r>
      <w:r w:rsidR="00097552">
        <w:rPr>
          <w:b/>
          <w:szCs w:val="24"/>
          <w:lang w:eastAsia="en-US"/>
        </w:rPr>
        <w:t xml:space="preserve"> [Popr. 53]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spellStart"/>
      <w:r w:rsidRPr="003B0738">
        <w:rPr>
          <w:b/>
          <w:i/>
          <w:szCs w:val="24"/>
          <w:lang w:eastAsia="en-US"/>
        </w:rPr>
        <w:t>6e</w:t>
      </w:r>
      <w:proofErr w:type="spellEnd"/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art</w:t>
      </w:r>
      <w:proofErr w:type="gramEnd"/>
      <w:r w:rsidRPr="003B0738">
        <w:rPr>
          <w:b/>
          <w:i/>
          <w:szCs w:val="24"/>
          <w:lang w:eastAsia="en-US"/>
        </w:rPr>
        <w:t>. 19 ust. 3 lit. d) otrzymuje brzmienie: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„</w:t>
      </w:r>
      <w:r w:rsidR="00097552">
        <w:rPr>
          <w:b/>
          <w:i/>
          <w:szCs w:val="24"/>
          <w:lang w:eastAsia="en-US"/>
        </w:rPr>
        <w:t>d</w:t>
      </w:r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odsetek</w:t>
      </w:r>
      <w:proofErr w:type="gramEnd"/>
      <w:r w:rsidRPr="003B0738">
        <w:rPr>
          <w:b/>
          <w:i/>
          <w:szCs w:val="24"/>
          <w:lang w:eastAsia="en-US"/>
        </w:rPr>
        <w:t xml:space="preserve"> przypadków zastosowania się do rezultatu postępowań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, jeśli jest on znany oraz przedsiębiorców, którzy systematycznie i w sposób nieuzasadniony odmawiają zastosowania się do wyników postępowań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>;”</w:t>
      </w:r>
      <w:r w:rsidR="00097552">
        <w:rPr>
          <w:b/>
          <w:i/>
          <w:szCs w:val="24"/>
          <w:lang w:eastAsia="en-US"/>
        </w:rPr>
        <w:t>.</w:t>
      </w:r>
      <w:r w:rsidR="00097552">
        <w:rPr>
          <w:b/>
          <w:szCs w:val="24"/>
          <w:lang w:eastAsia="en-US"/>
        </w:rPr>
        <w:t xml:space="preserve"> [Popr. 54]</w:t>
      </w:r>
    </w:p>
    <w:p w:rsidR="00097552" w:rsidRDefault="00097552">
      <w:pPr>
        <w:widowControl/>
        <w:rPr>
          <w:strike/>
          <w:szCs w:val="24"/>
          <w:lang w:eastAsia="en-US"/>
        </w:rPr>
      </w:pPr>
      <w:r>
        <w:rPr>
          <w:strike/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3B0738">
        <w:rPr>
          <w:strike/>
          <w:szCs w:val="24"/>
          <w:lang w:eastAsia="en-US"/>
        </w:rPr>
        <w:lastRenderedPageBreak/>
        <w:t>7.</w:t>
      </w:r>
      <w:r w:rsidRPr="003B0738">
        <w:rPr>
          <w:szCs w:val="24"/>
          <w:lang w:eastAsia="en-US"/>
        </w:rPr>
        <w:tab/>
      </w:r>
      <w:proofErr w:type="gramStart"/>
      <w:r w:rsidRPr="003B0738">
        <w:rPr>
          <w:strike/>
          <w:szCs w:val="24"/>
          <w:lang w:eastAsia="en-US"/>
        </w:rPr>
        <w:t>uchyla</w:t>
      </w:r>
      <w:proofErr w:type="gramEnd"/>
      <w:r w:rsidRPr="003B0738">
        <w:rPr>
          <w:strike/>
          <w:szCs w:val="24"/>
          <w:lang w:eastAsia="en-US"/>
        </w:rPr>
        <w:t xml:space="preserve"> się art. 19 ust. 3 lit. f), g) i h);</w:t>
      </w:r>
      <w:r w:rsidR="00097552">
        <w:rPr>
          <w:b/>
          <w:szCs w:val="24"/>
          <w:lang w:eastAsia="en-US"/>
        </w:rPr>
        <w:t xml:space="preserve"> [Popr. 55]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0738">
        <w:rPr>
          <w:szCs w:val="24"/>
          <w:lang w:eastAsia="en-US"/>
        </w:rPr>
        <w:t>8.</w:t>
      </w:r>
      <w:r w:rsidRPr="003B0738">
        <w:rPr>
          <w:szCs w:val="24"/>
          <w:lang w:eastAsia="en-US"/>
        </w:rPr>
        <w:tab/>
      </w:r>
      <w:proofErr w:type="gramStart"/>
      <w:r w:rsidRPr="003B0738">
        <w:rPr>
          <w:szCs w:val="24"/>
          <w:lang w:eastAsia="en-US"/>
        </w:rPr>
        <w:t>w</w:t>
      </w:r>
      <w:proofErr w:type="gramEnd"/>
      <w:r w:rsidRPr="003B0738">
        <w:rPr>
          <w:szCs w:val="24"/>
          <w:lang w:eastAsia="en-US"/>
        </w:rPr>
        <w:t xml:space="preserve"> art. 20 </w:t>
      </w:r>
      <w:r w:rsidRPr="003B0738">
        <w:rPr>
          <w:strike/>
          <w:szCs w:val="24"/>
          <w:lang w:eastAsia="en-US"/>
        </w:rPr>
        <w:t xml:space="preserve">dodaje się ustęp w </w:t>
      </w:r>
      <w:proofErr w:type="spellStart"/>
      <w:r w:rsidRPr="003B0738">
        <w:rPr>
          <w:strike/>
          <w:szCs w:val="24"/>
          <w:lang w:eastAsia="en-US"/>
        </w:rPr>
        <w:t>brzmieniu</w:t>
      </w:r>
      <w:r w:rsidRPr="003B0738">
        <w:rPr>
          <w:b/>
          <w:i/>
          <w:szCs w:val="24"/>
          <w:lang w:eastAsia="en-US"/>
        </w:rPr>
        <w:t>wprowadza</w:t>
      </w:r>
      <w:proofErr w:type="spellEnd"/>
      <w:r w:rsidRPr="003B0738">
        <w:rPr>
          <w:b/>
          <w:i/>
          <w:szCs w:val="24"/>
          <w:lang w:eastAsia="en-US"/>
        </w:rPr>
        <w:t xml:space="preserve"> się następujące zmiany</w:t>
      </w:r>
      <w:r w:rsidRPr="003B0738">
        <w:rPr>
          <w:szCs w:val="24"/>
          <w:lang w:eastAsia="en-US"/>
        </w:rPr>
        <w:t>: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a</w:t>
      </w:r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w</w:t>
      </w:r>
      <w:proofErr w:type="gramEnd"/>
      <w:r w:rsidRPr="003B0738">
        <w:rPr>
          <w:b/>
          <w:i/>
          <w:szCs w:val="24"/>
          <w:lang w:eastAsia="en-US"/>
        </w:rPr>
        <w:t xml:space="preserve"> ust. 2 dodaje się po akapicie drugim akapit w brzmieniu:</w:t>
      </w:r>
    </w:p>
    <w:p w:rsidR="003B0738" w:rsidRPr="003B0738" w:rsidRDefault="003B0738" w:rsidP="003B0738">
      <w:pPr>
        <w:spacing w:before="120" w:after="120" w:line="360" w:lineRule="auto"/>
        <w:ind w:left="1416"/>
        <w:rPr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 xml:space="preserve">„Właściwe organy przeprowadzają regularne kontrole funkcjonowania i działalności podmiotów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w celu monitorowania zgodności z wymogami niniejszej dyrektywy.”</w:t>
      </w:r>
      <w:r w:rsidR="00097552">
        <w:rPr>
          <w:b/>
          <w:i/>
          <w:szCs w:val="24"/>
          <w:lang w:eastAsia="en-US"/>
        </w:rPr>
        <w:t>;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b</w:t>
      </w:r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dodaje</w:t>
      </w:r>
      <w:proofErr w:type="gramEnd"/>
      <w:r w:rsidRPr="003B0738">
        <w:rPr>
          <w:b/>
          <w:i/>
          <w:szCs w:val="24"/>
          <w:lang w:eastAsia="en-US"/>
        </w:rPr>
        <w:t xml:space="preserve"> się akapit w brzmieniu:</w:t>
      </w:r>
    </w:p>
    <w:p w:rsidR="003B0738" w:rsidRPr="003B0738" w:rsidRDefault="003B0738" w:rsidP="003B0738">
      <w:pPr>
        <w:spacing w:before="120" w:after="120" w:line="360" w:lineRule="auto"/>
        <w:ind w:left="1982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t>„8.</w:t>
      </w:r>
      <w:r w:rsidRPr="003B0738">
        <w:rPr>
          <w:szCs w:val="24"/>
          <w:lang w:eastAsia="en-US"/>
        </w:rPr>
        <w:tab/>
        <w:t>Komisja opracowuje i utrzymuje</w:t>
      </w:r>
      <w:r w:rsidRPr="003B0738">
        <w:rPr>
          <w:b/>
          <w:i/>
          <w:szCs w:val="24"/>
          <w:lang w:eastAsia="en-US"/>
        </w:rPr>
        <w:t xml:space="preserve"> przyjazne dla użytkownika,</w:t>
      </w:r>
      <w:r w:rsidRPr="003B0738">
        <w:rPr>
          <w:szCs w:val="24"/>
          <w:lang w:eastAsia="en-US"/>
        </w:rPr>
        <w:t xml:space="preserve"> interaktywne narzędzie cyfrowe, umożliwiające znalezienie ogólnych informacji na temat środków ochrony konsumentów</w:t>
      </w:r>
      <w:r w:rsidRPr="003B0738">
        <w:rPr>
          <w:b/>
          <w:i/>
          <w:szCs w:val="24"/>
          <w:lang w:eastAsia="en-US"/>
        </w:rPr>
        <w:t xml:space="preserve">, praktycznych informacji o tym, jak konsumenci mogą korzystać z postępowań </w:t>
      </w:r>
      <w:proofErr w:type="spellStart"/>
      <w:r w:rsidRPr="003B0738">
        <w:rPr>
          <w:b/>
          <w:i/>
          <w:szCs w:val="24"/>
          <w:lang w:eastAsia="en-US"/>
        </w:rPr>
        <w:t>ADR</w:t>
      </w:r>
      <w:proofErr w:type="spellEnd"/>
      <w:r w:rsidRPr="003B0738">
        <w:rPr>
          <w:b/>
          <w:i/>
          <w:szCs w:val="24"/>
          <w:lang w:eastAsia="en-US"/>
        </w:rPr>
        <w:t xml:space="preserve"> w kontekście transgranicznym</w:t>
      </w:r>
      <w:r w:rsidRPr="003B0738">
        <w:rPr>
          <w:szCs w:val="24"/>
          <w:lang w:eastAsia="en-US"/>
        </w:rPr>
        <w:t xml:space="preserve"> oraz linków do stron internetowych podmiotów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>, o których powiadomiono Komisję zgodnie z ust. 2 niniejszego artykułu</w:t>
      </w:r>
      <w:r w:rsidRPr="003B0738">
        <w:rPr>
          <w:b/>
          <w:i/>
          <w:szCs w:val="24"/>
          <w:lang w:eastAsia="en-US"/>
        </w:rPr>
        <w:t>, kierując konsumentów do właściwego organu umożliwiającego im rozstrzyganie sporów</w:t>
      </w:r>
      <w:r w:rsidRPr="003B0738">
        <w:rPr>
          <w:szCs w:val="24"/>
          <w:lang w:eastAsia="en-US"/>
        </w:rPr>
        <w:t>.</w:t>
      </w:r>
      <w:r w:rsidRPr="003B0738">
        <w:rPr>
          <w:strike/>
          <w:szCs w:val="24"/>
          <w:lang w:eastAsia="en-US"/>
        </w:rPr>
        <w:t>;</w:t>
      </w:r>
    </w:p>
    <w:p w:rsidR="003B0738" w:rsidRPr="003B0738" w:rsidRDefault="003B0738" w:rsidP="00097552">
      <w:pPr>
        <w:spacing w:before="120" w:after="120" w:line="360" w:lineRule="auto"/>
        <w:ind w:left="1982" w:firstLine="3"/>
        <w:rPr>
          <w:b/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Jeżeli na szczeblu krajowym istnieją podobne narzędzia cyfrowe, powinny one zawierać link do narzędzia cyfrowego Komisji, aby informować konsumentów o kwestiach transgranicznych.”</w:t>
      </w:r>
      <w:r w:rsidR="00097552">
        <w:rPr>
          <w:b/>
          <w:i/>
          <w:szCs w:val="24"/>
          <w:lang w:eastAsia="en-US"/>
        </w:rPr>
        <w:t>.</w:t>
      </w:r>
      <w:r w:rsidR="00097552">
        <w:rPr>
          <w:b/>
          <w:szCs w:val="24"/>
          <w:lang w:eastAsia="en-US"/>
        </w:rPr>
        <w:t xml:space="preserve"> [Popr. 56]</w:t>
      </w:r>
    </w:p>
    <w:p w:rsidR="00097552" w:rsidRDefault="00097552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spellStart"/>
      <w:r w:rsidRPr="003B0738">
        <w:rPr>
          <w:b/>
          <w:i/>
          <w:szCs w:val="24"/>
          <w:lang w:eastAsia="en-US"/>
        </w:rPr>
        <w:lastRenderedPageBreak/>
        <w:t>8a</w:t>
      </w:r>
      <w:proofErr w:type="spellEnd"/>
      <w:proofErr w:type="gramStart"/>
      <w:r w:rsidRPr="003B0738">
        <w:rPr>
          <w:b/>
          <w:i/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</w:r>
      <w:r w:rsidRPr="003B0738">
        <w:rPr>
          <w:b/>
          <w:i/>
          <w:szCs w:val="24"/>
          <w:lang w:eastAsia="en-US"/>
        </w:rPr>
        <w:t>Art</w:t>
      </w:r>
      <w:proofErr w:type="gramEnd"/>
      <w:r w:rsidRPr="003B0738">
        <w:rPr>
          <w:b/>
          <w:i/>
          <w:szCs w:val="24"/>
          <w:lang w:eastAsia="en-US"/>
        </w:rPr>
        <w:t>. 21 otrzymuje brzmienie:</w:t>
      </w:r>
    </w:p>
    <w:p w:rsidR="003B0738" w:rsidRPr="003B0738" w:rsidRDefault="003B0738" w:rsidP="003B0738">
      <w:pPr>
        <w:spacing w:before="120" w:after="120" w:line="360" w:lineRule="auto"/>
        <w:ind w:left="850"/>
        <w:rPr>
          <w:szCs w:val="24"/>
          <w:lang w:eastAsia="en-US"/>
        </w:rPr>
      </w:pPr>
      <w:r w:rsidRPr="003B0738">
        <w:rPr>
          <w:szCs w:val="24"/>
          <w:lang w:eastAsia="en-US"/>
        </w:rPr>
        <w:t>„</w:t>
      </w:r>
      <w:r w:rsidR="00097552">
        <w:rPr>
          <w:b/>
          <w:i/>
          <w:szCs w:val="24"/>
          <w:lang w:eastAsia="en-US"/>
        </w:rPr>
        <w:t>Artykuł 21</w:t>
      </w:r>
      <w:r w:rsidRPr="003B0738">
        <w:rPr>
          <w:szCs w:val="24"/>
          <w:lang w:eastAsia="en-US"/>
        </w:rPr>
        <w:br/>
      </w:r>
      <w:r w:rsidRPr="003B0738">
        <w:rPr>
          <w:b/>
          <w:i/>
          <w:szCs w:val="24"/>
          <w:lang w:eastAsia="en-US"/>
        </w:rPr>
        <w:t>Kary</w:t>
      </w:r>
    </w:p>
    <w:p w:rsidR="003B0738" w:rsidRPr="003B0738" w:rsidRDefault="003B0738" w:rsidP="003B0738">
      <w:pPr>
        <w:spacing w:before="120" w:after="120" w:line="360" w:lineRule="auto"/>
        <w:ind w:left="850"/>
        <w:rPr>
          <w:b/>
          <w:szCs w:val="24"/>
          <w:lang w:eastAsia="en-US"/>
        </w:rPr>
      </w:pPr>
      <w:r w:rsidRPr="003B0738">
        <w:rPr>
          <w:b/>
          <w:i/>
          <w:szCs w:val="24"/>
          <w:lang w:eastAsia="en-US"/>
        </w:rPr>
        <w:t>Państwa członkowskie ustanawiają przepisy dotyczące sankcji mających zastosowanie w przypadku naruszenia przepisów krajowych przyjętych zgodnie z niniejszą dyrektywą, w szczególności art. 5 ust. 8 i art. 13, oraz przyjmują wszelkie niezbędne środki w celu zapewnienia ich wdrożenia. Przewidziane kary muszą być skuteczne, proporcjonalne i odstraszające.</w:t>
      </w:r>
      <w:r w:rsidRPr="003B0738">
        <w:rPr>
          <w:szCs w:val="24"/>
          <w:lang w:eastAsia="en-US"/>
        </w:rPr>
        <w:t>”</w:t>
      </w:r>
      <w:r w:rsidR="00097552">
        <w:rPr>
          <w:b/>
          <w:szCs w:val="24"/>
          <w:lang w:eastAsia="en-US"/>
        </w:rPr>
        <w:t xml:space="preserve"> [Popr. 57]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0738">
        <w:rPr>
          <w:szCs w:val="24"/>
          <w:lang w:eastAsia="en-US"/>
        </w:rPr>
        <w:t>9.</w:t>
      </w:r>
      <w:r w:rsidRPr="003B0738">
        <w:rPr>
          <w:szCs w:val="24"/>
          <w:lang w:eastAsia="en-US"/>
        </w:rPr>
        <w:tab/>
      </w:r>
      <w:proofErr w:type="gramStart"/>
      <w:r w:rsidRPr="003B0738">
        <w:rPr>
          <w:szCs w:val="24"/>
          <w:lang w:eastAsia="en-US"/>
        </w:rPr>
        <w:t>w</w:t>
      </w:r>
      <w:proofErr w:type="gramEnd"/>
      <w:r w:rsidRPr="003B0738">
        <w:rPr>
          <w:szCs w:val="24"/>
          <w:lang w:eastAsia="en-US"/>
        </w:rPr>
        <w:t xml:space="preserve"> art. 24 dodaje się ust. 4 w brzmieniu: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t>„4.</w:t>
      </w:r>
      <w:r w:rsidRPr="003B0738">
        <w:rPr>
          <w:szCs w:val="24"/>
          <w:lang w:eastAsia="en-US"/>
        </w:rPr>
        <w:tab/>
        <w:t xml:space="preserve">Do dnia [wstawić datę] r. państwa członkowskie przekazują Komisji nazwy i dane kontaktowe punktów kontaktowych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 wyznaczonych zgodnie</w:t>
      </w:r>
      <w:r w:rsidR="00097552">
        <w:rPr>
          <w:szCs w:val="24"/>
          <w:lang w:eastAsia="en-US"/>
        </w:rPr>
        <w:t xml:space="preserve"> z art. 14 ust. 2.</w:t>
      </w:r>
      <w:r w:rsidRPr="003B0738">
        <w:rPr>
          <w:szCs w:val="24"/>
          <w:lang w:eastAsia="en-US"/>
        </w:rPr>
        <w:t>”</w:t>
      </w:r>
      <w:r w:rsidR="00097552">
        <w:rPr>
          <w:szCs w:val="24"/>
          <w:lang w:eastAsia="en-US"/>
        </w:rPr>
        <w:t>.</w:t>
      </w:r>
    </w:p>
    <w:p w:rsidR="00097552" w:rsidRDefault="00097552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jc w:val="center"/>
        <w:rPr>
          <w:szCs w:val="24"/>
          <w:lang w:eastAsia="en-US"/>
        </w:rPr>
      </w:pPr>
      <w:r w:rsidRPr="003B0738">
        <w:rPr>
          <w:szCs w:val="24"/>
          <w:lang w:eastAsia="en-US"/>
        </w:rPr>
        <w:lastRenderedPageBreak/>
        <w:t>Artykuł 2</w:t>
      </w:r>
      <w:r w:rsidRPr="003B0738">
        <w:rPr>
          <w:szCs w:val="24"/>
          <w:lang w:eastAsia="en-US"/>
        </w:rPr>
        <w:br/>
        <w:t>Zmiana w dyrektywie (UE) 2015/2302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0738">
        <w:rPr>
          <w:szCs w:val="24"/>
          <w:lang w:eastAsia="en-US"/>
        </w:rPr>
        <w:t>Art. 7 ust. 2 lit. g) dyrektywy (UE) 2015/2302 otrzymuje brzmienie: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t>„g</w:t>
      </w:r>
      <w:proofErr w:type="gramStart"/>
      <w:r w:rsidRPr="003B0738">
        <w:rPr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  <w:t>informację</w:t>
      </w:r>
      <w:proofErr w:type="gramEnd"/>
      <w:r w:rsidRPr="003B0738">
        <w:rPr>
          <w:szCs w:val="24"/>
          <w:lang w:eastAsia="en-US"/>
        </w:rPr>
        <w:t xml:space="preserve"> na temat dostępnych wewnętrznych procedur rozpatrywania skarg oraz na temat alternatywnych metod rozstrzygania sporów („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 xml:space="preserve">”) zgodnie z dyrektywą Parlamentu Europejskiego i Rady 2013/11/UE oraz, w stosownych przypadkach, na temat podmiotu </w:t>
      </w:r>
      <w:proofErr w:type="spellStart"/>
      <w:r w:rsidRPr="003B0738">
        <w:rPr>
          <w:szCs w:val="24"/>
          <w:lang w:eastAsia="en-US"/>
        </w:rPr>
        <w:t>ADR</w:t>
      </w:r>
      <w:proofErr w:type="spellEnd"/>
      <w:r w:rsidRPr="003B0738">
        <w:rPr>
          <w:szCs w:val="24"/>
          <w:lang w:eastAsia="en-US"/>
        </w:rPr>
        <w:t>, któremu podlega przedsiębiorca;.”</w:t>
      </w:r>
    </w:p>
    <w:p w:rsidR="003B0738" w:rsidRPr="003B0738" w:rsidRDefault="003B0738" w:rsidP="003B0738">
      <w:pPr>
        <w:spacing w:before="120" w:after="120" w:line="360" w:lineRule="auto"/>
        <w:jc w:val="center"/>
        <w:rPr>
          <w:szCs w:val="24"/>
          <w:lang w:eastAsia="en-US"/>
        </w:rPr>
      </w:pPr>
      <w:r w:rsidRPr="003B0738">
        <w:rPr>
          <w:szCs w:val="24"/>
          <w:lang w:eastAsia="en-US"/>
        </w:rPr>
        <w:t>Artykuł 3</w:t>
      </w:r>
      <w:r w:rsidRPr="003B0738">
        <w:rPr>
          <w:szCs w:val="24"/>
          <w:lang w:eastAsia="en-US"/>
        </w:rPr>
        <w:br/>
        <w:t>Zmiana w dyrektywie (UE) 2019/2161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0738">
        <w:rPr>
          <w:szCs w:val="24"/>
          <w:lang w:eastAsia="en-US"/>
        </w:rPr>
        <w:t>Art. 5 lit. b) dyrektywy (UE) 2019/2161 otrzymuje brzmienie:</w:t>
      </w:r>
    </w:p>
    <w:p w:rsidR="003B0738" w:rsidRPr="003B0738" w:rsidRDefault="003B0738" w:rsidP="003B073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0738">
        <w:rPr>
          <w:szCs w:val="24"/>
          <w:lang w:eastAsia="en-US"/>
        </w:rPr>
        <w:t>„b</w:t>
      </w:r>
      <w:proofErr w:type="gramStart"/>
      <w:r w:rsidRPr="003B0738">
        <w:rPr>
          <w:szCs w:val="24"/>
          <w:lang w:eastAsia="en-US"/>
        </w:rPr>
        <w:t>)</w:t>
      </w:r>
      <w:r w:rsidRPr="003B0738">
        <w:rPr>
          <w:szCs w:val="24"/>
          <w:lang w:eastAsia="en-US"/>
        </w:rPr>
        <w:tab/>
        <w:t>złożenie</w:t>
      </w:r>
      <w:proofErr w:type="gramEnd"/>
      <w:r w:rsidRPr="003B0738">
        <w:rPr>
          <w:szCs w:val="24"/>
          <w:lang w:eastAsia="en-US"/>
        </w:rPr>
        <w:t xml:space="preserve"> skargi do właściwego centrum należącego do Sieci Europejskich Centrów Konsumenckich, zależnie od zaangażowanych stron..”</w:t>
      </w:r>
    </w:p>
    <w:p w:rsidR="003B0738" w:rsidRPr="003B0738" w:rsidRDefault="003B0738" w:rsidP="003B0738">
      <w:pPr>
        <w:spacing w:before="120" w:after="120" w:line="360" w:lineRule="auto"/>
        <w:jc w:val="center"/>
        <w:rPr>
          <w:szCs w:val="24"/>
          <w:lang w:eastAsia="en-US"/>
        </w:rPr>
      </w:pPr>
      <w:r w:rsidRPr="003B0738">
        <w:rPr>
          <w:szCs w:val="24"/>
          <w:lang w:eastAsia="en-US"/>
        </w:rPr>
        <w:t>Artykuł 4</w:t>
      </w:r>
      <w:r w:rsidRPr="003B0738">
        <w:rPr>
          <w:szCs w:val="24"/>
          <w:lang w:eastAsia="en-US"/>
        </w:rPr>
        <w:br/>
        <w:t>Zmiana w dyrektywie (UE) 2020/1828</w:t>
      </w:r>
    </w:p>
    <w:p w:rsidR="003B0738" w:rsidRPr="003B0738" w:rsidRDefault="003B0738" w:rsidP="003B0738">
      <w:pPr>
        <w:spacing w:before="120" w:after="120" w:line="360" w:lineRule="auto"/>
        <w:rPr>
          <w:szCs w:val="24"/>
          <w:lang w:eastAsia="en-US"/>
        </w:rPr>
      </w:pPr>
      <w:r w:rsidRPr="003B0738">
        <w:rPr>
          <w:szCs w:val="24"/>
          <w:lang w:eastAsia="en-US"/>
        </w:rPr>
        <w:t>W załączniku I do dyrektywy (UE) 2020/1828 skreśla się pkt 44.</w:t>
      </w:r>
    </w:p>
    <w:p w:rsidR="00097552" w:rsidRDefault="00097552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jc w:val="center"/>
        <w:rPr>
          <w:szCs w:val="24"/>
          <w:lang w:eastAsia="en-US"/>
        </w:rPr>
      </w:pPr>
      <w:r w:rsidRPr="003B0738">
        <w:rPr>
          <w:szCs w:val="24"/>
          <w:lang w:eastAsia="en-US"/>
        </w:rPr>
        <w:lastRenderedPageBreak/>
        <w:t>Artykuł 5</w:t>
      </w:r>
      <w:r w:rsidRPr="003B0738">
        <w:rPr>
          <w:szCs w:val="24"/>
          <w:lang w:eastAsia="en-US"/>
        </w:rPr>
        <w:br/>
        <w:t>Transpozycja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0738">
        <w:rPr>
          <w:szCs w:val="24"/>
          <w:lang w:eastAsia="en-US"/>
        </w:rPr>
        <w:t>1.</w:t>
      </w:r>
      <w:r w:rsidRPr="003B0738">
        <w:rPr>
          <w:szCs w:val="24"/>
          <w:lang w:eastAsia="en-US"/>
        </w:rPr>
        <w:tab/>
        <w:t>Do dnia [</w:t>
      </w:r>
      <w:proofErr w:type="spellStart"/>
      <w:r w:rsidRPr="003B0738">
        <w:rPr>
          <w:szCs w:val="24"/>
          <w:lang w:eastAsia="en-US"/>
        </w:rPr>
        <w:t>dd</w:t>
      </w:r>
      <w:proofErr w:type="spellEnd"/>
      <w:r w:rsidRPr="003B0738">
        <w:rPr>
          <w:szCs w:val="24"/>
          <w:lang w:eastAsia="en-US"/>
        </w:rPr>
        <w:t>/miesiąc/rok – 1 rok po wejściu w życie] r. państwa członkowskie przyjmują i publikują środki niezbędne do wykonania art. 1 niniejszej dyrektywy. Niezwłocznie powiadamiają o tym Komisję.</w:t>
      </w:r>
    </w:p>
    <w:p w:rsidR="003B0738" w:rsidRPr="003B0738" w:rsidRDefault="003B0738" w:rsidP="003B0738">
      <w:pPr>
        <w:spacing w:before="120" w:after="120" w:line="360" w:lineRule="auto"/>
        <w:ind w:left="850"/>
        <w:rPr>
          <w:szCs w:val="24"/>
          <w:lang w:eastAsia="en-US"/>
        </w:rPr>
      </w:pPr>
      <w:r w:rsidRPr="003B0738">
        <w:rPr>
          <w:szCs w:val="24"/>
          <w:lang w:eastAsia="en-US"/>
        </w:rPr>
        <w:t>Państwa członkowskie stosują te środki od dnia [data].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0738">
        <w:rPr>
          <w:szCs w:val="24"/>
          <w:lang w:eastAsia="en-US"/>
        </w:rPr>
        <w:t>2.</w:t>
      </w:r>
      <w:r w:rsidRPr="003B0738">
        <w:rPr>
          <w:szCs w:val="24"/>
          <w:lang w:eastAsia="en-US"/>
        </w:rPr>
        <w:tab/>
        <w:t>Do dnia [</w:t>
      </w:r>
      <w:proofErr w:type="spellStart"/>
      <w:r w:rsidRPr="003B0738">
        <w:rPr>
          <w:szCs w:val="24"/>
          <w:lang w:eastAsia="en-US"/>
        </w:rPr>
        <w:t>dd</w:t>
      </w:r>
      <w:proofErr w:type="spellEnd"/>
      <w:r w:rsidRPr="003B0738">
        <w:rPr>
          <w:szCs w:val="24"/>
          <w:lang w:eastAsia="en-US"/>
        </w:rPr>
        <w:t>/miesiąc/rok… 1 rok po wejściu w życie rozporządzenia xx/…. [</w:t>
      </w:r>
      <w:proofErr w:type="gramStart"/>
      <w:r w:rsidRPr="003B0738">
        <w:rPr>
          <w:szCs w:val="24"/>
          <w:lang w:eastAsia="en-US"/>
        </w:rPr>
        <w:t>wniosek</w:t>
      </w:r>
      <w:proofErr w:type="gramEnd"/>
      <w:r w:rsidRPr="003B0738">
        <w:rPr>
          <w:szCs w:val="24"/>
          <w:lang w:eastAsia="en-US"/>
        </w:rPr>
        <w:t xml:space="preserve"> dotyczący rozporządzenia Parlamentu Europejskiego i Rady uchylającego rozporządzenie (UE) nr 524/2013 w sprawie internetowego systemu rozstrzygania sporów konsumenckich]] r. państwa członkowskie przyjmują i publikują środki niezbędne do wykonania art. 2, 3 i 4 niniejszej dyrektywy. Niezwłocznie powiadamiają o tym Komisję.</w:t>
      </w:r>
    </w:p>
    <w:p w:rsidR="003B0738" w:rsidRPr="003B0738" w:rsidRDefault="003B0738" w:rsidP="003B0738">
      <w:pPr>
        <w:spacing w:before="120" w:after="120" w:line="360" w:lineRule="auto"/>
        <w:ind w:left="850"/>
        <w:rPr>
          <w:szCs w:val="24"/>
          <w:lang w:eastAsia="en-US"/>
        </w:rPr>
      </w:pPr>
      <w:r w:rsidRPr="003B0738">
        <w:rPr>
          <w:szCs w:val="24"/>
          <w:lang w:eastAsia="en-US"/>
        </w:rPr>
        <w:t>Państwa członkowskie stosują te środki od dnia [wstawić datę] r.</w:t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0738">
        <w:rPr>
          <w:szCs w:val="24"/>
          <w:lang w:eastAsia="en-US"/>
        </w:rPr>
        <w:t>3.</w:t>
      </w:r>
      <w:r w:rsidRPr="003B0738">
        <w:rPr>
          <w:szCs w:val="24"/>
          <w:lang w:eastAsia="en-US"/>
        </w:rPr>
        <w:tab/>
        <w:t>Środki, o których mowa w ust. 1 i 2, przyjęte przez państwa członkowskie zawierają odniesienie do niniejszej dyrektywy lub odniesienie takie towarzyszy ich urzędowej publikacji. Sposób dokonywania takiego odniesienia określany jest przez państwa członkowskie.</w:t>
      </w:r>
    </w:p>
    <w:p w:rsidR="00097552" w:rsidRDefault="00097552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3B0738" w:rsidRPr="003B0738" w:rsidRDefault="003B0738" w:rsidP="003B073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0738">
        <w:rPr>
          <w:szCs w:val="24"/>
          <w:lang w:eastAsia="en-US"/>
        </w:rPr>
        <w:lastRenderedPageBreak/>
        <w:t>4.</w:t>
      </w:r>
      <w:r w:rsidRPr="003B0738">
        <w:rPr>
          <w:szCs w:val="24"/>
          <w:lang w:eastAsia="en-US"/>
        </w:rPr>
        <w:tab/>
        <w:t>Państwa członkowskie przekazują Komisji tekst podstawowych przepisów prawa krajowego przyjętych w dziedzinie objętej niniejszą dyrektywą.</w:t>
      </w:r>
    </w:p>
    <w:p w:rsidR="003B0738" w:rsidRPr="003B0738" w:rsidRDefault="003B0738" w:rsidP="003B0738">
      <w:pPr>
        <w:spacing w:before="120" w:after="120" w:line="360" w:lineRule="auto"/>
        <w:jc w:val="center"/>
        <w:rPr>
          <w:szCs w:val="24"/>
          <w:lang w:eastAsia="en-US"/>
        </w:rPr>
      </w:pPr>
      <w:r w:rsidRPr="003B0738">
        <w:rPr>
          <w:szCs w:val="24"/>
          <w:lang w:eastAsia="en-US"/>
        </w:rPr>
        <w:t>Artykuł 6</w:t>
      </w:r>
      <w:r w:rsidRPr="003B0738">
        <w:rPr>
          <w:szCs w:val="24"/>
          <w:lang w:eastAsia="en-US"/>
        </w:rPr>
        <w:br/>
        <w:t>Wejście w życie</w:t>
      </w:r>
    </w:p>
    <w:p w:rsidR="003B0738" w:rsidRPr="003B0738" w:rsidRDefault="003B0738" w:rsidP="003B0738">
      <w:pPr>
        <w:spacing w:before="120" w:after="120" w:line="360" w:lineRule="auto"/>
        <w:rPr>
          <w:szCs w:val="24"/>
          <w:lang w:eastAsia="en-US"/>
        </w:rPr>
      </w:pPr>
      <w:r w:rsidRPr="003B0738">
        <w:rPr>
          <w:szCs w:val="24"/>
          <w:lang w:eastAsia="en-US"/>
        </w:rPr>
        <w:t xml:space="preserve">Niniejsza dyrektywa wchodzi w życie dwudziestego dnia po jej opublikowaniu w </w:t>
      </w:r>
      <w:r w:rsidRPr="00FA7F6A">
        <w:rPr>
          <w:i/>
          <w:szCs w:val="24"/>
          <w:lang w:eastAsia="en-US"/>
        </w:rPr>
        <w:t>Dzienniku Urzędowym Unii Europejskiej</w:t>
      </w:r>
      <w:r w:rsidRPr="003B0738">
        <w:rPr>
          <w:szCs w:val="24"/>
          <w:lang w:eastAsia="en-US"/>
        </w:rPr>
        <w:t>.</w:t>
      </w:r>
    </w:p>
    <w:p w:rsidR="003B0738" w:rsidRPr="003B0738" w:rsidRDefault="003B0738" w:rsidP="003B0738">
      <w:pPr>
        <w:spacing w:before="120" w:after="120" w:line="360" w:lineRule="auto"/>
        <w:jc w:val="center"/>
        <w:rPr>
          <w:szCs w:val="24"/>
          <w:lang w:eastAsia="en-US"/>
        </w:rPr>
      </w:pPr>
      <w:r w:rsidRPr="003B0738">
        <w:rPr>
          <w:szCs w:val="24"/>
          <w:lang w:eastAsia="en-US"/>
        </w:rPr>
        <w:t>Artykuł 7</w:t>
      </w:r>
      <w:r w:rsidRPr="003B0738">
        <w:rPr>
          <w:szCs w:val="24"/>
          <w:lang w:eastAsia="en-US"/>
        </w:rPr>
        <w:br/>
        <w:t>Adresaci</w:t>
      </w:r>
    </w:p>
    <w:p w:rsidR="003B0738" w:rsidRPr="003B0738" w:rsidRDefault="003B0738" w:rsidP="003B0738">
      <w:pPr>
        <w:spacing w:before="120" w:after="120" w:line="360" w:lineRule="auto"/>
        <w:rPr>
          <w:szCs w:val="24"/>
          <w:lang w:eastAsia="en-US"/>
        </w:rPr>
      </w:pPr>
      <w:r w:rsidRPr="003B0738">
        <w:rPr>
          <w:szCs w:val="24"/>
          <w:lang w:eastAsia="en-US"/>
        </w:rPr>
        <w:t>Niniejsza dyrektywa skierowana jest do państw członkowskich.</w:t>
      </w:r>
    </w:p>
    <w:p w:rsidR="003B0738" w:rsidRPr="003B0738" w:rsidRDefault="003B0738" w:rsidP="003B0738">
      <w:pPr>
        <w:keepNext/>
        <w:widowControl/>
        <w:spacing w:before="120" w:line="360" w:lineRule="auto"/>
        <w:rPr>
          <w:szCs w:val="24"/>
          <w:lang w:eastAsia="en-US"/>
        </w:rPr>
      </w:pPr>
      <w:r w:rsidRPr="003B0738">
        <w:rPr>
          <w:szCs w:val="24"/>
          <w:lang w:eastAsia="en-US"/>
        </w:rPr>
        <w:t xml:space="preserve">Sporządzono w </w:t>
      </w:r>
      <w:r w:rsidR="00FA7F6A">
        <w:rPr>
          <w:szCs w:val="24"/>
          <w:lang w:eastAsia="en-US"/>
        </w:rPr>
        <w:t>…</w:t>
      </w:r>
      <w:bookmarkStart w:id="8" w:name="_GoBack"/>
      <w:bookmarkEnd w:id="8"/>
      <w:r w:rsidRPr="003B0738">
        <w:rPr>
          <w:szCs w:val="24"/>
          <w:lang w:eastAsia="en-US"/>
        </w:rPr>
        <w:t xml:space="preserve"> dnia […] r.</w:t>
      </w:r>
    </w:p>
    <w:p w:rsidR="003B0738" w:rsidRPr="003B0738" w:rsidRDefault="003B0738" w:rsidP="003B0738">
      <w:pPr>
        <w:keepNext/>
        <w:widowControl/>
        <w:tabs>
          <w:tab w:val="left" w:pos="4252"/>
        </w:tabs>
        <w:spacing w:before="720" w:after="100" w:line="360" w:lineRule="auto"/>
        <w:jc w:val="both"/>
        <w:rPr>
          <w:i/>
          <w:szCs w:val="24"/>
          <w:lang w:eastAsia="en-US"/>
        </w:rPr>
      </w:pPr>
      <w:r w:rsidRPr="003B0738">
        <w:rPr>
          <w:i/>
          <w:szCs w:val="24"/>
          <w:lang w:eastAsia="en-US"/>
        </w:rPr>
        <w:t>W imieniu Parlamentu Europejskiego</w:t>
      </w:r>
      <w:r w:rsidRPr="003B0738">
        <w:rPr>
          <w:i/>
          <w:szCs w:val="24"/>
          <w:lang w:eastAsia="en-US"/>
        </w:rPr>
        <w:tab/>
        <w:t>W imieniu Rady</w:t>
      </w:r>
    </w:p>
    <w:p w:rsidR="00EC625E" w:rsidRPr="00454832" w:rsidRDefault="003B0738" w:rsidP="00FA7F6A">
      <w:pPr>
        <w:widowControl/>
        <w:tabs>
          <w:tab w:val="left" w:pos="4252"/>
        </w:tabs>
        <w:spacing w:line="360" w:lineRule="auto"/>
      </w:pPr>
      <w:proofErr w:type="spellStart"/>
      <w:r w:rsidRPr="003B0738">
        <w:rPr>
          <w:i/>
          <w:szCs w:val="24"/>
          <w:lang w:val="en-GB" w:eastAsia="en-US"/>
        </w:rPr>
        <w:t>Przewodnicząca</w:t>
      </w:r>
      <w:proofErr w:type="spellEnd"/>
      <w:r w:rsidRPr="003B0738">
        <w:rPr>
          <w:i/>
          <w:szCs w:val="24"/>
          <w:lang w:val="en-GB" w:eastAsia="en-US"/>
        </w:rPr>
        <w:tab/>
      </w:r>
      <w:proofErr w:type="spellStart"/>
      <w:r w:rsidRPr="003B0738">
        <w:rPr>
          <w:i/>
          <w:szCs w:val="24"/>
          <w:lang w:val="en-GB" w:eastAsia="en-US"/>
        </w:rPr>
        <w:t>Przewodniczący</w:t>
      </w:r>
      <w:proofErr w:type="spellEnd"/>
    </w:p>
    <w:sectPr w:rsidR="00EC625E" w:rsidRPr="00454832" w:rsidSect="003B0738">
      <w:footnotePr>
        <w:numRestart w:val="eachPage"/>
      </w:footnotePr>
      <w:endnotePr>
        <w:numFmt w:val="decimal"/>
      </w:endnotePr>
      <w:pgSz w:w="11906" w:h="16838" w:code="9"/>
      <w:pgMar w:top="1134" w:right="1134" w:bottom="1134" w:left="1134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D2D" w:rsidRPr="00454832" w:rsidRDefault="002E6D2D">
      <w:r w:rsidRPr="00454832">
        <w:separator/>
      </w:r>
    </w:p>
  </w:endnote>
  <w:endnote w:type="continuationSeparator" w:id="0">
    <w:p w:rsidR="002E6D2D" w:rsidRPr="00454832" w:rsidRDefault="002E6D2D">
      <w:r w:rsidRPr="004548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483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483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483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D2D" w:rsidRPr="00454832" w:rsidRDefault="002E6D2D">
      <w:r w:rsidRPr="00454832">
        <w:separator/>
      </w:r>
    </w:p>
  </w:footnote>
  <w:footnote w:type="continuationSeparator" w:id="0">
    <w:p w:rsidR="002E6D2D" w:rsidRPr="00454832" w:rsidRDefault="002E6D2D">
      <w:r w:rsidRPr="00454832">
        <w:continuationSeparator/>
      </w:r>
    </w:p>
  </w:footnote>
  <w:footnote w:id="1">
    <w:p w:rsidR="00EC625E" w:rsidRPr="00454832" w:rsidRDefault="00EC625E" w:rsidP="00454832">
      <w:pPr>
        <w:pStyle w:val="FootnoteText"/>
        <w:ind w:left="567" w:hanging="567"/>
        <w:rPr>
          <w:sz w:val="24"/>
          <w:lang w:val="pl-PL"/>
        </w:rPr>
      </w:pPr>
      <w:r w:rsidRPr="00454832">
        <w:rPr>
          <w:rStyle w:val="FootnoteReference"/>
          <w:sz w:val="24"/>
          <w:lang w:val="pl-PL"/>
        </w:rPr>
        <w:footnoteRef/>
      </w:r>
      <w:r w:rsidR="00454832" w:rsidRPr="00454832">
        <w:rPr>
          <w:sz w:val="24"/>
          <w:lang w:val="pl-PL"/>
        </w:rPr>
        <w:t xml:space="preserve"> </w:t>
      </w:r>
      <w:r w:rsidR="00454832" w:rsidRPr="00454832">
        <w:rPr>
          <w:sz w:val="24"/>
          <w:lang w:val="pl-PL"/>
        </w:rPr>
        <w:tab/>
      </w:r>
      <w:r w:rsidRPr="00454832">
        <w:rPr>
          <w:sz w:val="24"/>
          <w:lang w:val="pl-PL"/>
        </w:rPr>
        <w:t>Dotychczas nieopublikowana w Dzienniku Urzędowym.</w:t>
      </w:r>
    </w:p>
  </w:footnote>
  <w:footnote w:id="2">
    <w:p w:rsidR="003B0738" w:rsidRPr="003B0738" w:rsidRDefault="003B0738" w:rsidP="003B0738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3B0738">
        <w:rPr>
          <w:lang w:val="pl-PL"/>
        </w:rPr>
        <w:tab/>
        <w:t xml:space="preserve">Dyrektywa Parlamentu Europejskiego i Rady 2013/11/UE z dnia 21 maja 2013 r. w sprawie alternatywnych metod rozstrzygania sporów konsumenckich oraz zmiany rozporządzenia (WE) nr 2006/2004 i dyrektywy 2009/22/WE (Dz.U. L 165 z 18.6.2013, </w:t>
      </w:r>
      <w:proofErr w:type="gramStart"/>
      <w:r w:rsidRPr="003B0738">
        <w:rPr>
          <w:lang w:val="pl-PL"/>
        </w:rPr>
        <w:t>s</w:t>
      </w:r>
      <w:proofErr w:type="gramEnd"/>
      <w:r w:rsidRPr="003B0738">
        <w:rPr>
          <w:lang w:val="pl-PL"/>
        </w:rPr>
        <w:t>. 63).</w:t>
      </w:r>
    </w:p>
  </w:footnote>
  <w:footnote w:id="3">
    <w:p w:rsidR="003B0738" w:rsidRPr="003B0738" w:rsidRDefault="003B0738" w:rsidP="003B0738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3B0738">
        <w:rPr>
          <w:lang w:val="pl-PL"/>
        </w:rPr>
        <w:tab/>
        <w:t xml:space="preserve">Rozporządzenie Parlamentu Europejskiego i Rady (UE) nr 524/2013 z dnia 21 maja 2013 r. w sprawie internetowego systemu rozstrzygania sporów konsumenckich oraz zmiany rozporządzenia (WE) nr 2006/2004 i dyrektywy 2009/22/WE (Dz.U. L 165 z 18.6.2013, </w:t>
      </w:r>
      <w:proofErr w:type="gramStart"/>
      <w:r w:rsidRPr="003B0738">
        <w:rPr>
          <w:lang w:val="pl-PL"/>
        </w:rPr>
        <w:t>s</w:t>
      </w:r>
      <w:proofErr w:type="gramEnd"/>
      <w:r w:rsidRPr="003B0738">
        <w:rPr>
          <w:lang w:val="pl-PL"/>
        </w:rPr>
        <w:t>. 1).</w:t>
      </w:r>
    </w:p>
  </w:footnote>
  <w:footnote w:id="4">
    <w:p w:rsidR="003B0738" w:rsidRPr="003B0738" w:rsidRDefault="003B0738" w:rsidP="003B0738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3B0738">
        <w:rPr>
          <w:lang w:val="pl-PL"/>
        </w:rPr>
        <w:tab/>
        <w:t xml:space="preserve">Rozporządzenie Parlamentu Europejskiego i Rady (UE) 2018/302 z dnia 28 lutego 2018 r. w sprawie nieuzasadnionego blokowania geograficznego oraz innych form dyskryminacji klientów ze względu na przynależność państwową, miejsce zamieszkania lub miejsce prowadzenia działalności na rynku wewnętrznym oraz w sprawie zmiany rozporządzeń (WE) nr 2006/2004 oraz (UE) 2017/2394 i dyrektywy 2009/22/WE (Dz.U. L </w:t>
      </w:r>
      <w:proofErr w:type="spellStart"/>
      <w:r w:rsidRPr="003B0738">
        <w:rPr>
          <w:lang w:val="pl-PL"/>
        </w:rPr>
        <w:t>60I</w:t>
      </w:r>
      <w:proofErr w:type="spellEnd"/>
      <w:r w:rsidRPr="003B0738">
        <w:rPr>
          <w:lang w:val="pl-PL"/>
        </w:rPr>
        <w:t xml:space="preserve"> z 2.3.2018, </w:t>
      </w:r>
      <w:proofErr w:type="gramStart"/>
      <w:r w:rsidRPr="003B0738">
        <w:rPr>
          <w:lang w:val="pl-PL"/>
        </w:rPr>
        <w:t>s</w:t>
      </w:r>
      <w:proofErr w:type="gramEnd"/>
      <w:r w:rsidRPr="003B0738">
        <w:rPr>
          <w:lang w:val="pl-PL"/>
        </w:rPr>
        <w:t>. 1).</w:t>
      </w:r>
    </w:p>
  </w:footnote>
  <w:footnote w:id="5">
    <w:p w:rsidR="003B0738" w:rsidRPr="003B0738" w:rsidRDefault="003B0738" w:rsidP="003B0738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3B0738">
        <w:rPr>
          <w:lang w:val="pl-PL"/>
        </w:rPr>
        <w:tab/>
        <w:t xml:space="preserve">Dyrektywa Parlamentu Europejskiego i Rady 2014/92/UE z dnia 23 lipca 2014 r. w sprawie porównywalności opłat związanych z rachunkami płatniczymi, przenoszenia rachunku płatniczego oraz dostępu do podstawowego rachunku płatniczego (Dz.U. L 257 z 28.8.2014, </w:t>
      </w:r>
      <w:proofErr w:type="gramStart"/>
      <w:r w:rsidRPr="003B0738">
        <w:rPr>
          <w:lang w:val="pl-PL"/>
        </w:rPr>
        <w:t>s</w:t>
      </w:r>
      <w:proofErr w:type="gramEnd"/>
      <w:r w:rsidRPr="003B0738">
        <w:rPr>
          <w:lang w:val="pl-PL"/>
        </w:rPr>
        <w:t>. 214).</w:t>
      </w:r>
    </w:p>
  </w:footnote>
  <w:footnote w:id="6">
    <w:p w:rsidR="003B0738" w:rsidRPr="003B0738" w:rsidRDefault="003B0738" w:rsidP="003B0738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3B0738">
        <w:rPr>
          <w:lang w:val="pl-PL"/>
        </w:rPr>
        <w:tab/>
        <w:t xml:space="preserve">Rozporządzenie Parlamentu Europejskiego i Rady (UE) 2022/612 z dnia 6 kwietnia 2022 r. w sprawie </w:t>
      </w:r>
      <w:proofErr w:type="spellStart"/>
      <w:r w:rsidRPr="003B0738">
        <w:rPr>
          <w:lang w:val="pl-PL"/>
        </w:rPr>
        <w:t>roamingu</w:t>
      </w:r>
      <w:proofErr w:type="spellEnd"/>
      <w:r w:rsidRPr="003B0738">
        <w:rPr>
          <w:lang w:val="pl-PL"/>
        </w:rPr>
        <w:t xml:space="preserve"> w publicznych sieciach łączności ruchomej wewnątrz Unii (Dz.U. L 115 z 13.4.2022, </w:t>
      </w:r>
      <w:proofErr w:type="gramStart"/>
      <w:r w:rsidRPr="003B0738">
        <w:rPr>
          <w:lang w:val="pl-PL"/>
        </w:rPr>
        <w:t>s</w:t>
      </w:r>
      <w:proofErr w:type="gramEnd"/>
      <w:r w:rsidRPr="003B0738">
        <w:rPr>
          <w:lang w:val="pl-PL"/>
        </w:rPr>
        <w:t>. 1).</w:t>
      </w:r>
    </w:p>
  </w:footnote>
  <w:footnote w:id="7">
    <w:p w:rsidR="003B0738" w:rsidRPr="003B0738" w:rsidRDefault="003B0738" w:rsidP="003B0738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3B0738">
        <w:rPr>
          <w:lang w:val="pl-PL"/>
        </w:rPr>
        <w:tab/>
        <w:t xml:space="preserve">Rozporządzenie Parlamentu Europejskiego i Rady (WE) nr 1008/2008 z dnia 24 września 2008 r. w sprawie wspólnych zasad wykonywania przewozów lotniczych na terenie Wspólnoty (Dz.U. L 293 z 31.10.2008, </w:t>
      </w:r>
      <w:proofErr w:type="gramStart"/>
      <w:r w:rsidRPr="003B0738">
        <w:rPr>
          <w:lang w:val="pl-PL"/>
        </w:rPr>
        <w:t>s</w:t>
      </w:r>
      <w:proofErr w:type="gramEnd"/>
      <w:r w:rsidRPr="003B0738">
        <w:rPr>
          <w:lang w:val="pl-PL"/>
        </w:rPr>
        <w:t>. 3).</w:t>
      </w:r>
    </w:p>
  </w:footnote>
  <w:footnote w:id="8">
    <w:p w:rsidR="003B0738" w:rsidRPr="003B0738" w:rsidRDefault="003B0738" w:rsidP="003B0738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3B0738">
        <w:rPr>
          <w:lang w:val="pl-PL"/>
        </w:rPr>
        <w:tab/>
        <w:t xml:space="preserve">Rozporządzenie Parlamentu Europejskiego i Rady (UE) 2022/1925 z dnia 14 września 2022 r. w sprawie </w:t>
      </w:r>
      <w:proofErr w:type="spellStart"/>
      <w:r w:rsidRPr="003B0738">
        <w:rPr>
          <w:lang w:val="pl-PL"/>
        </w:rPr>
        <w:t>kontestowalnych</w:t>
      </w:r>
      <w:proofErr w:type="spellEnd"/>
      <w:r w:rsidRPr="003B0738">
        <w:rPr>
          <w:lang w:val="pl-PL"/>
        </w:rPr>
        <w:t xml:space="preserve"> i uczciwych rynków w sektorze cyfrowym oraz zmiany dyrektyw (UE) 2019/1937 i (UE) 2020/1828 (akt o rynkach cyfrowych) (Dz.U. L 265 z 12.10.2022, </w:t>
      </w:r>
      <w:proofErr w:type="gramStart"/>
      <w:r w:rsidRPr="003B0738">
        <w:rPr>
          <w:lang w:val="pl-PL"/>
        </w:rPr>
        <w:t>s</w:t>
      </w:r>
      <w:proofErr w:type="gramEnd"/>
      <w:r w:rsidRPr="003B0738">
        <w:rPr>
          <w:lang w:val="pl-PL"/>
        </w:rPr>
        <w:t>. 1).</w:t>
      </w:r>
    </w:p>
  </w:footnote>
  <w:footnote w:id="9">
    <w:p w:rsidR="003B0738" w:rsidRPr="003B0738" w:rsidRDefault="003B0738" w:rsidP="003B0738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3B0738">
        <w:rPr>
          <w:lang w:val="pl-PL"/>
        </w:rPr>
        <w:tab/>
        <w:t xml:space="preserve">Rozporządzenie Parlamentu Europejskiego i Rady (UE) 2022/2065 z dnia 19 października 2022 r. w sprawie jednolitego rynku usług cyfrowych oraz zmiany dyrektywy 2000/31/WE (Dz.U. L 277 z 27.10.2022, </w:t>
      </w:r>
      <w:proofErr w:type="gramStart"/>
      <w:r w:rsidRPr="003B0738">
        <w:rPr>
          <w:lang w:val="pl-PL"/>
        </w:rPr>
        <w:t>s</w:t>
      </w:r>
      <w:proofErr w:type="gramEnd"/>
      <w:r w:rsidRPr="003B0738">
        <w:rPr>
          <w:lang w:val="pl-PL"/>
        </w:rPr>
        <w:t>. 1).</w:t>
      </w:r>
    </w:p>
  </w:footnote>
  <w:footnote w:id="10">
    <w:p w:rsidR="003B0738" w:rsidRPr="003B0738" w:rsidRDefault="003B0738" w:rsidP="003B0738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3B0738">
        <w:rPr>
          <w:lang w:val="pl-PL"/>
        </w:rPr>
        <w:tab/>
        <w:t xml:space="preserve">Dyrektywa Parlamentu Europejskiego i Rady (UE) 2015/2302 z dnia 25 listopada 2015 r. w sprawie imprez turystycznych i powiązanych usług turystycznych, zmieniająca rozporządzenie (WE) nr 2006/2004 i dyrektywę Parlamentu Europejskiego i Rady 2011/83/UE oraz uchylająca dyrektywę Rady 90/314/EWG (Dz.U. L 326 z 11.12.2015, </w:t>
      </w:r>
      <w:proofErr w:type="gramStart"/>
      <w:r w:rsidRPr="003B0738">
        <w:rPr>
          <w:lang w:val="pl-PL"/>
        </w:rPr>
        <w:t>s</w:t>
      </w:r>
      <w:proofErr w:type="gramEnd"/>
      <w:r w:rsidRPr="003B0738">
        <w:rPr>
          <w:lang w:val="pl-PL"/>
        </w:rPr>
        <w:t>. 1).</w:t>
      </w:r>
    </w:p>
  </w:footnote>
  <w:footnote w:id="11">
    <w:p w:rsidR="003B0738" w:rsidRPr="003B0738" w:rsidRDefault="003B0738" w:rsidP="003B0738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3B0738">
        <w:rPr>
          <w:lang w:val="pl-PL"/>
        </w:rPr>
        <w:tab/>
        <w:t xml:space="preserve">Dyrektywa Parlamentu Europejskiego i Rady (UE) 2019/2161 z dnia 27 listopada 2019 r. zmieniająca dyrektywę Rady 93/13/EWG i dyrektywy Parlamentu Europejskiego i Rady 98/6/WE, 2005/29/WE oraz 2011/83/UE w odniesieniu do lepszego egzekwowania i unowocześnienia unijnych przepisów dotyczących ochrony konsumenta (Dz.U. L 328 z 18.12.2019, </w:t>
      </w:r>
      <w:proofErr w:type="gramStart"/>
      <w:r w:rsidRPr="003B0738">
        <w:rPr>
          <w:lang w:val="pl-PL"/>
        </w:rPr>
        <w:t>s</w:t>
      </w:r>
      <w:proofErr w:type="gramEnd"/>
      <w:r w:rsidRPr="003B0738">
        <w:rPr>
          <w:lang w:val="pl-PL"/>
        </w:rPr>
        <w:t>. 7).</w:t>
      </w:r>
    </w:p>
  </w:footnote>
  <w:footnote w:id="12">
    <w:p w:rsidR="003B0738" w:rsidRPr="003B0738" w:rsidRDefault="003B0738" w:rsidP="003B0738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3B0738">
        <w:rPr>
          <w:lang w:val="pl-PL"/>
        </w:rPr>
        <w:tab/>
        <w:t xml:space="preserve">Rozporządzenie Parlamentu Europejskiego i Rady (UE) 2023/988 z dnia 10 maja 2023 r. w sprawie ogólnego bezpieczeństwa produktów, zmieniające rozporządzenie Parlamentu Europejskiego i Rady (UE) nr 1025/2012 i dyrektywę Parlamentu Europejskiego i Rady (UE) 2020/1828 oraz uchylające dyrektywę 2001/95/WE Parlamentu Europejskiego i Rady i dyrektywę Rady 87/357/EWG (Dz.U. L 135 z 23.5.2023, </w:t>
      </w:r>
      <w:proofErr w:type="gramStart"/>
      <w:r w:rsidRPr="003B0738">
        <w:rPr>
          <w:lang w:val="pl-PL"/>
        </w:rPr>
        <w:t>s</w:t>
      </w:r>
      <w:proofErr w:type="gramEnd"/>
      <w:r w:rsidRPr="003B0738">
        <w:rPr>
          <w:lang w:val="pl-PL"/>
        </w:rPr>
        <w:t>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483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483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483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0/2024"/>
    <w:docVar w:name="dvlangue" w:val="PL"/>
    <w:docVar w:name="dvnumam" w:val="0"/>
    <w:docVar w:name="dvpe" w:val="757.840"/>
    <w:docVar w:name="dvrapporteur" w:val="Sprawozdawca: "/>
    <w:docVar w:name="dvstar" w:val="***I"/>
    <w:docVar w:name="dvtitre" w:val="Rezolucja ustawodawcza Parlamentu Europejskiego z dnia  2024 r. w sprawie wniosku dotyczącego dyrektywy Parlamentu Europejskiego i Rady zmieniającej dyrektywę 2013/11/UE w sprawie alternatywnych metod rozstrzygania sporów konsumenckich oraz dyrektywy (UE) 2015/2302, (UE) 2019/2161 i (UE) 2020/1828(COM(2023)0649 – C9-0384/2023 – 2023/0376(COD))"/>
  </w:docVars>
  <w:rsids>
    <w:rsidRoot w:val="002E6D2D"/>
    <w:rsid w:val="00002272"/>
    <w:rsid w:val="00064002"/>
    <w:rsid w:val="000677B9"/>
    <w:rsid w:val="000831BA"/>
    <w:rsid w:val="00097552"/>
    <w:rsid w:val="000A42CC"/>
    <w:rsid w:val="000E7DD9"/>
    <w:rsid w:val="0010095E"/>
    <w:rsid w:val="00125B37"/>
    <w:rsid w:val="00187494"/>
    <w:rsid w:val="001A4C4E"/>
    <w:rsid w:val="001E256C"/>
    <w:rsid w:val="001F32AE"/>
    <w:rsid w:val="002767FF"/>
    <w:rsid w:val="002B18FE"/>
    <w:rsid w:val="002B5493"/>
    <w:rsid w:val="002E6D2D"/>
    <w:rsid w:val="00343214"/>
    <w:rsid w:val="00361C00"/>
    <w:rsid w:val="00395FA1"/>
    <w:rsid w:val="003B0738"/>
    <w:rsid w:val="003E15D4"/>
    <w:rsid w:val="00411CCE"/>
    <w:rsid w:val="0041666E"/>
    <w:rsid w:val="00421060"/>
    <w:rsid w:val="0045483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26C8"/>
    <w:rsid w:val="007E22AD"/>
    <w:rsid w:val="007E50B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4113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625E"/>
    <w:rsid w:val="00ED169E"/>
    <w:rsid w:val="00ED4235"/>
    <w:rsid w:val="00F04346"/>
    <w:rsid w:val="00F075DC"/>
    <w:rsid w:val="00F149E9"/>
    <w:rsid w:val="00F5134D"/>
    <w:rsid w:val="00F74202"/>
    <w:rsid w:val="00F87713"/>
    <w:rsid w:val="00FA7F6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BBC92E"/>
  <w15:chartTrackingRefBased/>
  <w15:docId w15:val="{DC386549-66EF-4E67-8995-D0DCC269F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EC625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EC625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EC625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EC625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EC625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EC625E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EC625E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EC625E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EC625E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nhideWhenUsed/>
    <w:qFormat/>
    <w:rsid w:val="00EC625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C625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C625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C625E"/>
    <w:pPr>
      <w:spacing w:after="120"/>
    </w:pPr>
  </w:style>
  <w:style w:type="paragraph" w:customStyle="1" w:styleId="PageHeading">
    <w:name w:val="PageHeading"/>
    <w:basedOn w:val="Normal"/>
    <w:rsid w:val="00EC625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C625E"/>
    <w:rPr>
      <w:b/>
    </w:rPr>
  </w:style>
  <w:style w:type="paragraph" w:customStyle="1" w:styleId="NormalBold12a">
    <w:name w:val="NormalBold12a"/>
    <w:basedOn w:val="Normal"/>
    <w:rsid w:val="00EC625E"/>
    <w:pPr>
      <w:spacing w:after="240"/>
    </w:pPr>
    <w:rPr>
      <w:b/>
    </w:rPr>
  </w:style>
  <w:style w:type="paragraph" w:customStyle="1" w:styleId="AmJustText">
    <w:name w:val="AmJustText"/>
    <w:basedOn w:val="Normal"/>
    <w:rsid w:val="00EC625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C625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C625E"/>
    <w:pPr>
      <w:spacing w:after="480"/>
      <w:ind w:left="1417"/>
    </w:pPr>
  </w:style>
  <w:style w:type="paragraph" w:customStyle="1" w:styleId="CoverNormal">
    <w:name w:val="CoverNormal"/>
    <w:basedOn w:val="Normal"/>
    <w:rsid w:val="00EC625E"/>
    <w:pPr>
      <w:ind w:left="1418"/>
    </w:pPr>
  </w:style>
  <w:style w:type="paragraph" w:customStyle="1" w:styleId="AmCrossRef">
    <w:name w:val="AmCrossRef"/>
    <w:basedOn w:val="Normal"/>
    <w:rsid w:val="00EC625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C625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C625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C625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C625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C625E"/>
    <w:pPr>
      <w:spacing w:before="240" w:after="1200"/>
    </w:pPr>
  </w:style>
  <w:style w:type="paragraph" w:styleId="Header">
    <w:name w:val="header"/>
    <w:basedOn w:val="Normal"/>
    <w:link w:val="HeaderChar"/>
    <w:rsid w:val="00EC62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C625E"/>
    <w:rPr>
      <w:sz w:val="24"/>
      <w:lang w:val="pl-PL"/>
    </w:rPr>
  </w:style>
  <w:style w:type="paragraph" w:customStyle="1" w:styleId="AmOrLang">
    <w:name w:val="AmOrLang"/>
    <w:basedOn w:val="Normal"/>
    <w:rsid w:val="00EC625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C625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C625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C625E"/>
    <w:pPr>
      <w:spacing w:before="240"/>
    </w:pPr>
    <w:rPr>
      <w:b/>
    </w:rPr>
  </w:style>
  <w:style w:type="paragraph" w:customStyle="1" w:styleId="EPBody">
    <w:name w:val="EPBody"/>
    <w:basedOn w:val="Normal"/>
    <w:rsid w:val="00EC625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C625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C625E"/>
    <w:pPr>
      <w:spacing w:before="480" w:after="240"/>
    </w:pPr>
  </w:style>
  <w:style w:type="paragraph" w:customStyle="1" w:styleId="Lgendesigne">
    <w:name w:val="Légende signe"/>
    <w:basedOn w:val="Normal"/>
    <w:rsid w:val="00EC625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C625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C625E"/>
    <w:rPr>
      <w:sz w:val="18"/>
    </w:rPr>
  </w:style>
  <w:style w:type="paragraph" w:customStyle="1" w:styleId="Normal12Hanging">
    <w:name w:val="Normal12Hanging"/>
    <w:basedOn w:val="Normal"/>
    <w:rsid w:val="00EC625E"/>
    <w:pPr>
      <w:spacing w:after="240"/>
      <w:ind w:left="357" w:hanging="357"/>
    </w:pPr>
    <w:rPr>
      <w:snapToGrid w:val="0"/>
    </w:rPr>
  </w:style>
  <w:style w:type="paragraph" w:customStyle="1" w:styleId="msonormal0">
    <w:name w:val="msonormal"/>
    <w:basedOn w:val="Normal"/>
    <w:rsid w:val="00EC625E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EC625E"/>
    <w:rPr>
      <w:noProof/>
      <w:sz w:val="24"/>
    </w:rPr>
  </w:style>
  <w:style w:type="paragraph" w:customStyle="1" w:styleId="Normal12">
    <w:name w:val="Normal12"/>
    <w:basedOn w:val="Normal"/>
    <w:link w:val="Normal12Char"/>
    <w:rsid w:val="00EC625E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EC625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EC625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EC625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EC625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EC625E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EC625E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EC625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C625E"/>
    <w:rPr>
      <w:b/>
      <w:sz w:val="24"/>
      <w:lang w:val="pl-PL"/>
    </w:rPr>
  </w:style>
  <w:style w:type="paragraph" w:customStyle="1" w:styleId="Normal12Italic">
    <w:name w:val="Normal12Italic"/>
    <w:basedOn w:val="Normal12"/>
    <w:rsid w:val="00EC625E"/>
    <w:rPr>
      <w:i/>
    </w:rPr>
  </w:style>
  <w:style w:type="paragraph" w:customStyle="1" w:styleId="JustificationTitle">
    <w:name w:val="JustificationTitle"/>
    <w:basedOn w:val="Normal"/>
    <w:next w:val="Normal12"/>
    <w:rsid w:val="00EC625E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EC625E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EC625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C625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EC625E"/>
    <w:pPr>
      <w:spacing w:before="240"/>
      <w:jc w:val="center"/>
    </w:pPr>
    <w:rPr>
      <w:i/>
    </w:rPr>
  </w:style>
  <w:style w:type="character" w:customStyle="1" w:styleId="Footer2Middle">
    <w:name w:val="Footer2Middle"/>
    <w:rsid w:val="00EC625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EC625E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EC62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C625E"/>
    <w:rPr>
      <w:rFonts w:ascii="Segoe UI" w:hAnsi="Segoe UI" w:cs="Segoe UI"/>
      <w:sz w:val="18"/>
      <w:szCs w:val="18"/>
      <w:lang w:val="pl-PL"/>
    </w:rPr>
  </w:style>
  <w:style w:type="character" w:styleId="CommentReference">
    <w:name w:val="annotation reference"/>
    <w:basedOn w:val="DefaultParagraphFont"/>
    <w:uiPriority w:val="99"/>
    <w:rsid w:val="00EC625E"/>
    <w:rPr>
      <w:sz w:val="16"/>
      <w:szCs w:val="16"/>
    </w:rPr>
  </w:style>
  <w:style w:type="paragraph" w:styleId="CommentText">
    <w:name w:val="annotation text"/>
    <w:basedOn w:val="Normal"/>
    <w:link w:val="CommentTextChar"/>
    <w:rsid w:val="00EC625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C625E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C62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C625E"/>
    <w:rPr>
      <w:b/>
      <w:bCs/>
      <w:lang w:val="pl-PL"/>
    </w:rPr>
  </w:style>
  <w:style w:type="paragraph" w:customStyle="1" w:styleId="Normal12a">
    <w:name w:val="Normal12a"/>
    <w:basedOn w:val="Normal"/>
    <w:rsid w:val="00EC625E"/>
    <w:pPr>
      <w:spacing w:after="240"/>
    </w:pPr>
  </w:style>
  <w:style w:type="paragraph" w:customStyle="1" w:styleId="PageHeadingNotTOC">
    <w:name w:val="PageHeadingNotTOC"/>
    <w:basedOn w:val="Normal"/>
    <w:rsid w:val="00EC625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EC625E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EC625E"/>
    <w:rPr>
      <w:color w:val="0563C1" w:themeColor="hyperlink"/>
      <w:u w:val="single"/>
    </w:rPr>
  </w:style>
  <w:style w:type="character" w:customStyle="1" w:styleId="NormalBold12bChar">
    <w:name w:val="NormalBold12b Char"/>
    <w:basedOn w:val="DefaultParagraphFont"/>
    <w:link w:val="NormalBold12b"/>
    <w:rsid w:val="00EC625E"/>
    <w:rPr>
      <w:b/>
      <w:sz w:val="24"/>
      <w:lang w:val="pl-PL"/>
    </w:rPr>
  </w:style>
  <w:style w:type="paragraph" w:customStyle="1" w:styleId="RollCallSymbols14pt">
    <w:name w:val="RollCallSymbols14pt"/>
    <w:basedOn w:val="Normal"/>
    <w:rsid w:val="00EC625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EC625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EC625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EC625E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EC625E"/>
    <w:pPr>
      <w:spacing w:after="480"/>
    </w:pPr>
  </w:style>
  <w:style w:type="paragraph" w:customStyle="1" w:styleId="NormalBoldCenter">
    <w:name w:val="NormalBoldCenter"/>
    <w:basedOn w:val="Normal"/>
    <w:rsid w:val="00EC625E"/>
    <w:pPr>
      <w:jc w:val="center"/>
    </w:pPr>
    <w:rPr>
      <w:b/>
    </w:rPr>
  </w:style>
  <w:style w:type="paragraph" w:styleId="Footer">
    <w:name w:val="footer"/>
    <w:basedOn w:val="Normal"/>
    <w:link w:val="FooterChar"/>
    <w:rsid w:val="00EC62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C625E"/>
    <w:rPr>
      <w:sz w:val="24"/>
      <w:lang w:val="pl-PL"/>
    </w:rPr>
  </w:style>
  <w:style w:type="paragraph" w:styleId="Revision">
    <w:name w:val="Revision"/>
    <w:hidden/>
    <w:uiPriority w:val="99"/>
    <w:semiHidden/>
    <w:rsid w:val="00EC625E"/>
    <w:rPr>
      <w:sz w:val="24"/>
      <w:lang w:val="pl-PL"/>
    </w:rPr>
  </w:style>
  <w:style w:type="paragraph" w:customStyle="1" w:styleId="Institutionquiagit">
    <w:name w:val="Institution qui agit"/>
    <w:basedOn w:val="Normal"/>
    <w:next w:val="Normal"/>
    <w:rsid w:val="003B0738"/>
    <w:pPr>
      <w:keepNext/>
      <w:spacing w:before="600" w:after="120" w:line="360" w:lineRule="auto"/>
    </w:pPr>
    <w:rPr>
      <w:szCs w:val="24"/>
      <w:lang w:val="en-GB" w:eastAsia="en-US"/>
    </w:rPr>
  </w:style>
  <w:style w:type="paragraph" w:customStyle="1" w:styleId="Typedudocument">
    <w:name w:val="Type du document"/>
    <w:basedOn w:val="Normal"/>
    <w:next w:val="Normal"/>
    <w:rsid w:val="003B0738"/>
    <w:pPr>
      <w:widowControl/>
      <w:spacing w:before="360" w:line="360" w:lineRule="auto"/>
      <w:jc w:val="center"/>
    </w:pPr>
    <w:rPr>
      <w:b/>
      <w:szCs w:val="24"/>
      <w:lang w:val="en-GB" w:eastAsia="en-US"/>
    </w:rPr>
  </w:style>
  <w:style w:type="paragraph" w:customStyle="1" w:styleId="IntrtEEE">
    <w:name w:val="Intérêt EEE"/>
    <w:basedOn w:val="Normal"/>
    <w:next w:val="Normal"/>
    <w:rsid w:val="003B0738"/>
    <w:pPr>
      <w:widowControl/>
      <w:spacing w:before="360" w:after="240" w:line="360" w:lineRule="auto"/>
      <w:jc w:val="center"/>
    </w:pPr>
    <w:rPr>
      <w:szCs w:val="24"/>
      <w:lang w:val="en-GB" w:eastAsia="en-US"/>
    </w:rPr>
  </w:style>
  <w:style w:type="paragraph" w:customStyle="1" w:styleId="FootnoteTextForceStyle">
    <w:name w:val="Footnote Text ForceStyle"/>
    <w:rsid w:val="003B0738"/>
    <w:pPr>
      <w:keepLines/>
      <w:widowControl w:val="0"/>
      <w:ind w:left="850" w:hanging="850"/>
    </w:pPr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2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4A20E-2E61-466E-AB5E-C9571CB47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5405</Words>
  <Characters>35894</Characters>
  <Application>Microsoft Office Word</Application>
  <DocSecurity>0</DocSecurity>
  <Lines>299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LUKSITE Marija</cp:lastModifiedBy>
  <cp:revision>2</cp:revision>
  <cp:lastPrinted>2004-11-19T15:42:00Z</cp:lastPrinted>
  <dcterms:created xsi:type="dcterms:W3CDTF">2024-11-18T08:01:00Z</dcterms:created>
  <dcterms:modified xsi:type="dcterms:W3CDTF">2024-11-18T08:01:00Z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A9-0060/2024</vt:lpwstr>
  </property>
  <property fmtid="{D5CDD505-2E9C-101B-9397-08002B2CF9AE}" pid="4" name="&lt;Type&gt;">
    <vt:lpwstr>RR</vt:lpwstr>
  </property>
</Properties>
</file>