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2D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2DCF" w:rsidRDefault="007561AE" w:rsidP="0010095E">
            <w:pPr>
              <w:pStyle w:val="EPName"/>
            </w:pPr>
            <w:r w:rsidRPr="002B2DCF">
              <w:t>Parlament Europejski</w:t>
            </w:r>
          </w:p>
          <w:p w:rsidR="00751A4A" w:rsidRPr="002B2D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2D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2DCF" w:rsidRDefault="00187494" w:rsidP="0010095E">
            <w:pPr>
              <w:pStyle w:val="EPLogo"/>
            </w:pPr>
            <w:r w:rsidRPr="002B2D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2DCF" w:rsidRDefault="00D058B8" w:rsidP="004C5D52">
      <w:pPr>
        <w:pStyle w:val="LineTop"/>
      </w:pPr>
    </w:p>
    <w:p w:rsidR="00680577" w:rsidRPr="002B2DCF" w:rsidRDefault="007561AE" w:rsidP="00680577">
      <w:pPr>
        <w:pStyle w:val="EPBodyTA1"/>
      </w:pPr>
      <w:r w:rsidRPr="002B2DCF">
        <w:t>TEKSTY PRZYJĘTE</w:t>
      </w:r>
    </w:p>
    <w:p w:rsidR="00D058B8" w:rsidRPr="002B2DCF" w:rsidRDefault="00D058B8" w:rsidP="00D058B8">
      <w:pPr>
        <w:pStyle w:val="LineBottom"/>
      </w:pPr>
    </w:p>
    <w:p w:rsidR="007561AE" w:rsidRPr="002B2DCF" w:rsidRDefault="007561AE" w:rsidP="007561AE">
      <w:pPr>
        <w:pStyle w:val="ATHeading1"/>
      </w:pPr>
      <w:bookmarkStart w:id="0" w:name="TANumber"/>
      <w:r w:rsidRPr="002B2DCF">
        <w:t>P9_TA(2024)0</w:t>
      </w:r>
      <w:bookmarkEnd w:id="0"/>
      <w:r w:rsidR="00D12165">
        <w:t>140</w:t>
      </w:r>
      <w:bookmarkStart w:id="1" w:name="_GoBack"/>
      <w:bookmarkEnd w:id="1"/>
    </w:p>
    <w:p w:rsidR="007561AE" w:rsidRPr="00AD516D" w:rsidRDefault="00AD516D" w:rsidP="007561AE">
      <w:pPr>
        <w:pStyle w:val="ATHeading2"/>
      </w:pPr>
      <w:r w:rsidRPr="009064A4">
        <w:t>Zaprzestanie funkcjonowania europejskiej platformy ODR</w:t>
      </w:r>
    </w:p>
    <w:p w:rsidR="007561AE" w:rsidRPr="002B2DCF" w:rsidRDefault="007561AE" w:rsidP="007561AE">
      <w:pPr>
        <w:rPr>
          <w:i/>
          <w:vanish/>
        </w:rPr>
      </w:pPr>
      <w:r w:rsidRPr="002B2DCF">
        <w:rPr>
          <w:i/>
        </w:rPr>
        <w:fldChar w:fldCharType="begin"/>
      </w:r>
      <w:r w:rsidRPr="002B2DCF">
        <w:rPr>
          <w:i/>
        </w:rPr>
        <w:instrText xml:space="preserve"> TC"(</w:instrText>
      </w:r>
      <w:bookmarkStart w:id="2" w:name="DocNumber"/>
      <w:r w:rsidRPr="002B2DCF">
        <w:rPr>
          <w:i/>
        </w:rPr>
        <w:instrText>A9-0058/2024</w:instrText>
      </w:r>
      <w:bookmarkEnd w:id="2"/>
      <w:r w:rsidRPr="002B2DCF">
        <w:rPr>
          <w:i/>
        </w:rPr>
        <w:instrText xml:space="preserve"> - Sprawozdawca: Laura </w:instrText>
      </w:r>
      <w:proofErr w:type="spellStart"/>
      <w:r w:rsidRPr="002B2DCF">
        <w:rPr>
          <w:i/>
        </w:rPr>
        <w:instrText>Ballarín</w:instrText>
      </w:r>
      <w:proofErr w:type="spellEnd"/>
      <w:r w:rsidRPr="002B2DCF">
        <w:rPr>
          <w:i/>
        </w:rPr>
        <w:instrText xml:space="preserve"> </w:instrText>
      </w:r>
      <w:proofErr w:type="spellStart"/>
      <w:r w:rsidRPr="002B2DCF">
        <w:rPr>
          <w:i/>
        </w:rPr>
        <w:instrText>Cereza</w:instrText>
      </w:r>
      <w:proofErr w:type="spellEnd"/>
      <w:proofErr w:type="gramStart"/>
      <w:r w:rsidRPr="002B2DCF">
        <w:rPr>
          <w:i/>
        </w:rPr>
        <w:instrText>)"\l</w:instrText>
      </w:r>
      <w:proofErr w:type="gramEnd"/>
      <w:r w:rsidRPr="002B2DCF">
        <w:rPr>
          <w:i/>
        </w:rPr>
        <w:instrText xml:space="preserve">3 \n&gt; \* MERGEFORMAT </w:instrText>
      </w:r>
      <w:r w:rsidRPr="002B2DCF">
        <w:rPr>
          <w:i/>
        </w:rPr>
        <w:fldChar w:fldCharType="end"/>
      </w:r>
    </w:p>
    <w:p w:rsidR="007561AE" w:rsidRPr="002B2DCF" w:rsidRDefault="007561AE" w:rsidP="007561AE">
      <w:pPr>
        <w:rPr>
          <w:vanish/>
        </w:rPr>
      </w:pPr>
      <w:bookmarkStart w:id="3" w:name="Commission"/>
      <w:r w:rsidRPr="002B2DCF">
        <w:rPr>
          <w:vanish/>
        </w:rPr>
        <w:t>Komisja Rynku Wewnętrznego i Ochrony Konsumentów</w:t>
      </w:r>
      <w:bookmarkEnd w:id="3"/>
    </w:p>
    <w:p w:rsidR="007561AE" w:rsidRPr="002B2DCF" w:rsidRDefault="007561AE" w:rsidP="007561AE">
      <w:pPr>
        <w:rPr>
          <w:vanish/>
        </w:rPr>
      </w:pPr>
      <w:bookmarkStart w:id="4" w:name="PE"/>
      <w:r w:rsidRPr="002B2DCF">
        <w:rPr>
          <w:vanish/>
        </w:rPr>
        <w:t>PE757.943</w:t>
      </w:r>
      <w:bookmarkEnd w:id="4"/>
    </w:p>
    <w:p w:rsidR="007561AE" w:rsidRPr="002B2DCF" w:rsidRDefault="007561AE" w:rsidP="007561AE">
      <w:pPr>
        <w:pStyle w:val="ATHeading3"/>
      </w:pPr>
      <w:bookmarkStart w:id="5" w:name="Sujet"/>
      <w:r w:rsidRPr="002B2DCF">
        <w:t xml:space="preserve">Rezolucja ustawodawcza Parlamentu Europejskiego z dnia </w:t>
      </w:r>
      <w:r w:rsidR="00AD516D">
        <w:t>13 marca</w:t>
      </w:r>
      <w:r w:rsidRPr="002B2DCF">
        <w:t xml:space="preserve"> 2024 r. w sprawie wniosku dotyczącego rozporządzenia Parlamentu Europejskiego i Rady w sprawie uchylenia rozporządzenia (UE) nr 524/2013 i zmiany rozporządzeń (UE) 2017/2394 i (UE) 2018/1724 w odniesieniu do zaprzestania funkcjonowania europejskiej platformy ODR</w:t>
      </w:r>
      <w:bookmarkEnd w:id="5"/>
      <w:r w:rsidRPr="002B2DCF">
        <w:t xml:space="preserve"> </w:t>
      </w:r>
      <w:bookmarkStart w:id="6" w:name="References"/>
      <w:r w:rsidRPr="002B2DCF">
        <w:t>(COM</w:t>
      </w:r>
      <w:proofErr w:type="gramStart"/>
      <w:r w:rsidRPr="002B2DCF">
        <w:t>(2023)0647 – C</w:t>
      </w:r>
      <w:proofErr w:type="gramEnd"/>
      <w:r w:rsidRPr="002B2DCF">
        <w:t>9-0380/2023 – 2023/0375(COD))</w:t>
      </w:r>
      <w:bookmarkEnd w:id="6"/>
    </w:p>
    <w:p w:rsidR="007561AE" w:rsidRPr="002B2DCF" w:rsidRDefault="007561AE" w:rsidP="007561AE"/>
    <w:p w:rsidR="00C327BC" w:rsidRPr="002B2DCF" w:rsidRDefault="00C327BC" w:rsidP="00C327BC">
      <w:pPr>
        <w:pStyle w:val="NormalBold"/>
      </w:pPr>
      <w:bookmarkStart w:id="7" w:name="TextBodyBegin"/>
      <w:bookmarkEnd w:id="7"/>
      <w:r w:rsidRPr="002B2DCF">
        <w:t>(Zwykła procedura ustawodawcza: pierwsze czytanie)</w:t>
      </w:r>
    </w:p>
    <w:p w:rsidR="00C327BC" w:rsidRPr="002B2DCF" w:rsidRDefault="00C327BC" w:rsidP="00C327BC">
      <w:pPr>
        <w:pStyle w:val="EPComma"/>
      </w:pPr>
      <w:r w:rsidRPr="002B2DCF">
        <w:rPr>
          <w:i/>
        </w:rPr>
        <w:t>Parlament Europejski</w:t>
      </w:r>
      <w:r w:rsidRPr="002B2DCF">
        <w:t>,</w:t>
      </w:r>
    </w:p>
    <w:p w:rsidR="00C327BC" w:rsidRPr="002B2DCF" w:rsidRDefault="00C327BC" w:rsidP="00C327BC">
      <w:pPr>
        <w:pStyle w:val="NormalHanging12a"/>
      </w:pPr>
      <w:r w:rsidRPr="002B2DCF">
        <w:t>–</w:t>
      </w:r>
      <w:r w:rsidRPr="002B2DCF">
        <w:tab/>
        <w:t>uwzględniając wniosek Komisji przedstawiony Parlamentowi Europejskiemu i Radzie (COM(2023)0647),</w:t>
      </w:r>
    </w:p>
    <w:p w:rsidR="00C327BC" w:rsidRPr="002B2DCF" w:rsidRDefault="00C327BC" w:rsidP="00C327BC">
      <w:pPr>
        <w:pStyle w:val="NormalHanging12a"/>
      </w:pPr>
      <w:r w:rsidRPr="002B2DCF">
        <w:t>–</w:t>
      </w:r>
      <w:r w:rsidRPr="002B2DCF">
        <w:tab/>
        <w:t>uwzględniając art. 294 ust. 2 i art. 114 Traktatu o funkcjonowaniu Unii Europejskiej, zgodnie z którymi wniosek został przedstawiony Parlamentowi przez Komisję (C9</w:t>
      </w:r>
      <w:r w:rsidRPr="002B2DCF">
        <w:noBreakHyphen/>
        <w:t>0380/2023),</w:t>
      </w:r>
    </w:p>
    <w:p w:rsidR="00C327BC" w:rsidRPr="002B2DCF" w:rsidRDefault="00C327BC" w:rsidP="00C327BC">
      <w:pPr>
        <w:pStyle w:val="NormalHanging12a"/>
      </w:pPr>
      <w:r w:rsidRPr="002B2DCF">
        <w:t>–</w:t>
      </w:r>
      <w:r w:rsidRPr="002B2DCF">
        <w:tab/>
        <w:t>uwzględniając art. 294 ust. 3 Traktatu o funkcjonowaniu Unii Europejskiej,</w:t>
      </w:r>
    </w:p>
    <w:p w:rsidR="00C327BC" w:rsidRPr="002B2DCF" w:rsidRDefault="00C327BC" w:rsidP="00C327BC">
      <w:pPr>
        <w:pStyle w:val="NormalHanging12a"/>
      </w:pPr>
      <w:r w:rsidRPr="002B2DCF">
        <w:t>–</w:t>
      </w:r>
      <w:r w:rsidRPr="002B2DCF">
        <w:tab/>
        <w:t>uwzględniając opinię Europejskiego Komitetu Ekonomiczno-Społecznego z</w:t>
      </w:r>
      <w:r w:rsidR="00AD516D">
        <w:t xml:space="preserve"> dnia</w:t>
      </w:r>
      <w:r w:rsidRPr="002B2DCF">
        <w:t> 14 lutego 2024 r.</w:t>
      </w:r>
      <w:r w:rsidRPr="002B2DCF">
        <w:rPr>
          <w:rStyle w:val="FootnoteReference"/>
        </w:rPr>
        <w:footnoteReference w:id="1"/>
      </w:r>
      <w:r w:rsidRPr="002B2DCF">
        <w:t>,</w:t>
      </w:r>
    </w:p>
    <w:p w:rsidR="00C327BC" w:rsidRPr="002B2DCF" w:rsidRDefault="00C327BC" w:rsidP="00C327BC">
      <w:pPr>
        <w:pStyle w:val="NormalHanging12a"/>
      </w:pPr>
      <w:r w:rsidRPr="002B2DCF">
        <w:t>–</w:t>
      </w:r>
      <w:r w:rsidRPr="002B2DCF">
        <w:tab/>
        <w:t>uwzględniając art. 59 Regulaminu,</w:t>
      </w:r>
    </w:p>
    <w:p w:rsidR="00C327BC" w:rsidRPr="002B2DCF" w:rsidRDefault="00C327BC" w:rsidP="00C327BC">
      <w:pPr>
        <w:pStyle w:val="NormalHanging12a"/>
      </w:pPr>
      <w:r w:rsidRPr="002B2DCF">
        <w:t>–</w:t>
      </w:r>
      <w:r w:rsidRPr="002B2DCF">
        <w:tab/>
        <w:t>uwzględniając sprawozdanie Komisji Rynku Wewnętrznego i Ochrony Konsumentów (A9-0058/2024),</w:t>
      </w:r>
    </w:p>
    <w:p w:rsidR="00C327BC" w:rsidRPr="002B2DCF" w:rsidRDefault="00C327BC" w:rsidP="00C327BC">
      <w:pPr>
        <w:pStyle w:val="NormalHanging12a"/>
      </w:pPr>
      <w:r w:rsidRPr="002B2DCF">
        <w:t>1.</w:t>
      </w:r>
      <w:r w:rsidRPr="002B2DCF">
        <w:tab/>
      </w:r>
      <w:proofErr w:type="gramStart"/>
      <w:r w:rsidRPr="002B2DCF">
        <w:t>zatwierdza</w:t>
      </w:r>
      <w:proofErr w:type="gramEnd"/>
      <w:r w:rsidRPr="002B2DCF">
        <w:t xml:space="preserve"> swoje stanowisko w pierwszym czytaniu, przyjmując wniosek Komisji;</w:t>
      </w:r>
    </w:p>
    <w:p w:rsidR="00C327BC" w:rsidRPr="002B2DCF" w:rsidRDefault="00C327BC" w:rsidP="00C327BC">
      <w:pPr>
        <w:pStyle w:val="NormalHanging12a"/>
      </w:pPr>
      <w:r w:rsidRPr="002B2DCF">
        <w:t>2.</w:t>
      </w:r>
      <w:r w:rsidRPr="002B2DCF">
        <w:tab/>
      </w:r>
      <w:proofErr w:type="gramStart"/>
      <w:r w:rsidRPr="002B2DCF">
        <w:t>zwraca</w:t>
      </w:r>
      <w:proofErr w:type="gramEnd"/>
      <w:r w:rsidRPr="002B2DCF">
        <w:t xml:space="preserve"> się do Komisji o ponowne przekazanie mu sprawy, jeśli zastąpi ona pierwotny wniosek, wprowadzi w nim istotne zmiany lub planuje ich wprowadzenie;</w:t>
      </w:r>
    </w:p>
    <w:p w:rsidR="00C327BC" w:rsidRPr="002B2DCF" w:rsidRDefault="00C327BC" w:rsidP="009064A4">
      <w:pPr>
        <w:ind w:left="851" w:hanging="851"/>
      </w:pPr>
      <w:r w:rsidRPr="002B2DCF">
        <w:lastRenderedPageBreak/>
        <w:t>3.</w:t>
      </w:r>
      <w:r w:rsidRPr="002B2DCF">
        <w:tab/>
        <w:t>zobowiązuje swoją przewodniczącą do przekazania stanowiska Parlamentu Radzie i Komisji oraz parlamentom narodowym.</w:t>
      </w:r>
    </w:p>
    <w:p w:rsidR="00E365E1" w:rsidRPr="002B2DCF" w:rsidRDefault="00E365E1" w:rsidP="007561AE">
      <w:bookmarkStart w:id="8" w:name="TextBodyEnd"/>
      <w:bookmarkEnd w:id="8"/>
    </w:p>
    <w:sectPr w:rsidR="00E365E1" w:rsidRPr="002B2DCF" w:rsidSect="002B2D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1AE" w:rsidRPr="002B2DCF" w:rsidRDefault="007561AE">
      <w:r w:rsidRPr="002B2DCF">
        <w:separator/>
      </w:r>
    </w:p>
  </w:endnote>
  <w:endnote w:type="continuationSeparator" w:id="0">
    <w:p w:rsidR="007561AE" w:rsidRPr="002B2DCF" w:rsidRDefault="007561AE">
      <w:r w:rsidRPr="002B2D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D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D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D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1AE" w:rsidRPr="002B2DCF" w:rsidRDefault="007561AE">
      <w:r w:rsidRPr="002B2DCF">
        <w:separator/>
      </w:r>
    </w:p>
  </w:footnote>
  <w:footnote w:type="continuationSeparator" w:id="0">
    <w:p w:rsidR="007561AE" w:rsidRPr="002B2DCF" w:rsidRDefault="007561AE">
      <w:r w:rsidRPr="002B2DCF">
        <w:continuationSeparator/>
      </w:r>
    </w:p>
  </w:footnote>
  <w:footnote w:id="1">
    <w:p w:rsidR="00C327BC" w:rsidRPr="002B2DCF" w:rsidRDefault="00C327BC" w:rsidP="002B2DCF">
      <w:pPr>
        <w:pStyle w:val="FootnoteText"/>
        <w:ind w:left="567" w:hanging="567"/>
        <w:rPr>
          <w:sz w:val="24"/>
          <w:lang w:val="pl-PL"/>
        </w:rPr>
      </w:pPr>
      <w:r w:rsidRPr="002B2DCF">
        <w:rPr>
          <w:rStyle w:val="FootnoteReference"/>
          <w:sz w:val="24"/>
          <w:lang w:val="pl-PL"/>
        </w:rPr>
        <w:footnoteRef/>
      </w:r>
      <w:r w:rsidR="002B2DCF" w:rsidRPr="002B2DCF">
        <w:rPr>
          <w:sz w:val="24"/>
          <w:lang w:val="pl-PL"/>
        </w:rPr>
        <w:t xml:space="preserve"> </w:t>
      </w:r>
      <w:r w:rsidR="002B2DCF" w:rsidRPr="002B2DCF">
        <w:rPr>
          <w:sz w:val="24"/>
          <w:lang w:val="pl-PL"/>
        </w:rPr>
        <w:tab/>
      </w:r>
      <w:r w:rsidRPr="002B2DCF">
        <w:rPr>
          <w:sz w:val="24"/>
          <w:lang w:val="pl-PL"/>
        </w:rPr>
        <w:t>Dotychczas nieopublikowana w Dzienniku Urzędowym Unii Europejskiej.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D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D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2D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PL"/>
    <w:docVar w:name="dvnumam" w:val="0"/>
    <w:docVar w:name="dvpe" w:val="757.943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uchylenia rozporządzenia (UE) nr 524/2013 i zmiany rozporządzeń (UE) 2017/2394 i (UE) 2018/1724 w odniesieniu do zaprzestania funkcjonowania europejskiej platformy ODR(COM(2023)0647 – C9-0380/2023 – 2023/0375(COD))"/>
  </w:docVars>
  <w:rsids>
    <w:rsidRoot w:val="007561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2DCF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1A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4A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16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7BC"/>
    <w:rsid w:val="00C61C0C"/>
    <w:rsid w:val="00C941CB"/>
    <w:rsid w:val="00CC2357"/>
    <w:rsid w:val="00CF071A"/>
    <w:rsid w:val="00D058B8"/>
    <w:rsid w:val="00D1216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EAD7D"/>
  <w15:chartTrackingRefBased/>
  <w15:docId w15:val="{CF51C0F8-1F7E-4014-BBFD-55B4CDF6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327BC"/>
    <w:rPr>
      <w:b/>
    </w:rPr>
  </w:style>
  <w:style w:type="paragraph" w:customStyle="1" w:styleId="NormalHanging12a">
    <w:name w:val="NormalHanging12a"/>
    <w:basedOn w:val="Normal"/>
    <w:rsid w:val="00C327BC"/>
    <w:pPr>
      <w:spacing w:after="240"/>
      <w:ind w:left="567" w:hanging="567"/>
    </w:pPr>
  </w:style>
  <w:style w:type="paragraph" w:customStyle="1" w:styleId="EPComma">
    <w:name w:val="EPComma"/>
    <w:basedOn w:val="Normal"/>
    <w:rsid w:val="00C327BC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327BC"/>
    <w:rPr>
      <w:b/>
      <w:sz w:val="24"/>
      <w:lang w:val="pl-PL"/>
    </w:rPr>
  </w:style>
  <w:style w:type="paragraph" w:styleId="BalloonText">
    <w:name w:val="Balloon Text"/>
    <w:basedOn w:val="Normal"/>
    <w:link w:val="BalloonTextChar"/>
    <w:rsid w:val="00AD51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516D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43995-1572-4BB3-95DC-E99502790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2024-03-13T12:15:00Z</dcterms:created>
  <dcterms:modified xsi:type="dcterms:W3CDTF">2024-03-13T12:15:00Z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