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1AD0" w14:paraId="398F2A83" w14:textId="77777777" w:rsidTr="0010095E">
        <w:trPr>
          <w:trHeight w:hRule="exact" w:val="1418"/>
        </w:trPr>
        <w:tc>
          <w:tcPr>
            <w:tcW w:w="6804" w:type="dxa"/>
            <w:shd w:val="clear" w:color="auto" w:fill="auto"/>
            <w:vAlign w:val="center"/>
          </w:tcPr>
          <w:p w14:paraId="27EE59CD" w14:textId="77777777" w:rsidR="00751A4A" w:rsidRPr="00F21AD0" w:rsidRDefault="007C5C1D" w:rsidP="0010095E">
            <w:pPr>
              <w:pStyle w:val="EPName"/>
            </w:pPr>
            <w:r w:rsidRPr="00F21AD0">
              <w:t>Europa-Parlamentet</w:t>
            </w:r>
          </w:p>
          <w:p w14:paraId="7DF7C3CB" w14:textId="77777777" w:rsidR="00751A4A" w:rsidRPr="00F21AD0" w:rsidRDefault="00817416" w:rsidP="00756632">
            <w:pPr>
              <w:pStyle w:val="EPTerm"/>
              <w:rPr>
                <w:rStyle w:val="HideTWBExt"/>
                <w:noProof w:val="0"/>
                <w:vanish w:val="0"/>
                <w:color w:val="auto"/>
              </w:rPr>
            </w:pPr>
            <w:r w:rsidRPr="00F21AD0">
              <w:t>2019-2024</w:t>
            </w:r>
          </w:p>
        </w:tc>
        <w:tc>
          <w:tcPr>
            <w:tcW w:w="2268" w:type="dxa"/>
            <w:shd w:val="clear" w:color="auto" w:fill="auto"/>
          </w:tcPr>
          <w:p w14:paraId="251F3709" w14:textId="77777777" w:rsidR="00751A4A" w:rsidRPr="00F21AD0" w:rsidRDefault="00187494" w:rsidP="0010095E">
            <w:pPr>
              <w:pStyle w:val="EPLogo"/>
            </w:pPr>
            <w:r w:rsidRPr="00F21AD0">
              <w:rPr>
                <w:noProof/>
                <w:lang w:val="en-GB"/>
              </w:rPr>
              <w:drawing>
                <wp:inline distT="0" distB="0" distL="0" distR="0" wp14:anchorId="0EF04CA1" wp14:editId="33B879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5EC00D" w14:textId="77777777" w:rsidR="00D058B8" w:rsidRPr="00F21AD0" w:rsidRDefault="00D058B8" w:rsidP="004C5D52">
      <w:pPr>
        <w:pStyle w:val="LineTop"/>
      </w:pPr>
    </w:p>
    <w:p w14:paraId="01FA921C" w14:textId="77777777" w:rsidR="00680577" w:rsidRPr="00F21AD0" w:rsidRDefault="007C5C1D" w:rsidP="00680577">
      <w:pPr>
        <w:pStyle w:val="EPBodyTA1"/>
      </w:pPr>
      <w:r w:rsidRPr="00F21AD0">
        <w:t>VEDTAGNE TEKSTER</w:t>
      </w:r>
    </w:p>
    <w:p w14:paraId="04C3F86B" w14:textId="77777777" w:rsidR="00D058B8" w:rsidRPr="00F21AD0" w:rsidRDefault="00D058B8" w:rsidP="00D058B8">
      <w:pPr>
        <w:pStyle w:val="LineBottom"/>
      </w:pPr>
    </w:p>
    <w:p w14:paraId="6D1DD5D8" w14:textId="561C8AAA" w:rsidR="007C5C1D" w:rsidRPr="00F21AD0" w:rsidRDefault="007C5C1D" w:rsidP="007C5C1D">
      <w:pPr>
        <w:pStyle w:val="ATHeading1"/>
      </w:pPr>
      <w:bookmarkStart w:id="0" w:name="TANumber"/>
      <w:proofErr w:type="spellStart"/>
      <w:r w:rsidRPr="00F21AD0">
        <w:t>P9_</w:t>
      </w:r>
      <w:proofErr w:type="gramStart"/>
      <w:r w:rsidRPr="00F21AD0">
        <w:t>TA</w:t>
      </w:r>
      <w:proofErr w:type="spellEnd"/>
      <w:r w:rsidRPr="00F21AD0">
        <w:t>(</w:t>
      </w:r>
      <w:proofErr w:type="gramEnd"/>
      <w:r w:rsidRPr="00F21AD0">
        <w:t>2024)0</w:t>
      </w:r>
      <w:bookmarkEnd w:id="0"/>
      <w:r w:rsidR="00FD5299">
        <w:t>142</w:t>
      </w:r>
    </w:p>
    <w:p w14:paraId="2CA1C06A" w14:textId="08AA36BB" w:rsidR="007C5C1D" w:rsidRPr="00F21AD0" w:rsidRDefault="00504B7E" w:rsidP="00504B7E">
      <w:pPr>
        <w:pStyle w:val="ATHeading2"/>
      </w:pPr>
      <w:r>
        <w:t>Anvendelsen af informationssystemet for det indre marked og den fælles digitale portal med henblik på visse krav, der er fastsat ved direktivet om europæiske grænseoverskridende foreninger</w:t>
      </w:r>
    </w:p>
    <w:p w14:paraId="545F5DED" w14:textId="10459153" w:rsidR="007C5C1D" w:rsidRPr="00F21AD0" w:rsidRDefault="007C5C1D" w:rsidP="007C5C1D">
      <w:pPr>
        <w:rPr>
          <w:i/>
          <w:vanish/>
        </w:rPr>
      </w:pPr>
      <w:r w:rsidRPr="00F21AD0">
        <w:rPr>
          <w:i/>
        </w:rPr>
        <w:fldChar w:fldCharType="begin"/>
      </w:r>
      <w:r w:rsidRPr="00F21AD0">
        <w:rPr>
          <w:i/>
        </w:rPr>
        <w:instrText xml:space="preserve"> TC"(</w:instrText>
      </w:r>
      <w:bookmarkStart w:id="1" w:name="DocNumber"/>
      <w:proofErr w:type="spellStart"/>
      <w:r w:rsidRPr="00F21AD0">
        <w:rPr>
          <w:i/>
        </w:rPr>
        <w:instrText>A9</w:instrText>
      </w:r>
      <w:proofErr w:type="spellEnd"/>
      <w:r w:rsidRPr="00F21AD0">
        <w:rPr>
          <w:i/>
        </w:rPr>
        <w:instrText>-0006/2024</w:instrText>
      </w:r>
      <w:bookmarkEnd w:id="1"/>
      <w:r w:rsidRPr="00F21AD0">
        <w:rPr>
          <w:i/>
        </w:rPr>
        <w:instrText xml:space="preserve"> - Ordfører: Anne</w:instrText>
      </w:r>
      <w:r w:rsidRPr="00F21AD0">
        <w:rPr>
          <w:i/>
        </w:rPr>
        <w:noBreakHyphen/>
        <w:instrText xml:space="preserve">Sophie </w:instrText>
      </w:r>
      <w:proofErr w:type="spellStart"/>
      <w:r w:rsidRPr="00F21AD0">
        <w:rPr>
          <w:i/>
        </w:rPr>
        <w:instrText>Pelletier</w:instrText>
      </w:r>
      <w:proofErr w:type="spellEnd"/>
      <w:r w:rsidRPr="00F21AD0">
        <w:rPr>
          <w:i/>
        </w:rPr>
        <w:instrText>)"\</w:instrText>
      </w:r>
      <w:proofErr w:type="spellStart"/>
      <w:r w:rsidRPr="00F21AD0">
        <w:rPr>
          <w:i/>
        </w:rPr>
        <w:instrText>l3</w:instrText>
      </w:r>
      <w:proofErr w:type="spellEnd"/>
      <w:r w:rsidRPr="00F21AD0">
        <w:rPr>
          <w:i/>
        </w:rPr>
        <w:instrText xml:space="preserve"> \n&gt; \* </w:instrText>
      </w:r>
      <w:proofErr w:type="spellStart"/>
      <w:r w:rsidRPr="00F21AD0">
        <w:rPr>
          <w:i/>
        </w:rPr>
        <w:instrText>MERGEFORMAT</w:instrText>
      </w:r>
      <w:proofErr w:type="spellEnd"/>
      <w:r w:rsidRPr="00F21AD0">
        <w:rPr>
          <w:i/>
        </w:rPr>
        <w:instrText xml:space="preserve"> </w:instrText>
      </w:r>
      <w:r w:rsidRPr="00F21AD0">
        <w:rPr>
          <w:i/>
        </w:rPr>
        <w:fldChar w:fldCharType="end"/>
      </w:r>
    </w:p>
    <w:p w14:paraId="69A32882" w14:textId="77777777" w:rsidR="007C5C1D" w:rsidRPr="00F21AD0" w:rsidRDefault="007C5C1D" w:rsidP="007C5C1D">
      <w:pPr>
        <w:rPr>
          <w:vanish/>
        </w:rPr>
      </w:pPr>
      <w:bookmarkStart w:id="2" w:name="Commission"/>
      <w:r w:rsidRPr="00F21AD0">
        <w:rPr>
          <w:vanish/>
        </w:rPr>
        <w:t>Udvalget om det Indre Marked og Forbrugerbeskyttelse</w:t>
      </w:r>
      <w:bookmarkEnd w:id="2"/>
    </w:p>
    <w:p w14:paraId="3355F425" w14:textId="77777777" w:rsidR="007C5C1D" w:rsidRPr="00F21AD0" w:rsidRDefault="007C5C1D" w:rsidP="007C5C1D">
      <w:pPr>
        <w:rPr>
          <w:vanish/>
        </w:rPr>
      </w:pPr>
      <w:bookmarkStart w:id="3" w:name="PE"/>
      <w:proofErr w:type="spellStart"/>
      <w:r w:rsidRPr="00F21AD0">
        <w:rPr>
          <w:vanish/>
        </w:rPr>
        <w:t>PE756.195</w:t>
      </w:r>
      <w:bookmarkEnd w:id="3"/>
      <w:proofErr w:type="spellEnd"/>
    </w:p>
    <w:p w14:paraId="0383FF05" w14:textId="7D95EF6F" w:rsidR="007C5C1D" w:rsidRPr="00F21AD0" w:rsidRDefault="007C5C1D" w:rsidP="007C5C1D">
      <w:pPr>
        <w:pStyle w:val="ATHeading3"/>
      </w:pPr>
      <w:bookmarkStart w:id="4" w:name="Sujet"/>
      <w:r w:rsidRPr="00F21AD0">
        <w:t xml:space="preserve">Europa-Parlamentets lovgivningsmæssige beslutning af </w:t>
      </w:r>
      <w:r w:rsidR="00504B7E">
        <w:t>13</w:t>
      </w:r>
      <w:r w:rsidRPr="00F21AD0">
        <w:t>.</w:t>
      </w:r>
      <w:r w:rsidR="00C025BD">
        <w:t xml:space="preserve"> marts</w:t>
      </w:r>
      <w:r w:rsidRPr="00F21AD0">
        <w:t xml:space="preserve"> 2024 om forslag til Europa-Parlamentets og Rådets forordning om ændring af forordning (EU) nr. 1024/2012 og forordning (EU) 2018/1724 for så vidt angår anvendelsen af informationssystemet for det indre marked og den fælles digitale portal med henblik på visse krav, der er fastsat ved Europa-Parlamentets og Rådets direktiv (EU) …/… om europæiske grænseoverskridende foreninger (COM(2023)</w:t>
      </w:r>
      <w:r w:rsidR="0052022A">
        <w:t>0</w:t>
      </w:r>
      <w:r w:rsidRPr="00F21AD0">
        <w:t>516</w:t>
      </w:r>
      <w:bookmarkStart w:id="5" w:name="_GoBack"/>
      <w:bookmarkEnd w:id="5"/>
      <w:r w:rsidRPr="00F21AD0">
        <w:t>)</w:t>
      </w:r>
      <w:bookmarkEnd w:id="4"/>
      <w:r w:rsidRPr="00F21AD0">
        <w:t xml:space="preserve"> </w:t>
      </w:r>
      <w:bookmarkStart w:id="6" w:name="References"/>
      <w:r w:rsidRPr="00F21AD0">
        <w:t xml:space="preserve">(COM(2023)0515 – </w:t>
      </w:r>
      <w:proofErr w:type="spellStart"/>
      <w:r w:rsidRPr="00F21AD0">
        <w:t>C9</w:t>
      </w:r>
      <w:proofErr w:type="spellEnd"/>
      <w:r w:rsidRPr="00F21AD0">
        <w:t>-0327/2023 – 2023/0314(COD))</w:t>
      </w:r>
      <w:bookmarkEnd w:id="6"/>
    </w:p>
    <w:p w14:paraId="64635362" w14:textId="77777777" w:rsidR="00FE745D" w:rsidRPr="00F21AD0" w:rsidRDefault="00FE745D" w:rsidP="00FE745D">
      <w:pPr>
        <w:pStyle w:val="NormalBold"/>
      </w:pPr>
      <w:bookmarkStart w:id="7" w:name="TextBodyBegin"/>
      <w:bookmarkEnd w:id="7"/>
      <w:r w:rsidRPr="00F21AD0">
        <w:t>(Almindelig lovgivningsprocedure: førstebehandling)</w:t>
      </w:r>
    </w:p>
    <w:p w14:paraId="5182BE3A" w14:textId="77777777" w:rsidR="00FE745D" w:rsidRPr="00F21AD0" w:rsidRDefault="00FE745D" w:rsidP="00FE745D">
      <w:pPr>
        <w:pStyle w:val="EPComma"/>
      </w:pPr>
      <w:r w:rsidRPr="00F21AD0">
        <w:rPr>
          <w:i/>
        </w:rPr>
        <w:t>Europa-Parlamentet</w:t>
      </w:r>
      <w:r w:rsidRPr="00F21AD0">
        <w:t>,</w:t>
      </w:r>
    </w:p>
    <w:p w14:paraId="1FC898EE" w14:textId="77777777" w:rsidR="00FE745D" w:rsidRPr="00F21AD0" w:rsidRDefault="00FE745D" w:rsidP="00FE745D">
      <w:pPr>
        <w:pStyle w:val="NormalHanging12a"/>
      </w:pPr>
      <w:r w:rsidRPr="00F21AD0">
        <w:t>–</w:t>
      </w:r>
      <w:r w:rsidRPr="00F21AD0">
        <w:tab/>
        <w:t>der henviser til Kommissionens forslag til Europa-Parlamentet og Rådet (</w:t>
      </w:r>
      <w:proofErr w:type="gramStart"/>
      <w:r w:rsidRPr="00F21AD0">
        <w:t>COM(</w:t>
      </w:r>
      <w:proofErr w:type="gramEnd"/>
      <w:r w:rsidRPr="00F21AD0">
        <w:t>2023)0515),</w:t>
      </w:r>
    </w:p>
    <w:p w14:paraId="32B5892F" w14:textId="1F1160CD" w:rsidR="00504B7E" w:rsidRPr="00F21AD0" w:rsidRDefault="00FE745D" w:rsidP="005C2006">
      <w:pPr>
        <w:pStyle w:val="NormalHanging12a"/>
      </w:pPr>
      <w:r w:rsidRPr="00F21AD0">
        <w:t>–</w:t>
      </w:r>
      <w:r w:rsidRPr="00F21AD0">
        <w:tab/>
        <w:t xml:space="preserve">der henviser til artikel 294, stk. 2, </w:t>
      </w:r>
      <w:r w:rsidR="00EC400A">
        <w:t xml:space="preserve">og </w:t>
      </w:r>
      <w:r w:rsidRPr="00F21AD0">
        <w:t>artikel 21, stk. 2, artikel 114 i traktaten om Den Europæiske Unions funktionsmåde, på grundlag af hvilke Kommissionen har forelagt forslaget for Parlamentet (</w:t>
      </w:r>
      <w:proofErr w:type="spellStart"/>
      <w:r w:rsidRPr="00F21AD0">
        <w:t>C9</w:t>
      </w:r>
      <w:proofErr w:type="spellEnd"/>
      <w:r w:rsidRPr="00F21AD0">
        <w:t>-0327/2023),</w:t>
      </w:r>
    </w:p>
    <w:p w14:paraId="1F8F9B1E" w14:textId="72FD0652" w:rsidR="00FE745D" w:rsidRDefault="00FE745D" w:rsidP="00FE745D">
      <w:pPr>
        <w:pStyle w:val="NormalHanging12a"/>
      </w:pPr>
      <w:r w:rsidRPr="00F21AD0">
        <w:t>–</w:t>
      </w:r>
      <w:r w:rsidRPr="00F21AD0">
        <w:tab/>
        <w:t>der henviser til artikel 294, stk. 3, i traktaten om Den Europæiske Unions funktionsmåde,</w:t>
      </w:r>
    </w:p>
    <w:p w14:paraId="6FE85F6A" w14:textId="063E7D1E" w:rsidR="005C2006" w:rsidRPr="00F21AD0" w:rsidRDefault="005C2006" w:rsidP="005C2006">
      <w:pPr>
        <w:pStyle w:val="NormalHanging12a"/>
      </w:pPr>
      <w:r w:rsidRPr="008F5A03">
        <w:t>–</w:t>
      </w:r>
      <w:r w:rsidRPr="008F5A03">
        <w:tab/>
        <w:t>der henviser til</w:t>
      </w:r>
      <w:r>
        <w:t xml:space="preserve"> </w:t>
      </w:r>
      <w:r w:rsidRPr="00E262E4">
        <w:t xml:space="preserve">udtalelse af </w:t>
      </w:r>
      <w:r>
        <w:t>17. januar 2024</w:t>
      </w:r>
      <w:r w:rsidRPr="00E262E4">
        <w:t xml:space="preserve"> fra Det Europæiske Økonomiske og Sociale Udvalg</w:t>
      </w:r>
      <w:r w:rsidRPr="00E262E4">
        <w:rPr>
          <w:rStyle w:val="FootnoteReference"/>
        </w:rPr>
        <w:footnoteReference w:id="1"/>
      </w:r>
      <w:r w:rsidRPr="00E262E4">
        <w:t>,</w:t>
      </w:r>
    </w:p>
    <w:p w14:paraId="633E9DD8" w14:textId="77777777" w:rsidR="00FE745D" w:rsidRPr="00F21AD0" w:rsidRDefault="00FE745D" w:rsidP="00FE745D">
      <w:pPr>
        <w:pStyle w:val="NormalHanging12a"/>
      </w:pPr>
      <w:r w:rsidRPr="00F21AD0">
        <w:t>–</w:t>
      </w:r>
      <w:r w:rsidRPr="00F21AD0">
        <w:tab/>
        <w:t>der henviser til forretningsordenens artikel 59,</w:t>
      </w:r>
    </w:p>
    <w:p w14:paraId="743A6066" w14:textId="77777777" w:rsidR="00FE745D" w:rsidRPr="00F21AD0" w:rsidRDefault="00FE745D" w:rsidP="00FE745D">
      <w:pPr>
        <w:pStyle w:val="NormalHanging12a"/>
      </w:pPr>
      <w:r w:rsidRPr="00F21AD0">
        <w:t>–</w:t>
      </w:r>
      <w:r w:rsidRPr="00F21AD0">
        <w:tab/>
        <w:t>der henviser til udtalelse fra Retsudvalget,</w:t>
      </w:r>
    </w:p>
    <w:p w14:paraId="7E912FB3" w14:textId="77777777" w:rsidR="00FE745D" w:rsidRPr="00F21AD0" w:rsidRDefault="00FE745D" w:rsidP="00FE745D">
      <w:pPr>
        <w:pStyle w:val="NormalHanging12a"/>
      </w:pPr>
      <w:r w:rsidRPr="00F21AD0">
        <w:t>–</w:t>
      </w:r>
      <w:r w:rsidRPr="00F21AD0">
        <w:tab/>
        <w:t xml:space="preserve">der henviser til betænkning fra Udvalget om det Indre Marked og Forbrugerbeskyttelse </w:t>
      </w:r>
      <w:r w:rsidRPr="00F21AD0">
        <w:lastRenderedPageBreak/>
        <w:t>(</w:t>
      </w:r>
      <w:proofErr w:type="spellStart"/>
      <w:r w:rsidRPr="00F21AD0">
        <w:t>A9</w:t>
      </w:r>
      <w:proofErr w:type="spellEnd"/>
      <w:r w:rsidRPr="00F21AD0">
        <w:t>-0006/2024),</w:t>
      </w:r>
    </w:p>
    <w:p w14:paraId="22DFCF9A" w14:textId="77777777" w:rsidR="00FE745D" w:rsidRPr="00F21AD0" w:rsidRDefault="00FE745D" w:rsidP="00FE745D">
      <w:pPr>
        <w:pStyle w:val="NormalHanging12a"/>
      </w:pPr>
      <w:r w:rsidRPr="00F21AD0">
        <w:t>1.</w:t>
      </w:r>
      <w:r w:rsidRPr="00F21AD0">
        <w:tab/>
        <w:t>vedtager nedenstående holdning ved førstebehandling;</w:t>
      </w:r>
    </w:p>
    <w:p w14:paraId="7F2C1E3C" w14:textId="60027739" w:rsidR="00FE745D" w:rsidRPr="00F21AD0" w:rsidRDefault="00FE745D" w:rsidP="00FE745D">
      <w:pPr>
        <w:pStyle w:val="NormalHanging12a"/>
      </w:pPr>
      <w:r w:rsidRPr="00F21AD0">
        <w:t>2</w:t>
      </w:r>
      <w:r w:rsidR="0052022A">
        <w:t>.</w:t>
      </w:r>
      <w:r w:rsidRPr="00F21AD0">
        <w:tab/>
        <w:t>anmoder om fornyet forelæggelse, hvis Kommissionen erstatter, i væsentlig grad ændrer eller agter i væsentlig grad at ændre sit forslag;</w:t>
      </w:r>
    </w:p>
    <w:p w14:paraId="5A90D516" w14:textId="77777777" w:rsidR="00FE745D" w:rsidRPr="00F21AD0" w:rsidRDefault="00FE745D" w:rsidP="00FE745D">
      <w:pPr>
        <w:pStyle w:val="NormalHanging12a"/>
      </w:pPr>
      <w:r w:rsidRPr="00F21AD0">
        <w:t>3.</w:t>
      </w:r>
      <w:r w:rsidRPr="00F21AD0">
        <w:tab/>
        <w:t>pålægger sin formand at sende Parlamentets holdning til Rådet og Kommissionen samt til de nationale parlamenter.</w:t>
      </w:r>
    </w:p>
    <w:p w14:paraId="66296BC0" w14:textId="77777777" w:rsidR="00342EC5" w:rsidRDefault="00342EC5" w:rsidP="00FE745D">
      <w:pPr>
        <w:widowControl/>
        <w:sectPr w:rsidR="00342EC5" w:rsidSect="00F21A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F78A5E" w14:textId="5BCE5A22" w:rsidR="00342EC5" w:rsidRPr="00EF7590" w:rsidRDefault="00342EC5" w:rsidP="00690D38">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t>3)0314</w:t>
      </w:r>
    </w:p>
    <w:p w14:paraId="7883E9AC" w14:textId="465E8630" w:rsidR="00342EC5" w:rsidRPr="00EF7590" w:rsidRDefault="00342EC5" w:rsidP="00690D38">
      <w:pPr>
        <w:pStyle w:val="Typedudocument"/>
        <w:spacing w:before="240" w:after="240"/>
        <w:jc w:val="left"/>
        <w:rPr>
          <w:noProof/>
        </w:rPr>
      </w:pPr>
      <w:r w:rsidRPr="00EF7590">
        <w:t xml:space="preserve">Europa-Parlamentets holdning fastlagt ved førstebehandlingen den </w:t>
      </w:r>
      <w:r>
        <w:t>13</w:t>
      </w:r>
      <w:r w:rsidRPr="00F21AD0">
        <w:t>.</w:t>
      </w:r>
      <w:r>
        <w:t xml:space="preserve"> marts</w:t>
      </w:r>
      <w:r w:rsidRPr="00F21AD0">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Pr="00342EC5">
        <w:rPr>
          <w:szCs w:val="24"/>
        </w:rPr>
        <w:t>ændring af forordning (EU) nr. 1024/2012 og forordning (EU) 2018/1724 for så vidt angår anvendelsen af informationssystemet for det indre marked og den fælles digitale portal med henblik på visse krav, der er fastsat ved Europa-Parlamentets og Rådets direktiv (EU</w:t>
      </w:r>
      <w:proofErr w:type="gramStart"/>
      <w:r w:rsidRPr="00342EC5">
        <w:rPr>
          <w:szCs w:val="24"/>
        </w:rPr>
        <w:t>) …/</w:t>
      </w:r>
      <w:proofErr w:type="gramEnd"/>
      <w:r w:rsidRPr="00342EC5">
        <w:rPr>
          <w:szCs w:val="24"/>
        </w:rPr>
        <w:t>… om europæiske grænseoverskridende foreninger (COM(2023)</w:t>
      </w:r>
      <w:r>
        <w:rPr>
          <w:szCs w:val="24"/>
        </w:rPr>
        <w:t>0</w:t>
      </w:r>
      <w:r w:rsidRPr="00342EC5">
        <w:rPr>
          <w:szCs w:val="24"/>
        </w:rPr>
        <w:t>516)</w:t>
      </w:r>
    </w:p>
    <w:p w14:paraId="77A86E28" w14:textId="7AF58E3A" w:rsidR="00342EC5" w:rsidRPr="00690D38" w:rsidRDefault="005B1906" w:rsidP="00EB112D">
      <w:pPr>
        <w:pStyle w:val="IntrtEEE"/>
      </w:pPr>
      <w:r w:rsidRPr="00AB337D">
        <w:rPr>
          <w:noProof/>
        </w:rPr>
        <w:t>(EØS-relevant tekst)</w:t>
      </w:r>
    </w:p>
    <w:p w14:paraId="0D763001" w14:textId="77777777" w:rsidR="00342EC5" w:rsidRPr="00342EC5" w:rsidRDefault="00342EC5" w:rsidP="00342EC5">
      <w:pPr>
        <w:keepNext/>
        <w:spacing w:before="600" w:after="120" w:line="360" w:lineRule="auto"/>
        <w:rPr>
          <w:szCs w:val="24"/>
          <w:lang w:eastAsia="en-US"/>
        </w:rPr>
      </w:pPr>
      <w:r w:rsidRPr="00342EC5">
        <w:rPr>
          <w:szCs w:val="24"/>
          <w:lang w:eastAsia="en-US"/>
        </w:rPr>
        <w:t>EUROPA-PARLAMENTET OG RÅDET FOR DEN EUROPÆISKE UNION HAR —</w:t>
      </w:r>
    </w:p>
    <w:p w14:paraId="0A1C5276" w14:textId="77777777" w:rsidR="00342EC5" w:rsidRPr="00342EC5" w:rsidRDefault="00342EC5" w:rsidP="00342EC5">
      <w:pPr>
        <w:spacing w:before="120" w:after="120" w:line="360" w:lineRule="auto"/>
        <w:rPr>
          <w:lang w:eastAsia="en-US"/>
        </w:rPr>
      </w:pPr>
      <w:r w:rsidRPr="00342EC5">
        <w:rPr>
          <w:lang w:eastAsia="en-US"/>
        </w:rPr>
        <w:t>under henvisning til traktaten om Den Europæiske Unions funktionsmåde, særlig artikel 21, stk. 2, og artikel 114,</w:t>
      </w:r>
    </w:p>
    <w:p w14:paraId="7B941FE7" w14:textId="77777777" w:rsidR="00342EC5" w:rsidRPr="00342EC5" w:rsidRDefault="00342EC5" w:rsidP="00342EC5">
      <w:pPr>
        <w:spacing w:before="120" w:after="120" w:line="360" w:lineRule="auto"/>
        <w:rPr>
          <w:lang w:eastAsia="en-US"/>
        </w:rPr>
      </w:pPr>
      <w:r w:rsidRPr="00342EC5">
        <w:rPr>
          <w:lang w:eastAsia="en-US"/>
        </w:rPr>
        <w:t>under henvisning til forslag fra Europa-Kommissionen,</w:t>
      </w:r>
    </w:p>
    <w:p w14:paraId="7C98D31B" w14:textId="77777777" w:rsidR="00342EC5" w:rsidRPr="00342EC5" w:rsidRDefault="00342EC5" w:rsidP="00342EC5">
      <w:pPr>
        <w:spacing w:before="120" w:after="120" w:line="360" w:lineRule="auto"/>
        <w:rPr>
          <w:lang w:eastAsia="en-US"/>
        </w:rPr>
      </w:pPr>
      <w:r w:rsidRPr="00342EC5">
        <w:rPr>
          <w:lang w:eastAsia="en-US"/>
        </w:rPr>
        <w:t>efter fremsendelse af udkast til lovgivningsmæssig retsakt til de nationale parlamenter,</w:t>
      </w:r>
    </w:p>
    <w:p w14:paraId="0DE7AC1F" w14:textId="77777777" w:rsidR="00342EC5" w:rsidRPr="00342EC5" w:rsidRDefault="00342EC5" w:rsidP="00342EC5">
      <w:pPr>
        <w:spacing w:before="120" w:after="120" w:line="360" w:lineRule="auto"/>
        <w:rPr>
          <w:lang w:eastAsia="en-US"/>
        </w:rPr>
      </w:pPr>
      <w:r w:rsidRPr="00342EC5">
        <w:rPr>
          <w:lang w:eastAsia="en-US"/>
        </w:rPr>
        <w:t>under henvisning til udtalelse fra Det Europæiske Økonomiske og Sociale Udvalg</w:t>
      </w:r>
      <w:r w:rsidRPr="00342EC5">
        <w:rPr>
          <w:vertAlign w:val="superscript"/>
          <w:lang w:val="en-GB" w:eastAsia="en-US"/>
        </w:rPr>
        <w:footnoteReference w:id="2"/>
      </w:r>
      <w:r w:rsidRPr="00342EC5">
        <w:rPr>
          <w:lang w:eastAsia="en-US"/>
        </w:rPr>
        <w:t>,</w:t>
      </w:r>
    </w:p>
    <w:p w14:paraId="0BC2D7BD" w14:textId="77777777" w:rsidR="00342EC5" w:rsidRPr="00342EC5" w:rsidRDefault="00342EC5" w:rsidP="00342EC5">
      <w:pPr>
        <w:spacing w:before="120" w:after="120" w:line="360" w:lineRule="auto"/>
        <w:rPr>
          <w:lang w:eastAsia="en-US"/>
        </w:rPr>
      </w:pPr>
      <w:r w:rsidRPr="00342EC5">
        <w:rPr>
          <w:lang w:eastAsia="en-US"/>
        </w:rPr>
        <w:t>efter den almindelige lovgivningsprocedure, og</w:t>
      </w:r>
    </w:p>
    <w:p w14:paraId="60F6911D" w14:textId="77777777" w:rsidR="00123281" w:rsidRDefault="00123281">
      <w:pPr>
        <w:widowControl/>
        <w:rPr>
          <w:lang w:eastAsia="en-US"/>
        </w:rPr>
      </w:pPr>
      <w:r>
        <w:rPr>
          <w:lang w:eastAsia="en-US"/>
        </w:rPr>
        <w:br w:type="page"/>
      </w:r>
    </w:p>
    <w:p w14:paraId="4CDB2329" w14:textId="4AA2C1ED" w:rsidR="00342EC5" w:rsidRPr="00342EC5" w:rsidRDefault="00342EC5" w:rsidP="00342EC5">
      <w:pPr>
        <w:spacing w:before="120" w:after="120" w:line="360" w:lineRule="auto"/>
        <w:rPr>
          <w:lang w:eastAsia="en-US"/>
        </w:rPr>
      </w:pPr>
      <w:r w:rsidRPr="00342EC5">
        <w:rPr>
          <w:lang w:eastAsia="en-US"/>
        </w:rPr>
        <w:lastRenderedPageBreak/>
        <w:t>ud fra følgende betragtninger:</w:t>
      </w:r>
    </w:p>
    <w:p w14:paraId="0DE0A9E6" w14:textId="56A6BC17" w:rsidR="00342EC5" w:rsidRPr="00342EC5" w:rsidRDefault="00342EC5" w:rsidP="00342EC5">
      <w:pPr>
        <w:spacing w:before="120" w:after="120" w:line="360" w:lineRule="auto"/>
        <w:ind w:left="850" w:hanging="850"/>
        <w:rPr>
          <w:szCs w:val="24"/>
          <w:lang w:eastAsia="en-US"/>
        </w:rPr>
      </w:pPr>
      <w:r w:rsidRPr="00342EC5">
        <w:rPr>
          <w:szCs w:val="24"/>
          <w:lang w:eastAsia="en-US"/>
        </w:rPr>
        <w:t>(1)</w:t>
      </w:r>
      <w:r w:rsidRPr="00342EC5">
        <w:rPr>
          <w:szCs w:val="24"/>
          <w:lang w:eastAsia="en-US"/>
        </w:rPr>
        <w:tab/>
        <w:t>Ved Europa-Parlamentets og Rådets direktiv (EU) om europæiske grænseoverskridende foreninger (COM(2023)</w:t>
      </w:r>
      <w:r w:rsidR="00FD1751">
        <w:rPr>
          <w:szCs w:val="24"/>
          <w:lang w:eastAsia="en-US"/>
        </w:rPr>
        <w:t>0</w:t>
      </w:r>
      <w:r w:rsidRPr="00342EC5">
        <w:rPr>
          <w:szCs w:val="24"/>
          <w:lang w:eastAsia="en-US"/>
        </w:rPr>
        <w:t>516)</w:t>
      </w:r>
      <w:r w:rsidRPr="00342EC5">
        <w:rPr>
          <w:szCs w:val="24"/>
          <w:vertAlign w:val="superscript"/>
          <w:lang w:val="en-GB" w:eastAsia="en-US"/>
        </w:rPr>
        <w:footnoteReference w:id="3"/>
      </w:r>
      <w:r w:rsidRPr="00342EC5">
        <w:rPr>
          <w:szCs w:val="24"/>
          <w:lang w:eastAsia="en-US"/>
        </w:rPr>
        <w:t xml:space="preserve"> er der fastsat foranstaltninger til koordinering af betingelserne for at oprette og drive europæiske grænseoverskridende foreninger med henblik på at give nonprofitorganisationer, der opererer på det indre marked, mulighed for effektivt at udøve deres ret til fri bevægelighed.</w:t>
      </w:r>
    </w:p>
    <w:p w14:paraId="7EE29366" w14:textId="1FCACE6C" w:rsidR="00342EC5" w:rsidRPr="00342EC5" w:rsidRDefault="00342EC5" w:rsidP="00342EC5">
      <w:pPr>
        <w:spacing w:before="120" w:after="120" w:line="360" w:lineRule="auto"/>
        <w:ind w:left="850" w:hanging="850"/>
        <w:rPr>
          <w:b/>
          <w:szCs w:val="24"/>
          <w:lang w:eastAsia="en-US"/>
        </w:rPr>
      </w:pPr>
      <w:r w:rsidRPr="00342EC5">
        <w:rPr>
          <w:szCs w:val="24"/>
          <w:lang w:eastAsia="en-US"/>
        </w:rPr>
        <w:t>(2)</w:t>
      </w:r>
      <w:r w:rsidRPr="00342EC5">
        <w:rPr>
          <w:szCs w:val="24"/>
          <w:lang w:eastAsia="en-US"/>
        </w:rPr>
        <w:tab/>
        <w:t xml:space="preserve">I henhold til artikel </w:t>
      </w:r>
      <w:r w:rsidRPr="00342EC5">
        <w:rPr>
          <w:strike/>
          <w:szCs w:val="24"/>
          <w:lang w:eastAsia="en-US"/>
        </w:rPr>
        <w:t>30</w:t>
      </w:r>
      <w:r w:rsidRPr="00342EC5">
        <w:rPr>
          <w:b/>
          <w:i/>
          <w:szCs w:val="24"/>
          <w:lang w:eastAsia="en-US"/>
        </w:rPr>
        <w:t>28</w:t>
      </w:r>
      <w:r w:rsidRPr="00342EC5">
        <w:rPr>
          <w:szCs w:val="24"/>
          <w:lang w:eastAsia="en-US"/>
        </w:rPr>
        <w:t>, stk. 2, i direktiv COM(2023)</w:t>
      </w:r>
      <w:r w:rsidR="00FD1751">
        <w:rPr>
          <w:szCs w:val="24"/>
          <w:lang w:eastAsia="en-US"/>
        </w:rPr>
        <w:t>0516</w:t>
      </w:r>
      <w:r w:rsidRPr="00342EC5">
        <w:rPr>
          <w:szCs w:val="24"/>
          <w:lang w:eastAsia="en-US"/>
        </w:rPr>
        <w:t xml:space="preserve"> skal det administrative samarbejde og udvekslingen af oplysninger mellem medlemsstaternes kompetente myndigheder gennemføres via informationssystemet for det indre marked ("</w:t>
      </w:r>
      <w:r w:rsidRPr="00342EC5">
        <w:rPr>
          <w:b/>
          <w:i/>
          <w:szCs w:val="24"/>
          <w:lang w:eastAsia="en-US"/>
        </w:rPr>
        <w:t>IMI-systemet</w:t>
      </w:r>
      <w:r w:rsidRPr="00342EC5">
        <w:rPr>
          <w:szCs w:val="24"/>
          <w:lang w:eastAsia="en-US"/>
        </w:rPr>
        <w:t>")</w:t>
      </w:r>
      <w:r w:rsidRPr="00342EC5">
        <w:rPr>
          <w:strike/>
          <w:szCs w:val="24"/>
          <w:lang w:eastAsia="en-US"/>
        </w:rPr>
        <w:t>,</w:t>
      </w:r>
      <w:r w:rsidRPr="00342EC5">
        <w:rPr>
          <w:szCs w:val="24"/>
          <w:lang w:eastAsia="en-US"/>
        </w:rPr>
        <w:t xml:space="preserve"> som blev oprettet ved Europa-Parlamentets og Rådets forordning (EU) nr. 1024/2012</w:t>
      </w:r>
      <w:r w:rsidRPr="00342EC5">
        <w:rPr>
          <w:szCs w:val="24"/>
          <w:vertAlign w:val="superscript"/>
          <w:lang w:val="en-GB" w:eastAsia="en-US"/>
        </w:rPr>
        <w:footnoteReference w:id="4"/>
      </w:r>
      <w:r w:rsidRPr="00342EC5">
        <w:rPr>
          <w:szCs w:val="24"/>
          <w:lang w:eastAsia="en-US"/>
        </w:rPr>
        <w:t xml:space="preserve">. De nødvendige administrative samarbejdsprocedurer </w:t>
      </w:r>
      <w:r w:rsidRPr="00342EC5">
        <w:rPr>
          <w:b/>
          <w:i/>
          <w:szCs w:val="24"/>
          <w:lang w:eastAsia="en-US"/>
        </w:rPr>
        <w:t xml:space="preserve">og procedurerne for udveksling af oplysninger mellem de kompetente myndigheder </w:t>
      </w:r>
      <w:r w:rsidRPr="00342EC5">
        <w:rPr>
          <w:szCs w:val="24"/>
          <w:lang w:eastAsia="en-US"/>
        </w:rPr>
        <w:t>bør derfor indføres i IMI-systemet.</w:t>
      </w:r>
      <w:r w:rsidRPr="00342EC5">
        <w:rPr>
          <w:b/>
          <w:szCs w:val="24"/>
          <w:lang w:eastAsia="en-US"/>
        </w:rPr>
        <w:t xml:space="preserve"> [Ændring 1]</w:t>
      </w:r>
    </w:p>
    <w:p w14:paraId="5A98B2F2" w14:textId="77777777" w:rsidR="00123281" w:rsidRDefault="00123281">
      <w:pPr>
        <w:widowControl/>
        <w:rPr>
          <w:szCs w:val="24"/>
          <w:lang w:eastAsia="en-US"/>
        </w:rPr>
      </w:pPr>
      <w:r>
        <w:rPr>
          <w:szCs w:val="24"/>
          <w:lang w:eastAsia="en-US"/>
        </w:rPr>
        <w:br w:type="page"/>
      </w:r>
    </w:p>
    <w:p w14:paraId="553DAEC2" w14:textId="6E29F494" w:rsidR="00342EC5" w:rsidRPr="00342EC5" w:rsidRDefault="00342EC5" w:rsidP="00342EC5">
      <w:pPr>
        <w:spacing w:before="120" w:after="120" w:line="360" w:lineRule="auto"/>
        <w:ind w:left="850" w:hanging="850"/>
        <w:rPr>
          <w:b/>
          <w:szCs w:val="24"/>
          <w:lang w:eastAsia="en-US"/>
        </w:rPr>
      </w:pPr>
      <w:r w:rsidRPr="00342EC5">
        <w:rPr>
          <w:szCs w:val="24"/>
          <w:lang w:eastAsia="en-US"/>
        </w:rPr>
        <w:lastRenderedPageBreak/>
        <w:t>(3)</w:t>
      </w:r>
      <w:r w:rsidRPr="00342EC5">
        <w:rPr>
          <w:szCs w:val="24"/>
          <w:lang w:eastAsia="en-US"/>
        </w:rPr>
        <w:tab/>
        <w:t>I henhold til artikel 2 og 3 i Europa-Parlamentets og Rådets forordning (EU) 2018/1724</w:t>
      </w:r>
      <w:r w:rsidRPr="00342EC5">
        <w:rPr>
          <w:szCs w:val="24"/>
          <w:vertAlign w:val="superscript"/>
          <w:lang w:val="en-GB" w:eastAsia="en-US"/>
        </w:rPr>
        <w:footnoteReference w:id="5"/>
      </w:r>
      <w:r w:rsidRPr="00342EC5">
        <w:rPr>
          <w:strike/>
          <w:szCs w:val="24"/>
          <w:lang w:eastAsia="en-US"/>
        </w:rPr>
        <w:t>skal</w:t>
      </w:r>
      <w:r w:rsidRPr="00342EC5">
        <w:rPr>
          <w:b/>
          <w:i/>
          <w:szCs w:val="24"/>
          <w:lang w:eastAsia="en-US"/>
        </w:rPr>
        <w:t>giver</w:t>
      </w:r>
      <w:r w:rsidRPr="00342EC5">
        <w:rPr>
          <w:szCs w:val="24"/>
          <w:lang w:eastAsia="en-US"/>
        </w:rPr>
        <w:t xml:space="preserve"> den fælles digitale portal</w:t>
      </w:r>
      <w:r w:rsidRPr="00342EC5">
        <w:rPr>
          <w:strike/>
          <w:szCs w:val="24"/>
          <w:lang w:eastAsia="en-US"/>
        </w:rPr>
        <w:t xml:space="preserve"> give</w:t>
      </w:r>
      <w:r w:rsidRPr="00342EC5">
        <w:rPr>
          <w:szCs w:val="24"/>
          <w:lang w:eastAsia="en-US"/>
        </w:rPr>
        <w:t xml:space="preserve"> adgang til oplysninger, procedurer og bistands- og problemløsningstjenester for unionsborgere, fysiske personer bosiddende i en medlemsstat samt juridiske personer med vedtægtsmæssigt hjemsted i en medlemsstat. Den operative del af og bilag I til forordning (EU) 2018/1724 bør ændres </w:t>
      </w:r>
      <w:r w:rsidRPr="00342EC5">
        <w:rPr>
          <w:b/>
          <w:i/>
          <w:szCs w:val="24"/>
          <w:lang w:eastAsia="en-US"/>
        </w:rPr>
        <w:t xml:space="preserve">ved nærværende forordning </w:t>
      </w:r>
      <w:r w:rsidRPr="00342EC5">
        <w:rPr>
          <w:szCs w:val="24"/>
          <w:lang w:eastAsia="en-US"/>
        </w:rPr>
        <w:t>for at sikre, at anvendelsesområdet ikke kan opfattes som værende begrænset til udelukkende at omfatte borgere og virksomheder, men at det fremgår, at anvendelsesområdet tillige omfatter andre juridiske personer end virksomheder, som f.eks. europæiske grænseoverskridende foreninger.</w:t>
      </w:r>
      <w:r w:rsidRPr="00342EC5">
        <w:rPr>
          <w:b/>
          <w:szCs w:val="24"/>
          <w:lang w:eastAsia="en-US"/>
        </w:rPr>
        <w:t xml:space="preserve"> [Ændring 2]</w:t>
      </w:r>
    </w:p>
    <w:p w14:paraId="3A66284F" w14:textId="50A29EE9" w:rsidR="00342EC5" w:rsidRPr="00342EC5" w:rsidRDefault="00342EC5" w:rsidP="00342EC5">
      <w:pPr>
        <w:spacing w:before="120" w:after="120" w:line="360" w:lineRule="auto"/>
        <w:ind w:left="850" w:hanging="850"/>
        <w:rPr>
          <w:szCs w:val="24"/>
          <w:lang w:eastAsia="en-US"/>
        </w:rPr>
      </w:pPr>
      <w:r w:rsidRPr="00342EC5">
        <w:rPr>
          <w:szCs w:val="24"/>
          <w:lang w:eastAsia="en-US"/>
        </w:rPr>
        <w:t>(4)</w:t>
      </w:r>
      <w:r w:rsidRPr="00342EC5">
        <w:rPr>
          <w:szCs w:val="24"/>
          <w:lang w:eastAsia="en-US"/>
        </w:rPr>
        <w:tab/>
        <w:t xml:space="preserve">I Europa-Parlamentets og Rådets forordning (EU) 2018/1724, hvorved den fælles digitale portal blev oprettet, er der fastsat generelle regler for online </w:t>
      </w:r>
      <w:proofErr w:type="spellStart"/>
      <w:r w:rsidRPr="00342EC5">
        <w:rPr>
          <w:szCs w:val="24"/>
          <w:lang w:eastAsia="en-US"/>
        </w:rPr>
        <w:t>tilrådighedsstillelse</w:t>
      </w:r>
      <w:proofErr w:type="spellEnd"/>
      <w:r w:rsidRPr="00342EC5">
        <w:rPr>
          <w:szCs w:val="24"/>
          <w:lang w:eastAsia="en-US"/>
        </w:rPr>
        <w:t xml:space="preserve"> af oplysninger, procedurer og bistandstjenester, som er relevante for et velfungerende indre marked. De procedurer, der er omfattet af nærværende forordning, bør opfylde kravene i forordning (EU) 2018/1724, således at det sikres, at enhver europæisk grænseoverskridende forening kan benytte sig af procedurer, der udføres helt online, og af automatisk grænseoverskridende udveksling af dokumentation, i overensstemmelse med engangsprincippet. Disse procedurer omfatter ansøgning om registrering af en europæisk grænseoverskridende forening samt flytning af en europæisk grænseoverskridende forenings vedtægtsmæssige hjemsted.</w:t>
      </w:r>
    </w:p>
    <w:p w14:paraId="750121BA" w14:textId="77777777" w:rsidR="00123281" w:rsidRDefault="00123281">
      <w:pPr>
        <w:widowControl/>
        <w:rPr>
          <w:szCs w:val="24"/>
          <w:lang w:eastAsia="en-US"/>
        </w:rPr>
      </w:pPr>
      <w:r>
        <w:rPr>
          <w:szCs w:val="24"/>
          <w:lang w:eastAsia="en-US"/>
        </w:rPr>
        <w:br w:type="page"/>
      </w:r>
    </w:p>
    <w:p w14:paraId="7C2544C0" w14:textId="2F15DE62" w:rsidR="00342EC5" w:rsidRPr="00342EC5" w:rsidRDefault="00342EC5" w:rsidP="00342EC5">
      <w:pPr>
        <w:spacing w:before="120" w:after="120" w:line="360" w:lineRule="auto"/>
        <w:ind w:left="850" w:hanging="850"/>
        <w:rPr>
          <w:szCs w:val="24"/>
          <w:lang w:eastAsia="en-US"/>
        </w:rPr>
      </w:pPr>
      <w:r w:rsidRPr="00342EC5">
        <w:rPr>
          <w:szCs w:val="24"/>
          <w:lang w:eastAsia="en-US"/>
        </w:rPr>
        <w:lastRenderedPageBreak/>
        <w:t>(5)</w:t>
      </w:r>
      <w:r w:rsidRPr="00342EC5">
        <w:rPr>
          <w:szCs w:val="24"/>
          <w:lang w:eastAsia="en-US"/>
        </w:rPr>
        <w:tab/>
        <w:t>Forordning (EU) nr. 1024/2012 og (EU) 2018/1724 bør derfor ændres i overensstemmelse hermed.</w:t>
      </w:r>
    </w:p>
    <w:p w14:paraId="3CCB62BA" w14:textId="77777777" w:rsidR="00342EC5" w:rsidRPr="00342EC5" w:rsidRDefault="00342EC5" w:rsidP="00342EC5">
      <w:pPr>
        <w:spacing w:before="120" w:after="120" w:line="360" w:lineRule="auto"/>
        <w:ind w:left="850" w:hanging="850"/>
        <w:rPr>
          <w:b/>
          <w:szCs w:val="24"/>
          <w:lang w:eastAsia="en-US"/>
        </w:rPr>
      </w:pPr>
      <w:r w:rsidRPr="00342EC5">
        <w:rPr>
          <w:b/>
          <w:i/>
          <w:szCs w:val="24"/>
          <w:lang w:eastAsia="en-US"/>
        </w:rPr>
        <w:t>(</w:t>
      </w:r>
      <w:proofErr w:type="spellStart"/>
      <w:r w:rsidRPr="00342EC5">
        <w:rPr>
          <w:b/>
          <w:i/>
          <w:szCs w:val="24"/>
          <w:lang w:eastAsia="en-US"/>
        </w:rPr>
        <w:t>5a</w:t>
      </w:r>
      <w:proofErr w:type="spellEnd"/>
      <w:r w:rsidRPr="00342EC5">
        <w:rPr>
          <w:b/>
          <w:i/>
          <w:szCs w:val="24"/>
          <w:lang w:eastAsia="en-US"/>
        </w:rPr>
        <w:t>)</w:t>
      </w:r>
      <w:r w:rsidRPr="00342EC5">
        <w:rPr>
          <w:szCs w:val="24"/>
          <w:lang w:eastAsia="en-US"/>
        </w:rPr>
        <w:tab/>
      </w:r>
      <w:r w:rsidRPr="00342EC5">
        <w:rPr>
          <w:b/>
          <w:i/>
          <w:szCs w:val="24"/>
          <w:lang w:eastAsia="en-US"/>
        </w:rPr>
        <w:t xml:space="preserve">Den Europæiske Tilsynsførende for Databeskyttelse er blevet hørt i overensstemmelse med artikel 42, stk. 1, i forordning (EU) 2018/1725 og afgav en udtalelse den 31. oktober 2023 </w:t>
      </w:r>
      <w:r w:rsidRPr="00342EC5">
        <w:rPr>
          <w:rFonts w:eastAsia="Calibri"/>
          <w:noProof/>
          <w:szCs w:val="22"/>
          <w:lang w:eastAsia="en-US"/>
        </w:rPr>
        <w:t>—</w:t>
      </w:r>
      <w:r w:rsidRPr="00342EC5">
        <w:rPr>
          <w:b/>
          <w:szCs w:val="24"/>
          <w:lang w:eastAsia="en-US"/>
        </w:rPr>
        <w:t xml:space="preserve"> [Ændring 3]</w:t>
      </w:r>
    </w:p>
    <w:p w14:paraId="61973F7A" w14:textId="77777777" w:rsidR="00342EC5" w:rsidRPr="00342EC5" w:rsidRDefault="00342EC5" w:rsidP="00342EC5">
      <w:pPr>
        <w:keepNext/>
        <w:widowControl/>
        <w:spacing w:before="120" w:after="120" w:line="360" w:lineRule="auto"/>
        <w:rPr>
          <w:szCs w:val="24"/>
          <w:lang w:eastAsia="en-US"/>
        </w:rPr>
      </w:pPr>
      <w:r w:rsidRPr="00342EC5">
        <w:rPr>
          <w:szCs w:val="24"/>
          <w:lang w:eastAsia="en-US"/>
        </w:rPr>
        <w:t>VEDTAGET DENNE FORORDNING:</w:t>
      </w:r>
    </w:p>
    <w:p w14:paraId="59C287AE" w14:textId="77777777" w:rsidR="00123281" w:rsidRDefault="00123281">
      <w:pPr>
        <w:widowControl/>
        <w:rPr>
          <w:szCs w:val="24"/>
          <w:lang w:eastAsia="en-US"/>
        </w:rPr>
      </w:pPr>
      <w:r>
        <w:rPr>
          <w:szCs w:val="24"/>
          <w:lang w:eastAsia="en-US"/>
        </w:rPr>
        <w:br w:type="page"/>
      </w:r>
    </w:p>
    <w:p w14:paraId="026B1739" w14:textId="4777CB64" w:rsidR="00342EC5" w:rsidRPr="00342EC5" w:rsidRDefault="00342EC5" w:rsidP="00342EC5">
      <w:pPr>
        <w:spacing w:before="120" w:after="120" w:line="360" w:lineRule="auto"/>
        <w:jc w:val="center"/>
        <w:rPr>
          <w:szCs w:val="24"/>
          <w:lang w:eastAsia="en-US"/>
        </w:rPr>
      </w:pPr>
      <w:r w:rsidRPr="00342EC5">
        <w:rPr>
          <w:szCs w:val="24"/>
          <w:lang w:eastAsia="en-US"/>
        </w:rPr>
        <w:lastRenderedPageBreak/>
        <w:t>Artikel 1</w:t>
      </w:r>
      <w:r w:rsidRPr="00342EC5">
        <w:rPr>
          <w:szCs w:val="24"/>
          <w:lang w:eastAsia="en-US"/>
        </w:rPr>
        <w:br/>
        <w:t>Ændring af forordning (EU) nr. 1024/2012</w:t>
      </w:r>
    </w:p>
    <w:p w14:paraId="61668866" w14:textId="7F516DC2" w:rsidR="00342EC5" w:rsidRPr="00342EC5" w:rsidRDefault="00342EC5" w:rsidP="00342EC5">
      <w:pPr>
        <w:spacing w:before="120" w:after="120" w:line="360" w:lineRule="auto"/>
        <w:ind w:left="850" w:hanging="850"/>
        <w:rPr>
          <w:szCs w:val="24"/>
          <w:lang w:eastAsia="en-US"/>
        </w:rPr>
      </w:pPr>
      <w:r w:rsidRPr="00342EC5">
        <w:rPr>
          <w:szCs w:val="24"/>
          <w:lang w:eastAsia="en-US"/>
        </w:rPr>
        <w:t>I bilaget til forordning (EU) nr. 1024/2012 tilføjes følgende punkt 16:</w:t>
      </w:r>
    </w:p>
    <w:p w14:paraId="358B8EB8" w14:textId="5480B639" w:rsidR="00342EC5" w:rsidRPr="00342EC5" w:rsidRDefault="003B583D" w:rsidP="003B583D">
      <w:pPr>
        <w:spacing w:before="120" w:after="120" w:line="360" w:lineRule="auto"/>
        <w:ind w:left="851" w:hanging="851"/>
        <w:rPr>
          <w:szCs w:val="24"/>
          <w:lang w:eastAsia="en-US"/>
        </w:rPr>
      </w:pPr>
      <w:r w:rsidRPr="00342EC5">
        <w:rPr>
          <w:szCs w:val="24"/>
          <w:lang w:eastAsia="en-US"/>
        </w:rPr>
        <w:t>"</w:t>
      </w:r>
      <w:r w:rsidR="00342EC5" w:rsidRPr="00342EC5">
        <w:rPr>
          <w:szCs w:val="24"/>
          <w:lang w:eastAsia="en-US"/>
        </w:rPr>
        <w:t>16.</w:t>
      </w:r>
      <w:r w:rsidR="00342EC5" w:rsidRPr="00342EC5">
        <w:rPr>
          <w:szCs w:val="24"/>
          <w:lang w:eastAsia="en-US"/>
        </w:rPr>
        <w:tab/>
        <w:t>Europa-Parlamentets og Rådets direktiv (EU) om europæiske grænseoverskridende foreninger (</w:t>
      </w:r>
      <w:proofErr w:type="gramStart"/>
      <w:r w:rsidR="00342EC5" w:rsidRPr="00342EC5">
        <w:rPr>
          <w:szCs w:val="24"/>
          <w:lang w:eastAsia="en-US"/>
        </w:rPr>
        <w:t>COM(</w:t>
      </w:r>
      <w:proofErr w:type="gramEnd"/>
      <w:r w:rsidR="00342EC5" w:rsidRPr="00342EC5">
        <w:rPr>
          <w:szCs w:val="24"/>
          <w:lang w:eastAsia="en-US"/>
        </w:rPr>
        <w:t>2023)0516)</w:t>
      </w:r>
      <w:r w:rsidR="00342EC5" w:rsidRPr="00EB112D">
        <w:rPr>
          <w:szCs w:val="24"/>
          <w:vertAlign w:val="superscript"/>
          <w:lang w:eastAsia="en-US"/>
        </w:rPr>
        <w:t>*</w:t>
      </w:r>
      <w:r w:rsidR="00342EC5" w:rsidRPr="00342EC5">
        <w:rPr>
          <w:szCs w:val="24"/>
          <w:lang w:eastAsia="en-US"/>
        </w:rPr>
        <w:t>: artikel 19, stk. 2, artikel 19, stk. 4, artikel 23, stk. 5, artikel 23, stk. 6, artikel 23, stk. 7, artikel 24, stk. 3, artikel 25, stk. 6, og artikel 27.</w:t>
      </w:r>
    </w:p>
    <w:p w14:paraId="45EEF545" w14:textId="77777777" w:rsidR="00342EC5" w:rsidRPr="00342EC5" w:rsidRDefault="00342EC5" w:rsidP="003B583D">
      <w:pPr>
        <w:spacing w:before="120" w:after="120" w:line="360" w:lineRule="auto"/>
        <w:ind w:left="851"/>
        <w:rPr>
          <w:szCs w:val="24"/>
          <w:lang w:eastAsia="en-US"/>
        </w:rPr>
      </w:pPr>
      <w:r w:rsidRPr="00342EC5">
        <w:rPr>
          <w:szCs w:val="24"/>
          <w:lang w:eastAsia="en-US"/>
        </w:rPr>
        <w:t>____________________</w:t>
      </w:r>
    </w:p>
    <w:p w14:paraId="7B443C64" w14:textId="68DB9A99" w:rsidR="00342EC5" w:rsidRPr="00342EC5" w:rsidRDefault="00342EC5" w:rsidP="003B583D">
      <w:pPr>
        <w:spacing w:before="120" w:after="120" w:line="360" w:lineRule="auto"/>
        <w:ind w:left="851"/>
        <w:rPr>
          <w:szCs w:val="24"/>
          <w:lang w:eastAsia="en-US"/>
        </w:rPr>
      </w:pPr>
      <w:r w:rsidRPr="00EB112D">
        <w:rPr>
          <w:szCs w:val="24"/>
          <w:vertAlign w:val="superscript"/>
          <w:lang w:eastAsia="en-US"/>
        </w:rPr>
        <w:t>*</w:t>
      </w:r>
      <w:r w:rsidRPr="00342EC5">
        <w:rPr>
          <w:szCs w:val="24"/>
          <w:lang w:eastAsia="en-US"/>
        </w:rPr>
        <w:t xml:space="preserve"> (</w:t>
      </w:r>
      <w:proofErr w:type="spellStart"/>
      <w:r w:rsidRPr="00342EC5">
        <w:rPr>
          <w:szCs w:val="24"/>
          <w:lang w:eastAsia="en-US"/>
        </w:rPr>
        <w:t>EUT</w:t>
      </w:r>
      <w:proofErr w:type="spellEnd"/>
      <w:r w:rsidRPr="00342EC5">
        <w:rPr>
          <w:szCs w:val="24"/>
          <w:lang w:eastAsia="en-US"/>
        </w:rPr>
        <w:t>-henvisning).</w:t>
      </w:r>
      <w:r w:rsidR="003B583D" w:rsidRPr="00342EC5">
        <w:rPr>
          <w:szCs w:val="24"/>
          <w:lang w:eastAsia="en-US"/>
        </w:rPr>
        <w:t>"</w:t>
      </w:r>
    </w:p>
    <w:p w14:paraId="104EF652" w14:textId="77777777" w:rsidR="00123281" w:rsidRDefault="00123281">
      <w:pPr>
        <w:widowControl/>
        <w:rPr>
          <w:szCs w:val="24"/>
          <w:lang w:eastAsia="en-US"/>
        </w:rPr>
      </w:pPr>
      <w:r>
        <w:rPr>
          <w:szCs w:val="24"/>
          <w:lang w:eastAsia="en-US"/>
        </w:rPr>
        <w:br w:type="page"/>
      </w:r>
    </w:p>
    <w:p w14:paraId="03CDD0DA" w14:textId="16DBFB93" w:rsidR="00342EC5" w:rsidRPr="00342EC5" w:rsidRDefault="00342EC5" w:rsidP="00342EC5">
      <w:pPr>
        <w:spacing w:before="120" w:after="120" w:line="360" w:lineRule="auto"/>
        <w:jc w:val="center"/>
        <w:rPr>
          <w:szCs w:val="24"/>
          <w:lang w:eastAsia="en-US"/>
        </w:rPr>
      </w:pPr>
      <w:r w:rsidRPr="00342EC5">
        <w:rPr>
          <w:szCs w:val="24"/>
          <w:lang w:eastAsia="en-US"/>
        </w:rPr>
        <w:lastRenderedPageBreak/>
        <w:t>Artikel 2</w:t>
      </w:r>
      <w:r w:rsidRPr="00342EC5">
        <w:rPr>
          <w:szCs w:val="24"/>
          <w:lang w:eastAsia="en-US"/>
        </w:rPr>
        <w:br/>
        <w:t>Ændring af forordning (EU) 2018/1724</w:t>
      </w:r>
    </w:p>
    <w:p w14:paraId="09D1ECE0" w14:textId="77777777" w:rsidR="00342EC5" w:rsidRPr="00342EC5" w:rsidRDefault="00342EC5" w:rsidP="00342EC5">
      <w:pPr>
        <w:spacing w:before="120" w:after="120" w:line="360" w:lineRule="auto"/>
        <w:rPr>
          <w:szCs w:val="24"/>
          <w:lang w:eastAsia="en-US"/>
        </w:rPr>
      </w:pPr>
      <w:r w:rsidRPr="00342EC5">
        <w:rPr>
          <w:szCs w:val="24"/>
          <w:lang w:eastAsia="en-US"/>
        </w:rPr>
        <w:t>I bilag I til forordning (EU) 2018/1724 foretages følgende ændringer:</w:t>
      </w:r>
    </w:p>
    <w:p w14:paraId="55791142" w14:textId="77777777" w:rsidR="00342EC5" w:rsidRPr="00342EC5" w:rsidRDefault="00342EC5" w:rsidP="00342EC5">
      <w:pPr>
        <w:spacing w:before="120" w:after="120" w:line="360" w:lineRule="auto"/>
        <w:ind w:left="850" w:hanging="850"/>
        <w:rPr>
          <w:szCs w:val="24"/>
          <w:lang w:eastAsia="en-US"/>
        </w:rPr>
      </w:pPr>
      <w:r w:rsidRPr="00342EC5">
        <w:rPr>
          <w:szCs w:val="24"/>
          <w:lang w:eastAsia="en-US"/>
        </w:rPr>
        <w:t>1)</w:t>
      </w:r>
      <w:r w:rsidRPr="00342EC5">
        <w:rPr>
          <w:szCs w:val="24"/>
          <w:lang w:eastAsia="en-US"/>
        </w:rPr>
        <w:tab/>
        <w:t>Artikel 1, stk. 1, litra a), affattes således:</w:t>
      </w:r>
    </w:p>
    <w:p w14:paraId="2098008C" w14:textId="7CB37156" w:rsidR="00342EC5" w:rsidRPr="00342EC5" w:rsidRDefault="00342EC5" w:rsidP="00342EC5">
      <w:pPr>
        <w:spacing w:before="120" w:after="120" w:line="360" w:lineRule="auto"/>
        <w:ind w:left="1416" w:hanging="566"/>
        <w:rPr>
          <w:szCs w:val="24"/>
          <w:lang w:eastAsia="en-US"/>
        </w:rPr>
      </w:pPr>
      <w:r w:rsidRPr="00342EC5">
        <w:rPr>
          <w:szCs w:val="24"/>
          <w:lang w:eastAsia="en-US"/>
        </w:rPr>
        <w:t>"a)</w:t>
      </w:r>
      <w:r w:rsidRPr="00342EC5">
        <w:rPr>
          <w:szCs w:val="24"/>
          <w:lang w:eastAsia="en-US"/>
        </w:rPr>
        <w:tab/>
        <w:t xml:space="preserve">oprettelse og drift af en fælles digital portal, som giver borgere, virksomheder og juridiske personer, som ikke er virksomheder, let adgang til oplysninger af høj kvalitet, til effektive procedurer og til effektive bistands- og problemløsningstjenester vedrørende EU-regler og nationale regler gældende for borgere, virksomheder og juridiske personer, som ikke er virksomheder, som udøver eller har til hensigt at udøve deres rettigheder i medfør af EU-retten på området det indre marked, jf. artikel 26, stk. 2, i </w:t>
      </w:r>
      <w:proofErr w:type="spellStart"/>
      <w:r w:rsidRPr="00342EC5">
        <w:rPr>
          <w:szCs w:val="24"/>
          <w:lang w:eastAsia="en-US"/>
        </w:rPr>
        <w:t>TEUF</w:t>
      </w:r>
      <w:proofErr w:type="spellEnd"/>
      <w:r w:rsidRPr="00342EC5">
        <w:rPr>
          <w:szCs w:val="24"/>
          <w:lang w:eastAsia="en-US"/>
        </w:rPr>
        <w:t>"</w:t>
      </w:r>
    </w:p>
    <w:p w14:paraId="4BFCF562" w14:textId="77777777" w:rsidR="00123281" w:rsidRDefault="00123281">
      <w:pPr>
        <w:widowControl/>
        <w:rPr>
          <w:szCs w:val="24"/>
          <w:lang w:eastAsia="en-US"/>
        </w:rPr>
      </w:pPr>
      <w:r>
        <w:rPr>
          <w:szCs w:val="24"/>
          <w:lang w:eastAsia="en-US"/>
        </w:rPr>
        <w:br w:type="page"/>
      </w:r>
    </w:p>
    <w:p w14:paraId="0259C019" w14:textId="404C58F1" w:rsidR="00342EC5" w:rsidRPr="00342EC5" w:rsidRDefault="00342EC5" w:rsidP="00342EC5">
      <w:pPr>
        <w:spacing w:before="120" w:after="120" w:line="360" w:lineRule="auto"/>
        <w:ind w:left="850" w:hanging="850"/>
        <w:rPr>
          <w:szCs w:val="24"/>
          <w:lang w:eastAsia="en-US"/>
        </w:rPr>
      </w:pPr>
      <w:r w:rsidRPr="00342EC5">
        <w:rPr>
          <w:szCs w:val="24"/>
          <w:lang w:eastAsia="en-US"/>
        </w:rPr>
        <w:lastRenderedPageBreak/>
        <w:t>2)</w:t>
      </w:r>
      <w:r w:rsidRPr="00342EC5">
        <w:rPr>
          <w:szCs w:val="24"/>
          <w:lang w:eastAsia="en-US"/>
        </w:rPr>
        <w:tab/>
        <w:t>Artikel 1, stk. 1, litra b), affattes således:</w:t>
      </w:r>
    </w:p>
    <w:p w14:paraId="482B2C43" w14:textId="7C4345D9" w:rsidR="00342EC5" w:rsidRPr="00342EC5" w:rsidRDefault="00342EC5" w:rsidP="00342EC5">
      <w:pPr>
        <w:spacing w:before="120" w:after="120" w:line="360" w:lineRule="auto"/>
        <w:ind w:left="1416" w:hanging="566"/>
        <w:rPr>
          <w:szCs w:val="24"/>
          <w:lang w:eastAsia="en-US"/>
        </w:rPr>
      </w:pPr>
      <w:r w:rsidRPr="00342EC5">
        <w:rPr>
          <w:szCs w:val="24"/>
          <w:lang w:eastAsia="en-US"/>
        </w:rPr>
        <w:t>"b)</w:t>
      </w:r>
      <w:r w:rsidRPr="00342EC5">
        <w:rPr>
          <w:szCs w:val="24"/>
          <w:lang w:eastAsia="en-US"/>
        </w:rPr>
        <w:tab/>
        <w:t xml:space="preserve">grænseoverskridende brugeres anvendelse af procedurer, og indførelsen af engangsprincippet i forbindelse med de procedurer, der er anført i bilag II til denne forordning, og de procedurer, der er omhandlet i direktiv 2005/36/EF, 2006/123/EF, 2014/24/EU, 2014/25/EU </w:t>
      </w:r>
      <w:proofErr w:type="gramStart"/>
      <w:r w:rsidRPr="00342EC5">
        <w:rPr>
          <w:szCs w:val="24"/>
          <w:lang w:eastAsia="en-US"/>
        </w:rPr>
        <w:t>og …/</w:t>
      </w:r>
      <w:proofErr w:type="gramEnd"/>
      <w:r w:rsidRPr="00342EC5">
        <w:rPr>
          <w:szCs w:val="24"/>
          <w:lang w:eastAsia="en-US"/>
        </w:rPr>
        <w:t>…</w:t>
      </w:r>
      <w:r w:rsidRPr="00EB112D">
        <w:rPr>
          <w:szCs w:val="24"/>
          <w:vertAlign w:val="superscript"/>
          <w:lang w:eastAsia="en-US"/>
        </w:rPr>
        <w:t>*</w:t>
      </w:r>
      <w:r w:rsidRPr="00342EC5">
        <w:rPr>
          <w:szCs w:val="24"/>
          <w:lang w:eastAsia="en-US"/>
        </w:rPr>
        <w:t>"</w:t>
      </w:r>
    </w:p>
    <w:p w14:paraId="3B4DF47D" w14:textId="77777777" w:rsidR="00342EC5" w:rsidRPr="00342EC5" w:rsidRDefault="00342EC5" w:rsidP="00342EC5">
      <w:pPr>
        <w:spacing w:before="120" w:after="120" w:line="360" w:lineRule="auto"/>
        <w:ind w:left="1416"/>
        <w:rPr>
          <w:szCs w:val="24"/>
          <w:lang w:eastAsia="en-US"/>
        </w:rPr>
      </w:pPr>
      <w:r w:rsidRPr="00342EC5">
        <w:rPr>
          <w:szCs w:val="24"/>
          <w:lang w:eastAsia="en-US"/>
        </w:rPr>
        <w:t>____________________</w:t>
      </w:r>
    </w:p>
    <w:p w14:paraId="38A92A57" w14:textId="101131AD" w:rsidR="00342EC5" w:rsidRPr="00342EC5" w:rsidRDefault="00342EC5" w:rsidP="00EB112D">
      <w:pPr>
        <w:spacing w:before="120" w:after="120" w:line="360" w:lineRule="auto"/>
        <w:ind w:left="1985" w:hanging="569"/>
        <w:rPr>
          <w:szCs w:val="24"/>
          <w:lang w:eastAsia="en-US"/>
        </w:rPr>
      </w:pPr>
      <w:r w:rsidRPr="00342EC5">
        <w:rPr>
          <w:szCs w:val="24"/>
          <w:lang w:eastAsia="en-US"/>
        </w:rPr>
        <w:t>"</w:t>
      </w:r>
      <w:r w:rsidRPr="00EB112D">
        <w:rPr>
          <w:szCs w:val="24"/>
          <w:vertAlign w:val="superscript"/>
          <w:lang w:eastAsia="en-US"/>
        </w:rPr>
        <w:t>*</w:t>
      </w:r>
      <w:r w:rsidR="003E3936">
        <w:rPr>
          <w:szCs w:val="24"/>
          <w:lang w:eastAsia="en-US"/>
        </w:rPr>
        <w:tab/>
      </w:r>
      <w:r w:rsidRPr="00342EC5">
        <w:rPr>
          <w:szCs w:val="24"/>
          <w:lang w:eastAsia="en-US"/>
        </w:rPr>
        <w:t>Europa-Parlamentets og Rådets direktiv … om europæiske grænseoverskridende foreninger (</w:t>
      </w:r>
      <w:proofErr w:type="spellStart"/>
      <w:r w:rsidRPr="00342EC5">
        <w:rPr>
          <w:szCs w:val="24"/>
          <w:lang w:eastAsia="en-US"/>
        </w:rPr>
        <w:t>EUT</w:t>
      </w:r>
      <w:proofErr w:type="spellEnd"/>
      <w:r w:rsidRPr="00342EC5">
        <w:rPr>
          <w:szCs w:val="24"/>
          <w:lang w:eastAsia="en-US"/>
        </w:rPr>
        <w:t>-henvisning)."</w:t>
      </w:r>
    </w:p>
    <w:p w14:paraId="4CCA17A8" w14:textId="77777777" w:rsidR="00342EC5" w:rsidRPr="00342EC5" w:rsidRDefault="00342EC5" w:rsidP="00342EC5">
      <w:pPr>
        <w:spacing w:before="120" w:after="120" w:line="360" w:lineRule="auto"/>
        <w:ind w:left="850" w:hanging="850"/>
        <w:rPr>
          <w:szCs w:val="24"/>
          <w:lang w:eastAsia="en-US"/>
        </w:rPr>
      </w:pPr>
      <w:r w:rsidRPr="00342EC5">
        <w:rPr>
          <w:szCs w:val="24"/>
          <w:lang w:eastAsia="en-US"/>
        </w:rPr>
        <w:t>3)</w:t>
      </w:r>
      <w:r w:rsidRPr="00342EC5">
        <w:rPr>
          <w:szCs w:val="24"/>
          <w:lang w:eastAsia="en-US"/>
        </w:rPr>
        <w:tab/>
        <w:t>Artikel 2, stk. 2, litra c), affattes således:</w:t>
      </w:r>
    </w:p>
    <w:p w14:paraId="7FFA6FE1" w14:textId="6F296AD8" w:rsidR="00342EC5" w:rsidRPr="00342EC5" w:rsidRDefault="00342EC5" w:rsidP="00342EC5">
      <w:pPr>
        <w:spacing w:before="120" w:after="120" w:line="360" w:lineRule="auto"/>
        <w:ind w:left="1416" w:hanging="566"/>
        <w:rPr>
          <w:szCs w:val="24"/>
          <w:lang w:eastAsia="en-US"/>
        </w:rPr>
      </w:pPr>
      <w:r w:rsidRPr="00342EC5">
        <w:rPr>
          <w:szCs w:val="24"/>
          <w:lang w:eastAsia="en-US"/>
        </w:rPr>
        <w:t>"c)</w:t>
      </w:r>
      <w:r w:rsidRPr="00342EC5">
        <w:rPr>
          <w:szCs w:val="24"/>
          <w:lang w:eastAsia="en-US"/>
        </w:rPr>
        <w:tab/>
        <w:t>oplysninger om og links til de bistands- og problemløsningstjenester, som er anført i bilag III eller omhandlet i artikel 7, som borgere, virksomheder og juridiske personer, som ikke er virksomheder, kan henvende sig til, hvis de har spørgsmål eller problemer vedrørende de rettigheder, forpligtelser, regler og procedurer, der er omhandlet i dette stykkes litra a) og b)."</w:t>
      </w:r>
    </w:p>
    <w:p w14:paraId="41C66DA5" w14:textId="77777777" w:rsidR="00123281" w:rsidRDefault="00123281">
      <w:pPr>
        <w:widowControl/>
        <w:rPr>
          <w:szCs w:val="24"/>
          <w:lang w:eastAsia="en-US"/>
        </w:rPr>
      </w:pPr>
      <w:r>
        <w:rPr>
          <w:szCs w:val="24"/>
          <w:lang w:eastAsia="en-US"/>
        </w:rPr>
        <w:br w:type="page"/>
      </w:r>
    </w:p>
    <w:p w14:paraId="45A30180" w14:textId="425E96A7" w:rsidR="00342EC5" w:rsidRPr="00342EC5" w:rsidRDefault="00342EC5" w:rsidP="00342EC5">
      <w:pPr>
        <w:spacing w:before="120" w:after="120" w:line="360" w:lineRule="auto"/>
        <w:ind w:left="850" w:hanging="850"/>
        <w:rPr>
          <w:szCs w:val="24"/>
          <w:lang w:eastAsia="en-US"/>
        </w:rPr>
      </w:pPr>
      <w:r w:rsidRPr="00342EC5">
        <w:rPr>
          <w:szCs w:val="24"/>
          <w:lang w:eastAsia="en-US"/>
        </w:rPr>
        <w:lastRenderedPageBreak/>
        <w:t>4)</w:t>
      </w:r>
      <w:r w:rsidRPr="00342EC5">
        <w:rPr>
          <w:szCs w:val="24"/>
          <w:lang w:eastAsia="en-US"/>
        </w:rPr>
        <w:tab/>
        <w:t>Artikel 14, stk. 1, affattes således:</w:t>
      </w:r>
    </w:p>
    <w:p w14:paraId="197D6198" w14:textId="23D840CA" w:rsidR="00342EC5" w:rsidRPr="00342EC5" w:rsidRDefault="00342EC5" w:rsidP="00342EC5">
      <w:pPr>
        <w:spacing w:before="120" w:after="120" w:line="360" w:lineRule="auto"/>
        <w:ind w:left="1416" w:hanging="566"/>
        <w:rPr>
          <w:szCs w:val="24"/>
          <w:lang w:eastAsia="en-US"/>
        </w:rPr>
      </w:pPr>
      <w:r w:rsidRPr="00342EC5">
        <w:rPr>
          <w:szCs w:val="24"/>
          <w:lang w:eastAsia="en-US"/>
        </w:rPr>
        <w:t>"1.</w:t>
      </w:r>
      <w:r w:rsidRPr="00342EC5">
        <w:rPr>
          <w:szCs w:val="24"/>
          <w:lang w:eastAsia="en-US"/>
        </w:rPr>
        <w:tab/>
        <w:t xml:space="preserve">Med henblik på udveksling af dokumentation til onlineprocedurer, der er opført i denne forordnings bilag II, og de procedurer, der er fastsat i direktiv 2005/36/EF, 2006/123/EF, 2014/24/EU, 2014/25/EU </w:t>
      </w:r>
      <w:proofErr w:type="gramStart"/>
      <w:r w:rsidRPr="00342EC5">
        <w:rPr>
          <w:szCs w:val="24"/>
          <w:lang w:eastAsia="en-US"/>
        </w:rPr>
        <w:t>og …/</w:t>
      </w:r>
      <w:proofErr w:type="gramEnd"/>
      <w:r w:rsidRPr="00342EC5">
        <w:rPr>
          <w:szCs w:val="24"/>
          <w:lang w:eastAsia="en-US"/>
        </w:rPr>
        <w:t>…/…, etablerer Kommissionen i samarbejde med medlemsstaterne et teknisk system til elektronisk udveksling af oplysninger mellem kompetente myndigheder i forskellige medlemsstater ("det tekniske system")."</w:t>
      </w:r>
    </w:p>
    <w:p w14:paraId="7A15D2BE" w14:textId="77777777" w:rsidR="00342EC5" w:rsidRPr="00342EC5" w:rsidRDefault="00342EC5" w:rsidP="00342EC5">
      <w:pPr>
        <w:spacing w:before="120" w:after="120" w:line="360" w:lineRule="auto"/>
        <w:ind w:left="850" w:hanging="850"/>
        <w:rPr>
          <w:szCs w:val="24"/>
          <w:lang w:eastAsia="en-US"/>
        </w:rPr>
      </w:pPr>
      <w:r w:rsidRPr="00342EC5">
        <w:rPr>
          <w:szCs w:val="24"/>
          <w:lang w:eastAsia="en-US"/>
        </w:rPr>
        <w:t>5)</w:t>
      </w:r>
      <w:r w:rsidRPr="00342EC5">
        <w:rPr>
          <w:szCs w:val="24"/>
          <w:lang w:eastAsia="en-US"/>
        </w:rPr>
        <w:tab/>
        <w:t>Bilag I til forordning (EU) 2018/1724 ændres således:</w:t>
      </w:r>
    </w:p>
    <w:p w14:paraId="3242AAA7" w14:textId="77777777" w:rsidR="00342EC5" w:rsidRPr="00342EC5" w:rsidRDefault="00342EC5" w:rsidP="00342EC5">
      <w:pPr>
        <w:spacing w:before="120" w:after="120" w:line="360" w:lineRule="auto"/>
        <w:ind w:left="1416" w:hanging="566"/>
        <w:rPr>
          <w:szCs w:val="24"/>
          <w:lang w:eastAsia="en-US"/>
        </w:rPr>
      </w:pPr>
      <w:r w:rsidRPr="00342EC5">
        <w:rPr>
          <w:szCs w:val="24"/>
          <w:lang w:eastAsia="en-US"/>
        </w:rPr>
        <w:t>a)</w:t>
      </w:r>
      <w:r w:rsidRPr="00342EC5">
        <w:rPr>
          <w:szCs w:val="24"/>
          <w:lang w:eastAsia="en-US"/>
        </w:rPr>
        <w:tab/>
        <w:t>Overskriften affattes således:</w:t>
      </w:r>
    </w:p>
    <w:p w14:paraId="4299843C" w14:textId="667EC346" w:rsidR="00342EC5" w:rsidRPr="00342EC5" w:rsidRDefault="00342EC5" w:rsidP="00342EC5">
      <w:pPr>
        <w:spacing w:before="120" w:after="120" w:line="360" w:lineRule="auto"/>
        <w:ind w:left="1416"/>
        <w:rPr>
          <w:szCs w:val="24"/>
          <w:lang w:eastAsia="en-US"/>
        </w:rPr>
      </w:pPr>
      <w:r w:rsidRPr="00342EC5">
        <w:rPr>
          <w:szCs w:val="24"/>
          <w:lang w:eastAsia="en-US"/>
        </w:rPr>
        <w:t>"Liste over områder af oplysninger, der er relevante for borgere, virksomheder og juridiske personer, som ikke er virksomheder, med vedtægtsmæssigt hjemsted i en medlemsstat, når de udøver deres rettigheder på det indre marked, jf. artikel 2, stk. 2, litra a)</w:t>
      </w:r>
      <w:r w:rsidR="003E3936" w:rsidRPr="00342EC5">
        <w:rPr>
          <w:szCs w:val="24"/>
          <w:lang w:eastAsia="en-US"/>
        </w:rPr>
        <w:t>"</w:t>
      </w:r>
    </w:p>
    <w:p w14:paraId="7EE848DB" w14:textId="77777777" w:rsidR="00123281" w:rsidRDefault="00123281">
      <w:pPr>
        <w:widowControl/>
        <w:rPr>
          <w:b/>
          <w:i/>
          <w:szCs w:val="24"/>
          <w:lang w:eastAsia="en-US"/>
        </w:rPr>
      </w:pPr>
      <w:r>
        <w:rPr>
          <w:b/>
          <w:i/>
          <w:szCs w:val="24"/>
          <w:lang w:eastAsia="en-US"/>
        </w:rPr>
        <w:br w:type="page"/>
      </w:r>
    </w:p>
    <w:p w14:paraId="1672DB26" w14:textId="224E2FB3" w:rsidR="00342EC5" w:rsidRDefault="00342EC5" w:rsidP="00342EC5">
      <w:pPr>
        <w:spacing w:before="120" w:after="120" w:line="360" w:lineRule="auto"/>
        <w:ind w:left="850"/>
        <w:rPr>
          <w:szCs w:val="24"/>
          <w:lang w:eastAsia="en-US"/>
        </w:rPr>
      </w:pPr>
      <w:proofErr w:type="spellStart"/>
      <w:r w:rsidRPr="00342EC5">
        <w:rPr>
          <w:b/>
          <w:i/>
          <w:szCs w:val="24"/>
          <w:lang w:eastAsia="en-US"/>
        </w:rPr>
        <w:lastRenderedPageBreak/>
        <w:t>aa</w:t>
      </w:r>
      <w:proofErr w:type="spellEnd"/>
      <w:r w:rsidRPr="00342EC5">
        <w:rPr>
          <w:b/>
          <w:i/>
          <w:szCs w:val="24"/>
          <w:lang w:eastAsia="en-US"/>
        </w:rPr>
        <w:t>)</w:t>
      </w:r>
      <w:r w:rsidRPr="00342EC5">
        <w:rPr>
          <w:b/>
          <w:i/>
          <w:szCs w:val="24"/>
          <w:lang w:eastAsia="en-US"/>
        </w:rPr>
        <w:tab/>
      </w:r>
      <w:r w:rsidR="00663B22" w:rsidRPr="00342EC5">
        <w:rPr>
          <w:szCs w:val="24"/>
          <w:lang w:eastAsia="en-US"/>
        </w:rPr>
        <w:t>"</w:t>
      </w:r>
      <w:r w:rsidR="00663B22" w:rsidRPr="00C6031E">
        <w:rPr>
          <w:b/>
          <w:i/>
        </w:rPr>
        <w:t>Områder af oplysninger vedrørende virksomhederne</w:t>
      </w:r>
      <w:r w:rsidR="00663B22">
        <w:rPr>
          <w:b/>
          <w:i/>
        </w:rPr>
        <w:t>, punkt J</w:t>
      </w:r>
      <w:r w:rsidRPr="00342EC5">
        <w:rPr>
          <w:b/>
          <w:i/>
          <w:szCs w:val="24"/>
          <w:lang w:eastAsia="en-US"/>
        </w:rPr>
        <w:t xml:space="preserve"> affattes således:</w:t>
      </w:r>
    </w:p>
    <w:p w14:paraId="7E8F3464" w14:textId="1B26D5DB" w:rsidR="00663B22" w:rsidRPr="00EB112D" w:rsidRDefault="00663B22" w:rsidP="00342EC5">
      <w:pPr>
        <w:spacing w:before="120" w:after="120" w:line="360" w:lineRule="auto"/>
        <w:ind w:left="850"/>
        <w:rPr>
          <w:b/>
          <w:i/>
          <w:szCs w:val="24"/>
          <w:lang w:eastAsia="en-US"/>
        </w:rPr>
      </w:pPr>
      <w:r w:rsidRPr="00EB112D">
        <w:rPr>
          <w:b/>
          <w:i/>
        </w:rPr>
        <w:t>"Områder af oplysninger vedrørende virksomhederne:</w:t>
      </w:r>
    </w:p>
    <w:tbl>
      <w:tblPr>
        <w:tblW w:w="10035" w:type="dxa"/>
        <w:jc w:val="center"/>
        <w:tblLayout w:type="fixed"/>
        <w:tblCellMar>
          <w:left w:w="340" w:type="dxa"/>
          <w:right w:w="340" w:type="dxa"/>
        </w:tblCellMar>
        <w:tblLook w:val="04A0" w:firstRow="1" w:lastRow="0" w:firstColumn="1" w:lastColumn="0" w:noHBand="0" w:noVBand="1"/>
      </w:tblPr>
      <w:tblGrid>
        <w:gridCol w:w="4876"/>
        <w:gridCol w:w="5159"/>
      </w:tblGrid>
      <w:tr w:rsidR="00123281" w:rsidRPr="00F21AD0" w14:paraId="06CF2D6E" w14:textId="77777777" w:rsidTr="008F7A06">
        <w:trPr>
          <w:jc w:val="center"/>
        </w:trPr>
        <w:tc>
          <w:tcPr>
            <w:tcW w:w="4876" w:type="dxa"/>
            <w:tcBorders>
              <w:top w:val="single" w:sz="4" w:space="0" w:color="auto"/>
              <w:left w:val="single" w:sz="4" w:space="0" w:color="auto"/>
              <w:bottom w:val="single" w:sz="4" w:space="0" w:color="auto"/>
              <w:right w:val="single" w:sz="4" w:space="0" w:color="auto"/>
            </w:tcBorders>
            <w:hideMark/>
          </w:tcPr>
          <w:p w14:paraId="52C9D0F5" w14:textId="77777777" w:rsidR="00123281" w:rsidRPr="00EB112D" w:rsidRDefault="00123281" w:rsidP="004661F8">
            <w:pPr>
              <w:pStyle w:val="Normal6"/>
              <w:rPr>
                <w:b/>
                <w:i/>
              </w:rPr>
            </w:pPr>
            <w:r w:rsidRPr="00EB112D">
              <w:rPr>
                <w:b/>
                <w:i/>
              </w:rPr>
              <w:t>Område</w:t>
            </w:r>
          </w:p>
        </w:tc>
        <w:tc>
          <w:tcPr>
            <w:tcW w:w="5159" w:type="dxa"/>
            <w:tcBorders>
              <w:top w:val="single" w:sz="4" w:space="0" w:color="auto"/>
              <w:left w:val="single" w:sz="4" w:space="0" w:color="auto"/>
              <w:bottom w:val="single" w:sz="4" w:space="0" w:color="auto"/>
              <w:right w:val="single" w:sz="4" w:space="0" w:color="auto"/>
            </w:tcBorders>
            <w:hideMark/>
          </w:tcPr>
          <w:p w14:paraId="2362226B" w14:textId="77777777" w:rsidR="00123281" w:rsidRPr="00EB112D" w:rsidRDefault="00123281" w:rsidP="004661F8">
            <w:pPr>
              <w:pStyle w:val="Normal6"/>
              <w:rPr>
                <w:b/>
                <w:i/>
              </w:rPr>
            </w:pPr>
            <w:r w:rsidRPr="00EB112D">
              <w:rPr>
                <w:b/>
                <w:i/>
              </w:rPr>
              <w:t>OPLYSNINGER VEDRØRENDE RETTIGHEDER, FORPLIGTELSER OG REGLER</w:t>
            </w:r>
          </w:p>
        </w:tc>
      </w:tr>
      <w:tr w:rsidR="00123281" w:rsidRPr="00F21AD0" w14:paraId="343FC259" w14:textId="77777777" w:rsidTr="008F7A06">
        <w:trPr>
          <w:jc w:val="center"/>
        </w:trPr>
        <w:tc>
          <w:tcPr>
            <w:tcW w:w="4876" w:type="dxa"/>
            <w:tcBorders>
              <w:top w:val="single" w:sz="4" w:space="0" w:color="auto"/>
              <w:left w:val="single" w:sz="4" w:space="0" w:color="auto"/>
              <w:bottom w:val="single" w:sz="4" w:space="0" w:color="auto"/>
              <w:right w:val="single" w:sz="4" w:space="0" w:color="auto"/>
            </w:tcBorders>
            <w:hideMark/>
          </w:tcPr>
          <w:p w14:paraId="550E7E2C" w14:textId="77777777" w:rsidR="00123281" w:rsidRPr="00EB112D" w:rsidRDefault="00123281" w:rsidP="004661F8">
            <w:pPr>
              <w:pStyle w:val="Normal6"/>
              <w:rPr>
                <w:b/>
                <w:i/>
              </w:rPr>
            </w:pPr>
            <w:r w:rsidRPr="00EB112D">
              <w:rPr>
                <w:b/>
                <w:i/>
              </w:rPr>
              <w:t>J. Opstart, drift og lukning af en virksomhed</w:t>
            </w:r>
          </w:p>
        </w:tc>
        <w:tc>
          <w:tcPr>
            <w:tcW w:w="5159" w:type="dxa"/>
            <w:tcBorders>
              <w:top w:val="single" w:sz="4" w:space="0" w:color="auto"/>
              <w:left w:val="single" w:sz="4" w:space="0" w:color="auto"/>
              <w:bottom w:val="single" w:sz="4" w:space="0" w:color="auto"/>
              <w:right w:val="single" w:sz="4" w:space="0" w:color="auto"/>
            </w:tcBorders>
          </w:tcPr>
          <w:p w14:paraId="280B3414" w14:textId="77777777" w:rsidR="00123281" w:rsidRPr="00EB112D" w:rsidRDefault="00123281" w:rsidP="004661F8">
            <w:pPr>
              <w:pStyle w:val="Normal6"/>
              <w:rPr>
                <w:b/>
                <w:i/>
              </w:rPr>
            </w:pPr>
            <w:r w:rsidRPr="00EB112D">
              <w:rPr>
                <w:b/>
                <w:i/>
              </w:rPr>
              <w:t>1. registrering af en virksomhed, ændring af en virksomheds juridiske form og lukning af en virksomhed (registreringsprocedurer og juridiske former, virksomheder kan have)</w:t>
            </w:r>
          </w:p>
          <w:p w14:paraId="50D9B1CA" w14:textId="77777777" w:rsidR="00123281" w:rsidRPr="00EB112D" w:rsidRDefault="00123281" w:rsidP="004661F8">
            <w:pPr>
              <w:pStyle w:val="Normal6"/>
              <w:rPr>
                <w:b/>
                <w:i/>
              </w:rPr>
            </w:pPr>
            <w:r w:rsidRPr="00EB112D">
              <w:rPr>
                <w:b/>
                <w:i/>
              </w:rPr>
              <w:t xml:space="preserve">2. </w:t>
            </w:r>
            <w:r w:rsidRPr="00663B22">
              <w:rPr>
                <w:b/>
                <w:bCs/>
                <w:i/>
                <w:iCs/>
              </w:rPr>
              <w:t>flytning af virksomhedens vedtægtsmæssige hjemsted</w:t>
            </w:r>
            <w:r w:rsidRPr="00EB112D">
              <w:rPr>
                <w:b/>
                <w:i/>
              </w:rPr>
              <w:t xml:space="preserve"> til en anden medlemsstat</w:t>
            </w:r>
          </w:p>
          <w:p w14:paraId="4A867A02" w14:textId="77777777" w:rsidR="00123281" w:rsidRPr="00663B22" w:rsidRDefault="00123281" w:rsidP="004661F8">
            <w:pPr>
              <w:pStyle w:val="Normal6"/>
              <w:rPr>
                <w:b/>
                <w:i/>
              </w:rPr>
            </w:pPr>
            <w:proofErr w:type="spellStart"/>
            <w:r w:rsidRPr="00663B22">
              <w:rPr>
                <w:b/>
                <w:i/>
              </w:rPr>
              <w:t>2a</w:t>
            </w:r>
            <w:proofErr w:type="spellEnd"/>
            <w:r w:rsidRPr="00663B22">
              <w:rPr>
                <w:b/>
                <w:i/>
              </w:rPr>
              <w:t>. forpligtelser over for kreditorer og arbejdstagerrettigheder i forbindelse med flytning af en virksomheds vedtægtsmæssige hjemsted til en anden medlemsstat</w:t>
            </w:r>
          </w:p>
          <w:p w14:paraId="24038096" w14:textId="77777777" w:rsidR="00123281" w:rsidRPr="00EB112D" w:rsidRDefault="00123281" w:rsidP="004661F8">
            <w:pPr>
              <w:pStyle w:val="Normal6"/>
              <w:rPr>
                <w:b/>
                <w:i/>
              </w:rPr>
            </w:pPr>
            <w:r w:rsidRPr="00EB112D">
              <w:rPr>
                <w:b/>
                <w:i/>
              </w:rPr>
              <w:t>3. intellektuelle ejendomsrettigheder (ansøgning om patent, registrering af et varemærke, en tegning eller et design, opnåelse af en licens til reproduktion)</w:t>
            </w:r>
          </w:p>
          <w:p w14:paraId="3568B683" w14:textId="77777777" w:rsidR="00123281" w:rsidRPr="00EB112D" w:rsidRDefault="00123281" w:rsidP="004661F8">
            <w:pPr>
              <w:pStyle w:val="Normal6"/>
              <w:rPr>
                <w:b/>
                <w:i/>
              </w:rPr>
            </w:pPr>
            <w:r w:rsidRPr="00EB112D">
              <w:rPr>
                <w:b/>
                <w:i/>
              </w:rPr>
              <w:t>4. retfærdighed og gennemsigtighed i handelspraksis, herunder forbrugerrettigheder og garantier i forbindelse med salg af varer og tjenesteydelser</w:t>
            </w:r>
          </w:p>
          <w:p w14:paraId="0D2E8607" w14:textId="77777777" w:rsidR="00123281" w:rsidRPr="00EB112D" w:rsidRDefault="00123281" w:rsidP="004661F8">
            <w:pPr>
              <w:pStyle w:val="Normal6"/>
              <w:rPr>
                <w:b/>
                <w:i/>
              </w:rPr>
            </w:pPr>
            <w:r w:rsidRPr="00EB112D">
              <w:rPr>
                <w:b/>
                <w:i/>
              </w:rPr>
              <w:t>5. udbud af onlinefaciliteter til grænseoverskridende betalinger ved salg af varer og tjenesteydelser på internettet</w:t>
            </w:r>
          </w:p>
          <w:p w14:paraId="4CD86421" w14:textId="77777777" w:rsidR="00123281" w:rsidRPr="00EB112D" w:rsidRDefault="00123281" w:rsidP="004661F8">
            <w:pPr>
              <w:pStyle w:val="Normal6"/>
              <w:rPr>
                <w:b/>
                <w:i/>
              </w:rPr>
            </w:pPr>
            <w:r w:rsidRPr="00EB112D">
              <w:rPr>
                <w:b/>
                <w:i/>
              </w:rPr>
              <w:t>6. rettigheder og forpligtelser i henhold til aftaleretten, herunder morarenter</w:t>
            </w:r>
          </w:p>
          <w:p w14:paraId="24861890" w14:textId="77777777" w:rsidR="00123281" w:rsidRPr="00EB112D" w:rsidRDefault="00123281" w:rsidP="004661F8">
            <w:pPr>
              <w:pStyle w:val="Normal6"/>
              <w:rPr>
                <w:b/>
                <w:i/>
              </w:rPr>
            </w:pPr>
            <w:r w:rsidRPr="00EB112D">
              <w:rPr>
                <w:b/>
                <w:i/>
              </w:rPr>
              <w:t>7. insolvensbehandling og likvidation af selskaber</w:t>
            </w:r>
          </w:p>
          <w:p w14:paraId="4769063B" w14:textId="77777777" w:rsidR="00123281" w:rsidRPr="00EB112D" w:rsidRDefault="00123281" w:rsidP="004661F8">
            <w:pPr>
              <w:pStyle w:val="Normal6"/>
              <w:rPr>
                <w:b/>
                <w:i/>
              </w:rPr>
            </w:pPr>
            <w:r w:rsidRPr="00EB112D">
              <w:rPr>
                <w:b/>
                <w:i/>
              </w:rPr>
              <w:t>8. kreditforsikring</w:t>
            </w:r>
          </w:p>
          <w:p w14:paraId="2320EEEF" w14:textId="77777777" w:rsidR="00123281" w:rsidRPr="00EB112D" w:rsidRDefault="00123281" w:rsidP="004661F8">
            <w:pPr>
              <w:pStyle w:val="Normal6"/>
              <w:rPr>
                <w:b/>
                <w:i/>
              </w:rPr>
            </w:pPr>
            <w:r w:rsidRPr="00EB112D">
              <w:rPr>
                <w:b/>
                <w:i/>
              </w:rPr>
              <w:t>9. fusion af selskaber eller salg af en virksomhed</w:t>
            </w:r>
          </w:p>
          <w:p w14:paraId="417B1713" w14:textId="77777777" w:rsidR="00123281" w:rsidRPr="00EB112D" w:rsidRDefault="00123281" w:rsidP="004661F8">
            <w:pPr>
              <w:pStyle w:val="Normal6"/>
              <w:rPr>
                <w:b/>
                <w:i/>
              </w:rPr>
            </w:pPr>
            <w:r w:rsidRPr="00EB112D">
              <w:rPr>
                <w:b/>
                <w:i/>
              </w:rPr>
              <w:t xml:space="preserve">10. civilretligt erstatningsansvar for </w:t>
            </w:r>
            <w:r w:rsidRPr="00663B22">
              <w:rPr>
                <w:b/>
                <w:bCs/>
                <w:i/>
                <w:iCs/>
              </w:rPr>
              <w:t>bestyrelsesmedlemmerne af eller</w:t>
            </w:r>
            <w:r w:rsidRPr="00EB112D">
              <w:rPr>
                <w:b/>
                <w:i/>
              </w:rPr>
              <w:t xml:space="preserve"> formanden for en virksomhed</w:t>
            </w:r>
          </w:p>
          <w:p w14:paraId="2A30FBFC" w14:textId="77777777" w:rsidR="00123281" w:rsidRPr="00EB112D" w:rsidRDefault="00123281" w:rsidP="004661F8">
            <w:pPr>
              <w:pStyle w:val="Normal6"/>
              <w:rPr>
                <w:b/>
                <w:i/>
              </w:rPr>
            </w:pPr>
            <w:r w:rsidRPr="00EB112D">
              <w:rPr>
                <w:b/>
                <w:i/>
              </w:rPr>
              <w:t>11. regler og forpligtelser vedrørende behandling af personoplysninger</w:t>
            </w:r>
          </w:p>
        </w:tc>
      </w:tr>
    </w:tbl>
    <w:p w14:paraId="0D0F94F8" w14:textId="3F47DB32" w:rsidR="00123281" w:rsidRPr="00123281" w:rsidRDefault="00123281" w:rsidP="00123281">
      <w:pPr>
        <w:jc w:val="right"/>
        <w:rPr>
          <w:b/>
        </w:rPr>
      </w:pPr>
      <w:r>
        <w:rPr>
          <w:b/>
        </w:rPr>
        <w:t>[Ændring 4]</w:t>
      </w:r>
    </w:p>
    <w:p w14:paraId="32AB4D79" w14:textId="0221775C" w:rsidR="00123281" w:rsidRDefault="00123281">
      <w:pPr>
        <w:widowControl/>
        <w:rPr>
          <w:szCs w:val="24"/>
          <w:lang w:eastAsia="en-US"/>
        </w:rPr>
      </w:pPr>
    </w:p>
    <w:p w14:paraId="0DE47263" w14:textId="77777777" w:rsidR="008F7A06" w:rsidRDefault="008F7A06">
      <w:pPr>
        <w:widowControl/>
        <w:rPr>
          <w:szCs w:val="24"/>
          <w:lang w:eastAsia="en-US"/>
        </w:rPr>
      </w:pPr>
      <w:r>
        <w:rPr>
          <w:szCs w:val="24"/>
          <w:lang w:eastAsia="en-US"/>
        </w:rPr>
        <w:br w:type="page"/>
      </w:r>
    </w:p>
    <w:p w14:paraId="53292A95" w14:textId="58ECC23D" w:rsidR="00123281" w:rsidRPr="00342EC5" w:rsidRDefault="00123281" w:rsidP="00123281">
      <w:pPr>
        <w:spacing w:before="120" w:after="120" w:line="360" w:lineRule="auto"/>
        <w:ind w:left="1416" w:hanging="566"/>
        <w:rPr>
          <w:szCs w:val="24"/>
          <w:lang w:eastAsia="en-US"/>
        </w:rPr>
      </w:pPr>
      <w:r w:rsidRPr="00342EC5">
        <w:rPr>
          <w:szCs w:val="24"/>
          <w:lang w:eastAsia="en-US"/>
        </w:rPr>
        <w:lastRenderedPageBreak/>
        <w:t>b)</w:t>
      </w:r>
      <w:r w:rsidRPr="00342EC5">
        <w:rPr>
          <w:szCs w:val="24"/>
          <w:lang w:eastAsia="en-US"/>
        </w:rPr>
        <w:tab/>
        <w:t>Følgende områder af oplysninger tilføjes:</w:t>
      </w:r>
    </w:p>
    <w:p w14:paraId="6D5370B7" w14:textId="77777777" w:rsidR="00123281" w:rsidRDefault="00123281" w:rsidP="00123281">
      <w:pPr>
        <w:spacing w:before="120" w:after="120" w:line="360" w:lineRule="auto"/>
        <w:ind w:left="1416"/>
        <w:rPr>
          <w:szCs w:val="24"/>
          <w:lang w:eastAsia="en-US"/>
        </w:rPr>
      </w:pPr>
      <w:r w:rsidRPr="00342EC5">
        <w:rPr>
          <w:szCs w:val="24"/>
          <w:lang w:eastAsia="en-US"/>
        </w:rPr>
        <w:t>"Områder af oplysninger, der er relevante for juridiske personer, som ikke er virksomheder, med vedtægtsmæssigt hjemsted i en medlemsstat:</w:t>
      </w:r>
    </w:p>
    <w:tbl>
      <w:tblPr>
        <w:tblStyle w:val="TableGrid"/>
        <w:tblW w:w="9411" w:type="dxa"/>
        <w:tblLook w:val="04A0" w:firstRow="1" w:lastRow="0" w:firstColumn="1" w:lastColumn="0" w:noHBand="0" w:noVBand="1"/>
      </w:tblPr>
      <w:tblGrid>
        <w:gridCol w:w="2551"/>
        <w:gridCol w:w="6860"/>
      </w:tblGrid>
      <w:tr w:rsidR="00123281" w:rsidRPr="00AB337D" w14:paraId="1BF69554"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774F21E0" w14:textId="77777777" w:rsidR="00123281" w:rsidRPr="00AB337D" w:rsidRDefault="00123281" w:rsidP="00123281">
            <w:pPr>
              <w:spacing w:line="360" w:lineRule="auto"/>
              <w:rPr>
                <w:noProof/>
                <w:color w:val="000000"/>
                <w:szCs w:val="24"/>
                <w:shd w:val="clear" w:color="auto" w:fill="FFFFFF"/>
              </w:rPr>
            </w:pPr>
            <w:bookmarkStart w:id="8" w:name="TextBodyEnd"/>
            <w:bookmarkEnd w:id="8"/>
            <w:r w:rsidRPr="00AB337D">
              <w:rPr>
                <w:noProof/>
                <w:color w:val="000000"/>
                <w:shd w:val="clear" w:color="auto" w:fill="FFFFFF"/>
              </w:rPr>
              <w:t>AA. Opstart, drift og lukning af en juridisk person, som ikke er en virksomhed</w:t>
            </w:r>
          </w:p>
        </w:tc>
        <w:tc>
          <w:tcPr>
            <w:tcW w:w="6860" w:type="dxa"/>
            <w:tcBorders>
              <w:top w:val="single" w:sz="4" w:space="0" w:color="auto"/>
              <w:left w:val="single" w:sz="4" w:space="0" w:color="auto"/>
              <w:bottom w:val="single" w:sz="4" w:space="0" w:color="auto"/>
              <w:right w:val="single" w:sz="4" w:space="0" w:color="auto"/>
            </w:tcBorders>
          </w:tcPr>
          <w:p w14:paraId="31D379C0" w14:textId="77777777" w:rsidR="00123281" w:rsidRPr="00AB337D" w:rsidRDefault="00123281" w:rsidP="00123281">
            <w:pPr>
              <w:spacing w:line="360" w:lineRule="auto"/>
              <w:rPr>
                <w:noProof/>
                <w:szCs w:val="24"/>
              </w:rPr>
            </w:pPr>
            <w:r w:rsidRPr="00AB337D">
              <w:rPr>
                <w:noProof/>
              </w:rPr>
              <w:t>1. registrering af en juridisk person, som ikke er en virksomhed, ændring af den juridiske form af en juridisk person, som ikke er en virksomhed, og lukning af en juridisk person, som ikke er en virksomhed (registreringsprocedurer og juridiske former)</w:t>
            </w:r>
          </w:p>
          <w:p w14:paraId="18F27978" w14:textId="143E4472" w:rsidR="00123281" w:rsidRDefault="00123281" w:rsidP="00123281">
            <w:pPr>
              <w:spacing w:line="360" w:lineRule="auto"/>
            </w:pPr>
            <w:r w:rsidRPr="00AB337D">
              <w:rPr>
                <w:noProof/>
              </w:rPr>
              <w:t xml:space="preserve">2. </w:t>
            </w:r>
            <w:r w:rsidR="00663B22" w:rsidRPr="00F21AD0">
              <w:rPr>
                <w:b/>
                <w:bCs/>
                <w:i/>
                <w:iCs/>
              </w:rPr>
              <w:t>flytning af det vedtægtsmæssige hjemsted</w:t>
            </w:r>
            <w:r w:rsidR="00663B22" w:rsidRPr="00F21AD0">
              <w:t xml:space="preserve"> for en juridisk person, som ikke er en virksomhed, til en anden medlemsstat</w:t>
            </w:r>
          </w:p>
          <w:p w14:paraId="2E6FB5AF" w14:textId="0EC73C61" w:rsidR="00123281" w:rsidRPr="00123281" w:rsidRDefault="00123281" w:rsidP="00123281">
            <w:pPr>
              <w:spacing w:line="360" w:lineRule="auto"/>
              <w:rPr>
                <w:b/>
                <w:i/>
                <w:noProof/>
                <w:szCs w:val="24"/>
              </w:rPr>
            </w:pPr>
            <w:r w:rsidRPr="00123281">
              <w:rPr>
                <w:b/>
                <w:i/>
                <w:noProof/>
                <w:szCs w:val="24"/>
              </w:rPr>
              <w:t>2a. forpligtelser over for kreditorer og arbejdstagerrettigheder i forbindelse med flytning af en virksomheds vedtægtsmæssige hjemsted til en anden medlemsstat</w:t>
            </w:r>
          </w:p>
          <w:p w14:paraId="292AA558" w14:textId="77777777" w:rsidR="00123281" w:rsidRPr="00AB337D" w:rsidRDefault="00123281" w:rsidP="00123281">
            <w:pPr>
              <w:spacing w:line="360" w:lineRule="auto"/>
              <w:rPr>
                <w:noProof/>
                <w:szCs w:val="24"/>
              </w:rPr>
            </w:pPr>
            <w:r w:rsidRPr="00AB337D">
              <w:rPr>
                <w:noProof/>
              </w:rPr>
              <w:t>3. intellektuelle ejendomsrettigheder (ansøgning om patent, registrering af et varemærke, en tegning eller et design, opnåelse af en licens til reproduktion)</w:t>
            </w:r>
          </w:p>
          <w:p w14:paraId="6415F603" w14:textId="77777777" w:rsidR="00123281" w:rsidRPr="00AB337D" w:rsidRDefault="00123281" w:rsidP="00123281">
            <w:pPr>
              <w:spacing w:line="360" w:lineRule="auto"/>
              <w:rPr>
                <w:noProof/>
                <w:szCs w:val="24"/>
              </w:rPr>
            </w:pPr>
            <w:r w:rsidRPr="00AB337D">
              <w:rPr>
                <w:noProof/>
              </w:rPr>
              <w:t>4. retfærdighed og gennemsigtighed i handelspraksis, herunder forbrugerrettigheder og garantier i forbindelse med salg af varer og tjenesteydelser</w:t>
            </w:r>
          </w:p>
          <w:p w14:paraId="398BB126" w14:textId="77777777" w:rsidR="00123281" w:rsidRPr="00AB337D" w:rsidRDefault="00123281" w:rsidP="00123281">
            <w:pPr>
              <w:spacing w:line="360" w:lineRule="auto"/>
              <w:rPr>
                <w:noProof/>
                <w:szCs w:val="24"/>
              </w:rPr>
            </w:pPr>
            <w:r w:rsidRPr="00AB337D">
              <w:rPr>
                <w:noProof/>
              </w:rPr>
              <w:t>5. udbud af onlinefaciliteter til grænseoverskridende betalinger ved salg af varer og tjenesteydelser på internettet</w:t>
            </w:r>
          </w:p>
          <w:p w14:paraId="3F17D366" w14:textId="77777777" w:rsidR="00123281" w:rsidRPr="00AB337D" w:rsidRDefault="00123281" w:rsidP="00123281">
            <w:pPr>
              <w:spacing w:line="360" w:lineRule="auto"/>
              <w:rPr>
                <w:noProof/>
                <w:szCs w:val="24"/>
              </w:rPr>
            </w:pPr>
            <w:r w:rsidRPr="00AB337D">
              <w:rPr>
                <w:noProof/>
              </w:rPr>
              <w:t>6. rettigheder og forpligtelser i henhold til aftaleretten, herunder morarenter</w:t>
            </w:r>
          </w:p>
          <w:p w14:paraId="1015CCAB" w14:textId="77777777" w:rsidR="00123281" w:rsidRPr="00AB337D" w:rsidRDefault="00123281" w:rsidP="00123281">
            <w:pPr>
              <w:spacing w:line="360" w:lineRule="auto"/>
              <w:rPr>
                <w:noProof/>
                <w:szCs w:val="24"/>
              </w:rPr>
            </w:pPr>
            <w:r w:rsidRPr="00AB337D">
              <w:rPr>
                <w:noProof/>
              </w:rPr>
              <w:t>7. insolvens- og konkursbehandling for juridiske personer, som ikke er virksomheder</w:t>
            </w:r>
          </w:p>
          <w:p w14:paraId="2F598314" w14:textId="77777777" w:rsidR="00123281" w:rsidRPr="00AB337D" w:rsidRDefault="00123281" w:rsidP="00123281">
            <w:pPr>
              <w:spacing w:line="360" w:lineRule="auto"/>
              <w:rPr>
                <w:noProof/>
                <w:szCs w:val="24"/>
              </w:rPr>
            </w:pPr>
            <w:r w:rsidRPr="00AB337D">
              <w:rPr>
                <w:noProof/>
              </w:rPr>
              <w:t>8. kreditforsikring</w:t>
            </w:r>
          </w:p>
          <w:p w14:paraId="180670A2" w14:textId="77777777" w:rsidR="00123281" w:rsidRPr="00AB337D" w:rsidRDefault="00123281" w:rsidP="00123281">
            <w:pPr>
              <w:spacing w:line="360" w:lineRule="auto"/>
              <w:rPr>
                <w:noProof/>
                <w:szCs w:val="24"/>
              </w:rPr>
            </w:pPr>
            <w:r w:rsidRPr="00AB337D">
              <w:rPr>
                <w:noProof/>
              </w:rPr>
              <w:t>9. fusion eller salg af en juridisk person, som ikke er en virksomhed</w:t>
            </w:r>
          </w:p>
          <w:p w14:paraId="4A1BAC93" w14:textId="6F97F4C8" w:rsidR="00123281" w:rsidRPr="00AB337D" w:rsidRDefault="00123281" w:rsidP="00123281">
            <w:pPr>
              <w:spacing w:line="360" w:lineRule="auto"/>
              <w:rPr>
                <w:noProof/>
                <w:szCs w:val="24"/>
              </w:rPr>
            </w:pPr>
            <w:r w:rsidRPr="00AB337D">
              <w:rPr>
                <w:noProof/>
              </w:rPr>
              <w:t xml:space="preserve">10. </w:t>
            </w:r>
            <w:r w:rsidR="00BC26C4" w:rsidRPr="00F21AD0">
              <w:t xml:space="preserve">civilretligt erstatningsansvar for </w:t>
            </w:r>
            <w:r w:rsidR="00BC26C4" w:rsidRPr="00F21AD0">
              <w:rPr>
                <w:b/>
                <w:bCs/>
                <w:i/>
                <w:iCs/>
              </w:rPr>
              <w:t>bestyrelsesmedlemmerne af eller</w:t>
            </w:r>
            <w:r w:rsidR="00BC26C4" w:rsidRPr="00F21AD0">
              <w:t xml:space="preserve"> formanden for en virksomhed</w:t>
            </w:r>
          </w:p>
          <w:p w14:paraId="1739B58D" w14:textId="668C6E98" w:rsidR="00123281" w:rsidRPr="00AB337D" w:rsidRDefault="00123281" w:rsidP="00BC26C4">
            <w:pPr>
              <w:spacing w:line="360" w:lineRule="auto"/>
              <w:rPr>
                <w:noProof/>
                <w:color w:val="000000"/>
                <w:szCs w:val="24"/>
                <w:shd w:val="clear" w:color="auto" w:fill="FFFFFF"/>
              </w:rPr>
            </w:pPr>
            <w:r w:rsidRPr="00AB337D">
              <w:rPr>
                <w:noProof/>
              </w:rPr>
              <w:t>11. regler og forpligtelser vedrørende behandling af personoplysninger</w:t>
            </w:r>
          </w:p>
        </w:tc>
      </w:tr>
      <w:tr w:rsidR="00123281" w:rsidRPr="00AB337D" w14:paraId="50D87502"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5DCB6658"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AB. Ansatte</w:t>
            </w:r>
          </w:p>
        </w:tc>
        <w:tc>
          <w:tcPr>
            <w:tcW w:w="6860" w:type="dxa"/>
            <w:tcBorders>
              <w:top w:val="single" w:sz="4" w:space="0" w:color="auto"/>
              <w:left w:val="single" w:sz="4" w:space="0" w:color="auto"/>
              <w:bottom w:val="single" w:sz="4" w:space="0" w:color="auto"/>
              <w:right w:val="single" w:sz="4" w:space="0" w:color="auto"/>
            </w:tcBorders>
          </w:tcPr>
          <w:p w14:paraId="5F222BF6" w14:textId="77777777" w:rsidR="00123281" w:rsidRPr="00AB337D" w:rsidRDefault="00123281" w:rsidP="00123281">
            <w:pPr>
              <w:spacing w:line="360" w:lineRule="auto"/>
              <w:rPr>
                <w:noProof/>
                <w:szCs w:val="24"/>
              </w:rPr>
            </w:pPr>
            <w:r w:rsidRPr="00AB337D">
              <w:rPr>
                <w:noProof/>
              </w:rPr>
              <w:t xml:space="preserve">1. ansættelsesvilkår fastsat ved lov eller bekendtgørelse (herunder arbejdstid, betalt orlov, ret til ferie, rettigheder og forpligtelser vedrørende overarbejde, lægeundersøgelser, opsigelse af kontrakter, </w:t>
            </w:r>
            <w:r w:rsidRPr="00AB337D">
              <w:rPr>
                <w:noProof/>
              </w:rPr>
              <w:lastRenderedPageBreak/>
              <w:t>afskedigelser og arbejdsløshed pga. virksomhedslukning eller personaleindskrænkning)</w:t>
            </w:r>
          </w:p>
          <w:p w14:paraId="3CFD6F15" w14:textId="77777777" w:rsidR="00123281" w:rsidRPr="00AB337D" w:rsidRDefault="00123281" w:rsidP="00123281">
            <w:pPr>
              <w:spacing w:line="360" w:lineRule="auto"/>
              <w:rPr>
                <w:noProof/>
                <w:szCs w:val="24"/>
              </w:rPr>
            </w:pPr>
            <w:r w:rsidRPr="00AB337D">
              <w:rPr>
                <w:noProof/>
              </w:rPr>
              <w:t>2. socialsikringsrettigheder og -forpligtelser i Unionen (registrering som arbejdsgiver, registrering af ansatte, meddelelse om en ansættelseskontrakts ophør, betaling af sociale bidrag, rettigheder og forpligtelser vedrørende pensioner)</w:t>
            </w:r>
          </w:p>
          <w:p w14:paraId="619B55FD" w14:textId="77777777" w:rsidR="00123281" w:rsidRPr="00AB337D" w:rsidRDefault="00123281" w:rsidP="00123281">
            <w:pPr>
              <w:spacing w:line="360" w:lineRule="auto"/>
              <w:rPr>
                <w:noProof/>
                <w:szCs w:val="24"/>
              </w:rPr>
            </w:pPr>
            <w:r w:rsidRPr="00AB337D">
              <w:rPr>
                <w:noProof/>
              </w:rPr>
              <w:t>3. ansættelse af arbejdstagere i andre medlemsstater (udstationering af arbejdstagere, bestemmelser om fri udveksling af tjenesteydelser, bopælskrav for arbejdstagere)</w:t>
            </w:r>
          </w:p>
          <w:p w14:paraId="1F3EB131" w14:textId="77777777" w:rsidR="00123281" w:rsidRPr="00AB337D" w:rsidRDefault="00123281" w:rsidP="00123281">
            <w:pPr>
              <w:spacing w:line="360" w:lineRule="auto"/>
              <w:rPr>
                <w:noProof/>
                <w:szCs w:val="24"/>
              </w:rPr>
            </w:pPr>
            <w:r w:rsidRPr="00AB337D">
              <w:rPr>
                <w:noProof/>
              </w:rPr>
              <w:t>4. ligebehandling (regler, der forbyder forskelsbehandling på arbejdspladsen, lige løn til mænd og kvinder og lige løn til ansatte med tidsbegrænsede eller tidsubegrænsede ansættelseskontrakter)</w:t>
            </w:r>
          </w:p>
          <w:p w14:paraId="4A8E5179" w14:textId="33968F73" w:rsidR="00123281" w:rsidRPr="00AB337D" w:rsidRDefault="00123281" w:rsidP="00BC26C4">
            <w:pPr>
              <w:spacing w:line="360" w:lineRule="auto"/>
              <w:rPr>
                <w:noProof/>
                <w:color w:val="000000"/>
                <w:szCs w:val="24"/>
                <w:shd w:val="clear" w:color="auto" w:fill="FFFFFF"/>
              </w:rPr>
            </w:pPr>
            <w:r w:rsidRPr="00AB337D">
              <w:rPr>
                <w:noProof/>
              </w:rPr>
              <w:t>5. bestemmelser om personalerepræsentanter</w:t>
            </w:r>
          </w:p>
        </w:tc>
      </w:tr>
      <w:tr w:rsidR="00123281" w:rsidRPr="00AB337D" w14:paraId="0B43F524"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1B0DB6B4"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lastRenderedPageBreak/>
              <w:t>AC. Skatter og afgifter</w:t>
            </w:r>
          </w:p>
        </w:tc>
        <w:tc>
          <w:tcPr>
            <w:tcW w:w="6860" w:type="dxa"/>
            <w:tcBorders>
              <w:top w:val="single" w:sz="4" w:space="0" w:color="auto"/>
              <w:left w:val="single" w:sz="4" w:space="0" w:color="auto"/>
              <w:bottom w:val="single" w:sz="4" w:space="0" w:color="auto"/>
              <w:right w:val="single" w:sz="4" w:space="0" w:color="auto"/>
            </w:tcBorders>
            <w:hideMark/>
          </w:tcPr>
          <w:p w14:paraId="7826DD38" w14:textId="77777777" w:rsidR="00123281" w:rsidRPr="00AB337D" w:rsidRDefault="00123281" w:rsidP="00123281">
            <w:pPr>
              <w:spacing w:line="360" w:lineRule="auto"/>
              <w:rPr>
                <w:noProof/>
                <w:szCs w:val="24"/>
              </w:rPr>
            </w:pPr>
            <w:r w:rsidRPr="00AB337D">
              <w:rPr>
                <w:noProof/>
                <w:color w:val="000000"/>
                <w:shd w:val="clear" w:color="auto" w:fill="FFFFFF"/>
              </w:rPr>
              <w:t xml:space="preserve">1. moms: </w:t>
            </w:r>
            <w:r w:rsidRPr="00AB337D">
              <w:rPr>
                <w:noProof/>
              </w:rPr>
              <w:t>oplysninger om de generelle bestemmelser, satser og undtagelser, registrering og betaling af moms, momsrefusion</w:t>
            </w:r>
          </w:p>
          <w:p w14:paraId="0601B8A4" w14:textId="77777777" w:rsidR="00123281" w:rsidRPr="00AB337D" w:rsidRDefault="00123281" w:rsidP="00123281">
            <w:pPr>
              <w:spacing w:line="360" w:lineRule="auto"/>
              <w:rPr>
                <w:noProof/>
                <w:szCs w:val="24"/>
              </w:rPr>
            </w:pPr>
            <w:r w:rsidRPr="00AB337D">
              <w:rPr>
                <w:noProof/>
              </w:rPr>
              <w:t>2. punktafgifter: oplysninger om de generelle bestemmelser, satser og undtagelser, registrering i henseende til punktafgifter og betaling af punktafgifter, refusion af punktafgifter</w:t>
            </w:r>
          </w:p>
          <w:p w14:paraId="0B151278" w14:textId="77777777" w:rsidR="00123281" w:rsidRPr="00AB337D" w:rsidRDefault="00123281" w:rsidP="00123281">
            <w:pPr>
              <w:spacing w:line="360" w:lineRule="auto"/>
              <w:rPr>
                <w:noProof/>
                <w:szCs w:val="24"/>
              </w:rPr>
            </w:pPr>
            <w:r w:rsidRPr="00AB337D">
              <w:rPr>
                <w:noProof/>
              </w:rPr>
              <w:t>3. told og andre skatter og afgifter på import</w:t>
            </w:r>
          </w:p>
          <w:p w14:paraId="4272437C" w14:textId="77777777" w:rsidR="00123281" w:rsidRPr="00AB337D" w:rsidRDefault="00123281" w:rsidP="00123281">
            <w:pPr>
              <w:spacing w:line="360" w:lineRule="auto"/>
              <w:rPr>
                <w:noProof/>
                <w:szCs w:val="24"/>
              </w:rPr>
            </w:pPr>
            <w:r w:rsidRPr="00AB337D">
              <w:rPr>
                <w:noProof/>
              </w:rPr>
              <w:t>4. toldprocedurer ved import og eksport under EU-toldkodeksen</w:t>
            </w:r>
          </w:p>
          <w:p w14:paraId="244F24D0" w14:textId="3209ECBF" w:rsidR="00123281" w:rsidRPr="00AB337D" w:rsidRDefault="00123281" w:rsidP="00BC26C4">
            <w:pPr>
              <w:spacing w:line="360" w:lineRule="auto"/>
              <w:rPr>
                <w:noProof/>
                <w:color w:val="000000"/>
                <w:szCs w:val="24"/>
                <w:shd w:val="clear" w:color="auto" w:fill="FFFFFF"/>
              </w:rPr>
            </w:pPr>
            <w:r w:rsidRPr="00AB337D">
              <w:rPr>
                <w:noProof/>
              </w:rPr>
              <w:t>5. andre skatter og afgifter: betaling, satser, tilbagebetaling</w:t>
            </w:r>
          </w:p>
        </w:tc>
      </w:tr>
      <w:tr w:rsidR="00123281" w:rsidRPr="00AB337D" w14:paraId="35E54941"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492014AF"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 xml:space="preserve">AD. Varer </w:t>
            </w:r>
          </w:p>
        </w:tc>
        <w:tc>
          <w:tcPr>
            <w:tcW w:w="6860" w:type="dxa"/>
            <w:tcBorders>
              <w:top w:val="single" w:sz="4" w:space="0" w:color="auto"/>
              <w:left w:val="single" w:sz="4" w:space="0" w:color="auto"/>
              <w:bottom w:val="single" w:sz="4" w:space="0" w:color="auto"/>
              <w:right w:val="single" w:sz="4" w:space="0" w:color="auto"/>
            </w:tcBorders>
          </w:tcPr>
          <w:p w14:paraId="6EC656A9"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 xml:space="preserve">1. opnåelse af CE-mærkning </w:t>
            </w:r>
          </w:p>
          <w:p w14:paraId="49F79079" w14:textId="77777777" w:rsidR="00123281" w:rsidRPr="00AB337D" w:rsidRDefault="00123281" w:rsidP="00123281">
            <w:pPr>
              <w:spacing w:line="360" w:lineRule="auto"/>
              <w:rPr>
                <w:noProof/>
                <w:szCs w:val="24"/>
              </w:rPr>
            </w:pPr>
            <w:r w:rsidRPr="00AB337D">
              <w:rPr>
                <w:noProof/>
              </w:rPr>
              <w:t>2. regler for og krav til produkter</w:t>
            </w:r>
          </w:p>
          <w:p w14:paraId="396E4E32" w14:textId="77777777" w:rsidR="00123281" w:rsidRPr="00AB337D" w:rsidRDefault="00123281" w:rsidP="00123281">
            <w:pPr>
              <w:spacing w:line="360" w:lineRule="auto"/>
              <w:rPr>
                <w:noProof/>
                <w:szCs w:val="24"/>
              </w:rPr>
            </w:pPr>
            <w:r w:rsidRPr="00AB337D">
              <w:rPr>
                <w:noProof/>
              </w:rPr>
              <w:t>3. identificering af gældende standarder, tekniske specifikationer og certificering af produkter</w:t>
            </w:r>
          </w:p>
          <w:p w14:paraId="57BA9EA4" w14:textId="77777777" w:rsidR="00123281" w:rsidRPr="00AB337D" w:rsidRDefault="00123281" w:rsidP="00123281">
            <w:pPr>
              <w:spacing w:line="360" w:lineRule="auto"/>
              <w:rPr>
                <w:noProof/>
                <w:szCs w:val="24"/>
              </w:rPr>
            </w:pPr>
            <w:r w:rsidRPr="00AB337D">
              <w:rPr>
                <w:noProof/>
              </w:rPr>
              <w:t>4. gensidig anerkendelse af produkter, der ikke er omfattet af EU-specifikationer</w:t>
            </w:r>
          </w:p>
          <w:p w14:paraId="2D64E88C" w14:textId="77777777" w:rsidR="00123281" w:rsidRPr="00AB337D" w:rsidRDefault="00123281" w:rsidP="00123281">
            <w:pPr>
              <w:spacing w:line="360" w:lineRule="auto"/>
              <w:rPr>
                <w:noProof/>
                <w:szCs w:val="24"/>
              </w:rPr>
            </w:pPr>
            <w:r w:rsidRPr="00AB337D">
              <w:rPr>
                <w:noProof/>
              </w:rPr>
              <w:t>5. krav vedrørende klassificering, mærkning og emballering af farlige kemikalier</w:t>
            </w:r>
          </w:p>
          <w:p w14:paraId="133A1D13" w14:textId="77777777" w:rsidR="00123281" w:rsidRPr="00AB337D" w:rsidRDefault="00123281" w:rsidP="00123281">
            <w:pPr>
              <w:spacing w:line="360" w:lineRule="auto"/>
              <w:rPr>
                <w:noProof/>
                <w:szCs w:val="24"/>
              </w:rPr>
            </w:pPr>
            <w:r w:rsidRPr="00AB337D">
              <w:rPr>
                <w:noProof/>
              </w:rPr>
              <w:t>6. fjernsalg/salg uden for fast forretningssted: oplysninger, der skal gives til kunder forud for salget, skriftlig bekræftelse af aftalen, ophævelse af en aftale, levering af varer, andre specifikke forpligtelser</w:t>
            </w:r>
          </w:p>
          <w:p w14:paraId="377A300E" w14:textId="77777777" w:rsidR="00123281" w:rsidRPr="00AB337D" w:rsidRDefault="00123281" w:rsidP="00123281">
            <w:pPr>
              <w:spacing w:line="360" w:lineRule="auto"/>
              <w:rPr>
                <w:noProof/>
                <w:szCs w:val="24"/>
              </w:rPr>
            </w:pPr>
            <w:r w:rsidRPr="00AB337D">
              <w:rPr>
                <w:noProof/>
              </w:rPr>
              <w:lastRenderedPageBreak/>
              <w:t>7. defekte produkter: forbrugerrettigheder og garantier, eftersalgsansvar, retsmidler for den forurettede part</w:t>
            </w:r>
          </w:p>
          <w:p w14:paraId="65924DDE" w14:textId="77777777" w:rsidR="00123281" w:rsidRPr="00AB337D" w:rsidRDefault="00123281" w:rsidP="00123281">
            <w:pPr>
              <w:spacing w:line="360" w:lineRule="auto"/>
              <w:rPr>
                <w:noProof/>
                <w:szCs w:val="24"/>
              </w:rPr>
            </w:pPr>
            <w:r w:rsidRPr="00AB337D">
              <w:rPr>
                <w:noProof/>
              </w:rPr>
              <w:t>8. certificering, mærker (EMAS, energimærker, miljøvenligt design, EU-miljømærke)</w:t>
            </w:r>
          </w:p>
          <w:p w14:paraId="0D55F6AF" w14:textId="41CC172E" w:rsidR="00123281" w:rsidRPr="00AB337D" w:rsidRDefault="00123281" w:rsidP="00BC26C4">
            <w:pPr>
              <w:spacing w:line="360" w:lineRule="auto"/>
              <w:rPr>
                <w:noProof/>
                <w:color w:val="000000"/>
                <w:szCs w:val="24"/>
                <w:shd w:val="clear" w:color="auto" w:fill="FFFFFF"/>
              </w:rPr>
            </w:pPr>
            <w:r w:rsidRPr="00AB337D">
              <w:rPr>
                <w:noProof/>
              </w:rPr>
              <w:t>9. genanvendelse og affaldshåndtering</w:t>
            </w:r>
          </w:p>
        </w:tc>
      </w:tr>
      <w:tr w:rsidR="00123281" w:rsidRPr="00AB337D" w14:paraId="0C00E8D0"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38380680"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lastRenderedPageBreak/>
              <w:t xml:space="preserve">AE. Tjenesteydelser </w:t>
            </w:r>
          </w:p>
        </w:tc>
        <w:tc>
          <w:tcPr>
            <w:tcW w:w="6860" w:type="dxa"/>
            <w:tcBorders>
              <w:top w:val="single" w:sz="4" w:space="0" w:color="auto"/>
              <w:left w:val="single" w:sz="4" w:space="0" w:color="auto"/>
              <w:bottom w:val="single" w:sz="4" w:space="0" w:color="auto"/>
              <w:right w:val="single" w:sz="4" w:space="0" w:color="auto"/>
            </w:tcBorders>
          </w:tcPr>
          <w:p w14:paraId="585E25B4" w14:textId="77777777" w:rsidR="00123281" w:rsidRPr="00AB337D" w:rsidRDefault="00123281" w:rsidP="00123281">
            <w:pPr>
              <w:spacing w:line="360" w:lineRule="auto"/>
              <w:rPr>
                <w:noProof/>
                <w:szCs w:val="24"/>
              </w:rPr>
            </w:pPr>
            <w:r w:rsidRPr="00AB337D">
              <w:rPr>
                <w:noProof/>
              </w:rPr>
              <w:t>1. erhvervelse af licenser, autorisationer eller tilladelser med henblik på opstart og drift af en juridisk person, som ikke er en virksomhed</w:t>
            </w:r>
          </w:p>
          <w:p w14:paraId="2ED955FD" w14:textId="77777777" w:rsidR="00123281" w:rsidRPr="00AB337D" w:rsidRDefault="00123281" w:rsidP="00123281">
            <w:pPr>
              <w:spacing w:line="360" w:lineRule="auto"/>
              <w:rPr>
                <w:noProof/>
                <w:szCs w:val="24"/>
              </w:rPr>
            </w:pPr>
            <w:r w:rsidRPr="00AB337D">
              <w:rPr>
                <w:noProof/>
              </w:rPr>
              <w:t>2. underrettelse af myndighederne om grænseoverskridende aktiviteter</w:t>
            </w:r>
          </w:p>
          <w:p w14:paraId="2BFFB649" w14:textId="4DA2179A" w:rsidR="00123281" w:rsidRPr="00AB337D" w:rsidRDefault="00123281" w:rsidP="00BC26C4">
            <w:pPr>
              <w:spacing w:line="360" w:lineRule="auto"/>
              <w:rPr>
                <w:noProof/>
                <w:color w:val="000000"/>
                <w:szCs w:val="24"/>
                <w:shd w:val="clear" w:color="auto" w:fill="FFFFFF"/>
              </w:rPr>
            </w:pPr>
            <w:r w:rsidRPr="00AB337D">
              <w:rPr>
                <w:noProof/>
              </w:rPr>
              <w:t>3. anerkendelse af faglige kvalifikationer, herunder erhvervsrettet uddannelse</w:t>
            </w:r>
          </w:p>
        </w:tc>
      </w:tr>
      <w:tr w:rsidR="00123281" w:rsidRPr="00AB337D" w14:paraId="7EFCFA27"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19F02252"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AF. Finansiering af en juridisk person, som ikke er en virksomhed</w:t>
            </w:r>
          </w:p>
        </w:tc>
        <w:tc>
          <w:tcPr>
            <w:tcW w:w="6860" w:type="dxa"/>
            <w:tcBorders>
              <w:top w:val="single" w:sz="4" w:space="0" w:color="auto"/>
              <w:left w:val="single" w:sz="4" w:space="0" w:color="auto"/>
              <w:bottom w:val="single" w:sz="4" w:space="0" w:color="auto"/>
              <w:right w:val="single" w:sz="4" w:space="0" w:color="auto"/>
            </w:tcBorders>
          </w:tcPr>
          <w:p w14:paraId="2C616474" w14:textId="33D48595" w:rsidR="00123281" w:rsidRPr="00AB337D" w:rsidRDefault="00123281" w:rsidP="00123281">
            <w:pPr>
              <w:spacing w:line="360" w:lineRule="auto"/>
              <w:rPr>
                <w:noProof/>
                <w:szCs w:val="24"/>
              </w:rPr>
            </w:pPr>
            <w:r w:rsidRPr="00AB337D">
              <w:rPr>
                <w:noProof/>
              </w:rPr>
              <w:t xml:space="preserve">1. adgang til finansiering på EU-plan, herunder </w:t>
            </w:r>
            <w:r w:rsidR="00FD1751">
              <w:rPr>
                <w:noProof/>
              </w:rPr>
              <w:t>Unionens</w:t>
            </w:r>
            <w:r w:rsidRPr="00AB337D">
              <w:rPr>
                <w:noProof/>
              </w:rPr>
              <w:t xml:space="preserve"> finansieringsprogrammer og tilskud</w:t>
            </w:r>
          </w:p>
          <w:p w14:paraId="2F57869D" w14:textId="77777777" w:rsidR="00123281" w:rsidRPr="00AB337D" w:rsidRDefault="00123281" w:rsidP="00123281">
            <w:pPr>
              <w:spacing w:line="360" w:lineRule="auto"/>
              <w:rPr>
                <w:noProof/>
                <w:szCs w:val="24"/>
              </w:rPr>
            </w:pPr>
            <w:r w:rsidRPr="00AB337D">
              <w:rPr>
                <w:noProof/>
              </w:rPr>
              <w:t>2. adgang til finansiering på nationalt plan</w:t>
            </w:r>
          </w:p>
          <w:p w14:paraId="21C4339E" w14:textId="5E704B41" w:rsidR="00123281" w:rsidRPr="00AB337D" w:rsidRDefault="00123281" w:rsidP="00BC26C4">
            <w:pPr>
              <w:spacing w:line="360" w:lineRule="auto"/>
              <w:rPr>
                <w:noProof/>
                <w:color w:val="000000"/>
                <w:szCs w:val="24"/>
                <w:shd w:val="clear" w:color="auto" w:fill="FFFFFF"/>
              </w:rPr>
            </w:pPr>
            <w:r w:rsidRPr="00AB337D">
              <w:rPr>
                <w:noProof/>
                <w:color w:val="000000"/>
                <w:shd w:val="clear" w:color="auto" w:fill="FFFFFF"/>
              </w:rPr>
              <w:t>3 initiativer rettet mod juridiske personer, som ikke er virksomheder (udvekslinger, mentorordninger osv.)</w:t>
            </w:r>
          </w:p>
        </w:tc>
      </w:tr>
      <w:tr w:rsidR="00123281" w:rsidRPr="00AB337D" w14:paraId="6354818B"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4A15AE7E"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AG. Offentlige kontrakter</w:t>
            </w:r>
          </w:p>
        </w:tc>
        <w:tc>
          <w:tcPr>
            <w:tcW w:w="6860" w:type="dxa"/>
            <w:tcBorders>
              <w:top w:val="single" w:sz="4" w:space="0" w:color="auto"/>
              <w:left w:val="single" w:sz="4" w:space="0" w:color="auto"/>
              <w:bottom w:val="single" w:sz="4" w:space="0" w:color="auto"/>
              <w:right w:val="single" w:sz="4" w:space="0" w:color="auto"/>
            </w:tcBorders>
          </w:tcPr>
          <w:p w14:paraId="3CD3E939"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1. deltagelse i offentlige udbud: regler og procedurer</w:t>
            </w:r>
          </w:p>
          <w:p w14:paraId="28A6F431"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2. indgivelse af bud via internettet som svar på en offentlig udbudsprocedure</w:t>
            </w:r>
          </w:p>
          <w:p w14:paraId="2A1784F5" w14:textId="1503F46D" w:rsidR="00123281" w:rsidRPr="00AB337D" w:rsidRDefault="00123281" w:rsidP="00BC26C4">
            <w:pPr>
              <w:spacing w:line="360" w:lineRule="auto"/>
              <w:rPr>
                <w:noProof/>
                <w:color w:val="000000"/>
                <w:szCs w:val="24"/>
                <w:shd w:val="clear" w:color="auto" w:fill="FFFFFF"/>
              </w:rPr>
            </w:pPr>
            <w:r w:rsidRPr="00AB337D">
              <w:rPr>
                <w:noProof/>
              </w:rPr>
              <w:t>3. indberetning af uregelmæssigheder i forbindelse med udbudsproceduren</w:t>
            </w:r>
          </w:p>
        </w:tc>
      </w:tr>
      <w:tr w:rsidR="00123281" w:rsidRPr="00AB337D" w14:paraId="5D22A6CE" w14:textId="77777777" w:rsidTr="00BC26C4">
        <w:tc>
          <w:tcPr>
            <w:tcW w:w="2551" w:type="dxa"/>
            <w:tcBorders>
              <w:top w:val="single" w:sz="4" w:space="0" w:color="auto"/>
              <w:left w:val="single" w:sz="4" w:space="0" w:color="auto"/>
              <w:bottom w:val="single" w:sz="4" w:space="0" w:color="auto"/>
              <w:right w:val="single" w:sz="4" w:space="0" w:color="auto"/>
            </w:tcBorders>
            <w:hideMark/>
          </w:tcPr>
          <w:p w14:paraId="3BFAA9D5" w14:textId="77777777" w:rsidR="00123281" w:rsidRPr="00AB337D" w:rsidRDefault="00123281" w:rsidP="00123281">
            <w:pPr>
              <w:spacing w:line="360" w:lineRule="auto"/>
              <w:rPr>
                <w:noProof/>
                <w:color w:val="000000"/>
                <w:szCs w:val="24"/>
                <w:shd w:val="clear" w:color="auto" w:fill="FFFFFF"/>
              </w:rPr>
            </w:pPr>
            <w:r w:rsidRPr="00AB337D">
              <w:rPr>
                <w:noProof/>
                <w:color w:val="000000"/>
                <w:shd w:val="clear" w:color="auto" w:fill="FFFFFF"/>
              </w:rPr>
              <w:t>AH. Sundhed og sikkerhed på arbejdspladsen</w:t>
            </w:r>
          </w:p>
        </w:tc>
        <w:tc>
          <w:tcPr>
            <w:tcW w:w="6860" w:type="dxa"/>
            <w:tcBorders>
              <w:top w:val="single" w:sz="4" w:space="0" w:color="auto"/>
              <w:left w:val="single" w:sz="4" w:space="0" w:color="auto"/>
              <w:bottom w:val="single" w:sz="4" w:space="0" w:color="auto"/>
              <w:right w:val="single" w:sz="4" w:space="0" w:color="auto"/>
            </w:tcBorders>
          </w:tcPr>
          <w:p w14:paraId="5B86CAE5" w14:textId="53C4BE15" w:rsidR="00123281" w:rsidRPr="00AB337D" w:rsidRDefault="00123281" w:rsidP="00BC26C4">
            <w:pPr>
              <w:spacing w:line="360" w:lineRule="auto"/>
              <w:rPr>
                <w:noProof/>
                <w:color w:val="000000"/>
                <w:szCs w:val="24"/>
                <w:shd w:val="clear" w:color="auto" w:fill="FFFFFF"/>
              </w:rPr>
            </w:pPr>
            <w:r w:rsidRPr="00AB337D">
              <w:rPr>
                <w:noProof/>
              </w:rPr>
              <w:t>1. forpligtelser vedrørende sundhed og sikkerhed i forbindelse med forskellige former for aktiviteter, herunder risikoforebyggelse, oplysning og uddannelse".</w:t>
            </w:r>
          </w:p>
        </w:tc>
      </w:tr>
    </w:tbl>
    <w:p w14:paraId="214DDAB1" w14:textId="788DB711" w:rsidR="00123281" w:rsidRPr="00342EC5" w:rsidRDefault="00123281" w:rsidP="00123281">
      <w:pPr>
        <w:spacing w:before="120" w:after="120" w:line="360" w:lineRule="auto"/>
        <w:jc w:val="right"/>
        <w:rPr>
          <w:b/>
          <w:szCs w:val="24"/>
          <w:lang w:eastAsia="en-US"/>
        </w:rPr>
      </w:pPr>
      <w:r>
        <w:rPr>
          <w:b/>
          <w:szCs w:val="24"/>
          <w:lang w:eastAsia="en-US"/>
        </w:rPr>
        <w:t>[Ændring 5]</w:t>
      </w:r>
    </w:p>
    <w:p w14:paraId="628E1C79" w14:textId="77777777" w:rsidR="00123281" w:rsidRDefault="00123281">
      <w:pPr>
        <w:widowControl/>
        <w:rPr>
          <w:szCs w:val="24"/>
          <w:lang w:eastAsia="en-US"/>
        </w:rPr>
      </w:pPr>
      <w:r>
        <w:rPr>
          <w:szCs w:val="24"/>
          <w:lang w:eastAsia="en-US"/>
        </w:rPr>
        <w:br w:type="page"/>
      </w:r>
    </w:p>
    <w:p w14:paraId="30D81966" w14:textId="06180540" w:rsidR="00342EC5" w:rsidRPr="00342EC5" w:rsidRDefault="00342EC5" w:rsidP="00342EC5">
      <w:pPr>
        <w:spacing w:before="120" w:after="120" w:line="360" w:lineRule="auto"/>
        <w:jc w:val="center"/>
        <w:rPr>
          <w:szCs w:val="24"/>
          <w:lang w:eastAsia="en-US"/>
        </w:rPr>
      </w:pPr>
      <w:r w:rsidRPr="00342EC5">
        <w:rPr>
          <w:szCs w:val="24"/>
          <w:lang w:eastAsia="en-US"/>
        </w:rPr>
        <w:lastRenderedPageBreak/>
        <w:t>Artikel 3</w:t>
      </w:r>
      <w:r w:rsidRPr="00342EC5">
        <w:rPr>
          <w:szCs w:val="24"/>
          <w:lang w:eastAsia="en-US"/>
        </w:rPr>
        <w:br/>
        <w:t>Ikrafttræden</w:t>
      </w:r>
    </w:p>
    <w:p w14:paraId="6D532263" w14:textId="77777777" w:rsidR="00342EC5" w:rsidRPr="00342EC5" w:rsidRDefault="00342EC5" w:rsidP="00342EC5">
      <w:pPr>
        <w:spacing w:before="120" w:after="120" w:line="360" w:lineRule="auto"/>
        <w:rPr>
          <w:szCs w:val="24"/>
          <w:lang w:eastAsia="en-US"/>
        </w:rPr>
      </w:pPr>
      <w:r w:rsidRPr="00342EC5">
        <w:rPr>
          <w:szCs w:val="24"/>
          <w:lang w:eastAsia="en-US"/>
        </w:rPr>
        <w:t xml:space="preserve">Denne forordning træder i kraft på tyvendedagen efter offentliggørelsen i </w:t>
      </w:r>
      <w:r w:rsidRPr="00342EC5">
        <w:rPr>
          <w:i/>
          <w:szCs w:val="24"/>
          <w:lang w:eastAsia="en-US"/>
        </w:rPr>
        <w:t>Den Europæiske Unions Tidende</w:t>
      </w:r>
      <w:r w:rsidRPr="00342EC5">
        <w:rPr>
          <w:szCs w:val="24"/>
          <w:lang w:eastAsia="en-US"/>
        </w:rPr>
        <w:t>.</w:t>
      </w:r>
    </w:p>
    <w:p w14:paraId="295B22FB" w14:textId="77777777" w:rsidR="00342EC5" w:rsidRPr="00342EC5" w:rsidRDefault="00342EC5" w:rsidP="00342EC5">
      <w:pPr>
        <w:spacing w:before="120" w:after="120" w:line="360" w:lineRule="auto"/>
        <w:rPr>
          <w:szCs w:val="24"/>
          <w:lang w:eastAsia="en-US"/>
        </w:rPr>
      </w:pPr>
      <w:r w:rsidRPr="00342EC5">
        <w:rPr>
          <w:szCs w:val="24"/>
          <w:lang w:eastAsia="en-US"/>
        </w:rPr>
        <w:t>Denne forordning er bindende i alle enkeltheder og gælder umiddelbart i hver medlemsstat.</w:t>
      </w:r>
    </w:p>
    <w:p w14:paraId="2859CA22" w14:textId="7B15797F" w:rsidR="00342EC5" w:rsidRPr="00342EC5" w:rsidRDefault="00342EC5" w:rsidP="00342EC5">
      <w:pPr>
        <w:keepNext/>
        <w:widowControl/>
        <w:spacing w:before="120" w:line="360" w:lineRule="auto"/>
        <w:rPr>
          <w:szCs w:val="24"/>
          <w:lang w:eastAsia="en-US"/>
        </w:rPr>
      </w:pPr>
      <w:r w:rsidRPr="00342EC5">
        <w:rPr>
          <w:szCs w:val="24"/>
          <w:lang w:eastAsia="en-US"/>
        </w:rPr>
        <w:t>Udfærdiget i ..., den […].</w:t>
      </w:r>
    </w:p>
    <w:p w14:paraId="17AC30C1" w14:textId="77777777" w:rsidR="00342EC5" w:rsidRPr="00342EC5" w:rsidRDefault="00342EC5" w:rsidP="00342EC5">
      <w:pPr>
        <w:keepNext/>
        <w:widowControl/>
        <w:tabs>
          <w:tab w:val="left" w:pos="4252"/>
        </w:tabs>
        <w:spacing w:before="720" w:after="100" w:line="360" w:lineRule="auto"/>
        <w:jc w:val="both"/>
        <w:rPr>
          <w:i/>
          <w:szCs w:val="24"/>
          <w:lang w:eastAsia="en-US"/>
        </w:rPr>
      </w:pPr>
      <w:r w:rsidRPr="00342EC5">
        <w:rPr>
          <w:i/>
          <w:szCs w:val="24"/>
          <w:lang w:eastAsia="en-US"/>
        </w:rPr>
        <w:t>På Europa-Parlamentets vegne</w:t>
      </w:r>
      <w:r w:rsidRPr="00342EC5">
        <w:rPr>
          <w:i/>
          <w:szCs w:val="24"/>
          <w:lang w:eastAsia="en-US"/>
        </w:rPr>
        <w:tab/>
        <w:t>På Rådets vegne</w:t>
      </w:r>
    </w:p>
    <w:p w14:paraId="43D70AA5" w14:textId="77777777" w:rsidR="00342EC5" w:rsidRPr="00EB112D" w:rsidRDefault="00342EC5" w:rsidP="00342EC5">
      <w:pPr>
        <w:widowControl/>
        <w:tabs>
          <w:tab w:val="left" w:pos="4252"/>
        </w:tabs>
        <w:spacing w:line="360" w:lineRule="auto"/>
        <w:rPr>
          <w:i/>
          <w:szCs w:val="24"/>
          <w:lang w:eastAsia="en-US"/>
        </w:rPr>
      </w:pPr>
      <w:r w:rsidRPr="00EB112D">
        <w:rPr>
          <w:i/>
          <w:szCs w:val="24"/>
          <w:lang w:eastAsia="en-US"/>
        </w:rPr>
        <w:t>Formand</w:t>
      </w:r>
      <w:r w:rsidRPr="00EB112D">
        <w:rPr>
          <w:i/>
          <w:szCs w:val="24"/>
          <w:lang w:eastAsia="en-US"/>
        </w:rPr>
        <w:tab/>
      </w:r>
      <w:proofErr w:type="spellStart"/>
      <w:r w:rsidRPr="00EB112D">
        <w:rPr>
          <w:i/>
          <w:szCs w:val="24"/>
          <w:lang w:eastAsia="en-US"/>
        </w:rPr>
        <w:t>Formand</w:t>
      </w:r>
      <w:proofErr w:type="spellEnd"/>
    </w:p>
    <w:p w14:paraId="014B9F69" w14:textId="3F5DBBB9" w:rsidR="00FE745D" w:rsidRPr="00F21AD0" w:rsidRDefault="00FE745D" w:rsidP="00FE745D">
      <w:pPr>
        <w:widowControl/>
      </w:pPr>
    </w:p>
    <w:sectPr w:rsidR="00FE745D" w:rsidRPr="00F21AD0" w:rsidSect="00F21A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0ADC3" w14:textId="77777777" w:rsidR="007C5C1D" w:rsidRPr="00F21AD0" w:rsidRDefault="007C5C1D">
      <w:r w:rsidRPr="00F21AD0">
        <w:separator/>
      </w:r>
    </w:p>
  </w:endnote>
  <w:endnote w:type="continuationSeparator" w:id="0">
    <w:p w14:paraId="3239895F" w14:textId="77777777" w:rsidR="007C5C1D" w:rsidRPr="00F21AD0" w:rsidRDefault="007C5C1D">
      <w:r w:rsidRPr="00F21A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9ADEA" w14:textId="77777777" w:rsidR="00064002" w:rsidRPr="00F21A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55F7" w14:textId="77777777" w:rsidR="00064002" w:rsidRPr="00F21A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331F3" w14:textId="77777777" w:rsidR="00064002" w:rsidRPr="00F21A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7C8E8" w14:textId="77777777" w:rsidR="007C5C1D" w:rsidRPr="00F21AD0" w:rsidRDefault="007C5C1D">
      <w:r w:rsidRPr="00F21AD0">
        <w:separator/>
      </w:r>
    </w:p>
  </w:footnote>
  <w:footnote w:type="continuationSeparator" w:id="0">
    <w:p w14:paraId="04C9BD91" w14:textId="77777777" w:rsidR="007C5C1D" w:rsidRPr="00F21AD0" w:rsidRDefault="007C5C1D">
      <w:r w:rsidRPr="00F21AD0">
        <w:continuationSeparator/>
      </w:r>
    </w:p>
  </w:footnote>
  <w:footnote w:id="1">
    <w:p w14:paraId="26528AD1" w14:textId="77777777" w:rsidR="005C2006" w:rsidRPr="00504B7E" w:rsidRDefault="005C2006" w:rsidP="005C2006">
      <w:pPr>
        <w:pStyle w:val="FootnoteText"/>
        <w:ind w:left="567" w:hanging="567"/>
        <w:rPr>
          <w:sz w:val="24"/>
          <w:szCs w:val="24"/>
          <w:lang w:val="da-DK"/>
        </w:rPr>
      </w:pPr>
      <w:r w:rsidRPr="00504B7E">
        <w:rPr>
          <w:rStyle w:val="FootnoteReference"/>
          <w:sz w:val="24"/>
          <w:szCs w:val="24"/>
          <w:lang w:val="da-DK"/>
        </w:rPr>
        <w:footnoteRef/>
      </w:r>
      <w:r w:rsidRPr="00504B7E">
        <w:rPr>
          <w:sz w:val="24"/>
          <w:szCs w:val="24"/>
          <w:lang w:val="da-DK"/>
        </w:rPr>
        <w:t xml:space="preserve"> </w:t>
      </w:r>
      <w:r w:rsidRPr="00504B7E">
        <w:rPr>
          <w:sz w:val="24"/>
          <w:szCs w:val="24"/>
          <w:lang w:val="da-DK"/>
        </w:rPr>
        <w:tab/>
      </w:r>
      <w:r>
        <w:rPr>
          <w:sz w:val="24"/>
          <w:szCs w:val="24"/>
          <w:lang w:val="da-DK"/>
        </w:rPr>
        <w:t>En</w:t>
      </w:r>
      <w:r w:rsidRPr="00717373">
        <w:rPr>
          <w:sz w:val="24"/>
          <w:szCs w:val="24"/>
          <w:lang w:val="da-DK"/>
        </w:rPr>
        <w:t xml:space="preserve">dnu ikke offentliggjort i </w:t>
      </w:r>
      <w:proofErr w:type="spellStart"/>
      <w:r w:rsidRPr="00717373">
        <w:rPr>
          <w:sz w:val="24"/>
          <w:szCs w:val="24"/>
          <w:lang w:val="da-DK"/>
        </w:rPr>
        <w:t>EUT</w:t>
      </w:r>
      <w:proofErr w:type="spellEnd"/>
      <w:r w:rsidRPr="00717373">
        <w:rPr>
          <w:sz w:val="24"/>
          <w:szCs w:val="24"/>
          <w:lang w:val="da-DK"/>
        </w:rPr>
        <w:t>.</w:t>
      </w:r>
    </w:p>
  </w:footnote>
  <w:footnote w:id="2">
    <w:p w14:paraId="3C74E208" w14:textId="77777777" w:rsidR="00342EC5" w:rsidRPr="00503D0D" w:rsidRDefault="00342EC5" w:rsidP="00342EC5">
      <w:pPr>
        <w:pStyle w:val="FootnoteTextForceStyle"/>
        <w:rPr>
          <w:lang w:val="da-DK"/>
        </w:rPr>
      </w:pPr>
      <w:r>
        <w:rPr>
          <w:vertAlign w:val="superscript"/>
        </w:rPr>
        <w:footnoteRef/>
      </w:r>
      <w:r w:rsidRPr="00503D0D">
        <w:rPr>
          <w:lang w:val="da-DK"/>
        </w:rPr>
        <w:tab/>
        <w:t>Henvisning til udtalelsen.</w:t>
      </w:r>
    </w:p>
  </w:footnote>
  <w:footnote w:id="3">
    <w:p w14:paraId="6B10125D" w14:textId="77777777" w:rsidR="00342EC5" w:rsidRPr="00503D0D" w:rsidRDefault="00342EC5" w:rsidP="00342EC5">
      <w:pPr>
        <w:pStyle w:val="FootnoteTextForceStyle"/>
        <w:rPr>
          <w:lang w:val="da-DK"/>
        </w:rPr>
      </w:pPr>
      <w:r>
        <w:rPr>
          <w:vertAlign w:val="superscript"/>
        </w:rPr>
        <w:footnoteRef/>
      </w:r>
      <w:r w:rsidRPr="00503D0D">
        <w:rPr>
          <w:lang w:val="da-DK"/>
        </w:rPr>
        <w:tab/>
        <w:t>Europa-Parlamentets og Rådets direktiv af … om europæiske grænseoverskridende foreninger (</w:t>
      </w:r>
      <w:proofErr w:type="spellStart"/>
      <w:r w:rsidRPr="00503D0D">
        <w:rPr>
          <w:lang w:val="da-DK"/>
        </w:rPr>
        <w:t>EUT</w:t>
      </w:r>
      <w:proofErr w:type="spellEnd"/>
      <w:r w:rsidRPr="00503D0D">
        <w:rPr>
          <w:lang w:val="da-DK"/>
        </w:rPr>
        <w:t>-henvisning).</w:t>
      </w:r>
    </w:p>
  </w:footnote>
  <w:footnote w:id="4">
    <w:p w14:paraId="629D623C" w14:textId="753B8BB3" w:rsidR="00342EC5" w:rsidRPr="00503D0D" w:rsidRDefault="00342EC5" w:rsidP="00342EC5">
      <w:pPr>
        <w:pStyle w:val="FootnoteTextForceStyle"/>
        <w:rPr>
          <w:lang w:val="da-DK"/>
        </w:rPr>
      </w:pPr>
      <w:r>
        <w:rPr>
          <w:vertAlign w:val="superscript"/>
        </w:rPr>
        <w:footnoteRef/>
      </w:r>
      <w:r w:rsidRPr="00503D0D">
        <w:rPr>
          <w:lang w:val="da-DK"/>
        </w:rPr>
        <w:tab/>
        <w:t>Europa-Parlamentets og Rådets forordning (EU) nr. 1024/2012 af 25. oktober 2012 om administrativt samarbejde via informationssystemet for det indre marked og om ophævelse af Kommissionens beslutning 2008/49/EF ("IMI-forordningen") (</w:t>
      </w:r>
      <w:proofErr w:type="spellStart"/>
      <w:r w:rsidRPr="00503D0D">
        <w:rPr>
          <w:lang w:val="da-DK"/>
        </w:rPr>
        <w:t>EUT</w:t>
      </w:r>
      <w:proofErr w:type="spellEnd"/>
      <w:r w:rsidRPr="00503D0D">
        <w:rPr>
          <w:lang w:val="da-DK"/>
        </w:rPr>
        <w:t xml:space="preserve"> L 316 af 14.11.2012, s. 1).</w:t>
      </w:r>
    </w:p>
  </w:footnote>
  <w:footnote w:id="5">
    <w:p w14:paraId="4ACE79BA" w14:textId="77777777" w:rsidR="00342EC5" w:rsidRPr="00503D0D" w:rsidRDefault="00342EC5" w:rsidP="00342EC5">
      <w:pPr>
        <w:pStyle w:val="FootnoteTextForceStyle"/>
        <w:rPr>
          <w:lang w:val="da-DK"/>
        </w:rPr>
      </w:pPr>
      <w:r>
        <w:rPr>
          <w:vertAlign w:val="superscript"/>
        </w:rPr>
        <w:footnoteRef/>
      </w:r>
      <w:r w:rsidRPr="00503D0D">
        <w:rPr>
          <w:lang w:val="da-DK"/>
        </w:rPr>
        <w:tab/>
        <w:t>Europa-Parlamentets og Rådets forordning (EU) 2018/1724 af 2. oktober 2018 om oprettelse af en fælles digital portal, der giver adgang til oplysninger, procedurer og bistands- og problemløsningstjenester, og om ændring af forordning (EU) nr. 1024/2012 (</w:t>
      </w:r>
      <w:proofErr w:type="spellStart"/>
      <w:r w:rsidRPr="00503D0D">
        <w:rPr>
          <w:lang w:val="da-DK"/>
        </w:rPr>
        <w:t>EUT</w:t>
      </w:r>
      <w:proofErr w:type="spellEnd"/>
      <w:r w:rsidRPr="00503D0D">
        <w:rPr>
          <w:lang w:val="da-DK"/>
        </w:rPr>
        <w:t xml:space="preserve"> L 295 af 21.11.2018,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5FF92" w14:textId="77777777" w:rsidR="00064002" w:rsidRPr="00F21A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F80E9" w14:textId="77777777" w:rsidR="00064002" w:rsidRPr="00F21A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9BBD" w14:textId="77777777" w:rsidR="00064002" w:rsidRPr="00F21A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870C6D"/>
    <w:multiLevelType w:val="hybridMultilevel"/>
    <w:tmpl w:val="239697F8"/>
    <w:lvl w:ilvl="0" w:tplc="8812B7DC">
      <w:numFmt w:val="bullet"/>
      <w:lvlText w:val="-"/>
      <w:lvlJc w:val="left"/>
      <w:pPr>
        <w:ind w:left="720" w:hanging="360"/>
      </w:pPr>
      <w:rPr>
        <w:rFonts w:ascii="Calibri" w:eastAsia="PMingLiU"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DA"/>
    <w:docVar w:name="dvnumam" w:val="5"/>
    <w:docVar w:name="dvpe" w:val="756.195"/>
    <w:docVar w:name="dvrapporteur" w:val="Ordfører: "/>
    <w:docVar w:name="dvstar" w:val="***I"/>
    <w:docVar w:name="dvtitre" w:val="Europa-Parlamentets lovgivningsmæssige beslutning af xx.xx 2024 om forslag til Europa-Parlamentets og Rådets forordning om ændring af forordning (EU) nr. 1024/2012 og forordning (EU) 2018/1724 for så vidt angår anvendelsen af informationssystemet for det indre marked og den fælles digitale portal med henblik på visse krav, der er fastsat ved Europa-Parlamentets og Rådets direktiv (EU) …/… om europæiske grænseoverskridende foreninger (COM(2023)516))(COM(2023)0515 – C9-0327/2023 – 2023/0314(COD))"/>
  </w:docVars>
  <w:rsids>
    <w:rsidRoot w:val="007C5C1D"/>
    <w:rsid w:val="00002272"/>
    <w:rsid w:val="00064002"/>
    <w:rsid w:val="000677B9"/>
    <w:rsid w:val="000831BA"/>
    <w:rsid w:val="000A42CC"/>
    <w:rsid w:val="000E7DD9"/>
    <w:rsid w:val="0010095E"/>
    <w:rsid w:val="00123281"/>
    <w:rsid w:val="00125B37"/>
    <w:rsid w:val="00187494"/>
    <w:rsid w:val="001B26E6"/>
    <w:rsid w:val="001F32AE"/>
    <w:rsid w:val="002767FF"/>
    <w:rsid w:val="002B18FE"/>
    <w:rsid w:val="002B5493"/>
    <w:rsid w:val="00342EC5"/>
    <w:rsid w:val="00343214"/>
    <w:rsid w:val="00361C00"/>
    <w:rsid w:val="00395FA1"/>
    <w:rsid w:val="003B583D"/>
    <w:rsid w:val="003E15D4"/>
    <w:rsid w:val="003E3936"/>
    <w:rsid w:val="00411CCE"/>
    <w:rsid w:val="0041666E"/>
    <w:rsid w:val="00421060"/>
    <w:rsid w:val="00435050"/>
    <w:rsid w:val="00471C19"/>
    <w:rsid w:val="004867E3"/>
    <w:rsid w:val="00494A28"/>
    <w:rsid w:val="004C0004"/>
    <w:rsid w:val="004C5D52"/>
    <w:rsid w:val="004F104F"/>
    <w:rsid w:val="00504B7E"/>
    <w:rsid w:val="0050519A"/>
    <w:rsid w:val="005072A1"/>
    <w:rsid w:val="00514517"/>
    <w:rsid w:val="0052022A"/>
    <w:rsid w:val="00545827"/>
    <w:rsid w:val="00560270"/>
    <w:rsid w:val="005B1906"/>
    <w:rsid w:val="005C2006"/>
    <w:rsid w:val="005C2568"/>
    <w:rsid w:val="006037C0"/>
    <w:rsid w:val="006631B6"/>
    <w:rsid w:val="00663B22"/>
    <w:rsid w:val="00680577"/>
    <w:rsid w:val="006A3655"/>
    <w:rsid w:val="006F74FA"/>
    <w:rsid w:val="00731ADD"/>
    <w:rsid w:val="00734777"/>
    <w:rsid w:val="00747932"/>
    <w:rsid w:val="00751A4A"/>
    <w:rsid w:val="00756632"/>
    <w:rsid w:val="00762C74"/>
    <w:rsid w:val="00786EC0"/>
    <w:rsid w:val="007C5C1D"/>
    <w:rsid w:val="007D1690"/>
    <w:rsid w:val="007E22AD"/>
    <w:rsid w:val="007E5102"/>
    <w:rsid w:val="00817416"/>
    <w:rsid w:val="00842779"/>
    <w:rsid w:val="00865F67"/>
    <w:rsid w:val="00881A7B"/>
    <w:rsid w:val="008840E5"/>
    <w:rsid w:val="00887B3E"/>
    <w:rsid w:val="008C2AC6"/>
    <w:rsid w:val="008F7A0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06E"/>
    <w:rsid w:val="00BC26C4"/>
    <w:rsid w:val="00BD48FE"/>
    <w:rsid w:val="00BD7BD8"/>
    <w:rsid w:val="00BE6ADC"/>
    <w:rsid w:val="00C025B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12D"/>
    <w:rsid w:val="00EB4772"/>
    <w:rsid w:val="00EC400A"/>
    <w:rsid w:val="00ED169E"/>
    <w:rsid w:val="00ED4235"/>
    <w:rsid w:val="00F04346"/>
    <w:rsid w:val="00F075DC"/>
    <w:rsid w:val="00F149E9"/>
    <w:rsid w:val="00F21AD0"/>
    <w:rsid w:val="00F5134D"/>
    <w:rsid w:val="00F74202"/>
    <w:rsid w:val="00F87713"/>
    <w:rsid w:val="00FB4360"/>
    <w:rsid w:val="00FD0C70"/>
    <w:rsid w:val="00FD1751"/>
    <w:rsid w:val="00FD5299"/>
    <w:rsid w:val="00FE745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B0387"/>
  <w15:chartTrackingRefBased/>
  <w15:docId w15:val="{93351333-F845-423D-BD7D-30CA69813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Note de bas de page Car Car,Char,Car,Fußnote,Fotnotstext1,fn,Footnote text,Footnote Text Char2,Footnote Text Char1 Char,Footnote Text Char Char Char,Footnote Text Char Char1,Footnote Text Char1 Char1,Footnote Text Char Char Char1,9 p,9,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Note de bas de page Car Car Char,Char Char,Car Char,Fußnote Char,Fotnotstext1 Char,fn Char,Footnote text Char,Footnote Text Char2 Char,Footnote Text Char1 Char Char,Footnote Text Char Char Char Char,Footnote Text Char Char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E745D"/>
    <w:pPr>
      <w:spacing w:after="120"/>
    </w:pPr>
  </w:style>
  <w:style w:type="paragraph" w:customStyle="1" w:styleId="NormalBold">
    <w:name w:val="NormalBold"/>
    <w:basedOn w:val="Normal"/>
    <w:link w:val="NormalBoldChar"/>
    <w:rsid w:val="00FE745D"/>
    <w:rPr>
      <w:b/>
    </w:rPr>
  </w:style>
  <w:style w:type="paragraph" w:customStyle="1" w:styleId="NormalHanging12a">
    <w:name w:val="NormalHanging12a"/>
    <w:basedOn w:val="Normal"/>
    <w:rsid w:val="00FE745D"/>
    <w:pPr>
      <w:spacing w:after="240"/>
      <w:ind w:left="567" w:hanging="567"/>
    </w:pPr>
  </w:style>
  <w:style w:type="paragraph" w:customStyle="1" w:styleId="AmNumberTabs">
    <w:name w:val="AmNumberTabs"/>
    <w:basedOn w:val="Normal"/>
    <w:rsid w:val="00FE74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E745D"/>
    <w:pPr>
      <w:spacing w:before="480" w:after="240"/>
    </w:pPr>
  </w:style>
  <w:style w:type="character" w:customStyle="1" w:styleId="Normal6Char">
    <w:name w:val="Normal6 Char"/>
    <w:basedOn w:val="DefaultParagraphFont"/>
    <w:link w:val="Normal6"/>
    <w:locked/>
    <w:rsid w:val="00FE745D"/>
    <w:rPr>
      <w:sz w:val="24"/>
      <w:lang w:val="da-DK"/>
    </w:rPr>
  </w:style>
  <w:style w:type="paragraph" w:customStyle="1" w:styleId="Normal6">
    <w:name w:val="Normal6"/>
    <w:basedOn w:val="Normal"/>
    <w:link w:val="Normal6Char"/>
    <w:rsid w:val="00FE745D"/>
    <w:pPr>
      <w:spacing w:after="120"/>
    </w:pPr>
  </w:style>
  <w:style w:type="character" w:customStyle="1" w:styleId="NormalBoldChar">
    <w:name w:val="NormalBold Char"/>
    <w:basedOn w:val="DefaultParagraphFont"/>
    <w:link w:val="NormalBold"/>
    <w:locked/>
    <w:rsid w:val="00FE745D"/>
    <w:rPr>
      <w:b/>
      <w:sz w:val="24"/>
      <w:lang w:val="da-DK"/>
    </w:rPr>
  </w:style>
  <w:style w:type="paragraph" w:customStyle="1" w:styleId="ColumnHeading">
    <w:name w:val="ColumnHeading"/>
    <w:basedOn w:val="Normal"/>
    <w:rsid w:val="00FE745D"/>
    <w:pPr>
      <w:spacing w:after="240"/>
      <w:jc w:val="center"/>
    </w:pPr>
    <w:rPr>
      <w:i/>
    </w:rPr>
  </w:style>
  <w:style w:type="character" w:customStyle="1" w:styleId="content">
    <w:name w:val="content"/>
    <w:basedOn w:val="DefaultParagraphFont"/>
    <w:rsid w:val="00FE745D"/>
  </w:style>
  <w:style w:type="paragraph" w:customStyle="1" w:styleId="Point1">
    <w:name w:val="Point 1"/>
    <w:basedOn w:val="Normal"/>
    <w:rsid w:val="00FE745D"/>
    <w:pPr>
      <w:widowControl/>
      <w:spacing w:before="120" w:after="120"/>
      <w:ind w:left="1417" w:hanging="567"/>
      <w:jc w:val="both"/>
    </w:pPr>
    <w:rPr>
      <w:rFonts w:eastAsiaTheme="minorHAnsi"/>
      <w:szCs w:val="22"/>
      <w:lang w:eastAsia="en-US"/>
    </w:rPr>
  </w:style>
  <w:style w:type="character" w:styleId="CommentReference">
    <w:name w:val="annotation reference"/>
    <w:basedOn w:val="DefaultParagraphFont"/>
    <w:uiPriority w:val="99"/>
    <w:rsid w:val="00C025BD"/>
    <w:rPr>
      <w:sz w:val="16"/>
      <w:szCs w:val="16"/>
    </w:rPr>
  </w:style>
  <w:style w:type="paragraph" w:styleId="CommentText">
    <w:name w:val="annotation text"/>
    <w:basedOn w:val="Normal"/>
    <w:link w:val="CommentTextChar"/>
    <w:rsid w:val="00C025BD"/>
    <w:rPr>
      <w:sz w:val="20"/>
    </w:rPr>
  </w:style>
  <w:style w:type="character" w:customStyle="1" w:styleId="CommentTextChar">
    <w:name w:val="Comment Text Char"/>
    <w:basedOn w:val="DefaultParagraphFont"/>
    <w:link w:val="CommentText"/>
    <w:rsid w:val="00C025BD"/>
    <w:rPr>
      <w:lang w:val="da-DK"/>
    </w:rPr>
  </w:style>
  <w:style w:type="paragraph" w:styleId="CommentSubject">
    <w:name w:val="annotation subject"/>
    <w:basedOn w:val="CommentText"/>
    <w:next w:val="CommentText"/>
    <w:link w:val="CommentSubjectChar"/>
    <w:rsid w:val="00C025BD"/>
    <w:rPr>
      <w:b/>
      <w:bCs/>
    </w:rPr>
  </w:style>
  <w:style w:type="character" w:customStyle="1" w:styleId="CommentSubjectChar">
    <w:name w:val="Comment Subject Char"/>
    <w:basedOn w:val="CommentTextChar"/>
    <w:link w:val="CommentSubject"/>
    <w:rsid w:val="00C025BD"/>
    <w:rPr>
      <w:b/>
      <w:bCs/>
      <w:lang w:val="da-DK"/>
    </w:rPr>
  </w:style>
  <w:style w:type="paragraph" w:styleId="BalloonText">
    <w:name w:val="Balloon Text"/>
    <w:basedOn w:val="Normal"/>
    <w:link w:val="BalloonTextChar"/>
    <w:rsid w:val="00C025BD"/>
    <w:rPr>
      <w:rFonts w:ascii="Segoe UI" w:hAnsi="Segoe UI" w:cs="Segoe UI"/>
      <w:sz w:val="18"/>
      <w:szCs w:val="18"/>
    </w:rPr>
  </w:style>
  <w:style w:type="character" w:customStyle="1" w:styleId="BalloonTextChar">
    <w:name w:val="Balloon Text Char"/>
    <w:basedOn w:val="DefaultParagraphFont"/>
    <w:link w:val="BalloonText"/>
    <w:rsid w:val="00C025BD"/>
    <w:rPr>
      <w:rFonts w:ascii="Segoe UI" w:hAnsi="Segoe UI" w:cs="Segoe UI"/>
      <w:sz w:val="18"/>
      <w:szCs w:val="18"/>
      <w:lang w:val="da-DK"/>
    </w:rPr>
  </w:style>
  <w:style w:type="paragraph" w:customStyle="1" w:styleId="Typedudocument">
    <w:name w:val="Type du document"/>
    <w:basedOn w:val="Normal"/>
    <w:next w:val="Normal"/>
    <w:rsid w:val="00342EC5"/>
    <w:pPr>
      <w:widowControl/>
      <w:spacing w:before="360"/>
      <w:jc w:val="center"/>
    </w:pPr>
    <w:rPr>
      <w:rFonts w:eastAsiaTheme="minorHAnsi"/>
      <w:b/>
      <w:szCs w:val="22"/>
      <w:lang w:eastAsia="en-US"/>
    </w:rPr>
  </w:style>
  <w:style w:type="paragraph" w:styleId="ListParagraph">
    <w:name w:val="List Paragraph"/>
    <w:basedOn w:val="Normal"/>
    <w:uiPriority w:val="34"/>
    <w:qFormat/>
    <w:rsid w:val="00342EC5"/>
    <w:pPr>
      <w:widowControl/>
      <w:ind w:left="720"/>
      <w:contextualSpacing/>
      <w:jc w:val="both"/>
    </w:pPr>
    <w:rPr>
      <w:rFonts w:eastAsia="Calibri"/>
      <w:szCs w:val="24"/>
      <w:lang w:val="en-GB" w:eastAsia="en-US"/>
    </w:rPr>
  </w:style>
  <w:style w:type="paragraph" w:customStyle="1" w:styleId="FootnoteTextForceStyle">
    <w:name w:val="Footnote Text ForceStyle"/>
    <w:rsid w:val="00342EC5"/>
    <w:pPr>
      <w:keepLines/>
      <w:widowControl w:val="0"/>
      <w:ind w:left="850" w:hanging="850"/>
    </w:pPr>
    <w:rPr>
      <w:sz w:val="24"/>
      <w:lang w:eastAsia="en-US"/>
    </w:rPr>
  </w:style>
  <w:style w:type="table" w:customStyle="1" w:styleId="TableGrid1">
    <w:name w:val="Table Grid1"/>
    <w:basedOn w:val="TableNormal"/>
    <w:next w:val="TableGrid"/>
    <w:uiPriority w:val="39"/>
    <w:rsid w:val="00342EC5"/>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tEEE">
    <w:name w:val="Intérêt EEE"/>
    <w:basedOn w:val="Normal"/>
    <w:next w:val="Normal"/>
    <w:rsid w:val="005B1906"/>
    <w:pPr>
      <w:widowControl/>
      <w:spacing w:before="360" w:after="24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0DB46-22D7-4771-AED7-1E6871A19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2023</Words>
  <Characters>13300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2024-11-26T15:43:00Z</dcterms:created>
  <dcterms:modified xsi:type="dcterms:W3CDTF">2024-11-26T15:43:00Z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A9-0006/2024</vt:lpwstr>
  </property>
  <property fmtid="{D5CDD505-2E9C-101B-9397-08002B2CF9AE}" pid="4" name="&lt;Type&gt;">
    <vt:lpwstr>RR</vt:lpwstr>
  </property>
</Properties>
</file>