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1E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1ECF" w:rsidRDefault="00852A94" w:rsidP="0010095E">
            <w:pPr>
              <w:pStyle w:val="EPName"/>
            </w:pPr>
            <w:r w:rsidRPr="003B1ECF">
              <w:t>Europski parlament</w:t>
            </w:r>
          </w:p>
          <w:p w:rsidR="00751A4A" w:rsidRPr="003B1E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1EC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B1ECF" w:rsidRDefault="00187494" w:rsidP="0010095E">
            <w:pPr>
              <w:pStyle w:val="EPLogo"/>
            </w:pPr>
            <w:r w:rsidRPr="003B1E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1ECF" w:rsidRDefault="00D058B8" w:rsidP="004C5D52">
      <w:pPr>
        <w:pStyle w:val="LineTop"/>
      </w:pPr>
    </w:p>
    <w:p w:rsidR="00680577" w:rsidRPr="003B1ECF" w:rsidRDefault="00852A94" w:rsidP="00680577">
      <w:pPr>
        <w:pStyle w:val="EPBodyTA1"/>
      </w:pPr>
      <w:r w:rsidRPr="003B1ECF">
        <w:t>USVOJENI TEKSTOVI</w:t>
      </w:r>
    </w:p>
    <w:p w:rsidR="00D058B8" w:rsidRPr="003B1ECF" w:rsidRDefault="00D058B8" w:rsidP="00D058B8">
      <w:pPr>
        <w:pStyle w:val="LineBottom"/>
      </w:pPr>
    </w:p>
    <w:p w:rsidR="00852A94" w:rsidRPr="003B1ECF" w:rsidRDefault="00852A94" w:rsidP="00852A94">
      <w:pPr>
        <w:pStyle w:val="ATHeading1"/>
      </w:pPr>
      <w:bookmarkStart w:id="0" w:name="TANumber"/>
      <w:proofErr w:type="spellStart"/>
      <w:r w:rsidRPr="003B1ECF">
        <w:t>P9_TA</w:t>
      </w:r>
      <w:proofErr w:type="spellEnd"/>
      <w:r w:rsidRPr="003B1ECF">
        <w:t>(2024)0</w:t>
      </w:r>
      <w:r w:rsidR="00AE5019" w:rsidRPr="003B1ECF">
        <w:t>142</w:t>
      </w:r>
      <w:bookmarkEnd w:id="0"/>
    </w:p>
    <w:p w:rsidR="00852A94" w:rsidRPr="003B1ECF" w:rsidRDefault="00852A94" w:rsidP="00852A94">
      <w:pPr>
        <w:pStyle w:val="ATHeading2"/>
      </w:pPr>
      <w:bookmarkStart w:id="1" w:name="title"/>
      <w:r w:rsidRPr="003B1ECF">
        <w:t>Primjena Informacijskog sustava unutarnjeg tržišta i jedinstvenog digitalnog pristupnika za potrebe određenih zahtjeva utvrđenih Direktivom o europskim prekograničnim udruženjima</w:t>
      </w:r>
      <w:bookmarkEnd w:id="1"/>
    </w:p>
    <w:p w:rsidR="00852A94" w:rsidRPr="003B1ECF" w:rsidRDefault="00852A94" w:rsidP="00852A94">
      <w:pPr>
        <w:rPr>
          <w:i/>
          <w:vanish/>
        </w:rPr>
      </w:pPr>
      <w:r w:rsidRPr="003B1ECF">
        <w:rPr>
          <w:i/>
        </w:rPr>
        <w:fldChar w:fldCharType="begin"/>
      </w:r>
      <w:r w:rsidRPr="003B1ECF">
        <w:rPr>
          <w:i/>
        </w:rPr>
        <w:instrText xml:space="preserve"> TC"(</w:instrText>
      </w:r>
      <w:bookmarkStart w:id="2" w:name="DocNumber"/>
      <w:proofErr w:type="spellStart"/>
      <w:r w:rsidRPr="003B1ECF">
        <w:rPr>
          <w:i/>
        </w:rPr>
        <w:instrText>A9</w:instrText>
      </w:r>
      <w:proofErr w:type="spellEnd"/>
      <w:r w:rsidRPr="003B1ECF">
        <w:rPr>
          <w:i/>
        </w:rPr>
        <w:instrText>-0006/2024</w:instrText>
      </w:r>
      <w:bookmarkEnd w:id="2"/>
      <w:r w:rsidRPr="003B1ECF">
        <w:rPr>
          <w:i/>
        </w:rPr>
        <w:instrText xml:space="preserve"> - Izvjestiteljica:</w:instrText>
      </w:r>
      <w:r w:rsidR="00805E38" w:rsidRPr="003B1ECF">
        <w:rPr>
          <w:i/>
        </w:rPr>
        <w:instrText xml:space="preserve"> </w:instrText>
      </w:r>
      <w:proofErr w:type="spellStart"/>
      <w:r w:rsidR="00805E38" w:rsidRPr="003B1ECF">
        <w:rPr>
          <w:i/>
        </w:rPr>
        <w:instrText>Hanna</w:instrText>
      </w:r>
      <w:proofErr w:type="spellEnd"/>
      <w:r w:rsidR="00805E38" w:rsidRPr="003B1ECF">
        <w:rPr>
          <w:i/>
        </w:rPr>
        <w:instrText xml:space="preserve"> </w:instrText>
      </w:r>
      <w:proofErr w:type="spellStart"/>
      <w:r w:rsidR="00805E38" w:rsidRPr="003B1ECF">
        <w:rPr>
          <w:i/>
        </w:rPr>
        <w:instrText>Gedin</w:instrText>
      </w:r>
      <w:proofErr w:type="spellEnd"/>
      <w:r w:rsidRPr="003B1ECF">
        <w:rPr>
          <w:i/>
        </w:rPr>
        <w:instrText>)"\</w:instrText>
      </w:r>
      <w:proofErr w:type="spellStart"/>
      <w:r w:rsidRPr="003B1ECF">
        <w:rPr>
          <w:i/>
        </w:rPr>
        <w:instrText>l3</w:instrText>
      </w:r>
      <w:proofErr w:type="spellEnd"/>
      <w:r w:rsidRPr="003B1ECF">
        <w:rPr>
          <w:i/>
        </w:rPr>
        <w:instrText xml:space="preserve"> \n&gt; \* </w:instrText>
      </w:r>
      <w:proofErr w:type="spellStart"/>
      <w:r w:rsidRPr="003B1ECF">
        <w:rPr>
          <w:i/>
        </w:rPr>
        <w:instrText>MERGEFORMAT</w:instrText>
      </w:r>
      <w:proofErr w:type="spellEnd"/>
      <w:r w:rsidRPr="003B1ECF">
        <w:rPr>
          <w:i/>
        </w:rPr>
        <w:instrText xml:space="preserve"> </w:instrText>
      </w:r>
      <w:r w:rsidRPr="003B1ECF">
        <w:rPr>
          <w:i/>
        </w:rPr>
        <w:fldChar w:fldCharType="end"/>
      </w:r>
    </w:p>
    <w:p w:rsidR="00852A94" w:rsidRPr="003B1ECF" w:rsidRDefault="00852A94" w:rsidP="00852A94">
      <w:pPr>
        <w:rPr>
          <w:vanish/>
        </w:rPr>
      </w:pPr>
      <w:bookmarkStart w:id="3" w:name="Commission"/>
      <w:r w:rsidRPr="003B1ECF">
        <w:rPr>
          <w:vanish/>
        </w:rPr>
        <w:t>Odbor za unutarnje tržište i zaštitu potrošača</w:t>
      </w:r>
      <w:bookmarkEnd w:id="3"/>
    </w:p>
    <w:p w:rsidR="00852A94" w:rsidRPr="003B1ECF" w:rsidRDefault="00852A94" w:rsidP="00852A94">
      <w:pPr>
        <w:rPr>
          <w:vanish/>
        </w:rPr>
      </w:pPr>
      <w:bookmarkStart w:id="4" w:name="PE"/>
      <w:proofErr w:type="spellStart"/>
      <w:r w:rsidRPr="003B1ECF">
        <w:rPr>
          <w:vanish/>
        </w:rPr>
        <w:t>PE756.195</w:t>
      </w:r>
      <w:bookmarkEnd w:id="4"/>
      <w:proofErr w:type="spellEnd"/>
    </w:p>
    <w:p w:rsidR="00852A94" w:rsidRPr="003B1ECF" w:rsidRDefault="00852A94" w:rsidP="00852A94">
      <w:pPr>
        <w:pStyle w:val="ATHeading3"/>
      </w:pPr>
      <w:bookmarkStart w:id="5" w:name="Sujet"/>
      <w:r w:rsidRPr="003B1ECF">
        <w:t>Zakonodavna rezolucija Europskog parlamenta od</w:t>
      </w:r>
      <w:r w:rsidR="006D4376" w:rsidRPr="003B1ECF">
        <w:t xml:space="preserve"> 13.</w:t>
      </w:r>
      <w:r w:rsidRPr="003B1ECF">
        <w:t xml:space="preserve"> </w:t>
      </w:r>
      <w:r w:rsidR="00FD284D" w:rsidRPr="003B1ECF">
        <w:t>ožujka</w:t>
      </w:r>
      <w:r w:rsidRPr="003B1ECF">
        <w:t xml:space="preserve"> 2024. o Prijedlogu uredbe Europskog parlamenta i Vijeća o izmjeni uredaba (EU) br. 1024/2012 i (EU) 2018/1724 o primjeni Informacijskog sustava unutarnjeg tržišta i jedinstvenog digitalnog pristupnika za potrebe određenih zahtjeva utvrđenih Direktivom (EU) .../... Europskog parlamenta i Vijeća o europskim prekograničnim udruženjima (</w:t>
      </w:r>
      <w:proofErr w:type="spellStart"/>
      <w:r w:rsidRPr="003B1ECF">
        <w:t>COM</w:t>
      </w:r>
      <w:proofErr w:type="spellEnd"/>
      <w:r w:rsidRPr="003B1ECF">
        <w:t>(2023)</w:t>
      </w:r>
      <w:r w:rsidR="003B1ECF" w:rsidRPr="003B1ECF">
        <w:t>0</w:t>
      </w:r>
      <w:r w:rsidRPr="003B1ECF">
        <w:t>516)</w:t>
      </w:r>
      <w:bookmarkEnd w:id="5"/>
      <w:r w:rsidRPr="003B1ECF">
        <w:t xml:space="preserve"> </w:t>
      </w:r>
      <w:bookmarkStart w:id="6" w:name="References"/>
      <w:r w:rsidRPr="003B1ECF">
        <w:t>(</w:t>
      </w:r>
      <w:proofErr w:type="spellStart"/>
      <w:r w:rsidRPr="003B1ECF">
        <w:t>COM</w:t>
      </w:r>
      <w:proofErr w:type="spellEnd"/>
      <w:r w:rsidRPr="003B1ECF">
        <w:t xml:space="preserve">(2023)0515 – </w:t>
      </w:r>
      <w:proofErr w:type="spellStart"/>
      <w:r w:rsidRPr="003B1ECF">
        <w:t>C9</w:t>
      </w:r>
      <w:proofErr w:type="spellEnd"/>
      <w:r w:rsidRPr="003B1ECF">
        <w:t>-0327/2023 – 2023/0314(COD))</w:t>
      </w:r>
      <w:bookmarkEnd w:id="6"/>
    </w:p>
    <w:p w:rsidR="00077BAD" w:rsidRPr="003B1ECF" w:rsidRDefault="00077BAD" w:rsidP="00077BAD">
      <w:pPr>
        <w:pStyle w:val="NormalBold"/>
      </w:pPr>
      <w:bookmarkStart w:id="7" w:name="TextBodyBegin"/>
      <w:bookmarkEnd w:id="7"/>
      <w:r w:rsidRPr="003B1ECF">
        <w:t>(Redovni zakonodavni postupak: prvo čitanje)</w:t>
      </w:r>
    </w:p>
    <w:p w:rsidR="00077BAD" w:rsidRPr="003B1ECF" w:rsidRDefault="00077BAD" w:rsidP="00077BAD">
      <w:pPr>
        <w:pStyle w:val="EPComma"/>
      </w:pPr>
      <w:r w:rsidRPr="003B1ECF">
        <w:rPr>
          <w:i/>
        </w:rPr>
        <w:t>Europski parlament</w:t>
      </w:r>
      <w:r w:rsidRPr="003B1ECF">
        <w:t>,</w:t>
      </w:r>
    </w:p>
    <w:p w:rsidR="00077BAD" w:rsidRPr="003B1ECF" w:rsidRDefault="00077BAD" w:rsidP="00077BAD">
      <w:pPr>
        <w:pStyle w:val="NormalHanging12a"/>
      </w:pPr>
      <w:r w:rsidRPr="003B1ECF">
        <w:t>–</w:t>
      </w:r>
      <w:r w:rsidRPr="003B1ECF">
        <w:tab/>
        <w:t>uzimajući u obzir Prijedlog Komisije upućen Europskom parlamentu i Vijeću (</w:t>
      </w:r>
      <w:proofErr w:type="spellStart"/>
      <w:r w:rsidRPr="003B1ECF">
        <w:t>COM</w:t>
      </w:r>
      <w:proofErr w:type="spellEnd"/>
      <w:r w:rsidRPr="003B1ECF">
        <w:t>(2023)0515),</w:t>
      </w:r>
    </w:p>
    <w:p w:rsidR="00077BAD" w:rsidRPr="003B1ECF" w:rsidRDefault="00077BAD" w:rsidP="00077BAD">
      <w:pPr>
        <w:pStyle w:val="NormalHanging12a"/>
      </w:pPr>
      <w:r w:rsidRPr="003B1ECF">
        <w:t>–</w:t>
      </w:r>
      <w:r w:rsidRPr="003B1ECF">
        <w:tab/>
        <w:t>uzimajući u obzir članak 294. stavak 2., članak 21. stavak 2. i članak 114. Ugovora o funkcioniranju Europske unije, u skladu s kojima je Komisija podnijela Prijedlog Parlamentu (</w:t>
      </w:r>
      <w:proofErr w:type="spellStart"/>
      <w:r w:rsidRPr="003B1ECF">
        <w:t>C9</w:t>
      </w:r>
      <w:proofErr w:type="spellEnd"/>
      <w:r w:rsidRPr="003B1ECF">
        <w:noBreakHyphen/>
        <w:t>0327/2023),</w:t>
      </w:r>
    </w:p>
    <w:p w:rsidR="00077BAD" w:rsidRPr="003B1ECF" w:rsidRDefault="00077BAD" w:rsidP="00077BAD">
      <w:pPr>
        <w:pStyle w:val="NormalHanging12a"/>
      </w:pPr>
      <w:r w:rsidRPr="003B1ECF">
        <w:t>–</w:t>
      </w:r>
      <w:r w:rsidRPr="003B1ECF">
        <w:tab/>
        <w:t>uzimajući u obzir članak 294. stavak 3. Ugovora o funkcioniranju Europske unije,</w:t>
      </w:r>
    </w:p>
    <w:p w:rsidR="006D4376" w:rsidRPr="003B1ECF" w:rsidRDefault="006D4376" w:rsidP="00077BAD">
      <w:pPr>
        <w:pStyle w:val="NormalHanging12a"/>
      </w:pPr>
      <w:r w:rsidRPr="003B1ECF">
        <w:t>–</w:t>
      </w:r>
      <w:r w:rsidRPr="003B1ECF">
        <w:tab/>
        <w:t>uzimajući u obzir mišljenje Europskoga gospodarskog i socijalnog odbora  od 17. siječnja 2024.</w:t>
      </w:r>
      <w:r w:rsidRPr="003B1ECF">
        <w:rPr>
          <w:rStyle w:val="FootnoteReference"/>
        </w:rPr>
        <w:footnoteReference w:id="1"/>
      </w:r>
    </w:p>
    <w:p w:rsidR="00077BAD" w:rsidRPr="003B1ECF" w:rsidRDefault="00077BAD" w:rsidP="00077BAD">
      <w:pPr>
        <w:pStyle w:val="NormalHanging12a"/>
      </w:pPr>
      <w:r w:rsidRPr="003B1ECF">
        <w:t>–</w:t>
      </w:r>
      <w:r w:rsidRPr="003B1ECF">
        <w:tab/>
        <w:t>uzimajući u obzir članak 59. Poslovnika,</w:t>
      </w:r>
    </w:p>
    <w:p w:rsidR="00077BAD" w:rsidRPr="003B1ECF" w:rsidRDefault="00077BAD" w:rsidP="00077BAD">
      <w:pPr>
        <w:pStyle w:val="NormalHanging12a"/>
      </w:pPr>
      <w:r w:rsidRPr="003B1ECF">
        <w:t>–</w:t>
      </w:r>
      <w:r w:rsidRPr="003B1ECF">
        <w:tab/>
        <w:t>uzimajući u obzir mišljenje Odbora za pravna pitanja,</w:t>
      </w:r>
    </w:p>
    <w:p w:rsidR="00077BAD" w:rsidRPr="003B1ECF" w:rsidRDefault="00077BAD" w:rsidP="00077BAD">
      <w:pPr>
        <w:pStyle w:val="NormalHanging12a"/>
      </w:pPr>
      <w:r w:rsidRPr="003B1ECF">
        <w:t>–</w:t>
      </w:r>
      <w:r w:rsidRPr="003B1ECF">
        <w:tab/>
        <w:t>uzimajući u obzir izvješće Odbora za unutarnje tržište i zaštitu potrošača (</w:t>
      </w:r>
      <w:proofErr w:type="spellStart"/>
      <w:r w:rsidRPr="003B1ECF">
        <w:t>A9</w:t>
      </w:r>
      <w:proofErr w:type="spellEnd"/>
      <w:r w:rsidRPr="003B1ECF">
        <w:noBreakHyphen/>
        <w:t>0006/2024),</w:t>
      </w:r>
    </w:p>
    <w:p w:rsidR="00077BAD" w:rsidRPr="003B1ECF" w:rsidRDefault="00077BAD" w:rsidP="00077BAD">
      <w:pPr>
        <w:pStyle w:val="NormalHanging12a"/>
      </w:pPr>
      <w:r w:rsidRPr="003B1ECF">
        <w:lastRenderedPageBreak/>
        <w:t>1.</w:t>
      </w:r>
      <w:r w:rsidRPr="003B1ECF">
        <w:tab/>
        <w:t>usvaja sljedeće stajalište u prvom čitanju;</w:t>
      </w:r>
    </w:p>
    <w:p w:rsidR="00077BAD" w:rsidRPr="003B1ECF" w:rsidRDefault="00077BAD" w:rsidP="00077BAD">
      <w:pPr>
        <w:pStyle w:val="NormalHanging12a"/>
      </w:pPr>
      <w:r w:rsidRPr="003B1ECF">
        <w:t>2.</w:t>
      </w:r>
      <w:r w:rsidRPr="003B1ECF">
        <w:tab/>
        <w:t>poziva Komisiju da predmet ponovno uputi Parlamentu ako zamijeni, bitno izmijeni ili namjerava bitno izmijeniti svoj Prijedlog;</w:t>
      </w:r>
    </w:p>
    <w:p w:rsidR="00077BAD" w:rsidRPr="003B1ECF" w:rsidRDefault="00077BAD" w:rsidP="00077BAD">
      <w:pPr>
        <w:pStyle w:val="NormalHanging12a"/>
      </w:pPr>
      <w:r w:rsidRPr="003B1ECF">
        <w:t>3.</w:t>
      </w:r>
      <w:r w:rsidRPr="003B1ECF">
        <w:tab/>
        <w:t>nalaže svojoj predsjednici da stajalište Parlamenta proslijedi Vijeću, Komisiji i nacionalnim parlamentima.</w:t>
      </w:r>
    </w:p>
    <w:p w:rsidR="00F71404" w:rsidRPr="003B1ECF" w:rsidRDefault="00F71404" w:rsidP="00077BAD">
      <w:pPr>
        <w:widowControl/>
        <w:sectPr w:rsidR="00F71404" w:rsidRPr="003B1ECF" w:rsidSect="005377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05E38" w:rsidRPr="003B1ECF" w:rsidRDefault="00805E38" w:rsidP="003B1ECF">
      <w:pPr>
        <w:widowControl/>
        <w:spacing w:before="120"/>
      </w:pPr>
      <w:proofErr w:type="spellStart"/>
      <w:r w:rsidRPr="003B1ECF">
        <w:rPr>
          <w:b/>
          <w:bCs/>
          <w:color w:val="000000"/>
          <w:szCs w:val="24"/>
        </w:rPr>
        <w:lastRenderedPageBreak/>
        <w:t>P9_TC1</w:t>
      </w:r>
      <w:proofErr w:type="spellEnd"/>
      <w:r w:rsidRPr="003B1ECF">
        <w:rPr>
          <w:b/>
          <w:bCs/>
          <w:color w:val="000000"/>
          <w:szCs w:val="24"/>
        </w:rPr>
        <w:t>-COD(2023)0314</w:t>
      </w:r>
    </w:p>
    <w:p w:rsidR="00F71404" w:rsidRPr="003B1ECF" w:rsidRDefault="00F71404" w:rsidP="003B1ECF">
      <w:pPr>
        <w:widowControl/>
        <w:spacing w:before="240"/>
        <w:rPr>
          <w:b/>
          <w:szCs w:val="24"/>
          <w:lang w:eastAsia="en-US"/>
        </w:rPr>
      </w:pPr>
      <w:r w:rsidRPr="003B1ECF">
        <w:rPr>
          <w:b/>
        </w:rPr>
        <w:t>Stajalište Europskog parlam</w:t>
      </w:r>
      <w:r w:rsidR="00805E38" w:rsidRPr="003B1ECF">
        <w:rPr>
          <w:b/>
        </w:rPr>
        <w:t>enta usvojeno u prvom čitanju 13. ožujka</w:t>
      </w:r>
      <w:r w:rsidRPr="003B1ECF">
        <w:rPr>
          <w:b/>
        </w:rPr>
        <w:t xml:space="preserve"> 2024. radi donošenja </w:t>
      </w:r>
      <w:r w:rsidRPr="003B1ECF">
        <w:rPr>
          <w:b/>
          <w:szCs w:val="24"/>
        </w:rPr>
        <w:t>Uredbe</w:t>
      </w:r>
      <w:r w:rsidRPr="003B1ECF">
        <w:rPr>
          <w:b/>
        </w:rPr>
        <w:t xml:space="preserve"> </w:t>
      </w:r>
      <w:r w:rsidRPr="003B1ECF">
        <w:rPr>
          <w:b/>
          <w:noProof/>
        </w:rPr>
        <w:t xml:space="preserve">(EU) 2024/… </w:t>
      </w:r>
      <w:r w:rsidRPr="003B1ECF">
        <w:rPr>
          <w:b/>
        </w:rPr>
        <w:t xml:space="preserve">Europskog parlamenta i Vijeća </w:t>
      </w:r>
      <w:r w:rsidRPr="003B1ECF">
        <w:rPr>
          <w:b/>
          <w:szCs w:val="24"/>
          <w:lang w:eastAsia="en-US"/>
        </w:rPr>
        <w:t>o izmjeni uredaba (EU) br. 1024/2012 i (EU) 2018/1724 o primjeni Informacijskog sustava unutarnjeg tržišta i jedinstvenog digitalnog pristupnika za potrebe određenih zahtjeva utvrđenih Direktivom (EU) .../... Europskog parlamenta i Vijeća o europskim prekog</w:t>
      </w:r>
      <w:r w:rsidR="00805E38" w:rsidRPr="003B1ECF">
        <w:rPr>
          <w:b/>
          <w:szCs w:val="24"/>
          <w:lang w:eastAsia="en-US"/>
        </w:rPr>
        <w:t>raničnim udruženjima (</w:t>
      </w:r>
      <w:proofErr w:type="spellStart"/>
      <w:r w:rsidR="00805E38" w:rsidRPr="003B1ECF">
        <w:rPr>
          <w:b/>
          <w:szCs w:val="24"/>
          <w:lang w:eastAsia="en-US"/>
        </w:rPr>
        <w:t>COM</w:t>
      </w:r>
      <w:proofErr w:type="spellEnd"/>
      <w:r w:rsidR="00805E38" w:rsidRPr="003B1ECF">
        <w:rPr>
          <w:b/>
          <w:szCs w:val="24"/>
          <w:lang w:eastAsia="en-US"/>
        </w:rPr>
        <w:t>(2023)</w:t>
      </w:r>
      <w:r w:rsidR="003B1ECF" w:rsidRPr="003B1ECF">
        <w:rPr>
          <w:b/>
          <w:szCs w:val="24"/>
          <w:lang w:eastAsia="en-US"/>
        </w:rPr>
        <w:t>0</w:t>
      </w:r>
      <w:r w:rsidR="00FE2076">
        <w:rPr>
          <w:b/>
          <w:szCs w:val="24"/>
          <w:lang w:eastAsia="en-US"/>
        </w:rPr>
        <w:t>516</w:t>
      </w:r>
      <w:r w:rsidRPr="003B1ECF">
        <w:rPr>
          <w:b/>
          <w:szCs w:val="24"/>
          <w:lang w:eastAsia="en-US"/>
        </w:rPr>
        <w:t xml:space="preserve">) </w:t>
      </w:r>
    </w:p>
    <w:p w:rsidR="00AB31C3" w:rsidRPr="003B1ECF" w:rsidRDefault="00AB31C3" w:rsidP="00AB31C3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3B1ECF">
        <w:rPr>
          <w:szCs w:val="24"/>
          <w:lang w:eastAsia="en-US"/>
        </w:rPr>
        <w:t xml:space="preserve">(Tekst značajan za </w:t>
      </w:r>
      <w:proofErr w:type="spellStart"/>
      <w:r w:rsidRPr="003B1ECF">
        <w:rPr>
          <w:szCs w:val="24"/>
          <w:lang w:eastAsia="en-US"/>
        </w:rPr>
        <w:t>EGP</w:t>
      </w:r>
      <w:proofErr w:type="spellEnd"/>
      <w:r w:rsidRPr="003B1ECF">
        <w:rPr>
          <w:szCs w:val="24"/>
          <w:lang w:eastAsia="en-US"/>
        </w:rPr>
        <w:t>)</w:t>
      </w:r>
    </w:p>
    <w:p w:rsidR="00F71404" w:rsidRPr="003B1ECF" w:rsidRDefault="00F71404" w:rsidP="00F71404">
      <w:pPr>
        <w:keepNext/>
        <w:spacing w:before="600" w:after="120" w:line="360" w:lineRule="auto"/>
        <w:rPr>
          <w:szCs w:val="24"/>
          <w:lang w:eastAsia="en-US"/>
        </w:rPr>
      </w:pPr>
      <w:r w:rsidRPr="003B1ECF">
        <w:rPr>
          <w:szCs w:val="24"/>
          <w:lang w:eastAsia="en-US"/>
        </w:rPr>
        <w:t>EUROPSKI PARLAMENT I VIJEĆE EUROPSKE UNIJE,</w:t>
      </w:r>
    </w:p>
    <w:p w:rsidR="00F71404" w:rsidRPr="003B1ECF" w:rsidRDefault="00F71404" w:rsidP="00F71404">
      <w:pPr>
        <w:spacing w:before="120" w:after="120" w:line="360" w:lineRule="auto"/>
        <w:rPr>
          <w:lang w:eastAsia="en-US"/>
        </w:rPr>
      </w:pPr>
      <w:r w:rsidRPr="003B1ECF">
        <w:rPr>
          <w:lang w:eastAsia="en-US"/>
        </w:rPr>
        <w:t>uzimajući u obzir Ugovor o funkcioniranju Europske unije, a posebno njegov članak 21. stavak 2. i članak 114.,</w:t>
      </w:r>
    </w:p>
    <w:p w:rsidR="00F71404" w:rsidRPr="003B1ECF" w:rsidRDefault="00F71404" w:rsidP="00F71404">
      <w:pPr>
        <w:spacing w:before="120" w:after="120" w:line="360" w:lineRule="auto"/>
        <w:rPr>
          <w:lang w:eastAsia="en-US"/>
        </w:rPr>
      </w:pPr>
      <w:r w:rsidRPr="003B1ECF">
        <w:rPr>
          <w:lang w:eastAsia="en-US"/>
        </w:rPr>
        <w:t>uzimajući u obzir prijedlog Europske komisije,</w:t>
      </w:r>
    </w:p>
    <w:p w:rsidR="00F71404" w:rsidRPr="003B1ECF" w:rsidRDefault="00F71404" w:rsidP="00F71404">
      <w:pPr>
        <w:spacing w:before="120" w:after="120" w:line="360" w:lineRule="auto"/>
        <w:rPr>
          <w:lang w:eastAsia="en-US"/>
        </w:rPr>
      </w:pPr>
      <w:r w:rsidRPr="003B1ECF">
        <w:rPr>
          <w:lang w:eastAsia="en-US"/>
        </w:rPr>
        <w:t>nakon prosljeđivanja nacrta zakonodavnog akta nacionalnim parlamentima,</w:t>
      </w:r>
    </w:p>
    <w:p w:rsidR="00F71404" w:rsidRPr="003B1ECF" w:rsidRDefault="00F71404" w:rsidP="00F71404">
      <w:pPr>
        <w:spacing w:before="120" w:after="120" w:line="360" w:lineRule="auto"/>
        <w:rPr>
          <w:lang w:eastAsia="en-US"/>
        </w:rPr>
      </w:pPr>
      <w:r w:rsidRPr="003B1ECF">
        <w:rPr>
          <w:lang w:eastAsia="en-US"/>
        </w:rPr>
        <w:t>uzimajući u obzir mišljenje Europskoga gospodarskog i socijalnog odbora</w:t>
      </w:r>
      <w:r w:rsidRPr="003B1ECF">
        <w:rPr>
          <w:vertAlign w:val="superscript"/>
          <w:lang w:eastAsia="en-US"/>
        </w:rPr>
        <w:footnoteReference w:id="2"/>
      </w:r>
      <w:r w:rsidRPr="003B1ECF">
        <w:rPr>
          <w:lang w:eastAsia="en-US"/>
        </w:rPr>
        <w:t>,</w:t>
      </w:r>
    </w:p>
    <w:p w:rsidR="00F71404" w:rsidRPr="003B1ECF" w:rsidRDefault="00F71404" w:rsidP="00F71404">
      <w:pPr>
        <w:spacing w:before="120" w:after="120" w:line="360" w:lineRule="auto"/>
        <w:rPr>
          <w:lang w:eastAsia="en-US"/>
        </w:rPr>
      </w:pPr>
      <w:r w:rsidRPr="003B1ECF">
        <w:rPr>
          <w:lang w:eastAsia="en-US"/>
        </w:rPr>
        <w:t>u skladu s redovnim zakonodavnim postupkom,</w:t>
      </w:r>
    </w:p>
    <w:p w:rsidR="00805E38" w:rsidRPr="003B1ECF" w:rsidRDefault="00805E38" w:rsidP="00F71404">
      <w:pPr>
        <w:spacing w:before="120" w:after="120" w:line="360" w:lineRule="auto"/>
        <w:rPr>
          <w:lang w:eastAsia="en-US"/>
        </w:rPr>
      </w:pPr>
      <w:r w:rsidRPr="003B1ECF">
        <w:rPr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rPr>
          <w:lang w:eastAsia="en-US"/>
        </w:rPr>
      </w:pPr>
      <w:r w:rsidRPr="003B1ECF">
        <w:rPr>
          <w:lang w:eastAsia="en-US"/>
        </w:rPr>
        <w:lastRenderedPageBreak/>
        <w:t>budući da:</w:t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t>(1)</w:t>
      </w:r>
      <w:r w:rsidRPr="003B1ECF">
        <w:rPr>
          <w:szCs w:val="24"/>
          <w:lang w:eastAsia="en-US"/>
        </w:rPr>
        <w:tab/>
        <w:t>Direktivom (EU) Europskog parlamenta i Vijeća o europskim prekograničnim udruženjima (</w:t>
      </w:r>
      <w:proofErr w:type="spellStart"/>
      <w:r w:rsidRPr="003B1ECF">
        <w:rPr>
          <w:szCs w:val="24"/>
          <w:lang w:eastAsia="en-US"/>
        </w:rPr>
        <w:t>COM</w:t>
      </w:r>
      <w:proofErr w:type="spellEnd"/>
      <w:r w:rsidRPr="003B1ECF">
        <w:rPr>
          <w:szCs w:val="24"/>
          <w:lang w:eastAsia="en-US"/>
        </w:rPr>
        <w:t>(2023) 516)</w:t>
      </w:r>
      <w:r w:rsidRPr="003B1ECF">
        <w:rPr>
          <w:szCs w:val="24"/>
          <w:vertAlign w:val="superscript"/>
          <w:lang w:eastAsia="en-US"/>
        </w:rPr>
        <w:footnoteReference w:id="3"/>
      </w:r>
      <w:r w:rsidRPr="003B1ECF">
        <w:rPr>
          <w:szCs w:val="24"/>
          <w:lang w:eastAsia="en-US"/>
        </w:rPr>
        <w:t xml:space="preserve"> utvrđuju se mjere za usklađivanje uvjeta za osnivanje i rad „europskih prekograničnih udruženja” s ciljem olakšavanja učinkovitog ostvarivanja slobode kretanja neprofitnih organizacija koja djeluju na unutarnjem tržištu.</w:t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1ECF">
        <w:rPr>
          <w:szCs w:val="24"/>
          <w:lang w:eastAsia="en-US"/>
        </w:rPr>
        <w:t>(2)</w:t>
      </w:r>
      <w:r w:rsidRPr="003B1ECF">
        <w:rPr>
          <w:szCs w:val="24"/>
          <w:lang w:eastAsia="en-US"/>
        </w:rPr>
        <w:tab/>
        <w:t xml:space="preserve">U skladu s člankom </w:t>
      </w:r>
      <w:r w:rsidRPr="003B1ECF">
        <w:rPr>
          <w:strike/>
          <w:szCs w:val="24"/>
          <w:lang w:eastAsia="en-US"/>
        </w:rPr>
        <w:t>30</w:t>
      </w:r>
      <w:r w:rsidRPr="003B1ECF">
        <w:rPr>
          <w:b/>
          <w:i/>
          <w:szCs w:val="24"/>
          <w:lang w:eastAsia="en-US"/>
        </w:rPr>
        <w:t>28</w:t>
      </w:r>
      <w:r w:rsidRPr="003B1ECF">
        <w:rPr>
          <w:szCs w:val="24"/>
          <w:lang w:eastAsia="en-US"/>
        </w:rPr>
        <w:t xml:space="preserve">. stavkom 2. Direktive </w:t>
      </w:r>
      <w:proofErr w:type="spellStart"/>
      <w:r w:rsidRPr="003B1ECF">
        <w:rPr>
          <w:szCs w:val="24"/>
          <w:lang w:eastAsia="en-US"/>
        </w:rPr>
        <w:t>COM</w:t>
      </w:r>
      <w:proofErr w:type="spellEnd"/>
      <w:r w:rsidRPr="003B1ECF">
        <w:rPr>
          <w:szCs w:val="24"/>
          <w:lang w:eastAsia="en-US"/>
        </w:rPr>
        <w:t>(2023) 516 administrativna suradnja i razmjena informacija između nadležnih tijela država članica provodi se putem Informacijskog sustava unutarnjeg tržišta („sustav IMI”) uspostavljenog Uredbom (EU) br. 1024/2012 Europskog parlamenta i Vijeća</w:t>
      </w:r>
      <w:r w:rsidRPr="003B1ECF">
        <w:rPr>
          <w:szCs w:val="24"/>
          <w:vertAlign w:val="superscript"/>
          <w:lang w:eastAsia="en-US"/>
        </w:rPr>
        <w:footnoteReference w:id="4"/>
      </w:r>
      <w:r w:rsidRPr="003B1ECF">
        <w:rPr>
          <w:szCs w:val="24"/>
          <w:lang w:eastAsia="en-US"/>
        </w:rPr>
        <w:t>. Zbog toga bi u sustavu IMI trebalo uspostaviti potrebne postupke administrativne suradnje</w:t>
      </w:r>
      <w:r w:rsidRPr="003B1ECF">
        <w:rPr>
          <w:b/>
          <w:i/>
          <w:szCs w:val="24"/>
          <w:lang w:eastAsia="en-US"/>
        </w:rPr>
        <w:t xml:space="preserve"> i postupke za razmjenu informacija među nadležnim tijelima</w:t>
      </w:r>
      <w:r w:rsidRPr="003B1ECF">
        <w:rPr>
          <w:szCs w:val="24"/>
          <w:lang w:eastAsia="en-US"/>
        </w:rPr>
        <w:t>.</w:t>
      </w:r>
      <w:r w:rsidR="00AB31C3" w:rsidRPr="003B1ECF">
        <w:rPr>
          <w:b/>
          <w:szCs w:val="24"/>
          <w:lang w:eastAsia="en-US"/>
        </w:rPr>
        <w:t xml:space="preserve"> [Am. 1]</w:t>
      </w:r>
    </w:p>
    <w:p w:rsidR="00805E38" w:rsidRPr="003B1ECF" w:rsidRDefault="00805E38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1ECF">
        <w:rPr>
          <w:szCs w:val="24"/>
          <w:lang w:eastAsia="en-US"/>
        </w:rPr>
        <w:lastRenderedPageBreak/>
        <w:t>(3)</w:t>
      </w:r>
      <w:r w:rsidRPr="003B1ECF">
        <w:rPr>
          <w:szCs w:val="24"/>
          <w:lang w:eastAsia="en-US"/>
        </w:rPr>
        <w:tab/>
        <w:t xml:space="preserve">U skladu s člancima 2. i 3. Uredbe (EU) 2018/1724 Europskog </w:t>
      </w:r>
      <w:proofErr w:type="spellStart"/>
      <w:r w:rsidRPr="003B1ECF">
        <w:rPr>
          <w:szCs w:val="24"/>
          <w:lang w:eastAsia="en-US"/>
        </w:rPr>
        <w:t>parlamentai</w:t>
      </w:r>
      <w:proofErr w:type="spellEnd"/>
      <w:r w:rsidRPr="003B1ECF">
        <w:rPr>
          <w:szCs w:val="24"/>
          <w:lang w:eastAsia="en-US"/>
        </w:rPr>
        <w:t xml:space="preserve"> Vijeća</w:t>
      </w:r>
      <w:r w:rsidRPr="003B1ECF">
        <w:rPr>
          <w:szCs w:val="24"/>
          <w:vertAlign w:val="superscript"/>
          <w:lang w:eastAsia="en-US"/>
        </w:rPr>
        <w:footnoteReference w:id="5"/>
      </w:r>
      <w:r w:rsidRPr="003B1ECF">
        <w:rPr>
          <w:szCs w:val="24"/>
          <w:lang w:eastAsia="en-US"/>
        </w:rPr>
        <w:t xml:space="preserve"> jedinstveni digitalni pristupnik građanima Unije, fizičkim osobama s boravištem u državi članici i pravnim osobama sa sjedištem u državi članici omogućuje pristup informacijama, postupcima te uslugama podrške i rješavanja problema. Operativni dio i Prilog I. Uredbi (EU) 2018/1724 trebalo bi izmijeniti </w:t>
      </w:r>
      <w:r w:rsidRPr="003B1ECF">
        <w:rPr>
          <w:b/>
          <w:i/>
          <w:szCs w:val="24"/>
          <w:lang w:eastAsia="en-US"/>
        </w:rPr>
        <w:t xml:space="preserve">ovom Uredbom </w:t>
      </w:r>
      <w:r w:rsidRPr="003B1ECF">
        <w:rPr>
          <w:szCs w:val="24"/>
          <w:lang w:eastAsia="en-US"/>
        </w:rPr>
        <w:t>kako bi se osiguralo da se područje primjene ne tumači kao ograničeno na građane i poduzeća te da se odnosi na pravne osobe koje nisu poduzeća, kao što su europska prekogranična udruženja.</w:t>
      </w:r>
      <w:r w:rsidR="00AB31C3" w:rsidRPr="003B1ECF">
        <w:rPr>
          <w:b/>
          <w:szCs w:val="24"/>
          <w:lang w:eastAsia="en-US"/>
        </w:rPr>
        <w:t xml:space="preserve"> [Am. 2]</w:t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t>(4)</w:t>
      </w:r>
      <w:r w:rsidRPr="003B1ECF">
        <w:rPr>
          <w:szCs w:val="24"/>
          <w:lang w:eastAsia="en-US"/>
        </w:rPr>
        <w:tab/>
        <w:t>Uredbom (EU) 2018/1724 Europskog parlamenta i Vijeća</w:t>
      </w:r>
      <w:r w:rsidRPr="003B1ECF">
        <w:rPr>
          <w:szCs w:val="24"/>
          <w:vertAlign w:val="superscript"/>
          <w:lang w:eastAsia="en-US"/>
        </w:rPr>
        <w:footnoteReference w:id="6"/>
      </w:r>
      <w:r w:rsidRPr="003B1ECF">
        <w:rPr>
          <w:szCs w:val="24"/>
          <w:lang w:eastAsia="en-US"/>
        </w:rPr>
        <w:t xml:space="preserve"> o uspostavi jedinstvenog digitalnog pristupnika utvrđuju se opća pravila za internetsko pružanje informacija, postupaka i usluga podrške relevantnih za funkcioniranje unutarnjeg tržišta. Postupci obuhvaćeni ovom Uredbom trebali bi biti u skladu sa zahtjevima Uredbe (EU) 2018/1724 kako bi se osiguralo da svako europsko prekogranično udruženje može imati koristi od postupaka koji su u potpunosti dostupni putem interneta i prekogranične automatizirane razmjene dokaza, u skladu s načelom „samo jednom”. Ti postupci obuhvaćaju zahtjev za registraciju europskog prekograničnog udruženja i postupak prijenosa njegova registriranog sjedišta.</w:t>
      </w:r>
    </w:p>
    <w:p w:rsidR="00805E38" w:rsidRPr="003B1ECF" w:rsidRDefault="00805E38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lastRenderedPageBreak/>
        <w:t>(5)</w:t>
      </w:r>
      <w:r w:rsidRPr="003B1ECF">
        <w:rPr>
          <w:szCs w:val="24"/>
          <w:lang w:eastAsia="en-US"/>
        </w:rPr>
        <w:tab/>
        <w:t>Uredbe (EU) br. 1024/2012 i (EU) 2018/1724 trebalo bi stoga na odgovarajući način izmijeniti,</w:t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3B1ECF">
        <w:rPr>
          <w:b/>
          <w:i/>
          <w:szCs w:val="24"/>
          <w:lang w:eastAsia="en-US"/>
        </w:rPr>
        <w:t>(</w:t>
      </w:r>
      <w:proofErr w:type="spellStart"/>
      <w:r w:rsidRPr="003B1ECF">
        <w:rPr>
          <w:b/>
          <w:i/>
          <w:szCs w:val="24"/>
          <w:lang w:eastAsia="en-US"/>
        </w:rPr>
        <w:t>5a</w:t>
      </w:r>
      <w:proofErr w:type="spellEnd"/>
      <w:r w:rsidRPr="003B1ECF">
        <w:rPr>
          <w:b/>
          <w:i/>
          <w:szCs w:val="24"/>
          <w:lang w:eastAsia="en-US"/>
        </w:rPr>
        <w:t>)</w:t>
      </w:r>
      <w:r w:rsidRPr="003B1ECF">
        <w:rPr>
          <w:szCs w:val="24"/>
          <w:lang w:eastAsia="en-US"/>
        </w:rPr>
        <w:tab/>
      </w:r>
      <w:r w:rsidRPr="003B1ECF">
        <w:rPr>
          <w:b/>
          <w:i/>
          <w:szCs w:val="24"/>
          <w:lang w:eastAsia="en-US"/>
        </w:rPr>
        <w:t>Provedeno je savjetovanje s Europskim nadzornikom za zaštitu podataka u skladu s člankom 42. stavkom 1. Uredbe (EU) 2018/1725 te je on dao mišljenje 31. listopada 2023.,</w:t>
      </w:r>
      <w:r w:rsidR="00AB31C3" w:rsidRPr="003B1ECF">
        <w:rPr>
          <w:b/>
          <w:szCs w:val="24"/>
          <w:lang w:eastAsia="en-US"/>
        </w:rPr>
        <w:t xml:space="preserve"> [Am. 3]</w:t>
      </w:r>
    </w:p>
    <w:p w:rsidR="00F71404" w:rsidRPr="003B1ECF" w:rsidRDefault="00F71404" w:rsidP="00F71404">
      <w:pPr>
        <w:keepNext/>
        <w:widowControl/>
        <w:spacing w:before="120" w:after="120" w:line="360" w:lineRule="auto"/>
        <w:rPr>
          <w:szCs w:val="24"/>
          <w:lang w:eastAsia="en-US"/>
        </w:rPr>
      </w:pPr>
      <w:r w:rsidRPr="003B1ECF">
        <w:rPr>
          <w:szCs w:val="24"/>
          <w:lang w:eastAsia="en-US"/>
        </w:rPr>
        <w:t>DONIJELI SU OVU UREDBU:</w:t>
      </w:r>
    </w:p>
    <w:p w:rsidR="00805E38" w:rsidRPr="003B1ECF" w:rsidRDefault="00805E38" w:rsidP="00F71404">
      <w:pPr>
        <w:spacing w:before="120" w:after="120" w:line="360" w:lineRule="auto"/>
        <w:jc w:val="center"/>
        <w:rPr>
          <w:szCs w:val="24"/>
          <w:lang w:eastAsia="en-US"/>
        </w:rPr>
      </w:pPr>
      <w:r w:rsidRPr="003B1ECF">
        <w:rPr>
          <w:szCs w:val="24"/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jc w:val="center"/>
        <w:rPr>
          <w:szCs w:val="24"/>
          <w:lang w:eastAsia="en-US"/>
        </w:rPr>
      </w:pPr>
      <w:r w:rsidRPr="003B1ECF">
        <w:rPr>
          <w:szCs w:val="24"/>
          <w:lang w:eastAsia="en-US"/>
        </w:rPr>
        <w:lastRenderedPageBreak/>
        <w:t>Članak 1.</w:t>
      </w:r>
      <w:r w:rsidRPr="003B1ECF">
        <w:rPr>
          <w:szCs w:val="24"/>
          <w:lang w:eastAsia="en-US"/>
        </w:rPr>
        <w:br/>
        <w:t>Izmjena Uredbe (EU) br. 1024/2012</w:t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t>U Prilogu Uredbi (EU) br. 1024/2012 dodaje se sljedeća nova točka (16.):</w:t>
      </w:r>
    </w:p>
    <w:p w:rsidR="00F71404" w:rsidRPr="003B1ECF" w:rsidRDefault="00F71404" w:rsidP="003B1ECF">
      <w:pPr>
        <w:spacing w:before="120" w:after="120" w:line="360" w:lineRule="auto"/>
        <w:ind w:left="851" w:hanging="851"/>
        <w:rPr>
          <w:szCs w:val="24"/>
          <w:lang w:eastAsia="en-US"/>
        </w:rPr>
      </w:pPr>
      <w:r w:rsidRPr="003B1ECF">
        <w:rPr>
          <w:szCs w:val="24"/>
          <w:lang w:eastAsia="en-US"/>
        </w:rPr>
        <w:t>„16.</w:t>
      </w:r>
      <w:r w:rsidRPr="003B1ECF">
        <w:rPr>
          <w:szCs w:val="24"/>
          <w:lang w:eastAsia="en-US"/>
        </w:rPr>
        <w:tab/>
        <w:t>Direktiva (EU) Europskog parlamenta i Vijeća o europskim prekograničnim udruženjima (</w:t>
      </w:r>
      <w:proofErr w:type="spellStart"/>
      <w:r w:rsidRPr="003B1ECF">
        <w:rPr>
          <w:szCs w:val="24"/>
          <w:lang w:eastAsia="en-US"/>
        </w:rPr>
        <w:t>COM</w:t>
      </w:r>
      <w:proofErr w:type="spellEnd"/>
      <w:r w:rsidRPr="003B1ECF">
        <w:rPr>
          <w:szCs w:val="24"/>
          <w:lang w:eastAsia="en-US"/>
        </w:rPr>
        <w:t>(2023) 516) *: Članak 19. stavak 2., članak 19. stavak 4., članak 23. stavak 5., članak 23. stavak 6., članak 23. stavak 7., članak 24. stavak 3., članak 25. stavak 6. i članak 27.”</w:t>
      </w:r>
    </w:p>
    <w:p w:rsidR="00F71404" w:rsidRPr="003B1ECF" w:rsidRDefault="00F71404" w:rsidP="003B1ECF">
      <w:pPr>
        <w:spacing w:before="120" w:after="120" w:line="360" w:lineRule="auto"/>
        <w:ind w:left="851"/>
        <w:rPr>
          <w:szCs w:val="24"/>
          <w:lang w:eastAsia="en-US"/>
        </w:rPr>
      </w:pPr>
      <w:r w:rsidRPr="003B1ECF">
        <w:rPr>
          <w:szCs w:val="24"/>
          <w:lang w:eastAsia="en-US"/>
        </w:rPr>
        <w:t>____________________</w:t>
      </w:r>
    </w:p>
    <w:p w:rsidR="00F71404" w:rsidRPr="003B1ECF" w:rsidRDefault="00F71404" w:rsidP="003B1ECF">
      <w:pPr>
        <w:spacing w:before="120" w:after="120" w:line="360" w:lineRule="auto"/>
        <w:ind w:left="851"/>
        <w:rPr>
          <w:szCs w:val="24"/>
          <w:lang w:eastAsia="en-US"/>
        </w:rPr>
      </w:pPr>
      <w:r w:rsidRPr="003B1ECF">
        <w:rPr>
          <w:szCs w:val="24"/>
          <w:lang w:eastAsia="en-US"/>
        </w:rPr>
        <w:t xml:space="preserve">*(upućivanje na </w:t>
      </w:r>
      <w:proofErr w:type="spellStart"/>
      <w:r w:rsidRPr="003B1ECF">
        <w:rPr>
          <w:szCs w:val="24"/>
          <w:lang w:eastAsia="en-US"/>
        </w:rPr>
        <w:t>SL</w:t>
      </w:r>
      <w:proofErr w:type="spellEnd"/>
      <w:r w:rsidRPr="003B1ECF">
        <w:rPr>
          <w:szCs w:val="24"/>
          <w:lang w:eastAsia="en-US"/>
        </w:rPr>
        <w:t>).”</w:t>
      </w:r>
    </w:p>
    <w:p w:rsidR="00805E38" w:rsidRPr="003B1ECF" w:rsidRDefault="00805E38" w:rsidP="00F71404">
      <w:pPr>
        <w:spacing w:before="120" w:after="120" w:line="360" w:lineRule="auto"/>
        <w:jc w:val="center"/>
        <w:rPr>
          <w:szCs w:val="24"/>
          <w:lang w:eastAsia="en-US"/>
        </w:rPr>
      </w:pPr>
      <w:r w:rsidRPr="003B1ECF">
        <w:rPr>
          <w:szCs w:val="24"/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jc w:val="center"/>
        <w:rPr>
          <w:szCs w:val="24"/>
          <w:lang w:eastAsia="en-US"/>
        </w:rPr>
      </w:pPr>
      <w:r w:rsidRPr="003B1ECF">
        <w:rPr>
          <w:szCs w:val="24"/>
          <w:lang w:eastAsia="en-US"/>
        </w:rPr>
        <w:lastRenderedPageBreak/>
        <w:t>Članak 2.</w:t>
      </w:r>
      <w:r w:rsidRPr="003B1ECF">
        <w:rPr>
          <w:szCs w:val="24"/>
          <w:lang w:eastAsia="en-US"/>
        </w:rPr>
        <w:br/>
        <w:t>Izmjene Uredbe (EU) 2018/1724</w:t>
      </w:r>
    </w:p>
    <w:p w:rsidR="00F71404" w:rsidRPr="003B1ECF" w:rsidRDefault="00F71404" w:rsidP="00F71404">
      <w:pPr>
        <w:spacing w:before="120" w:after="120" w:line="360" w:lineRule="auto"/>
        <w:rPr>
          <w:szCs w:val="24"/>
          <w:lang w:eastAsia="en-US"/>
        </w:rPr>
      </w:pPr>
      <w:r w:rsidRPr="003B1ECF">
        <w:rPr>
          <w:szCs w:val="24"/>
          <w:lang w:eastAsia="en-US"/>
        </w:rPr>
        <w:t>Uredba (EU) 2018/1724 mijenja se kako slijedi:</w:t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t>1</w:t>
      </w:r>
      <w:r w:rsidR="003B1ECF" w:rsidRPr="003B1ECF">
        <w:rPr>
          <w:szCs w:val="24"/>
          <w:lang w:eastAsia="en-US"/>
        </w:rPr>
        <w:t>.</w:t>
      </w:r>
      <w:r w:rsidRPr="003B1ECF">
        <w:rPr>
          <w:szCs w:val="24"/>
          <w:lang w:eastAsia="en-US"/>
        </w:rPr>
        <w:tab/>
        <w:t>u članku 1. stavku 1. točka (a) zamjenjuje se sljedećim:</w:t>
      </w:r>
    </w:p>
    <w:p w:rsidR="00F71404" w:rsidRPr="003B1ECF" w:rsidRDefault="00F71404" w:rsidP="00F7140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1ECF">
        <w:rPr>
          <w:szCs w:val="24"/>
          <w:lang w:eastAsia="en-US"/>
        </w:rPr>
        <w:t>„(a)</w:t>
      </w:r>
      <w:r w:rsidRPr="003B1ECF">
        <w:rPr>
          <w:szCs w:val="24"/>
          <w:lang w:eastAsia="en-US"/>
        </w:rPr>
        <w:tab/>
        <w:t xml:space="preserve">uspostavljanje i funkcioniranje jedinstvenog digitalnog pristupnika kojim se građanima, poduzećima i pravnim osobama koje nisu poduzeća omogućuje lak pristup visokokvalitetnim informacijama, učinkovitim postupcima te djelotvornim uslugama podrške i rješavanja problema u pogledu pravila Unije i nacionalnih pravila primjenjivih na građane, poduzeća i pravne osobe koje nisu poduzeća koji ostvaruju ili žele ostvariti svoja prava koja proizlaze iz prava Unije u području unutarnjeg tržišta u smislu članka 26. stavka 2. </w:t>
      </w:r>
      <w:proofErr w:type="spellStart"/>
      <w:r w:rsidRPr="003B1ECF">
        <w:rPr>
          <w:szCs w:val="24"/>
          <w:lang w:eastAsia="en-US"/>
        </w:rPr>
        <w:t>UFEU</w:t>
      </w:r>
      <w:proofErr w:type="spellEnd"/>
      <w:r w:rsidRPr="003B1ECF">
        <w:rPr>
          <w:szCs w:val="24"/>
          <w:lang w:eastAsia="en-US"/>
        </w:rPr>
        <w:t>-a;”</w:t>
      </w:r>
    </w:p>
    <w:p w:rsidR="00805E38" w:rsidRPr="003B1ECF" w:rsidRDefault="00805E38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lastRenderedPageBreak/>
        <w:t>2</w:t>
      </w:r>
      <w:r w:rsidR="003B1ECF" w:rsidRPr="003B1ECF">
        <w:rPr>
          <w:szCs w:val="24"/>
          <w:lang w:eastAsia="en-US"/>
        </w:rPr>
        <w:t>.</w:t>
      </w:r>
      <w:r w:rsidRPr="003B1ECF">
        <w:rPr>
          <w:szCs w:val="24"/>
          <w:lang w:eastAsia="en-US"/>
        </w:rPr>
        <w:tab/>
        <w:t>u članku 1. stavku 1. točka (b) zamjenjuje se sljedećim:</w:t>
      </w:r>
    </w:p>
    <w:p w:rsidR="00F71404" w:rsidRPr="003B1ECF" w:rsidRDefault="00F71404" w:rsidP="00F7140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1ECF">
        <w:rPr>
          <w:szCs w:val="24"/>
          <w:lang w:eastAsia="en-US"/>
        </w:rPr>
        <w:t>„(b)</w:t>
      </w:r>
      <w:r w:rsidRPr="003B1ECF">
        <w:rPr>
          <w:szCs w:val="24"/>
          <w:lang w:eastAsia="en-US"/>
        </w:rPr>
        <w:tab/>
        <w:t>upotrebu postupaka za prekogranične korisnike i za primjenu načela „samo jednom” u vezi s postupcima navedenima u Prilogu II. ovoj Uredbi i postupcima iz direktiva 2005/36/EZ, 2006/123/EZ, 2014/24/EU, 2014/25/EU i .../...*;”</w:t>
      </w:r>
    </w:p>
    <w:p w:rsidR="00F71404" w:rsidRPr="003B1ECF" w:rsidRDefault="00F71404" w:rsidP="00F71404">
      <w:pPr>
        <w:spacing w:before="120" w:after="120" w:line="360" w:lineRule="auto"/>
        <w:ind w:left="1416"/>
        <w:rPr>
          <w:szCs w:val="24"/>
          <w:lang w:eastAsia="en-US"/>
        </w:rPr>
      </w:pPr>
      <w:r w:rsidRPr="003B1ECF">
        <w:rPr>
          <w:szCs w:val="24"/>
          <w:lang w:eastAsia="en-US"/>
        </w:rPr>
        <w:t>____________________</w:t>
      </w:r>
    </w:p>
    <w:p w:rsidR="00F71404" w:rsidRPr="003B1ECF" w:rsidRDefault="00F71404" w:rsidP="00F71404">
      <w:pPr>
        <w:spacing w:before="120" w:after="120" w:line="360" w:lineRule="auto"/>
        <w:ind w:left="1416"/>
        <w:rPr>
          <w:szCs w:val="24"/>
          <w:lang w:eastAsia="en-US"/>
        </w:rPr>
      </w:pPr>
      <w:r w:rsidRPr="003B1ECF">
        <w:rPr>
          <w:szCs w:val="24"/>
          <w:lang w:eastAsia="en-US"/>
        </w:rPr>
        <w:t xml:space="preserve">„* Direktiva Europskog parlamenta i Vijeća od ... o europskim prekograničnim udruženjima (upućivanje na </w:t>
      </w:r>
      <w:proofErr w:type="spellStart"/>
      <w:r w:rsidRPr="003B1ECF">
        <w:rPr>
          <w:szCs w:val="24"/>
          <w:lang w:eastAsia="en-US"/>
        </w:rPr>
        <w:t>SL</w:t>
      </w:r>
      <w:proofErr w:type="spellEnd"/>
      <w:r w:rsidRPr="003B1ECF">
        <w:rPr>
          <w:szCs w:val="24"/>
          <w:lang w:eastAsia="en-US"/>
        </w:rPr>
        <w:t>).”</w:t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t>3</w:t>
      </w:r>
      <w:r w:rsidR="003B1ECF" w:rsidRPr="003B1ECF">
        <w:rPr>
          <w:szCs w:val="24"/>
          <w:lang w:eastAsia="en-US"/>
        </w:rPr>
        <w:t>.</w:t>
      </w:r>
      <w:r w:rsidRPr="003B1ECF">
        <w:rPr>
          <w:szCs w:val="24"/>
          <w:lang w:eastAsia="en-US"/>
        </w:rPr>
        <w:tab/>
        <w:t>u članku 2. stavku 2. točka (c) zamjenjuje se sljedećim:</w:t>
      </w:r>
    </w:p>
    <w:p w:rsidR="00F71404" w:rsidRPr="003B1ECF" w:rsidRDefault="00F71404" w:rsidP="00F7140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1ECF">
        <w:rPr>
          <w:szCs w:val="24"/>
          <w:lang w:eastAsia="en-US"/>
        </w:rPr>
        <w:t>„(c)</w:t>
      </w:r>
      <w:r w:rsidRPr="003B1ECF">
        <w:rPr>
          <w:szCs w:val="24"/>
          <w:lang w:eastAsia="en-US"/>
        </w:rPr>
        <w:tab/>
        <w:t>informacijama o uslugama podrške i rješavanja problema, te poveznicama na njih, navedenima u Prilogu III. ili na koje se upućuje u članku 7. kojima se građani, poduzeća i pravne osobe koje nisu poduzeća mogu obratiti s pitanjima ili problemima koji se odnose na njihova prava, obveze, pravila ili postupke iz točaka (a) i (b) ovog stavka.;”</w:t>
      </w:r>
    </w:p>
    <w:p w:rsidR="00805E38" w:rsidRPr="003B1ECF" w:rsidRDefault="00805E38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lastRenderedPageBreak/>
        <w:t>4</w:t>
      </w:r>
      <w:r w:rsidR="003B1ECF" w:rsidRPr="003B1ECF">
        <w:rPr>
          <w:szCs w:val="24"/>
          <w:lang w:eastAsia="en-US"/>
        </w:rPr>
        <w:t>.</w:t>
      </w:r>
      <w:r w:rsidRPr="003B1ECF">
        <w:rPr>
          <w:szCs w:val="24"/>
          <w:lang w:eastAsia="en-US"/>
        </w:rPr>
        <w:tab/>
        <w:t>u članku 14. stavak 1. zamjenjuje se sljedećim:</w:t>
      </w:r>
    </w:p>
    <w:p w:rsidR="00F71404" w:rsidRPr="003B1ECF" w:rsidRDefault="00F71404" w:rsidP="00F7140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1ECF">
        <w:rPr>
          <w:szCs w:val="24"/>
          <w:lang w:eastAsia="en-US"/>
        </w:rPr>
        <w:t>„1.</w:t>
      </w:r>
      <w:r w:rsidRPr="003B1ECF">
        <w:rPr>
          <w:szCs w:val="24"/>
          <w:lang w:eastAsia="en-US"/>
        </w:rPr>
        <w:tab/>
        <w:t>U svrhu razmjene dokaza za internetske postupke navedene u Prilogu II. ovoj Uredbi i postupke predviđene direktivama 2005/36/EZ, 2006/123/EZ, 2014/24/EU, 2014/25/EU i …/…/… Komisija u suradnji s državama članicama uspostavlja tehnički sustav za automatiziranu razmjenu dokaza među nadležnim tijelima u različitim državama članicama („tehnički sustav”).;”</w:t>
      </w:r>
    </w:p>
    <w:p w:rsidR="00F71404" w:rsidRPr="003B1ECF" w:rsidRDefault="00F71404" w:rsidP="00F71404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3B1ECF">
        <w:rPr>
          <w:szCs w:val="24"/>
          <w:lang w:eastAsia="en-US"/>
        </w:rPr>
        <w:t>5</w:t>
      </w:r>
      <w:r w:rsidR="003B1ECF" w:rsidRPr="003B1ECF">
        <w:rPr>
          <w:szCs w:val="24"/>
          <w:lang w:eastAsia="en-US"/>
        </w:rPr>
        <w:t>.</w:t>
      </w:r>
      <w:r w:rsidRPr="003B1ECF">
        <w:rPr>
          <w:szCs w:val="24"/>
          <w:lang w:eastAsia="en-US"/>
        </w:rPr>
        <w:tab/>
        <w:t>Prilog I. Uredbi (EU) 2018/1724 mijenja se kako slijedi:</w:t>
      </w:r>
    </w:p>
    <w:p w:rsidR="00F71404" w:rsidRPr="003B1ECF" w:rsidRDefault="00F71404" w:rsidP="00F7140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1ECF">
        <w:rPr>
          <w:szCs w:val="24"/>
          <w:lang w:eastAsia="en-US"/>
        </w:rPr>
        <w:t>(a)</w:t>
      </w:r>
      <w:r w:rsidRPr="003B1ECF">
        <w:rPr>
          <w:szCs w:val="24"/>
          <w:lang w:eastAsia="en-US"/>
        </w:rPr>
        <w:tab/>
        <w:t>naslov se zamjenjuje sljedećim:</w:t>
      </w:r>
    </w:p>
    <w:p w:rsidR="00F71404" w:rsidRPr="003B1ECF" w:rsidRDefault="00F71404" w:rsidP="00F71404">
      <w:pPr>
        <w:spacing w:before="120" w:after="120" w:line="360" w:lineRule="auto"/>
        <w:ind w:left="1416"/>
        <w:rPr>
          <w:szCs w:val="24"/>
          <w:lang w:eastAsia="en-US"/>
        </w:rPr>
      </w:pPr>
      <w:r w:rsidRPr="003B1ECF">
        <w:rPr>
          <w:szCs w:val="24"/>
          <w:lang w:eastAsia="en-US"/>
        </w:rPr>
        <w:t>„Popis informacijskih područja važnih za građane, poduzeća i pravne osobe koje nisu poduzeća sa sjedištem u državi članici koji se na unutarnjem tržištu koriste svojim pravima iz članka 2. stavka 2. točke (a);</w:t>
      </w:r>
    </w:p>
    <w:p w:rsidR="00805E38" w:rsidRPr="003B1ECF" w:rsidRDefault="00805E38" w:rsidP="00F71404">
      <w:pPr>
        <w:spacing w:before="120" w:after="120" w:line="360" w:lineRule="auto"/>
        <w:ind w:left="1416"/>
        <w:rPr>
          <w:b/>
          <w:i/>
          <w:szCs w:val="24"/>
          <w:lang w:eastAsia="en-US"/>
        </w:rPr>
      </w:pPr>
      <w:r w:rsidRPr="003B1ECF">
        <w:rPr>
          <w:b/>
          <w:i/>
          <w:szCs w:val="24"/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ind w:left="1416"/>
        <w:rPr>
          <w:szCs w:val="24"/>
          <w:lang w:eastAsia="en-US"/>
        </w:rPr>
      </w:pPr>
      <w:r w:rsidRPr="003B1ECF">
        <w:rPr>
          <w:b/>
          <w:i/>
          <w:szCs w:val="24"/>
          <w:lang w:eastAsia="en-US"/>
        </w:rPr>
        <w:lastRenderedPageBreak/>
        <w:t>(</w:t>
      </w:r>
      <w:proofErr w:type="spellStart"/>
      <w:r w:rsidRPr="003B1ECF">
        <w:rPr>
          <w:b/>
          <w:i/>
          <w:szCs w:val="24"/>
          <w:lang w:eastAsia="en-US"/>
        </w:rPr>
        <w:t>aa</w:t>
      </w:r>
      <w:proofErr w:type="spellEnd"/>
      <w:r w:rsidRPr="003B1ECF">
        <w:rPr>
          <w:b/>
          <w:i/>
          <w:szCs w:val="24"/>
          <w:lang w:eastAsia="en-US"/>
        </w:rPr>
        <w:t>)</w:t>
      </w:r>
      <w:r w:rsidRPr="003B1ECF">
        <w:rPr>
          <w:b/>
          <w:i/>
          <w:szCs w:val="24"/>
          <w:lang w:eastAsia="en-US"/>
        </w:rPr>
        <w:tab/>
        <w:t>zamjenjuju se sljedeća područja informiranja:</w:t>
      </w:r>
      <w:r w:rsidRPr="003B1ECF">
        <w:rPr>
          <w:szCs w:val="24"/>
          <w:lang w:eastAsia="en-US"/>
        </w:rPr>
        <w:t>”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5E38" w:rsidRPr="003B1ECF" w:rsidTr="009C0AFC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E38" w:rsidRPr="003B1ECF" w:rsidRDefault="00805E38" w:rsidP="009C0AFC">
            <w:pPr>
              <w:pStyle w:val="Normal6"/>
            </w:pPr>
            <w:r w:rsidRPr="003B1ECF">
              <w:t>„Informacijska područja koja se odnose na poduzeća: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38" w:rsidRPr="003B1ECF" w:rsidRDefault="00805E38" w:rsidP="009C0AFC">
            <w:pPr>
              <w:pStyle w:val="Normal6"/>
            </w:pPr>
          </w:p>
        </w:tc>
      </w:tr>
      <w:tr w:rsidR="00805E38" w:rsidRPr="003B1ECF" w:rsidTr="009C0AFC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E38" w:rsidRPr="003B1ECF" w:rsidRDefault="00805E38" w:rsidP="009C0AFC">
            <w:pPr>
              <w:pStyle w:val="Normal6"/>
            </w:pPr>
            <w:r w:rsidRPr="003B1ECF">
              <w:t>Područje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E38" w:rsidRPr="003B1ECF" w:rsidRDefault="00805E38" w:rsidP="009C0AFC">
            <w:pPr>
              <w:pStyle w:val="Normal6"/>
            </w:pPr>
            <w:r w:rsidRPr="003B1ECF">
              <w:t>INFORMACIJE U VEZI S PRAVIMA, OBVEZAMA I PRAVILIMA</w:t>
            </w:r>
          </w:p>
        </w:tc>
      </w:tr>
      <w:tr w:rsidR="00805E38" w:rsidRPr="003B1ECF" w:rsidTr="009C0AFC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E38" w:rsidRPr="003B1ECF" w:rsidRDefault="00805E38" w:rsidP="009C0AFC">
            <w:pPr>
              <w:pStyle w:val="Normal6"/>
            </w:pPr>
            <w:r w:rsidRPr="003B1ECF">
              <w:t>J. Pokretanje, vođenje i zatvaranje poduzeća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38" w:rsidRPr="003B1ECF" w:rsidRDefault="00805E38" w:rsidP="009C0AFC">
            <w:pPr>
              <w:pStyle w:val="Normal6"/>
            </w:pPr>
            <w:r w:rsidRPr="003B1ECF">
              <w:t>1. registriranje, promjena pravnog oblika ili zatvaranje poduzeća (postupci registracije i pravni obrasci za vođenje poslovanja)</w:t>
            </w:r>
          </w:p>
          <w:p w:rsidR="00805E38" w:rsidRPr="003B1ECF" w:rsidRDefault="00805E38" w:rsidP="009C0AFC">
            <w:pPr>
              <w:pStyle w:val="Normal6"/>
            </w:pPr>
            <w:r w:rsidRPr="003B1ECF">
              <w:t xml:space="preserve">2. </w:t>
            </w:r>
            <w:r w:rsidRPr="003B1ECF">
              <w:rPr>
                <w:b/>
                <w:i/>
              </w:rPr>
              <w:t>prijenos registriranog sjedišta</w:t>
            </w:r>
            <w:r w:rsidRPr="003B1ECF">
              <w:t xml:space="preserve"> poduzeća u drugu državu članicu</w:t>
            </w:r>
          </w:p>
          <w:p w:rsidR="00805E38" w:rsidRPr="003B1ECF" w:rsidRDefault="00805E38" w:rsidP="009C0AFC">
            <w:pPr>
              <w:pStyle w:val="Normal6"/>
              <w:rPr>
                <w:b/>
                <w:i/>
              </w:rPr>
            </w:pPr>
            <w:proofErr w:type="spellStart"/>
            <w:r w:rsidRPr="003B1ECF">
              <w:rPr>
                <w:b/>
                <w:i/>
              </w:rPr>
              <w:t>2.a</w:t>
            </w:r>
            <w:proofErr w:type="spellEnd"/>
            <w:r w:rsidRPr="003B1ECF">
              <w:rPr>
                <w:b/>
                <w:i/>
              </w:rPr>
              <w:t xml:space="preserve"> obveze prema vjerovnicima i prava radnika u vezi s prijenosom registriranog sjedišta poduzeća u drugu državu članicu</w:t>
            </w:r>
          </w:p>
          <w:p w:rsidR="00805E38" w:rsidRPr="003B1ECF" w:rsidRDefault="00805E38" w:rsidP="009C0AFC">
            <w:pPr>
              <w:pStyle w:val="Normal6"/>
            </w:pPr>
            <w:r w:rsidRPr="003B1ECF">
              <w:t>3. prava intelektualnog vlasništva (prijava patenta, registracija žiga, crteža ili dizajna, dobivanje licence za reprodukciju)</w:t>
            </w:r>
          </w:p>
          <w:p w:rsidR="00805E38" w:rsidRPr="003B1ECF" w:rsidRDefault="00AB31C3" w:rsidP="009C0AFC">
            <w:pPr>
              <w:pStyle w:val="Normal6"/>
            </w:pPr>
            <w:r w:rsidRPr="003B1ECF">
              <w:t>4</w:t>
            </w:r>
            <w:r w:rsidR="00805E38" w:rsidRPr="003B1ECF">
              <w:t>. pravedne i transparentne trgovačke prakse, uključujući prava potrošača i jamstva u vezi s prodajom robe i usluga</w:t>
            </w:r>
          </w:p>
          <w:p w:rsidR="00805E38" w:rsidRPr="003B1ECF" w:rsidRDefault="00805E38" w:rsidP="009C0AFC">
            <w:pPr>
              <w:pStyle w:val="Normal6"/>
            </w:pPr>
            <w:r w:rsidRPr="003B1ECF">
              <w:t>5. ponuda internetskih usluga za prekogranična plaćanja pri prodaji robe i usluga na internetu</w:t>
            </w:r>
          </w:p>
          <w:p w:rsidR="00805E38" w:rsidRPr="003B1ECF" w:rsidRDefault="00805E38" w:rsidP="009C0AFC">
            <w:pPr>
              <w:pStyle w:val="Normal6"/>
            </w:pPr>
            <w:r w:rsidRPr="003B1ECF">
              <w:t>6. prava i obveze prema ugovornom pravu, uključujući kamate na zakašnjela plaćanja</w:t>
            </w:r>
          </w:p>
          <w:p w:rsidR="00805E38" w:rsidRPr="003B1ECF" w:rsidRDefault="00805E38" w:rsidP="009C0AFC">
            <w:pPr>
              <w:pStyle w:val="Normal6"/>
            </w:pPr>
            <w:r w:rsidRPr="003B1ECF">
              <w:t>7. postupci u slučaju nesolventnosti i likvidacija društava</w:t>
            </w:r>
          </w:p>
          <w:p w:rsidR="00805E38" w:rsidRPr="003B1ECF" w:rsidRDefault="00805E38" w:rsidP="009C0AFC">
            <w:pPr>
              <w:pStyle w:val="Normal6"/>
            </w:pPr>
            <w:r w:rsidRPr="003B1ECF">
              <w:t>8. osiguranje kredita</w:t>
            </w:r>
          </w:p>
          <w:p w:rsidR="00805E38" w:rsidRPr="003B1ECF" w:rsidRDefault="00805E38" w:rsidP="009C0AFC">
            <w:pPr>
              <w:pStyle w:val="Normal6"/>
            </w:pPr>
            <w:r w:rsidRPr="003B1ECF">
              <w:t>9. spajanja društava ili prodaja poduzeća</w:t>
            </w:r>
          </w:p>
          <w:p w:rsidR="00805E38" w:rsidRPr="003B1ECF" w:rsidRDefault="00805E38" w:rsidP="009C0AFC">
            <w:pPr>
              <w:pStyle w:val="Normal6"/>
            </w:pPr>
            <w:r w:rsidRPr="003B1ECF">
              <w:t xml:space="preserve">10. građanska odgovornost </w:t>
            </w:r>
            <w:r w:rsidRPr="003B1ECF">
              <w:rPr>
                <w:b/>
                <w:i/>
              </w:rPr>
              <w:t>članova odbora ili</w:t>
            </w:r>
            <w:r w:rsidRPr="003B1ECF">
              <w:t xml:space="preserve"> direktora društva</w:t>
            </w:r>
          </w:p>
          <w:p w:rsidR="00805E38" w:rsidRPr="003B1ECF" w:rsidRDefault="00805E38" w:rsidP="009C0AFC">
            <w:pPr>
              <w:pStyle w:val="Normal6"/>
            </w:pPr>
            <w:r w:rsidRPr="003B1ECF">
              <w:t>11. pravila i obveze u pogledu obrade osobnih podataka”</w:t>
            </w:r>
          </w:p>
        </w:tc>
      </w:tr>
    </w:tbl>
    <w:p w:rsidR="00AB31C3" w:rsidRPr="003B1ECF" w:rsidRDefault="00AB31C3" w:rsidP="00AB31C3">
      <w:pPr>
        <w:spacing w:before="120" w:after="120" w:line="360" w:lineRule="auto"/>
        <w:ind w:left="1416" w:hanging="566"/>
        <w:jc w:val="right"/>
        <w:rPr>
          <w:b/>
          <w:szCs w:val="24"/>
          <w:lang w:eastAsia="en-US"/>
        </w:rPr>
      </w:pPr>
      <w:r w:rsidRPr="003B1ECF">
        <w:rPr>
          <w:b/>
          <w:szCs w:val="24"/>
          <w:lang w:eastAsia="en-US"/>
        </w:rPr>
        <w:t>[Am. 4]</w:t>
      </w:r>
    </w:p>
    <w:p w:rsidR="00805E38" w:rsidRPr="003B1ECF" w:rsidRDefault="00805E38" w:rsidP="00F7140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1ECF">
        <w:rPr>
          <w:szCs w:val="24"/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3B1ECF">
        <w:rPr>
          <w:szCs w:val="24"/>
          <w:lang w:eastAsia="en-US"/>
        </w:rPr>
        <w:lastRenderedPageBreak/>
        <w:t>(b)</w:t>
      </w:r>
      <w:r w:rsidRPr="003B1ECF">
        <w:rPr>
          <w:szCs w:val="24"/>
          <w:lang w:eastAsia="en-US"/>
        </w:rPr>
        <w:tab/>
        <w:t>dodaju se sljedeća područja informiranja:</w:t>
      </w:r>
    </w:p>
    <w:p w:rsidR="00F71404" w:rsidRPr="003B1ECF" w:rsidRDefault="00F71404" w:rsidP="00F71404">
      <w:pPr>
        <w:spacing w:before="120" w:after="120" w:line="360" w:lineRule="auto"/>
        <w:ind w:left="850"/>
        <w:rPr>
          <w:szCs w:val="24"/>
          <w:lang w:eastAsia="en-US"/>
        </w:rPr>
      </w:pPr>
      <w:r w:rsidRPr="003B1ECF">
        <w:rPr>
          <w:szCs w:val="24"/>
          <w:lang w:eastAsia="en-US"/>
        </w:rPr>
        <w:t>„Informacijska područja koja se odnose na pravne osobe koje nisu poduzeća sa sjedištem u državi članici: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09"/>
        <w:gridCol w:w="6656"/>
      </w:tblGrid>
      <w:tr w:rsidR="00DF0036" w:rsidRPr="00DF0036" w:rsidTr="0068782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AA. Osnivanje, vođenje i zatvaranje pravne osobe koja nije poduzeće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1.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 registriranje, promjena pravnog oblika ili zatvaranje pravne osobe koja nije poduzeće (postupci registracije i pravni oblici)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2.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="00B06E3C" w:rsidRPr="003B1ECF">
              <w:rPr>
                <w:rFonts w:ascii="Times New Roman" w:hAnsi="Times New Roman" w:cs="Times New Roman"/>
                <w:b/>
                <w:i/>
              </w:rPr>
              <w:t>prijenos registriranog sjedišta</w:t>
            </w:r>
            <w:r w:rsidR="00B06E3C" w:rsidRPr="003B1ECF">
              <w:t xml:space="preserve"> </w:t>
            </w:r>
            <w:r w:rsidRPr="003B1ECF">
              <w:rPr>
                <w:rFonts w:ascii="Times New Roman" w:hAnsi="Times New Roman" w:cs="Times New Roman"/>
                <w:strike/>
                <w:noProof/>
                <w:szCs w:val="24"/>
              </w:rPr>
              <w:t>premještanje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 pravne osobe koja nije poduzeće u drugu državu članicu</w:t>
            </w:r>
          </w:p>
          <w:p w:rsidR="00B06E3C" w:rsidRPr="003B1ECF" w:rsidRDefault="00B06E3C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b/>
                <w:i/>
                <w:noProof/>
                <w:szCs w:val="24"/>
              </w:rPr>
              <w:t>2.a obveze prema vjerovnicima i prava radnika u vezi s prijenosom registriranog sjedišta pravne osobe koja nije poduzeća u drugu državu članicu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3. prava intelektualnog vlasništva (prijava patenta, registracija žiga, crteža ili dizajna, dobivanje licence za reprodukciju)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4. pravedne i transparentne trgovačke prakse, uključujući prava potrošača i jamstva u vezi s prodajom robe i usluga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5. ponuda internetskih usluga za prekogranična plaćanja pri prodaji robe i usluga na internetu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6. prava i obveze prema ugovornom pravu, uključujući kamate na zakašnjela plaćanja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7. postupci u slučaju nesolventnosti i likvidacija pravnih osoba koje nisu poduzeća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8. osiguranje kredita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9. spajanje ili prodaja pravne osobe koja nije poduzeće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10. građanskopravna odgovornost </w:t>
            </w:r>
            <w:r w:rsidR="00B06E3C" w:rsidRPr="003B1ECF">
              <w:rPr>
                <w:rFonts w:ascii="Times New Roman" w:hAnsi="Times New Roman" w:cs="Times New Roman"/>
                <w:b/>
                <w:i/>
                <w:noProof/>
                <w:szCs w:val="24"/>
              </w:rPr>
              <w:t>članova odbora</w:t>
            </w:r>
            <w:r w:rsidR="00B06E3C" w:rsidRPr="003B1ECF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="00B06E3C" w:rsidRPr="003B1ECF">
              <w:rPr>
                <w:rFonts w:ascii="Times New Roman" w:hAnsi="Times New Roman" w:cs="Times New Roman"/>
                <w:b/>
                <w:i/>
                <w:noProof/>
                <w:szCs w:val="24"/>
              </w:rPr>
              <w:t>ili</w:t>
            </w:r>
            <w:r w:rsidR="00B06E3C" w:rsidRPr="003B1ECF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>direktora pravne osobe koja nije poduzeće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11. pravila i obveze u pogledu obrade osobnih podataka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</w:p>
        </w:tc>
      </w:tr>
      <w:tr w:rsidR="00DF0036" w:rsidRPr="00DF0036" w:rsidTr="0068782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AB. Zaposlenici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 xml:space="preserve">1. 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uvjeti zapošljavanja utvrđeni zakonom ili zakonskim instrumentom (uključujući radno vrijeme, plaćeni dopust, pravo na 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lastRenderedPageBreak/>
              <w:t>godišnji odmor, prava i obveze u vezi s prekovremenim radom, zdravstveni pregledi, raskid ugovora, otpuštanja i višak radne snage)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2. prava i obveze u sustavu socijalne sigurnosti Unije (registracija poslodavca, prijava zaposlenika, obavještavanje zaposlenika o prestanku ugovora, plaćanje doprinosa za socijalno osiguranje, prava i obveze u vezi s mirovinama)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3. zapošljavanje radnika iz drugih država članica (upućivanje radnika, pravila o slobodi pružanja usluga, uvjet boravišta za radnike)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4. jednako postupanje (pravila kojima se zabranjuje diskriminacija na radnom mjestu, pravila o jednakoj plaći za muškarce i žene, jednaka plaća za zaposlenike s ugovorima o radu na ograničeno ili neograničeno vrijeme)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5. pravila o zastupanju osoblja</w:t>
            </w:r>
          </w:p>
        </w:tc>
      </w:tr>
      <w:tr w:rsidR="00DF0036" w:rsidRPr="00DF0036" w:rsidTr="0068782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lastRenderedPageBreak/>
              <w:t>AC. Porezi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 xml:space="preserve">1. PDV: 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>informiranje o općim pravilima, stopama i izuzećima, registracija u sustavu PDV-a i plaćanje PDV-a, ostvarivanje povrata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2. trošarine: informiranje o općim pravilima, stopama i izuzećima, registracija u sustavu PDV-a i plaćanje PDV-a, ostvarivanje povrata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3. carine i drugi porezi i nameti koji se naplaćuju pri uvozu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4. carinski postupci pri uvozu i izvozu u skladu s Carinskim zakonikom Unije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5.·ostali porezi: plaćanje, stope, prijave poreza</w:t>
            </w:r>
          </w:p>
        </w:tc>
      </w:tr>
      <w:tr w:rsidR="00DF0036" w:rsidRPr="00DF0036" w:rsidTr="0068782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 xml:space="preserve">AD. Roba 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 xml:space="preserve">1. dobivanje oznake CE 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2.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 pravila i zahtjevi u pogledu proizvoda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3. utvrđivanje primjenjivih standarda, tehničkih specifikacija i certificiranje proizvoda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lastRenderedPageBreak/>
              <w:t>4. uzajamno priznavanje proizvoda koji ne podliježu specifikacijama Unije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5. zahtjevi u vezi s klasifikacijom, označivanjem i pakiranjem opasnih kemikalija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6.·prodaja na daljinu / izvan poslovnih prostora: informacije koje unaprijed treba dati kupcima, pisana potvrda ugovora, povlačenje iz ugovora, isporuka robe, druge specifične obveze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7.·neispravni proizvodi: prava potrošača i jamstva, dužnosti nakon prodaje, pravni lijek za oštećenu stranu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8. certifikacija, oznake (EMAS, energetske oznake, ekološki dizajn, znak za okoliš EU-a)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9.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 recikliranje i upravljanje otpadom</w:t>
            </w:r>
          </w:p>
        </w:tc>
      </w:tr>
      <w:tr w:rsidR="00DF0036" w:rsidRPr="00DF0036" w:rsidTr="0068782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lastRenderedPageBreak/>
              <w:t xml:space="preserve">AE. Usluge 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1. ishođenje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 licencija, odobrenja ili dozvola radi osnivanja pravne osobe koja nije poduzeće i upravljanja njome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2. obavješćivanje nadležnih tijela o prekograničnim aktivnostima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3. priznavanje stručnih kvalifikacija, uključujući strukovno obrazovanje i osposobljavanje</w:t>
            </w:r>
          </w:p>
        </w:tc>
      </w:tr>
      <w:tr w:rsidR="00DF0036" w:rsidRPr="00DF0036" w:rsidTr="0068782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AF. Financiranje pravne osobe koja nije poduzeće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1.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 dobivanje pristupa financijskim sredstvima na razini Unije, uključujući programe financiranja Unije i bespovratna sredstva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szCs w:val="24"/>
              </w:rPr>
              <w:t>2. dobivanje pristupa financiranju na nacionalnoj razini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3. inicijative namijenjene pravnim osobama koje nisu poduzeća (razmjene, programi mentoriranja itd.)</w:t>
            </w:r>
          </w:p>
        </w:tc>
      </w:tr>
      <w:tr w:rsidR="00DF0036" w:rsidRPr="00DF0036" w:rsidTr="0068782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AG. Javni ugovori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1. sudjelovanje u postupcima javne nabave: pravila i postupci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2. internetsko podnošenje ponude u postupku javne nabave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3.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 prijavljivanje nepravilnosti u postupku javne nabave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</w:p>
        </w:tc>
      </w:tr>
      <w:tr w:rsidR="00DF0036" w:rsidRPr="00DF0036" w:rsidTr="0068782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lastRenderedPageBreak/>
              <w:t>AH. Zdravlje i sigurnost na radu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</w:rPr>
            </w:pPr>
            <w:r w:rsidRPr="003B1ECF"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  <w:t>1.</w:t>
            </w:r>
            <w:r w:rsidRPr="003B1ECF">
              <w:rPr>
                <w:rFonts w:ascii="Times New Roman" w:hAnsi="Times New Roman" w:cs="Times New Roman"/>
                <w:noProof/>
                <w:szCs w:val="24"/>
              </w:rPr>
              <w:t xml:space="preserve"> obveze u pogledu zdravlja i sigurnosti na radu s obzirom na različite vrste aktivnosti, uključujući sprječavanje rizika, informiranje i osposobljavanje”.</w:t>
            </w:r>
          </w:p>
          <w:p w:rsidR="00DF0036" w:rsidRPr="003B1ECF" w:rsidRDefault="00DF0036" w:rsidP="003B1ECF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color w:val="000000"/>
                <w:szCs w:val="24"/>
                <w:shd w:val="clear" w:color="auto" w:fill="FFFFFF"/>
              </w:rPr>
            </w:pPr>
          </w:p>
        </w:tc>
      </w:tr>
    </w:tbl>
    <w:p w:rsidR="00F71404" w:rsidRPr="003B1ECF" w:rsidRDefault="00B06E3C" w:rsidP="003B1ECF">
      <w:pPr>
        <w:spacing w:before="120" w:after="120" w:line="360" w:lineRule="auto"/>
        <w:jc w:val="right"/>
        <w:rPr>
          <w:b/>
          <w:szCs w:val="24"/>
          <w:lang w:eastAsia="en-US"/>
        </w:rPr>
      </w:pPr>
      <w:r w:rsidRPr="003B1ECF">
        <w:rPr>
          <w:b/>
          <w:szCs w:val="24"/>
          <w:lang w:eastAsia="en-US"/>
        </w:rPr>
        <w:t>[Am. 5]</w:t>
      </w:r>
    </w:p>
    <w:p w:rsidR="00F71404" w:rsidRPr="003B1ECF" w:rsidRDefault="00F71404" w:rsidP="00F71404">
      <w:pPr>
        <w:spacing w:before="120" w:after="120" w:line="360" w:lineRule="auto"/>
        <w:jc w:val="center"/>
        <w:rPr>
          <w:szCs w:val="24"/>
          <w:lang w:eastAsia="en-US"/>
        </w:rPr>
      </w:pPr>
      <w:r w:rsidRPr="003B1ECF">
        <w:rPr>
          <w:szCs w:val="24"/>
          <w:lang w:eastAsia="en-US"/>
        </w:rPr>
        <w:br w:type="page"/>
      </w:r>
    </w:p>
    <w:p w:rsidR="00F71404" w:rsidRPr="003B1ECF" w:rsidRDefault="00F71404" w:rsidP="00F71404">
      <w:pPr>
        <w:spacing w:before="120" w:after="120" w:line="360" w:lineRule="auto"/>
        <w:jc w:val="center"/>
        <w:rPr>
          <w:szCs w:val="24"/>
          <w:lang w:eastAsia="en-US"/>
        </w:rPr>
      </w:pPr>
      <w:r w:rsidRPr="003B1ECF">
        <w:rPr>
          <w:szCs w:val="24"/>
          <w:lang w:eastAsia="en-US"/>
        </w:rPr>
        <w:lastRenderedPageBreak/>
        <w:t>Članak 3.</w:t>
      </w:r>
      <w:r w:rsidRPr="003B1ECF">
        <w:rPr>
          <w:szCs w:val="24"/>
          <w:lang w:eastAsia="en-US"/>
        </w:rPr>
        <w:br/>
        <w:t>Stupanje na snagu</w:t>
      </w:r>
    </w:p>
    <w:p w:rsidR="00F71404" w:rsidRPr="003B1ECF" w:rsidRDefault="00F71404" w:rsidP="00F71404">
      <w:pPr>
        <w:spacing w:before="120" w:after="120" w:line="360" w:lineRule="auto"/>
        <w:rPr>
          <w:szCs w:val="24"/>
          <w:lang w:eastAsia="en-US"/>
        </w:rPr>
      </w:pPr>
      <w:r w:rsidRPr="003B1ECF">
        <w:rPr>
          <w:szCs w:val="24"/>
          <w:lang w:eastAsia="en-US"/>
        </w:rPr>
        <w:t xml:space="preserve">Ova Uredba stupa na snagu dvadesetog dana od dana objave u </w:t>
      </w:r>
      <w:r w:rsidRPr="003B1ECF">
        <w:rPr>
          <w:i/>
          <w:szCs w:val="24"/>
          <w:lang w:eastAsia="en-US"/>
        </w:rPr>
        <w:t>Službenom listu Europske unije</w:t>
      </w:r>
      <w:r w:rsidRPr="003B1ECF">
        <w:rPr>
          <w:szCs w:val="24"/>
          <w:lang w:eastAsia="en-US"/>
        </w:rPr>
        <w:t>.</w:t>
      </w:r>
    </w:p>
    <w:p w:rsidR="00F71404" w:rsidRPr="003B1ECF" w:rsidRDefault="00F71404" w:rsidP="00F71404">
      <w:pPr>
        <w:spacing w:before="120" w:after="120" w:line="360" w:lineRule="auto"/>
        <w:rPr>
          <w:szCs w:val="24"/>
          <w:lang w:eastAsia="en-US"/>
        </w:rPr>
      </w:pPr>
      <w:r w:rsidRPr="003B1ECF">
        <w:rPr>
          <w:szCs w:val="24"/>
          <w:lang w:eastAsia="en-US"/>
        </w:rPr>
        <w:t>Ova je Uredba u cijelosti obvezujuća i izravno se primjenjuje u svim državama članicama.</w:t>
      </w:r>
    </w:p>
    <w:p w:rsidR="00F71404" w:rsidRPr="003B1ECF" w:rsidRDefault="00F71404" w:rsidP="00F71404">
      <w:pPr>
        <w:keepNext/>
        <w:widowControl/>
        <w:spacing w:before="120" w:line="360" w:lineRule="auto"/>
        <w:rPr>
          <w:szCs w:val="24"/>
          <w:lang w:eastAsia="en-US"/>
        </w:rPr>
      </w:pPr>
      <w:r w:rsidRPr="003B1ECF">
        <w:rPr>
          <w:szCs w:val="24"/>
          <w:lang w:eastAsia="en-US"/>
        </w:rPr>
        <w:t xml:space="preserve">Sastavljeno u </w:t>
      </w:r>
      <w:r w:rsidR="00FE2076">
        <w:rPr>
          <w:szCs w:val="24"/>
          <w:lang w:eastAsia="en-US"/>
        </w:rPr>
        <w:t>…</w:t>
      </w:r>
      <w:bookmarkStart w:id="8" w:name="_GoBack"/>
      <w:bookmarkEnd w:id="8"/>
      <w:r w:rsidRPr="003B1ECF">
        <w:rPr>
          <w:szCs w:val="24"/>
          <w:lang w:eastAsia="en-US"/>
        </w:rPr>
        <w:t>,</w:t>
      </w:r>
    </w:p>
    <w:p w:rsidR="00F71404" w:rsidRPr="003B1ECF" w:rsidRDefault="00F71404" w:rsidP="00F71404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eastAsia="en-US"/>
        </w:rPr>
      </w:pPr>
      <w:r w:rsidRPr="003B1ECF">
        <w:rPr>
          <w:i/>
          <w:szCs w:val="24"/>
          <w:lang w:eastAsia="en-US"/>
        </w:rPr>
        <w:t>Za Europski parlament</w:t>
      </w:r>
      <w:r w:rsidRPr="003B1ECF">
        <w:rPr>
          <w:i/>
          <w:szCs w:val="24"/>
          <w:lang w:eastAsia="en-US"/>
        </w:rPr>
        <w:tab/>
        <w:t>Za Vijeće</w:t>
      </w:r>
    </w:p>
    <w:p w:rsidR="00077BAD" w:rsidRPr="00FE2076" w:rsidRDefault="00F71404" w:rsidP="00FE2076">
      <w:pPr>
        <w:widowControl/>
        <w:tabs>
          <w:tab w:val="left" w:pos="4252"/>
        </w:tabs>
        <w:spacing w:line="360" w:lineRule="auto"/>
        <w:rPr>
          <w:i/>
          <w:szCs w:val="24"/>
          <w:lang w:eastAsia="en-US"/>
        </w:rPr>
      </w:pPr>
      <w:r w:rsidRPr="003B1ECF">
        <w:rPr>
          <w:i/>
          <w:szCs w:val="24"/>
          <w:lang w:eastAsia="en-US"/>
        </w:rPr>
        <w:t>Predsjednica</w:t>
      </w:r>
      <w:r w:rsidRPr="003B1ECF">
        <w:rPr>
          <w:i/>
          <w:szCs w:val="24"/>
          <w:lang w:eastAsia="en-US"/>
        </w:rPr>
        <w:tab/>
        <w:t>Predsjednik</w:t>
      </w:r>
    </w:p>
    <w:sectPr w:rsidR="00077BAD" w:rsidRPr="00FE2076">
      <w:footerReference w:type="even" r:id="rId15"/>
      <w:footerReference w:type="default" r:id="rId16"/>
      <w:footerReference w:type="first" r:id="rId17"/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A94" w:rsidRPr="005377BB" w:rsidRDefault="00852A94">
      <w:r w:rsidRPr="005377BB">
        <w:separator/>
      </w:r>
    </w:p>
  </w:endnote>
  <w:endnote w:type="continuationSeparator" w:id="0">
    <w:p w:rsidR="00852A94" w:rsidRPr="005377BB" w:rsidRDefault="00852A94">
      <w:r w:rsidRPr="005377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7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7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7B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5D6" w:rsidRDefault="00385EFD">
    <w:pPr>
      <w:pStyle w:val="Footer1"/>
    </w:pPr>
    <w:proofErr w:type="spellStart"/>
    <w:r>
      <w:rPr>
        <w:rStyle w:val="Footer2"/>
      </w:rPr>
      <w:t>EN</w:t>
    </w:r>
    <w:proofErr w:type="spellEnd"/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proofErr w:type="spellStart"/>
    <w:r>
      <w:rPr>
        <w:rStyle w:val="Footer2"/>
      </w:rPr>
      <w:t>EN</w:t>
    </w:r>
    <w:proofErr w:type="spellEnd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5D6" w:rsidRDefault="00FE2076">
    <w:pPr>
      <w:pStyle w:val="Footer1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5D6" w:rsidRDefault="00385EFD">
    <w:pPr>
      <w:pStyle w:val="Footer1"/>
    </w:pPr>
    <w:proofErr w:type="spellStart"/>
    <w:r>
      <w:rPr>
        <w:rStyle w:val="Footer2"/>
      </w:rPr>
      <w:t>EN</w:t>
    </w:r>
    <w:proofErr w:type="spellEnd"/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proofErr w:type="spellStart"/>
    <w:r>
      <w:rPr>
        <w:rStyle w:val="Footer2"/>
      </w:rPr>
      <w:t>EN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A94" w:rsidRPr="005377BB" w:rsidRDefault="00852A94">
      <w:r w:rsidRPr="005377BB">
        <w:separator/>
      </w:r>
    </w:p>
  </w:footnote>
  <w:footnote w:type="continuationSeparator" w:id="0">
    <w:p w:rsidR="00852A94" w:rsidRPr="005377BB" w:rsidRDefault="00852A94">
      <w:r w:rsidRPr="005377BB">
        <w:continuationSeparator/>
      </w:r>
    </w:p>
  </w:footnote>
  <w:footnote w:id="1">
    <w:p w:rsidR="006D4376" w:rsidRPr="00AE5019" w:rsidRDefault="006D4376" w:rsidP="00AE5019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proofErr w:type="spellStart"/>
      <w:r w:rsidRPr="00AE5019">
        <w:rPr>
          <w:sz w:val="24"/>
          <w:szCs w:val="24"/>
        </w:rPr>
        <w:t>Još</w:t>
      </w:r>
      <w:proofErr w:type="spellEnd"/>
      <w:r w:rsidRPr="00AE5019">
        <w:rPr>
          <w:sz w:val="24"/>
          <w:szCs w:val="24"/>
        </w:rPr>
        <w:t xml:space="preserve"> </w:t>
      </w:r>
      <w:proofErr w:type="spellStart"/>
      <w:r w:rsidRPr="00AE5019">
        <w:rPr>
          <w:sz w:val="24"/>
          <w:szCs w:val="24"/>
        </w:rPr>
        <w:t>nije</w:t>
      </w:r>
      <w:proofErr w:type="spellEnd"/>
      <w:r w:rsidRPr="00AE5019">
        <w:rPr>
          <w:sz w:val="24"/>
          <w:szCs w:val="24"/>
        </w:rPr>
        <w:t xml:space="preserve"> </w:t>
      </w:r>
      <w:proofErr w:type="spellStart"/>
      <w:r w:rsidRPr="00AE5019">
        <w:rPr>
          <w:sz w:val="24"/>
          <w:szCs w:val="24"/>
        </w:rPr>
        <w:t>objavljeno</w:t>
      </w:r>
      <w:proofErr w:type="spellEnd"/>
      <w:r w:rsidRPr="00AE5019">
        <w:rPr>
          <w:sz w:val="24"/>
          <w:szCs w:val="24"/>
        </w:rPr>
        <w:t xml:space="preserve"> u </w:t>
      </w:r>
      <w:proofErr w:type="spellStart"/>
      <w:r w:rsidRPr="00AE5019">
        <w:rPr>
          <w:sz w:val="24"/>
          <w:szCs w:val="24"/>
        </w:rPr>
        <w:t>Službenom</w:t>
      </w:r>
      <w:proofErr w:type="spellEnd"/>
      <w:r w:rsidRPr="00AE5019">
        <w:rPr>
          <w:sz w:val="24"/>
          <w:szCs w:val="24"/>
        </w:rPr>
        <w:t xml:space="preserve"> </w:t>
      </w:r>
      <w:proofErr w:type="spellStart"/>
      <w:r w:rsidRPr="00AE5019">
        <w:rPr>
          <w:sz w:val="24"/>
          <w:szCs w:val="24"/>
        </w:rPr>
        <w:t>listu</w:t>
      </w:r>
      <w:proofErr w:type="spellEnd"/>
      <w:r>
        <w:rPr>
          <w:sz w:val="24"/>
          <w:szCs w:val="24"/>
        </w:rPr>
        <w:t>.</w:t>
      </w:r>
    </w:p>
  </w:footnote>
  <w:footnote w:id="2">
    <w:p w:rsidR="00F71404" w:rsidRPr="00FE2076" w:rsidRDefault="00F71404" w:rsidP="00F71404">
      <w:pPr>
        <w:pStyle w:val="FootnoteTextForceStyle"/>
        <w:rPr>
          <w:lang w:val="sl-SI"/>
        </w:rPr>
      </w:pPr>
      <w:r>
        <w:rPr>
          <w:vertAlign w:val="superscript"/>
        </w:rPr>
        <w:footnoteRef/>
      </w:r>
      <w:r w:rsidRPr="00FE2076">
        <w:rPr>
          <w:lang w:val="sl-SI"/>
        </w:rPr>
        <w:tab/>
      </w:r>
      <w:r w:rsidRPr="00FE2076">
        <w:rPr>
          <w:lang w:val="sl-SI"/>
        </w:rPr>
        <w:t>upućivanje na mišljenje</w:t>
      </w:r>
    </w:p>
  </w:footnote>
  <w:footnote w:id="3">
    <w:p w:rsidR="00F71404" w:rsidRPr="00FE2076" w:rsidRDefault="00F71404" w:rsidP="00F71404">
      <w:pPr>
        <w:pStyle w:val="FootnoteTextForceStyle"/>
        <w:rPr>
          <w:lang w:val="sl-SI"/>
        </w:rPr>
      </w:pPr>
      <w:r>
        <w:rPr>
          <w:vertAlign w:val="superscript"/>
        </w:rPr>
        <w:footnoteRef/>
      </w:r>
      <w:r w:rsidRPr="00FE2076">
        <w:rPr>
          <w:lang w:val="sl-SI"/>
        </w:rPr>
        <w:tab/>
        <w:t>Direktiva Europskog parlamenta i Vijeća od ... o europskim prekograničnim udruženjima (upućivanje na SL).</w:t>
      </w:r>
    </w:p>
  </w:footnote>
  <w:footnote w:id="4">
    <w:p w:rsidR="00F71404" w:rsidRPr="00FE2076" w:rsidRDefault="00F71404" w:rsidP="00F71404">
      <w:pPr>
        <w:pStyle w:val="FootnoteTextForceStyle"/>
        <w:rPr>
          <w:lang w:val="sl-SI"/>
        </w:rPr>
      </w:pPr>
      <w:r>
        <w:rPr>
          <w:vertAlign w:val="superscript"/>
        </w:rPr>
        <w:footnoteRef/>
      </w:r>
      <w:r w:rsidRPr="00FE2076">
        <w:rPr>
          <w:lang w:val="sl-SI"/>
        </w:rPr>
        <w:tab/>
        <w:t>Uredba (EU) br. 1024/2012 Europskog parlamenta i Vijeća od 25. listopada 2012. o administrativnoj suradnji putem Informacijskog sustava unutarnjeg tržišta i stavljanju izvan snage Odluke Komisije 2008/49/EZ („Uredba IMI”) (SL L 316, 14.11.2012., str. 1.).</w:t>
      </w:r>
    </w:p>
  </w:footnote>
  <w:footnote w:id="5">
    <w:p w:rsidR="00F71404" w:rsidRPr="00FE2076" w:rsidRDefault="00F71404" w:rsidP="00F71404">
      <w:pPr>
        <w:pStyle w:val="FootnoteTextForceStyle"/>
        <w:rPr>
          <w:lang w:val="sl-SI"/>
        </w:rPr>
      </w:pPr>
      <w:r>
        <w:rPr>
          <w:vertAlign w:val="superscript"/>
        </w:rPr>
        <w:footnoteRef/>
      </w:r>
      <w:r w:rsidRPr="00FE2076">
        <w:rPr>
          <w:lang w:val="sl-SI"/>
        </w:rPr>
        <w:tab/>
        <w:t>Uredba (EU) 2018/1724 Europskog parlamenta i Vijeća od 2. listopada 2018. o uspostavi jedinstvenog digitalnog pristupnika za pristup informacijama, postupcima, uslugama podrške i rješavanja problema te o izmjeni Uredbe (EU) br. 1024/2012 (SL L 295, 21.11.2018., str. 1.).</w:t>
      </w:r>
    </w:p>
  </w:footnote>
  <w:footnote w:id="6">
    <w:p w:rsidR="00F71404" w:rsidRPr="00FE2076" w:rsidRDefault="00F71404" w:rsidP="00F71404">
      <w:pPr>
        <w:pStyle w:val="FootnoteTextForceStyle"/>
        <w:rPr>
          <w:lang w:val="sl-SI"/>
        </w:rPr>
      </w:pPr>
      <w:r>
        <w:rPr>
          <w:vertAlign w:val="superscript"/>
        </w:rPr>
        <w:footnoteRef/>
      </w:r>
      <w:r w:rsidRPr="00FE2076">
        <w:rPr>
          <w:lang w:val="sl-SI"/>
        </w:rPr>
        <w:tab/>
        <w:t>Uredba (EU) 2018/1724 Europskog parlamenta i Vijeća od 2. listopada 2018. o uspostavi jedinstvenog digitalnog pristupnika za pristup informacijama, postupcima, uslugama podrške i rješavanja problema te o izmjeni Uredbe (EU) br. 1024/2012 (SL L 295, 21.11.2018., str. 1.).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7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7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7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6/2024"/>
    <w:docVar w:name="dvlangue" w:val="HR"/>
    <w:docVar w:name="dvnumam" w:val="5"/>
    <w:docVar w:name="dvpe" w:val="756.195"/>
    <w:docVar w:name="dvrapporteur" w:val="Izvjestiteljica: "/>
    <w:docVar w:name="dvstar" w:val="***I"/>
    <w:docVar w:name="dvtitre" w:val="Zakonodavna rezolucija Europskog parlamenta od .... 2024. o Prijedlogu uredbe Europskog parlamenta i Vijeća o izmjeni uredaba (EU) br. 1024/2012 i (EU) 2018/1724 o primjeni Informacijskog sustava unutarnjeg tržišta i jedinstvenog digitalnog pristupnika za potrebe određenih zahtjeva utvrđenih Direktivom (EU) .../... Europskog parlamenta i Vijeća o europskim prekograničnim udruženjima (COM(2023) 516)(COM(2023)0515 – C9-0327/2023 – 2023/0314(COD))"/>
  </w:docVars>
  <w:rsids>
    <w:rsidRoot w:val="00852A94"/>
    <w:rsid w:val="00002272"/>
    <w:rsid w:val="00064002"/>
    <w:rsid w:val="000677B9"/>
    <w:rsid w:val="00077BAD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5EFD"/>
    <w:rsid w:val="00395FA1"/>
    <w:rsid w:val="003B1EC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7BB"/>
    <w:rsid w:val="00545827"/>
    <w:rsid w:val="00560270"/>
    <w:rsid w:val="005C2568"/>
    <w:rsid w:val="006037C0"/>
    <w:rsid w:val="006631B6"/>
    <w:rsid w:val="00680577"/>
    <w:rsid w:val="006D43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E38"/>
    <w:rsid w:val="00817416"/>
    <w:rsid w:val="00842779"/>
    <w:rsid w:val="00852A9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36A"/>
    <w:rsid w:val="00A1687D"/>
    <w:rsid w:val="00A43E52"/>
    <w:rsid w:val="00A4678D"/>
    <w:rsid w:val="00A778C7"/>
    <w:rsid w:val="00AB31C3"/>
    <w:rsid w:val="00AB441E"/>
    <w:rsid w:val="00AB6293"/>
    <w:rsid w:val="00AE0928"/>
    <w:rsid w:val="00AE5019"/>
    <w:rsid w:val="00AF3B82"/>
    <w:rsid w:val="00B06E3C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03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404"/>
    <w:rsid w:val="00F74202"/>
    <w:rsid w:val="00F87713"/>
    <w:rsid w:val="00FB4360"/>
    <w:rsid w:val="00FD0C70"/>
    <w:rsid w:val="00FD284D"/>
    <w:rsid w:val="00FE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B528A"/>
  <w15:chartTrackingRefBased/>
  <w15:docId w15:val="{7FCC6D81-265E-4A69-BB35-7E30FC49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77BAD"/>
    <w:pPr>
      <w:spacing w:after="120"/>
    </w:pPr>
  </w:style>
  <w:style w:type="paragraph" w:customStyle="1" w:styleId="NormalBold">
    <w:name w:val="NormalBold"/>
    <w:basedOn w:val="Normal"/>
    <w:link w:val="NormalBoldChar"/>
    <w:rsid w:val="00077BAD"/>
    <w:rPr>
      <w:b/>
    </w:rPr>
  </w:style>
  <w:style w:type="paragraph" w:customStyle="1" w:styleId="NormalHanging12a">
    <w:name w:val="NormalHanging12a"/>
    <w:basedOn w:val="Normal"/>
    <w:rsid w:val="00077BA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77BA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77BA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77BAD"/>
    <w:rPr>
      <w:b/>
      <w:sz w:val="24"/>
      <w:lang w:val="hr-HR"/>
    </w:rPr>
  </w:style>
  <w:style w:type="character" w:customStyle="1" w:styleId="Normal6Char">
    <w:name w:val="Normal6 Char"/>
    <w:basedOn w:val="DefaultParagraphFont"/>
    <w:link w:val="Normal6"/>
    <w:locked/>
    <w:rsid w:val="00077BAD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077BAD"/>
    <w:pPr>
      <w:spacing w:after="120"/>
    </w:pPr>
  </w:style>
  <w:style w:type="paragraph" w:customStyle="1" w:styleId="ColumnHeading">
    <w:name w:val="ColumnHeading"/>
    <w:basedOn w:val="Normal"/>
    <w:rsid w:val="00077BAD"/>
    <w:pPr>
      <w:spacing w:after="240"/>
      <w:jc w:val="center"/>
    </w:pPr>
    <w:rPr>
      <w:i/>
    </w:rPr>
  </w:style>
  <w:style w:type="character" w:customStyle="1" w:styleId="content">
    <w:name w:val="content"/>
    <w:basedOn w:val="DefaultParagraphFont"/>
    <w:rsid w:val="00077BAD"/>
  </w:style>
  <w:style w:type="paragraph" w:customStyle="1" w:styleId="Point1">
    <w:name w:val="Point 1"/>
    <w:basedOn w:val="Normal"/>
    <w:rsid w:val="00077BA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6D43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4376"/>
    <w:rPr>
      <w:rFonts w:ascii="Segoe UI" w:hAnsi="Segoe UI" w:cs="Segoe UI"/>
      <w:sz w:val="18"/>
      <w:szCs w:val="18"/>
      <w:lang w:val="hr-HR"/>
    </w:rPr>
  </w:style>
  <w:style w:type="paragraph" w:customStyle="1" w:styleId="FootnoteTextForceStyle">
    <w:name w:val="Footnote Text ForceStyle"/>
    <w:rsid w:val="00F71404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F71404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F71404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table" w:customStyle="1" w:styleId="TableGrid1">
    <w:name w:val="Table Grid1"/>
    <w:basedOn w:val="TableNormal"/>
    <w:next w:val="TableGrid"/>
    <w:uiPriority w:val="39"/>
    <w:rsid w:val="00DF0036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55E88-3982-447D-9778-EEAE2809B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1891</Words>
  <Characters>11816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LUKSITE Marija</cp:lastModifiedBy>
  <cp:revision>2</cp:revision>
  <cp:lastPrinted>2004-11-19T15:42:00Z</cp:lastPrinted>
  <dcterms:created xsi:type="dcterms:W3CDTF">2024-11-26T15:53:00Z</dcterms:created>
  <dcterms:modified xsi:type="dcterms:W3CDTF">2024-11-26T15:53:00Z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A9-0006/2024</vt:lpwstr>
  </property>
  <property fmtid="{D5CDD505-2E9C-101B-9397-08002B2CF9AE}" pid="4" name="&lt;Type&gt;">
    <vt:lpwstr>RR</vt:lpwstr>
  </property>
</Properties>
</file>