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6237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6237E" w:rsidRDefault="00DF3AAE" w:rsidP="0010095E">
            <w:pPr>
              <w:pStyle w:val="EPName"/>
            </w:pPr>
            <w:r w:rsidRPr="0086237E">
              <w:t>Parlamento europeo</w:t>
            </w:r>
          </w:p>
          <w:p w:rsidR="00751A4A" w:rsidRPr="0086237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6237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6237E" w:rsidRDefault="00187494" w:rsidP="0010095E">
            <w:pPr>
              <w:pStyle w:val="EPLogo"/>
            </w:pPr>
            <w:r w:rsidRPr="0086237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6237E" w:rsidRDefault="00D058B8" w:rsidP="004C5D52">
      <w:pPr>
        <w:pStyle w:val="LineTop"/>
      </w:pPr>
    </w:p>
    <w:p w:rsidR="00680577" w:rsidRPr="0086237E" w:rsidRDefault="00DF3AAE" w:rsidP="00680577">
      <w:pPr>
        <w:pStyle w:val="EPBodyTA1"/>
      </w:pPr>
      <w:r w:rsidRPr="0086237E">
        <w:t>TESTI APPROVATI</w:t>
      </w:r>
    </w:p>
    <w:p w:rsidR="00D058B8" w:rsidRPr="0086237E" w:rsidRDefault="00D058B8" w:rsidP="00D058B8">
      <w:pPr>
        <w:pStyle w:val="LineBottom"/>
      </w:pPr>
    </w:p>
    <w:p w:rsidR="00DF3AAE" w:rsidRPr="0086237E" w:rsidRDefault="00DF3AAE" w:rsidP="00DF3AAE">
      <w:pPr>
        <w:pStyle w:val="ATHeading1"/>
      </w:pPr>
      <w:bookmarkStart w:id="0" w:name="TANumber"/>
      <w:r w:rsidRPr="0086237E">
        <w:t>P9_</w:t>
      </w:r>
      <w:proofErr w:type="gramStart"/>
      <w:r w:rsidRPr="0086237E">
        <w:t>TA(</w:t>
      </w:r>
      <w:proofErr w:type="gramEnd"/>
      <w:r w:rsidRPr="0086237E">
        <w:t>2024)</w:t>
      </w:r>
      <w:bookmarkEnd w:id="0"/>
      <w:r w:rsidR="002D06D9">
        <w:t>0142</w:t>
      </w:r>
    </w:p>
    <w:p w:rsidR="00DF3AAE" w:rsidRPr="0086237E" w:rsidRDefault="00DF3AAE" w:rsidP="00DF3AAE">
      <w:pPr>
        <w:pStyle w:val="ATHeading2"/>
      </w:pPr>
      <w:bookmarkStart w:id="1" w:name="title"/>
      <w:r w:rsidRPr="0086237E">
        <w:t>Uso del sistema di informazione del mercato interno e dello sportello digitale unico ai fini di determinati requisiti stabiliti dalla direttiva relativa alle associazioni transfrontaliere europee</w:t>
      </w:r>
      <w:bookmarkEnd w:id="1"/>
    </w:p>
    <w:p w:rsidR="00DF3AAE" w:rsidRPr="0086237E" w:rsidRDefault="00DF3AAE" w:rsidP="00DF3AAE">
      <w:pPr>
        <w:rPr>
          <w:i/>
          <w:vanish/>
        </w:rPr>
      </w:pPr>
      <w:r w:rsidRPr="0086237E">
        <w:rPr>
          <w:i/>
        </w:rPr>
        <w:fldChar w:fldCharType="begin"/>
      </w:r>
      <w:r w:rsidRPr="0086237E">
        <w:rPr>
          <w:i/>
        </w:rPr>
        <w:instrText xml:space="preserve"> TC"(</w:instrText>
      </w:r>
      <w:bookmarkStart w:id="2" w:name="DocNumber"/>
      <w:r w:rsidRPr="0086237E">
        <w:rPr>
          <w:i/>
        </w:rPr>
        <w:instrText>A9-0006/2024</w:instrText>
      </w:r>
      <w:bookmarkEnd w:id="2"/>
      <w:r w:rsidRPr="0086237E">
        <w:rPr>
          <w:i/>
        </w:rPr>
        <w:instrText xml:space="preserve"> - Relatrice</w:instrText>
      </w:r>
      <w:r w:rsidR="00340422">
        <w:rPr>
          <w:i/>
        </w:rPr>
        <w:instrText xml:space="preserve">: </w:instrText>
      </w:r>
      <w:r w:rsidRPr="0086237E">
        <w:rPr>
          <w:i/>
        </w:rPr>
        <w:instrText>Anne</w:instrText>
      </w:r>
      <w:r w:rsidRPr="0086237E">
        <w:rPr>
          <w:i/>
        </w:rPr>
        <w:noBreakHyphen/>
        <w:instrText xml:space="preserve">Sophie Pelletier)"\l3 \n&gt; \* MERGEFORMAT </w:instrText>
      </w:r>
      <w:r w:rsidRPr="0086237E">
        <w:rPr>
          <w:i/>
        </w:rPr>
        <w:fldChar w:fldCharType="end"/>
      </w:r>
    </w:p>
    <w:p w:rsidR="00DF3AAE" w:rsidRPr="0086237E" w:rsidRDefault="00DF3AAE" w:rsidP="00DF3AAE">
      <w:pPr>
        <w:rPr>
          <w:vanish/>
        </w:rPr>
      </w:pPr>
      <w:bookmarkStart w:id="3" w:name="Commission"/>
      <w:r w:rsidRPr="0086237E">
        <w:rPr>
          <w:vanish/>
        </w:rPr>
        <w:t>Commissione per il mercato interno e la protezione dei consumatori</w:t>
      </w:r>
      <w:bookmarkEnd w:id="3"/>
    </w:p>
    <w:p w:rsidR="00DF3AAE" w:rsidRPr="0086237E" w:rsidRDefault="00DF3AAE" w:rsidP="00DF3AAE">
      <w:pPr>
        <w:rPr>
          <w:vanish/>
        </w:rPr>
      </w:pPr>
      <w:bookmarkStart w:id="4" w:name="PE"/>
      <w:r w:rsidRPr="0086237E">
        <w:rPr>
          <w:vanish/>
        </w:rPr>
        <w:t>PE756.195</w:t>
      </w:r>
      <w:bookmarkEnd w:id="4"/>
    </w:p>
    <w:p w:rsidR="00DF3AAE" w:rsidRPr="0086237E" w:rsidRDefault="00DF3AAE" w:rsidP="00DF3AAE">
      <w:pPr>
        <w:pStyle w:val="ATHeading3"/>
      </w:pPr>
      <w:bookmarkStart w:id="5" w:name="Sujet"/>
      <w:r w:rsidRPr="0086237E">
        <w:t>Risoluzione legislativa del Parlamento europeo del 13 marzo 2024 sulla proposta di regolamento del Parlamento europeo e del Consiglio che modifica i regolamenti (UE) n. 1024/2012 e (UE) 2018/1724 per quanto riguarda l'uso del sistema di informazione del mercato interno e dello sportello digitale unico ai fini di determinati requisiti stabiliti dalla direttiva (UE) .../... del Parlamento europeo e del Consiglio relativa alle associazioni tran</w:t>
      </w:r>
      <w:r w:rsidR="00916E3B">
        <w:t>sfrontaliere europee (COM(2023)</w:t>
      </w:r>
      <w:r w:rsidR="008676BC">
        <w:t>0</w:t>
      </w:r>
      <w:r w:rsidRPr="0086237E">
        <w:t>516</w:t>
      </w:r>
      <w:bookmarkEnd w:id="5"/>
      <w:r w:rsidR="00916E3B">
        <w:t>)</w:t>
      </w:r>
      <w:r w:rsidRPr="0086237E">
        <w:t xml:space="preserve"> </w:t>
      </w:r>
      <w:bookmarkStart w:id="6" w:name="References"/>
      <w:r w:rsidRPr="0086237E">
        <w:t>(COM(2023)0515 – C9-0327/2023 – 2023/0314(COD))</w:t>
      </w:r>
      <w:bookmarkEnd w:id="6"/>
    </w:p>
    <w:p w:rsidR="000823D4" w:rsidRPr="0086237E" w:rsidRDefault="000823D4" w:rsidP="002D06D9">
      <w:pPr>
        <w:pStyle w:val="NormalBold"/>
        <w:spacing w:before="360"/>
      </w:pPr>
      <w:bookmarkStart w:id="7" w:name="TextBodyBegin"/>
      <w:bookmarkEnd w:id="7"/>
      <w:r w:rsidRPr="0086237E">
        <w:t>(Procedura legislativa ordinaria: prima lettura)</w:t>
      </w:r>
    </w:p>
    <w:p w:rsidR="000823D4" w:rsidRPr="0086237E" w:rsidRDefault="000823D4" w:rsidP="000823D4">
      <w:pPr>
        <w:pStyle w:val="EPComma"/>
      </w:pPr>
      <w:r w:rsidRPr="0086237E">
        <w:rPr>
          <w:i/>
        </w:rPr>
        <w:t>Il Parlamento europeo</w:t>
      </w:r>
      <w:r w:rsidRPr="0086237E">
        <w:t>,</w:t>
      </w:r>
    </w:p>
    <w:p w:rsidR="000823D4" w:rsidRPr="0086237E" w:rsidRDefault="000823D4" w:rsidP="000823D4">
      <w:pPr>
        <w:pStyle w:val="NormalHanging12a"/>
      </w:pPr>
      <w:r w:rsidRPr="0086237E">
        <w:t>–</w:t>
      </w:r>
      <w:r w:rsidRPr="0086237E">
        <w:tab/>
        <w:t>vista la proposta della Commissione al Parlamento europeo e al Consiglio (</w:t>
      </w:r>
      <w:proofErr w:type="gramStart"/>
      <w:r w:rsidRPr="0086237E">
        <w:t>COM(</w:t>
      </w:r>
      <w:proofErr w:type="gramEnd"/>
      <w:r w:rsidRPr="0086237E">
        <w:t>2023)0515),</w:t>
      </w:r>
    </w:p>
    <w:p w:rsidR="000823D4" w:rsidRPr="0086237E" w:rsidRDefault="000823D4" w:rsidP="000823D4">
      <w:pPr>
        <w:pStyle w:val="NormalHanging12a"/>
      </w:pPr>
      <w:r w:rsidRPr="0086237E">
        <w:t>–</w:t>
      </w:r>
      <w:r w:rsidRPr="0086237E">
        <w:tab/>
        <w:t>visti l'articolo 294, paragrafo 2, l'articolo 21, paragrafo 2, e l'articolo 114 del trattato sul funzionamento dell'Unione europea, a norma dei quali la proposta gli è stata presentata dalla Commissione (C9</w:t>
      </w:r>
      <w:r w:rsidRPr="0086237E">
        <w:noBreakHyphen/>
        <w:t>0327/2023),</w:t>
      </w:r>
    </w:p>
    <w:p w:rsidR="000823D4" w:rsidRDefault="000823D4" w:rsidP="000823D4">
      <w:pPr>
        <w:pStyle w:val="NormalHanging12a"/>
      </w:pPr>
      <w:r w:rsidRPr="0086237E">
        <w:t>–</w:t>
      </w:r>
      <w:r w:rsidRPr="0086237E">
        <w:tab/>
        <w:t>visto l'articolo 294, paragrafo 3, del trattato sul funzionamento dell'Unione europea,</w:t>
      </w:r>
    </w:p>
    <w:p w:rsidR="00916E3B" w:rsidRPr="0086237E" w:rsidRDefault="00916E3B" w:rsidP="000823D4">
      <w:pPr>
        <w:pStyle w:val="NormalHanging12a"/>
      </w:pPr>
      <w:r w:rsidRPr="0086237E">
        <w:t>–</w:t>
      </w:r>
      <w:r w:rsidRPr="0086237E">
        <w:tab/>
      </w:r>
      <w:r>
        <w:t>visto il parere del Comitato economico e sociale del 17 gennaio 2024</w:t>
      </w:r>
      <w:r>
        <w:rPr>
          <w:rStyle w:val="FootnoteReference"/>
        </w:rPr>
        <w:footnoteReference w:id="1"/>
      </w:r>
      <w:r>
        <w:t>,</w:t>
      </w:r>
    </w:p>
    <w:p w:rsidR="000823D4" w:rsidRPr="0086237E" w:rsidRDefault="000823D4" w:rsidP="000823D4">
      <w:pPr>
        <w:pStyle w:val="NormalHanging12a"/>
      </w:pPr>
      <w:r w:rsidRPr="0086237E">
        <w:t>–</w:t>
      </w:r>
      <w:r w:rsidRPr="0086237E">
        <w:tab/>
        <w:t>visto l'articolo 59 del suo regolamento,</w:t>
      </w:r>
    </w:p>
    <w:p w:rsidR="000823D4" w:rsidRPr="0086237E" w:rsidRDefault="000823D4" w:rsidP="000823D4">
      <w:pPr>
        <w:pStyle w:val="NormalHanging12a"/>
      </w:pPr>
      <w:r w:rsidRPr="0086237E">
        <w:t>–</w:t>
      </w:r>
      <w:r w:rsidRPr="0086237E">
        <w:tab/>
        <w:t>visto il parere della commissione giuridica,</w:t>
      </w:r>
    </w:p>
    <w:p w:rsidR="000823D4" w:rsidRPr="0086237E" w:rsidRDefault="000823D4" w:rsidP="000823D4">
      <w:pPr>
        <w:pStyle w:val="NormalHanging12a"/>
      </w:pPr>
      <w:r w:rsidRPr="0086237E">
        <w:t>–</w:t>
      </w:r>
      <w:r w:rsidRPr="0086237E">
        <w:tab/>
        <w:t>vista la relazione della commissione per il mercato interno e la protezione dei consumatori (A9-0006/2024),</w:t>
      </w:r>
    </w:p>
    <w:p w:rsidR="000823D4" w:rsidRPr="0086237E" w:rsidRDefault="000823D4" w:rsidP="000823D4">
      <w:pPr>
        <w:pStyle w:val="NormalHanging12a"/>
      </w:pPr>
      <w:r w:rsidRPr="0086237E">
        <w:lastRenderedPageBreak/>
        <w:t>1.</w:t>
      </w:r>
      <w:r w:rsidRPr="0086237E">
        <w:tab/>
        <w:t>adotta la posizione in prima lettura figurante in appresso;</w:t>
      </w:r>
    </w:p>
    <w:p w:rsidR="000823D4" w:rsidRPr="0086237E" w:rsidRDefault="000823D4" w:rsidP="000823D4">
      <w:pPr>
        <w:pStyle w:val="NormalHanging12a"/>
      </w:pPr>
      <w:r w:rsidRPr="0086237E">
        <w:t>2</w:t>
      </w:r>
      <w:r w:rsidR="008676BC">
        <w:t>.</w:t>
      </w:r>
      <w:r w:rsidRPr="0086237E">
        <w:tab/>
        <w:t>chiede alla Commissione di presentargli nuovamente la proposta qualora la sostituisca, la modifichi sostanzialmente o intenda modificarla sostanzialmente;</w:t>
      </w:r>
    </w:p>
    <w:p w:rsidR="001B3A8D" w:rsidRDefault="000823D4" w:rsidP="000823D4">
      <w:pPr>
        <w:pStyle w:val="NormalHanging12a"/>
        <w:sectPr w:rsidR="001B3A8D" w:rsidSect="0086237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86237E">
        <w:t>3.</w:t>
      </w:r>
      <w:r w:rsidRPr="0086237E">
        <w:tab/>
        <w:t>incarica la sua Presidente di trasmettere la posizione del Parlamento al Consiglio e alla Commissione nonché ai parlamenti nazionali.</w:t>
      </w:r>
    </w:p>
    <w:p w:rsidR="000823D4" w:rsidRPr="00A02D72" w:rsidRDefault="00806243" w:rsidP="00806243">
      <w:pPr>
        <w:pStyle w:val="NormalHanging12a"/>
        <w:ind w:left="0" w:firstLine="0"/>
        <w:rPr>
          <w:b/>
          <w:bCs/>
          <w:color w:val="000000"/>
          <w:szCs w:val="24"/>
        </w:rPr>
      </w:pPr>
      <w:r w:rsidRPr="00A02D72">
        <w:rPr>
          <w:b/>
          <w:bCs/>
          <w:color w:val="000000"/>
          <w:szCs w:val="24"/>
        </w:rPr>
        <w:lastRenderedPageBreak/>
        <w:t>P9_TC1-</w:t>
      </w:r>
      <w:proofErr w:type="gramStart"/>
      <w:r w:rsidRPr="00A02D72">
        <w:rPr>
          <w:b/>
          <w:bCs/>
          <w:color w:val="000000"/>
          <w:szCs w:val="24"/>
        </w:rPr>
        <w:t>COD(</w:t>
      </w:r>
      <w:proofErr w:type="gramEnd"/>
      <w:r w:rsidRPr="00A02D72">
        <w:rPr>
          <w:b/>
          <w:bCs/>
          <w:color w:val="000000"/>
          <w:szCs w:val="24"/>
        </w:rPr>
        <w:t>2023)0314</w:t>
      </w:r>
    </w:p>
    <w:p w:rsidR="00806243" w:rsidRPr="0086237E" w:rsidRDefault="00806243" w:rsidP="00806243">
      <w:pPr>
        <w:pStyle w:val="ATHeading3"/>
      </w:pPr>
      <w:r w:rsidRPr="00806243">
        <w:t>Posizione del Parlamento europeo definita in prima lettura il 13 marzo 2024 in vista dell'adozione del regolamento (UE) 2024/... del Parlamento europeo e del Consiglio</w:t>
      </w:r>
      <w:r>
        <w:t xml:space="preserve"> </w:t>
      </w:r>
      <w:r w:rsidRPr="0086237E">
        <w:t>che modifica i regolamenti (UE) n. 1024/2012 e (UE) 2018/1724 per quanto riguarda l'uso del sistema di informazione del mercato interno e dello sportello digitale unico ai fini di determinati requisiti stabiliti dalla direttiva (UE) .../... del Parlamento europeo e del Consiglio relativa alle associazioni tran</w:t>
      </w:r>
      <w:r>
        <w:t>sfrontaliere europee (COM(2023)</w:t>
      </w:r>
      <w:r w:rsidR="008676BC">
        <w:t>0</w:t>
      </w:r>
      <w:bookmarkStart w:id="8" w:name="_GoBack"/>
      <w:bookmarkEnd w:id="8"/>
      <w:r w:rsidRPr="0086237E">
        <w:t>516)</w:t>
      </w:r>
    </w:p>
    <w:p w:rsidR="00C452B0" w:rsidRPr="00806243" w:rsidRDefault="00C452B0" w:rsidP="00C452B0">
      <w:pPr>
        <w:widowControl/>
        <w:spacing w:before="360" w:after="240" w:line="360" w:lineRule="auto"/>
        <w:jc w:val="center"/>
        <w:rPr>
          <w:szCs w:val="24"/>
          <w:lang w:eastAsia="en-US"/>
        </w:rPr>
      </w:pPr>
      <w:r w:rsidRPr="00806243">
        <w:rPr>
          <w:szCs w:val="24"/>
          <w:lang w:eastAsia="en-US"/>
        </w:rPr>
        <w:t>(Testo rilevante ai fini del SEE)</w:t>
      </w:r>
    </w:p>
    <w:p w:rsidR="00C452B0" w:rsidRPr="00806243" w:rsidRDefault="00C452B0" w:rsidP="00C452B0">
      <w:pPr>
        <w:keepNext/>
        <w:spacing w:before="600" w:after="120" w:line="360" w:lineRule="auto"/>
        <w:rPr>
          <w:szCs w:val="24"/>
          <w:lang w:eastAsia="en-US"/>
        </w:rPr>
      </w:pPr>
      <w:r w:rsidRPr="00806243">
        <w:rPr>
          <w:szCs w:val="24"/>
          <w:lang w:eastAsia="en-US"/>
        </w:rPr>
        <w:t>IL PARLAMENTO EUROPEO E IL CONSIGLIO DELL'UNIONE EUROPEA,</w:t>
      </w:r>
    </w:p>
    <w:p w:rsidR="00C452B0" w:rsidRPr="00806243" w:rsidRDefault="00C452B0" w:rsidP="00C452B0">
      <w:pPr>
        <w:spacing w:before="120" w:after="120" w:line="360" w:lineRule="auto"/>
        <w:rPr>
          <w:lang w:eastAsia="en-US"/>
        </w:rPr>
      </w:pPr>
      <w:r w:rsidRPr="00806243">
        <w:rPr>
          <w:lang w:eastAsia="en-US"/>
        </w:rPr>
        <w:t>visto il trattato sul funzionamento dell'Unione europea, in particolare l'articolo 21, paragrafo 2, e l'articolo 114,</w:t>
      </w:r>
    </w:p>
    <w:p w:rsidR="00C452B0" w:rsidRPr="00806243" w:rsidRDefault="00C452B0" w:rsidP="00C452B0">
      <w:pPr>
        <w:spacing w:before="120" w:after="120" w:line="360" w:lineRule="auto"/>
        <w:rPr>
          <w:lang w:eastAsia="en-US"/>
        </w:rPr>
      </w:pPr>
      <w:r w:rsidRPr="00806243">
        <w:rPr>
          <w:lang w:eastAsia="en-US"/>
        </w:rPr>
        <w:t>vista la proposta della Commissione europea,</w:t>
      </w:r>
    </w:p>
    <w:p w:rsidR="00C452B0" w:rsidRPr="00806243" w:rsidRDefault="00C452B0" w:rsidP="00C452B0">
      <w:pPr>
        <w:spacing w:before="120" w:after="120" w:line="360" w:lineRule="auto"/>
        <w:rPr>
          <w:lang w:eastAsia="en-US"/>
        </w:rPr>
      </w:pPr>
      <w:r w:rsidRPr="00806243">
        <w:rPr>
          <w:lang w:eastAsia="en-US"/>
        </w:rPr>
        <w:t>previa trasmissione del progetto di atto legislativo ai parlamenti nazionali,</w:t>
      </w:r>
    </w:p>
    <w:p w:rsidR="00C452B0" w:rsidRPr="00806243" w:rsidRDefault="00C452B0" w:rsidP="00C452B0">
      <w:pPr>
        <w:spacing w:before="120" w:after="120" w:line="360" w:lineRule="auto"/>
        <w:rPr>
          <w:lang w:eastAsia="en-US"/>
        </w:rPr>
      </w:pPr>
      <w:r w:rsidRPr="00806243">
        <w:rPr>
          <w:lang w:eastAsia="en-US"/>
        </w:rPr>
        <w:t>visto il parere del Comitato economico e sociale europeo</w:t>
      </w:r>
      <w:r w:rsidRPr="00C452B0">
        <w:rPr>
          <w:vertAlign w:val="superscript"/>
          <w:lang w:val="en-GB" w:eastAsia="en-US"/>
        </w:rPr>
        <w:footnoteReference w:id="2"/>
      </w:r>
      <w:r w:rsidRPr="00806243">
        <w:rPr>
          <w:lang w:eastAsia="en-US"/>
        </w:rPr>
        <w:t>,</w:t>
      </w:r>
    </w:p>
    <w:p w:rsidR="00C452B0" w:rsidRPr="00806243" w:rsidRDefault="00C452B0" w:rsidP="00C452B0">
      <w:pPr>
        <w:spacing w:before="120" w:after="120" w:line="360" w:lineRule="auto"/>
        <w:rPr>
          <w:lang w:eastAsia="en-US"/>
        </w:rPr>
      </w:pPr>
      <w:r w:rsidRPr="00806243">
        <w:rPr>
          <w:lang w:eastAsia="en-US"/>
        </w:rPr>
        <w:t>deliberando secondo la procedura legislativa ordinaria,</w:t>
      </w:r>
    </w:p>
    <w:p w:rsidR="001B3A8D" w:rsidRDefault="001B3A8D" w:rsidP="001B3A8D">
      <w:pPr>
        <w:widowControl/>
        <w:rPr>
          <w:lang w:eastAsia="en-US"/>
        </w:rPr>
      </w:pPr>
      <w:r>
        <w:rPr>
          <w:lang w:eastAsia="en-US"/>
        </w:rPr>
        <w:br w:type="page"/>
      </w:r>
    </w:p>
    <w:p w:rsidR="00806243" w:rsidRDefault="00C452B0" w:rsidP="00C452B0">
      <w:pPr>
        <w:spacing w:before="120" w:after="120" w:line="360" w:lineRule="auto"/>
        <w:rPr>
          <w:lang w:eastAsia="en-US"/>
        </w:rPr>
      </w:pPr>
      <w:r w:rsidRPr="00806243">
        <w:rPr>
          <w:lang w:eastAsia="en-US"/>
        </w:rPr>
        <w:lastRenderedPageBreak/>
        <w:t>considerando quanto segue:</w:t>
      </w:r>
    </w:p>
    <w:p w:rsidR="00C452B0" w:rsidRPr="00806243" w:rsidRDefault="00C452B0" w:rsidP="00C452B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806243">
        <w:rPr>
          <w:szCs w:val="24"/>
          <w:lang w:eastAsia="en-US"/>
        </w:rPr>
        <w:t>(1)</w:t>
      </w:r>
      <w:r w:rsidRPr="00806243">
        <w:rPr>
          <w:szCs w:val="24"/>
          <w:lang w:eastAsia="en-US"/>
        </w:rPr>
        <w:tab/>
        <w:t>La direttiva (UE) del Parlamento europeo e del Consiglio relativa alle associazioni transfrontaliere europee (COM(2023) 516)</w:t>
      </w:r>
      <w:r w:rsidRPr="00C452B0">
        <w:rPr>
          <w:szCs w:val="24"/>
          <w:vertAlign w:val="superscript"/>
          <w:lang w:val="en-GB" w:eastAsia="en-US"/>
        </w:rPr>
        <w:footnoteReference w:id="3"/>
      </w:r>
      <w:r w:rsidRPr="00806243">
        <w:rPr>
          <w:szCs w:val="24"/>
          <w:lang w:eastAsia="en-US"/>
        </w:rPr>
        <w:t xml:space="preserve"> stabilisce misure di coordinamento delle condizioni per la costituzione e il funzionamento di "associazioni transfrontaliere europee", al fine di facilitare l'esercizio effettivo della libera circolazione delle associazioni senza scopo di lucro operanti nel mercato interno.</w:t>
      </w:r>
    </w:p>
    <w:p w:rsidR="00806243" w:rsidRDefault="00C452B0" w:rsidP="00C452B0">
      <w:pPr>
        <w:spacing w:before="120" w:after="120" w:line="360" w:lineRule="auto"/>
        <w:ind w:left="850" w:hanging="850"/>
        <w:rPr>
          <w:b/>
          <w:i/>
          <w:szCs w:val="24"/>
          <w:lang w:eastAsia="en-US"/>
        </w:rPr>
      </w:pPr>
      <w:r w:rsidRPr="00806243">
        <w:rPr>
          <w:szCs w:val="24"/>
          <w:lang w:eastAsia="en-US"/>
        </w:rPr>
        <w:t>(2)</w:t>
      </w:r>
      <w:r w:rsidRPr="00806243">
        <w:rPr>
          <w:szCs w:val="24"/>
          <w:lang w:eastAsia="en-US"/>
        </w:rPr>
        <w:tab/>
        <w:t xml:space="preserve">A norma dell'articolo </w:t>
      </w:r>
      <w:r w:rsidRPr="00806243">
        <w:rPr>
          <w:strike/>
          <w:szCs w:val="24"/>
          <w:lang w:eastAsia="en-US"/>
        </w:rPr>
        <w:t>30</w:t>
      </w:r>
      <w:r w:rsidRPr="00806243">
        <w:rPr>
          <w:b/>
          <w:i/>
          <w:szCs w:val="24"/>
          <w:lang w:eastAsia="en-US"/>
        </w:rPr>
        <w:t>28</w:t>
      </w:r>
      <w:r w:rsidRPr="00806243">
        <w:rPr>
          <w:szCs w:val="24"/>
          <w:lang w:eastAsia="en-US"/>
        </w:rPr>
        <w:t>, paragrafo 2, della direttiva (COM(2023) 516), la cooperazione amministrativa e lo scambio di informazioni tra le autorità competenti degli Stati membri devono essere attuati attraverso il sistema di informazione del mercato interno ("sistema IMI") istituito dal regolamento (UE) n. 1024/2012 del Parlamento europeo e del Consiglio</w:t>
      </w:r>
      <w:r w:rsidRPr="00C452B0">
        <w:rPr>
          <w:szCs w:val="24"/>
          <w:vertAlign w:val="superscript"/>
          <w:lang w:val="en-GB" w:eastAsia="en-US"/>
        </w:rPr>
        <w:footnoteReference w:id="4"/>
      </w:r>
      <w:r w:rsidRPr="00806243">
        <w:rPr>
          <w:szCs w:val="24"/>
          <w:lang w:eastAsia="en-US"/>
        </w:rPr>
        <w:t xml:space="preserve">. Per questo motivo è opportuno stabilire le necessarie procedure di cooperazione amministrativa </w:t>
      </w:r>
      <w:r w:rsidRPr="00806243">
        <w:rPr>
          <w:b/>
          <w:i/>
          <w:szCs w:val="24"/>
          <w:lang w:eastAsia="en-US"/>
        </w:rPr>
        <w:t xml:space="preserve">come pure le procedure per lo scambio di informazioni tra le autorità competenti </w:t>
      </w:r>
      <w:r w:rsidRPr="00806243">
        <w:rPr>
          <w:szCs w:val="24"/>
          <w:lang w:eastAsia="en-US"/>
        </w:rPr>
        <w:t>nel sistema IMI.</w:t>
      </w:r>
      <w:r w:rsidRPr="00806243">
        <w:rPr>
          <w:b/>
          <w:i/>
          <w:szCs w:val="24"/>
          <w:lang w:eastAsia="en-US"/>
        </w:rPr>
        <w:t xml:space="preserve"> [Em.1]</w:t>
      </w:r>
    </w:p>
    <w:p w:rsidR="00806243" w:rsidRDefault="00806243">
      <w:pPr>
        <w:widowControl/>
        <w:rPr>
          <w:b/>
          <w:i/>
          <w:szCs w:val="24"/>
          <w:lang w:eastAsia="en-US"/>
        </w:rPr>
      </w:pPr>
      <w:r>
        <w:rPr>
          <w:b/>
          <w:i/>
          <w:szCs w:val="24"/>
          <w:lang w:eastAsia="en-US"/>
        </w:rPr>
        <w:br w:type="page"/>
      </w:r>
    </w:p>
    <w:p w:rsidR="00C452B0" w:rsidRPr="00806243" w:rsidRDefault="00C452B0" w:rsidP="00C452B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806243">
        <w:rPr>
          <w:szCs w:val="24"/>
          <w:lang w:eastAsia="en-US"/>
        </w:rPr>
        <w:lastRenderedPageBreak/>
        <w:t>(3)</w:t>
      </w:r>
      <w:r w:rsidRPr="00806243">
        <w:rPr>
          <w:szCs w:val="24"/>
          <w:lang w:eastAsia="en-US"/>
        </w:rPr>
        <w:tab/>
        <w:t>Conformemente agli articoli 2 e 3 del regolamento (UE) 2018/1724 del Parlamento europeo e del Consiglio</w:t>
      </w:r>
      <w:r w:rsidRPr="00C452B0">
        <w:rPr>
          <w:szCs w:val="24"/>
          <w:vertAlign w:val="superscript"/>
          <w:lang w:val="en-GB" w:eastAsia="en-US"/>
        </w:rPr>
        <w:footnoteReference w:id="5"/>
      </w:r>
      <w:r w:rsidRPr="00806243">
        <w:rPr>
          <w:szCs w:val="24"/>
          <w:lang w:eastAsia="en-US"/>
        </w:rPr>
        <w:t xml:space="preserve"> lo sportello digitale unico dà accesso alle informazioni, alle procedure e ai servizi di assistenza e di risoluzione dei problemi ai cittadini dell'Unione, alle persone fisiche residenti in uno Stato membro e alle persone giuridiche aventi la sede sociale in uno Stato membro. Il dispositivo e l'allegato I del regolamento (UE) 2018/1724 dovrebbero essere modificati </w:t>
      </w:r>
      <w:r w:rsidRPr="00806243">
        <w:rPr>
          <w:b/>
          <w:i/>
          <w:szCs w:val="24"/>
          <w:lang w:eastAsia="en-US"/>
        </w:rPr>
        <w:t xml:space="preserve">dal presente regolamento </w:t>
      </w:r>
      <w:r w:rsidRPr="00806243">
        <w:rPr>
          <w:szCs w:val="24"/>
          <w:lang w:eastAsia="en-US"/>
        </w:rPr>
        <w:t>per garantire che l'ambito di applicazione non sia inteso come limitato ai cittadini e alle imprese e riguardi anche le persone giuridiche diverse dalle imprese, come le associazioni transfrontaliere europee.</w:t>
      </w:r>
      <w:r w:rsidRPr="00806243">
        <w:rPr>
          <w:b/>
          <w:i/>
          <w:szCs w:val="24"/>
          <w:lang w:eastAsia="en-US"/>
        </w:rPr>
        <w:t xml:space="preserve"> [Em.2]</w:t>
      </w:r>
    </w:p>
    <w:p w:rsidR="00806243" w:rsidRDefault="00C452B0" w:rsidP="00C452B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806243">
        <w:rPr>
          <w:szCs w:val="24"/>
          <w:lang w:eastAsia="en-US"/>
        </w:rPr>
        <w:t>(4)</w:t>
      </w:r>
      <w:r w:rsidRPr="00806243">
        <w:rPr>
          <w:szCs w:val="24"/>
          <w:lang w:eastAsia="en-US"/>
        </w:rPr>
        <w:tab/>
        <w:t>Il regolamento (UE) 2018/1724 del Parlamento europeo e del Consiglio</w:t>
      </w:r>
      <w:r w:rsidRPr="00C452B0">
        <w:rPr>
          <w:szCs w:val="24"/>
          <w:vertAlign w:val="superscript"/>
          <w:lang w:val="en-GB" w:eastAsia="en-US"/>
        </w:rPr>
        <w:footnoteReference w:id="6"/>
      </w:r>
      <w:r w:rsidRPr="00806243">
        <w:rPr>
          <w:szCs w:val="24"/>
          <w:lang w:eastAsia="en-US"/>
        </w:rPr>
        <w:t xml:space="preserve"> che istituisce lo sportello digitale unico prevede norme generali per la messa a disposizione in linea di informazioni, procedure e servizi di assistenza relativi al funzionamento del mercato interno. Le procedure contemplate dal presente regolamento dovrebbero essere conformi ai requisiti del regolamento (UE) 2018/1724 in modo da garantire che qualsiasi associazione transfrontaliera europea possa beneficiare di procedure interamente in linea e dello scambio transfrontaliero automatizzato di prove, conformemente al principio "una tantum". Tali procedure comprendono la domanda di registrazione di un'associazione transfrontaliera europea e la procedura di trasferimento della sede sociale di un'associazione transfrontaliera europea.</w:t>
      </w:r>
    </w:p>
    <w:p w:rsidR="00806243" w:rsidRDefault="00806243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C452B0" w:rsidRPr="00806243" w:rsidRDefault="00C452B0" w:rsidP="00C452B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806243">
        <w:rPr>
          <w:szCs w:val="24"/>
          <w:lang w:eastAsia="en-US"/>
        </w:rPr>
        <w:lastRenderedPageBreak/>
        <w:t>(5)</w:t>
      </w:r>
      <w:r w:rsidRPr="00806243">
        <w:rPr>
          <w:szCs w:val="24"/>
          <w:lang w:eastAsia="en-US"/>
        </w:rPr>
        <w:tab/>
        <w:t>È pertanto opportuno modificare di conseguenza i regolamenti (UE) n. 1024/2012 e (UE) 2018/1724,</w:t>
      </w:r>
    </w:p>
    <w:p w:rsidR="00C452B0" w:rsidRPr="00806243" w:rsidRDefault="00806243" w:rsidP="00C452B0">
      <w:pPr>
        <w:spacing w:before="120" w:after="120" w:line="360" w:lineRule="auto"/>
        <w:ind w:left="850" w:hanging="850"/>
        <w:rPr>
          <w:szCs w:val="24"/>
          <w:lang w:eastAsia="en-US"/>
        </w:rPr>
      </w:pPr>
      <w:r>
        <w:rPr>
          <w:b/>
          <w:i/>
          <w:szCs w:val="24"/>
          <w:lang w:eastAsia="en-US"/>
        </w:rPr>
        <w:t>(5 bis)</w:t>
      </w:r>
      <w:r>
        <w:rPr>
          <w:b/>
          <w:i/>
          <w:szCs w:val="24"/>
          <w:lang w:eastAsia="en-US"/>
        </w:rPr>
        <w:tab/>
      </w:r>
      <w:r w:rsidR="00C452B0" w:rsidRPr="00806243">
        <w:rPr>
          <w:b/>
          <w:i/>
          <w:szCs w:val="24"/>
          <w:lang w:eastAsia="en-US"/>
        </w:rPr>
        <w:t>Conformemente all'articolo 42, paragrafo 1, del regolamento (UE) 2018/1725, il Garante europeo della protezione dei dati è stato consultato e ha formulato il suo parere il 31 ottobre 2023, [</w:t>
      </w:r>
      <w:proofErr w:type="spellStart"/>
      <w:r w:rsidR="00C452B0" w:rsidRPr="00806243">
        <w:rPr>
          <w:b/>
          <w:i/>
          <w:szCs w:val="24"/>
          <w:lang w:eastAsia="en-US"/>
        </w:rPr>
        <w:t>Em</w:t>
      </w:r>
      <w:proofErr w:type="spellEnd"/>
      <w:r w:rsidR="00C452B0" w:rsidRPr="00806243">
        <w:rPr>
          <w:b/>
          <w:i/>
          <w:szCs w:val="24"/>
          <w:lang w:eastAsia="en-US"/>
        </w:rPr>
        <w:t>. 3]</w:t>
      </w:r>
    </w:p>
    <w:p w:rsidR="00806243" w:rsidRDefault="00C452B0" w:rsidP="00C452B0">
      <w:pPr>
        <w:keepNext/>
        <w:widowControl/>
        <w:spacing w:before="120" w:after="120" w:line="360" w:lineRule="auto"/>
        <w:rPr>
          <w:szCs w:val="24"/>
          <w:lang w:eastAsia="en-US"/>
        </w:rPr>
      </w:pPr>
      <w:r w:rsidRPr="00806243">
        <w:rPr>
          <w:szCs w:val="24"/>
          <w:lang w:eastAsia="en-US"/>
        </w:rPr>
        <w:t>HANNO ADOTTATO IL PRESENTE REGOLAMENTO:</w:t>
      </w:r>
    </w:p>
    <w:p w:rsidR="00806243" w:rsidRDefault="00806243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C452B0" w:rsidRPr="00806243" w:rsidRDefault="00C452B0" w:rsidP="00C452B0">
      <w:pPr>
        <w:spacing w:before="120" w:after="120" w:line="360" w:lineRule="auto"/>
        <w:jc w:val="center"/>
        <w:rPr>
          <w:szCs w:val="24"/>
          <w:lang w:eastAsia="en-US"/>
        </w:rPr>
      </w:pPr>
      <w:r w:rsidRPr="00806243">
        <w:rPr>
          <w:szCs w:val="24"/>
          <w:lang w:eastAsia="en-US"/>
        </w:rPr>
        <w:lastRenderedPageBreak/>
        <w:t>Articolo 1</w:t>
      </w:r>
      <w:r w:rsidRPr="00806243">
        <w:rPr>
          <w:szCs w:val="24"/>
          <w:lang w:eastAsia="en-US"/>
        </w:rPr>
        <w:br/>
        <w:t>Modifica del regolamento (UE) n. 1024/2012</w:t>
      </w:r>
    </w:p>
    <w:p w:rsidR="00C452B0" w:rsidRPr="00806243" w:rsidRDefault="00C452B0" w:rsidP="00C452B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806243">
        <w:rPr>
          <w:szCs w:val="24"/>
          <w:lang w:eastAsia="en-US"/>
        </w:rPr>
        <w:t> </w:t>
      </w:r>
      <w:r w:rsidRPr="00806243">
        <w:rPr>
          <w:szCs w:val="24"/>
          <w:lang w:eastAsia="en-US"/>
        </w:rPr>
        <w:tab/>
        <w:t>Nell'allegato del regolamento (UE) n. 1024/2012 è aggiunto il nuovo punto 16 seguente:</w:t>
      </w:r>
    </w:p>
    <w:p w:rsidR="00C452B0" w:rsidRPr="00806243" w:rsidRDefault="00C452B0" w:rsidP="00C452B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806243">
        <w:rPr>
          <w:szCs w:val="24"/>
          <w:lang w:eastAsia="en-US"/>
        </w:rPr>
        <w:t>"16.</w:t>
      </w:r>
      <w:r w:rsidRPr="00806243">
        <w:rPr>
          <w:szCs w:val="24"/>
          <w:lang w:eastAsia="en-US"/>
        </w:rPr>
        <w:tab/>
        <w:t>Direttiva (UE) del Parlamento europeo e del Consiglio relativa alle associazioni transfrontaliere europee (</w:t>
      </w:r>
      <w:proofErr w:type="gramStart"/>
      <w:r w:rsidRPr="00806243">
        <w:rPr>
          <w:szCs w:val="24"/>
          <w:lang w:eastAsia="en-US"/>
        </w:rPr>
        <w:t>COM(</w:t>
      </w:r>
      <w:proofErr w:type="gramEnd"/>
      <w:r w:rsidRPr="00806243">
        <w:rPr>
          <w:szCs w:val="24"/>
          <w:lang w:eastAsia="en-US"/>
        </w:rPr>
        <w:t>2023) 516)*: articolo 19, paragrafi 2 e 4, articolo 23, paragrafi 5, 6 e 7, articolo 24, paragrafo 3, articolo 25, paragrafo 6, e articolo 27.</w:t>
      </w:r>
    </w:p>
    <w:p w:rsidR="00C452B0" w:rsidRPr="00806243" w:rsidRDefault="00C452B0" w:rsidP="00C452B0">
      <w:pPr>
        <w:spacing w:before="120" w:after="120" w:line="360" w:lineRule="auto"/>
        <w:ind w:left="1416"/>
        <w:rPr>
          <w:szCs w:val="24"/>
          <w:lang w:eastAsia="en-US"/>
        </w:rPr>
      </w:pPr>
      <w:r w:rsidRPr="00806243">
        <w:rPr>
          <w:szCs w:val="24"/>
          <w:lang w:eastAsia="en-US"/>
        </w:rPr>
        <w:t>____________________</w:t>
      </w:r>
    </w:p>
    <w:p w:rsidR="00806243" w:rsidRDefault="00C452B0" w:rsidP="00C452B0">
      <w:pPr>
        <w:spacing w:before="120" w:after="120" w:line="360" w:lineRule="auto"/>
        <w:ind w:left="1416"/>
        <w:rPr>
          <w:szCs w:val="24"/>
          <w:lang w:eastAsia="en-US"/>
        </w:rPr>
      </w:pPr>
      <w:r w:rsidRPr="00806243">
        <w:rPr>
          <w:szCs w:val="24"/>
          <w:lang w:eastAsia="en-US"/>
        </w:rPr>
        <w:t>*(Riferimento GU)."</w:t>
      </w:r>
    </w:p>
    <w:p w:rsidR="00806243" w:rsidRDefault="00806243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C452B0" w:rsidRPr="00806243" w:rsidRDefault="00C452B0" w:rsidP="00C452B0">
      <w:pPr>
        <w:spacing w:before="120" w:after="120" w:line="360" w:lineRule="auto"/>
        <w:jc w:val="center"/>
        <w:rPr>
          <w:szCs w:val="24"/>
          <w:lang w:eastAsia="en-US"/>
        </w:rPr>
      </w:pPr>
      <w:r w:rsidRPr="00806243">
        <w:rPr>
          <w:szCs w:val="24"/>
          <w:lang w:eastAsia="en-US"/>
        </w:rPr>
        <w:lastRenderedPageBreak/>
        <w:t>Articolo 2</w:t>
      </w:r>
      <w:r w:rsidRPr="00806243">
        <w:rPr>
          <w:szCs w:val="24"/>
          <w:lang w:eastAsia="en-US"/>
        </w:rPr>
        <w:br/>
        <w:t>Modifiche del regolamento (UE) 2018/1724</w:t>
      </w:r>
    </w:p>
    <w:p w:rsidR="00C452B0" w:rsidRPr="00806243" w:rsidRDefault="00C452B0" w:rsidP="00C452B0">
      <w:pPr>
        <w:spacing w:before="120" w:after="120" w:line="360" w:lineRule="auto"/>
        <w:rPr>
          <w:szCs w:val="24"/>
          <w:lang w:eastAsia="en-US"/>
        </w:rPr>
      </w:pPr>
      <w:r w:rsidRPr="00806243">
        <w:rPr>
          <w:szCs w:val="24"/>
          <w:lang w:eastAsia="en-US"/>
        </w:rPr>
        <w:t>Il regolamento (UE) 2018/1724 è così modificato:</w:t>
      </w:r>
    </w:p>
    <w:p w:rsidR="00C452B0" w:rsidRPr="00806243" w:rsidRDefault="00C452B0" w:rsidP="00C452B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806243">
        <w:rPr>
          <w:szCs w:val="24"/>
          <w:lang w:eastAsia="en-US"/>
        </w:rPr>
        <w:t>1)</w:t>
      </w:r>
      <w:r w:rsidRPr="00806243">
        <w:rPr>
          <w:szCs w:val="24"/>
          <w:lang w:eastAsia="en-US"/>
        </w:rPr>
        <w:tab/>
        <w:t>all'articolo 1, paragrafo 1, la lettera a) è sostituita dalla seguente:</w:t>
      </w:r>
    </w:p>
    <w:p w:rsidR="00806243" w:rsidRDefault="00C452B0" w:rsidP="00C452B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806243">
        <w:rPr>
          <w:szCs w:val="24"/>
          <w:lang w:eastAsia="en-US"/>
        </w:rPr>
        <w:t>"a)</w:t>
      </w:r>
      <w:r w:rsidRPr="00806243">
        <w:rPr>
          <w:szCs w:val="24"/>
          <w:lang w:eastAsia="en-US"/>
        </w:rPr>
        <w:tab/>
        <w:t>l'istituzione e la gestione di uno sportello digitale unico per offrire ai cittadini, alle imprese e alle persone giuridiche diverse dalle imprese un facile accesso a informazioni di alta qualità, a procedure efficienti e a servizi di assistenza e di risoluzione dei problemi efficaci in relazione alle norme dell'Unione e nazionali applicabili ai cittadini, alle imprese e alle persone giuridiche diverse dalle imprese che esercitano o che intendono esercitare i loro diritti derivanti dal diritto dell'Unione nell'ambito del mercato interno ai sensi dell'</w:t>
      </w:r>
      <w:r w:rsidR="00806243">
        <w:rPr>
          <w:szCs w:val="24"/>
          <w:lang w:eastAsia="en-US"/>
        </w:rPr>
        <w:t>articolo 26, paragrafo 2, TFUE;</w:t>
      </w:r>
      <w:r w:rsidRPr="00806243">
        <w:rPr>
          <w:szCs w:val="24"/>
          <w:lang w:eastAsia="en-US"/>
        </w:rPr>
        <w:t>"</w:t>
      </w:r>
    </w:p>
    <w:p w:rsidR="00806243" w:rsidRDefault="00806243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C452B0" w:rsidRPr="00806243" w:rsidRDefault="00C452B0" w:rsidP="00C452B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806243">
        <w:rPr>
          <w:szCs w:val="24"/>
          <w:lang w:eastAsia="en-US"/>
        </w:rPr>
        <w:lastRenderedPageBreak/>
        <w:t>2)</w:t>
      </w:r>
      <w:r w:rsidRPr="00806243">
        <w:rPr>
          <w:szCs w:val="24"/>
          <w:lang w:eastAsia="en-US"/>
        </w:rPr>
        <w:tab/>
        <w:t>all'articolo 1, paragrafo 1, la lettera b) è sostituita dalla seguente:</w:t>
      </w:r>
    </w:p>
    <w:p w:rsidR="00C452B0" w:rsidRPr="00806243" w:rsidRDefault="00C452B0" w:rsidP="00C452B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806243">
        <w:rPr>
          <w:szCs w:val="24"/>
          <w:lang w:eastAsia="en-US"/>
        </w:rPr>
        <w:t>"b)</w:t>
      </w:r>
      <w:r w:rsidRPr="00806243">
        <w:rPr>
          <w:szCs w:val="24"/>
          <w:lang w:eastAsia="en-US"/>
        </w:rPr>
        <w:tab/>
        <w:t>l'uso di procedure da parte di utenti transfrontalieri e l'applicazione del principio "una tantum" in relazione alle procedure riportate all'allegato II del presente regolamento e alle procedure previste dalle direttive 2005/36/CE, 2006/123/CE, 2014/24/UE, 2014/25/UE e …/…*;</w:t>
      </w:r>
    </w:p>
    <w:p w:rsidR="00C452B0" w:rsidRPr="00D31996" w:rsidRDefault="00C452B0" w:rsidP="00C452B0">
      <w:pPr>
        <w:spacing w:before="120" w:after="120" w:line="360" w:lineRule="auto"/>
        <w:ind w:left="1416"/>
        <w:rPr>
          <w:szCs w:val="24"/>
          <w:lang w:eastAsia="en-US"/>
        </w:rPr>
      </w:pPr>
      <w:r w:rsidRPr="00D31996">
        <w:rPr>
          <w:szCs w:val="24"/>
          <w:lang w:eastAsia="en-US"/>
        </w:rPr>
        <w:t>____________________</w:t>
      </w:r>
    </w:p>
    <w:p w:rsidR="00C452B0" w:rsidRPr="00D31996" w:rsidRDefault="00C452B0" w:rsidP="00C452B0">
      <w:pPr>
        <w:spacing w:before="120" w:after="120" w:line="360" w:lineRule="auto"/>
        <w:ind w:left="1416"/>
        <w:rPr>
          <w:szCs w:val="24"/>
          <w:lang w:eastAsia="en-US"/>
        </w:rPr>
      </w:pPr>
      <w:r w:rsidRPr="00D31996">
        <w:rPr>
          <w:szCs w:val="24"/>
          <w:lang w:eastAsia="en-US"/>
        </w:rPr>
        <w:t>* Direttiva (UE).../... del Parlamento europeo e del Consiglio, del..., relativa alle associazioni transfrontaliere europee (riferimento GU).;"</w:t>
      </w:r>
    </w:p>
    <w:p w:rsidR="00C452B0" w:rsidRPr="00806243" w:rsidRDefault="00C452B0" w:rsidP="00C452B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806243">
        <w:rPr>
          <w:szCs w:val="24"/>
          <w:lang w:eastAsia="en-US"/>
        </w:rPr>
        <w:t>3)</w:t>
      </w:r>
      <w:r w:rsidRPr="00806243">
        <w:rPr>
          <w:szCs w:val="24"/>
          <w:lang w:eastAsia="en-US"/>
        </w:rPr>
        <w:tab/>
        <w:t>all'articolo 2, paragrafo 2, la lettera c) è sostituita dalla seguente:</w:t>
      </w:r>
    </w:p>
    <w:p w:rsidR="00806243" w:rsidRDefault="00C452B0" w:rsidP="00C452B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806243">
        <w:rPr>
          <w:szCs w:val="24"/>
          <w:lang w:eastAsia="en-US"/>
        </w:rPr>
        <w:t>"c)</w:t>
      </w:r>
      <w:r w:rsidRPr="00806243">
        <w:rPr>
          <w:szCs w:val="24"/>
          <w:lang w:eastAsia="en-US"/>
        </w:rPr>
        <w:tab/>
        <w:t>informazioni sui servizi di assistenza e di risoluzione dei problemi elencati all'allegato III o a cui è fatto riferimento all'articolo 7 a cui si possono rivolgere cittadini, imprese e persone giuridiche diverse dalle imprese per domande o problemi connessi ai diritti, agli obblighi o alle norme o procedure di cui alle lettere a) e b) del presente paragrafo, e link a tali servizi.;"</w:t>
      </w:r>
    </w:p>
    <w:p w:rsidR="00806243" w:rsidRDefault="00806243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C452B0" w:rsidRPr="00806243" w:rsidRDefault="00C452B0" w:rsidP="00C452B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806243">
        <w:rPr>
          <w:szCs w:val="24"/>
          <w:lang w:eastAsia="en-US"/>
        </w:rPr>
        <w:lastRenderedPageBreak/>
        <w:t>4)</w:t>
      </w:r>
      <w:r w:rsidRPr="00806243">
        <w:rPr>
          <w:szCs w:val="24"/>
          <w:lang w:eastAsia="en-US"/>
        </w:rPr>
        <w:tab/>
        <w:t>all'articolo 14, il paragrafo 1 è sostituito dal seguente:</w:t>
      </w:r>
    </w:p>
    <w:p w:rsidR="00C452B0" w:rsidRPr="00806243" w:rsidRDefault="00C452B0" w:rsidP="00C452B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806243">
        <w:rPr>
          <w:szCs w:val="24"/>
          <w:lang w:eastAsia="en-US"/>
        </w:rPr>
        <w:t>"1.</w:t>
      </w:r>
      <w:r w:rsidRPr="00806243">
        <w:rPr>
          <w:szCs w:val="24"/>
          <w:lang w:eastAsia="en-US"/>
        </w:rPr>
        <w:tab/>
        <w:t>Ai fini dello scambio di prove per le procedure in linea elencate nell'allegato II del presente regolamento e le procedure di cui alle direttive 2005/36/CE, 2006/123/CE, 2014/24/UE, 2014/25/UE e …/…/…, la Commissione, in cooperazione con gli Stati membri, istituisce un sistema tecnico per lo scambio automatizzato di prove tra le autorità competenti di diversi Stati membri ("il sistema tecnico").;"</w:t>
      </w:r>
    </w:p>
    <w:p w:rsidR="00C452B0" w:rsidRPr="00806243" w:rsidRDefault="00C452B0" w:rsidP="00C452B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806243">
        <w:rPr>
          <w:szCs w:val="24"/>
          <w:lang w:eastAsia="en-US"/>
        </w:rPr>
        <w:t>5)</w:t>
      </w:r>
      <w:r w:rsidRPr="00806243">
        <w:rPr>
          <w:szCs w:val="24"/>
          <w:lang w:eastAsia="en-US"/>
        </w:rPr>
        <w:tab/>
        <w:t>l'allegato I del regolamento (UE) 2018/1724 è così modificato:</w:t>
      </w:r>
    </w:p>
    <w:p w:rsidR="00C452B0" w:rsidRPr="00806243" w:rsidRDefault="00C452B0" w:rsidP="00C452B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806243">
        <w:rPr>
          <w:szCs w:val="24"/>
          <w:lang w:eastAsia="en-US"/>
        </w:rPr>
        <w:t>a)</w:t>
      </w:r>
      <w:r w:rsidRPr="00806243">
        <w:rPr>
          <w:szCs w:val="24"/>
          <w:lang w:eastAsia="en-US"/>
        </w:rPr>
        <w:tab/>
        <w:t>il titolo è sostituito dal seguente:</w:t>
      </w:r>
    </w:p>
    <w:p w:rsidR="00806243" w:rsidRDefault="00C452B0" w:rsidP="00C452B0">
      <w:pPr>
        <w:spacing w:before="120" w:after="120" w:line="360" w:lineRule="auto"/>
        <w:ind w:left="1416"/>
        <w:rPr>
          <w:szCs w:val="24"/>
          <w:lang w:eastAsia="en-US"/>
        </w:rPr>
      </w:pPr>
      <w:r w:rsidRPr="00806243">
        <w:rPr>
          <w:szCs w:val="24"/>
          <w:lang w:eastAsia="en-US"/>
        </w:rPr>
        <w:t>"Elenco dei settori di informazione che sono pertinenti per i cittadini, le imprese e le persone giuridiche diverse dalle imprese aventi la sede sociale in uno Stato membro che esercitano i loro diritti nel mercato interno di cui all'articolo 2, paragrafo 2, lettera a);</w:t>
      </w:r>
    </w:p>
    <w:p w:rsidR="00806243" w:rsidRDefault="00806243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E718C3" w:rsidRDefault="00B64351" w:rsidP="00D31996">
      <w:pPr>
        <w:spacing w:before="120" w:after="120" w:line="360" w:lineRule="auto"/>
        <w:ind w:left="1416" w:hanging="565"/>
        <w:rPr>
          <w:b/>
          <w:i/>
          <w:szCs w:val="24"/>
          <w:lang w:eastAsia="en-US"/>
        </w:rPr>
      </w:pPr>
      <w:r>
        <w:rPr>
          <w:b/>
          <w:i/>
          <w:szCs w:val="24"/>
          <w:lang w:eastAsia="en-US"/>
        </w:rPr>
        <w:lastRenderedPageBreak/>
        <w:t>a bis)</w:t>
      </w:r>
      <w:r w:rsidR="00E718C3">
        <w:rPr>
          <w:b/>
          <w:i/>
          <w:szCs w:val="24"/>
          <w:lang w:eastAsia="en-US"/>
        </w:rPr>
        <w:tab/>
      </w:r>
      <w:r w:rsidR="00340422">
        <w:rPr>
          <w:b/>
          <w:i/>
          <w:szCs w:val="24"/>
          <w:lang w:eastAsia="en-US"/>
        </w:rPr>
        <w:t>in “Settori di informazione</w:t>
      </w:r>
      <w:r w:rsidR="00E718C3">
        <w:rPr>
          <w:b/>
          <w:i/>
          <w:szCs w:val="24"/>
          <w:lang w:eastAsia="en-US"/>
        </w:rPr>
        <w:t xml:space="preserve"> pertinenti per le imprese”, la lettera J è sostituita dalla seguente:</w:t>
      </w:r>
    </w:p>
    <w:p w:rsidR="00C452B0" w:rsidRDefault="00E718C3" w:rsidP="00D31996">
      <w:pPr>
        <w:spacing w:before="120" w:after="120" w:line="360" w:lineRule="auto"/>
        <w:ind w:left="1416" w:hanging="565"/>
        <w:rPr>
          <w:szCs w:val="24"/>
          <w:lang w:eastAsia="en-US"/>
        </w:rPr>
      </w:pPr>
      <w:r>
        <w:rPr>
          <w:b/>
          <w:i/>
          <w:szCs w:val="24"/>
          <w:lang w:eastAsia="en-US"/>
        </w:rPr>
        <w:t>“Settori di informazione pertinenti per le imprese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6243" w:rsidRPr="0086237E" w:rsidTr="00A70B10">
        <w:trPr>
          <w:jc w:val="center"/>
        </w:trPr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243" w:rsidRPr="00D31996" w:rsidRDefault="00806243" w:rsidP="00A70B10">
            <w:pPr>
              <w:pStyle w:val="Normal6"/>
              <w:rPr>
                <w:b/>
                <w:i/>
              </w:rPr>
            </w:pPr>
            <w:r w:rsidRPr="00D31996">
              <w:rPr>
                <w:b/>
                <w:i/>
              </w:rPr>
              <w:t>Settore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243" w:rsidRPr="00D31996" w:rsidRDefault="00806243" w:rsidP="00A70B10">
            <w:pPr>
              <w:pStyle w:val="Normal6"/>
              <w:rPr>
                <w:b/>
                <w:i/>
              </w:rPr>
            </w:pPr>
            <w:r w:rsidRPr="00D31996">
              <w:rPr>
                <w:b/>
                <w:i/>
              </w:rPr>
              <w:t>INFORMAZIONI RELATIVE A DIRITTI, OBBLIGHI E NORME</w:t>
            </w:r>
          </w:p>
        </w:tc>
      </w:tr>
      <w:tr w:rsidR="00806243" w:rsidRPr="0086237E" w:rsidTr="00A70B10">
        <w:trPr>
          <w:jc w:val="center"/>
        </w:trPr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243" w:rsidRPr="00D31996" w:rsidRDefault="00806243" w:rsidP="00A70B10">
            <w:pPr>
              <w:pStyle w:val="Normal6"/>
              <w:rPr>
                <w:b/>
                <w:i/>
              </w:rPr>
            </w:pPr>
            <w:r w:rsidRPr="00D31996">
              <w:rPr>
                <w:b/>
                <w:i/>
              </w:rPr>
              <w:t>J. Avvio, gestione e chiusura di un'impresa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243" w:rsidRPr="00D31996" w:rsidRDefault="00806243" w:rsidP="00A70B10">
            <w:pPr>
              <w:pStyle w:val="Normal6"/>
              <w:rPr>
                <w:b/>
                <w:i/>
              </w:rPr>
            </w:pPr>
            <w:r w:rsidRPr="00D31996">
              <w:rPr>
                <w:b/>
                <w:i/>
              </w:rPr>
              <w:t>1. Registrazione, modifica della forma giuridica o chiusura di un’impresa (procedure di registrazione e forme giuridiche delle attività commerciali)</w:t>
            </w:r>
          </w:p>
          <w:p w:rsidR="00806243" w:rsidRPr="00D31996" w:rsidRDefault="00806243" w:rsidP="00A70B10">
            <w:pPr>
              <w:pStyle w:val="Normal6"/>
              <w:rPr>
                <w:b/>
                <w:i/>
              </w:rPr>
            </w:pPr>
            <w:r w:rsidRPr="00D31996">
              <w:rPr>
                <w:b/>
                <w:i/>
              </w:rPr>
              <w:t xml:space="preserve">2. Trasferimento </w:t>
            </w:r>
            <w:r w:rsidRPr="00E718C3">
              <w:rPr>
                <w:b/>
                <w:i/>
              </w:rPr>
              <w:t>della sede sociale</w:t>
            </w:r>
            <w:r w:rsidRPr="00D31996">
              <w:rPr>
                <w:b/>
                <w:i/>
              </w:rPr>
              <w:t xml:space="preserve"> di un'impresa in un altro Stato membro</w:t>
            </w:r>
          </w:p>
          <w:p w:rsidR="00806243" w:rsidRPr="00E718C3" w:rsidRDefault="00806243" w:rsidP="00A70B10">
            <w:pPr>
              <w:pStyle w:val="Normal6"/>
              <w:rPr>
                <w:b/>
                <w:i/>
              </w:rPr>
            </w:pPr>
            <w:r w:rsidRPr="00E718C3">
              <w:rPr>
                <w:b/>
                <w:i/>
              </w:rPr>
              <w:t>2 bis. Obblighi concernenti i diritti dei creditori e dei lavoratori in relazione al trasferimento della sede sociale di un'impresa in un altro Stato membro</w:t>
            </w:r>
          </w:p>
          <w:p w:rsidR="00806243" w:rsidRPr="00D31996" w:rsidRDefault="00806243" w:rsidP="00A70B10">
            <w:pPr>
              <w:pStyle w:val="Normal6"/>
              <w:rPr>
                <w:b/>
                <w:i/>
              </w:rPr>
            </w:pPr>
            <w:r w:rsidRPr="00D31996">
              <w:rPr>
                <w:b/>
                <w:i/>
              </w:rPr>
              <w:t>3. Diritti di proprietà intellettuale (domanda di brevetto, registrazione di marchi, disegni o progetti, ottenimento dei diritti di riproduzione)</w:t>
            </w:r>
          </w:p>
          <w:p w:rsidR="00806243" w:rsidRPr="00D31996" w:rsidRDefault="00A02D72" w:rsidP="00A70B10">
            <w:pPr>
              <w:pStyle w:val="Normal6"/>
              <w:rPr>
                <w:b/>
                <w:i/>
              </w:rPr>
            </w:pPr>
            <w:r w:rsidRPr="00D31996">
              <w:rPr>
                <w:b/>
                <w:i/>
              </w:rPr>
              <w:t>4</w:t>
            </w:r>
            <w:r w:rsidR="00806243" w:rsidRPr="00D31996">
              <w:rPr>
                <w:b/>
                <w:i/>
              </w:rPr>
              <w:t>. Equità e trasparenza nelle pratiche commerciali, inclusi i diritti dei consumatori e le garanzie relative alla vendita di beni e servizi</w:t>
            </w:r>
          </w:p>
          <w:p w:rsidR="00806243" w:rsidRPr="00D31996" w:rsidRDefault="00806243" w:rsidP="00A70B10">
            <w:pPr>
              <w:pStyle w:val="Normal6"/>
              <w:rPr>
                <w:b/>
                <w:i/>
              </w:rPr>
            </w:pPr>
            <w:r w:rsidRPr="00D31996">
              <w:rPr>
                <w:b/>
                <w:i/>
              </w:rPr>
              <w:t>5. Offerta di servizi in linea per i pagamenti transfrontalieri per la vendita di beni e servizi in linea</w:t>
            </w:r>
          </w:p>
          <w:p w:rsidR="00806243" w:rsidRPr="00D31996" w:rsidRDefault="00806243" w:rsidP="00A70B10">
            <w:pPr>
              <w:pStyle w:val="Normal6"/>
              <w:rPr>
                <w:b/>
                <w:i/>
              </w:rPr>
            </w:pPr>
            <w:r w:rsidRPr="00D31996">
              <w:rPr>
                <w:b/>
                <w:i/>
              </w:rPr>
              <w:t>6. Diritti e obblighi derivanti dal diritto contrattuale, compresi gli interessi di mora</w:t>
            </w:r>
          </w:p>
          <w:p w:rsidR="00806243" w:rsidRPr="00D31996" w:rsidRDefault="00806243" w:rsidP="00A70B10">
            <w:pPr>
              <w:pStyle w:val="Normal6"/>
              <w:rPr>
                <w:b/>
                <w:i/>
              </w:rPr>
            </w:pPr>
            <w:r w:rsidRPr="00D31996">
              <w:rPr>
                <w:b/>
                <w:i/>
              </w:rPr>
              <w:t>7. Procedure d’insolvenza e liquidazione della società</w:t>
            </w:r>
          </w:p>
          <w:p w:rsidR="00806243" w:rsidRPr="00D31996" w:rsidRDefault="00806243" w:rsidP="00A70B10">
            <w:pPr>
              <w:pStyle w:val="Normal6"/>
              <w:rPr>
                <w:b/>
                <w:i/>
              </w:rPr>
            </w:pPr>
            <w:r w:rsidRPr="00D31996">
              <w:rPr>
                <w:b/>
                <w:i/>
              </w:rPr>
              <w:t>8. Assicurazione crediti</w:t>
            </w:r>
          </w:p>
          <w:p w:rsidR="00806243" w:rsidRPr="00D31996" w:rsidRDefault="00806243" w:rsidP="00A70B10">
            <w:pPr>
              <w:pStyle w:val="Normal6"/>
              <w:rPr>
                <w:b/>
                <w:i/>
              </w:rPr>
            </w:pPr>
            <w:r w:rsidRPr="00D31996">
              <w:rPr>
                <w:b/>
                <w:i/>
              </w:rPr>
              <w:t>9. Fusioni di società o vendita di imprese</w:t>
            </w:r>
          </w:p>
          <w:p w:rsidR="00806243" w:rsidRPr="00D31996" w:rsidRDefault="00806243" w:rsidP="00A70B10">
            <w:pPr>
              <w:pStyle w:val="Normal6"/>
              <w:rPr>
                <w:b/>
                <w:i/>
              </w:rPr>
            </w:pPr>
            <w:r w:rsidRPr="00D31996">
              <w:rPr>
                <w:b/>
                <w:i/>
              </w:rPr>
              <w:t xml:space="preserve">10. Responsabilità civile </w:t>
            </w:r>
            <w:r w:rsidRPr="00E718C3">
              <w:rPr>
                <w:b/>
                <w:i/>
              </w:rPr>
              <w:t>dei membri della direzione o</w:t>
            </w:r>
            <w:r w:rsidRPr="00D31996">
              <w:rPr>
                <w:b/>
                <w:i/>
              </w:rPr>
              <w:t xml:space="preserve"> degli amministratori di una società</w:t>
            </w:r>
          </w:p>
          <w:p w:rsidR="00806243" w:rsidRPr="00D31996" w:rsidRDefault="00806243" w:rsidP="00A70B10">
            <w:pPr>
              <w:pStyle w:val="Normal6"/>
              <w:rPr>
                <w:b/>
                <w:i/>
              </w:rPr>
            </w:pPr>
            <w:r w:rsidRPr="00D31996">
              <w:rPr>
                <w:b/>
                <w:i/>
              </w:rPr>
              <w:t>11. Norme e obblighi relativi al trattamento dei dati personali</w:t>
            </w:r>
            <w:r w:rsidR="00E718C3">
              <w:rPr>
                <w:b/>
                <w:i/>
              </w:rPr>
              <w:t>”</w:t>
            </w:r>
          </w:p>
        </w:tc>
      </w:tr>
    </w:tbl>
    <w:p w:rsidR="00E718C3" w:rsidRDefault="00806243" w:rsidP="00E718C3">
      <w:pPr>
        <w:jc w:val="right"/>
        <w:rPr>
          <w:b/>
          <w:i/>
        </w:rPr>
      </w:pPr>
      <w:r w:rsidRPr="00806243">
        <w:rPr>
          <w:b/>
          <w:i/>
        </w:rPr>
        <w:t>[Em.4]</w:t>
      </w:r>
      <w:r>
        <w:rPr>
          <w:b/>
          <w:i/>
        </w:rPr>
        <w:br/>
      </w:r>
    </w:p>
    <w:p w:rsidR="00E718C3" w:rsidRDefault="00E718C3">
      <w:pPr>
        <w:widowControl/>
        <w:rPr>
          <w:b/>
          <w:i/>
        </w:rPr>
      </w:pPr>
      <w:r>
        <w:rPr>
          <w:b/>
          <w:i/>
        </w:rPr>
        <w:br w:type="page"/>
      </w:r>
    </w:p>
    <w:p w:rsidR="00806243" w:rsidRPr="00806243" w:rsidRDefault="00806243" w:rsidP="00D31996">
      <w:pPr>
        <w:jc w:val="right"/>
        <w:rPr>
          <w:szCs w:val="24"/>
          <w:lang w:eastAsia="en-US"/>
        </w:rPr>
      </w:pPr>
    </w:p>
    <w:p w:rsidR="00C452B0" w:rsidRPr="00806243" w:rsidRDefault="00C452B0" w:rsidP="00C452B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806243">
        <w:rPr>
          <w:szCs w:val="24"/>
          <w:lang w:eastAsia="en-US"/>
        </w:rPr>
        <w:t>b)</w:t>
      </w:r>
      <w:r w:rsidRPr="00806243">
        <w:rPr>
          <w:szCs w:val="24"/>
          <w:lang w:eastAsia="en-US"/>
        </w:rPr>
        <w:tab/>
        <w:t>sono aggiunti i seguenti settori di informazione:</w:t>
      </w:r>
    </w:p>
    <w:p w:rsidR="00C452B0" w:rsidRDefault="00C452B0" w:rsidP="00C452B0">
      <w:pPr>
        <w:spacing w:before="120" w:after="120" w:line="360" w:lineRule="auto"/>
        <w:ind w:left="850"/>
        <w:rPr>
          <w:szCs w:val="24"/>
          <w:lang w:eastAsia="en-US"/>
        </w:rPr>
      </w:pPr>
      <w:r w:rsidRPr="00806243">
        <w:rPr>
          <w:szCs w:val="24"/>
          <w:lang w:eastAsia="en-US"/>
        </w:rPr>
        <w:t>"Settori di informazione pertinenti per le persone giuridiche diverse dalle imprese aventi la sede sociale in uno Stato membro:</w:t>
      </w:r>
    </w:p>
    <w:tbl>
      <w:tblPr>
        <w:tblW w:w="9918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5042"/>
      </w:tblGrid>
      <w:tr w:rsidR="00806243" w:rsidRPr="0086237E" w:rsidTr="00806243">
        <w:trPr>
          <w:jc w:val="center"/>
        </w:trPr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243" w:rsidRPr="0086237E" w:rsidRDefault="00806243" w:rsidP="00A70B10">
            <w:pPr>
              <w:pStyle w:val="Normal6"/>
              <w:jc w:val="center"/>
              <w:rPr>
                <w:i/>
              </w:rPr>
            </w:pPr>
            <w:r w:rsidRPr="0086237E">
              <w:rPr>
                <w:i/>
              </w:rPr>
              <w:t>AA. Avvio, gestione e chiusura di una persona giuridica diversa da un'impresa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243" w:rsidRPr="0086237E" w:rsidRDefault="00806243" w:rsidP="00A70B10">
            <w:r w:rsidRPr="0086237E">
              <w:t>1. Registrazione, modifica della forma giuridica o chiusura di una persona giuridica diversa da un'impresa (procedure di registrazione e forme giuridiche)</w:t>
            </w:r>
          </w:p>
          <w:p w:rsidR="00806243" w:rsidRPr="0086237E" w:rsidRDefault="00806243" w:rsidP="00A70B10"/>
          <w:p w:rsidR="00806243" w:rsidRPr="0086237E" w:rsidRDefault="00806243" w:rsidP="00A70B10">
            <w:r w:rsidRPr="0086237E">
              <w:t xml:space="preserve">2. Trasferimento </w:t>
            </w:r>
            <w:r w:rsidRPr="0086237E">
              <w:rPr>
                <w:b/>
                <w:i/>
              </w:rPr>
              <w:t>della sede sociale</w:t>
            </w:r>
            <w:r w:rsidRPr="0086237E">
              <w:t xml:space="preserve"> di una persona giuridica diversa da un'impresa in un altro Stato membro</w:t>
            </w:r>
          </w:p>
          <w:p w:rsidR="00806243" w:rsidRPr="0086237E" w:rsidRDefault="00806243" w:rsidP="00A70B10"/>
          <w:p w:rsidR="00806243" w:rsidRPr="0086237E" w:rsidRDefault="00806243" w:rsidP="00A70B10">
            <w:pPr>
              <w:rPr>
                <w:b/>
                <w:i/>
              </w:rPr>
            </w:pPr>
            <w:r w:rsidRPr="0086237E">
              <w:rPr>
                <w:b/>
                <w:i/>
              </w:rPr>
              <w:t>2 bis. Obblighi concernenti i diritti dei creditori e dei lavoratori in relazione al trasferimento della sede sociale di una persona giuridica diversa da un'impresa in un altro Stato membro</w:t>
            </w:r>
          </w:p>
          <w:p w:rsidR="00806243" w:rsidRPr="0086237E" w:rsidRDefault="00806243" w:rsidP="00A70B10"/>
          <w:p w:rsidR="00806243" w:rsidRPr="0086237E" w:rsidRDefault="00806243" w:rsidP="00A70B10">
            <w:r w:rsidRPr="0086237E">
              <w:t>3. Diritti di proprietà intellettuale (domanda di brevetto, registrazione di marchi, disegni o progetti, ottenimento dei diritti di riproduzione)</w:t>
            </w:r>
          </w:p>
          <w:p w:rsidR="00806243" w:rsidRPr="0086237E" w:rsidRDefault="00806243" w:rsidP="00A70B10"/>
          <w:p w:rsidR="00806243" w:rsidRPr="0086237E" w:rsidRDefault="00806243" w:rsidP="00A70B10">
            <w:r w:rsidRPr="0086237E">
              <w:t>4. Equità e trasparenza nelle pratiche commerciali, inclusi i diritti dei consumatori e le garanzie relative alla vendita di beni e servizi</w:t>
            </w:r>
          </w:p>
          <w:p w:rsidR="00806243" w:rsidRPr="0086237E" w:rsidRDefault="00806243" w:rsidP="00A70B10"/>
          <w:p w:rsidR="00806243" w:rsidRPr="0086237E" w:rsidRDefault="00806243" w:rsidP="00A70B10">
            <w:r w:rsidRPr="0086237E">
              <w:t>5. Offerta di servizi in linea per i pagamenti transfrontalieri per la vendita di beni e servizi in linea</w:t>
            </w:r>
          </w:p>
          <w:p w:rsidR="00806243" w:rsidRPr="0086237E" w:rsidRDefault="00806243" w:rsidP="00A70B10"/>
          <w:p w:rsidR="00806243" w:rsidRPr="0086237E" w:rsidRDefault="00806243" w:rsidP="00A70B10">
            <w:r w:rsidRPr="0086237E">
              <w:t>6. Diritti e obblighi derivanti dal diritto contrattuale, compresi gli interessi di mora</w:t>
            </w:r>
          </w:p>
          <w:p w:rsidR="00806243" w:rsidRPr="0086237E" w:rsidRDefault="00806243" w:rsidP="00A70B10"/>
          <w:p w:rsidR="00806243" w:rsidRPr="0086237E" w:rsidRDefault="00806243" w:rsidP="00A70B10">
            <w:r w:rsidRPr="0086237E">
              <w:t>7. Procedure d'insolvenza e liquidazione della persona giuridica diversa da un'impresa</w:t>
            </w:r>
          </w:p>
          <w:p w:rsidR="00806243" w:rsidRPr="0086237E" w:rsidRDefault="00806243" w:rsidP="00A70B10">
            <w:r w:rsidRPr="0086237E">
              <w:t>8. Assicurazione crediti</w:t>
            </w:r>
          </w:p>
          <w:p w:rsidR="00806243" w:rsidRPr="0086237E" w:rsidRDefault="00806243" w:rsidP="00A70B10"/>
          <w:p w:rsidR="00806243" w:rsidRPr="0086237E" w:rsidRDefault="00806243" w:rsidP="00A70B10">
            <w:r w:rsidRPr="0086237E">
              <w:t>9. Fusioni o vendite di una persona giuridica diversa da un'impresa</w:t>
            </w:r>
          </w:p>
          <w:p w:rsidR="00806243" w:rsidRPr="0086237E" w:rsidRDefault="00806243" w:rsidP="00A70B10"/>
          <w:p w:rsidR="00806243" w:rsidRPr="0086237E" w:rsidRDefault="00806243" w:rsidP="00A70B10">
            <w:r w:rsidRPr="0086237E">
              <w:t xml:space="preserve">10. Responsabilità civile </w:t>
            </w:r>
            <w:r w:rsidRPr="0086237E">
              <w:rPr>
                <w:b/>
                <w:i/>
              </w:rPr>
              <w:t>dei membri della direzione o</w:t>
            </w:r>
            <w:r w:rsidRPr="0086237E">
              <w:t xml:space="preserve"> degli amministratori di una persona giuridica diversa da un'impresa</w:t>
            </w:r>
          </w:p>
          <w:p w:rsidR="00806243" w:rsidRPr="0086237E" w:rsidRDefault="00806243" w:rsidP="00A70B10"/>
          <w:p w:rsidR="00806243" w:rsidRPr="0086237E" w:rsidRDefault="00806243" w:rsidP="00A70B10">
            <w:r w:rsidRPr="0086237E">
              <w:lastRenderedPageBreak/>
              <w:t>11. Norme e obblighi relativi al trattamento dei dati personali</w:t>
            </w:r>
          </w:p>
        </w:tc>
      </w:tr>
    </w:tbl>
    <w:p w:rsidR="00806243" w:rsidRPr="0086237E" w:rsidRDefault="00806243" w:rsidP="00806243"/>
    <w:tbl>
      <w:tblPr>
        <w:tblW w:w="5477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21"/>
        <w:gridCol w:w="5103"/>
      </w:tblGrid>
      <w:tr w:rsidR="00C452B0" w:rsidRPr="00C452B0" w:rsidTr="00806243">
        <w:tc>
          <w:tcPr>
            <w:tcW w:w="2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2B0" w:rsidRPr="00C452B0" w:rsidRDefault="00C452B0" w:rsidP="00C452B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452B0">
              <w:rPr>
                <w:szCs w:val="24"/>
                <w:lang w:val="en-GB" w:eastAsia="en-US"/>
              </w:rPr>
              <w:t xml:space="preserve">AB. </w:t>
            </w:r>
            <w:proofErr w:type="spellStart"/>
            <w:r w:rsidRPr="00C452B0">
              <w:rPr>
                <w:szCs w:val="24"/>
                <w:lang w:val="en-GB" w:eastAsia="en-US"/>
              </w:rPr>
              <w:t>Dipendenti</w:t>
            </w:r>
            <w:proofErr w:type="spellEnd"/>
          </w:p>
        </w:tc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2B0" w:rsidRPr="00C452B0" w:rsidRDefault="00C452B0" w:rsidP="00C452B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452B0">
              <w:rPr>
                <w:szCs w:val="24"/>
                <w:lang w:eastAsia="en-US"/>
              </w:rPr>
              <w:t xml:space="preserve">1. Condizioni di impiego stabilite da leggi o da fonti normative secondarie (tra cui orario di lavoro, ferie retribuite, diritti alle ferie, diritti e obblighi relativi alle ore di lavoro straordinario, controlli sanitari, risoluzione dei contratti, licenziamenti ed esuberi) 2. Diritti e obblighi in materia di sicurezza sociale nell'Unione (iscrizione in qualità di datore di lavoro, iscrizione dei dipendenti, notifica della scadenza di un contratto d'impiego, versamento dei contributi sociali, diritti e obblighi relativi alle pensioni) 3. Assunzione di lavoratori in altri Stati membri (distacco dei lavoratori, norme sulla libera prestazione dei servizi, requisiti in materia di residenza per i lavoratori) 4. Parità di trattamento (norme che vietano la discriminazione sul posto di lavoro, norme sulla parità di retribuzione tra uomini e donne e sulla parità di retribuzione tra lavoratori con contratti di lavoro a tempo indeterminato o determinato) 5. </w:t>
            </w:r>
            <w:proofErr w:type="spellStart"/>
            <w:r w:rsidRPr="00C452B0">
              <w:rPr>
                <w:szCs w:val="24"/>
                <w:lang w:val="en-GB" w:eastAsia="en-US"/>
              </w:rPr>
              <w:t>Norme</w:t>
            </w:r>
            <w:proofErr w:type="spellEnd"/>
            <w:r w:rsidRPr="00C452B0">
              <w:rPr>
                <w:szCs w:val="24"/>
                <w:lang w:val="en-GB" w:eastAsia="en-US"/>
              </w:rPr>
              <w:t xml:space="preserve"> in </w:t>
            </w:r>
            <w:proofErr w:type="spellStart"/>
            <w:r w:rsidRPr="00C452B0">
              <w:rPr>
                <w:szCs w:val="24"/>
                <w:lang w:val="en-GB" w:eastAsia="en-US"/>
              </w:rPr>
              <w:t>materia</w:t>
            </w:r>
            <w:proofErr w:type="spellEnd"/>
            <w:r w:rsidRPr="00C452B0">
              <w:rPr>
                <w:szCs w:val="24"/>
                <w:lang w:val="en-GB" w:eastAsia="en-US"/>
              </w:rPr>
              <w:t xml:space="preserve"> di </w:t>
            </w:r>
            <w:proofErr w:type="spellStart"/>
            <w:r w:rsidRPr="00C452B0">
              <w:rPr>
                <w:szCs w:val="24"/>
                <w:lang w:val="en-GB" w:eastAsia="en-US"/>
              </w:rPr>
              <w:t>rappresentanza</w:t>
            </w:r>
            <w:proofErr w:type="spellEnd"/>
            <w:r w:rsidRPr="00C452B0">
              <w:rPr>
                <w:szCs w:val="24"/>
                <w:lang w:val="en-GB" w:eastAsia="en-US"/>
              </w:rPr>
              <w:t xml:space="preserve"> del </w:t>
            </w:r>
            <w:proofErr w:type="spellStart"/>
            <w:r w:rsidRPr="00C452B0">
              <w:rPr>
                <w:szCs w:val="24"/>
                <w:lang w:val="en-GB" w:eastAsia="en-US"/>
              </w:rPr>
              <w:t>personale</w:t>
            </w:r>
            <w:proofErr w:type="spellEnd"/>
          </w:p>
        </w:tc>
      </w:tr>
      <w:tr w:rsidR="00C452B0" w:rsidRPr="00C452B0" w:rsidTr="00806243">
        <w:tc>
          <w:tcPr>
            <w:tcW w:w="2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2B0" w:rsidRPr="00C452B0" w:rsidRDefault="00C452B0" w:rsidP="00C452B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452B0">
              <w:rPr>
                <w:szCs w:val="24"/>
                <w:lang w:val="en-GB" w:eastAsia="en-US"/>
              </w:rPr>
              <w:t xml:space="preserve">AC. </w:t>
            </w:r>
            <w:proofErr w:type="spellStart"/>
            <w:r w:rsidRPr="00C452B0">
              <w:rPr>
                <w:szCs w:val="24"/>
                <w:lang w:val="en-GB" w:eastAsia="en-US"/>
              </w:rPr>
              <w:t>Imposte</w:t>
            </w:r>
            <w:proofErr w:type="spellEnd"/>
          </w:p>
        </w:tc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2B0" w:rsidRPr="00C452B0" w:rsidRDefault="00C452B0" w:rsidP="00C452B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452B0">
              <w:rPr>
                <w:szCs w:val="24"/>
                <w:lang w:eastAsia="en-US"/>
              </w:rPr>
              <w:t xml:space="preserve">1. IVA: informazioni su norme generali, aliquote ed esenzioni, partita IVA e pagamento dell'IVA, rimborsi 2. Accise: informazioni su norme generali, aliquote ed esenzioni, registrazione ai fini delle accise e pagamento delle accise, rimborsi 3. Dazi doganali e altri diritti e imposte riscossi sulle </w:t>
            </w:r>
            <w:r w:rsidRPr="00C452B0">
              <w:rPr>
                <w:szCs w:val="24"/>
                <w:lang w:eastAsia="en-US"/>
              </w:rPr>
              <w:lastRenderedPageBreak/>
              <w:t xml:space="preserve">importazioni 4. Procedure doganali di importazione ed esportazione a norma del codice doganale dell'Unione 5. </w:t>
            </w:r>
            <w:proofErr w:type="spellStart"/>
            <w:r w:rsidRPr="00C452B0">
              <w:rPr>
                <w:szCs w:val="24"/>
                <w:lang w:val="en-GB" w:eastAsia="en-US"/>
              </w:rPr>
              <w:t>Altre</w:t>
            </w:r>
            <w:proofErr w:type="spellEnd"/>
            <w:r w:rsidRPr="00C452B0">
              <w:rPr>
                <w:szCs w:val="24"/>
                <w:lang w:val="en-GB" w:eastAsia="en-US"/>
              </w:rPr>
              <w:t xml:space="preserve"> </w:t>
            </w:r>
            <w:proofErr w:type="spellStart"/>
            <w:r w:rsidRPr="00C452B0">
              <w:rPr>
                <w:szCs w:val="24"/>
                <w:lang w:val="en-GB" w:eastAsia="en-US"/>
              </w:rPr>
              <w:t>imposte</w:t>
            </w:r>
            <w:proofErr w:type="spellEnd"/>
            <w:r w:rsidRPr="00C452B0">
              <w:rPr>
                <w:szCs w:val="24"/>
                <w:lang w:val="en-GB" w:eastAsia="en-US"/>
              </w:rPr>
              <w:t xml:space="preserve">: </w:t>
            </w:r>
            <w:proofErr w:type="spellStart"/>
            <w:r w:rsidRPr="00C452B0">
              <w:rPr>
                <w:szCs w:val="24"/>
                <w:lang w:val="en-GB" w:eastAsia="en-US"/>
              </w:rPr>
              <w:t>pagamento</w:t>
            </w:r>
            <w:proofErr w:type="spellEnd"/>
            <w:r w:rsidRPr="00C452B0">
              <w:rPr>
                <w:szCs w:val="24"/>
                <w:lang w:val="en-GB" w:eastAsia="en-US"/>
              </w:rPr>
              <w:t xml:space="preserve">, </w:t>
            </w:r>
            <w:proofErr w:type="spellStart"/>
            <w:r w:rsidRPr="00C452B0">
              <w:rPr>
                <w:szCs w:val="24"/>
                <w:lang w:val="en-GB" w:eastAsia="en-US"/>
              </w:rPr>
              <w:t>aliquote</w:t>
            </w:r>
            <w:proofErr w:type="spellEnd"/>
            <w:r w:rsidRPr="00C452B0">
              <w:rPr>
                <w:szCs w:val="24"/>
                <w:lang w:val="en-GB" w:eastAsia="en-US"/>
              </w:rPr>
              <w:t xml:space="preserve">, </w:t>
            </w:r>
            <w:proofErr w:type="spellStart"/>
            <w:r w:rsidRPr="00C452B0">
              <w:rPr>
                <w:szCs w:val="24"/>
                <w:lang w:val="en-GB" w:eastAsia="en-US"/>
              </w:rPr>
              <w:t>dichiarazioni</w:t>
            </w:r>
            <w:proofErr w:type="spellEnd"/>
            <w:r w:rsidRPr="00C452B0">
              <w:rPr>
                <w:szCs w:val="24"/>
                <w:lang w:val="en-GB" w:eastAsia="en-US"/>
              </w:rPr>
              <w:t xml:space="preserve"> </w:t>
            </w:r>
            <w:proofErr w:type="spellStart"/>
            <w:r w:rsidRPr="00C452B0">
              <w:rPr>
                <w:szCs w:val="24"/>
                <w:lang w:val="en-GB" w:eastAsia="en-US"/>
              </w:rPr>
              <w:t>dei</w:t>
            </w:r>
            <w:proofErr w:type="spellEnd"/>
            <w:r w:rsidRPr="00C452B0">
              <w:rPr>
                <w:szCs w:val="24"/>
                <w:lang w:val="en-GB" w:eastAsia="en-US"/>
              </w:rPr>
              <w:t xml:space="preserve"> </w:t>
            </w:r>
            <w:proofErr w:type="spellStart"/>
            <w:r w:rsidRPr="00C452B0">
              <w:rPr>
                <w:szCs w:val="24"/>
                <w:lang w:val="en-GB" w:eastAsia="en-US"/>
              </w:rPr>
              <w:t>redditi</w:t>
            </w:r>
            <w:proofErr w:type="spellEnd"/>
          </w:p>
        </w:tc>
      </w:tr>
      <w:tr w:rsidR="00C452B0" w:rsidRPr="00C452B0" w:rsidTr="00806243">
        <w:tc>
          <w:tcPr>
            <w:tcW w:w="2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2B0" w:rsidRPr="00C452B0" w:rsidRDefault="00C452B0" w:rsidP="00C452B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452B0">
              <w:rPr>
                <w:szCs w:val="24"/>
                <w:lang w:val="en-GB" w:eastAsia="en-US"/>
              </w:rPr>
              <w:lastRenderedPageBreak/>
              <w:t xml:space="preserve">AD. </w:t>
            </w:r>
            <w:proofErr w:type="spellStart"/>
            <w:r w:rsidRPr="00C452B0">
              <w:rPr>
                <w:szCs w:val="24"/>
                <w:lang w:val="en-GB" w:eastAsia="en-US"/>
              </w:rPr>
              <w:t>Merci</w:t>
            </w:r>
            <w:proofErr w:type="spellEnd"/>
          </w:p>
        </w:tc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2B0" w:rsidRPr="00C452B0" w:rsidRDefault="00C452B0" w:rsidP="00C452B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806243">
              <w:rPr>
                <w:szCs w:val="24"/>
                <w:lang w:eastAsia="en-US"/>
              </w:rPr>
              <w:t xml:space="preserve">1. Ottenimento del marchio CE 2. Norme e obblighi relativi ai prodotti 3. Individuazione delle norme e delle specifiche tecniche applicabili e certificazione dei prodotti 4. Riconoscimento reciproco dei prodotti non soggetti a specifiche dell'Unione 5. Prescrizioni relative alla classificazione, all'etichettatura e all'imballaggio delle sostanze chimiche pericolose 6. Vendita a distanza/fuori dai locali commerciali: informazioni da fornire anticipatamente ai clienti, conferma scritta del contratto, recesso da un contratto, consegna delle merci, altri obblighi specifici 7. Prodotti difettosi: diritti dei consumatori e garanzie, responsabilità post vendita, mezzi di reclamo per la parte lesa 8. Certificazione, etichette (EMAS, etichettatura energetica, etichette sulla progettazione ecocompatibile, marchio </w:t>
            </w:r>
            <w:proofErr w:type="spellStart"/>
            <w:r w:rsidRPr="00806243">
              <w:rPr>
                <w:szCs w:val="24"/>
                <w:lang w:eastAsia="en-US"/>
              </w:rPr>
              <w:t>Ecolabel</w:t>
            </w:r>
            <w:proofErr w:type="spellEnd"/>
            <w:r w:rsidRPr="00806243">
              <w:rPr>
                <w:szCs w:val="24"/>
                <w:lang w:eastAsia="en-US"/>
              </w:rPr>
              <w:t xml:space="preserve"> UE) 9. </w:t>
            </w:r>
            <w:proofErr w:type="spellStart"/>
            <w:r w:rsidRPr="00C452B0">
              <w:rPr>
                <w:szCs w:val="24"/>
                <w:lang w:val="en-GB" w:eastAsia="en-US"/>
              </w:rPr>
              <w:t>Riciclaggio</w:t>
            </w:r>
            <w:proofErr w:type="spellEnd"/>
            <w:r w:rsidRPr="00C452B0">
              <w:rPr>
                <w:szCs w:val="24"/>
                <w:lang w:val="en-GB" w:eastAsia="en-US"/>
              </w:rPr>
              <w:t xml:space="preserve"> e </w:t>
            </w:r>
            <w:proofErr w:type="spellStart"/>
            <w:r w:rsidRPr="00C452B0">
              <w:rPr>
                <w:szCs w:val="24"/>
                <w:lang w:val="en-GB" w:eastAsia="en-US"/>
              </w:rPr>
              <w:t>gestione</w:t>
            </w:r>
            <w:proofErr w:type="spellEnd"/>
            <w:r w:rsidRPr="00C452B0">
              <w:rPr>
                <w:szCs w:val="24"/>
                <w:lang w:val="en-GB" w:eastAsia="en-US"/>
              </w:rPr>
              <w:t xml:space="preserve"> </w:t>
            </w:r>
            <w:proofErr w:type="spellStart"/>
            <w:r w:rsidRPr="00C452B0">
              <w:rPr>
                <w:szCs w:val="24"/>
                <w:lang w:val="en-GB" w:eastAsia="en-US"/>
              </w:rPr>
              <w:t>dei</w:t>
            </w:r>
            <w:proofErr w:type="spellEnd"/>
            <w:r w:rsidRPr="00C452B0">
              <w:rPr>
                <w:szCs w:val="24"/>
                <w:lang w:val="en-GB" w:eastAsia="en-US"/>
              </w:rPr>
              <w:t xml:space="preserve"> </w:t>
            </w:r>
            <w:proofErr w:type="spellStart"/>
            <w:r w:rsidRPr="00C452B0">
              <w:rPr>
                <w:szCs w:val="24"/>
                <w:lang w:val="en-GB" w:eastAsia="en-US"/>
              </w:rPr>
              <w:t>rifiuti</w:t>
            </w:r>
            <w:proofErr w:type="spellEnd"/>
          </w:p>
        </w:tc>
      </w:tr>
      <w:tr w:rsidR="00C452B0" w:rsidRPr="00C452B0" w:rsidTr="00806243">
        <w:tc>
          <w:tcPr>
            <w:tcW w:w="2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2B0" w:rsidRPr="00C452B0" w:rsidRDefault="00C452B0" w:rsidP="00C452B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452B0">
              <w:rPr>
                <w:szCs w:val="24"/>
                <w:lang w:val="en-GB" w:eastAsia="en-US"/>
              </w:rPr>
              <w:t xml:space="preserve">AE. </w:t>
            </w:r>
            <w:proofErr w:type="spellStart"/>
            <w:r w:rsidRPr="00C452B0">
              <w:rPr>
                <w:szCs w:val="24"/>
                <w:lang w:val="en-GB" w:eastAsia="en-US"/>
              </w:rPr>
              <w:t>Servizi</w:t>
            </w:r>
            <w:proofErr w:type="spellEnd"/>
          </w:p>
        </w:tc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2B0" w:rsidRPr="00806243" w:rsidRDefault="00C452B0" w:rsidP="00C452B0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806243">
              <w:rPr>
                <w:szCs w:val="24"/>
                <w:lang w:eastAsia="en-US"/>
              </w:rPr>
              <w:t>1. Acquisizione di licenze, autorizzazioni o permessi per l'avvio e la gestione di una persona giuridica diversa da un'impresa 2. Notifica delle attività transfrontaliere alle autorità 3. Riconoscimento delle qualifiche professionali, comprese l'istruzione e la formazione professionali</w:t>
            </w:r>
          </w:p>
        </w:tc>
      </w:tr>
      <w:tr w:rsidR="00C452B0" w:rsidRPr="00C452B0" w:rsidTr="00806243">
        <w:tc>
          <w:tcPr>
            <w:tcW w:w="2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2B0" w:rsidRPr="00806243" w:rsidRDefault="00C452B0" w:rsidP="00C452B0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806243">
              <w:rPr>
                <w:szCs w:val="24"/>
                <w:lang w:eastAsia="en-US"/>
              </w:rPr>
              <w:lastRenderedPageBreak/>
              <w:t>AF. Finanziamento di una persona giuridica diversa da un'impresa</w:t>
            </w:r>
          </w:p>
        </w:tc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2B0" w:rsidRPr="00806243" w:rsidRDefault="00C452B0" w:rsidP="00C452B0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806243">
              <w:rPr>
                <w:szCs w:val="24"/>
                <w:lang w:eastAsia="en-US"/>
              </w:rPr>
              <w:t xml:space="preserve">1. Accesso a finanziamenti a livello dell'Unione, inclusi programmi di finanziamento e sovvenzioni dell'Unione 2. Accesso ai finanziamenti a livello nazionale 3. Iniziative rivolte alle persone giuridiche diverse dalle imprese (scambi, programmi di </w:t>
            </w:r>
            <w:proofErr w:type="spellStart"/>
            <w:r w:rsidRPr="00806243">
              <w:rPr>
                <w:szCs w:val="24"/>
                <w:lang w:eastAsia="en-US"/>
              </w:rPr>
              <w:t>mentoring</w:t>
            </w:r>
            <w:proofErr w:type="spellEnd"/>
            <w:r w:rsidRPr="00806243">
              <w:rPr>
                <w:szCs w:val="24"/>
                <w:lang w:eastAsia="en-US"/>
              </w:rPr>
              <w:t>, ecc.)</w:t>
            </w:r>
          </w:p>
        </w:tc>
      </w:tr>
      <w:tr w:rsidR="00C452B0" w:rsidRPr="00C452B0" w:rsidTr="00806243">
        <w:tc>
          <w:tcPr>
            <w:tcW w:w="2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2B0" w:rsidRPr="00C452B0" w:rsidRDefault="00C452B0" w:rsidP="00C452B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452B0">
              <w:rPr>
                <w:szCs w:val="24"/>
                <w:lang w:val="en-GB" w:eastAsia="en-US"/>
              </w:rPr>
              <w:t xml:space="preserve">AG. </w:t>
            </w:r>
            <w:proofErr w:type="spellStart"/>
            <w:r w:rsidRPr="00C452B0">
              <w:rPr>
                <w:szCs w:val="24"/>
                <w:lang w:val="en-GB" w:eastAsia="en-US"/>
              </w:rPr>
              <w:t>Appalti</w:t>
            </w:r>
            <w:proofErr w:type="spellEnd"/>
            <w:r w:rsidRPr="00C452B0">
              <w:rPr>
                <w:szCs w:val="24"/>
                <w:lang w:val="en-GB" w:eastAsia="en-US"/>
              </w:rPr>
              <w:t xml:space="preserve"> </w:t>
            </w:r>
            <w:proofErr w:type="spellStart"/>
            <w:r w:rsidRPr="00C452B0">
              <w:rPr>
                <w:szCs w:val="24"/>
                <w:lang w:val="en-GB" w:eastAsia="en-US"/>
              </w:rPr>
              <w:t>pubblici</w:t>
            </w:r>
            <w:proofErr w:type="spellEnd"/>
          </w:p>
        </w:tc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2B0" w:rsidRPr="00C452B0" w:rsidRDefault="00C452B0" w:rsidP="00C452B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806243">
              <w:rPr>
                <w:szCs w:val="24"/>
                <w:lang w:eastAsia="en-US"/>
              </w:rPr>
              <w:t xml:space="preserve">1. Partecipazione a gare d'appalto: norme e procedure 2. Presentazione in linea di un'offerta in risposta a un bando di gara pubblico 3. </w:t>
            </w:r>
            <w:proofErr w:type="spellStart"/>
            <w:r w:rsidRPr="00C452B0">
              <w:rPr>
                <w:szCs w:val="24"/>
                <w:lang w:val="en-GB" w:eastAsia="en-US"/>
              </w:rPr>
              <w:t>Segnalazione</w:t>
            </w:r>
            <w:proofErr w:type="spellEnd"/>
            <w:r w:rsidRPr="00C452B0">
              <w:rPr>
                <w:szCs w:val="24"/>
                <w:lang w:val="en-GB" w:eastAsia="en-US"/>
              </w:rPr>
              <w:t xml:space="preserve"> di </w:t>
            </w:r>
            <w:proofErr w:type="spellStart"/>
            <w:r w:rsidRPr="00C452B0">
              <w:rPr>
                <w:szCs w:val="24"/>
                <w:lang w:val="en-GB" w:eastAsia="en-US"/>
              </w:rPr>
              <w:t>irregolarità</w:t>
            </w:r>
            <w:proofErr w:type="spellEnd"/>
            <w:r w:rsidRPr="00C452B0">
              <w:rPr>
                <w:szCs w:val="24"/>
                <w:lang w:val="en-GB" w:eastAsia="en-US"/>
              </w:rPr>
              <w:t xml:space="preserve"> in </w:t>
            </w:r>
            <w:proofErr w:type="spellStart"/>
            <w:r w:rsidRPr="00C452B0">
              <w:rPr>
                <w:szCs w:val="24"/>
                <w:lang w:val="en-GB" w:eastAsia="en-US"/>
              </w:rPr>
              <w:t>relazione</w:t>
            </w:r>
            <w:proofErr w:type="spellEnd"/>
            <w:r w:rsidRPr="00C452B0">
              <w:rPr>
                <w:szCs w:val="24"/>
                <w:lang w:val="en-GB" w:eastAsia="en-US"/>
              </w:rPr>
              <w:t xml:space="preserve"> </w:t>
            </w:r>
            <w:proofErr w:type="spellStart"/>
            <w:r w:rsidRPr="00C452B0">
              <w:rPr>
                <w:szCs w:val="24"/>
                <w:lang w:val="en-GB" w:eastAsia="en-US"/>
              </w:rPr>
              <w:t>alla</w:t>
            </w:r>
            <w:proofErr w:type="spellEnd"/>
            <w:r w:rsidRPr="00C452B0">
              <w:rPr>
                <w:szCs w:val="24"/>
                <w:lang w:val="en-GB" w:eastAsia="en-US"/>
              </w:rPr>
              <w:t xml:space="preserve"> </w:t>
            </w:r>
            <w:proofErr w:type="spellStart"/>
            <w:r w:rsidRPr="00C452B0">
              <w:rPr>
                <w:szCs w:val="24"/>
                <w:lang w:val="en-GB" w:eastAsia="en-US"/>
              </w:rPr>
              <w:t>procedura</w:t>
            </w:r>
            <w:proofErr w:type="spellEnd"/>
            <w:r w:rsidRPr="00C452B0">
              <w:rPr>
                <w:szCs w:val="24"/>
                <w:lang w:val="en-GB" w:eastAsia="en-US"/>
              </w:rPr>
              <w:t xml:space="preserve"> di </w:t>
            </w:r>
            <w:proofErr w:type="spellStart"/>
            <w:r w:rsidRPr="00C452B0">
              <w:rPr>
                <w:szCs w:val="24"/>
                <w:lang w:val="en-GB" w:eastAsia="en-US"/>
              </w:rPr>
              <w:t>gara</w:t>
            </w:r>
            <w:proofErr w:type="spellEnd"/>
          </w:p>
        </w:tc>
      </w:tr>
      <w:tr w:rsidR="00C452B0" w:rsidRPr="00C452B0" w:rsidTr="00806243">
        <w:tc>
          <w:tcPr>
            <w:tcW w:w="2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2B0" w:rsidRPr="00806243" w:rsidRDefault="00C452B0" w:rsidP="00C452B0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806243">
              <w:rPr>
                <w:szCs w:val="24"/>
                <w:lang w:eastAsia="en-US"/>
              </w:rPr>
              <w:t>AH. Salute e sicurezza sul luogo di lavoro</w:t>
            </w:r>
          </w:p>
        </w:tc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2B0" w:rsidRPr="00806243" w:rsidRDefault="00C452B0" w:rsidP="00C452B0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806243">
              <w:rPr>
                <w:szCs w:val="24"/>
                <w:lang w:eastAsia="en-US"/>
              </w:rPr>
              <w:t>1. Obblighi in materia di salute e sicurezza in relazione ai diversi tipi di attività, compresa la prevenzione dei rischi, l'informazione e la formazione</w:t>
            </w:r>
          </w:p>
        </w:tc>
      </w:tr>
    </w:tbl>
    <w:p w:rsidR="00690BA8" w:rsidRDefault="00690BA8" w:rsidP="00690BA8">
      <w:pPr>
        <w:spacing w:before="120" w:after="120" w:line="360" w:lineRule="auto"/>
        <w:jc w:val="right"/>
        <w:rPr>
          <w:b/>
          <w:szCs w:val="24"/>
          <w:lang w:eastAsia="en-US"/>
        </w:rPr>
      </w:pPr>
      <w:r w:rsidRPr="00690BA8">
        <w:rPr>
          <w:b/>
          <w:szCs w:val="24"/>
          <w:lang w:eastAsia="en-US"/>
        </w:rPr>
        <w:t>[Em.5]</w:t>
      </w:r>
    </w:p>
    <w:p w:rsidR="00690BA8" w:rsidRDefault="00690BA8">
      <w:pPr>
        <w:widowControl/>
        <w:rPr>
          <w:b/>
          <w:szCs w:val="24"/>
          <w:lang w:eastAsia="en-US"/>
        </w:rPr>
      </w:pPr>
      <w:r>
        <w:rPr>
          <w:b/>
          <w:szCs w:val="24"/>
          <w:lang w:eastAsia="en-US"/>
        </w:rPr>
        <w:br w:type="page"/>
      </w:r>
    </w:p>
    <w:p w:rsidR="00690BA8" w:rsidRPr="00690BA8" w:rsidRDefault="00690BA8" w:rsidP="00690BA8">
      <w:pPr>
        <w:spacing w:before="120" w:after="120" w:line="360" w:lineRule="auto"/>
        <w:jc w:val="right"/>
        <w:rPr>
          <w:b/>
          <w:szCs w:val="24"/>
          <w:lang w:eastAsia="en-US"/>
        </w:rPr>
      </w:pPr>
    </w:p>
    <w:p w:rsidR="00C452B0" w:rsidRPr="00806243" w:rsidRDefault="00C452B0" w:rsidP="00C452B0">
      <w:pPr>
        <w:spacing w:before="120" w:after="120" w:line="360" w:lineRule="auto"/>
        <w:jc w:val="center"/>
        <w:rPr>
          <w:szCs w:val="24"/>
          <w:lang w:eastAsia="en-US"/>
        </w:rPr>
      </w:pPr>
      <w:r w:rsidRPr="00806243">
        <w:rPr>
          <w:szCs w:val="24"/>
          <w:lang w:eastAsia="en-US"/>
        </w:rPr>
        <w:t>Articolo 3</w:t>
      </w:r>
      <w:r w:rsidRPr="00806243">
        <w:rPr>
          <w:szCs w:val="24"/>
          <w:lang w:eastAsia="en-US"/>
        </w:rPr>
        <w:br/>
        <w:t>Entrata in vigore</w:t>
      </w:r>
    </w:p>
    <w:p w:rsidR="00C452B0" w:rsidRPr="00806243" w:rsidRDefault="00C452B0" w:rsidP="00C452B0">
      <w:pPr>
        <w:spacing w:before="120" w:after="120" w:line="360" w:lineRule="auto"/>
        <w:rPr>
          <w:szCs w:val="24"/>
          <w:lang w:eastAsia="en-US"/>
        </w:rPr>
      </w:pPr>
      <w:r w:rsidRPr="00806243">
        <w:rPr>
          <w:szCs w:val="24"/>
          <w:lang w:eastAsia="en-US"/>
        </w:rPr>
        <w:t xml:space="preserve">Il presente regolamento entra in vigore il ventesimo giorno successivo alla pubblicazione nella </w:t>
      </w:r>
      <w:r w:rsidRPr="001B3A8D">
        <w:rPr>
          <w:i/>
          <w:szCs w:val="24"/>
          <w:lang w:eastAsia="en-US"/>
        </w:rPr>
        <w:t>Gazzetta ufficiale dell'Unione europea</w:t>
      </w:r>
      <w:r w:rsidRPr="00806243">
        <w:rPr>
          <w:szCs w:val="24"/>
          <w:lang w:eastAsia="en-US"/>
        </w:rPr>
        <w:t>.</w:t>
      </w:r>
    </w:p>
    <w:p w:rsidR="00C452B0" w:rsidRPr="00806243" w:rsidRDefault="00C452B0" w:rsidP="00C452B0">
      <w:pPr>
        <w:spacing w:before="120" w:after="120" w:line="360" w:lineRule="auto"/>
        <w:rPr>
          <w:szCs w:val="24"/>
          <w:lang w:eastAsia="en-US"/>
        </w:rPr>
      </w:pPr>
      <w:r w:rsidRPr="00806243">
        <w:rPr>
          <w:szCs w:val="24"/>
          <w:lang w:eastAsia="en-US"/>
        </w:rPr>
        <w:t>Il presente regolamento è obbligatorio in tutti i suoi elementi e direttamente applicabile in ciascuno degli Stati membri.</w:t>
      </w:r>
    </w:p>
    <w:p w:rsidR="00C452B0" w:rsidRPr="00806243" w:rsidRDefault="00C452B0" w:rsidP="00C452B0">
      <w:pPr>
        <w:keepNext/>
        <w:widowControl/>
        <w:spacing w:before="120" w:line="360" w:lineRule="auto"/>
        <w:rPr>
          <w:szCs w:val="24"/>
          <w:lang w:eastAsia="en-US"/>
        </w:rPr>
      </w:pPr>
      <w:r w:rsidRPr="00806243">
        <w:rPr>
          <w:szCs w:val="24"/>
          <w:lang w:eastAsia="en-US"/>
        </w:rPr>
        <w:t xml:space="preserve">Fatto a </w:t>
      </w:r>
      <w:r w:rsidR="001B3A8D">
        <w:rPr>
          <w:szCs w:val="24"/>
          <w:lang w:eastAsia="en-US"/>
        </w:rPr>
        <w:t>…</w:t>
      </w:r>
      <w:r w:rsidRPr="00806243">
        <w:rPr>
          <w:szCs w:val="24"/>
          <w:lang w:eastAsia="en-US"/>
        </w:rPr>
        <w:t>, il</w:t>
      </w:r>
    </w:p>
    <w:p w:rsidR="00C452B0" w:rsidRPr="00806243" w:rsidRDefault="00C452B0" w:rsidP="00C452B0">
      <w:pPr>
        <w:keepNext/>
        <w:widowControl/>
        <w:tabs>
          <w:tab w:val="left" w:pos="4252"/>
        </w:tabs>
        <w:spacing w:before="720" w:after="100" w:line="360" w:lineRule="auto"/>
        <w:jc w:val="both"/>
        <w:rPr>
          <w:i/>
          <w:szCs w:val="24"/>
          <w:lang w:eastAsia="en-US"/>
        </w:rPr>
      </w:pPr>
      <w:r w:rsidRPr="00806243">
        <w:rPr>
          <w:i/>
          <w:szCs w:val="24"/>
          <w:lang w:eastAsia="en-US"/>
        </w:rPr>
        <w:t>Per il Parlamento europeo</w:t>
      </w:r>
      <w:r w:rsidRPr="00806243">
        <w:rPr>
          <w:i/>
          <w:szCs w:val="24"/>
          <w:lang w:eastAsia="en-US"/>
        </w:rPr>
        <w:tab/>
        <w:t>Per il Consiglio</w:t>
      </w:r>
    </w:p>
    <w:p w:rsidR="00C452B0" w:rsidRPr="00806243" w:rsidRDefault="00C452B0" w:rsidP="00C452B0">
      <w:pPr>
        <w:widowControl/>
        <w:tabs>
          <w:tab w:val="left" w:pos="4252"/>
        </w:tabs>
        <w:spacing w:line="360" w:lineRule="auto"/>
        <w:rPr>
          <w:i/>
          <w:szCs w:val="24"/>
          <w:lang w:eastAsia="en-US"/>
        </w:rPr>
      </w:pPr>
      <w:proofErr w:type="gramStart"/>
      <w:r w:rsidRPr="00806243">
        <w:rPr>
          <w:i/>
          <w:szCs w:val="24"/>
          <w:lang w:eastAsia="en-US"/>
        </w:rPr>
        <w:t>La presidente</w:t>
      </w:r>
      <w:proofErr w:type="gramEnd"/>
      <w:r w:rsidRPr="00806243">
        <w:rPr>
          <w:i/>
          <w:szCs w:val="24"/>
          <w:lang w:eastAsia="en-US"/>
        </w:rPr>
        <w:tab/>
        <w:t>Il presidente</w:t>
      </w:r>
    </w:p>
    <w:sectPr w:rsidR="00C452B0" w:rsidRPr="00806243" w:rsidSect="0086237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3AAE" w:rsidRPr="0086237E" w:rsidRDefault="00DF3AAE">
      <w:r w:rsidRPr="0086237E">
        <w:separator/>
      </w:r>
    </w:p>
  </w:endnote>
  <w:endnote w:type="continuationSeparator" w:id="0">
    <w:p w:rsidR="00DF3AAE" w:rsidRPr="0086237E" w:rsidRDefault="00DF3AAE">
      <w:r w:rsidRPr="0086237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6237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6237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6237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3AAE" w:rsidRPr="0086237E" w:rsidRDefault="00DF3AAE">
      <w:r w:rsidRPr="0086237E">
        <w:separator/>
      </w:r>
    </w:p>
  </w:footnote>
  <w:footnote w:type="continuationSeparator" w:id="0">
    <w:p w:rsidR="00DF3AAE" w:rsidRPr="0086237E" w:rsidRDefault="00DF3AAE">
      <w:r w:rsidRPr="0086237E">
        <w:continuationSeparator/>
      </w:r>
    </w:p>
  </w:footnote>
  <w:footnote w:id="1">
    <w:p w:rsidR="00C452B0" w:rsidRPr="002D06D9" w:rsidRDefault="00916E3B" w:rsidP="001B3A8D">
      <w:pPr>
        <w:pStyle w:val="FootnoteText"/>
        <w:ind w:left="567" w:hanging="567"/>
        <w:rPr>
          <w:lang w:val="it-IT"/>
        </w:rPr>
      </w:pPr>
      <w:r>
        <w:rPr>
          <w:rStyle w:val="FootnoteReference"/>
        </w:rPr>
        <w:footnoteRef/>
      </w:r>
      <w:r w:rsidR="00B100E3" w:rsidRPr="00B100E3">
        <w:rPr>
          <w:lang w:val="it-IT"/>
        </w:rPr>
        <w:tab/>
        <w:t>Non ancora pubblicat</w:t>
      </w:r>
      <w:r w:rsidR="00B100E3">
        <w:rPr>
          <w:lang w:val="it-IT"/>
        </w:rPr>
        <w:t>o</w:t>
      </w:r>
      <w:r w:rsidRPr="002D06D9">
        <w:rPr>
          <w:lang w:val="it-IT"/>
        </w:rPr>
        <w:t xml:space="preserve"> nella Gazzetta ufficiale.</w:t>
      </w:r>
    </w:p>
  </w:footnote>
  <w:footnote w:id="2">
    <w:p w:rsidR="00C452B0" w:rsidRPr="00806243" w:rsidRDefault="00C452B0" w:rsidP="00C452B0">
      <w:pPr>
        <w:pStyle w:val="FootnoteTextForceStyle"/>
        <w:rPr>
          <w:lang w:val="it-IT"/>
        </w:rPr>
      </w:pPr>
      <w:r>
        <w:rPr>
          <w:vertAlign w:val="superscript"/>
        </w:rPr>
        <w:footnoteRef/>
      </w:r>
      <w:r w:rsidRPr="00806243">
        <w:rPr>
          <w:lang w:val="it-IT"/>
        </w:rPr>
        <w:tab/>
        <w:t>Rif. al parere.</w:t>
      </w:r>
    </w:p>
  </w:footnote>
  <w:footnote w:id="3">
    <w:p w:rsidR="00C452B0" w:rsidRPr="00D31996" w:rsidRDefault="00C452B0" w:rsidP="00C452B0">
      <w:pPr>
        <w:pStyle w:val="FootnoteTextForceStyle"/>
        <w:rPr>
          <w:lang w:val="it-IT"/>
        </w:rPr>
      </w:pPr>
      <w:r>
        <w:rPr>
          <w:vertAlign w:val="superscript"/>
        </w:rPr>
        <w:footnoteRef/>
      </w:r>
      <w:r w:rsidRPr="00806243">
        <w:rPr>
          <w:lang w:val="it-IT"/>
        </w:rPr>
        <w:tab/>
        <w:t xml:space="preserve">Direttiva (UE) .../... </w:t>
      </w:r>
      <w:r w:rsidRPr="00D31996">
        <w:rPr>
          <w:lang w:val="it-IT"/>
        </w:rPr>
        <w:t>del Parlamento europeo e del Consiglio, del ..., relativa alle associazioni transfrontaliere europee (riferimento GU).";</w:t>
      </w:r>
    </w:p>
  </w:footnote>
  <w:footnote w:id="4">
    <w:p w:rsidR="00C452B0" w:rsidRPr="00806243" w:rsidRDefault="00C452B0" w:rsidP="00C452B0">
      <w:pPr>
        <w:pStyle w:val="FootnoteTextForceStyle"/>
        <w:rPr>
          <w:lang w:val="it-IT"/>
        </w:rPr>
      </w:pPr>
      <w:r>
        <w:rPr>
          <w:vertAlign w:val="superscript"/>
        </w:rPr>
        <w:footnoteRef/>
      </w:r>
      <w:r w:rsidRPr="00806243">
        <w:rPr>
          <w:lang w:val="it-IT"/>
        </w:rPr>
        <w:tab/>
        <w:t>Regolamento (UE) n. 1024/2012 del Parlamento europeo e del Consiglio, del 25 ottobre 2012, relativo alla cooperazione amministrativa attraverso il sistema di informazione del mercato interno e che abroga la decisione 2008/49/CE della Commissione ("regolamento IMI") (GU L 316 del 14.11.2012, pag. 1).</w:t>
      </w:r>
    </w:p>
  </w:footnote>
  <w:footnote w:id="5">
    <w:p w:rsidR="00C452B0" w:rsidRPr="00806243" w:rsidRDefault="00C452B0" w:rsidP="00C452B0">
      <w:pPr>
        <w:pStyle w:val="FootnoteTextForceStyle"/>
        <w:rPr>
          <w:lang w:val="it-IT"/>
        </w:rPr>
      </w:pPr>
      <w:r>
        <w:rPr>
          <w:vertAlign w:val="superscript"/>
        </w:rPr>
        <w:footnoteRef/>
      </w:r>
      <w:r w:rsidRPr="00806243">
        <w:rPr>
          <w:lang w:val="it-IT"/>
        </w:rPr>
        <w:tab/>
        <w:t>Regolamento (UE) 2018/1724 del Parlamento europeo e del Consiglio, del 2 ottobre 2018, che istituisce uno sportello digitale unico per l'accesso a informazioni, procedure e servizi di assistenza e di risoluzione dei problemi e che modifica il regolamento (UE) n. 1024/2012 (GU L 295 del 21.11.2018, pag. 1).</w:t>
      </w:r>
    </w:p>
  </w:footnote>
  <w:footnote w:id="6">
    <w:p w:rsidR="00C452B0" w:rsidRPr="00806243" w:rsidRDefault="00C452B0" w:rsidP="00C452B0">
      <w:pPr>
        <w:pStyle w:val="FootnoteTextForceStyle"/>
        <w:rPr>
          <w:lang w:val="it-IT"/>
        </w:rPr>
      </w:pPr>
      <w:r>
        <w:rPr>
          <w:vertAlign w:val="superscript"/>
        </w:rPr>
        <w:footnoteRef/>
      </w:r>
      <w:r w:rsidRPr="00806243">
        <w:rPr>
          <w:lang w:val="it-IT"/>
        </w:rPr>
        <w:tab/>
        <w:t>Regolamento (UE) 2018/1724 del Parlamento europeo e del Consiglio, del 2 ottobre 2018, che istituisce uno sportello digitale unico per l'accesso a informazioni, procedure e servizi di assistenza e di risoluzione dei problemi e che modifica il regolamento (UE) n. 1024/2012 (GU L 295 del 21.11.2018, pag.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6237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6237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6237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6/2024"/>
    <w:docVar w:name="dvlangue" w:val="IT"/>
    <w:docVar w:name="dvnumam" w:val="5"/>
    <w:docVar w:name="dvpe" w:val="756.195"/>
    <w:docVar w:name="dvrapporteur" w:val="Relatrice:"/>
    <w:docVar w:name="dvstar" w:val="***I"/>
    <w:docVar w:name="dvtitre" w:val="Risoluzione legislativa del Parlamento europeo del 13 marzo 2024 sulla proposta di regolamento del Parlamento europeo e del Consiglio che modifica i regolamenti (UE) n. 1024/2012 e (UE) 2018/1724 per quanto riguarda l'uso del sistema di informazione del mercato interno e dello sportello digitale unico ai fini di determinati requisiti stabiliti dalla direttiva (UE) .../... del Parlamento europeo e del Consiglio relativa alle associazioni transfrontaliere europee (COM(2023) 516)(COM(2023)0515 – C9-0327/2023 – 2023/0314(COD))"/>
  </w:docVars>
  <w:rsids>
    <w:rsidRoot w:val="00DF3AAE"/>
    <w:rsid w:val="00002272"/>
    <w:rsid w:val="00064002"/>
    <w:rsid w:val="000677B9"/>
    <w:rsid w:val="000823D4"/>
    <w:rsid w:val="000831BA"/>
    <w:rsid w:val="000A42CC"/>
    <w:rsid w:val="000E7DD9"/>
    <w:rsid w:val="0010095E"/>
    <w:rsid w:val="00125B37"/>
    <w:rsid w:val="00187494"/>
    <w:rsid w:val="001B3A8D"/>
    <w:rsid w:val="001F32AE"/>
    <w:rsid w:val="00216634"/>
    <w:rsid w:val="00234B6B"/>
    <w:rsid w:val="002767FF"/>
    <w:rsid w:val="002B18FE"/>
    <w:rsid w:val="002B5493"/>
    <w:rsid w:val="002D06D9"/>
    <w:rsid w:val="00340422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90BA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6243"/>
    <w:rsid w:val="00817416"/>
    <w:rsid w:val="00842779"/>
    <w:rsid w:val="0086237E"/>
    <w:rsid w:val="00865F67"/>
    <w:rsid w:val="008676BC"/>
    <w:rsid w:val="00881A7B"/>
    <w:rsid w:val="008840E5"/>
    <w:rsid w:val="00887B3E"/>
    <w:rsid w:val="008C2AC6"/>
    <w:rsid w:val="00916E3B"/>
    <w:rsid w:val="00930C23"/>
    <w:rsid w:val="0093193B"/>
    <w:rsid w:val="009509D8"/>
    <w:rsid w:val="00950B64"/>
    <w:rsid w:val="00981893"/>
    <w:rsid w:val="00A02D72"/>
    <w:rsid w:val="00A1687D"/>
    <w:rsid w:val="00A43E52"/>
    <w:rsid w:val="00A4678D"/>
    <w:rsid w:val="00A778C7"/>
    <w:rsid w:val="00AB441E"/>
    <w:rsid w:val="00AB6293"/>
    <w:rsid w:val="00AE0928"/>
    <w:rsid w:val="00AF3B82"/>
    <w:rsid w:val="00B02A20"/>
    <w:rsid w:val="00B100E3"/>
    <w:rsid w:val="00B12E95"/>
    <w:rsid w:val="00B22876"/>
    <w:rsid w:val="00B558F0"/>
    <w:rsid w:val="00B64351"/>
    <w:rsid w:val="00BD48FE"/>
    <w:rsid w:val="00BD7BD8"/>
    <w:rsid w:val="00BE6ADC"/>
    <w:rsid w:val="00C05BFE"/>
    <w:rsid w:val="00C23CD4"/>
    <w:rsid w:val="00C452B0"/>
    <w:rsid w:val="00C61C0C"/>
    <w:rsid w:val="00C941CB"/>
    <w:rsid w:val="00CC2357"/>
    <w:rsid w:val="00CF071A"/>
    <w:rsid w:val="00D058B8"/>
    <w:rsid w:val="00D31996"/>
    <w:rsid w:val="00D56C11"/>
    <w:rsid w:val="00D834A0"/>
    <w:rsid w:val="00D872DF"/>
    <w:rsid w:val="00D91E21"/>
    <w:rsid w:val="00DA7FCD"/>
    <w:rsid w:val="00DF3AAE"/>
    <w:rsid w:val="00E365E1"/>
    <w:rsid w:val="00E555FA"/>
    <w:rsid w:val="00E718C3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31328E"/>
  <w15:chartTrackingRefBased/>
  <w15:docId w15:val="{88F9E33F-2146-43C4-B4D4-01F4500E9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0823D4"/>
    <w:pPr>
      <w:spacing w:after="120"/>
    </w:pPr>
  </w:style>
  <w:style w:type="paragraph" w:customStyle="1" w:styleId="NormalBold">
    <w:name w:val="NormalBold"/>
    <w:basedOn w:val="Normal"/>
    <w:link w:val="NormalBoldChar"/>
    <w:rsid w:val="000823D4"/>
    <w:rPr>
      <w:b/>
    </w:rPr>
  </w:style>
  <w:style w:type="paragraph" w:customStyle="1" w:styleId="NormalHanging12a">
    <w:name w:val="NormalHanging12a"/>
    <w:basedOn w:val="Normal"/>
    <w:rsid w:val="000823D4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0823D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0823D4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0823D4"/>
    <w:rPr>
      <w:sz w:val="24"/>
      <w:lang w:val="it-IT"/>
    </w:rPr>
  </w:style>
  <w:style w:type="paragraph" w:customStyle="1" w:styleId="Normal6">
    <w:name w:val="Normal6"/>
    <w:basedOn w:val="Normal"/>
    <w:link w:val="Normal6Char"/>
    <w:rsid w:val="000823D4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0823D4"/>
    <w:rPr>
      <w:b/>
      <w:sz w:val="24"/>
      <w:lang w:val="it-IT"/>
    </w:rPr>
  </w:style>
  <w:style w:type="paragraph" w:customStyle="1" w:styleId="ColumnHeading">
    <w:name w:val="ColumnHeading"/>
    <w:basedOn w:val="Normal"/>
    <w:rsid w:val="000823D4"/>
    <w:pPr>
      <w:spacing w:after="240"/>
      <w:jc w:val="center"/>
    </w:pPr>
    <w:rPr>
      <w:i/>
    </w:rPr>
  </w:style>
  <w:style w:type="character" w:customStyle="1" w:styleId="content">
    <w:name w:val="content"/>
    <w:basedOn w:val="DefaultParagraphFont"/>
    <w:rsid w:val="000823D4"/>
  </w:style>
  <w:style w:type="paragraph" w:customStyle="1" w:styleId="Point1">
    <w:name w:val="Point 1"/>
    <w:basedOn w:val="Normal"/>
    <w:rsid w:val="000823D4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styleId="BalloonText">
    <w:name w:val="Balloon Text"/>
    <w:basedOn w:val="Normal"/>
    <w:link w:val="BalloonTextChar"/>
    <w:rsid w:val="00916E3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16E3B"/>
    <w:rPr>
      <w:rFonts w:ascii="Segoe UI" w:hAnsi="Segoe UI" w:cs="Segoe UI"/>
      <w:sz w:val="18"/>
      <w:szCs w:val="18"/>
      <w:lang w:val="it-IT"/>
    </w:rPr>
  </w:style>
  <w:style w:type="paragraph" w:customStyle="1" w:styleId="FootnoteTextForceStyle">
    <w:name w:val="Footnote Text ForceStyle"/>
    <w:rsid w:val="00C452B0"/>
    <w:pPr>
      <w:keepLines/>
      <w:widowControl w:val="0"/>
      <w:ind w:left="850" w:hanging="850"/>
    </w:pPr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302E16-2F40-4C2F-AFF1-E5CBB2B08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2241</Words>
  <Characters>13541</Characters>
  <Application>Microsoft Office Word</Application>
  <DocSecurity>4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DAFFARA Paolo </dc:creator>
  <cp:keywords/>
  <cp:lastModifiedBy>GOROPECNIK Tina</cp:lastModifiedBy>
  <cp:revision>2</cp:revision>
  <cp:lastPrinted>2004-11-19T15:42:00Z</cp:lastPrinted>
  <dcterms:created xsi:type="dcterms:W3CDTF">2024-12-19T09:59:00Z</dcterms:created>
  <dcterms:modified xsi:type="dcterms:W3CDTF">2024-12-19T09:59:00Z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A9-0006/2024</vt:lpwstr>
  </property>
  <property fmtid="{D5CDD505-2E9C-101B-9397-08002B2CF9AE}" pid="4" name="&lt;Type&gt;">
    <vt:lpwstr>RR</vt:lpwstr>
  </property>
</Properties>
</file>